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CA002">
      <w:pPr>
        <w:widowControl/>
        <w:jc w:val="center"/>
        <w:textAlignment w:val="auto"/>
        <w:rPr>
          <w:rFonts w:hint="eastAsia" w:asciiTheme="minorEastAsia" w:hAnsiTheme="minorEastAsia" w:eastAsiaTheme="minorEastAsia" w:cstheme="minorEastAsia"/>
          <w:bCs/>
          <w:color w:val="000000"/>
          <w:sz w:val="52"/>
          <w:szCs w:val="52"/>
          <w:highlight w:val="none"/>
          <w:lang w:eastAsia="zh-CN"/>
        </w:rPr>
      </w:pPr>
    </w:p>
    <w:p w14:paraId="7E8D6A77">
      <w:pPr>
        <w:pStyle w:val="18"/>
        <w:jc w:val="center"/>
        <w:rPr>
          <w:rFonts w:hint="eastAsia" w:ascii="宋体" w:hAnsi="宋体" w:eastAsia="宋体" w:cs="宋体"/>
          <w:b/>
          <w:color w:val="auto"/>
          <w:sz w:val="44"/>
          <w:szCs w:val="44"/>
          <w:highlight w:val="none"/>
          <w:lang w:val="en-US" w:eastAsia="zh-CN"/>
        </w:rPr>
      </w:pPr>
      <w:r>
        <w:rPr>
          <w:rFonts w:hint="eastAsia" w:ascii="宋体" w:hAnsi="宋体" w:cs="宋体"/>
          <w:b/>
          <w:color w:val="auto"/>
          <w:sz w:val="44"/>
          <w:szCs w:val="44"/>
          <w:highlight w:val="none"/>
          <w:lang w:val="en-US" w:eastAsia="zh-CN"/>
        </w:rPr>
        <w:t>疏勒县良种繁育场种畜二队路面便化工程项目</w:t>
      </w:r>
    </w:p>
    <w:p w14:paraId="17E8B862">
      <w:pPr>
        <w:pStyle w:val="10"/>
        <w:rPr>
          <w:rFonts w:hint="eastAsia" w:ascii="宋体" w:hAnsi="宋体" w:eastAsia="宋体" w:cs="宋体"/>
          <w:b/>
          <w:color w:val="auto"/>
          <w:sz w:val="44"/>
          <w:szCs w:val="44"/>
          <w:highlight w:val="none"/>
          <w:lang w:val="en-US" w:eastAsia="zh-CN"/>
        </w:rPr>
      </w:pPr>
    </w:p>
    <w:p w14:paraId="4F8A2122">
      <w:pPr>
        <w:pStyle w:val="10"/>
        <w:rPr>
          <w:rFonts w:hint="eastAsia" w:ascii="宋体" w:hAnsi="宋体" w:eastAsia="宋体" w:cs="宋体"/>
          <w:b/>
          <w:color w:val="auto"/>
          <w:sz w:val="44"/>
          <w:szCs w:val="44"/>
          <w:highlight w:val="none"/>
          <w:lang w:val="en-US" w:eastAsia="zh-CN"/>
        </w:rPr>
      </w:pPr>
    </w:p>
    <w:p w14:paraId="263DC5ED">
      <w:pPr>
        <w:pStyle w:val="18"/>
        <w:jc w:val="center"/>
        <w:rPr>
          <w:rFonts w:hint="eastAsia"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t>竞争性磋商文件</w:t>
      </w:r>
    </w:p>
    <w:p w14:paraId="0B285636">
      <w:pPr>
        <w:pStyle w:val="30"/>
        <w:rPr>
          <w:rFonts w:hint="eastAsia" w:ascii="宋体" w:hAnsi="宋体" w:eastAsia="宋体" w:cs="宋体"/>
          <w:sz w:val="36"/>
          <w:szCs w:val="36"/>
          <w:highlight w:val="none"/>
        </w:rPr>
      </w:pPr>
    </w:p>
    <w:p w14:paraId="73B24E9A">
      <w:pPr>
        <w:pStyle w:val="19"/>
        <w:rPr>
          <w:rFonts w:hint="eastAsia" w:ascii="宋体" w:hAnsi="宋体" w:eastAsia="宋体" w:cs="宋体"/>
          <w:sz w:val="36"/>
          <w:szCs w:val="36"/>
          <w:highlight w:val="none"/>
        </w:rPr>
      </w:pPr>
    </w:p>
    <w:p w14:paraId="73FF618B">
      <w:pPr>
        <w:rPr>
          <w:rFonts w:hint="eastAsia"/>
          <w:highlight w:val="none"/>
        </w:rPr>
      </w:pPr>
    </w:p>
    <w:p w14:paraId="452BDE34">
      <w:pPr>
        <w:spacing w:line="240" w:lineRule="atLeast"/>
        <w:jc w:val="center"/>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rPr>
        <w:t>项目编号：</w:t>
      </w:r>
      <w:r>
        <w:rPr>
          <w:rFonts w:hint="eastAsia" w:ascii="宋体" w:hAnsi="宋体" w:cs="宋体"/>
          <w:b/>
          <w:bCs w:val="0"/>
          <w:color w:val="auto"/>
          <w:sz w:val="28"/>
          <w:szCs w:val="28"/>
          <w:highlight w:val="none"/>
          <w:lang w:val="en-US" w:eastAsia="zh-CN"/>
        </w:rPr>
        <w:t>SLXLZFYC（CS）XJHZ2025-9号</w:t>
      </w:r>
    </w:p>
    <w:p w14:paraId="4F4391C4">
      <w:pPr>
        <w:spacing w:line="240" w:lineRule="atLeast"/>
        <w:rPr>
          <w:rFonts w:hint="eastAsia" w:ascii="宋体" w:hAnsi="宋体" w:eastAsia="宋体" w:cs="宋体"/>
          <w:b/>
          <w:sz w:val="36"/>
          <w:szCs w:val="36"/>
          <w:highlight w:val="none"/>
        </w:rPr>
      </w:pPr>
    </w:p>
    <w:p w14:paraId="7F1B2A80">
      <w:pPr>
        <w:pStyle w:val="24"/>
        <w:rPr>
          <w:rFonts w:hint="eastAsia"/>
          <w:highlight w:val="none"/>
        </w:rPr>
      </w:pPr>
    </w:p>
    <w:p w14:paraId="43E7AABF">
      <w:pPr>
        <w:pStyle w:val="24"/>
        <w:rPr>
          <w:rFonts w:hint="eastAsia"/>
          <w:highlight w:val="none"/>
        </w:rPr>
      </w:pPr>
    </w:p>
    <w:p w14:paraId="18FA4C9F">
      <w:pPr>
        <w:spacing w:line="240" w:lineRule="atLeas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第一册</w:t>
      </w:r>
    </w:p>
    <w:p w14:paraId="5B01AC1D">
      <w:pPr>
        <w:pStyle w:val="7"/>
        <w:rPr>
          <w:rFonts w:hint="eastAsia" w:ascii="宋体" w:hAnsi="宋体" w:eastAsia="宋体" w:cs="宋体"/>
          <w:b/>
          <w:sz w:val="36"/>
          <w:szCs w:val="36"/>
          <w:highlight w:val="none"/>
        </w:rPr>
      </w:pPr>
    </w:p>
    <w:p w14:paraId="30FCB92C">
      <w:pPr>
        <w:rPr>
          <w:rFonts w:hint="eastAsia" w:ascii="宋体" w:hAnsi="宋体" w:eastAsia="宋体" w:cs="宋体"/>
          <w:b/>
          <w:sz w:val="36"/>
          <w:szCs w:val="36"/>
          <w:highlight w:val="none"/>
        </w:rPr>
      </w:pPr>
    </w:p>
    <w:p w14:paraId="44DC43EB">
      <w:pPr>
        <w:pStyle w:val="24"/>
        <w:rPr>
          <w:rFonts w:hint="eastAsia" w:ascii="宋体" w:hAnsi="宋体" w:eastAsia="宋体" w:cs="宋体"/>
          <w:b/>
          <w:sz w:val="36"/>
          <w:szCs w:val="36"/>
          <w:highlight w:val="none"/>
        </w:rPr>
      </w:pPr>
    </w:p>
    <w:p w14:paraId="486A2714">
      <w:pPr>
        <w:pStyle w:val="23"/>
        <w:rPr>
          <w:rFonts w:hint="eastAsia"/>
          <w:highlight w:val="none"/>
        </w:rPr>
      </w:pPr>
    </w:p>
    <w:p w14:paraId="22F95C97">
      <w:pPr>
        <w:spacing w:line="360" w:lineRule="auto"/>
        <w:ind w:firstLine="897" w:firstLineChars="299"/>
        <w:rPr>
          <w:rFonts w:hint="eastAsia" w:asciiTheme="minorEastAsia" w:hAnsiTheme="minorEastAsia" w:eastAsiaTheme="minorEastAsia" w:cstheme="minorEastAsia"/>
          <w:sz w:val="30"/>
          <w:szCs w:val="30"/>
          <w:highlight w:val="none"/>
          <w:u w:val="none"/>
          <w:lang w:val="en-US" w:eastAsia="zh-CN"/>
        </w:rPr>
      </w:pPr>
      <w:r>
        <w:rPr>
          <w:rFonts w:hint="eastAsia" w:asciiTheme="minorEastAsia" w:hAnsiTheme="minorEastAsia" w:eastAsiaTheme="minorEastAsia" w:cstheme="minorEastAsia"/>
          <w:sz w:val="30"/>
          <w:szCs w:val="30"/>
          <w:highlight w:val="none"/>
        </w:rPr>
        <w:t>采 购 人</w:t>
      </w:r>
      <w:r>
        <w:rPr>
          <w:rFonts w:hint="eastAsia" w:asciiTheme="minorEastAsia" w:hAnsiTheme="minorEastAsia" w:eastAsiaTheme="minorEastAsia" w:cstheme="minorEastAsia"/>
          <w:sz w:val="30"/>
          <w:szCs w:val="30"/>
          <w:highlight w:val="none"/>
          <w:u w:val="none"/>
        </w:rPr>
        <w:t>：</w:t>
      </w:r>
      <w:r>
        <w:rPr>
          <w:rFonts w:hint="eastAsia" w:asciiTheme="minorEastAsia" w:hAnsiTheme="minorEastAsia" w:eastAsiaTheme="minorEastAsia" w:cstheme="minorEastAsia"/>
          <w:sz w:val="30"/>
          <w:szCs w:val="30"/>
          <w:highlight w:val="none"/>
          <w:u w:val="none"/>
          <w:lang w:val="en-US" w:eastAsia="zh-CN"/>
        </w:rPr>
        <w:t xml:space="preserve">疏勒县良种繁育场  </w:t>
      </w:r>
    </w:p>
    <w:p w14:paraId="2368DC18">
      <w:pPr>
        <w:spacing w:line="360" w:lineRule="auto"/>
        <w:ind w:firstLine="897" w:firstLineChars="299"/>
        <w:rPr>
          <w:rFonts w:hint="eastAsia" w:asciiTheme="minorEastAsia" w:hAnsiTheme="minorEastAsia" w:eastAsiaTheme="minorEastAsia" w:cstheme="minorEastAsia"/>
          <w:sz w:val="30"/>
          <w:szCs w:val="30"/>
          <w:highlight w:val="none"/>
          <w:u w:val="none"/>
        </w:rPr>
      </w:pPr>
      <w:r>
        <w:rPr>
          <w:rFonts w:hint="eastAsia" w:asciiTheme="minorEastAsia" w:hAnsiTheme="minorEastAsia" w:eastAsiaTheme="minorEastAsia" w:cstheme="minorEastAsia"/>
          <w:sz w:val="30"/>
          <w:szCs w:val="30"/>
          <w:highlight w:val="none"/>
          <w:u w:val="none"/>
        </w:rPr>
        <w:t xml:space="preserve">采购机构：新疆禾正工程项目管理有限公司 </w:t>
      </w:r>
    </w:p>
    <w:p w14:paraId="7C43429A">
      <w:pPr>
        <w:pStyle w:val="10"/>
        <w:spacing w:line="248" w:lineRule="auto"/>
        <w:ind w:firstLine="900" w:firstLineChars="300"/>
        <w:rPr>
          <w:rFonts w:hint="eastAsia" w:asciiTheme="minorEastAsia" w:hAnsiTheme="minorEastAsia" w:eastAsiaTheme="minorEastAsia" w:cstheme="minorEastAsia"/>
          <w:color w:val="000000" w:themeColor="text1"/>
          <w:sz w:val="30"/>
          <w:szCs w:val="30"/>
          <w:highlight w:val="none"/>
          <w:u w:val="none"/>
          <w14:textFill>
            <w14:solidFill>
              <w14:schemeClr w14:val="tx1"/>
            </w14:solidFill>
          </w14:textFill>
        </w:rPr>
      </w:pPr>
      <w:r>
        <w:rPr>
          <w:rFonts w:hint="eastAsia" w:asciiTheme="minorEastAsia" w:hAnsiTheme="minorEastAsia" w:eastAsiaTheme="minorEastAsia" w:cstheme="minorEastAsia"/>
          <w:sz w:val="30"/>
          <w:szCs w:val="30"/>
          <w:highlight w:val="none"/>
          <w:u w:val="none"/>
        </w:rPr>
        <w:t>发出日期：202</w:t>
      </w:r>
      <w:r>
        <w:rPr>
          <w:rFonts w:hint="eastAsia" w:asciiTheme="minorEastAsia" w:hAnsiTheme="minorEastAsia" w:eastAsiaTheme="minorEastAsia" w:cstheme="minorEastAsia"/>
          <w:sz w:val="30"/>
          <w:szCs w:val="30"/>
          <w:highlight w:val="none"/>
          <w:u w:val="none"/>
          <w:lang w:val="en-US" w:eastAsia="zh-CN"/>
        </w:rPr>
        <w:t>5</w:t>
      </w:r>
      <w:r>
        <w:rPr>
          <w:rFonts w:hint="eastAsia" w:asciiTheme="minorEastAsia" w:hAnsiTheme="minorEastAsia" w:eastAsiaTheme="minorEastAsia" w:cstheme="minorEastAsia"/>
          <w:color w:val="000000" w:themeColor="text1"/>
          <w:sz w:val="30"/>
          <w:szCs w:val="30"/>
          <w:highlight w:val="none"/>
          <w:u w:val="none"/>
          <w14:textFill>
            <w14:solidFill>
              <w14:schemeClr w14:val="tx1"/>
            </w14:solidFill>
          </w14:textFill>
        </w:rPr>
        <w:t>年</w:t>
      </w:r>
      <w:r>
        <w:rPr>
          <w:rFonts w:hint="eastAsia" w:asciiTheme="minorEastAsia" w:hAnsiTheme="minorEastAsia" w:eastAsiaTheme="minorEastAsia" w:cstheme="minorEastAsia"/>
          <w:color w:val="000000" w:themeColor="text1"/>
          <w:sz w:val="30"/>
          <w:szCs w:val="30"/>
          <w:highlight w:val="none"/>
          <w:u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30"/>
          <w:szCs w:val="30"/>
          <w:highlight w:val="none"/>
          <w:u w:val="none"/>
          <w14:textFill>
            <w14:solidFill>
              <w14:schemeClr w14:val="tx1"/>
            </w14:solidFill>
          </w14:textFill>
        </w:rPr>
        <w:t>月</w:t>
      </w:r>
    </w:p>
    <w:p w14:paraId="5F120B55">
      <w:pPr>
        <w:pStyle w:val="10"/>
        <w:rPr>
          <w:rFonts w:hint="eastAsia" w:asciiTheme="minorEastAsia" w:hAnsiTheme="minorEastAsia" w:eastAsiaTheme="minorEastAsia" w:cstheme="minorEastAsia"/>
          <w:color w:val="auto"/>
          <w:highlight w:val="none"/>
        </w:rPr>
      </w:pPr>
    </w:p>
    <w:p w14:paraId="0EC6A5C8">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32"/>
          <w:szCs w:val="40"/>
          <w:highlight w:val="none"/>
        </w:rPr>
        <w:sectPr>
          <w:footerReference r:id="rId3" w:type="default"/>
          <w:pgSz w:w="11906" w:h="16838"/>
          <w:pgMar w:top="1440" w:right="1080" w:bottom="1440" w:left="1080" w:header="851" w:footer="992" w:gutter="0"/>
          <w:pgNumType w:fmt="numberInDash"/>
          <w:cols w:space="720" w:num="1"/>
          <w:docGrid w:type="linesAndChars" w:linePitch="312" w:charSpace="0"/>
        </w:sectPr>
      </w:pPr>
      <w:bookmarkStart w:id="0" w:name="_Toc216582804"/>
      <w:bookmarkStart w:id="1" w:name="_Toc15439"/>
      <w:bookmarkStart w:id="2" w:name="_Toc1884"/>
      <w:bookmarkStart w:id="3" w:name="_Toc20531"/>
      <w:bookmarkStart w:id="4" w:name="_Toc518923059"/>
      <w:bookmarkStart w:id="5" w:name="_Toc1949"/>
    </w:p>
    <w:p w14:paraId="05A4A90D">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32"/>
          <w:szCs w:val="40"/>
          <w:highlight w:val="none"/>
          <w:lang w:val="en-US" w:eastAsia="zh-CN"/>
        </w:rPr>
      </w:pPr>
      <w:r>
        <w:rPr>
          <w:rFonts w:hint="eastAsia" w:asciiTheme="minorEastAsia" w:hAnsiTheme="minorEastAsia" w:eastAsiaTheme="minorEastAsia" w:cstheme="minorEastAsia"/>
          <w:b/>
          <w:bCs/>
          <w:color w:val="auto"/>
          <w:sz w:val="32"/>
          <w:szCs w:val="40"/>
          <w:highlight w:val="none"/>
        </w:rPr>
        <w:t>目</w:t>
      </w:r>
      <w:r>
        <w:rPr>
          <w:rFonts w:hint="eastAsia" w:asciiTheme="minorEastAsia" w:hAnsiTheme="minorEastAsia" w:eastAsiaTheme="minorEastAsia" w:cstheme="minorEastAsia"/>
          <w:b/>
          <w:bCs/>
          <w:color w:val="auto"/>
          <w:sz w:val="32"/>
          <w:szCs w:val="40"/>
          <w:highlight w:val="none"/>
          <w:lang w:val="en-US" w:eastAsia="zh-CN"/>
        </w:rPr>
        <w:t xml:space="preserve">  </w:t>
      </w:r>
      <w:r>
        <w:rPr>
          <w:rFonts w:hint="eastAsia" w:asciiTheme="minorEastAsia" w:hAnsiTheme="minorEastAsia" w:eastAsiaTheme="minorEastAsia" w:cstheme="minorEastAsia"/>
          <w:b/>
          <w:bCs/>
          <w:color w:val="auto"/>
          <w:sz w:val="32"/>
          <w:szCs w:val="40"/>
          <w:highlight w:val="none"/>
        </w:rPr>
        <w:t>录</w:t>
      </w:r>
      <w:r>
        <w:rPr>
          <w:rFonts w:hint="eastAsia" w:asciiTheme="minorEastAsia" w:hAnsiTheme="minorEastAsia" w:eastAsiaTheme="minorEastAsia" w:cstheme="minorEastAsia"/>
          <w:b/>
          <w:bCs/>
          <w:color w:val="auto"/>
          <w:sz w:val="32"/>
          <w:szCs w:val="40"/>
          <w:highlight w:val="none"/>
          <w:lang w:val="en-US" w:eastAsia="zh-CN"/>
        </w:rPr>
        <w:t xml:space="preserve"> </w:t>
      </w:r>
    </w:p>
    <w:p w14:paraId="0636F22E">
      <w:pPr>
        <w:pStyle w:val="7"/>
        <w:rPr>
          <w:rFonts w:hint="eastAsia" w:asciiTheme="minorEastAsia" w:hAnsiTheme="minorEastAsia" w:eastAsiaTheme="minorEastAsia" w:cstheme="minorEastAsia"/>
          <w:highlight w:val="none"/>
        </w:rPr>
      </w:pPr>
    </w:p>
    <w:p w14:paraId="0FF67770">
      <w:pPr>
        <w:pStyle w:val="17"/>
        <w:tabs>
          <w:tab w:val="right" w:leader="dot" w:pos="9746"/>
        </w:tabs>
        <w:rPr>
          <w:highlight w:val="none"/>
        </w:rPr>
      </w:pPr>
      <w:r>
        <w:rPr>
          <w:rFonts w:hint="eastAsia" w:asciiTheme="minorEastAsia" w:hAnsiTheme="minorEastAsia" w:eastAsiaTheme="minorEastAsia" w:cstheme="minorEastAsia"/>
          <w:color w:val="auto"/>
          <w:sz w:val="22"/>
          <w:szCs w:val="22"/>
          <w:highlight w:val="none"/>
        </w:rPr>
        <w:fldChar w:fldCharType="begin"/>
      </w:r>
      <w:r>
        <w:rPr>
          <w:rFonts w:hint="eastAsia" w:asciiTheme="minorEastAsia" w:hAnsiTheme="minorEastAsia" w:eastAsiaTheme="minorEastAsia" w:cstheme="minorEastAsia"/>
          <w:color w:val="auto"/>
          <w:sz w:val="22"/>
          <w:szCs w:val="22"/>
          <w:highlight w:val="none"/>
        </w:rPr>
        <w:instrText xml:space="preserve">TOC \o "1-2" \h \u </w:instrText>
      </w:r>
      <w:r>
        <w:rPr>
          <w:rFonts w:hint="eastAsia" w:asciiTheme="minorEastAsia" w:hAnsiTheme="minorEastAsia" w:eastAsiaTheme="minorEastAsia" w:cstheme="minorEastAsia"/>
          <w:color w:val="auto"/>
          <w:sz w:val="22"/>
          <w:szCs w:val="22"/>
          <w:highlight w:val="none"/>
        </w:rPr>
        <w:fldChar w:fldCharType="separate"/>
      </w: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_Toc31667 </w:instrText>
      </w:r>
      <w:r>
        <w:rPr>
          <w:rFonts w:hint="eastAsia" w:asciiTheme="minorEastAsia" w:hAnsiTheme="minorEastAsia" w:eastAsiaTheme="minorEastAsia" w:cstheme="minorEastAsia"/>
          <w:szCs w:val="22"/>
          <w:highlight w:val="none"/>
        </w:rPr>
        <w:fldChar w:fldCharType="separate"/>
      </w:r>
      <w:r>
        <w:rPr>
          <w:rFonts w:hint="eastAsia" w:asciiTheme="minorEastAsia" w:hAnsiTheme="minorEastAsia" w:eastAsiaTheme="minorEastAsia" w:cstheme="minorEastAsia"/>
          <w:highlight w:val="none"/>
          <w:lang w:val="en-US" w:eastAsia="zh-CN"/>
        </w:rPr>
        <w:t xml:space="preserve">第1章  </w:t>
      </w:r>
      <w:r>
        <w:rPr>
          <w:rFonts w:hint="eastAsia" w:asciiTheme="minorEastAsia" w:hAnsiTheme="minorEastAsia" w:eastAsiaTheme="minorEastAsia" w:cstheme="minorEastAsia"/>
          <w:highlight w:val="none"/>
          <w:lang w:eastAsia="zh-CN"/>
        </w:rPr>
        <w:t>供应商</w:t>
      </w:r>
      <w:r>
        <w:rPr>
          <w:rFonts w:hint="eastAsia" w:asciiTheme="minorEastAsia" w:hAnsiTheme="minorEastAsia" w:eastAsiaTheme="minorEastAsia" w:cstheme="minorEastAsia"/>
          <w:highlight w:val="none"/>
        </w:rPr>
        <w:t>须知</w:t>
      </w:r>
      <w:r>
        <w:rPr>
          <w:highlight w:val="none"/>
        </w:rPr>
        <w:tab/>
      </w:r>
      <w:r>
        <w:rPr>
          <w:highlight w:val="none"/>
        </w:rPr>
        <w:fldChar w:fldCharType="begin"/>
      </w:r>
      <w:r>
        <w:rPr>
          <w:highlight w:val="none"/>
        </w:rPr>
        <w:instrText xml:space="preserve"> PAGEREF _Toc31667 \h </w:instrText>
      </w:r>
      <w:r>
        <w:rPr>
          <w:highlight w:val="none"/>
        </w:rPr>
        <w:fldChar w:fldCharType="separate"/>
      </w:r>
      <w:r>
        <w:rPr>
          <w:highlight w:val="none"/>
        </w:rPr>
        <w:t>3</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313DFA5A">
      <w:pPr>
        <w:pStyle w:val="20"/>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_Toc31529 </w:instrText>
      </w:r>
      <w:r>
        <w:rPr>
          <w:rFonts w:hint="eastAsia" w:asciiTheme="minorEastAsia" w:hAnsiTheme="minorEastAsia" w:eastAsiaTheme="minorEastAsia" w:cstheme="minorEastAsia"/>
          <w:szCs w:val="22"/>
          <w:highlight w:val="none"/>
        </w:rPr>
        <w:fldChar w:fldCharType="separate"/>
      </w:r>
      <w:r>
        <w:rPr>
          <w:rFonts w:hint="eastAsia" w:asciiTheme="minorEastAsia" w:hAnsiTheme="minorEastAsia" w:eastAsiaTheme="minorEastAsia" w:cstheme="minorEastAsia"/>
          <w:highlight w:val="none"/>
        </w:rPr>
        <w:t>一   总  则</w:t>
      </w:r>
      <w:r>
        <w:rPr>
          <w:highlight w:val="none"/>
        </w:rPr>
        <w:tab/>
      </w:r>
      <w:r>
        <w:rPr>
          <w:highlight w:val="none"/>
        </w:rPr>
        <w:fldChar w:fldCharType="begin"/>
      </w:r>
      <w:r>
        <w:rPr>
          <w:highlight w:val="none"/>
        </w:rPr>
        <w:instrText xml:space="preserve"> PAGEREF _Toc31529 \h </w:instrText>
      </w:r>
      <w:r>
        <w:rPr>
          <w:highlight w:val="none"/>
        </w:rPr>
        <w:fldChar w:fldCharType="separate"/>
      </w:r>
      <w:r>
        <w:rPr>
          <w:highlight w:val="none"/>
        </w:rPr>
        <w:t>3</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098D2C5E">
      <w:pPr>
        <w:pStyle w:val="20"/>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_Toc10545 </w:instrText>
      </w:r>
      <w:r>
        <w:rPr>
          <w:rFonts w:hint="eastAsia" w:asciiTheme="minorEastAsia" w:hAnsiTheme="minorEastAsia" w:eastAsiaTheme="minorEastAsia" w:cstheme="minorEastAsia"/>
          <w:szCs w:val="22"/>
          <w:highlight w:val="none"/>
        </w:rPr>
        <w:fldChar w:fldCharType="separate"/>
      </w:r>
      <w:r>
        <w:rPr>
          <w:rFonts w:hint="eastAsia" w:asciiTheme="minorEastAsia" w:hAnsiTheme="minorEastAsia" w:eastAsiaTheme="minorEastAsia" w:cstheme="minorEastAsia"/>
          <w:highlight w:val="none"/>
        </w:rPr>
        <w:t xml:space="preserve">二   </w:t>
      </w:r>
      <w:r>
        <w:rPr>
          <w:rFonts w:hint="eastAsia" w:asciiTheme="minorEastAsia" w:hAnsiTheme="minorEastAsia" w:eastAsiaTheme="minorEastAsia" w:cstheme="minorEastAsia"/>
          <w:highlight w:val="none"/>
          <w:lang w:eastAsia="zh-CN"/>
        </w:rPr>
        <w:t>磋商</w:t>
      </w:r>
      <w:r>
        <w:rPr>
          <w:rFonts w:hint="eastAsia" w:asciiTheme="minorEastAsia" w:hAnsiTheme="minorEastAsia" w:eastAsiaTheme="minorEastAsia" w:cstheme="minorEastAsia"/>
          <w:highlight w:val="none"/>
        </w:rPr>
        <w:t>文件</w:t>
      </w:r>
      <w:r>
        <w:rPr>
          <w:highlight w:val="none"/>
        </w:rPr>
        <w:tab/>
      </w:r>
      <w:r>
        <w:rPr>
          <w:highlight w:val="none"/>
        </w:rPr>
        <w:fldChar w:fldCharType="begin"/>
      </w:r>
      <w:r>
        <w:rPr>
          <w:highlight w:val="none"/>
        </w:rPr>
        <w:instrText xml:space="preserve"> PAGEREF _Toc10545 \h </w:instrText>
      </w:r>
      <w:r>
        <w:rPr>
          <w:highlight w:val="none"/>
        </w:rPr>
        <w:fldChar w:fldCharType="separate"/>
      </w:r>
      <w:r>
        <w:rPr>
          <w:highlight w:val="none"/>
        </w:rPr>
        <w:t>4</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6436A646">
      <w:pPr>
        <w:pStyle w:val="20"/>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_Toc10830 </w:instrText>
      </w:r>
      <w:r>
        <w:rPr>
          <w:rFonts w:hint="eastAsia" w:asciiTheme="minorEastAsia" w:hAnsiTheme="minorEastAsia" w:eastAsiaTheme="minorEastAsia" w:cstheme="minorEastAsia"/>
          <w:szCs w:val="22"/>
          <w:highlight w:val="none"/>
        </w:rPr>
        <w:fldChar w:fldCharType="separate"/>
      </w:r>
      <w:r>
        <w:rPr>
          <w:rFonts w:hint="eastAsia" w:asciiTheme="minorEastAsia" w:hAnsiTheme="minorEastAsia" w:eastAsiaTheme="minorEastAsia" w:cstheme="minorEastAsia"/>
          <w:highlight w:val="none"/>
        </w:rPr>
        <w:t xml:space="preserve">三   </w:t>
      </w:r>
      <w:r>
        <w:rPr>
          <w:rFonts w:hint="eastAsia" w:asciiTheme="minorEastAsia" w:hAnsiTheme="minorEastAsia" w:eastAsiaTheme="minorEastAsia" w:cstheme="minorEastAsia"/>
          <w:highlight w:val="none"/>
          <w:lang w:eastAsia="zh-CN"/>
        </w:rPr>
        <w:t>响应文件</w:t>
      </w:r>
      <w:r>
        <w:rPr>
          <w:rFonts w:hint="eastAsia" w:asciiTheme="minorEastAsia" w:hAnsiTheme="minorEastAsia" w:eastAsiaTheme="minorEastAsia" w:cstheme="minorEastAsia"/>
          <w:highlight w:val="none"/>
        </w:rPr>
        <w:t>的编制</w:t>
      </w:r>
      <w:r>
        <w:rPr>
          <w:highlight w:val="none"/>
        </w:rPr>
        <w:tab/>
      </w:r>
      <w:r>
        <w:rPr>
          <w:highlight w:val="none"/>
        </w:rPr>
        <w:fldChar w:fldCharType="begin"/>
      </w:r>
      <w:r>
        <w:rPr>
          <w:highlight w:val="none"/>
        </w:rPr>
        <w:instrText xml:space="preserve"> PAGEREF _Toc10830 \h </w:instrText>
      </w:r>
      <w:r>
        <w:rPr>
          <w:highlight w:val="none"/>
        </w:rPr>
        <w:fldChar w:fldCharType="separate"/>
      </w:r>
      <w:r>
        <w:rPr>
          <w:highlight w:val="none"/>
        </w:rPr>
        <w:t>5</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5C34D57E">
      <w:pPr>
        <w:pStyle w:val="20"/>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_Toc5130 </w:instrText>
      </w:r>
      <w:r>
        <w:rPr>
          <w:rFonts w:hint="eastAsia" w:asciiTheme="minorEastAsia" w:hAnsiTheme="minorEastAsia" w:eastAsiaTheme="minorEastAsia" w:cstheme="minorEastAsia"/>
          <w:szCs w:val="22"/>
          <w:highlight w:val="none"/>
        </w:rPr>
        <w:fldChar w:fldCharType="separate"/>
      </w:r>
      <w:r>
        <w:rPr>
          <w:rFonts w:hint="eastAsia" w:asciiTheme="minorEastAsia" w:hAnsiTheme="minorEastAsia" w:eastAsiaTheme="minorEastAsia" w:cstheme="minorEastAsia"/>
          <w:highlight w:val="none"/>
        </w:rPr>
        <w:t xml:space="preserve">四   </w:t>
      </w:r>
      <w:r>
        <w:rPr>
          <w:rFonts w:hint="eastAsia" w:asciiTheme="minorEastAsia" w:hAnsiTheme="minorEastAsia" w:eastAsiaTheme="minorEastAsia" w:cstheme="minorEastAsia"/>
          <w:highlight w:val="none"/>
          <w:lang w:eastAsia="zh-CN"/>
        </w:rPr>
        <w:t>响应文件</w:t>
      </w:r>
      <w:r>
        <w:rPr>
          <w:rFonts w:hint="eastAsia" w:asciiTheme="minorEastAsia" w:hAnsiTheme="minorEastAsia" w:eastAsiaTheme="minorEastAsia" w:cstheme="minorEastAsia"/>
          <w:highlight w:val="none"/>
        </w:rPr>
        <w:t>的递交</w:t>
      </w:r>
      <w:r>
        <w:rPr>
          <w:highlight w:val="none"/>
        </w:rPr>
        <w:tab/>
      </w:r>
      <w:r>
        <w:rPr>
          <w:highlight w:val="none"/>
        </w:rPr>
        <w:fldChar w:fldCharType="begin"/>
      </w:r>
      <w:r>
        <w:rPr>
          <w:highlight w:val="none"/>
        </w:rPr>
        <w:instrText xml:space="preserve"> PAGEREF _Toc5130 \h </w:instrText>
      </w:r>
      <w:r>
        <w:rPr>
          <w:highlight w:val="none"/>
        </w:rPr>
        <w:fldChar w:fldCharType="separate"/>
      </w:r>
      <w:r>
        <w:rPr>
          <w:highlight w:val="none"/>
        </w:rPr>
        <w:t>7</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3CD0E6E3">
      <w:pPr>
        <w:pStyle w:val="20"/>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_Toc9097 </w:instrText>
      </w:r>
      <w:r>
        <w:rPr>
          <w:rFonts w:hint="eastAsia" w:asciiTheme="minorEastAsia" w:hAnsiTheme="minorEastAsia" w:eastAsiaTheme="minorEastAsia" w:cstheme="minorEastAsia"/>
          <w:szCs w:val="22"/>
          <w:highlight w:val="none"/>
        </w:rPr>
        <w:fldChar w:fldCharType="separate"/>
      </w:r>
      <w:r>
        <w:rPr>
          <w:rFonts w:hint="eastAsia" w:asciiTheme="minorEastAsia" w:hAnsiTheme="minorEastAsia" w:eastAsiaTheme="minorEastAsia" w:cstheme="minorEastAsia"/>
          <w:highlight w:val="none"/>
        </w:rPr>
        <w:t>五   开标及评标</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磋商</w:t>
      </w:r>
      <w:r>
        <w:rPr>
          <w:rFonts w:hint="eastAsia" w:asciiTheme="minorEastAsia" w:hAnsiTheme="minorEastAsia" w:eastAsiaTheme="minorEastAsia" w:cstheme="minorEastAsia"/>
          <w:highlight w:val="none"/>
          <w:lang w:eastAsia="zh-CN"/>
        </w:rPr>
        <w:t>）</w:t>
      </w:r>
      <w:r>
        <w:rPr>
          <w:highlight w:val="none"/>
        </w:rPr>
        <w:tab/>
      </w:r>
      <w:r>
        <w:rPr>
          <w:highlight w:val="none"/>
        </w:rPr>
        <w:fldChar w:fldCharType="begin"/>
      </w:r>
      <w:r>
        <w:rPr>
          <w:highlight w:val="none"/>
        </w:rPr>
        <w:instrText xml:space="preserve"> PAGEREF _Toc9097 \h </w:instrText>
      </w:r>
      <w:r>
        <w:rPr>
          <w:highlight w:val="none"/>
        </w:rPr>
        <w:fldChar w:fldCharType="separate"/>
      </w:r>
      <w:r>
        <w:rPr>
          <w:highlight w:val="none"/>
        </w:rPr>
        <w:t>7</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0187A6EE">
      <w:pPr>
        <w:pStyle w:val="20"/>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_Toc4899 </w:instrText>
      </w:r>
      <w:r>
        <w:rPr>
          <w:rFonts w:hint="eastAsia" w:asciiTheme="minorEastAsia" w:hAnsiTheme="minorEastAsia" w:eastAsiaTheme="minorEastAsia" w:cstheme="minorEastAsia"/>
          <w:szCs w:val="22"/>
          <w:highlight w:val="none"/>
        </w:rPr>
        <w:fldChar w:fldCharType="separate"/>
      </w:r>
      <w:r>
        <w:rPr>
          <w:rFonts w:hint="eastAsia" w:asciiTheme="minorEastAsia" w:hAnsiTheme="minorEastAsia" w:eastAsiaTheme="minorEastAsia" w:cstheme="minorEastAsia"/>
          <w:highlight w:val="none"/>
        </w:rPr>
        <w:t>六   确定中标</w:t>
      </w:r>
      <w:r>
        <w:rPr>
          <w:highlight w:val="none"/>
        </w:rPr>
        <w:tab/>
      </w:r>
      <w:r>
        <w:rPr>
          <w:highlight w:val="none"/>
        </w:rPr>
        <w:fldChar w:fldCharType="begin"/>
      </w:r>
      <w:r>
        <w:rPr>
          <w:highlight w:val="none"/>
        </w:rPr>
        <w:instrText xml:space="preserve"> PAGEREF _Toc4899 \h </w:instrText>
      </w:r>
      <w:r>
        <w:rPr>
          <w:highlight w:val="none"/>
        </w:rPr>
        <w:fldChar w:fldCharType="separate"/>
      </w:r>
      <w:r>
        <w:rPr>
          <w:highlight w:val="none"/>
        </w:rPr>
        <w:t>10</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51BEDD2E">
      <w:pPr>
        <w:pStyle w:val="20"/>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_Toc7557 </w:instrText>
      </w:r>
      <w:r>
        <w:rPr>
          <w:rFonts w:hint="eastAsia" w:asciiTheme="minorEastAsia" w:hAnsiTheme="minorEastAsia" w:eastAsiaTheme="minorEastAsia" w:cstheme="minorEastAsia"/>
          <w:szCs w:val="22"/>
          <w:highlight w:val="none"/>
        </w:rPr>
        <w:fldChar w:fldCharType="separate"/>
      </w:r>
      <w:r>
        <w:rPr>
          <w:rFonts w:hint="eastAsia" w:asciiTheme="minorEastAsia" w:hAnsiTheme="minorEastAsia" w:eastAsiaTheme="minorEastAsia" w:cstheme="minorEastAsia"/>
          <w:szCs w:val="24"/>
          <w:highlight w:val="none"/>
        </w:rPr>
        <w:t>附件1：履约保证金保函（格式）</w:t>
      </w:r>
      <w:r>
        <w:rPr>
          <w:highlight w:val="none"/>
        </w:rPr>
        <w:tab/>
      </w:r>
      <w:r>
        <w:rPr>
          <w:highlight w:val="none"/>
        </w:rPr>
        <w:fldChar w:fldCharType="begin"/>
      </w:r>
      <w:r>
        <w:rPr>
          <w:highlight w:val="none"/>
        </w:rPr>
        <w:instrText xml:space="preserve"> PAGEREF _Toc7557 \h </w:instrText>
      </w:r>
      <w:r>
        <w:rPr>
          <w:highlight w:val="none"/>
        </w:rPr>
        <w:fldChar w:fldCharType="separate"/>
      </w:r>
      <w:r>
        <w:rPr>
          <w:highlight w:val="none"/>
        </w:rPr>
        <w:t>12</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0CE5D730">
      <w:pPr>
        <w:pStyle w:val="20"/>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_Toc6277 </w:instrText>
      </w:r>
      <w:r>
        <w:rPr>
          <w:rFonts w:hint="eastAsia" w:asciiTheme="minorEastAsia" w:hAnsiTheme="minorEastAsia" w:eastAsiaTheme="minorEastAsia" w:cstheme="minorEastAsia"/>
          <w:szCs w:val="22"/>
          <w:highlight w:val="none"/>
        </w:rPr>
        <w:fldChar w:fldCharType="separate"/>
      </w:r>
      <w:r>
        <w:rPr>
          <w:rFonts w:hint="eastAsia" w:asciiTheme="minorEastAsia" w:hAnsiTheme="minorEastAsia" w:eastAsiaTheme="minorEastAsia" w:cstheme="minorEastAsia"/>
          <w:kern w:val="0"/>
          <w:szCs w:val="24"/>
          <w:highlight w:val="none"/>
          <w:lang w:val="en-US" w:eastAsia="zh-CN" w:bidi="ar-SA"/>
        </w:rPr>
        <w:t>附件2：履约担保函格式</w:t>
      </w:r>
      <w:r>
        <w:rPr>
          <w:highlight w:val="none"/>
        </w:rPr>
        <w:tab/>
      </w:r>
      <w:r>
        <w:rPr>
          <w:highlight w:val="none"/>
        </w:rPr>
        <w:fldChar w:fldCharType="begin"/>
      </w:r>
      <w:r>
        <w:rPr>
          <w:highlight w:val="none"/>
        </w:rPr>
        <w:instrText xml:space="preserve"> PAGEREF _Toc6277 \h </w:instrText>
      </w:r>
      <w:r>
        <w:rPr>
          <w:highlight w:val="none"/>
        </w:rPr>
        <w:fldChar w:fldCharType="separate"/>
      </w:r>
      <w:r>
        <w:rPr>
          <w:highlight w:val="none"/>
        </w:rPr>
        <w:t>13</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23222DB9">
      <w:pPr>
        <w:pStyle w:val="17"/>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_Toc10238 </w:instrText>
      </w:r>
      <w:r>
        <w:rPr>
          <w:rFonts w:hint="eastAsia" w:asciiTheme="minorEastAsia" w:hAnsiTheme="minorEastAsia" w:eastAsiaTheme="minorEastAsia" w:cstheme="minorEastAsia"/>
          <w:szCs w:val="22"/>
          <w:highlight w:val="none"/>
        </w:rPr>
        <w:fldChar w:fldCharType="separate"/>
      </w:r>
      <w:r>
        <w:rPr>
          <w:rFonts w:hint="default" w:asciiTheme="minorEastAsia" w:hAnsiTheme="minorEastAsia" w:eastAsiaTheme="minorEastAsia" w:cstheme="minorEastAsia"/>
          <w:highlight w:val="none"/>
          <w:lang w:val="en-US"/>
        </w:rPr>
        <w:t xml:space="preserve">第2章 </w:t>
      </w:r>
      <w:r>
        <w:rPr>
          <w:rFonts w:hint="eastAsia" w:asciiTheme="minorEastAsia" w:hAnsiTheme="minorEastAsia" w:eastAsiaTheme="minorEastAsia" w:cstheme="minorEastAsia"/>
          <w:highlight w:val="none"/>
          <w:lang w:val="en-US" w:eastAsia="zh-CN"/>
        </w:rPr>
        <w:t>响应</w:t>
      </w:r>
      <w:r>
        <w:rPr>
          <w:rFonts w:hint="eastAsia" w:asciiTheme="minorEastAsia" w:hAnsiTheme="minorEastAsia" w:eastAsiaTheme="minorEastAsia" w:cstheme="minorEastAsia"/>
          <w:highlight w:val="none"/>
        </w:rPr>
        <w:t>文件格式</w:t>
      </w:r>
      <w:r>
        <w:rPr>
          <w:highlight w:val="none"/>
        </w:rPr>
        <w:tab/>
      </w:r>
      <w:r>
        <w:rPr>
          <w:highlight w:val="none"/>
        </w:rPr>
        <w:fldChar w:fldCharType="begin"/>
      </w:r>
      <w:r>
        <w:rPr>
          <w:highlight w:val="none"/>
        </w:rPr>
        <w:instrText xml:space="preserve"> PAGEREF _Toc10238 \h </w:instrText>
      </w:r>
      <w:r>
        <w:rPr>
          <w:highlight w:val="none"/>
        </w:rPr>
        <w:fldChar w:fldCharType="separate"/>
      </w:r>
      <w:r>
        <w:rPr>
          <w:highlight w:val="none"/>
        </w:rPr>
        <w:t>15</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7C05085D">
      <w:pPr>
        <w:pStyle w:val="20"/>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_Toc19284 </w:instrText>
      </w:r>
      <w:r>
        <w:rPr>
          <w:rFonts w:hint="eastAsia" w:asciiTheme="minorEastAsia" w:hAnsiTheme="minorEastAsia" w:eastAsiaTheme="minorEastAsia" w:cstheme="minorEastAsia"/>
          <w:szCs w:val="22"/>
          <w:highlight w:val="none"/>
        </w:rPr>
        <w:fldChar w:fldCharType="separate"/>
      </w:r>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rPr>
        <w:t>磋商报价一览表</w:t>
      </w:r>
      <w:r>
        <w:rPr>
          <w:highlight w:val="none"/>
        </w:rPr>
        <w:tab/>
      </w:r>
      <w:r>
        <w:rPr>
          <w:highlight w:val="none"/>
        </w:rPr>
        <w:fldChar w:fldCharType="begin"/>
      </w:r>
      <w:r>
        <w:rPr>
          <w:highlight w:val="none"/>
        </w:rPr>
        <w:instrText xml:space="preserve"> PAGEREF _Toc19284 \h </w:instrText>
      </w:r>
      <w:r>
        <w:rPr>
          <w:highlight w:val="none"/>
        </w:rPr>
        <w:fldChar w:fldCharType="separate"/>
      </w:r>
      <w:r>
        <w:rPr>
          <w:highlight w:val="none"/>
        </w:rPr>
        <w:t>16</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709B2BF7">
      <w:pPr>
        <w:pStyle w:val="20"/>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_Toc12933 </w:instrText>
      </w:r>
      <w:r>
        <w:rPr>
          <w:rFonts w:hint="eastAsia" w:asciiTheme="minorEastAsia" w:hAnsiTheme="minorEastAsia" w:eastAsiaTheme="minorEastAsia" w:cstheme="minorEastAsia"/>
          <w:szCs w:val="22"/>
          <w:highlight w:val="none"/>
        </w:rPr>
        <w:fldChar w:fldCharType="separate"/>
      </w:r>
      <w:r>
        <w:rPr>
          <w:rFonts w:hint="eastAsia" w:asciiTheme="minorEastAsia" w:hAnsiTheme="minorEastAsia" w:eastAsiaTheme="minorEastAsia" w:cstheme="minorEastAsia"/>
          <w:bCs/>
          <w:highlight w:val="none"/>
          <w:lang w:val="en-US" w:eastAsia="zh-CN"/>
        </w:rPr>
        <w:t>3、法定代表人身份证明、授权委托书</w:t>
      </w:r>
      <w:r>
        <w:rPr>
          <w:highlight w:val="none"/>
        </w:rPr>
        <w:tab/>
      </w:r>
      <w:r>
        <w:rPr>
          <w:highlight w:val="none"/>
        </w:rPr>
        <w:fldChar w:fldCharType="begin"/>
      </w:r>
      <w:r>
        <w:rPr>
          <w:highlight w:val="none"/>
        </w:rPr>
        <w:instrText xml:space="preserve"> PAGEREF _Toc12933 \h </w:instrText>
      </w:r>
      <w:r>
        <w:rPr>
          <w:highlight w:val="none"/>
        </w:rPr>
        <w:fldChar w:fldCharType="separate"/>
      </w:r>
      <w:r>
        <w:rPr>
          <w:highlight w:val="none"/>
        </w:rPr>
        <w:t>18</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1F1DD3D7">
      <w:pPr>
        <w:pStyle w:val="20"/>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_Toc30215 </w:instrText>
      </w:r>
      <w:r>
        <w:rPr>
          <w:rFonts w:hint="eastAsia" w:asciiTheme="minorEastAsia" w:hAnsiTheme="minorEastAsia" w:eastAsiaTheme="minorEastAsia" w:cstheme="minorEastAsia"/>
          <w:szCs w:val="22"/>
          <w:highlight w:val="none"/>
        </w:rPr>
        <w:fldChar w:fldCharType="separate"/>
      </w:r>
      <w:r>
        <w:rPr>
          <w:rFonts w:hint="eastAsia" w:asciiTheme="minorEastAsia" w:hAnsiTheme="minorEastAsia" w:eastAsiaTheme="minorEastAsia" w:cstheme="minorEastAsia"/>
          <w:szCs w:val="21"/>
          <w:highlight w:val="none"/>
          <w:lang w:val="en-US" w:eastAsia="zh-CN"/>
        </w:rPr>
        <w:t>4、</w:t>
      </w:r>
      <w:r>
        <w:rPr>
          <w:rFonts w:hint="eastAsia" w:asciiTheme="minorEastAsia" w:hAnsiTheme="minorEastAsia" w:eastAsiaTheme="minorEastAsia" w:cstheme="minorEastAsia"/>
          <w:szCs w:val="21"/>
          <w:highlight w:val="none"/>
          <w:lang w:eastAsia="zh-CN"/>
        </w:rPr>
        <w:t>磋商保证金</w:t>
      </w:r>
      <w:r>
        <w:rPr>
          <w:highlight w:val="none"/>
        </w:rPr>
        <w:tab/>
      </w:r>
      <w:r>
        <w:rPr>
          <w:highlight w:val="none"/>
        </w:rPr>
        <w:fldChar w:fldCharType="begin"/>
      </w:r>
      <w:r>
        <w:rPr>
          <w:highlight w:val="none"/>
        </w:rPr>
        <w:instrText xml:space="preserve"> PAGEREF _Toc30215 \h </w:instrText>
      </w:r>
      <w:r>
        <w:rPr>
          <w:highlight w:val="none"/>
        </w:rPr>
        <w:fldChar w:fldCharType="separate"/>
      </w:r>
      <w:r>
        <w:rPr>
          <w:highlight w:val="none"/>
        </w:rPr>
        <w:t>20</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1ED84DE7">
      <w:pPr>
        <w:pStyle w:val="20"/>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_Toc14897 </w:instrText>
      </w:r>
      <w:r>
        <w:rPr>
          <w:rFonts w:hint="eastAsia" w:asciiTheme="minorEastAsia" w:hAnsiTheme="minorEastAsia" w:eastAsiaTheme="minorEastAsia" w:cstheme="minorEastAsia"/>
          <w:szCs w:val="22"/>
          <w:highlight w:val="none"/>
        </w:rPr>
        <w:fldChar w:fldCharType="separate"/>
      </w:r>
      <w:r>
        <w:rPr>
          <w:rFonts w:hint="eastAsia" w:asciiTheme="minorEastAsia" w:hAnsiTheme="minorEastAsia" w:eastAsiaTheme="minorEastAsia" w:cstheme="minorEastAsia"/>
          <w:szCs w:val="21"/>
          <w:highlight w:val="none"/>
        </w:rPr>
        <w:t>5、 项目管理机构</w:t>
      </w:r>
      <w:r>
        <w:rPr>
          <w:highlight w:val="none"/>
        </w:rPr>
        <w:tab/>
      </w:r>
      <w:r>
        <w:rPr>
          <w:highlight w:val="none"/>
        </w:rPr>
        <w:fldChar w:fldCharType="begin"/>
      </w:r>
      <w:r>
        <w:rPr>
          <w:highlight w:val="none"/>
        </w:rPr>
        <w:instrText xml:space="preserve"> PAGEREF _Toc14897 \h </w:instrText>
      </w:r>
      <w:r>
        <w:rPr>
          <w:highlight w:val="none"/>
        </w:rPr>
        <w:fldChar w:fldCharType="separate"/>
      </w:r>
      <w:r>
        <w:rPr>
          <w:highlight w:val="none"/>
        </w:rPr>
        <w:t>21</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0BFBB81B">
      <w:pPr>
        <w:pStyle w:val="20"/>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_Toc5077 </w:instrText>
      </w:r>
      <w:r>
        <w:rPr>
          <w:rFonts w:hint="eastAsia" w:asciiTheme="minorEastAsia" w:hAnsiTheme="minorEastAsia" w:eastAsiaTheme="minorEastAsia" w:cstheme="minorEastAsia"/>
          <w:szCs w:val="22"/>
          <w:highlight w:val="none"/>
        </w:rPr>
        <w:fldChar w:fldCharType="separate"/>
      </w:r>
      <w:r>
        <w:rPr>
          <w:rFonts w:hint="eastAsia" w:asciiTheme="minorEastAsia" w:hAnsiTheme="minorEastAsia" w:eastAsiaTheme="minorEastAsia" w:cstheme="minorEastAsia"/>
          <w:szCs w:val="21"/>
          <w:highlight w:val="none"/>
          <w:lang w:val="en-US" w:eastAsia="zh-CN"/>
        </w:rPr>
        <w:t>6、</w:t>
      </w:r>
      <w:r>
        <w:rPr>
          <w:rFonts w:hint="eastAsia" w:asciiTheme="minorEastAsia" w:hAnsiTheme="minorEastAsia" w:eastAsiaTheme="minorEastAsia" w:cstheme="minorEastAsia"/>
          <w:szCs w:val="21"/>
          <w:highlight w:val="none"/>
        </w:rPr>
        <w:t>资格审查资料</w:t>
      </w:r>
      <w:r>
        <w:rPr>
          <w:highlight w:val="none"/>
        </w:rPr>
        <w:tab/>
      </w:r>
      <w:r>
        <w:rPr>
          <w:highlight w:val="none"/>
        </w:rPr>
        <w:fldChar w:fldCharType="begin"/>
      </w:r>
      <w:r>
        <w:rPr>
          <w:highlight w:val="none"/>
        </w:rPr>
        <w:instrText xml:space="preserve"> PAGEREF _Toc5077 \h </w:instrText>
      </w:r>
      <w:r>
        <w:rPr>
          <w:highlight w:val="none"/>
        </w:rPr>
        <w:fldChar w:fldCharType="separate"/>
      </w:r>
      <w:r>
        <w:rPr>
          <w:highlight w:val="none"/>
        </w:rPr>
        <w:t>24</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76A48FE4">
      <w:pPr>
        <w:pStyle w:val="20"/>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_Toc24047 </w:instrText>
      </w:r>
      <w:r>
        <w:rPr>
          <w:rFonts w:hint="eastAsia" w:asciiTheme="minorEastAsia" w:hAnsiTheme="minorEastAsia" w:eastAsiaTheme="minorEastAsia" w:cstheme="minorEastAsia"/>
          <w:szCs w:val="22"/>
          <w:highlight w:val="none"/>
        </w:rPr>
        <w:fldChar w:fldCharType="separate"/>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bCs/>
          <w:highlight w:val="none"/>
        </w:rPr>
        <w:t>《中小企业声明函》</w:t>
      </w:r>
      <w:r>
        <w:rPr>
          <w:rFonts w:hint="eastAsia" w:asciiTheme="minorEastAsia" w:hAnsiTheme="minorEastAsia" w:eastAsiaTheme="minorEastAsia" w:cstheme="minorEastAsia"/>
          <w:bCs/>
          <w:highlight w:val="none"/>
          <w:lang w:eastAsia="zh-CN"/>
        </w:rPr>
        <w:t>（工程）</w:t>
      </w:r>
      <w:r>
        <w:rPr>
          <w:highlight w:val="none"/>
        </w:rPr>
        <w:tab/>
      </w:r>
      <w:r>
        <w:rPr>
          <w:highlight w:val="none"/>
        </w:rPr>
        <w:fldChar w:fldCharType="begin"/>
      </w:r>
      <w:r>
        <w:rPr>
          <w:highlight w:val="none"/>
        </w:rPr>
        <w:instrText xml:space="preserve"> PAGEREF _Toc24047 \h </w:instrText>
      </w:r>
      <w:r>
        <w:rPr>
          <w:highlight w:val="none"/>
        </w:rPr>
        <w:fldChar w:fldCharType="separate"/>
      </w:r>
      <w:r>
        <w:rPr>
          <w:highlight w:val="none"/>
        </w:rPr>
        <w:t>26</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42F970EB">
      <w:pPr>
        <w:pStyle w:val="20"/>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_Toc24130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bCs/>
          <w:kern w:val="2"/>
          <w:szCs w:val="21"/>
          <w:highlight w:val="none"/>
          <w:lang w:val="en-US" w:eastAsia="zh-CN" w:bidi="ar-SA"/>
        </w:rPr>
        <w:t>8、残疾人福利性单位声明函（残疾人福利性单位提供）</w:t>
      </w:r>
      <w:r>
        <w:rPr>
          <w:highlight w:val="none"/>
        </w:rPr>
        <w:tab/>
      </w:r>
      <w:r>
        <w:rPr>
          <w:highlight w:val="none"/>
        </w:rPr>
        <w:fldChar w:fldCharType="begin"/>
      </w:r>
      <w:r>
        <w:rPr>
          <w:highlight w:val="none"/>
        </w:rPr>
        <w:instrText xml:space="preserve"> PAGEREF _Toc24130 \h </w:instrText>
      </w:r>
      <w:r>
        <w:rPr>
          <w:highlight w:val="none"/>
        </w:rPr>
        <w:fldChar w:fldCharType="separate"/>
      </w:r>
      <w:r>
        <w:rPr>
          <w:highlight w:val="none"/>
        </w:rPr>
        <w:t>28</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268D6691">
      <w:pPr>
        <w:pStyle w:val="20"/>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_Toc22103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bCs/>
          <w:kern w:val="2"/>
          <w:szCs w:val="21"/>
          <w:highlight w:val="none"/>
          <w:lang w:val="en-US" w:eastAsia="zh-CN" w:bidi="ar-SA"/>
        </w:rPr>
        <w:t>9、《监狱企业声明函》</w:t>
      </w:r>
      <w:r>
        <w:rPr>
          <w:highlight w:val="none"/>
        </w:rPr>
        <w:tab/>
      </w:r>
      <w:r>
        <w:rPr>
          <w:highlight w:val="none"/>
        </w:rPr>
        <w:fldChar w:fldCharType="begin"/>
      </w:r>
      <w:r>
        <w:rPr>
          <w:highlight w:val="none"/>
        </w:rPr>
        <w:instrText xml:space="preserve"> PAGEREF _Toc22103 \h </w:instrText>
      </w:r>
      <w:r>
        <w:rPr>
          <w:highlight w:val="none"/>
        </w:rPr>
        <w:fldChar w:fldCharType="separate"/>
      </w:r>
      <w:r>
        <w:rPr>
          <w:highlight w:val="none"/>
        </w:rPr>
        <w:t>29</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16FEA10B">
      <w:pPr>
        <w:pStyle w:val="20"/>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_Toc30003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bCs/>
          <w:kern w:val="2"/>
          <w:szCs w:val="28"/>
          <w:highlight w:val="none"/>
          <w:lang w:val="en-US" w:eastAsia="zh-CN" w:bidi="ar-SA"/>
        </w:rPr>
        <w:t>1</w:t>
      </w:r>
      <w:r>
        <w:rPr>
          <w:rFonts w:hint="eastAsia" w:hAnsi="宋体" w:eastAsia="宋体" w:cs="宋体"/>
          <w:bCs/>
          <w:kern w:val="2"/>
          <w:szCs w:val="28"/>
          <w:highlight w:val="none"/>
          <w:lang w:val="en-US" w:eastAsia="zh-CN" w:bidi="ar-SA"/>
        </w:rPr>
        <w:t>0</w:t>
      </w:r>
      <w:r>
        <w:rPr>
          <w:rFonts w:hint="eastAsia" w:ascii="宋体" w:hAnsi="宋体" w:eastAsia="宋体" w:cs="宋体"/>
          <w:bCs/>
          <w:kern w:val="2"/>
          <w:szCs w:val="28"/>
          <w:highlight w:val="none"/>
          <w:lang w:val="en-US" w:eastAsia="zh-CN" w:bidi="ar-SA"/>
        </w:rPr>
        <w:t>、投标人关联单位的说明</w:t>
      </w:r>
      <w:r>
        <w:rPr>
          <w:highlight w:val="none"/>
        </w:rPr>
        <w:tab/>
      </w:r>
      <w:r>
        <w:rPr>
          <w:highlight w:val="none"/>
        </w:rPr>
        <w:fldChar w:fldCharType="begin"/>
      </w:r>
      <w:r>
        <w:rPr>
          <w:highlight w:val="none"/>
        </w:rPr>
        <w:instrText xml:space="preserve"> PAGEREF _Toc30003 \h </w:instrText>
      </w:r>
      <w:r>
        <w:rPr>
          <w:highlight w:val="none"/>
        </w:rPr>
        <w:fldChar w:fldCharType="separate"/>
      </w:r>
      <w:r>
        <w:rPr>
          <w:highlight w:val="none"/>
        </w:rPr>
        <w:t>30</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7FD14261">
      <w:pPr>
        <w:pStyle w:val="20"/>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_Toc15729 </w:instrText>
      </w:r>
      <w:r>
        <w:rPr>
          <w:rFonts w:hint="eastAsia" w:asciiTheme="minorEastAsia" w:hAnsiTheme="minorEastAsia" w:eastAsiaTheme="minorEastAsia" w:cstheme="minorEastAsia"/>
          <w:szCs w:val="22"/>
          <w:highlight w:val="none"/>
        </w:rPr>
        <w:fldChar w:fldCharType="separate"/>
      </w:r>
      <w:r>
        <w:rPr>
          <w:rFonts w:hint="eastAsia" w:asciiTheme="minorEastAsia" w:hAnsiTheme="minorEastAsia" w:eastAsiaTheme="minorEastAsia" w:cstheme="minorEastAsia"/>
          <w:highlight w:val="none"/>
          <w:lang w:val="en-US" w:eastAsia="zh-CN"/>
        </w:rPr>
        <w:t>11、其他需要提供的资料</w:t>
      </w:r>
      <w:r>
        <w:rPr>
          <w:highlight w:val="none"/>
        </w:rPr>
        <w:tab/>
      </w:r>
      <w:r>
        <w:rPr>
          <w:highlight w:val="none"/>
        </w:rPr>
        <w:fldChar w:fldCharType="begin"/>
      </w:r>
      <w:r>
        <w:rPr>
          <w:highlight w:val="none"/>
        </w:rPr>
        <w:instrText xml:space="preserve"> PAGEREF _Toc15729 \h </w:instrText>
      </w:r>
      <w:r>
        <w:rPr>
          <w:highlight w:val="none"/>
        </w:rPr>
        <w:fldChar w:fldCharType="separate"/>
      </w:r>
      <w:r>
        <w:rPr>
          <w:highlight w:val="none"/>
        </w:rPr>
        <w:t>31</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641444F0">
      <w:pPr>
        <w:pStyle w:val="20"/>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_Toc12817 </w:instrText>
      </w:r>
      <w:r>
        <w:rPr>
          <w:rFonts w:hint="eastAsia" w:asciiTheme="minorEastAsia" w:hAnsiTheme="minorEastAsia" w:eastAsiaTheme="minorEastAsia" w:cstheme="minorEastAsia"/>
          <w:szCs w:val="22"/>
          <w:highlight w:val="none"/>
        </w:rPr>
        <w:fldChar w:fldCharType="separate"/>
      </w:r>
      <w:r>
        <w:rPr>
          <w:rFonts w:hint="eastAsia" w:asciiTheme="minorEastAsia" w:hAnsiTheme="minorEastAsia" w:eastAsiaTheme="minorEastAsia" w:cstheme="minorEastAsia"/>
          <w:kern w:val="0"/>
          <w:szCs w:val="20"/>
          <w:highlight w:val="none"/>
          <w:lang w:val="en-US" w:eastAsia="zh-CN" w:bidi="ar-SA"/>
        </w:rPr>
        <w:t>12、已标价的工程量清单</w:t>
      </w:r>
      <w:r>
        <w:rPr>
          <w:highlight w:val="none"/>
        </w:rPr>
        <w:tab/>
      </w:r>
      <w:r>
        <w:rPr>
          <w:highlight w:val="none"/>
        </w:rPr>
        <w:fldChar w:fldCharType="begin"/>
      </w:r>
      <w:r>
        <w:rPr>
          <w:highlight w:val="none"/>
        </w:rPr>
        <w:instrText xml:space="preserve"> PAGEREF _Toc12817 \h </w:instrText>
      </w:r>
      <w:r>
        <w:rPr>
          <w:highlight w:val="none"/>
        </w:rPr>
        <w:fldChar w:fldCharType="separate"/>
      </w:r>
      <w:r>
        <w:rPr>
          <w:highlight w:val="none"/>
        </w:rPr>
        <w:t>32</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33C07122">
      <w:pPr>
        <w:pStyle w:val="20"/>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_Toc19539 </w:instrText>
      </w:r>
      <w:r>
        <w:rPr>
          <w:rFonts w:hint="eastAsia" w:asciiTheme="minorEastAsia" w:hAnsiTheme="minorEastAsia" w:eastAsiaTheme="minorEastAsia" w:cstheme="minorEastAsia"/>
          <w:szCs w:val="22"/>
          <w:highlight w:val="none"/>
        </w:rPr>
        <w:fldChar w:fldCharType="separate"/>
      </w:r>
      <w:r>
        <w:rPr>
          <w:rFonts w:hint="eastAsia" w:asciiTheme="minorEastAsia" w:hAnsiTheme="minorEastAsia" w:eastAsiaTheme="minorEastAsia" w:cstheme="minorEastAsia"/>
          <w:kern w:val="0"/>
          <w:szCs w:val="20"/>
          <w:highlight w:val="none"/>
          <w:lang w:val="en-US" w:eastAsia="zh-CN" w:bidi="ar-SA"/>
        </w:rPr>
        <w:t>13、技术文件</w:t>
      </w:r>
      <w:r>
        <w:rPr>
          <w:highlight w:val="none"/>
        </w:rPr>
        <w:tab/>
      </w:r>
      <w:r>
        <w:rPr>
          <w:highlight w:val="none"/>
        </w:rPr>
        <w:fldChar w:fldCharType="begin"/>
      </w:r>
      <w:r>
        <w:rPr>
          <w:highlight w:val="none"/>
        </w:rPr>
        <w:instrText xml:space="preserve"> PAGEREF _Toc19539 \h </w:instrText>
      </w:r>
      <w:r>
        <w:rPr>
          <w:highlight w:val="none"/>
        </w:rPr>
        <w:fldChar w:fldCharType="separate"/>
      </w:r>
      <w:r>
        <w:rPr>
          <w:highlight w:val="none"/>
        </w:rPr>
        <w:t>32</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2D0723EE">
      <w:pPr>
        <w:pStyle w:val="17"/>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_Toc13468 </w:instrText>
      </w:r>
      <w:r>
        <w:rPr>
          <w:rFonts w:hint="eastAsia" w:asciiTheme="minorEastAsia" w:hAnsiTheme="minorEastAsia" w:eastAsiaTheme="minorEastAsia" w:cstheme="minorEastAsia"/>
          <w:szCs w:val="22"/>
          <w:highlight w:val="none"/>
        </w:rPr>
        <w:fldChar w:fldCharType="separate"/>
      </w:r>
      <w:r>
        <w:rPr>
          <w:rFonts w:hint="eastAsia" w:asciiTheme="minorEastAsia" w:hAnsiTheme="minorEastAsia" w:eastAsiaTheme="minorEastAsia" w:cstheme="minorEastAsia"/>
          <w:highlight w:val="none"/>
          <w:lang w:eastAsia="zh-CN"/>
        </w:rPr>
        <w:t>第</w:t>
      </w:r>
      <w:r>
        <w:rPr>
          <w:rFonts w:hint="eastAsia" w:asciiTheme="minorEastAsia" w:hAnsiTheme="minorEastAsia" w:eastAsiaTheme="minorEastAsia" w:cstheme="minorEastAsia"/>
          <w:highlight w:val="none"/>
          <w:lang w:val="en-US" w:eastAsia="zh-CN"/>
        </w:rPr>
        <w:t xml:space="preserve">3章 </w:t>
      </w:r>
      <w:r>
        <w:rPr>
          <w:rFonts w:hint="eastAsia" w:asciiTheme="minorEastAsia" w:hAnsiTheme="minorEastAsia" w:eastAsiaTheme="minorEastAsia" w:cstheme="minorEastAsia"/>
          <w:highlight w:val="none"/>
          <w:lang w:eastAsia="zh-CN"/>
        </w:rPr>
        <w:t>磋商</w:t>
      </w:r>
      <w:r>
        <w:rPr>
          <w:rFonts w:hint="eastAsia" w:asciiTheme="minorEastAsia" w:hAnsiTheme="minorEastAsia" w:eastAsiaTheme="minorEastAsia" w:cstheme="minorEastAsia"/>
          <w:highlight w:val="none"/>
        </w:rPr>
        <w:t>邀请</w:t>
      </w:r>
      <w:r>
        <w:rPr>
          <w:highlight w:val="none"/>
        </w:rPr>
        <w:tab/>
      </w:r>
      <w:r>
        <w:rPr>
          <w:highlight w:val="none"/>
        </w:rPr>
        <w:fldChar w:fldCharType="begin"/>
      </w:r>
      <w:r>
        <w:rPr>
          <w:highlight w:val="none"/>
        </w:rPr>
        <w:instrText xml:space="preserve"> PAGEREF _Toc13468 \h </w:instrText>
      </w:r>
      <w:r>
        <w:rPr>
          <w:highlight w:val="none"/>
        </w:rPr>
        <w:fldChar w:fldCharType="separate"/>
      </w:r>
      <w:r>
        <w:rPr>
          <w:highlight w:val="none"/>
        </w:rPr>
        <w:t>35</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55E66607">
      <w:pPr>
        <w:pStyle w:val="17"/>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_Toc14410 </w:instrText>
      </w:r>
      <w:r>
        <w:rPr>
          <w:rFonts w:hint="eastAsia" w:asciiTheme="minorEastAsia" w:hAnsiTheme="minorEastAsia" w:eastAsiaTheme="minorEastAsia" w:cstheme="minorEastAsia"/>
          <w:szCs w:val="22"/>
          <w:highlight w:val="none"/>
        </w:rPr>
        <w:fldChar w:fldCharType="separate"/>
      </w:r>
      <w:r>
        <w:rPr>
          <w:rFonts w:hint="eastAsia" w:asciiTheme="minorEastAsia" w:hAnsiTheme="minorEastAsia" w:eastAsiaTheme="minorEastAsia" w:cstheme="minorEastAsia"/>
          <w:highlight w:val="none"/>
          <w:lang w:eastAsia="zh-CN"/>
        </w:rPr>
        <w:t>第</w:t>
      </w:r>
      <w:r>
        <w:rPr>
          <w:rFonts w:hint="eastAsia" w:asciiTheme="minorEastAsia" w:hAnsiTheme="minorEastAsia" w:eastAsiaTheme="minorEastAsia" w:cstheme="minorEastAsia"/>
          <w:highlight w:val="none"/>
          <w:lang w:val="en-US" w:eastAsia="zh-CN"/>
        </w:rPr>
        <w:t xml:space="preserve">4章 </w:t>
      </w:r>
      <w:r>
        <w:rPr>
          <w:rFonts w:hint="eastAsia" w:asciiTheme="minorEastAsia" w:hAnsiTheme="minorEastAsia" w:eastAsiaTheme="minorEastAsia" w:cstheme="minorEastAsia"/>
          <w:highlight w:val="none"/>
          <w:lang w:eastAsia="zh-CN"/>
        </w:rPr>
        <w:t>供应商</w:t>
      </w:r>
      <w:r>
        <w:rPr>
          <w:rFonts w:hint="eastAsia" w:asciiTheme="minorEastAsia" w:hAnsiTheme="minorEastAsia" w:eastAsiaTheme="minorEastAsia" w:cstheme="minorEastAsia"/>
          <w:highlight w:val="none"/>
        </w:rPr>
        <w:t>须知资料表</w:t>
      </w:r>
      <w:r>
        <w:rPr>
          <w:highlight w:val="none"/>
        </w:rPr>
        <w:tab/>
      </w:r>
      <w:r>
        <w:rPr>
          <w:highlight w:val="none"/>
        </w:rPr>
        <w:fldChar w:fldCharType="begin"/>
      </w:r>
      <w:r>
        <w:rPr>
          <w:highlight w:val="none"/>
        </w:rPr>
        <w:instrText xml:space="preserve"> PAGEREF _Toc14410 \h </w:instrText>
      </w:r>
      <w:r>
        <w:rPr>
          <w:highlight w:val="none"/>
        </w:rPr>
        <w:fldChar w:fldCharType="separate"/>
      </w:r>
      <w:r>
        <w:rPr>
          <w:highlight w:val="none"/>
        </w:rPr>
        <w:t>38</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4732936D">
      <w:pPr>
        <w:pStyle w:val="17"/>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_Toc4753 </w:instrText>
      </w:r>
      <w:r>
        <w:rPr>
          <w:rFonts w:hint="eastAsia" w:asciiTheme="minorEastAsia" w:hAnsiTheme="minorEastAsia" w:eastAsiaTheme="minorEastAsia" w:cstheme="minorEastAsia"/>
          <w:szCs w:val="22"/>
          <w:highlight w:val="none"/>
        </w:rPr>
        <w:fldChar w:fldCharType="separate"/>
      </w:r>
      <w:r>
        <w:rPr>
          <w:rFonts w:hint="eastAsia" w:asciiTheme="minorEastAsia" w:hAnsiTheme="minorEastAsia" w:eastAsiaTheme="minorEastAsia" w:cstheme="minorEastAsia"/>
          <w:highlight w:val="none"/>
          <w:lang w:val="en-US" w:eastAsia="zh-CN"/>
        </w:rPr>
        <w:t>第5章   采购</w:t>
      </w:r>
      <w:r>
        <w:rPr>
          <w:rFonts w:hint="eastAsia" w:asciiTheme="minorEastAsia" w:hAnsiTheme="minorEastAsia" w:eastAsiaTheme="minorEastAsia" w:cstheme="minorEastAsia"/>
          <w:highlight w:val="none"/>
        </w:rPr>
        <w:t>需求</w:t>
      </w:r>
      <w:r>
        <w:rPr>
          <w:highlight w:val="none"/>
        </w:rPr>
        <w:tab/>
      </w:r>
      <w:r>
        <w:rPr>
          <w:highlight w:val="none"/>
        </w:rPr>
        <w:fldChar w:fldCharType="begin"/>
      </w:r>
      <w:r>
        <w:rPr>
          <w:highlight w:val="none"/>
        </w:rPr>
        <w:instrText xml:space="preserve"> PAGEREF _Toc4753 \h </w:instrText>
      </w:r>
      <w:r>
        <w:rPr>
          <w:highlight w:val="none"/>
        </w:rPr>
        <w:fldChar w:fldCharType="separate"/>
      </w:r>
      <w:r>
        <w:rPr>
          <w:highlight w:val="none"/>
        </w:rPr>
        <w:t>42</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500E6D35">
      <w:pPr>
        <w:pStyle w:val="17"/>
        <w:tabs>
          <w:tab w:val="right" w:leader="dot" w:pos="9746"/>
        </w:tabs>
        <w:rPr>
          <w:highlight w:val="none"/>
        </w:rPr>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_Toc17141 </w:instrText>
      </w:r>
      <w:r>
        <w:rPr>
          <w:rFonts w:hint="eastAsia" w:asciiTheme="minorEastAsia" w:hAnsiTheme="minorEastAsia" w:eastAsiaTheme="minorEastAsia" w:cstheme="minorEastAsia"/>
          <w:szCs w:val="22"/>
          <w:highlight w:val="none"/>
        </w:rPr>
        <w:fldChar w:fldCharType="separate"/>
      </w:r>
      <w:r>
        <w:rPr>
          <w:rFonts w:hint="eastAsia" w:asciiTheme="minorEastAsia" w:hAnsiTheme="minorEastAsia" w:eastAsiaTheme="minorEastAsia" w:cstheme="minorEastAsia"/>
          <w:highlight w:val="none"/>
          <w:lang w:val="en-US" w:eastAsia="zh-CN"/>
        </w:rPr>
        <w:t>第7章   合同</w:t>
      </w:r>
      <w:r>
        <w:rPr>
          <w:highlight w:val="none"/>
        </w:rPr>
        <w:tab/>
      </w:r>
      <w:r>
        <w:rPr>
          <w:highlight w:val="none"/>
        </w:rPr>
        <w:fldChar w:fldCharType="begin"/>
      </w:r>
      <w:r>
        <w:rPr>
          <w:highlight w:val="none"/>
        </w:rPr>
        <w:instrText xml:space="preserve"> PAGEREF _Toc17141 \h </w:instrText>
      </w:r>
      <w:r>
        <w:rPr>
          <w:highlight w:val="none"/>
        </w:rPr>
        <w:fldChar w:fldCharType="separate"/>
      </w:r>
      <w:r>
        <w:rPr>
          <w:highlight w:val="none"/>
        </w:rPr>
        <w:t>58</w:t>
      </w:r>
      <w:r>
        <w:rPr>
          <w:highlight w:val="none"/>
        </w:rPr>
        <w:fldChar w:fldCharType="end"/>
      </w:r>
      <w:r>
        <w:rPr>
          <w:rFonts w:hint="eastAsia" w:asciiTheme="minorEastAsia" w:hAnsiTheme="minorEastAsia" w:eastAsiaTheme="minorEastAsia" w:cstheme="minorEastAsia"/>
          <w:color w:val="auto"/>
          <w:szCs w:val="22"/>
          <w:highlight w:val="none"/>
        </w:rPr>
        <w:fldChar w:fldCharType="end"/>
      </w:r>
    </w:p>
    <w:p w14:paraId="0CA4953C">
      <w:pPr>
        <w:pStyle w:val="2"/>
        <w:numPr>
          <w:ilvl w:val="0"/>
          <w:numId w:val="7"/>
        </w:numPr>
        <w:tabs>
          <w:tab w:val="left" w:pos="0"/>
          <w:tab w:val="clear" w:pos="3134"/>
        </w:tabs>
        <w:spacing w:before="0" w:after="0" w:line="240" w:lineRule="atLeast"/>
        <w:ind w:hanging="3134"/>
        <w:rPr>
          <w:rFonts w:hint="eastAsia" w:asciiTheme="minorEastAsia" w:hAnsiTheme="minorEastAsia" w:eastAsiaTheme="minorEastAsia" w:cstheme="minorEastAsia"/>
          <w:color w:val="auto"/>
          <w:sz w:val="22"/>
          <w:szCs w:val="22"/>
          <w:highlight w:val="none"/>
        </w:rPr>
        <w:sectPr>
          <w:footerReference r:id="rId4" w:type="default"/>
          <w:pgSz w:w="11906" w:h="16838"/>
          <w:pgMar w:top="1440" w:right="1080" w:bottom="1440" w:left="1080" w:header="851" w:footer="992" w:gutter="0"/>
          <w:pgNumType w:fmt="numberInDash"/>
          <w:cols w:space="720" w:num="1"/>
          <w:docGrid w:type="linesAndChars" w:linePitch="312" w:charSpace="0"/>
        </w:sectPr>
      </w:pPr>
      <w:r>
        <w:rPr>
          <w:rFonts w:hint="eastAsia" w:asciiTheme="minorEastAsia" w:hAnsiTheme="minorEastAsia" w:eastAsiaTheme="minorEastAsia" w:cstheme="minorEastAsia"/>
          <w:color w:val="auto"/>
          <w:szCs w:val="22"/>
          <w:highlight w:val="none"/>
        </w:rPr>
        <w:fldChar w:fldCharType="end"/>
      </w:r>
    </w:p>
    <w:p w14:paraId="3FDB930C">
      <w:pPr>
        <w:pStyle w:val="2"/>
        <w:numPr>
          <w:ilvl w:val="0"/>
          <w:numId w:val="0"/>
        </w:numPr>
        <w:tabs>
          <w:tab w:val="left" w:pos="0"/>
        </w:tabs>
        <w:spacing w:before="0" w:after="0" w:line="240" w:lineRule="atLeast"/>
        <w:ind w:leftChars="0"/>
        <w:jc w:val="center"/>
        <w:rPr>
          <w:rFonts w:hint="eastAsia" w:asciiTheme="minorEastAsia" w:hAnsiTheme="minorEastAsia" w:eastAsiaTheme="minorEastAsia" w:cstheme="minorEastAsia"/>
          <w:color w:val="auto"/>
          <w:highlight w:val="none"/>
        </w:rPr>
      </w:pPr>
      <w:bookmarkStart w:id="6" w:name="_Toc31667"/>
      <w:r>
        <w:rPr>
          <w:rFonts w:hint="eastAsia" w:asciiTheme="minorEastAsia" w:hAnsiTheme="minorEastAsia" w:eastAsiaTheme="minorEastAsia" w:cstheme="minorEastAsia"/>
          <w:color w:val="auto"/>
          <w:highlight w:val="none"/>
          <w:lang w:val="en-US" w:eastAsia="zh-CN"/>
        </w:rPr>
        <w:t xml:space="preserve">第1章  </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须知</w:t>
      </w:r>
      <w:bookmarkEnd w:id="0"/>
      <w:bookmarkEnd w:id="1"/>
      <w:bookmarkEnd w:id="2"/>
      <w:bookmarkEnd w:id="3"/>
      <w:bookmarkEnd w:id="4"/>
      <w:bookmarkEnd w:id="5"/>
      <w:bookmarkEnd w:id="6"/>
    </w:p>
    <w:p w14:paraId="177F9A2F">
      <w:pPr>
        <w:pStyle w:val="3"/>
        <w:spacing w:before="0" w:line="240" w:lineRule="atLeast"/>
        <w:ind w:left="1079" w:leftChars="257" w:hanging="540"/>
        <w:rPr>
          <w:rFonts w:hint="eastAsia" w:asciiTheme="minorEastAsia" w:hAnsiTheme="minorEastAsia" w:eastAsiaTheme="minorEastAsia" w:cstheme="minorEastAsia"/>
          <w:color w:val="auto"/>
          <w:sz w:val="28"/>
          <w:highlight w:val="none"/>
        </w:rPr>
      </w:pPr>
      <w:bookmarkStart w:id="7" w:name="_Toc216582805"/>
      <w:bookmarkStart w:id="8" w:name="_Toc520356143"/>
      <w:bookmarkStart w:id="9" w:name="_Toc518923060"/>
      <w:bookmarkStart w:id="10" w:name="_Toc2427"/>
      <w:bookmarkStart w:id="11" w:name="_Toc31529"/>
      <w:bookmarkStart w:id="12" w:name="_Toc22586"/>
      <w:bookmarkStart w:id="13" w:name="_Toc22234"/>
      <w:bookmarkStart w:id="14" w:name="_Toc4966"/>
      <w:r>
        <w:rPr>
          <w:rFonts w:hint="eastAsia" w:asciiTheme="minorEastAsia" w:hAnsiTheme="minorEastAsia" w:eastAsiaTheme="minorEastAsia" w:cstheme="minorEastAsia"/>
          <w:color w:val="auto"/>
          <w:sz w:val="28"/>
          <w:highlight w:val="none"/>
        </w:rPr>
        <w:t xml:space="preserve">一   </w:t>
      </w:r>
      <w:bookmarkEnd w:id="7"/>
      <w:bookmarkEnd w:id="8"/>
      <w:r>
        <w:rPr>
          <w:rFonts w:hint="eastAsia" w:asciiTheme="minorEastAsia" w:hAnsiTheme="minorEastAsia" w:eastAsiaTheme="minorEastAsia" w:cstheme="minorEastAsia"/>
          <w:color w:val="auto"/>
          <w:sz w:val="28"/>
          <w:highlight w:val="none"/>
        </w:rPr>
        <w:t>总  则</w:t>
      </w:r>
      <w:bookmarkEnd w:id="9"/>
      <w:bookmarkEnd w:id="10"/>
      <w:bookmarkEnd w:id="11"/>
      <w:bookmarkEnd w:id="12"/>
      <w:bookmarkEnd w:id="13"/>
      <w:bookmarkEnd w:id="14"/>
    </w:p>
    <w:p w14:paraId="00E5DB70">
      <w:pPr>
        <w:pStyle w:val="7"/>
        <w:rPr>
          <w:rFonts w:hint="eastAsia" w:asciiTheme="minorEastAsia" w:hAnsiTheme="minorEastAsia" w:eastAsiaTheme="minorEastAsia" w:cstheme="minorEastAsia"/>
          <w:color w:val="auto"/>
          <w:highlight w:val="none"/>
        </w:rPr>
      </w:pPr>
    </w:p>
    <w:p w14:paraId="4D157312">
      <w:pPr>
        <w:spacing w:before="0" w:after="0" w:line="240" w:lineRule="atLeast"/>
        <w:outlineLvl w:val="9"/>
        <w:rPr>
          <w:rFonts w:hint="eastAsia" w:asciiTheme="minorEastAsia" w:hAnsiTheme="minorEastAsia" w:eastAsiaTheme="minorEastAsia" w:cstheme="minorEastAsia"/>
          <w:b w:val="0"/>
          <w:bCs w:val="0"/>
          <w:color w:val="auto"/>
          <w:sz w:val="24"/>
          <w:szCs w:val="24"/>
          <w:highlight w:val="none"/>
          <w:u w:val="none"/>
          <w:lang w:eastAsia="zh-CN"/>
        </w:rPr>
      </w:pPr>
      <w:bookmarkStart w:id="15" w:name="_Toc21322"/>
      <w:bookmarkStart w:id="16" w:name="_Toc518923061"/>
      <w:bookmarkStart w:id="17" w:name="_Toc26876"/>
      <w:bookmarkStart w:id="18" w:name="_Toc18362"/>
      <w:bookmarkStart w:id="19" w:name="_Toc520356144"/>
      <w:bookmarkStart w:id="20" w:name="_Toc18389"/>
      <w:r>
        <w:rPr>
          <w:rFonts w:hint="eastAsia" w:asciiTheme="minorEastAsia" w:hAnsiTheme="minorEastAsia" w:eastAsiaTheme="minorEastAsia" w:cstheme="minorEastAsia"/>
          <w:b w:val="0"/>
          <w:bCs w:val="0"/>
          <w:color w:val="auto"/>
          <w:sz w:val="24"/>
          <w:szCs w:val="24"/>
          <w:highlight w:val="none"/>
          <w:u w:val="none"/>
        </w:rPr>
        <w:t>1.采购人、采购代理机构及</w:t>
      </w:r>
      <w:bookmarkEnd w:id="15"/>
      <w:bookmarkEnd w:id="16"/>
      <w:bookmarkEnd w:id="17"/>
      <w:bookmarkEnd w:id="18"/>
      <w:bookmarkEnd w:id="19"/>
      <w:bookmarkEnd w:id="20"/>
      <w:r>
        <w:rPr>
          <w:rFonts w:hint="eastAsia" w:asciiTheme="minorEastAsia" w:hAnsiTheme="minorEastAsia" w:eastAsiaTheme="minorEastAsia" w:cstheme="minorEastAsia"/>
          <w:b w:val="0"/>
          <w:bCs w:val="0"/>
          <w:color w:val="auto"/>
          <w:sz w:val="24"/>
          <w:szCs w:val="24"/>
          <w:highlight w:val="none"/>
          <w:u w:val="none"/>
          <w:lang w:eastAsia="zh-CN"/>
        </w:rPr>
        <w:t>供应商</w:t>
      </w:r>
    </w:p>
    <w:p w14:paraId="6CABF87A">
      <w:pPr>
        <w:numPr>
          <w:ilvl w:val="1"/>
          <w:numId w:val="8"/>
        </w:numPr>
        <w:tabs>
          <w:tab w:val="left" w:pos="0"/>
          <w:tab w:val="clear" w:pos="900"/>
        </w:tabs>
        <w:spacing w:line="240" w:lineRule="atLeast"/>
        <w:ind w:hanging="898"/>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采购人：是指依法开展政府采购活动的国家机关、事业单位、团体组织。</w:t>
      </w:r>
    </w:p>
    <w:p w14:paraId="0BDE7AED">
      <w:pPr>
        <w:tabs>
          <w:tab w:val="left" w:pos="0"/>
        </w:tabs>
        <w:spacing w:line="240" w:lineRule="atLeast"/>
        <w:ind w:left="9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本项目的采购人见</w:t>
      </w:r>
      <w:r>
        <w:rPr>
          <w:rFonts w:hint="eastAsia" w:asciiTheme="minorEastAsia" w:hAnsiTheme="minorEastAsia" w:eastAsiaTheme="minorEastAsia" w:cstheme="minorEastAsia"/>
          <w:color w:val="auto"/>
          <w:sz w:val="24"/>
          <w:highlight w:val="none"/>
          <w:u w:val="single"/>
          <w:lang w:eastAsia="zh-CN"/>
        </w:rPr>
        <w:t>供应商</w:t>
      </w:r>
      <w:r>
        <w:rPr>
          <w:rFonts w:hint="eastAsia" w:asciiTheme="minorEastAsia" w:hAnsiTheme="minorEastAsia" w:eastAsiaTheme="minorEastAsia" w:cstheme="minorEastAsia"/>
          <w:color w:val="auto"/>
          <w:sz w:val="24"/>
          <w:highlight w:val="none"/>
          <w:u w:val="single"/>
        </w:rPr>
        <w:t>须知资料表</w:t>
      </w:r>
      <w:r>
        <w:rPr>
          <w:rFonts w:hint="eastAsia" w:asciiTheme="minorEastAsia" w:hAnsiTheme="minorEastAsia" w:eastAsiaTheme="minorEastAsia" w:cstheme="minorEastAsia"/>
          <w:color w:val="auto"/>
          <w:sz w:val="24"/>
          <w:highlight w:val="none"/>
        </w:rPr>
        <w:t>。</w:t>
      </w:r>
    </w:p>
    <w:p w14:paraId="14056E5A">
      <w:pPr>
        <w:numPr>
          <w:ilvl w:val="1"/>
          <w:numId w:val="8"/>
        </w:numPr>
        <w:tabs>
          <w:tab w:val="left" w:pos="0"/>
          <w:tab w:val="clear" w:pos="900"/>
        </w:tabs>
        <w:spacing w:line="240" w:lineRule="atLeast"/>
        <w:ind w:hanging="898"/>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采购代理机构：是指集中采购机构或从事采购代理业务的社会中介机构。本项目的采购代理机构见</w:t>
      </w:r>
      <w:r>
        <w:rPr>
          <w:rFonts w:hint="eastAsia" w:asciiTheme="minorEastAsia" w:hAnsiTheme="minorEastAsia" w:eastAsiaTheme="minorEastAsia" w:cstheme="minorEastAsia"/>
          <w:color w:val="auto"/>
          <w:sz w:val="24"/>
          <w:highlight w:val="none"/>
          <w:u w:val="single"/>
          <w:lang w:eastAsia="zh-CN"/>
        </w:rPr>
        <w:t>供应商</w:t>
      </w:r>
      <w:r>
        <w:rPr>
          <w:rFonts w:hint="eastAsia" w:asciiTheme="minorEastAsia" w:hAnsiTheme="minorEastAsia" w:eastAsiaTheme="minorEastAsia" w:cstheme="minorEastAsia"/>
          <w:color w:val="auto"/>
          <w:sz w:val="24"/>
          <w:highlight w:val="none"/>
          <w:u w:val="single"/>
        </w:rPr>
        <w:t>须知资料表</w:t>
      </w:r>
      <w:r>
        <w:rPr>
          <w:rFonts w:hint="eastAsia" w:asciiTheme="minorEastAsia" w:hAnsiTheme="minorEastAsia" w:eastAsiaTheme="minorEastAsia" w:cstheme="minorEastAsia"/>
          <w:color w:val="auto"/>
          <w:sz w:val="24"/>
          <w:highlight w:val="none"/>
        </w:rPr>
        <w:t>。</w:t>
      </w:r>
    </w:p>
    <w:p w14:paraId="4A78C797">
      <w:pPr>
        <w:numPr>
          <w:ilvl w:val="1"/>
          <w:numId w:val="8"/>
        </w:numPr>
        <w:spacing w:line="240" w:lineRule="atLeast"/>
        <w:ind w:hangingChars="375"/>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：是指向采购人提供货物、工程或者服务的法人、非法人组织或者自然人。本项目的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及其</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货物须满足以下条件：</w:t>
      </w:r>
    </w:p>
    <w:p w14:paraId="425E1474">
      <w:pPr>
        <w:spacing w:line="240" w:lineRule="atLeast"/>
        <w:ind w:left="850" w:hanging="849" w:hangingChars="354"/>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1.3.1</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在中华人民共和国境内注册，能够独立承担民事责任，有生产或供应能力的本国供应商。</w:t>
      </w:r>
    </w:p>
    <w:p w14:paraId="749F7651">
      <w:pPr>
        <w:spacing w:line="240" w:lineRule="atLeast"/>
        <w:ind w:left="900" w:hanging="900" w:hangingChars="375"/>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1.3.2  具备《中华人民共和国政府采购法》第二十二条关于供应商条件的规定，遵守本项目采购人本级和上级财政部门政府采购的有关规定。</w:t>
      </w:r>
    </w:p>
    <w:p w14:paraId="12A40982">
      <w:pPr>
        <w:spacing w:line="240" w:lineRule="atLeast"/>
        <w:ind w:left="900" w:hanging="900" w:hangingChars="375"/>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1.3.3   以采购代理机构认可的方式获得了本项目的</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文件。</w:t>
      </w:r>
    </w:p>
    <w:p w14:paraId="62BE7DC4">
      <w:pPr>
        <w:spacing w:line="240" w:lineRule="atLeast"/>
        <w:ind w:left="900" w:hanging="900" w:hangingChars="375"/>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1.3.4   符合</w:t>
      </w:r>
      <w:r>
        <w:rPr>
          <w:rFonts w:hint="eastAsia" w:asciiTheme="minorEastAsia" w:hAnsiTheme="minorEastAsia" w:eastAsiaTheme="minorEastAsia" w:cstheme="minorEastAsia"/>
          <w:color w:val="auto"/>
          <w:sz w:val="24"/>
          <w:highlight w:val="none"/>
          <w:u w:val="single"/>
          <w:lang w:eastAsia="zh-CN"/>
        </w:rPr>
        <w:t>供应商</w:t>
      </w:r>
      <w:r>
        <w:rPr>
          <w:rFonts w:hint="eastAsia" w:asciiTheme="minorEastAsia" w:hAnsiTheme="minorEastAsia" w:eastAsiaTheme="minorEastAsia" w:cstheme="minorEastAsia"/>
          <w:color w:val="auto"/>
          <w:sz w:val="24"/>
          <w:highlight w:val="none"/>
          <w:u w:val="single"/>
        </w:rPr>
        <w:t>须知资料表</w:t>
      </w:r>
      <w:r>
        <w:rPr>
          <w:rFonts w:hint="eastAsia" w:asciiTheme="minorEastAsia" w:hAnsiTheme="minorEastAsia" w:eastAsiaTheme="minorEastAsia" w:cstheme="minorEastAsia"/>
          <w:color w:val="auto"/>
          <w:sz w:val="24"/>
          <w:highlight w:val="none"/>
        </w:rPr>
        <w:t>中规定的其他要求。</w:t>
      </w:r>
    </w:p>
    <w:p w14:paraId="72879DD2">
      <w:pPr>
        <w:spacing w:line="240" w:lineRule="atLeast"/>
        <w:ind w:left="900" w:hanging="900" w:hangingChars="375"/>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   若</w:t>
      </w:r>
      <w:r>
        <w:rPr>
          <w:rFonts w:hint="eastAsia" w:asciiTheme="minorEastAsia" w:hAnsiTheme="minorEastAsia" w:eastAsiaTheme="minorEastAsia" w:cstheme="minorEastAsia"/>
          <w:color w:val="auto"/>
          <w:sz w:val="24"/>
          <w:highlight w:val="none"/>
          <w:u w:val="single"/>
          <w:lang w:eastAsia="zh-CN"/>
        </w:rPr>
        <w:t>供应商</w:t>
      </w:r>
      <w:r>
        <w:rPr>
          <w:rFonts w:hint="eastAsia" w:asciiTheme="minorEastAsia" w:hAnsiTheme="minorEastAsia" w:eastAsiaTheme="minorEastAsia" w:cstheme="minorEastAsia"/>
          <w:color w:val="auto"/>
          <w:sz w:val="24"/>
          <w:highlight w:val="none"/>
          <w:u w:val="single"/>
        </w:rPr>
        <w:t>须知资料表</w:t>
      </w:r>
      <w:r>
        <w:rPr>
          <w:rFonts w:hint="eastAsia" w:asciiTheme="minorEastAsia" w:hAnsiTheme="minorEastAsia" w:eastAsiaTheme="minorEastAsia" w:cstheme="minorEastAsia"/>
          <w:color w:val="auto"/>
          <w:sz w:val="24"/>
          <w:highlight w:val="none"/>
        </w:rPr>
        <w:t>中写明允许采购进口产品，</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应保证所投产品可履行合法报通关手续进入中国关境内。</w:t>
      </w:r>
    </w:p>
    <w:p w14:paraId="4D11E5A2">
      <w:pPr>
        <w:spacing w:line="240" w:lineRule="atLeast"/>
        <w:ind w:left="898" w:leftChars="428"/>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w:t>
      </w:r>
      <w:r>
        <w:rPr>
          <w:rFonts w:hint="eastAsia" w:asciiTheme="minorEastAsia" w:hAnsiTheme="minorEastAsia" w:eastAsiaTheme="minorEastAsia" w:cstheme="minorEastAsia"/>
          <w:color w:val="auto"/>
          <w:sz w:val="24"/>
          <w:highlight w:val="none"/>
          <w:u w:val="single"/>
          <w:lang w:eastAsia="zh-CN"/>
        </w:rPr>
        <w:t>供应商</w:t>
      </w:r>
      <w:r>
        <w:rPr>
          <w:rFonts w:hint="eastAsia" w:asciiTheme="minorEastAsia" w:hAnsiTheme="minorEastAsia" w:eastAsiaTheme="minorEastAsia" w:cstheme="minorEastAsia"/>
          <w:color w:val="auto"/>
          <w:sz w:val="24"/>
          <w:highlight w:val="none"/>
          <w:u w:val="single"/>
        </w:rPr>
        <w:t>须知资料表</w:t>
      </w:r>
      <w:r>
        <w:rPr>
          <w:rFonts w:hint="eastAsia" w:asciiTheme="minorEastAsia" w:hAnsiTheme="minorEastAsia" w:eastAsiaTheme="minorEastAsia" w:cstheme="minorEastAsia"/>
          <w:color w:val="auto"/>
          <w:sz w:val="24"/>
          <w:highlight w:val="none"/>
        </w:rPr>
        <w:t>中未写明允许采购进口产品，如</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所投产品为进口产品，其</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将被认定为</w:t>
      </w:r>
      <w:r>
        <w:rPr>
          <w:rFonts w:hint="eastAsia" w:asciiTheme="minorEastAsia" w:hAnsiTheme="minorEastAsia" w:eastAsiaTheme="minorEastAsia" w:cstheme="minorEastAsia"/>
          <w:b/>
          <w:bCs/>
          <w:color w:val="auto"/>
          <w:sz w:val="24"/>
          <w:highlight w:val="none"/>
          <w:lang w:eastAsia="zh-CN"/>
        </w:rPr>
        <w:t>磋商</w:t>
      </w:r>
      <w:r>
        <w:rPr>
          <w:rFonts w:hint="eastAsia" w:asciiTheme="minorEastAsia" w:hAnsiTheme="minorEastAsia" w:eastAsiaTheme="minorEastAsia" w:cstheme="minorEastAsia"/>
          <w:b/>
          <w:bCs/>
          <w:color w:val="auto"/>
          <w:sz w:val="24"/>
          <w:highlight w:val="none"/>
        </w:rPr>
        <w:t>无效</w:t>
      </w:r>
      <w:r>
        <w:rPr>
          <w:rFonts w:hint="eastAsia" w:asciiTheme="minorEastAsia" w:hAnsiTheme="minorEastAsia" w:eastAsiaTheme="minorEastAsia" w:cstheme="minorEastAsia"/>
          <w:color w:val="auto"/>
          <w:sz w:val="24"/>
          <w:highlight w:val="none"/>
        </w:rPr>
        <w:t>。</w:t>
      </w:r>
    </w:p>
    <w:p w14:paraId="72506A9C">
      <w:pPr>
        <w:spacing w:line="240" w:lineRule="atLeast"/>
        <w:ind w:left="840" w:hanging="840" w:hangingChars="35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1.3.6  若</w:t>
      </w:r>
      <w:r>
        <w:rPr>
          <w:rFonts w:hint="eastAsia" w:asciiTheme="minorEastAsia" w:hAnsiTheme="minorEastAsia" w:eastAsiaTheme="minorEastAsia" w:cstheme="minorEastAsia"/>
          <w:color w:val="auto"/>
          <w:sz w:val="24"/>
          <w:highlight w:val="none"/>
          <w:u w:val="single"/>
          <w:lang w:eastAsia="zh-CN"/>
        </w:rPr>
        <w:t>供应商</w:t>
      </w:r>
      <w:r>
        <w:rPr>
          <w:rFonts w:hint="eastAsia" w:asciiTheme="minorEastAsia" w:hAnsiTheme="minorEastAsia" w:eastAsiaTheme="minorEastAsia" w:cstheme="minorEastAsia"/>
          <w:color w:val="auto"/>
          <w:sz w:val="24"/>
          <w:highlight w:val="none"/>
          <w:u w:val="single"/>
        </w:rPr>
        <w:t>须知资料表</w:t>
      </w:r>
      <w:r>
        <w:rPr>
          <w:rFonts w:hint="eastAsia" w:asciiTheme="minorEastAsia" w:hAnsiTheme="minorEastAsia" w:eastAsiaTheme="minorEastAsia" w:cstheme="minorEastAsia"/>
          <w:color w:val="auto"/>
          <w:sz w:val="24"/>
          <w:highlight w:val="none"/>
        </w:rPr>
        <w:t>中写明专门面向中小企业采购的，如</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为非中小企业，其</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将被认定为</w:t>
      </w:r>
      <w:r>
        <w:rPr>
          <w:rFonts w:hint="eastAsia" w:asciiTheme="minorEastAsia" w:hAnsiTheme="minorEastAsia" w:eastAsiaTheme="minorEastAsia" w:cstheme="minorEastAsia"/>
          <w:b/>
          <w:bCs/>
          <w:color w:val="auto"/>
          <w:sz w:val="24"/>
          <w:highlight w:val="none"/>
          <w:lang w:eastAsia="zh-CN"/>
        </w:rPr>
        <w:t>磋商</w:t>
      </w:r>
      <w:r>
        <w:rPr>
          <w:rFonts w:hint="eastAsia" w:asciiTheme="minorEastAsia" w:hAnsiTheme="minorEastAsia" w:eastAsiaTheme="minorEastAsia" w:cstheme="minorEastAsia"/>
          <w:b/>
          <w:bCs/>
          <w:color w:val="auto"/>
          <w:sz w:val="24"/>
          <w:highlight w:val="none"/>
        </w:rPr>
        <w:t>无效</w:t>
      </w:r>
      <w:r>
        <w:rPr>
          <w:rFonts w:hint="eastAsia" w:asciiTheme="minorEastAsia" w:hAnsiTheme="minorEastAsia" w:eastAsiaTheme="minorEastAsia" w:cstheme="minorEastAsia"/>
          <w:color w:val="auto"/>
          <w:sz w:val="24"/>
          <w:highlight w:val="none"/>
        </w:rPr>
        <w:t>。</w:t>
      </w:r>
    </w:p>
    <w:p w14:paraId="01682DC0">
      <w:pPr>
        <w:spacing w:line="240" w:lineRule="atLeast"/>
        <w:ind w:left="900" w:hanging="900" w:hangingChars="375"/>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     如</w:t>
      </w:r>
      <w:r>
        <w:rPr>
          <w:rFonts w:hint="eastAsia" w:asciiTheme="minorEastAsia" w:hAnsiTheme="minorEastAsia" w:eastAsiaTheme="minorEastAsia" w:cstheme="minorEastAsia"/>
          <w:color w:val="auto"/>
          <w:sz w:val="24"/>
          <w:highlight w:val="none"/>
          <w:u w:val="single"/>
          <w:lang w:eastAsia="zh-CN"/>
        </w:rPr>
        <w:t>供应商</w:t>
      </w:r>
      <w:r>
        <w:rPr>
          <w:rFonts w:hint="eastAsia" w:asciiTheme="minorEastAsia" w:hAnsiTheme="minorEastAsia" w:eastAsiaTheme="minorEastAsia" w:cstheme="minorEastAsia"/>
          <w:color w:val="auto"/>
          <w:sz w:val="24"/>
          <w:highlight w:val="none"/>
          <w:u w:val="single"/>
        </w:rPr>
        <w:t>须知资料表</w:t>
      </w:r>
      <w:r>
        <w:rPr>
          <w:rFonts w:hint="eastAsia" w:asciiTheme="minorEastAsia" w:hAnsiTheme="minorEastAsia" w:eastAsiaTheme="minorEastAsia" w:cstheme="minorEastAsia"/>
          <w:color w:val="auto"/>
          <w:sz w:val="24"/>
          <w:highlight w:val="none"/>
        </w:rPr>
        <w:t>中允许联合体</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，对联合体规定如下：</w:t>
      </w:r>
    </w:p>
    <w:p w14:paraId="197BE767">
      <w:pPr>
        <w:spacing w:line="240" w:lineRule="atLeast"/>
        <w:ind w:left="900" w:hanging="900" w:hangingChars="375"/>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1.4.1   两个以上供应商可以组成一个</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联合体，以一个</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的身份</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w:t>
      </w:r>
    </w:p>
    <w:p w14:paraId="5A9E7990">
      <w:pPr>
        <w:spacing w:line="240" w:lineRule="atLeast"/>
        <w:ind w:left="900" w:hanging="900" w:hangingChars="375"/>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   联合体各方均应符合《中华人民共和国政府采购法》第二十二条规定的条件。</w:t>
      </w:r>
    </w:p>
    <w:p w14:paraId="1C880CAB">
      <w:pPr>
        <w:spacing w:line="240" w:lineRule="atLeast"/>
        <w:ind w:left="900" w:hanging="900" w:hangingChars="375"/>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1.4.3   采购人根据采购项目对</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的特殊要求，联合体中至少应当有一方符合相关规定。</w:t>
      </w:r>
    </w:p>
    <w:p w14:paraId="355498A7">
      <w:pPr>
        <w:spacing w:line="240" w:lineRule="atLeast"/>
        <w:ind w:left="900" w:hanging="900" w:hangingChars="375"/>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1.4.4   联合体各方应签订共同</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协议，明确约定联合体各方承担的工作和相应的责任，并将共同</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协议连同</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一并提交招标采购单位。</w:t>
      </w:r>
    </w:p>
    <w:p w14:paraId="1A1587D9">
      <w:pPr>
        <w:spacing w:line="240" w:lineRule="atLeast"/>
        <w:ind w:left="900" w:hanging="900" w:hangingChars="375"/>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1.4.5   大中型企业、其他自然人、法人或者非法人组织与小型、微型企业组成联合体共同参加</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，共同</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协议中应写明小型、微型企业的协议合同金额占到共同</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协议</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总金额的比例。</w:t>
      </w:r>
    </w:p>
    <w:p w14:paraId="5514193F">
      <w:pPr>
        <w:spacing w:line="240" w:lineRule="atLeast"/>
        <w:ind w:left="900" w:hanging="900" w:hangingChars="375"/>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1.4.6  联合体中有同类资质的供应商按照联合体分工承担相同工作的，按照资质等级较低的供应商确定资质等级。</w:t>
      </w:r>
    </w:p>
    <w:p w14:paraId="3F22FB86">
      <w:pPr>
        <w:spacing w:line="240" w:lineRule="atLeast"/>
        <w:ind w:left="900" w:hanging="900" w:hangingChars="375"/>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1.4.7  以联合体形式参加政府采购活动的，联合体各方不得再单独参加或者与其他供应商另外组成联合体参加本项目</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，否则相关</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将被认定为</w:t>
      </w:r>
      <w:r>
        <w:rPr>
          <w:rFonts w:hint="eastAsia" w:asciiTheme="minorEastAsia" w:hAnsiTheme="minorEastAsia" w:eastAsiaTheme="minorEastAsia" w:cstheme="minorEastAsia"/>
          <w:b/>
          <w:bCs/>
          <w:color w:val="auto"/>
          <w:sz w:val="24"/>
          <w:highlight w:val="none"/>
          <w:lang w:eastAsia="zh-CN"/>
        </w:rPr>
        <w:t>磋商</w:t>
      </w:r>
      <w:r>
        <w:rPr>
          <w:rFonts w:hint="eastAsia" w:asciiTheme="minorEastAsia" w:hAnsiTheme="minorEastAsia" w:eastAsiaTheme="minorEastAsia" w:cstheme="minorEastAsia"/>
          <w:b/>
          <w:bCs/>
          <w:color w:val="auto"/>
          <w:sz w:val="24"/>
          <w:highlight w:val="none"/>
        </w:rPr>
        <w:t>无效</w:t>
      </w:r>
      <w:r>
        <w:rPr>
          <w:rFonts w:hint="eastAsia" w:asciiTheme="minorEastAsia" w:hAnsiTheme="minorEastAsia" w:eastAsiaTheme="minorEastAsia" w:cstheme="minorEastAsia"/>
          <w:color w:val="auto"/>
          <w:sz w:val="24"/>
          <w:highlight w:val="none"/>
        </w:rPr>
        <w:t>。</w:t>
      </w:r>
    </w:p>
    <w:p w14:paraId="17C839F0">
      <w:pPr>
        <w:spacing w:line="240" w:lineRule="atLeast"/>
        <w:ind w:left="900" w:hanging="900" w:hangingChars="375"/>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1.4.8   对联合体</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的其他资格要求见</w:t>
      </w:r>
      <w:r>
        <w:rPr>
          <w:rFonts w:hint="eastAsia" w:asciiTheme="minorEastAsia" w:hAnsiTheme="minorEastAsia" w:eastAsiaTheme="minorEastAsia" w:cstheme="minorEastAsia"/>
          <w:color w:val="auto"/>
          <w:sz w:val="24"/>
          <w:highlight w:val="none"/>
          <w:u w:val="single"/>
          <w:lang w:eastAsia="zh-CN"/>
        </w:rPr>
        <w:t>供应商</w:t>
      </w:r>
      <w:r>
        <w:rPr>
          <w:rFonts w:hint="eastAsia" w:asciiTheme="minorEastAsia" w:hAnsiTheme="minorEastAsia" w:eastAsiaTheme="minorEastAsia" w:cstheme="minorEastAsia"/>
          <w:color w:val="auto"/>
          <w:sz w:val="24"/>
          <w:highlight w:val="none"/>
          <w:u w:val="single"/>
        </w:rPr>
        <w:t>须知资料表</w:t>
      </w:r>
      <w:r>
        <w:rPr>
          <w:rFonts w:hint="eastAsia" w:asciiTheme="minorEastAsia" w:hAnsiTheme="minorEastAsia" w:eastAsiaTheme="minorEastAsia" w:cstheme="minorEastAsia"/>
          <w:color w:val="auto"/>
          <w:sz w:val="24"/>
          <w:highlight w:val="none"/>
        </w:rPr>
        <w:t>。</w:t>
      </w:r>
    </w:p>
    <w:p w14:paraId="19E643AA">
      <w:pPr>
        <w:spacing w:line="240" w:lineRule="atLeast"/>
        <w:ind w:left="900" w:hanging="900" w:hangingChars="375"/>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    单位负责人为同一人或者存在直接控股、管理关系的不同供应商，其相关</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将被认定为</w:t>
      </w:r>
      <w:r>
        <w:rPr>
          <w:rFonts w:hint="eastAsia" w:asciiTheme="minorEastAsia" w:hAnsiTheme="minorEastAsia" w:eastAsiaTheme="minorEastAsia" w:cstheme="minorEastAsia"/>
          <w:b/>
          <w:bCs/>
          <w:color w:val="auto"/>
          <w:sz w:val="24"/>
          <w:highlight w:val="none"/>
          <w:lang w:eastAsia="zh-CN"/>
        </w:rPr>
        <w:t>磋商</w:t>
      </w:r>
      <w:r>
        <w:rPr>
          <w:rFonts w:hint="eastAsia" w:asciiTheme="minorEastAsia" w:hAnsiTheme="minorEastAsia" w:eastAsiaTheme="minorEastAsia" w:cstheme="minorEastAsia"/>
          <w:b/>
          <w:bCs/>
          <w:color w:val="auto"/>
          <w:sz w:val="24"/>
          <w:highlight w:val="none"/>
        </w:rPr>
        <w:t>无效</w:t>
      </w:r>
      <w:r>
        <w:rPr>
          <w:rFonts w:hint="eastAsia" w:asciiTheme="minorEastAsia" w:hAnsiTheme="minorEastAsia" w:eastAsiaTheme="minorEastAsia" w:cstheme="minorEastAsia"/>
          <w:color w:val="auto"/>
          <w:sz w:val="24"/>
          <w:highlight w:val="none"/>
        </w:rPr>
        <w:t>。</w:t>
      </w:r>
    </w:p>
    <w:p w14:paraId="38C2BDA8">
      <w:pPr>
        <w:spacing w:line="240" w:lineRule="atLeast"/>
        <w:ind w:left="900" w:hanging="900" w:hangingChars="375"/>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1.6    </w:t>
      </w:r>
      <w:r>
        <w:rPr>
          <w:rFonts w:hint="eastAsia" w:asciiTheme="minorEastAsia" w:hAnsiTheme="minorEastAsia" w:eastAsiaTheme="minorEastAsia" w:cstheme="minorEastAsia"/>
          <w:b w:val="0"/>
          <w:bCs w:val="0"/>
          <w:color w:val="auto"/>
          <w:sz w:val="24"/>
          <w:highlight w:val="none"/>
          <w:u w:val="single"/>
        </w:rPr>
        <w:t>为本项目提供过整体设计、规范编制或者项目管理、监理、检测等服务的供应商，不得再参加本项目上述服务以外的其他采购活动</w:t>
      </w:r>
      <w:r>
        <w:rPr>
          <w:rFonts w:hint="eastAsia" w:asciiTheme="minorEastAsia" w:hAnsiTheme="minorEastAsia" w:eastAsiaTheme="minorEastAsia" w:cstheme="minorEastAsia"/>
          <w:b w:val="0"/>
          <w:bCs w:val="0"/>
          <w:color w:val="auto"/>
          <w:sz w:val="24"/>
          <w:highlight w:val="none"/>
          <w:u w:val="single"/>
          <w:lang w:eastAsia="zh-CN"/>
        </w:rPr>
        <w:t>，</w:t>
      </w:r>
      <w:r>
        <w:rPr>
          <w:rFonts w:hint="eastAsia" w:asciiTheme="minorEastAsia" w:hAnsiTheme="minorEastAsia" w:eastAsiaTheme="minorEastAsia" w:cstheme="minorEastAsia"/>
          <w:b w:val="0"/>
          <w:bCs w:val="0"/>
          <w:color w:val="auto"/>
          <w:sz w:val="24"/>
          <w:highlight w:val="none"/>
          <w:u w:val="single"/>
          <w:lang w:val="en-US" w:eastAsia="zh-CN"/>
        </w:rPr>
        <w:t>供应商需在其响应文件中给予明确对应的说明或承诺</w:t>
      </w:r>
      <w:r>
        <w:rPr>
          <w:rFonts w:hint="eastAsia" w:asciiTheme="minorEastAsia" w:hAnsiTheme="minorEastAsia" w:eastAsiaTheme="minorEastAsia" w:cstheme="minorEastAsia"/>
          <w:b w:val="0"/>
          <w:bCs w:val="0"/>
          <w:color w:val="auto"/>
          <w:sz w:val="24"/>
          <w:highlight w:val="none"/>
          <w:u w:val="single"/>
          <w:lang w:eastAsia="zh-CN"/>
        </w:rPr>
        <w:t>，</w:t>
      </w:r>
      <w:r>
        <w:rPr>
          <w:rFonts w:hint="eastAsia" w:asciiTheme="minorEastAsia" w:hAnsiTheme="minorEastAsia" w:eastAsiaTheme="minorEastAsia" w:cstheme="minorEastAsia"/>
          <w:b w:val="0"/>
          <w:bCs w:val="0"/>
          <w:color w:val="auto"/>
          <w:sz w:val="24"/>
          <w:highlight w:val="none"/>
          <w:u w:val="single"/>
        </w:rPr>
        <w:t>否则其</w:t>
      </w:r>
      <w:r>
        <w:rPr>
          <w:rFonts w:hint="eastAsia" w:asciiTheme="minorEastAsia" w:hAnsiTheme="minorEastAsia" w:eastAsiaTheme="minorEastAsia" w:cstheme="minorEastAsia"/>
          <w:b w:val="0"/>
          <w:bCs w:val="0"/>
          <w:color w:val="auto"/>
          <w:sz w:val="24"/>
          <w:highlight w:val="none"/>
          <w:u w:val="single"/>
          <w:lang w:eastAsia="zh-CN"/>
        </w:rPr>
        <w:t>磋商</w:t>
      </w:r>
      <w:r>
        <w:rPr>
          <w:rFonts w:hint="eastAsia" w:asciiTheme="minorEastAsia" w:hAnsiTheme="minorEastAsia" w:eastAsiaTheme="minorEastAsia" w:cstheme="minorEastAsia"/>
          <w:b w:val="0"/>
          <w:bCs w:val="0"/>
          <w:color w:val="auto"/>
          <w:sz w:val="24"/>
          <w:highlight w:val="none"/>
          <w:u w:val="single"/>
        </w:rPr>
        <w:t>将被认定</w:t>
      </w:r>
      <w:r>
        <w:rPr>
          <w:rFonts w:hint="eastAsia" w:asciiTheme="minorEastAsia" w:hAnsiTheme="minorEastAsia" w:eastAsiaTheme="minorEastAsia" w:cstheme="minorEastAsia"/>
          <w:color w:val="auto"/>
          <w:sz w:val="24"/>
          <w:highlight w:val="none"/>
        </w:rPr>
        <w:t>为</w:t>
      </w:r>
      <w:r>
        <w:rPr>
          <w:rFonts w:hint="eastAsia" w:asciiTheme="minorEastAsia" w:hAnsiTheme="minorEastAsia" w:eastAsiaTheme="minorEastAsia" w:cstheme="minorEastAsia"/>
          <w:b/>
          <w:bCs/>
          <w:color w:val="auto"/>
          <w:sz w:val="24"/>
          <w:highlight w:val="none"/>
          <w:lang w:eastAsia="zh-CN"/>
        </w:rPr>
        <w:t>磋商</w:t>
      </w:r>
      <w:r>
        <w:rPr>
          <w:rFonts w:hint="eastAsia" w:asciiTheme="minorEastAsia" w:hAnsiTheme="minorEastAsia" w:eastAsiaTheme="minorEastAsia" w:cstheme="minorEastAsia"/>
          <w:b/>
          <w:bCs/>
          <w:color w:val="auto"/>
          <w:sz w:val="24"/>
          <w:highlight w:val="none"/>
        </w:rPr>
        <w:t>无效</w:t>
      </w:r>
      <w:r>
        <w:rPr>
          <w:rFonts w:hint="eastAsia" w:asciiTheme="minorEastAsia" w:hAnsiTheme="minorEastAsia" w:eastAsiaTheme="minorEastAsia" w:cstheme="minorEastAsia"/>
          <w:color w:val="auto"/>
          <w:sz w:val="24"/>
          <w:highlight w:val="none"/>
        </w:rPr>
        <w:t>。</w:t>
      </w:r>
    </w:p>
    <w:p w14:paraId="6D486834">
      <w:pPr>
        <w:spacing w:line="240" w:lineRule="atLeast"/>
        <w:ind w:left="900" w:hanging="900" w:hangingChars="375"/>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在</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过程中不得向采购人提供或给予影响其正常决策行为的任何有价值物品或服务。一经发现，其</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将被认定为</w:t>
      </w:r>
      <w:r>
        <w:rPr>
          <w:rFonts w:hint="eastAsia" w:asciiTheme="minorEastAsia" w:hAnsiTheme="minorEastAsia" w:eastAsiaTheme="minorEastAsia" w:cstheme="minorEastAsia"/>
          <w:b/>
          <w:bCs/>
          <w:color w:val="auto"/>
          <w:sz w:val="24"/>
          <w:highlight w:val="none"/>
          <w:lang w:eastAsia="zh-CN"/>
        </w:rPr>
        <w:t>磋商</w:t>
      </w:r>
      <w:r>
        <w:rPr>
          <w:rFonts w:hint="eastAsia" w:asciiTheme="minorEastAsia" w:hAnsiTheme="minorEastAsia" w:eastAsiaTheme="minorEastAsia" w:cstheme="minorEastAsia"/>
          <w:b/>
          <w:bCs/>
          <w:color w:val="auto"/>
          <w:sz w:val="24"/>
          <w:highlight w:val="none"/>
        </w:rPr>
        <w:t>无效</w:t>
      </w:r>
      <w:r>
        <w:rPr>
          <w:rFonts w:hint="eastAsia" w:asciiTheme="minorEastAsia" w:hAnsiTheme="minorEastAsia" w:eastAsiaTheme="minorEastAsia" w:cstheme="minorEastAsia"/>
          <w:color w:val="auto"/>
          <w:sz w:val="24"/>
          <w:highlight w:val="none"/>
        </w:rPr>
        <w:t>。</w:t>
      </w:r>
    </w:p>
    <w:p w14:paraId="788DD556">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21" w:name="_Toc386"/>
      <w:bookmarkStart w:id="22" w:name="_Toc24404"/>
      <w:bookmarkStart w:id="23" w:name="_Toc1126"/>
      <w:bookmarkStart w:id="24" w:name="_Toc24723"/>
      <w:bookmarkStart w:id="25" w:name="_Toc518923062"/>
      <w:r>
        <w:rPr>
          <w:rFonts w:hint="eastAsia" w:asciiTheme="minorEastAsia" w:hAnsiTheme="minorEastAsia" w:eastAsiaTheme="minorEastAsia" w:cstheme="minorEastAsia"/>
          <w:color w:val="auto"/>
          <w:sz w:val="24"/>
          <w:szCs w:val="24"/>
          <w:highlight w:val="none"/>
          <w:u w:val="none"/>
        </w:rPr>
        <w:t>2.资金来源</w:t>
      </w:r>
      <w:bookmarkEnd w:id="21"/>
      <w:bookmarkEnd w:id="22"/>
      <w:bookmarkEnd w:id="23"/>
      <w:bookmarkEnd w:id="24"/>
      <w:bookmarkEnd w:id="25"/>
    </w:p>
    <w:p w14:paraId="06F713C3">
      <w:pPr>
        <w:spacing w:line="240" w:lineRule="atLeast"/>
        <w:ind w:left="900" w:hanging="900" w:hangingChars="375"/>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本项目的采购人已获得足以支付本次</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后所签订的合同项下的资金（包括财政性资金和本项目采购中无法与财政性资金分割的非财政性资金）。</w:t>
      </w:r>
    </w:p>
    <w:p w14:paraId="4ED36C71">
      <w:pPr>
        <w:spacing w:line="240" w:lineRule="atLeast"/>
        <w:ind w:left="900" w:hanging="900" w:hangingChars="375"/>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项目预算金额和分项或分包最高限价</w:t>
      </w:r>
      <w:r>
        <w:rPr>
          <w:rFonts w:hint="eastAsia" w:asciiTheme="minorEastAsia" w:hAnsiTheme="minorEastAsia" w:eastAsiaTheme="minorEastAsia" w:cstheme="minorEastAsia"/>
          <w:color w:val="auto"/>
          <w:sz w:val="24"/>
          <w:highlight w:val="none"/>
          <w:u w:val="single"/>
        </w:rPr>
        <w:t>见</w:t>
      </w:r>
      <w:r>
        <w:rPr>
          <w:rFonts w:hint="eastAsia" w:asciiTheme="minorEastAsia" w:hAnsiTheme="minorEastAsia" w:eastAsiaTheme="minorEastAsia" w:cstheme="minorEastAsia"/>
          <w:color w:val="auto"/>
          <w:sz w:val="24"/>
          <w:highlight w:val="none"/>
          <w:u w:val="single"/>
          <w:lang w:eastAsia="zh-CN"/>
        </w:rPr>
        <w:t>供应商</w:t>
      </w:r>
      <w:r>
        <w:rPr>
          <w:rFonts w:hint="eastAsia" w:asciiTheme="minorEastAsia" w:hAnsiTheme="minorEastAsia" w:eastAsiaTheme="minorEastAsia" w:cstheme="minorEastAsia"/>
          <w:color w:val="auto"/>
          <w:sz w:val="24"/>
          <w:highlight w:val="none"/>
          <w:u w:val="single"/>
        </w:rPr>
        <w:t>须知资料表</w:t>
      </w:r>
      <w:r>
        <w:rPr>
          <w:rFonts w:hint="eastAsia" w:asciiTheme="minorEastAsia" w:hAnsiTheme="minorEastAsia" w:eastAsiaTheme="minorEastAsia" w:cstheme="minorEastAsia"/>
          <w:color w:val="auto"/>
          <w:sz w:val="24"/>
          <w:highlight w:val="none"/>
        </w:rPr>
        <w:t>。</w:t>
      </w:r>
    </w:p>
    <w:p w14:paraId="0FE3BF0D">
      <w:pPr>
        <w:spacing w:line="240" w:lineRule="atLeast"/>
        <w:ind w:left="900" w:hanging="900" w:hangingChars="375"/>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2.3    </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报价超过</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文件规定的预算金额或者分项、分包最高限价的，其</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将被认定为</w:t>
      </w:r>
      <w:r>
        <w:rPr>
          <w:rFonts w:hint="eastAsia" w:asciiTheme="minorEastAsia" w:hAnsiTheme="minorEastAsia" w:eastAsiaTheme="minorEastAsia" w:cstheme="minorEastAsia"/>
          <w:b/>
          <w:bCs/>
          <w:color w:val="auto"/>
          <w:sz w:val="24"/>
          <w:highlight w:val="none"/>
          <w:lang w:eastAsia="zh-CN"/>
        </w:rPr>
        <w:t>磋商</w:t>
      </w:r>
      <w:r>
        <w:rPr>
          <w:rFonts w:hint="eastAsia" w:asciiTheme="minorEastAsia" w:hAnsiTheme="minorEastAsia" w:eastAsiaTheme="minorEastAsia" w:cstheme="minorEastAsia"/>
          <w:b/>
          <w:bCs/>
          <w:color w:val="auto"/>
          <w:sz w:val="24"/>
          <w:highlight w:val="none"/>
        </w:rPr>
        <w:t>无效</w:t>
      </w:r>
      <w:r>
        <w:rPr>
          <w:rFonts w:hint="eastAsia" w:asciiTheme="minorEastAsia" w:hAnsiTheme="minorEastAsia" w:eastAsiaTheme="minorEastAsia" w:cstheme="minorEastAsia"/>
          <w:color w:val="auto"/>
          <w:sz w:val="24"/>
          <w:highlight w:val="none"/>
        </w:rPr>
        <w:t>。</w:t>
      </w:r>
    </w:p>
    <w:p w14:paraId="0B723F8E">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26" w:name="_Toc14280"/>
      <w:bookmarkStart w:id="27" w:name="_Toc8299"/>
      <w:bookmarkStart w:id="28" w:name="_Toc7243"/>
      <w:bookmarkStart w:id="29" w:name="_Toc28184"/>
      <w:bookmarkStart w:id="30" w:name="_Toc520356145"/>
      <w:bookmarkStart w:id="31" w:name="_Toc518923063"/>
      <w:r>
        <w:rPr>
          <w:rFonts w:hint="eastAsia" w:asciiTheme="minorEastAsia" w:hAnsiTheme="minorEastAsia" w:eastAsiaTheme="minorEastAsia" w:cstheme="minorEastAsia"/>
          <w:color w:val="auto"/>
          <w:sz w:val="24"/>
          <w:szCs w:val="24"/>
          <w:highlight w:val="none"/>
          <w:u w:val="none"/>
        </w:rPr>
        <w:t>3.</w:t>
      </w:r>
      <w:r>
        <w:rPr>
          <w:rFonts w:hint="eastAsia" w:asciiTheme="minorEastAsia" w:hAnsiTheme="minorEastAsia" w:eastAsiaTheme="minorEastAsia" w:cstheme="minorEastAsia"/>
          <w:color w:val="auto"/>
          <w:sz w:val="24"/>
          <w:szCs w:val="24"/>
          <w:highlight w:val="none"/>
          <w:u w:val="none"/>
          <w:lang w:eastAsia="zh-CN"/>
        </w:rPr>
        <w:t>磋商</w:t>
      </w:r>
      <w:r>
        <w:rPr>
          <w:rFonts w:hint="eastAsia" w:asciiTheme="minorEastAsia" w:hAnsiTheme="minorEastAsia" w:eastAsiaTheme="minorEastAsia" w:cstheme="minorEastAsia"/>
          <w:color w:val="auto"/>
          <w:sz w:val="24"/>
          <w:szCs w:val="24"/>
          <w:highlight w:val="none"/>
          <w:u w:val="none"/>
        </w:rPr>
        <w:t>费用</w:t>
      </w:r>
      <w:bookmarkEnd w:id="26"/>
      <w:bookmarkEnd w:id="27"/>
      <w:bookmarkEnd w:id="28"/>
      <w:bookmarkEnd w:id="29"/>
      <w:bookmarkEnd w:id="30"/>
      <w:bookmarkEnd w:id="31"/>
    </w:p>
    <w:p w14:paraId="2B897BCB">
      <w:pPr>
        <w:spacing w:line="240" w:lineRule="atLeast"/>
        <w:ind w:left="900" w:hanging="900" w:hangingChars="375"/>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3.1     供应商应承担其参加本磋商活动自身所发生的费用。磋商文件所提供的资料，是采购人现有的能被供应商利用的资料，采购人对供应商做出的任何推论、理解和结论均不负责任。</w:t>
      </w:r>
    </w:p>
    <w:p w14:paraId="217BAA17">
      <w:pPr>
        <w:spacing w:line="240" w:lineRule="atLeast"/>
        <w:ind w:left="900" w:hanging="900" w:hangingChars="375"/>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3.2     供应商应保证并在响应文件中明确：在中华人民共和国境内使用磋商成果、服务或其任何一部分时，不会产生因第三方提出侵犯其专利权或其它知识产权而引起的法律和经济纠纷；如供应商不拥有相应的知识产权，则在报价中须包括合法获取该知识产权的相关费用；</w:t>
      </w:r>
      <w:r>
        <w:rPr>
          <w:rFonts w:hint="eastAsia" w:asciiTheme="minorEastAsia" w:hAnsiTheme="minorEastAsia" w:eastAsiaTheme="minorEastAsia" w:cstheme="minorEastAsia"/>
          <w:color w:val="auto"/>
          <w:sz w:val="24"/>
          <w:highlight w:val="none"/>
        </w:rPr>
        <w:t>如因此导致采购人损失的，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须承担全部赔偿责任。</w:t>
      </w:r>
    </w:p>
    <w:p w14:paraId="66CD9A76">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32" w:name="_Toc518923064"/>
      <w:bookmarkStart w:id="33" w:name="_Toc16505"/>
      <w:bookmarkStart w:id="34" w:name="_Toc22947"/>
      <w:bookmarkStart w:id="35" w:name="_Toc27502"/>
      <w:bookmarkStart w:id="36" w:name="_Toc17"/>
      <w:r>
        <w:rPr>
          <w:rFonts w:hint="eastAsia" w:asciiTheme="minorEastAsia" w:hAnsiTheme="minorEastAsia" w:eastAsiaTheme="minorEastAsia" w:cstheme="minorEastAsia"/>
          <w:color w:val="auto"/>
          <w:sz w:val="24"/>
          <w:szCs w:val="24"/>
          <w:highlight w:val="none"/>
          <w:u w:val="none"/>
        </w:rPr>
        <w:t>4.适用法律</w:t>
      </w:r>
      <w:bookmarkEnd w:id="32"/>
      <w:bookmarkEnd w:id="33"/>
      <w:bookmarkEnd w:id="34"/>
      <w:bookmarkEnd w:id="35"/>
      <w:bookmarkEnd w:id="36"/>
    </w:p>
    <w:p w14:paraId="0B7C59CC">
      <w:pPr>
        <w:spacing w:line="240" w:lineRule="atLeast"/>
        <w:ind w:left="900" w:hanging="900" w:hangingChars="375"/>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 xml:space="preserve">       本项目采购人、采购代理机构、投标人、评标委员会的相关行为均受《中华人民共和</w:t>
      </w:r>
      <w:r>
        <w:rPr>
          <w:rFonts w:hint="eastAsia" w:asciiTheme="minorEastAsia" w:hAnsiTheme="minorEastAsia" w:eastAsiaTheme="minorEastAsia" w:cstheme="minorEastAsia"/>
          <w:color w:val="auto"/>
          <w:sz w:val="24"/>
          <w:highlight w:val="none"/>
        </w:rPr>
        <w:t>国政府采购法》、《中华人民共和国政府采购法实施条例》、中华人民共和国财政部令第87号《政府采购货物和服务招标投标管理办法》及本项目本级和上级财政部门政府采购有关规定的约束，其权利受到上述法律法规的保护。</w:t>
      </w:r>
    </w:p>
    <w:p w14:paraId="4FDF0AFC">
      <w:pPr>
        <w:spacing w:line="240" w:lineRule="atLeast"/>
        <w:rPr>
          <w:rFonts w:hint="eastAsia" w:asciiTheme="minorEastAsia" w:hAnsiTheme="minorEastAsia" w:eastAsiaTheme="minorEastAsia" w:cstheme="minorEastAsia"/>
          <w:color w:val="auto"/>
          <w:sz w:val="24"/>
          <w:highlight w:val="none"/>
        </w:rPr>
      </w:pPr>
    </w:p>
    <w:p w14:paraId="746431A6">
      <w:pPr>
        <w:pStyle w:val="3"/>
        <w:spacing w:before="0" w:line="240" w:lineRule="atLeast"/>
        <w:ind w:left="1079" w:leftChars="257" w:hanging="540"/>
        <w:rPr>
          <w:rFonts w:hint="eastAsia" w:asciiTheme="minorEastAsia" w:hAnsiTheme="minorEastAsia" w:eastAsiaTheme="minorEastAsia" w:cstheme="minorEastAsia"/>
          <w:color w:val="auto"/>
          <w:sz w:val="28"/>
          <w:highlight w:val="none"/>
        </w:rPr>
      </w:pPr>
      <w:bookmarkStart w:id="37" w:name="_Toc31423"/>
      <w:bookmarkStart w:id="38" w:name="_Toc518923065"/>
      <w:bookmarkStart w:id="39" w:name="_Toc10545"/>
      <w:bookmarkStart w:id="40" w:name="_Toc20384"/>
      <w:bookmarkStart w:id="41" w:name="_Toc1853"/>
      <w:bookmarkStart w:id="42" w:name="_Toc216582806"/>
      <w:bookmarkStart w:id="43" w:name="_Toc4714"/>
      <w:bookmarkStart w:id="44" w:name="_Toc520356146"/>
      <w:r>
        <w:rPr>
          <w:rFonts w:hint="eastAsia" w:asciiTheme="minorEastAsia" w:hAnsiTheme="minorEastAsia" w:eastAsiaTheme="minorEastAsia" w:cstheme="minorEastAsia"/>
          <w:color w:val="auto"/>
          <w:sz w:val="28"/>
          <w:highlight w:val="none"/>
        </w:rPr>
        <w:t xml:space="preserve">二   </w:t>
      </w:r>
      <w:r>
        <w:rPr>
          <w:rFonts w:hint="eastAsia" w:asciiTheme="minorEastAsia" w:hAnsiTheme="minorEastAsia" w:eastAsiaTheme="minorEastAsia" w:cstheme="minorEastAsia"/>
          <w:color w:val="auto"/>
          <w:sz w:val="28"/>
          <w:highlight w:val="none"/>
          <w:lang w:eastAsia="zh-CN"/>
        </w:rPr>
        <w:t>磋商</w:t>
      </w:r>
      <w:r>
        <w:rPr>
          <w:rFonts w:hint="eastAsia" w:asciiTheme="minorEastAsia" w:hAnsiTheme="minorEastAsia" w:eastAsiaTheme="minorEastAsia" w:cstheme="minorEastAsia"/>
          <w:color w:val="auto"/>
          <w:sz w:val="28"/>
          <w:highlight w:val="none"/>
        </w:rPr>
        <w:t>文件</w:t>
      </w:r>
      <w:bookmarkEnd w:id="37"/>
      <w:bookmarkEnd w:id="38"/>
      <w:bookmarkEnd w:id="39"/>
      <w:bookmarkEnd w:id="40"/>
      <w:bookmarkEnd w:id="41"/>
      <w:bookmarkEnd w:id="42"/>
      <w:bookmarkEnd w:id="43"/>
      <w:bookmarkEnd w:id="44"/>
    </w:p>
    <w:p w14:paraId="121B17A2">
      <w:pPr>
        <w:pStyle w:val="7"/>
        <w:rPr>
          <w:rFonts w:hint="eastAsia" w:asciiTheme="minorEastAsia" w:hAnsiTheme="minorEastAsia" w:eastAsiaTheme="minorEastAsia" w:cstheme="minorEastAsia"/>
          <w:color w:val="auto"/>
          <w:highlight w:val="none"/>
        </w:rPr>
      </w:pPr>
    </w:p>
    <w:p w14:paraId="2F252424">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45" w:name="_Toc8770"/>
      <w:bookmarkStart w:id="46" w:name="_Toc520356147"/>
      <w:bookmarkStart w:id="47" w:name="_Toc518923066"/>
      <w:bookmarkStart w:id="48" w:name="_Toc1298"/>
      <w:bookmarkStart w:id="49" w:name="_Toc11542"/>
      <w:bookmarkStart w:id="50" w:name="_Toc875"/>
      <w:r>
        <w:rPr>
          <w:rFonts w:hint="eastAsia" w:asciiTheme="minorEastAsia" w:hAnsiTheme="minorEastAsia" w:eastAsiaTheme="minorEastAsia" w:cstheme="minorEastAsia"/>
          <w:color w:val="auto"/>
          <w:sz w:val="24"/>
          <w:szCs w:val="24"/>
          <w:highlight w:val="none"/>
          <w:u w:val="none"/>
        </w:rPr>
        <w:t>5.</w:t>
      </w:r>
      <w:r>
        <w:rPr>
          <w:rFonts w:hint="eastAsia" w:asciiTheme="minorEastAsia" w:hAnsiTheme="minorEastAsia" w:eastAsiaTheme="minorEastAsia" w:cstheme="minorEastAsia"/>
          <w:color w:val="auto"/>
          <w:sz w:val="24"/>
          <w:szCs w:val="24"/>
          <w:highlight w:val="none"/>
          <w:u w:val="none"/>
          <w:lang w:eastAsia="zh-CN"/>
        </w:rPr>
        <w:t>磋商</w:t>
      </w:r>
      <w:r>
        <w:rPr>
          <w:rFonts w:hint="eastAsia" w:asciiTheme="minorEastAsia" w:hAnsiTheme="minorEastAsia" w:eastAsiaTheme="minorEastAsia" w:cstheme="minorEastAsia"/>
          <w:color w:val="auto"/>
          <w:sz w:val="24"/>
          <w:szCs w:val="24"/>
          <w:highlight w:val="none"/>
          <w:u w:val="none"/>
        </w:rPr>
        <w:t>文件构成</w:t>
      </w:r>
      <w:bookmarkEnd w:id="45"/>
      <w:bookmarkEnd w:id="46"/>
      <w:bookmarkEnd w:id="47"/>
      <w:bookmarkEnd w:id="48"/>
      <w:bookmarkEnd w:id="49"/>
      <w:bookmarkEnd w:id="50"/>
    </w:p>
    <w:p w14:paraId="6C31E844">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文件分为三册共7章，内容如下：</w:t>
      </w:r>
    </w:p>
    <w:p w14:paraId="4CFC57E6">
      <w:pPr>
        <w:spacing w:line="240" w:lineRule="atLeast"/>
        <w:ind w:left="1078" w:leftChars="428" w:hanging="180" w:hangingChars="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第一册</w:t>
      </w:r>
    </w:p>
    <w:p w14:paraId="7C6D61BB">
      <w:pPr>
        <w:numPr>
          <w:ilvl w:val="0"/>
          <w:numId w:val="9"/>
        </w:numPr>
        <w:spacing w:line="240" w:lineRule="atLeast"/>
        <w:ind w:left="1080" w:leftChars="429" w:hanging="18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w:t>
      </w:r>
    </w:p>
    <w:p w14:paraId="5060FF9D">
      <w:pPr>
        <w:numPr>
          <w:ilvl w:val="0"/>
          <w:numId w:val="9"/>
        </w:numPr>
        <w:spacing w:line="240" w:lineRule="atLeast"/>
        <w:ind w:left="1080" w:leftChars="429" w:hanging="18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格式</w:t>
      </w:r>
    </w:p>
    <w:p w14:paraId="735A3DA5">
      <w:pPr>
        <w:spacing w:line="240" w:lineRule="atLeast"/>
        <w:ind w:left="1080" w:leftChars="429" w:hanging="18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第二册</w:t>
      </w:r>
    </w:p>
    <w:p w14:paraId="3118B6FE">
      <w:pPr>
        <w:numPr>
          <w:ilvl w:val="0"/>
          <w:numId w:val="9"/>
        </w:numPr>
        <w:spacing w:line="240" w:lineRule="atLeast"/>
        <w:ind w:left="1080" w:leftChars="429" w:hanging="18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邀请</w:t>
      </w:r>
    </w:p>
    <w:p w14:paraId="005DCEF3">
      <w:pPr>
        <w:numPr>
          <w:ilvl w:val="0"/>
          <w:numId w:val="9"/>
        </w:numPr>
        <w:spacing w:line="240" w:lineRule="atLeast"/>
        <w:ind w:left="1080" w:leftChars="429" w:hanging="18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须知资料表</w:t>
      </w:r>
    </w:p>
    <w:p w14:paraId="28972848">
      <w:pPr>
        <w:numPr>
          <w:ilvl w:val="0"/>
          <w:numId w:val="9"/>
        </w:numPr>
        <w:spacing w:line="240" w:lineRule="atLeast"/>
        <w:ind w:left="1080" w:leftChars="429" w:hanging="18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采购</w:t>
      </w:r>
      <w:r>
        <w:rPr>
          <w:rFonts w:hint="eastAsia" w:asciiTheme="minorEastAsia" w:hAnsiTheme="minorEastAsia" w:eastAsiaTheme="minorEastAsia" w:cstheme="minorEastAsia"/>
          <w:color w:val="auto"/>
          <w:sz w:val="24"/>
          <w:szCs w:val="24"/>
          <w:highlight w:val="none"/>
        </w:rPr>
        <w:t>需求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具体详见工程量清单</w:t>
      </w:r>
      <w:r>
        <w:rPr>
          <w:rFonts w:hint="eastAsia" w:asciiTheme="minorEastAsia" w:hAnsiTheme="minorEastAsia" w:eastAsiaTheme="minorEastAsia" w:cstheme="minorEastAsia"/>
          <w:color w:val="auto"/>
          <w:sz w:val="24"/>
          <w:szCs w:val="24"/>
          <w:highlight w:val="none"/>
          <w:lang w:eastAsia="zh-CN"/>
        </w:rPr>
        <w:t>）</w:t>
      </w:r>
    </w:p>
    <w:p w14:paraId="709AAB1D">
      <w:pPr>
        <w:numPr>
          <w:ilvl w:val="0"/>
          <w:numId w:val="9"/>
        </w:numPr>
        <w:spacing w:line="240" w:lineRule="atLeast"/>
        <w:ind w:left="1080" w:leftChars="429" w:hanging="18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评标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方法和标准</w:t>
      </w:r>
    </w:p>
    <w:p w14:paraId="649FC02C">
      <w:pPr>
        <w:spacing w:line="240" w:lineRule="atLeast"/>
        <w:ind w:left="0" w:leftChars="0" w:firstLine="960" w:firstLineChars="4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第三册</w:t>
      </w:r>
    </w:p>
    <w:p w14:paraId="6B6D2F2A">
      <w:pPr>
        <w:numPr>
          <w:ilvl w:val="0"/>
          <w:numId w:val="9"/>
        </w:numPr>
        <w:spacing w:line="240" w:lineRule="atLeast"/>
        <w:ind w:left="1080" w:leftChars="429" w:hanging="18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合同</w:t>
      </w:r>
    </w:p>
    <w:p w14:paraId="342F0EB7">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如本文件的前后内容不一致，以最后描述为准。</w:t>
      </w:r>
    </w:p>
    <w:p w14:paraId="3C41C19C">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5.3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应认真阅读</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文件所有的事项、格式、条款和技术规范等。如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没有按照</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文件要求提交全部资料，或者</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没有对</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文件在各方面都做出实质性响应，可能导致其</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被认定为</w:t>
      </w:r>
      <w:r>
        <w:rPr>
          <w:rFonts w:hint="eastAsia" w:asciiTheme="minorEastAsia" w:hAnsiTheme="minorEastAsia" w:eastAsiaTheme="minorEastAsia" w:cstheme="minorEastAsia"/>
          <w:b/>
          <w:bCs/>
          <w:color w:val="auto"/>
          <w:sz w:val="24"/>
          <w:szCs w:val="24"/>
          <w:highlight w:val="none"/>
          <w:lang w:eastAsia="zh-CN"/>
        </w:rPr>
        <w:t>磋商</w:t>
      </w:r>
      <w:r>
        <w:rPr>
          <w:rFonts w:hint="eastAsia" w:asciiTheme="minorEastAsia" w:hAnsiTheme="minorEastAsia" w:eastAsiaTheme="minorEastAsia" w:cstheme="minorEastAsia"/>
          <w:b/>
          <w:bCs/>
          <w:color w:val="auto"/>
          <w:sz w:val="24"/>
          <w:szCs w:val="24"/>
          <w:highlight w:val="none"/>
        </w:rPr>
        <w:t>无效</w:t>
      </w:r>
      <w:r>
        <w:rPr>
          <w:rFonts w:hint="eastAsia" w:asciiTheme="minorEastAsia" w:hAnsiTheme="minorEastAsia" w:eastAsiaTheme="minorEastAsia" w:cstheme="minorEastAsia"/>
          <w:color w:val="auto"/>
          <w:sz w:val="24"/>
          <w:szCs w:val="24"/>
          <w:highlight w:val="none"/>
        </w:rPr>
        <w:t>。</w:t>
      </w:r>
    </w:p>
    <w:p w14:paraId="39443378">
      <w:pPr>
        <w:spacing w:before="0" w:after="0" w:line="240" w:lineRule="atLeast"/>
        <w:outlineLvl w:val="9"/>
        <w:rPr>
          <w:rFonts w:hint="eastAsia" w:asciiTheme="minorEastAsia" w:hAnsiTheme="minorEastAsia" w:eastAsiaTheme="minorEastAsia" w:cstheme="minorEastAsia"/>
          <w:b w:val="0"/>
          <w:color w:val="auto"/>
          <w:sz w:val="24"/>
          <w:szCs w:val="24"/>
          <w:highlight w:val="none"/>
          <w:u w:val="none"/>
        </w:rPr>
      </w:pPr>
      <w:bookmarkStart w:id="51" w:name="_Toc520356148"/>
      <w:bookmarkStart w:id="52" w:name="_Toc16465"/>
      <w:bookmarkStart w:id="53" w:name="_Toc29175"/>
      <w:bookmarkStart w:id="54" w:name="_Toc28019"/>
      <w:bookmarkStart w:id="55" w:name="_Toc32511"/>
      <w:bookmarkStart w:id="56" w:name="_Toc518923067"/>
      <w:r>
        <w:rPr>
          <w:rFonts w:hint="eastAsia" w:asciiTheme="minorEastAsia" w:hAnsiTheme="minorEastAsia" w:eastAsiaTheme="minorEastAsia" w:cstheme="minorEastAsia"/>
          <w:color w:val="auto"/>
          <w:sz w:val="24"/>
          <w:szCs w:val="24"/>
          <w:highlight w:val="none"/>
          <w:u w:val="none"/>
        </w:rPr>
        <w:t>6.</w:t>
      </w:r>
      <w:r>
        <w:rPr>
          <w:rFonts w:hint="eastAsia" w:asciiTheme="minorEastAsia" w:hAnsiTheme="minorEastAsia" w:eastAsiaTheme="minorEastAsia" w:cstheme="minorEastAsia"/>
          <w:color w:val="auto"/>
          <w:sz w:val="24"/>
          <w:szCs w:val="24"/>
          <w:highlight w:val="none"/>
          <w:u w:val="none"/>
          <w:lang w:eastAsia="zh-CN"/>
        </w:rPr>
        <w:t>磋商</w:t>
      </w:r>
      <w:r>
        <w:rPr>
          <w:rFonts w:hint="eastAsia" w:asciiTheme="minorEastAsia" w:hAnsiTheme="minorEastAsia" w:eastAsiaTheme="minorEastAsia" w:cstheme="minorEastAsia"/>
          <w:color w:val="auto"/>
          <w:sz w:val="24"/>
          <w:szCs w:val="24"/>
          <w:highlight w:val="none"/>
          <w:u w:val="none"/>
        </w:rPr>
        <w:t>文件的澄清</w:t>
      </w:r>
      <w:bookmarkEnd w:id="51"/>
      <w:r>
        <w:rPr>
          <w:rFonts w:hint="eastAsia" w:asciiTheme="minorEastAsia" w:hAnsiTheme="minorEastAsia" w:eastAsiaTheme="minorEastAsia" w:cstheme="minorEastAsia"/>
          <w:color w:val="auto"/>
          <w:sz w:val="24"/>
          <w:szCs w:val="24"/>
          <w:highlight w:val="none"/>
          <w:u w:val="none"/>
        </w:rPr>
        <w:t>与修改</w:t>
      </w:r>
      <w:bookmarkEnd w:id="52"/>
      <w:bookmarkEnd w:id="53"/>
      <w:bookmarkEnd w:id="54"/>
      <w:bookmarkEnd w:id="55"/>
      <w:bookmarkEnd w:id="56"/>
    </w:p>
    <w:p w14:paraId="4B3C64D4">
      <w:pPr>
        <w:pStyle w:val="7"/>
        <w:ind w:left="840" w:hanging="840" w:hangingChars="35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    为了保证对</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文件的澄清和修改满足法律的时限要求，任何要求对</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文件进行澄清的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，均应在</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截止期五日前，以书面形式将澄清要求通知采购人或采购代理机构。</w:t>
      </w:r>
    </w:p>
    <w:p w14:paraId="72C89E13">
      <w:pPr>
        <w:pStyle w:val="7"/>
        <w:ind w:left="840" w:hanging="840" w:hangingChars="350"/>
        <w:outlineLvl w:val="9"/>
        <w:rPr>
          <w:rFonts w:hint="eastAsia" w:asciiTheme="minorEastAsia" w:hAnsiTheme="minorEastAsia" w:eastAsiaTheme="minorEastAsia" w:cstheme="minorEastAsia"/>
          <w:color w:val="auto"/>
          <w:sz w:val="24"/>
          <w:szCs w:val="24"/>
          <w:highlight w:val="none"/>
        </w:rPr>
      </w:pPr>
      <w:bookmarkStart w:id="57" w:name="_Toc520356149"/>
      <w:bookmarkStart w:id="58" w:name="_Ref467378678"/>
      <w:r>
        <w:rPr>
          <w:rFonts w:hint="eastAsia" w:asciiTheme="minorEastAsia" w:hAnsiTheme="minorEastAsia" w:eastAsiaTheme="minorEastAsia" w:cstheme="minorEastAsia"/>
          <w:color w:val="auto"/>
          <w:sz w:val="24"/>
          <w:szCs w:val="24"/>
          <w:highlight w:val="none"/>
        </w:rPr>
        <w:t>6.2</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提出的澄清问题时对</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文件澄清或修改。采购代理机构将以发布澄清（更正）公告的方式，澄清或修改</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文件，澄清或修改内容作为</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文件的组成部分。</w:t>
      </w:r>
    </w:p>
    <w:p w14:paraId="7ED8D2F6">
      <w:pPr>
        <w:pStyle w:val="7"/>
        <w:ind w:left="840" w:hanging="840" w:hangingChars="35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澄清或者修改的内容可能影响</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编制的，采购代理机构将以发布澄清（更正）公告形式通知所有</w:t>
      </w:r>
      <w:r>
        <w:rPr>
          <w:rFonts w:hint="eastAsia" w:asciiTheme="minorEastAsia" w:hAnsiTheme="minorEastAsia" w:eastAsiaTheme="minorEastAsia" w:cstheme="minorEastAsia"/>
          <w:color w:val="auto"/>
          <w:sz w:val="24"/>
          <w:szCs w:val="24"/>
          <w:highlight w:val="none"/>
          <w:lang w:val="en-US" w:eastAsia="zh-CN"/>
        </w:rPr>
        <w:t>领取</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文件的潜在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，并对其具有约束力。</w:t>
      </w:r>
      <w:r>
        <w:rPr>
          <w:rFonts w:hint="eastAsia" w:asciiTheme="minorEastAsia" w:hAnsiTheme="minorEastAsia" w:eastAsiaTheme="minorEastAsia" w:cstheme="minorEastAsia"/>
          <w:color w:val="auto"/>
          <w:sz w:val="24"/>
          <w:szCs w:val="24"/>
          <w:highlight w:val="none"/>
          <w:lang w:val="en-US" w:eastAsia="zh-CN"/>
        </w:rPr>
        <w:t>公告一经发出即视为</w:t>
      </w:r>
      <w:r>
        <w:rPr>
          <w:rFonts w:hint="eastAsia" w:asciiTheme="minorEastAsia" w:hAnsiTheme="minorEastAsia" w:eastAsiaTheme="minorEastAsia" w:cstheme="minorEastAsia"/>
          <w:color w:val="auto"/>
          <w:sz w:val="24"/>
          <w:szCs w:val="24"/>
          <w:highlight w:val="none"/>
        </w:rPr>
        <w:t>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val="en-US" w:eastAsia="zh-CN"/>
        </w:rPr>
        <w:t>已知晓该</w:t>
      </w:r>
      <w:r>
        <w:rPr>
          <w:rFonts w:hint="eastAsia" w:asciiTheme="minorEastAsia" w:hAnsiTheme="minorEastAsia" w:eastAsiaTheme="minorEastAsia" w:cstheme="minorEastAsia"/>
          <w:color w:val="auto"/>
          <w:sz w:val="24"/>
          <w:szCs w:val="24"/>
          <w:highlight w:val="none"/>
        </w:rPr>
        <w:t>澄清或修改内容。</w:t>
      </w:r>
    </w:p>
    <w:p w14:paraId="6ACF83D4">
      <w:pPr>
        <w:tabs>
          <w:tab w:val="left" w:pos="900"/>
        </w:tabs>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59" w:name="_Toc518923068"/>
      <w:bookmarkStart w:id="60" w:name="_Toc10649"/>
      <w:bookmarkStart w:id="61" w:name="_Toc2829"/>
      <w:bookmarkStart w:id="62" w:name="_Toc24873"/>
      <w:bookmarkStart w:id="63" w:name="_Toc24252"/>
      <w:r>
        <w:rPr>
          <w:rFonts w:hint="eastAsia" w:asciiTheme="minorEastAsia" w:hAnsiTheme="minorEastAsia" w:eastAsiaTheme="minorEastAsia" w:cstheme="minorEastAsia"/>
          <w:color w:val="auto"/>
          <w:sz w:val="24"/>
          <w:szCs w:val="24"/>
          <w:highlight w:val="none"/>
          <w:u w:val="none"/>
        </w:rPr>
        <w:t>7</w:t>
      </w:r>
      <w:bookmarkEnd w:id="57"/>
      <w:bookmarkEnd w:id="58"/>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eastAsia="zh-CN"/>
        </w:rPr>
        <w:t>磋商</w:t>
      </w:r>
      <w:r>
        <w:rPr>
          <w:rFonts w:hint="eastAsia" w:asciiTheme="minorEastAsia" w:hAnsiTheme="minorEastAsia" w:eastAsiaTheme="minorEastAsia" w:cstheme="minorEastAsia"/>
          <w:color w:val="auto"/>
          <w:sz w:val="24"/>
          <w:szCs w:val="24"/>
          <w:highlight w:val="none"/>
          <w:u w:val="none"/>
        </w:rPr>
        <w:t>截止时间的顺延</w:t>
      </w:r>
      <w:bookmarkEnd w:id="59"/>
      <w:bookmarkEnd w:id="60"/>
      <w:bookmarkEnd w:id="61"/>
      <w:bookmarkEnd w:id="62"/>
      <w:bookmarkEnd w:id="63"/>
    </w:p>
    <w:p w14:paraId="01598F4D">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为使</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准备</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时有足够的时间对</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文件的澄清或者修改部分进行研究，采购人将依法决定是否顺延</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截止时间。</w:t>
      </w:r>
    </w:p>
    <w:p w14:paraId="7C6C0319">
      <w:pPr>
        <w:spacing w:line="240" w:lineRule="atLeast"/>
        <w:ind w:left="900" w:hanging="900" w:hangingChars="375"/>
        <w:rPr>
          <w:rFonts w:hint="eastAsia" w:asciiTheme="minorEastAsia" w:hAnsiTheme="minorEastAsia" w:eastAsiaTheme="minorEastAsia" w:cstheme="minorEastAsia"/>
          <w:color w:val="auto"/>
          <w:sz w:val="24"/>
          <w:highlight w:val="none"/>
        </w:rPr>
      </w:pPr>
    </w:p>
    <w:p w14:paraId="6909E9BA">
      <w:pPr>
        <w:pStyle w:val="3"/>
        <w:tabs>
          <w:tab w:val="left" w:pos="900"/>
        </w:tabs>
        <w:spacing w:before="0" w:line="240" w:lineRule="atLeast"/>
        <w:ind w:left="1079" w:leftChars="257" w:hanging="540"/>
        <w:rPr>
          <w:rFonts w:hint="eastAsia" w:asciiTheme="minorEastAsia" w:hAnsiTheme="minorEastAsia" w:eastAsiaTheme="minorEastAsia" w:cstheme="minorEastAsia"/>
          <w:color w:val="auto"/>
          <w:sz w:val="28"/>
          <w:highlight w:val="none"/>
        </w:rPr>
      </w:pPr>
      <w:bookmarkStart w:id="64" w:name="_Toc516367020"/>
      <w:bookmarkStart w:id="65" w:name="_Toc520356150"/>
      <w:bookmarkStart w:id="66" w:name="_Toc518923069"/>
      <w:bookmarkStart w:id="67" w:name="_Toc2007"/>
      <w:bookmarkStart w:id="68" w:name="_Toc7003"/>
      <w:bookmarkStart w:id="69" w:name="_Toc14845"/>
      <w:bookmarkStart w:id="70" w:name="_Toc25072"/>
      <w:bookmarkStart w:id="71" w:name="_Toc10830"/>
      <w:bookmarkStart w:id="72" w:name="_Toc216582807"/>
      <w:r>
        <w:rPr>
          <w:rFonts w:hint="eastAsia" w:asciiTheme="minorEastAsia" w:hAnsiTheme="minorEastAsia" w:eastAsiaTheme="minorEastAsia" w:cstheme="minorEastAsia"/>
          <w:color w:val="auto"/>
          <w:sz w:val="28"/>
          <w:highlight w:val="none"/>
        </w:rPr>
        <w:t xml:space="preserve">三   </w:t>
      </w:r>
      <w:bookmarkEnd w:id="64"/>
      <w:r>
        <w:rPr>
          <w:rFonts w:hint="eastAsia" w:asciiTheme="minorEastAsia" w:hAnsiTheme="minorEastAsia" w:eastAsiaTheme="minorEastAsia" w:cstheme="minorEastAsia"/>
          <w:color w:val="auto"/>
          <w:sz w:val="28"/>
          <w:highlight w:val="none"/>
          <w:lang w:eastAsia="zh-CN"/>
        </w:rPr>
        <w:t>响应文件</w:t>
      </w:r>
      <w:r>
        <w:rPr>
          <w:rFonts w:hint="eastAsia" w:asciiTheme="minorEastAsia" w:hAnsiTheme="minorEastAsia" w:eastAsiaTheme="minorEastAsia" w:cstheme="minorEastAsia"/>
          <w:color w:val="auto"/>
          <w:sz w:val="28"/>
          <w:highlight w:val="none"/>
        </w:rPr>
        <w:t>的编制</w:t>
      </w:r>
      <w:bookmarkEnd w:id="65"/>
      <w:bookmarkEnd w:id="66"/>
      <w:bookmarkEnd w:id="67"/>
      <w:bookmarkEnd w:id="68"/>
      <w:bookmarkEnd w:id="69"/>
      <w:bookmarkEnd w:id="70"/>
      <w:bookmarkEnd w:id="71"/>
      <w:bookmarkEnd w:id="72"/>
    </w:p>
    <w:p w14:paraId="79ECF21E">
      <w:pPr>
        <w:pStyle w:val="7"/>
        <w:rPr>
          <w:rFonts w:hint="eastAsia" w:asciiTheme="minorEastAsia" w:hAnsiTheme="minorEastAsia" w:eastAsiaTheme="minorEastAsia" w:cstheme="minorEastAsia"/>
          <w:color w:val="auto"/>
          <w:highlight w:val="none"/>
        </w:rPr>
      </w:pPr>
    </w:p>
    <w:p w14:paraId="4DC5B91D">
      <w:pPr>
        <w:tabs>
          <w:tab w:val="left" w:pos="900"/>
        </w:tabs>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73" w:name="_Toc14395"/>
      <w:bookmarkStart w:id="74" w:name="_Toc518923070"/>
      <w:bookmarkStart w:id="75" w:name="_Toc520356151"/>
      <w:bookmarkStart w:id="76" w:name="_Toc516367021"/>
      <w:bookmarkStart w:id="77" w:name="_Toc6494"/>
      <w:bookmarkStart w:id="78" w:name="_Toc19618"/>
      <w:bookmarkStart w:id="79" w:name="_Toc31373"/>
      <w:r>
        <w:rPr>
          <w:rFonts w:hint="eastAsia" w:asciiTheme="minorEastAsia" w:hAnsiTheme="minorEastAsia" w:eastAsiaTheme="minorEastAsia" w:cstheme="minorEastAsia"/>
          <w:color w:val="auto"/>
          <w:sz w:val="24"/>
          <w:szCs w:val="24"/>
          <w:highlight w:val="none"/>
          <w:u w:val="none"/>
        </w:rPr>
        <w:t>8.</w:t>
      </w:r>
      <w:r>
        <w:rPr>
          <w:rFonts w:hint="eastAsia" w:asciiTheme="minorEastAsia" w:hAnsiTheme="minorEastAsia" w:eastAsiaTheme="minorEastAsia" w:cstheme="minorEastAsia"/>
          <w:color w:val="auto"/>
          <w:sz w:val="24"/>
          <w:szCs w:val="24"/>
          <w:highlight w:val="none"/>
          <w:u w:val="none"/>
        </w:rPr>
        <w:tab/>
      </w:r>
      <w:r>
        <w:rPr>
          <w:rFonts w:hint="eastAsia" w:asciiTheme="minorEastAsia" w:hAnsiTheme="minorEastAsia" w:eastAsiaTheme="minorEastAsia" w:cstheme="minorEastAsia"/>
          <w:color w:val="auto"/>
          <w:sz w:val="24"/>
          <w:szCs w:val="24"/>
          <w:highlight w:val="none"/>
          <w:u w:val="none"/>
          <w:lang w:eastAsia="zh-CN"/>
        </w:rPr>
        <w:t>磋商</w:t>
      </w:r>
      <w:r>
        <w:rPr>
          <w:rFonts w:hint="eastAsia" w:asciiTheme="minorEastAsia" w:hAnsiTheme="minorEastAsia" w:eastAsiaTheme="minorEastAsia" w:cstheme="minorEastAsia"/>
          <w:color w:val="auto"/>
          <w:sz w:val="24"/>
          <w:szCs w:val="24"/>
          <w:highlight w:val="none"/>
          <w:u w:val="none"/>
        </w:rPr>
        <w:t>范围及</w:t>
      </w:r>
      <w:r>
        <w:rPr>
          <w:rFonts w:hint="eastAsia" w:asciiTheme="minorEastAsia" w:hAnsiTheme="minorEastAsia" w:eastAsiaTheme="minorEastAsia" w:cstheme="minorEastAsia"/>
          <w:color w:val="auto"/>
          <w:sz w:val="24"/>
          <w:szCs w:val="24"/>
          <w:highlight w:val="none"/>
          <w:u w:val="none"/>
          <w:lang w:eastAsia="zh-CN"/>
        </w:rPr>
        <w:t>响应文件</w:t>
      </w:r>
      <w:r>
        <w:rPr>
          <w:rFonts w:hint="eastAsia" w:asciiTheme="minorEastAsia" w:hAnsiTheme="minorEastAsia" w:eastAsiaTheme="minorEastAsia" w:cstheme="minorEastAsia"/>
          <w:color w:val="auto"/>
          <w:sz w:val="24"/>
          <w:szCs w:val="24"/>
          <w:highlight w:val="none"/>
          <w:u w:val="none"/>
        </w:rPr>
        <w:t>中标准和计量单位的使用</w:t>
      </w:r>
      <w:bookmarkEnd w:id="73"/>
      <w:bookmarkEnd w:id="74"/>
      <w:bookmarkEnd w:id="75"/>
      <w:bookmarkEnd w:id="76"/>
      <w:bookmarkEnd w:id="77"/>
      <w:bookmarkEnd w:id="78"/>
      <w:bookmarkEnd w:id="79"/>
    </w:p>
    <w:p w14:paraId="5B10CF88">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项目有分包的，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可对</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文件其中一个或几个分包进行</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，除非在</w:t>
      </w:r>
      <w:r>
        <w:rPr>
          <w:rFonts w:hint="eastAsia" w:asciiTheme="minorEastAsia" w:hAnsiTheme="minorEastAsia" w:eastAsiaTheme="minorEastAsia" w:cstheme="minorEastAsia"/>
          <w:color w:val="auto"/>
          <w:sz w:val="24"/>
          <w:szCs w:val="24"/>
          <w:highlight w:val="none"/>
          <w:u w:val="single"/>
          <w:lang w:eastAsia="zh-CN"/>
        </w:rPr>
        <w:t>供应商</w:t>
      </w:r>
      <w:r>
        <w:rPr>
          <w:rFonts w:hint="eastAsia" w:asciiTheme="minorEastAsia" w:hAnsiTheme="minorEastAsia" w:eastAsiaTheme="minorEastAsia" w:cstheme="minorEastAsia"/>
          <w:color w:val="auto"/>
          <w:sz w:val="24"/>
          <w:szCs w:val="24"/>
          <w:highlight w:val="none"/>
          <w:u w:val="single"/>
        </w:rPr>
        <w:t>须知资料表</w:t>
      </w:r>
      <w:r>
        <w:rPr>
          <w:rFonts w:hint="eastAsia" w:asciiTheme="minorEastAsia" w:hAnsiTheme="minorEastAsia" w:eastAsiaTheme="minorEastAsia" w:cstheme="minorEastAsia"/>
          <w:color w:val="auto"/>
          <w:sz w:val="24"/>
          <w:szCs w:val="24"/>
          <w:highlight w:val="none"/>
        </w:rPr>
        <w:t>中另有规定。</w:t>
      </w:r>
    </w:p>
    <w:p w14:paraId="795E701A">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8.2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应当对所投分包</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文件中“</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需求”所列的所有内容进行</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，如仅响应</w:t>
      </w:r>
      <w:r>
        <w:rPr>
          <w:rFonts w:hint="eastAsia" w:asciiTheme="minorEastAsia" w:hAnsiTheme="minorEastAsia" w:eastAsiaTheme="minorEastAsia" w:cstheme="minorEastAsia"/>
          <w:color w:val="auto"/>
          <w:sz w:val="24"/>
          <w:szCs w:val="24"/>
          <w:highlight w:val="none"/>
          <w:lang w:val="en-US" w:eastAsia="zh-CN"/>
        </w:rPr>
        <w:t>某一</w:t>
      </w:r>
      <w:r>
        <w:rPr>
          <w:rFonts w:hint="eastAsia" w:asciiTheme="minorEastAsia" w:hAnsiTheme="minorEastAsia" w:eastAsiaTheme="minorEastAsia" w:cstheme="minorEastAsia"/>
          <w:color w:val="auto"/>
          <w:sz w:val="24"/>
          <w:szCs w:val="24"/>
          <w:highlight w:val="none"/>
        </w:rPr>
        <w:t>包中的部分内容，其</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将被认定为</w:t>
      </w:r>
      <w:r>
        <w:rPr>
          <w:rFonts w:hint="eastAsia" w:asciiTheme="minorEastAsia" w:hAnsiTheme="minorEastAsia" w:eastAsiaTheme="minorEastAsia" w:cstheme="minorEastAsia"/>
          <w:b/>
          <w:bCs/>
          <w:color w:val="auto"/>
          <w:sz w:val="24"/>
          <w:szCs w:val="24"/>
          <w:highlight w:val="none"/>
          <w:lang w:eastAsia="zh-CN"/>
        </w:rPr>
        <w:t>磋商</w:t>
      </w:r>
      <w:r>
        <w:rPr>
          <w:rFonts w:hint="eastAsia" w:asciiTheme="minorEastAsia" w:hAnsiTheme="minorEastAsia" w:eastAsiaTheme="minorEastAsia" w:cstheme="minorEastAsia"/>
          <w:b/>
          <w:bCs/>
          <w:color w:val="auto"/>
          <w:sz w:val="24"/>
          <w:szCs w:val="24"/>
          <w:highlight w:val="none"/>
        </w:rPr>
        <w:t>无效</w:t>
      </w:r>
      <w:r>
        <w:rPr>
          <w:rFonts w:hint="eastAsia" w:asciiTheme="minorEastAsia" w:hAnsiTheme="minorEastAsia" w:eastAsiaTheme="minorEastAsia" w:cstheme="minorEastAsia"/>
          <w:color w:val="auto"/>
          <w:sz w:val="24"/>
          <w:szCs w:val="24"/>
          <w:highlight w:val="none"/>
        </w:rPr>
        <w:t>。</w:t>
      </w:r>
    </w:p>
    <w:p w14:paraId="043D0A62">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8.3     无论</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文件第5章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需求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中是否要求，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所投</w:t>
      </w:r>
      <w:r>
        <w:rPr>
          <w:rFonts w:hint="eastAsia" w:asciiTheme="minorEastAsia" w:hAnsiTheme="minorEastAsia" w:eastAsiaTheme="minorEastAsia" w:cstheme="minorEastAsia"/>
          <w:color w:val="auto"/>
          <w:sz w:val="24"/>
          <w:szCs w:val="24"/>
          <w:highlight w:val="none"/>
          <w:lang w:val="en-US" w:eastAsia="zh-CN"/>
        </w:rPr>
        <w:t>内容</w:t>
      </w:r>
      <w:r>
        <w:rPr>
          <w:rFonts w:hint="eastAsia" w:asciiTheme="minorEastAsia" w:hAnsiTheme="minorEastAsia" w:eastAsiaTheme="minorEastAsia" w:cstheme="minorEastAsia"/>
          <w:color w:val="auto"/>
          <w:sz w:val="24"/>
          <w:szCs w:val="24"/>
          <w:highlight w:val="none"/>
        </w:rPr>
        <w:t>均应符合国家强制性标准。</w:t>
      </w:r>
    </w:p>
    <w:p w14:paraId="129E420A">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8.4     除</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文件中有特殊要求外，</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中所使用的计量单位，应采用中华人民共和国法定计量单位。</w:t>
      </w:r>
    </w:p>
    <w:p w14:paraId="7BC671BE">
      <w:pPr>
        <w:tabs>
          <w:tab w:val="left" w:pos="900"/>
        </w:tabs>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80" w:name="_Toc516367022"/>
      <w:bookmarkStart w:id="81" w:name="_Ref467306195"/>
      <w:bookmarkStart w:id="82" w:name="_Ref467306676"/>
      <w:bookmarkStart w:id="83" w:name="_Toc32024"/>
      <w:bookmarkStart w:id="84" w:name="_Toc520356152"/>
      <w:bookmarkStart w:id="85" w:name="_Toc2646"/>
      <w:bookmarkStart w:id="86" w:name="_Toc12406"/>
      <w:bookmarkStart w:id="87" w:name="_Toc518923071"/>
      <w:bookmarkStart w:id="88" w:name="_Toc20290"/>
      <w:r>
        <w:rPr>
          <w:rFonts w:hint="eastAsia" w:asciiTheme="minorEastAsia" w:hAnsiTheme="minorEastAsia" w:eastAsiaTheme="minorEastAsia" w:cstheme="minorEastAsia"/>
          <w:color w:val="auto"/>
          <w:sz w:val="24"/>
          <w:szCs w:val="24"/>
          <w:highlight w:val="none"/>
          <w:u w:val="none"/>
        </w:rPr>
        <w:t>9.</w:t>
      </w:r>
      <w:bookmarkEnd w:id="80"/>
      <w:bookmarkEnd w:id="81"/>
      <w:bookmarkEnd w:id="82"/>
      <w:r>
        <w:rPr>
          <w:rFonts w:hint="eastAsia" w:asciiTheme="minorEastAsia" w:hAnsiTheme="minorEastAsia" w:eastAsiaTheme="minorEastAsia" w:cstheme="minorEastAsia"/>
          <w:color w:val="auto"/>
          <w:sz w:val="24"/>
          <w:szCs w:val="24"/>
          <w:highlight w:val="none"/>
          <w:u w:val="none"/>
          <w:lang w:eastAsia="zh-CN"/>
        </w:rPr>
        <w:t>响应文件</w:t>
      </w:r>
      <w:r>
        <w:rPr>
          <w:rFonts w:hint="eastAsia" w:asciiTheme="minorEastAsia" w:hAnsiTheme="minorEastAsia" w:eastAsiaTheme="minorEastAsia" w:cstheme="minorEastAsia"/>
          <w:color w:val="auto"/>
          <w:sz w:val="24"/>
          <w:szCs w:val="24"/>
          <w:highlight w:val="none"/>
          <w:u w:val="none"/>
        </w:rPr>
        <w:t>构成</w:t>
      </w:r>
      <w:bookmarkEnd w:id="83"/>
      <w:bookmarkEnd w:id="84"/>
      <w:bookmarkEnd w:id="85"/>
      <w:bookmarkEnd w:id="86"/>
      <w:bookmarkEnd w:id="87"/>
      <w:bookmarkEnd w:id="88"/>
    </w:p>
    <w:p w14:paraId="56A2C170">
      <w:pPr>
        <w:spacing w:line="240" w:lineRule="atLeast"/>
        <w:ind w:left="900" w:hanging="900" w:hangingChars="375"/>
        <w:outlineLvl w:val="9"/>
        <w:rPr>
          <w:rFonts w:hint="default" w:asciiTheme="minorEastAsia" w:hAnsiTheme="minorEastAsia" w:eastAsiaTheme="minorEastAsia" w:cstheme="minorEastAsia"/>
          <w:color w:val="auto"/>
          <w:sz w:val="24"/>
          <w:szCs w:val="24"/>
          <w:highlight w:val="none"/>
          <w:u w:val="single"/>
          <w:lang w:val="en-US" w:eastAsia="zh-CN"/>
        </w:rPr>
      </w:pPr>
      <w:bookmarkStart w:id="89" w:name="_Ref467052588"/>
      <w:r>
        <w:rPr>
          <w:rFonts w:hint="eastAsia" w:asciiTheme="minorEastAsia" w:hAnsiTheme="minorEastAsia" w:eastAsiaTheme="minorEastAsia" w:cstheme="minorEastAsia"/>
          <w:color w:val="auto"/>
          <w:sz w:val="24"/>
          <w:szCs w:val="24"/>
          <w:highlight w:val="none"/>
        </w:rPr>
        <w:t xml:space="preserve">9.1   </w:t>
      </w:r>
      <w:r>
        <w:rPr>
          <w:rFonts w:hint="eastAsia" w:asciiTheme="minorEastAsia" w:hAnsiTheme="minorEastAsia" w:eastAsiaTheme="minorEastAsia" w:cstheme="minorEastAsia"/>
          <w:color w:val="auto"/>
          <w:sz w:val="24"/>
          <w:szCs w:val="24"/>
          <w:highlight w:val="none"/>
          <w:u w:val="none"/>
        </w:rPr>
        <w:t xml:space="preserve">  </w:t>
      </w:r>
      <w:bookmarkEnd w:id="89"/>
      <w:r>
        <w:rPr>
          <w:rFonts w:hint="eastAsia" w:asciiTheme="minorEastAsia" w:hAnsiTheme="minorEastAsia" w:eastAsiaTheme="minorEastAsia" w:cstheme="minorEastAsia"/>
          <w:b/>
          <w:bCs/>
          <w:i w:val="0"/>
          <w:iCs w:val="0"/>
          <w:color w:val="auto"/>
          <w:sz w:val="24"/>
          <w:szCs w:val="24"/>
          <w:highlight w:val="none"/>
          <w:u w:val="single"/>
          <w:lang w:eastAsia="zh-CN"/>
        </w:rPr>
        <w:t>供应商</w:t>
      </w:r>
      <w:r>
        <w:rPr>
          <w:rFonts w:hint="eastAsia" w:asciiTheme="minorEastAsia" w:hAnsiTheme="minorEastAsia" w:eastAsiaTheme="minorEastAsia" w:cstheme="minorEastAsia"/>
          <w:b/>
          <w:bCs/>
          <w:i w:val="0"/>
          <w:iCs w:val="0"/>
          <w:color w:val="auto"/>
          <w:sz w:val="24"/>
          <w:szCs w:val="24"/>
          <w:highlight w:val="none"/>
          <w:u w:val="single"/>
        </w:rPr>
        <w:t>须在响应文件递交截止时间前完成在系统上递交电子响应文件。</w:t>
      </w:r>
      <w:r>
        <w:rPr>
          <w:rFonts w:hint="eastAsia" w:asciiTheme="minorEastAsia" w:hAnsiTheme="minorEastAsia" w:eastAsiaTheme="minorEastAsia" w:cstheme="minorEastAsia"/>
          <w:b/>
          <w:bCs/>
          <w:i w:val="0"/>
          <w:iCs w:val="0"/>
          <w:color w:val="auto"/>
          <w:sz w:val="24"/>
          <w:szCs w:val="24"/>
          <w:highlight w:val="none"/>
          <w:u w:val="single"/>
          <w:lang w:eastAsia="zh-CN"/>
        </w:rPr>
        <w:t>供应商</w:t>
      </w:r>
      <w:r>
        <w:rPr>
          <w:rFonts w:hint="eastAsia" w:asciiTheme="minorEastAsia" w:hAnsiTheme="minorEastAsia" w:eastAsiaTheme="minorEastAsia" w:cstheme="minorEastAsia"/>
          <w:b/>
          <w:bCs/>
          <w:i w:val="0"/>
          <w:iCs w:val="0"/>
          <w:color w:val="auto"/>
          <w:sz w:val="24"/>
          <w:szCs w:val="24"/>
          <w:highlight w:val="none"/>
          <w:u w:val="single"/>
        </w:rPr>
        <w:t>的电子响应文件是经过CA证书加密后上传提交的，任何单位或个人均无法在响应文件递交截止(即开标时间)之前查看或篡改，不存在泄密风险。（严格按照政采云电子</w:t>
      </w:r>
      <w:r>
        <w:rPr>
          <w:rFonts w:hint="eastAsia" w:asciiTheme="minorEastAsia" w:hAnsiTheme="minorEastAsia" w:eastAsiaTheme="minorEastAsia" w:cstheme="minorEastAsia"/>
          <w:b/>
          <w:bCs/>
          <w:i w:val="0"/>
          <w:iCs w:val="0"/>
          <w:color w:val="auto"/>
          <w:sz w:val="24"/>
          <w:szCs w:val="24"/>
          <w:highlight w:val="none"/>
          <w:u w:val="single"/>
          <w:lang w:eastAsia="zh-CN"/>
        </w:rPr>
        <w:t>磋商</w:t>
      </w:r>
      <w:r>
        <w:rPr>
          <w:rFonts w:hint="eastAsia" w:asciiTheme="minorEastAsia" w:hAnsiTheme="minorEastAsia" w:eastAsiaTheme="minorEastAsia" w:cstheme="minorEastAsia"/>
          <w:b/>
          <w:bCs/>
          <w:i w:val="0"/>
          <w:iCs w:val="0"/>
          <w:color w:val="auto"/>
          <w:sz w:val="24"/>
          <w:szCs w:val="24"/>
          <w:highlight w:val="none"/>
          <w:u w:val="single"/>
        </w:rPr>
        <w:t>流程制作并上传电子响应文件）</w:t>
      </w:r>
      <w:r>
        <w:rPr>
          <w:rFonts w:hint="eastAsia" w:asciiTheme="minorEastAsia" w:hAnsiTheme="minorEastAsia" w:eastAsiaTheme="minorEastAsia" w:cstheme="minorEastAsia"/>
          <w:b/>
          <w:bCs/>
          <w:i w:val="0"/>
          <w:iCs w:val="0"/>
          <w:color w:val="auto"/>
          <w:sz w:val="24"/>
          <w:szCs w:val="24"/>
          <w:highlight w:val="none"/>
          <w:u w:val="single"/>
          <w:lang w:eastAsia="zh-CN"/>
        </w:rPr>
        <w:t>。</w:t>
      </w:r>
      <w:r>
        <w:rPr>
          <w:rFonts w:hint="eastAsia" w:asciiTheme="minorEastAsia" w:hAnsiTheme="minorEastAsia" w:eastAsiaTheme="minorEastAsia" w:cstheme="minorEastAsia"/>
          <w:b/>
          <w:bCs/>
          <w:i w:val="0"/>
          <w:iCs w:val="0"/>
          <w:color w:val="auto"/>
          <w:sz w:val="24"/>
          <w:szCs w:val="24"/>
          <w:highlight w:val="none"/>
          <w:u w:val="single"/>
          <w:lang w:val="en-US" w:eastAsia="zh-CN"/>
        </w:rPr>
        <w:t xml:space="preserve">                                           </w:t>
      </w:r>
    </w:p>
    <w:p w14:paraId="003369A9">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    上述文件应按照</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文件规定的格式填写、签署和盖章。</w:t>
      </w:r>
    </w:p>
    <w:p w14:paraId="35398254">
      <w:pPr>
        <w:tabs>
          <w:tab w:val="left" w:pos="900"/>
        </w:tabs>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90" w:name="_Toc508185920"/>
      <w:bookmarkStart w:id="91" w:name="_Toc516367023"/>
      <w:bookmarkStart w:id="92" w:name="_Toc22277"/>
      <w:bookmarkStart w:id="93" w:name="_Toc518923072"/>
      <w:bookmarkStart w:id="94" w:name="_Toc29082"/>
      <w:bookmarkStart w:id="95" w:name="_Toc4377"/>
      <w:bookmarkStart w:id="96" w:name="_Toc31188"/>
      <w:bookmarkStart w:id="97" w:name="_Toc520356153"/>
      <w:bookmarkStart w:id="98" w:name="_Toc520356155"/>
      <w:r>
        <w:rPr>
          <w:rFonts w:hint="eastAsia" w:asciiTheme="minorEastAsia" w:hAnsiTheme="minorEastAsia" w:eastAsiaTheme="minorEastAsia" w:cstheme="minorEastAsia"/>
          <w:color w:val="auto"/>
          <w:sz w:val="24"/>
          <w:szCs w:val="24"/>
          <w:highlight w:val="none"/>
          <w:u w:val="none"/>
        </w:rPr>
        <w:t>10.</w:t>
      </w:r>
      <w:r>
        <w:rPr>
          <w:rFonts w:hint="eastAsia" w:asciiTheme="minorEastAsia" w:hAnsiTheme="minorEastAsia" w:eastAsiaTheme="minorEastAsia" w:cstheme="minorEastAsia"/>
          <w:color w:val="auto"/>
          <w:sz w:val="24"/>
          <w:szCs w:val="24"/>
          <w:highlight w:val="none"/>
          <w:u w:val="none"/>
        </w:rPr>
        <w:tab/>
      </w:r>
      <w:r>
        <w:rPr>
          <w:rFonts w:hint="eastAsia" w:asciiTheme="minorEastAsia" w:hAnsiTheme="minorEastAsia" w:eastAsiaTheme="minorEastAsia" w:cstheme="minorEastAsia"/>
          <w:color w:val="auto"/>
          <w:sz w:val="24"/>
          <w:szCs w:val="24"/>
          <w:highlight w:val="none"/>
          <w:u w:val="none"/>
        </w:rPr>
        <w:t>证明磋商的合格性和符合</w:t>
      </w:r>
      <w:r>
        <w:rPr>
          <w:rFonts w:hint="eastAsia" w:asciiTheme="minorEastAsia" w:hAnsiTheme="minorEastAsia" w:eastAsiaTheme="minorEastAsia" w:cstheme="minorEastAsia"/>
          <w:color w:val="auto"/>
          <w:sz w:val="24"/>
          <w:szCs w:val="24"/>
          <w:highlight w:val="none"/>
          <w:u w:val="none"/>
          <w:lang w:eastAsia="zh-CN"/>
        </w:rPr>
        <w:t>磋商</w:t>
      </w:r>
      <w:r>
        <w:rPr>
          <w:rFonts w:hint="eastAsia" w:asciiTheme="minorEastAsia" w:hAnsiTheme="minorEastAsia" w:eastAsiaTheme="minorEastAsia" w:cstheme="minorEastAsia"/>
          <w:color w:val="auto"/>
          <w:sz w:val="24"/>
          <w:szCs w:val="24"/>
          <w:highlight w:val="none"/>
          <w:u w:val="none"/>
        </w:rPr>
        <w:t>文件规定的响应文件</w:t>
      </w:r>
      <w:bookmarkEnd w:id="90"/>
      <w:bookmarkEnd w:id="91"/>
      <w:bookmarkEnd w:id="92"/>
      <w:bookmarkEnd w:id="93"/>
      <w:bookmarkEnd w:id="94"/>
      <w:bookmarkEnd w:id="95"/>
      <w:bookmarkEnd w:id="96"/>
      <w:bookmarkEnd w:id="97"/>
    </w:p>
    <w:p w14:paraId="5001C181">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应提交证明文件，证明其</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内容符合</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文件规定。该证明文件是</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的一部分。</w:t>
      </w:r>
    </w:p>
    <w:p w14:paraId="4F7AE7F5">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bookmarkStart w:id="99" w:name="_Ref467306244"/>
      <w:r>
        <w:rPr>
          <w:rFonts w:hint="eastAsia" w:asciiTheme="minorEastAsia" w:hAnsiTheme="minorEastAsia" w:eastAsiaTheme="minorEastAsia" w:cstheme="minorEastAsia"/>
          <w:color w:val="auto"/>
          <w:sz w:val="24"/>
          <w:szCs w:val="24"/>
          <w:highlight w:val="none"/>
        </w:rPr>
        <w:t>10.2</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上款所述的证明文件，可以是文字资料、图纸和数据</w:t>
      </w:r>
      <w:bookmarkEnd w:id="99"/>
      <w:r>
        <w:rPr>
          <w:rFonts w:hint="eastAsia" w:asciiTheme="minorEastAsia" w:hAnsiTheme="minorEastAsia" w:eastAsiaTheme="minorEastAsia" w:cstheme="minorEastAsia"/>
          <w:color w:val="auto"/>
          <w:sz w:val="24"/>
          <w:szCs w:val="24"/>
          <w:highlight w:val="none"/>
        </w:rPr>
        <w:t>。</w:t>
      </w:r>
    </w:p>
    <w:p w14:paraId="2EC496F7">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w:t>
      </w:r>
      <w:r>
        <w:rPr>
          <w:rFonts w:hint="eastAsia" w:asciiTheme="minorEastAsia" w:hAnsiTheme="minorEastAsia" w:eastAsiaTheme="minorEastAsia" w:cstheme="minorEastAsia"/>
          <w:b w:val="0"/>
          <w:bCs w:val="0"/>
          <w:color w:val="auto"/>
          <w:sz w:val="24"/>
          <w:szCs w:val="24"/>
          <w:highlight w:val="none"/>
        </w:rPr>
        <w:tab/>
      </w: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应注意采购人在技术规格</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参数</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中指出的工艺、材料和设备的参照品牌型号或分类号仅起说明作用，并没有任何限制性。</w:t>
      </w: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在</w:t>
      </w:r>
      <w:r>
        <w:rPr>
          <w:rFonts w:hint="eastAsia" w:asciiTheme="minorEastAsia" w:hAnsiTheme="minorEastAsia" w:eastAsiaTheme="minorEastAsia" w:cstheme="minorEastAsia"/>
          <w:b w:val="0"/>
          <w:bCs w:val="0"/>
          <w:color w:val="auto"/>
          <w:sz w:val="24"/>
          <w:szCs w:val="24"/>
          <w:highlight w:val="none"/>
          <w:lang w:eastAsia="zh-CN"/>
        </w:rPr>
        <w:t>磋商</w:t>
      </w:r>
      <w:r>
        <w:rPr>
          <w:rFonts w:hint="eastAsia" w:asciiTheme="minorEastAsia" w:hAnsiTheme="minorEastAsia" w:eastAsiaTheme="minorEastAsia" w:cstheme="minorEastAsia"/>
          <w:b w:val="0"/>
          <w:bCs w:val="0"/>
          <w:color w:val="auto"/>
          <w:sz w:val="24"/>
          <w:szCs w:val="24"/>
          <w:highlight w:val="none"/>
        </w:rPr>
        <w:t>中可以选用替代牌号或分类号，但这些替代要实质上相当于技术规格的要求。采购人、采购代理机构承诺不以上述参照品牌型号或分类号作为评标</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磋商</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时判定其</w:t>
      </w:r>
      <w:r>
        <w:rPr>
          <w:rFonts w:hint="eastAsia" w:asciiTheme="minorEastAsia" w:hAnsiTheme="minorEastAsia" w:eastAsiaTheme="minorEastAsia" w:cstheme="minorEastAsia"/>
          <w:b w:val="0"/>
          <w:bCs w:val="0"/>
          <w:color w:val="auto"/>
          <w:sz w:val="24"/>
          <w:szCs w:val="24"/>
          <w:highlight w:val="none"/>
          <w:lang w:eastAsia="zh-CN"/>
        </w:rPr>
        <w:t>磋商</w:t>
      </w:r>
      <w:r>
        <w:rPr>
          <w:rFonts w:hint="eastAsia" w:asciiTheme="minorEastAsia" w:hAnsiTheme="minorEastAsia" w:eastAsiaTheme="minorEastAsia" w:cstheme="minorEastAsia"/>
          <w:b w:val="0"/>
          <w:bCs w:val="0"/>
          <w:color w:val="auto"/>
          <w:sz w:val="24"/>
          <w:szCs w:val="24"/>
          <w:highlight w:val="none"/>
        </w:rPr>
        <w:t>是否有效的标准。</w:t>
      </w:r>
    </w:p>
    <w:p w14:paraId="50048111">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100" w:name="_Toc518923073"/>
      <w:bookmarkStart w:id="101" w:name="_Toc16961"/>
      <w:bookmarkStart w:id="102" w:name="_Toc4221"/>
      <w:bookmarkStart w:id="103" w:name="_Toc6654"/>
      <w:bookmarkStart w:id="104" w:name="_Toc7831"/>
      <w:r>
        <w:rPr>
          <w:rFonts w:hint="eastAsia" w:asciiTheme="minorEastAsia" w:hAnsiTheme="minorEastAsia" w:eastAsiaTheme="minorEastAsia" w:cstheme="minorEastAsia"/>
          <w:color w:val="auto"/>
          <w:sz w:val="24"/>
          <w:szCs w:val="24"/>
          <w:highlight w:val="none"/>
          <w:u w:val="none"/>
        </w:rPr>
        <w:t>11.</w:t>
      </w:r>
      <w:r>
        <w:rPr>
          <w:rFonts w:hint="eastAsia" w:ascii="仿宋" w:hAnsi="仿宋" w:eastAsia="仿宋" w:cs="仿宋"/>
          <w:color w:val="auto"/>
          <w:sz w:val="24"/>
          <w:szCs w:val="24"/>
          <w:highlight w:val="none"/>
          <w:u w:val="none"/>
          <w:lang w:eastAsia="zh-CN"/>
        </w:rPr>
        <w:t>磋商</w:t>
      </w:r>
      <w:r>
        <w:rPr>
          <w:rFonts w:hint="eastAsia" w:asciiTheme="minorEastAsia" w:hAnsiTheme="minorEastAsia" w:eastAsiaTheme="minorEastAsia" w:cstheme="minorEastAsia"/>
          <w:color w:val="auto"/>
          <w:sz w:val="24"/>
          <w:szCs w:val="24"/>
          <w:highlight w:val="none"/>
          <w:u w:val="none"/>
        </w:rPr>
        <w:t>报价</w:t>
      </w:r>
      <w:bookmarkEnd w:id="98"/>
      <w:bookmarkEnd w:id="100"/>
      <w:bookmarkEnd w:id="101"/>
      <w:bookmarkEnd w:id="102"/>
      <w:bookmarkEnd w:id="103"/>
      <w:bookmarkEnd w:id="104"/>
    </w:p>
    <w:p w14:paraId="24161B4B">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所有</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均以人民币报价。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报价应遵守《中华人民共和国价格法》。同时，根据《中华人民共和国政府采购法</w:t>
      </w:r>
      <w:r>
        <w:rPr>
          <w:rFonts w:hint="eastAsia" w:asciiTheme="minorEastAsia" w:hAnsiTheme="minorEastAsia" w:eastAsiaTheme="minorEastAsia" w:cstheme="minorEastAsia"/>
          <w:b w:val="0"/>
          <w:bCs w:val="0"/>
          <w:color w:val="auto"/>
          <w:sz w:val="24"/>
          <w:szCs w:val="24"/>
          <w:highlight w:val="none"/>
        </w:rPr>
        <w:t>》第二条的规定，为保证公平竞争，如有主体</w:t>
      </w:r>
      <w:r>
        <w:rPr>
          <w:rFonts w:hint="eastAsia" w:asciiTheme="minorEastAsia" w:hAnsiTheme="minorEastAsia" w:eastAsiaTheme="minorEastAsia" w:cstheme="minorEastAsia"/>
          <w:b w:val="0"/>
          <w:bCs w:val="0"/>
          <w:color w:val="auto"/>
          <w:sz w:val="24"/>
          <w:szCs w:val="24"/>
          <w:highlight w:val="none"/>
          <w:lang w:val="en-US" w:eastAsia="zh-CN"/>
        </w:rPr>
        <w:t>部分</w:t>
      </w:r>
      <w:r>
        <w:rPr>
          <w:rFonts w:hint="eastAsia" w:asciiTheme="minorEastAsia" w:hAnsiTheme="minorEastAsia" w:eastAsiaTheme="minorEastAsia" w:cstheme="minorEastAsia"/>
          <w:b w:val="0"/>
          <w:bCs w:val="0"/>
          <w:color w:val="auto"/>
          <w:sz w:val="24"/>
          <w:szCs w:val="24"/>
          <w:highlight w:val="none"/>
        </w:rPr>
        <w:t>标的的赠与行为，其</w:t>
      </w:r>
      <w:r>
        <w:rPr>
          <w:rFonts w:hint="eastAsia" w:asciiTheme="minorEastAsia" w:hAnsiTheme="minorEastAsia" w:eastAsiaTheme="minorEastAsia" w:cstheme="minorEastAsia"/>
          <w:b w:val="0"/>
          <w:bCs w:val="0"/>
          <w:color w:val="auto"/>
          <w:sz w:val="24"/>
          <w:szCs w:val="24"/>
          <w:highlight w:val="none"/>
          <w:lang w:eastAsia="zh-CN"/>
        </w:rPr>
        <w:t>磋商</w:t>
      </w:r>
      <w:r>
        <w:rPr>
          <w:rFonts w:hint="eastAsia" w:asciiTheme="minorEastAsia" w:hAnsiTheme="minorEastAsia" w:eastAsiaTheme="minorEastAsia" w:cstheme="minorEastAsia"/>
          <w:b w:val="0"/>
          <w:bCs w:val="0"/>
          <w:color w:val="auto"/>
          <w:sz w:val="24"/>
          <w:szCs w:val="24"/>
          <w:highlight w:val="none"/>
        </w:rPr>
        <w:t>将被认定为</w:t>
      </w:r>
      <w:r>
        <w:rPr>
          <w:rFonts w:hint="eastAsia" w:asciiTheme="minorEastAsia" w:hAnsiTheme="minorEastAsia" w:eastAsiaTheme="minorEastAsia" w:cstheme="minorEastAsia"/>
          <w:color w:val="auto"/>
          <w:kern w:val="0"/>
          <w:sz w:val="24"/>
          <w:szCs w:val="24"/>
          <w:highlight w:val="none"/>
          <w:lang w:val="en-US" w:eastAsia="zh-CN"/>
        </w:rPr>
        <w:t>投标</w:t>
      </w:r>
      <w:r>
        <w:rPr>
          <w:rFonts w:hint="eastAsia" w:asciiTheme="minorEastAsia" w:hAnsiTheme="minorEastAsia" w:eastAsiaTheme="minorEastAsia" w:cstheme="minorEastAsia"/>
          <w:b w:val="0"/>
          <w:bCs w:val="0"/>
          <w:color w:val="auto"/>
          <w:sz w:val="24"/>
          <w:szCs w:val="24"/>
          <w:highlight w:val="none"/>
        </w:rPr>
        <w:t>无效</w:t>
      </w:r>
      <w:r>
        <w:rPr>
          <w:rFonts w:hint="eastAsia" w:asciiTheme="minorEastAsia" w:hAnsiTheme="minorEastAsia" w:eastAsiaTheme="minorEastAsia" w:cstheme="minorEastAsia"/>
          <w:color w:val="auto"/>
          <w:sz w:val="24"/>
          <w:szCs w:val="24"/>
          <w:highlight w:val="none"/>
        </w:rPr>
        <w:t>。</w:t>
      </w:r>
    </w:p>
    <w:p w14:paraId="6B3DA51F">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应标明</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lang w:val="en-US" w:eastAsia="zh-CN"/>
        </w:rPr>
        <w:t>工程量</w:t>
      </w:r>
      <w:r>
        <w:rPr>
          <w:rFonts w:hint="eastAsia" w:asciiTheme="minorEastAsia" w:hAnsiTheme="minorEastAsia" w:eastAsiaTheme="minorEastAsia" w:cstheme="minorEastAsia"/>
          <w:color w:val="auto"/>
          <w:sz w:val="24"/>
          <w:szCs w:val="24"/>
          <w:highlight w:val="none"/>
        </w:rPr>
        <w:t>的单价</w:t>
      </w:r>
      <w:r>
        <w:rPr>
          <w:rFonts w:hint="eastAsia" w:asciiTheme="minorEastAsia" w:hAnsiTheme="minorEastAsia" w:eastAsiaTheme="minorEastAsia" w:cstheme="minorEastAsia"/>
          <w:color w:val="auto"/>
          <w:sz w:val="24"/>
          <w:szCs w:val="24"/>
          <w:highlight w:val="none"/>
          <w:lang w:val="en-US" w:eastAsia="zh-CN"/>
        </w:rPr>
        <w:t>和总价</w:t>
      </w:r>
      <w:r>
        <w:rPr>
          <w:rFonts w:hint="eastAsia" w:asciiTheme="minorEastAsia" w:hAnsiTheme="minorEastAsia" w:eastAsiaTheme="minorEastAsia" w:cstheme="minorEastAsia"/>
          <w:color w:val="auto"/>
          <w:sz w:val="24"/>
          <w:szCs w:val="24"/>
          <w:highlight w:val="none"/>
        </w:rPr>
        <w:t>。</w:t>
      </w:r>
    </w:p>
    <w:p w14:paraId="5A29A3FB">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11.3</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采购人不接受具有附加条件的报价。</w:t>
      </w:r>
    </w:p>
    <w:p w14:paraId="0CC16801">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所报的各分项</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报价在合同履行过程中是固定不变的，不得以任何理由予以变更。任何包含价格调整要求的</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，将</w:t>
      </w:r>
      <w:r>
        <w:rPr>
          <w:rFonts w:hint="eastAsia" w:asciiTheme="minorEastAsia" w:hAnsiTheme="minorEastAsia" w:eastAsiaTheme="minorEastAsia" w:cstheme="minorEastAsia"/>
          <w:color w:val="auto"/>
          <w:sz w:val="24"/>
          <w:szCs w:val="24"/>
          <w:highlight w:val="none"/>
          <w:lang w:val="en-US" w:eastAsia="zh-CN"/>
        </w:rPr>
        <w:t>磋商将</w:t>
      </w:r>
      <w:r>
        <w:rPr>
          <w:rFonts w:hint="eastAsia" w:asciiTheme="minorEastAsia" w:hAnsiTheme="minorEastAsia" w:eastAsiaTheme="minorEastAsia" w:cstheme="minorEastAsia"/>
          <w:color w:val="auto"/>
          <w:sz w:val="24"/>
          <w:szCs w:val="24"/>
          <w:highlight w:val="none"/>
        </w:rPr>
        <w:t>被认定为</w:t>
      </w:r>
      <w:r>
        <w:rPr>
          <w:rFonts w:hint="eastAsia" w:asciiTheme="minorEastAsia" w:hAnsiTheme="minorEastAsia" w:eastAsiaTheme="minorEastAsia" w:cstheme="minorEastAsia"/>
          <w:b/>
          <w:bCs/>
          <w:color w:val="auto"/>
          <w:sz w:val="24"/>
          <w:szCs w:val="24"/>
          <w:highlight w:val="none"/>
          <w:lang w:eastAsia="zh-CN"/>
        </w:rPr>
        <w:t>磋商</w:t>
      </w:r>
      <w:r>
        <w:rPr>
          <w:rFonts w:hint="eastAsia" w:asciiTheme="minorEastAsia" w:hAnsiTheme="minorEastAsia" w:eastAsiaTheme="minorEastAsia" w:cstheme="minorEastAsia"/>
          <w:b/>
          <w:bCs/>
          <w:color w:val="auto"/>
          <w:sz w:val="24"/>
          <w:szCs w:val="24"/>
          <w:highlight w:val="none"/>
        </w:rPr>
        <w:t>无效</w:t>
      </w:r>
      <w:r>
        <w:rPr>
          <w:rFonts w:hint="eastAsia" w:asciiTheme="minorEastAsia" w:hAnsiTheme="minorEastAsia" w:eastAsiaTheme="minorEastAsia" w:cstheme="minorEastAsia"/>
          <w:color w:val="auto"/>
          <w:sz w:val="24"/>
          <w:szCs w:val="24"/>
          <w:highlight w:val="none"/>
        </w:rPr>
        <w:t>。</w:t>
      </w:r>
    </w:p>
    <w:p w14:paraId="2DD0D0BA">
      <w:pPr>
        <w:spacing w:before="0" w:after="0" w:line="240" w:lineRule="atLeast"/>
        <w:outlineLvl w:val="9"/>
        <w:rPr>
          <w:rFonts w:hint="eastAsia" w:asciiTheme="minorEastAsia" w:hAnsiTheme="minorEastAsia" w:eastAsiaTheme="minorEastAsia" w:cstheme="minorEastAsia"/>
          <w:color w:val="auto"/>
          <w:sz w:val="24"/>
          <w:szCs w:val="24"/>
          <w:highlight w:val="none"/>
          <w:u w:val="none"/>
          <w:lang w:eastAsia="zh-CN"/>
        </w:rPr>
      </w:pPr>
      <w:bookmarkStart w:id="105" w:name="_Toc26741"/>
      <w:bookmarkStart w:id="106" w:name="_Toc518923074"/>
      <w:bookmarkStart w:id="107" w:name="_Toc520356156"/>
      <w:bookmarkStart w:id="108" w:name="_Ref467306513"/>
      <w:bookmarkStart w:id="109" w:name="_Toc19457"/>
      <w:bookmarkStart w:id="110" w:name="_Toc13001"/>
      <w:bookmarkStart w:id="111" w:name="_Toc31573"/>
      <w:r>
        <w:rPr>
          <w:rFonts w:hint="eastAsia" w:asciiTheme="minorEastAsia" w:hAnsiTheme="minorEastAsia" w:eastAsiaTheme="minorEastAsia" w:cstheme="minorEastAsia"/>
          <w:color w:val="auto"/>
          <w:sz w:val="24"/>
          <w:szCs w:val="24"/>
          <w:highlight w:val="none"/>
          <w:u w:val="none"/>
        </w:rPr>
        <w:t>12.</w:t>
      </w:r>
      <w:bookmarkEnd w:id="105"/>
      <w:bookmarkEnd w:id="106"/>
      <w:bookmarkEnd w:id="107"/>
      <w:bookmarkEnd w:id="108"/>
      <w:bookmarkEnd w:id="109"/>
      <w:bookmarkEnd w:id="110"/>
      <w:bookmarkEnd w:id="111"/>
      <w:r>
        <w:rPr>
          <w:rFonts w:hint="eastAsia" w:asciiTheme="minorEastAsia" w:hAnsiTheme="minorEastAsia" w:eastAsiaTheme="minorEastAsia" w:cstheme="minorEastAsia"/>
          <w:color w:val="auto"/>
          <w:sz w:val="24"/>
          <w:szCs w:val="24"/>
          <w:highlight w:val="none"/>
          <w:u w:val="none"/>
          <w:lang w:eastAsia="zh-CN"/>
        </w:rPr>
        <w:t>磋商保证金</w:t>
      </w:r>
    </w:p>
    <w:p w14:paraId="0927AAF5">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bookmarkStart w:id="112" w:name="_Ref467306302"/>
      <w:r>
        <w:rPr>
          <w:rFonts w:hint="eastAsia" w:asciiTheme="minorEastAsia" w:hAnsiTheme="minorEastAsia" w:eastAsiaTheme="minorEastAsia" w:cstheme="minorEastAsia"/>
          <w:color w:val="auto"/>
          <w:sz w:val="24"/>
          <w:szCs w:val="24"/>
          <w:highlight w:val="none"/>
        </w:rPr>
        <w:t>12.1</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应提交</w:t>
      </w:r>
      <w:r>
        <w:rPr>
          <w:rFonts w:hint="eastAsia" w:asciiTheme="minorEastAsia" w:hAnsiTheme="minorEastAsia" w:eastAsiaTheme="minorEastAsia" w:cstheme="minorEastAsia"/>
          <w:color w:val="auto"/>
          <w:sz w:val="24"/>
          <w:szCs w:val="24"/>
          <w:highlight w:val="none"/>
          <w:u w:val="single"/>
          <w:lang w:eastAsia="zh-CN"/>
        </w:rPr>
        <w:t>供应商</w:t>
      </w:r>
      <w:r>
        <w:rPr>
          <w:rFonts w:hint="eastAsia" w:asciiTheme="minorEastAsia" w:hAnsiTheme="minorEastAsia" w:eastAsiaTheme="minorEastAsia" w:cstheme="minorEastAsia"/>
          <w:color w:val="auto"/>
          <w:sz w:val="24"/>
          <w:szCs w:val="24"/>
          <w:highlight w:val="none"/>
          <w:u w:val="single"/>
        </w:rPr>
        <w:t>须知资料表</w:t>
      </w:r>
      <w:r>
        <w:rPr>
          <w:rFonts w:hint="eastAsia" w:asciiTheme="minorEastAsia" w:hAnsiTheme="minorEastAsia" w:eastAsiaTheme="minorEastAsia" w:cstheme="minorEastAsia"/>
          <w:color w:val="auto"/>
          <w:sz w:val="24"/>
          <w:szCs w:val="24"/>
          <w:highlight w:val="none"/>
        </w:rPr>
        <w:t>中规定的</w:t>
      </w:r>
      <w:bookmarkEnd w:id="112"/>
      <w:r>
        <w:rPr>
          <w:rFonts w:hint="eastAsia" w:asciiTheme="minorEastAsia" w:hAnsiTheme="minorEastAsia" w:eastAsiaTheme="minorEastAsia" w:cstheme="minorEastAsia"/>
          <w:color w:val="auto"/>
          <w:sz w:val="24"/>
          <w:szCs w:val="24"/>
          <w:highlight w:val="none"/>
          <w:lang w:eastAsia="zh-CN"/>
        </w:rPr>
        <w:t>磋商保证金</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并将银行开户许可证或基本存款账户信息一并放入响应文件内</w:t>
      </w:r>
      <w:r>
        <w:rPr>
          <w:rFonts w:hint="eastAsia" w:asciiTheme="minorEastAsia" w:hAnsiTheme="minorEastAsia" w:eastAsiaTheme="minorEastAsia" w:cstheme="minorEastAsia"/>
          <w:color w:val="auto"/>
          <w:sz w:val="24"/>
          <w:szCs w:val="24"/>
          <w:highlight w:val="none"/>
        </w:rPr>
        <w:t>作为其</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的一部分。</w:t>
      </w:r>
    </w:p>
    <w:p w14:paraId="78FAD9B2">
      <w:pPr>
        <w:spacing w:line="240" w:lineRule="atLeas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存在下列情形的，</w:t>
      </w:r>
      <w:r>
        <w:rPr>
          <w:rFonts w:hint="eastAsia" w:asciiTheme="minorEastAsia" w:hAnsiTheme="minorEastAsia" w:eastAsiaTheme="minorEastAsia" w:cstheme="minorEastAsia"/>
          <w:color w:val="auto"/>
          <w:sz w:val="24"/>
          <w:szCs w:val="24"/>
          <w:highlight w:val="none"/>
          <w:lang w:eastAsia="zh-CN"/>
        </w:rPr>
        <w:t>磋商保证金</w:t>
      </w:r>
      <w:r>
        <w:rPr>
          <w:rFonts w:hint="eastAsia" w:asciiTheme="minorEastAsia" w:hAnsiTheme="minorEastAsia" w:eastAsiaTheme="minorEastAsia" w:cstheme="minorEastAsia"/>
          <w:color w:val="auto"/>
          <w:sz w:val="24"/>
          <w:szCs w:val="24"/>
          <w:highlight w:val="none"/>
        </w:rPr>
        <w:t>不予退还：</w:t>
      </w:r>
    </w:p>
    <w:p w14:paraId="206CCD5E">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（1）在</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有效期内，撤销</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w:t>
      </w:r>
    </w:p>
    <w:p w14:paraId="5E77F39E">
      <w:pPr>
        <w:pStyle w:val="12"/>
        <w:tabs>
          <w:tab w:val="left" w:pos="2240"/>
        </w:tabs>
        <w:spacing w:line="240" w:lineRule="atLeast"/>
        <w:ind w:left="1079" w:leftChars="371" w:hanging="300" w:hangingChars="12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（2）中标后不按本须知第30条的规定与采购人签订合同的；</w:t>
      </w:r>
    </w:p>
    <w:p w14:paraId="0D673957">
      <w:pPr>
        <w:pStyle w:val="12"/>
        <w:tabs>
          <w:tab w:val="left" w:pos="2240"/>
        </w:tabs>
        <w:spacing w:line="240" w:lineRule="atLeast"/>
        <w:ind w:left="1079" w:leftChars="371" w:hanging="300" w:hangingChars="12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（3）中标后不按本须知第31条的规定提交履约保证金的；</w:t>
      </w:r>
    </w:p>
    <w:p w14:paraId="0DA94410">
      <w:pPr>
        <w:pStyle w:val="12"/>
        <w:tabs>
          <w:tab w:val="left" w:pos="2240"/>
        </w:tabs>
        <w:spacing w:line="240" w:lineRule="atLeast"/>
        <w:ind w:left="1079" w:leftChars="371" w:hanging="300" w:hangingChars="12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（4）中标后不按本须知第32条的规定缴纳中标服务费的；</w:t>
      </w:r>
    </w:p>
    <w:p w14:paraId="24A65875">
      <w:pPr>
        <w:pStyle w:val="12"/>
        <w:tabs>
          <w:tab w:val="left" w:pos="2240"/>
        </w:tabs>
        <w:spacing w:line="240" w:lineRule="atLeast"/>
        <w:ind w:left="1079" w:leftChars="371" w:hanging="300" w:hangingChars="12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（5）存在其他违法违规行为的。</w:t>
      </w:r>
    </w:p>
    <w:p w14:paraId="25875715">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bookmarkStart w:id="113" w:name="_Ref467306336"/>
      <w:r>
        <w:rPr>
          <w:rFonts w:hint="eastAsia" w:asciiTheme="minorEastAsia" w:hAnsiTheme="minorEastAsia" w:eastAsiaTheme="minorEastAsia" w:cstheme="minorEastAsia"/>
          <w:color w:val="auto"/>
          <w:sz w:val="24"/>
          <w:szCs w:val="24"/>
          <w:highlight w:val="none"/>
        </w:rPr>
        <w:t>12.3</w:t>
      </w:r>
      <w:r>
        <w:rPr>
          <w:rFonts w:hint="eastAsia" w:asciiTheme="minorEastAsia" w:hAnsiTheme="minorEastAsia" w:eastAsiaTheme="minorEastAsia" w:cstheme="minorEastAsia"/>
          <w:color w:val="auto"/>
          <w:sz w:val="24"/>
          <w:szCs w:val="24"/>
          <w:highlight w:val="none"/>
        </w:rPr>
        <w:tab/>
      </w:r>
      <w:bookmarkEnd w:id="113"/>
      <w:r>
        <w:rPr>
          <w:rFonts w:hint="eastAsia" w:asciiTheme="minorEastAsia" w:hAnsiTheme="minorEastAsia" w:eastAsiaTheme="minorEastAsia" w:cstheme="minorEastAsia"/>
          <w:color w:val="auto"/>
          <w:sz w:val="24"/>
          <w:szCs w:val="24"/>
          <w:highlight w:val="none"/>
        </w:rPr>
        <w:t>政府采购信用担保试点范围内的项目，接受符合财政部门规定的政府采购</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担保函原件。</w:t>
      </w:r>
    </w:p>
    <w:p w14:paraId="769D5BE9">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12.4</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未按本须知第12.1和12.3条规定提交</w:t>
      </w:r>
      <w:r>
        <w:rPr>
          <w:rFonts w:hint="eastAsia" w:asciiTheme="minorEastAsia" w:hAnsiTheme="minorEastAsia" w:eastAsiaTheme="minorEastAsia" w:cstheme="minorEastAsia"/>
          <w:color w:val="auto"/>
          <w:sz w:val="24"/>
          <w:szCs w:val="24"/>
          <w:highlight w:val="none"/>
          <w:lang w:eastAsia="zh-CN"/>
        </w:rPr>
        <w:t>磋商保证金</w:t>
      </w:r>
      <w:r>
        <w:rPr>
          <w:rFonts w:hint="eastAsia" w:asciiTheme="minorEastAsia" w:hAnsiTheme="minorEastAsia" w:eastAsiaTheme="minorEastAsia" w:cstheme="minorEastAsia"/>
          <w:color w:val="auto"/>
          <w:sz w:val="24"/>
          <w:szCs w:val="24"/>
          <w:highlight w:val="none"/>
        </w:rPr>
        <w:t>的，其</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将被认定为</w:t>
      </w:r>
      <w:r>
        <w:rPr>
          <w:rFonts w:hint="eastAsia" w:asciiTheme="minorEastAsia" w:hAnsiTheme="minorEastAsia" w:eastAsiaTheme="minorEastAsia" w:cstheme="minorEastAsia"/>
          <w:b/>
          <w:color w:val="auto"/>
          <w:sz w:val="24"/>
          <w:szCs w:val="24"/>
          <w:highlight w:val="none"/>
          <w:lang w:eastAsia="zh-CN"/>
        </w:rPr>
        <w:t>磋商</w:t>
      </w:r>
      <w:r>
        <w:rPr>
          <w:rFonts w:hint="eastAsia" w:asciiTheme="minorEastAsia" w:hAnsiTheme="minorEastAsia" w:eastAsiaTheme="minorEastAsia" w:cstheme="minorEastAsia"/>
          <w:b/>
          <w:color w:val="auto"/>
          <w:sz w:val="24"/>
          <w:szCs w:val="24"/>
          <w:highlight w:val="none"/>
        </w:rPr>
        <w:t>无效</w:t>
      </w:r>
      <w:r>
        <w:rPr>
          <w:rFonts w:hint="eastAsia" w:asciiTheme="minorEastAsia" w:hAnsiTheme="minorEastAsia" w:eastAsiaTheme="minorEastAsia" w:cstheme="minorEastAsia"/>
          <w:color w:val="auto"/>
          <w:sz w:val="24"/>
          <w:szCs w:val="24"/>
          <w:highlight w:val="none"/>
        </w:rPr>
        <w:t>。</w:t>
      </w:r>
    </w:p>
    <w:p w14:paraId="20F516BC">
      <w:pPr>
        <w:spacing w:line="240" w:lineRule="atLeas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12.4.1  采用电汇形式的，一般可以实时入账；</w:t>
      </w:r>
    </w:p>
    <w:p w14:paraId="54E1AF0F">
      <w:pPr>
        <w:spacing w:line="240" w:lineRule="atLeast"/>
        <w:ind w:left="960" w:hanging="960" w:hangingChars="4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12.4.2  采用支票形式的，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则应充分考虑支票入账时间，以确保</w:t>
      </w:r>
      <w:r>
        <w:rPr>
          <w:rFonts w:hint="eastAsia" w:asciiTheme="minorEastAsia" w:hAnsiTheme="minorEastAsia" w:eastAsiaTheme="minorEastAsia" w:cstheme="minorEastAsia"/>
          <w:color w:val="auto"/>
          <w:sz w:val="24"/>
          <w:szCs w:val="24"/>
          <w:highlight w:val="none"/>
          <w:lang w:eastAsia="zh-CN"/>
        </w:rPr>
        <w:t>磋商保证金</w:t>
      </w:r>
      <w:r>
        <w:rPr>
          <w:rFonts w:hint="eastAsia" w:asciiTheme="minorEastAsia" w:hAnsiTheme="minorEastAsia" w:eastAsiaTheme="minorEastAsia" w:cstheme="minorEastAsia"/>
          <w:color w:val="auto"/>
          <w:sz w:val="24"/>
          <w:szCs w:val="24"/>
          <w:highlight w:val="none"/>
        </w:rPr>
        <w:t>能按时进入指定账户。根据银行信息交换和付款时间，支票从递交至实际入账一般需要4-5个工作日。如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未及时提交支票或支票不符合银行委托收款要求（如污损、折叠、胶装等），导致</w:t>
      </w:r>
      <w:r>
        <w:rPr>
          <w:rFonts w:hint="eastAsia" w:asciiTheme="minorEastAsia" w:hAnsiTheme="minorEastAsia" w:eastAsiaTheme="minorEastAsia" w:cstheme="minorEastAsia"/>
          <w:color w:val="auto"/>
          <w:sz w:val="24"/>
          <w:szCs w:val="24"/>
          <w:highlight w:val="none"/>
          <w:lang w:eastAsia="zh-CN"/>
        </w:rPr>
        <w:t>磋商保证金</w:t>
      </w:r>
      <w:r>
        <w:rPr>
          <w:rFonts w:hint="eastAsia" w:asciiTheme="minorEastAsia" w:hAnsiTheme="minorEastAsia" w:eastAsiaTheme="minorEastAsia" w:cstheme="minorEastAsia"/>
          <w:color w:val="auto"/>
          <w:sz w:val="24"/>
          <w:szCs w:val="24"/>
          <w:highlight w:val="none"/>
        </w:rPr>
        <w:t>不能按时进入指定账户的，将按照</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文件的第22.2条相关规定处理。</w:t>
      </w:r>
    </w:p>
    <w:p w14:paraId="3025754C">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12.5    联合体</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的，可以由联合体中的一方或者共同提交</w:t>
      </w:r>
      <w:r>
        <w:rPr>
          <w:rFonts w:hint="eastAsia" w:asciiTheme="minorEastAsia" w:hAnsiTheme="minorEastAsia" w:eastAsiaTheme="minorEastAsia" w:cstheme="minorEastAsia"/>
          <w:color w:val="auto"/>
          <w:sz w:val="24"/>
          <w:szCs w:val="24"/>
          <w:highlight w:val="none"/>
          <w:lang w:eastAsia="zh-CN"/>
        </w:rPr>
        <w:t>磋商保证金</w:t>
      </w:r>
      <w:r>
        <w:rPr>
          <w:rFonts w:hint="eastAsia" w:asciiTheme="minorEastAsia" w:hAnsiTheme="minorEastAsia" w:eastAsiaTheme="minorEastAsia" w:cstheme="minorEastAsia"/>
          <w:color w:val="auto"/>
          <w:sz w:val="24"/>
          <w:szCs w:val="24"/>
          <w:highlight w:val="none"/>
        </w:rPr>
        <w:t>。以一方名义提交</w:t>
      </w:r>
      <w:r>
        <w:rPr>
          <w:rFonts w:hint="eastAsia" w:asciiTheme="minorEastAsia" w:hAnsiTheme="minorEastAsia" w:eastAsiaTheme="minorEastAsia" w:cstheme="minorEastAsia"/>
          <w:color w:val="auto"/>
          <w:sz w:val="24"/>
          <w:szCs w:val="24"/>
          <w:highlight w:val="none"/>
          <w:lang w:eastAsia="zh-CN"/>
        </w:rPr>
        <w:t>磋商保证金</w:t>
      </w:r>
      <w:r>
        <w:rPr>
          <w:rFonts w:hint="eastAsia" w:asciiTheme="minorEastAsia" w:hAnsiTheme="minorEastAsia" w:eastAsiaTheme="minorEastAsia" w:cstheme="minorEastAsia"/>
          <w:color w:val="auto"/>
          <w:sz w:val="24"/>
          <w:szCs w:val="24"/>
          <w:highlight w:val="none"/>
        </w:rPr>
        <w:t>的，对联合体各方均具有约束力。</w:t>
      </w:r>
    </w:p>
    <w:p w14:paraId="0F56A52D">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12.6</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lang w:eastAsia="zh-CN"/>
        </w:rPr>
        <w:t>磋商保证金</w:t>
      </w:r>
      <w:r>
        <w:rPr>
          <w:rFonts w:hint="eastAsia" w:asciiTheme="minorEastAsia" w:hAnsiTheme="minorEastAsia" w:eastAsiaTheme="minorEastAsia" w:cstheme="minorEastAsia"/>
          <w:b/>
          <w:color w:val="auto"/>
          <w:sz w:val="24"/>
          <w:szCs w:val="24"/>
          <w:highlight w:val="none"/>
        </w:rPr>
        <w:t>的退还</w:t>
      </w:r>
    </w:p>
    <w:p w14:paraId="6C7F82C2">
      <w:pPr>
        <w:spacing w:line="240" w:lineRule="atLeast"/>
        <w:ind w:left="1020" w:hanging="1020" w:hangingChars="42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12.6.1  中标人应在与采购人签订合同之日起5个工作日内，及时联系保证金收受机构办理</w:t>
      </w:r>
      <w:r>
        <w:rPr>
          <w:rFonts w:hint="eastAsia" w:asciiTheme="minorEastAsia" w:hAnsiTheme="minorEastAsia" w:eastAsiaTheme="minorEastAsia" w:cstheme="minorEastAsia"/>
          <w:color w:val="auto"/>
          <w:sz w:val="24"/>
          <w:szCs w:val="24"/>
          <w:highlight w:val="none"/>
          <w:lang w:eastAsia="zh-CN"/>
        </w:rPr>
        <w:t>磋商保证金</w:t>
      </w:r>
      <w:r>
        <w:rPr>
          <w:rFonts w:hint="eastAsia" w:asciiTheme="minorEastAsia" w:hAnsiTheme="minorEastAsia" w:eastAsiaTheme="minorEastAsia" w:cstheme="minorEastAsia"/>
          <w:color w:val="auto"/>
          <w:sz w:val="24"/>
          <w:szCs w:val="24"/>
          <w:highlight w:val="none"/>
        </w:rPr>
        <w:t>无息退还手续。</w:t>
      </w:r>
    </w:p>
    <w:p w14:paraId="5AFA3BC6">
      <w:pPr>
        <w:ind w:left="1020" w:hanging="1020" w:hangingChars="42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12.6.2  未中标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磋商保证金</w:t>
      </w:r>
      <w:r>
        <w:rPr>
          <w:rFonts w:hint="eastAsia" w:asciiTheme="minorEastAsia" w:hAnsiTheme="minorEastAsia" w:eastAsiaTheme="minorEastAsia" w:cstheme="minorEastAsia"/>
          <w:color w:val="auto"/>
          <w:sz w:val="24"/>
          <w:szCs w:val="24"/>
          <w:highlight w:val="none"/>
        </w:rPr>
        <w:t>将在中标通知书发出之日暨中标结果公告公布之日起5个工作日内无息退还。</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val="en-US" w:eastAsia="zh-CN"/>
        </w:rPr>
        <w:t>应</w:t>
      </w:r>
      <w:r>
        <w:rPr>
          <w:rFonts w:hint="eastAsia" w:asciiTheme="minorEastAsia" w:hAnsiTheme="minorEastAsia" w:eastAsiaTheme="minorEastAsia" w:cstheme="minorEastAsia"/>
          <w:color w:val="auto"/>
          <w:sz w:val="24"/>
          <w:szCs w:val="24"/>
          <w:highlight w:val="none"/>
        </w:rPr>
        <w:t>及时联系保证金收受机构办理退还</w:t>
      </w:r>
      <w:r>
        <w:rPr>
          <w:rFonts w:hint="eastAsia" w:asciiTheme="minorEastAsia" w:hAnsiTheme="minorEastAsia" w:eastAsiaTheme="minorEastAsia" w:cstheme="minorEastAsia"/>
          <w:color w:val="auto"/>
          <w:sz w:val="24"/>
          <w:szCs w:val="24"/>
          <w:highlight w:val="none"/>
          <w:lang w:eastAsia="zh-CN"/>
        </w:rPr>
        <w:t>磋商保证金</w:t>
      </w:r>
      <w:r>
        <w:rPr>
          <w:rFonts w:hint="eastAsia" w:asciiTheme="minorEastAsia" w:hAnsiTheme="minorEastAsia" w:eastAsiaTheme="minorEastAsia" w:cstheme="minorEastAsia"/>
          <w:color w:val="auto"/>
          <w:sz w:val="24"/>
          <w:szCs w:val="24"/>
          <w:highlight w:val="none"/>
        </w:rPr>
        <w:t>手续。</w:t>
      </w:r>
      <w:bookmarkStart w:id="114" w:name="_Toc518923075"/>
    </w:p>
    <w:p w14:paraId="004E7CC9">
      <w:pPr>
        <w:ind w:left="1020" w:hanging="1020" w:hangingChars="42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12.6.3  政府采购</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担保函不予退回。</w:t>
      </w:r>
      <w:bookmarkEnd w:id="114"/>
    </w:p>
    <w:p w14:paraId="6A9C7BE0">
      <w:pPr>
        <w:spacing w:line="240" w:lineRule="atLeast"/>
        <w:ind w:left="960" w:hanging="960" w:hangingChars="4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12.7    因</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自身原因导致无法及时退还的，采购人或采购代理机构将不承担相应责任。</w:t>
      </w:r>
    </w:p>
    <w:p w14:paraId="2FFE09F3">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115" w:name="_Toc12225"/>
      <w:bookmarkStart w:id="116" w:name="_Toc8995"/>
      <w:bookmarkStart w:id="117" w:name="_Toc518923076"/>
      <w:bookmarkStart w:id="118" w:name="_Toc520356157"/>
      <w:bookmarkStart w:id="119" w:name="_Toc12919"/>
      <w:bookmarkStart w:id="120" w:name="_Toc23336"/>
      <w:r>
        <w:rPr>
          <w:rFonts w:hint="eastAsia" w:asciiTheme="minorEastAsia" w:hAnsiTheme="minorEastAsia" w:eastAsiaTheme="minorEastAsia" w:cstheme="minorEastAsia"/>
          <w:color w:val="auto"/>
          <w:sz w:val="24"/>
          <w:szCs w:val="24"/>
          <w:highlight w:val="none"/>
          <w:u w:val="none"/>
        </w:rPr>
        <w:t>13.</w:t>
      </w:r>
      <w:r>
        <w:rPr>
          <w:rFonts w:hint="eastAsia" w:asciiTheme="minorEastAsia" w:hAnsiTheme="minorEastAsia" w:eastAsiaTheme="minorEastAsia" w:cstheme="minorEastAsia"/>
          <w:color w:val="auto"/>
          <w:sz w:val="24"/>
          <w:szCs w:val="24"/>
          <w:highlight w:val="none"/>
          <w:u w:val="none"/>
          <w:lang w:eastAsia="zh-CN"/>
        </w:rPr>
        <w:t>磋商</w:t>
      </w:r>
      <w:r>
        <w:rPr>
          <w:rFonts w:hint="eastAsia" w:asciiTheme="minorEastAsia" w:hAnsiTheme="minorEastAsia" w:eastAsiaTheme="minorEastAsia" w:cstheme="minorEastAsia"/>
          <w:color w:val="auto"/>
          <w:sz w:val="24"/>
          <w:szCs w:val="24"/>
          <w:highlight w:val="none"/>
          <w:u w:val="none"/>
        </w:rPr>
        <w:t>有效期</w:t>
      </w:r>
      <w:bookmarkEnd w:id="115"/>
      <w:bookmarkEnd w:id="116"/>
      <w:bookmarkEnd w:id="117"/>
      <w:bookmarkEnd w:id="118"/>
      <w:bookmarkEnd w:id="119"/>
      <w:bookmarkEnd w:id="120"/>
    </w:p>
    <w:p w14:paraId="0C904772">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u w:val="single"/>
          <w:lang w:eastAsia="zh-CN"/>
        </w:rPr>
        <w:t>供应商</w:t>
      </w:r>
      <w:r>
        <w:rPr>
          <w:rFonts w:hint="eastAsia" w:asciiTheme="minorEastAsia" w:hAnsiTheme="minorEastAsia" w:eastAsiaTheme="minorEastAsia" w:cstheme="minorEastAsia"/>
          <w:color w:val="auto"/>
          <w:sz w:val="24"/>
          <w:szCs w:val="24"/>
          <w:highlight w:val="none"/>
          <w:u w:val="single"/>
        </w:rPr>
        <w:t>须知资料表</w:t>
      </w:r>
      <w:r>
        <w:rPr>
          <w:rFonts w:hint="eastAsia" w:asciiTheme="minorEastAsia" w:hAnsiTheme="minorEastAsia" w:eastAsiaTheme="minorEastAsia" w:cstheme="minorEastAsia"/>
          <w:color w:val="auto"/>
          <w:sz w:val="24"/>
          <w:szCs w:val="24"/>
          <w:highlight w:val="none"/>
        </w:rPr>
        <w:t>中规定时间内保持有效。</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有效期不满足要求的</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，其</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将被认定为</w:t>
      </w:r>
      <w:r>
        <w:rPr>
          <w:rFonts w:hint="eastAsia" w:asciiTheme="minorEastAsia" w:hAnsiTheme="minorEastAsia" w:eastAsiaTheme="minorEastAsia" w:cstheme="minorEastAsia"/>
          <w:b/>
          <w:color w:val="auto"/>
          <w:sz w:val="24"/>
          <w:szCs w:val="24"/>
          <w:highlight w:val="none"/>
          <w:lang w:eastAsia="zh-CN"/>
        </w:rPr>
        <w:t>磋商</w:t>
      </w:r>
      <w:r>
        <w:rPr>
          <w:rFonts w:hint="eastAsia" w:asciiTheme="minorEastAsia" w:hAnsiTheme="minorEastAsia" w:eastAsiaTheme="minorEastAsia" w:cstheme="minorEastAsia"/>
          <w:b/>
          <w:color w:val="auto"/>
          <w:sz w:val="24"/>
          <w:szCs w:val="24"/>
          <w:highlight w:val="none"/>
        </w:rPr>
        <w:t>无效</w:t>
      </w:r>
      <w:r>
        <w:rPr>
          <w:rFonts w:hint="eastAsia" w:asciiTheme="minorEastAsia" w:hAnsiTheme="minorEastAsia" w:eastAsiaTheme="minorEastAsia" w:cstheme="minorEastAsia"/>
          <w:color w:val="auto"/>
          <w:sz w:val="24"/>
          <w:szCs w:val="24"/>
          <w:highlight w:val="none"/>
        </w:rPr>
        <w:t>。</w:t>
      </w:r>
    </w:p>
    <w:p w14:paraId="25D103D2">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为保证有充分时间签订合同，采购人或采购代理机构可根据实际情况，在原</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有效期截止之前，要求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延长</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的有效期。接受该要求的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将不会被要求和允许修正其</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，且本须知中有关</w:t>
      </w:r>
      <w:r>
        <w:rPr>
          <w:rFonts w:hint="eastAsia" w:asciiTheme="minorEastAsia" w:hAnsiTheme="minorEastAsia" w:eastAsiaTheme="minorEastAsia" w:cstheme="minorEastAsia"/>
          <w:color w:val="auto"/>
          <w:sz w:val="24"/>
          <w:szCs w:val="24"/>
          <w:highlight w:val="none"/>
          <w:lang w:eastAsia="zh-CN"/>
        </w:rPr>
        <w:t>磋商保证金</w:t>
      </w:r>
      <w:r>
        <w:rPr>
          <w:rFonts w:hint="eastAsia" w:asciiTheme="minorEastAsia" w:hAnsiTheme="minorEastAsia" w:eastAsiaTheme="minorEastAsia" w:cstheme="minorEastAsia"/>
          <w:color w:val="auto"/>
          <w:sz w:val="24"/>
          <w:szCs w:val="24"/>
          <w:highlight w:val="none"/>
        </w:rPr>
        <w:t>的要求须在延长的有效期内继续有效。</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可以拒绝延长</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有效期的要求，其</w:t>
      </w:r>
      <w:r>
        <w:rPr>
          <w:rFonts w:hint="eastAsia" w:asciiTheme="minorEastAsia" w:hAnsiTheme="minorEastAsia" w:eastAsiaTheme="minorEastAsia" w:cstheme="minorEastAsia"/>
          <w:color w:val="auto"/>
          <w:sz w:val="24"/>
          <w:szCs w:val="24"/>
          <w:highlight w:val="none"/>
          <w:lang w:eastAsia="zh-CN"/>
        </w:rPr>
        <w:t>磋商保证金</w:t>
      </w:r>
      <w:r>
        <w:rPr>
          <w:rFonts w:hint="eastAsia" w:asciiTheme="minorEastAsia" w:hAnsiTheme="minorEastAsia" w:eastAsiaTheme="minorEastAsia" w:cstheme="minorEastAsia"/>
          <w:color w:val="auto"/>
          <w:sz w:val="24"/>
          <w:szCs w:val="24"/>
          <w:highlight w:val="none"/>
        </w:rPr>
        <w:t>将及时按规定无息退还。上述要求和答复都应以书面形式提交。</w:t>
      </w:r>
    </w:p>
    <w:p w14:paraId="6E228304">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121" w:name="_Toc520356158"/>
      <w:bookmarkStart w:id="122" w:name="_Toc10284"/>
      <w:bookmarkStart w:id="123" w:name="_Toc13819"/>
      <w:bookmarkStart w:id="124" w:name="_Toc18345"/>
      <w:bookmarkStart w:id="125" w:name="_Toc14163"/>
      <w:bookmarkStart w:id="126" w:name="_Toc518923077"/>
      <w:r>
        <w:rPr>
          <w:rFonts w:hint="eastAsia" w:asciiTheme="minorEastAsia" w:hAnsiTheme="minorEastAsia" w:eastAsiaTheme="minorEastAsia" w:cstheme="minorEastAsia"/>
          <w:color w:val="auto"/>
          <w:sz w:val="24"/>
          <w:szCs w:val="24"/>
          <w:highlight w:val="none"/>
          <w:u w:val="none"/>
        </w:rPr>
        <w:t>14.</w:t>
      </w:r>
      <w:r>
        <w:rPr>
          <w:rFonts w:hint="eastAsia" w:asciiTheme="minorEastAsia" w:hAnsiTheme="minorEastAsia" w:eastAsiaTheme="minorEastAsia" w:cstheme="minorEastAsia"/>
          <w:color w:val="auto"/>
          <w:sz w:val="24"/>
          <w:szCs w:val="24"/>
          <w:highlight w:val="none"/>
          <w:u w:val="none"/>
          <w:lang w:eastAsia="zh-CN"/>
        </w:rPr>
        <w:t>响应文件</w:t>
      </w:r>
      <w:r>
        <w:rPr>
          <w:rFonts w:hint="eastAsia" w:asciiTheme="minorEastAsia" w:hAnsiTheme="minorEastAsia" w:eastAsiaTheme="minorEastAsia" w:cstheme="minorEastAsia"/>
          <w:color w:val="auto"/>
          <w:sz w:val="24"/>
          <w:szCs w:val="24"/>
          <w:highlight w:val="none"/>
          <w:u w:val="none"/>
        </w:rPr>
        <w:t>的签署</w:t>
      </w:r>
      <w:bookmarkEnd w:id="121"/>
      <w:r>
        <w:rPr>
          <w:rFonts w:hint="eastAsia" w:asciiTheme="minorEastAsia" w:hAnsiTheme="minorEastAsia" w:eastAsiaTheme="minorEastAsia" w:cstheme="minorEastAsia"/>
          <w:color w:val="auto"/>
          <w:sz w:val="24"/>
          <w:szCs w:val="24"/>
          <w:highlight w:val="none"/>
          <w:u w:val="none"/>
        </w:rPr>
        <w:t>及规定</w:t>
      </w:r>
      <w:bookmarkEnd w:id="122"/>
      <w:bookmarkEnd w:id="123"/>
      <w:bookmarkEnd w:id="124"/>
      <w:bookmarkEnd w:id="125"/>
      <w:bookmarkEnd w:id="126"/>
    </w:p>
    <w:p w14:paraId="525A42DE">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rPr>
        <w:t>14.1</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u w:val="single"/>
          <w:shd w:val="clear" w:color="auto" w:fill="auto"/>
          <w:lang w:eastAsia="zh-CN"/>
        </w:rPr>
        <w:t>供应商</w:t>
      </w:r>
      <w:r>
        <w:rPr>
          <w:rFonts w:hint="eastAsia" w:asciiTheme="minorEastAsia" w:hAnsiTheme="minorEastAsia" w:eastAsiaTheme="minorEastAsia" w:cstheme="minorEastAsia"/>
          <w:color w:val="auto"/>
          <w:sz w:val="24"/>
          <w:szCs w:val="24"/>
          <w:highlight w:val="none"/>
          <w:u w:val="single"/>
          <w:shd w:val="clear" w:color="auto" w:fill="auto"/>
        </w:rPr>
        <w:t>应按</w:t>
      </w:r>
      <w:r>
        <w:rPr>
          <w:rFonts w:hint="eastAsia" w:asciiTheme="minorEastAsia" w:hAnsiTheme="minorEastAsia" w:eastAsiaTheme="minorEastAsia" w:cstheme="minorEastAsia"/>
          <w:color w:val="auto"/>
          <w:sz w:val="24"/>
          <w:szCs w:val="24"/>
          <w:highlight w:val="none"/>
          <w:u w:val="single"/>
          <w:shd w:val="clear" w:color="auto" w:fill="auto"/>
          <w:lang w:eastAsia="zh-CN"/>
        </w:rPr>
        <w:t>供应商</w:t>
      </w:r>
      <w:r>
        <w:rPr>
          <w:rFonts w:hint="eastAsia" w:asciiTheme="minorEastAsia" w:hAnsiTheme="minorEastAsia" w:eastAsiaTheme="minorEastAsia" w:cstheme="minorEastAsia"/>
          <w:color w:val="auto"/>
          <w:sz w:val="24"/>
          <w:szCs w:val="24"/>
          <w:highlight w:val="none"/>
          <w:u w:val="single"/>
          <w:shd w:val="clear" w:color="auto" w:fill="auto"/>
        </w:rPr>
        <w:t>须知资料表中的规定，准供应商须在响应文件递交截止时间前完成在系统上递交电子响应文件。供应商的电子响应文件是经过CA证书加密后上传提交的，任何单位或个人均无法在响应文件递交截止(即开标时间)之前查看或篡改，不存在泄密风险。（严格按照政采云电子</w:t>
      </w:r>
      <w:r>
        <w:rPr>
          <w:rFonts w:hint="eastAsia" w:asciiTheme="minorEastAsia" w:hAnsiTheme="minorEastAsia" w:eastAsiaTheme="minorEastAsia" w:cstheme="minorEastAsia"/>
          <w:color w:val="auto"/>
          <w:sz w:val="24"/>
          <w:szCs w:val="24"/>
          <w:highlight w:val="none"/>
          <w:u w:val="single"/>
          <w:shd w:val="clear" w:color="auto" w:fill="auto"/>
          <w:lang w:eastAsia="zh-CN"/>
        </w:rPr>
        <w:t>磋商</w:t>
      </w:r>
      <w:r>
        <w:rPr>
          <w:rFonts w:hint="eastAsia" w:asciiTheme="minorEastAsia" w:hAnsiTheme="minorEastAsia" w:eastAsiaTheme="minorEastAsia" w:cstheme="minorEastAsia"/>
          <w:color w:val="auto"/>
          <w:sz w:val="24"/>
          <w:szCs w:val="24"/>
          <w:highlight w:val="none"/>
          <w:u w:val="single"/>
          <w:shd w:val="clear" w:color="auto" w:fill="auto"/>
        </w:rPr>
        <w:t>流程制作并上传电子响应文件）所有</w:t>
      </w:r>
      <w:r>
        <w:rPr>
          <w:rFonts w:hint="eastAsia" w:asciiTheme="minorEastAsia" w:hAnsiTheme="minorEastAsia" w:eastAsiaTheme="minorEastAsia" w:cstheme="minorEastAsia"/>
          <w:color w:val="auto"/>
          <w:sz w:val="24"/>
          <w:szCs w:val="24"/>
          <w:highlight w:val="none"/>
          <w:u w:val="single"/>
          <w:shd w:val="clear" w:color="auto" w:fill="auto"/>
          <w:lang w:eastAsia="zh-CN"/>
        </w:rPr>
        <w:t>磋商</w:t>
      </w:r>
      <w:r>
        <w:rPr>
          <w:rFonts w:hint="eastAsia" w:asciiTheme="minorEastAsia" w:hAnsiTheme="minorEastAsia" w:eastAsiaTheme="minorEastAsia" w:cstheme="minorEastAsia"/>
          <w:color w:val="auto"/>
          <w:sz w:val="24"/>
          <w:szCs w:val="24"/>
          <w:highlight w:val="none"/>
          <w:u w:val="single"/>
          <w:shd w:val="clear" w:color="auto" w:fill="auto"/>
        </w:rPr>
        <w:t>文件采用电子版，否则将被认定为</w:t>
      </w:r>
      <w:r>
        <w:rPr>
          <w:rFonts w:hint="eastAsia" w:asciiTheme="minorEastAsia" w:hAnsiTheme="minorEastAsia" w:eastAsiaTheme="minorEastAsia" w:cstheme="minorEastAsia"/>
          <w:b/>
          <w:bCs/>
          <w:color w:val="auto"/>
          <w:sz w:val="24"/>
          <w:szCs w:val="24"/>
          <w:highlight w:val="none"/>
          <w:u w:val="single"/>
          <w:shd w:val="clear" w:color="auto" w:fill="auto"/>
          <w:lang w:eastAsia="zh-CN"/>
        </w:rPr>
        <w:t>磋商</w:t>
      </w:r>
      <w:r>
        <w:rPr>
          <w:rFonts w:hint="eastAsia" w:asciiTheme="minorEastAsia" w:hAnsiTheme="minorEastAsia" w:eastAsiaTheme="minorEastAsia" w:cstheme="minorEastAsia"/>
          <w:b/>
          <w:bCs/>
          <w:color w:val="auto"/>
          <w:sz w:val="24"/>
          <w:szCs w:val="24"/>
          <w:highlight w:val="none"/>
          <w:u w:val="single"/>
          <w:shd w:val="clear" w:color="auto" w:fill="auto"/>
        </w:rPr>
        <w:t>无效</w:t>
      </w:r>
      <w:r>
        <w:rPr>
          <w:rFonts w:hint="eastAsia" w:asciiTheme="minorEastAsia" w:hAnsiTheme="minorEastAsia" w:eastAsiaTheme="minorEastAsia" w:cstheme="minorEastAsia"/>
          <w:color w:val="auto"/>
          <w:sz w:val="24"/>
          <w:szCs w:val="24"/>
          <w:highlight w:val="none"/>
          <w:u w:val="single"/>
          <w:shd w:val="clear" w:color="auto" w:fill="auto"/>
        </w:rPr>
        <w:t>。</w:t>
      </w:r>
    </w:p>
    <w:p w14:paraId="466CA25E">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14.2</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所有响应文件应按照招标文件规定的格式填写、签署和盖章。</w:t>
      </w:r>
    </w:p>
    <w:p w14:paraId="208D093F">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eastAsia="zh-CN"/>
        </w:rPr>
        <w:t>响应文件因字迹潦草、表达不清或未按照招标文件规定的格式填写、签署和盖章所引起的后果由供应商负责。</w:t>
      </w:r>
    </w:p>
    <w:p w14:paraId="0D31D373">
      <w:pPr>
        <w:pStyle w:val="3"/>
        <w:spacing w:before="0" w:line="240" w:lineRule="atLeast"/>
        <w:ind w:left="1079" w:leftChars="257" w:hanging="540"/>
        <w:rPr>
          <w:rFonts w:hint="eastAsia" w:asciiTheme="minorEastAsia" w:hAnsiTheme="minorEastAsia" w:eastAsiaTheme="minorEastAsia" w:cstheme="minorEastAsia"/>
          <w:color w:val="auto"/>
          <w:sz w:val="24"/>
          <w:highlight w:val="none"/>
        </w:rPr>
      </w:pPr>
      <w:bookmarkStart w:id="127" w:name="_Toc24911"/>
      <w:bookmarkStart w:id="128" w:name="_Toc518923078"/>
      <w:bookmarkStart w:id="129" w:name="_Toc5130"/>
      <w:bookmarkStart w:id="130" w:name="_Toc13201"/>
      <w:bookmarkStart w:id="131" w:name="_Toc216582808"/>
      <w:bookmarkStart w:id="132" w:name="_Toc9903"/>
      <w:bookmarkStart w:id="133" w:name="_Toc17402"/>
      <w:bookmarkStart w:id="134" w:name="_Toc520356159"/>
      <w:r>
        <w:rPr>
          <w:rFonts w:hint="eastAsia" w:asciiTheme="minorEastAsia" w:hAnsiTheme="minorEastAsia" w:eastAsiaTheme="minorEastAsia" w:cstheme="minorEastAsia"/>
          <w:color w:val="auto"/>
          <w:sz w:val="24"/>
          <w:highlight w:val="none"/>
        </w:rPr>
        <w:t xml:space="preserve">四   </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的递交</w:t>
      </w:r>
      <w:bookmarkEnd w:id="127"/>
      <w:bookmarkEnd w:id="128"/>
      <w:bookmarkEnd w:id="129"/>
      <w:bookmarkEnd w:id="130"/>
      <w:bookmarkEnd w:id="131"/>
      <w:bookmarkEnd w:id="132"/>
      <w:bookmarkEnd w:id="133"/>
      <w:bookmarkEnd w:id="134"/>
    </w:p>
    <w:p w14:paraId="3399F9C7">
      <w:pPr>
        <w:pStyle w:val="7"/>
        <w:rPr>
          <w:rFonts w:hint="eastAsia" w:asciiTheme="minorEastAsia" w:hAnsiTheme="minorEastAsia" w:eastAsiaTheme="minorEastAsia" w:cstheme="minorEastAsia"/>
          <w:color w:val="auto"/>
          <w:sz w:val="24"/>
          <w:szCs w:val="24"/>
          <w:highlight w:val="none"/>
        </w:rPr>
      </w:pPr>
    </w:p>
    <w:p w14:paraId="04409681">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135" w:name="_Toc29911"/>
      <w:bookmarkStart w:id="136" w:name="_Toc27606"/>
      <w:bookmarkStart w:id="137" w:name="_Toc20802"/>
      <w:bookmarkStart w:id="138" w:name="_Toc518923079"/>
      <w:bookmarkStart w:id="139" w:name="_Toc11029"/>
      <w:bookmarkStart w:id="140" w:name="_Toc520356160"/>
      <w:r>
        <w:rPr>
          <w:rFonts w:hint="eastAsia" w:asciiTheme="minorEastAsia" w:hAnsiTheme="minorEastAsia" w:eastAsiaTheme="minorEastAsia" w:cstheme="minorEastAsia"/>
          <w:color w:val="auto"/>
          <w:sz w:val="24"/>
          <w:szCs w:val="24"/>
          <w:highlight w:val="none"/>
          <w:u w:val="none"/>
        </w:rPr>
        <w:t>15.</w:t>
      </w:r>
      <w:r>
        <w:rPr>
          <w:rFonts w:hint="eastAsia" w:asciiTheme="minorEastAsia" w:hAnsiTheme="minorEastAsia" w:eastAsiaTheme="minorEastAsia" w:cstheme="minorEastAsia"/>
          <w:color w:val="auto"/>
          <w:sz w:val="24"/>
          <w:szCs w:val="24"/>
          <w:highlight w:val="none"/>
          <w:u w:val="none"/>
          <w:lang w:eastAsia="zh-CN"/>
        </w:rPr>
        <w:t>响应文件</w:t>
      </w:r>
      <w:r>
        <w:rPr>
          <w:rFonts w:hint="eastAsia" w:asciiTheme="minorEastAsia" w:hAnsiTheme="minorEastAsia" w:eastAsiaTheme="minorEastAsia" w:cstheme="minorEastAsia"/>
          <w:color w:val="auto"/>
          <w:sz w:val="24"/>
          <w:szCs w:val="24"/>
          <w:highlight w:val="none"/>
          <w:u w:val="none"/>
        </w:rPr>
        <w:t>的密封和标记</w:t>
      </w:r>
      <w:bookmarkEnd w:id="135"/>
      <w:bookmarkEnd w:id="136"/>
      <w:bookmarkEnd w:id="137"/>
      <w:bookmarkEnd w:id="138"/>
      <w:bookmarkEnd w:id="139"/>
      <w:bookmarkEnd w:id="140"/>
    </w:p>
    <w:p w14:paraId="77BD96E1">
      <w:pPr>
        <w:spacing w:line="240" w:lineRule="atLeast"/>
        <w:ind w:left="960" w:hanging="960" w:hangingChars="4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15.1  </w:t>
      </w:r>
      <w:r>
        <w:rPr>
          <w:rFonts w:hint="eastAsia" w:asciiTheme="minorEastAsia" w:hAnsiTheme="minorEastAsia" w:eastAsiaTheme="minorEastAsia" w:cstheme="minorEastAsia"/>
          <w:color w:val="auto"/>
          <w:sz w:val="24"/>
          <w:szCs w:val="24"/>
          <w:highlight w:val="none"/>
        </w:rPr>
        <w:t>为方便</w:t>
      </w:r>
      <w:r>
        <w:rPr>
          <w:rFonts w:hint="eastAsia" w:asciiTheme="minorEastAsia" w:hAnsiTheme="minorEastAsia" w:eastAsiaTheme="minorEastAsia" w:cstheme="minorEastAsia"/>
          <w:color w:val="auto"/>
          <w:sz w:val="24"/>
          <w:szCs w:val="24"/>
          <w:highlight w:val="none"/>
          <w:lang w:val="en-US" w:eastAsia="zh-CN"/>
        </w:rPr>
        <w:t>评审</w:t>
      </w:r>
      <w:r>
        <w:rPr>
          <w:rFonts w:hint="eastAsia" w:asciiTheme="minorEastAsia" w:hAnsiTheme="minorEastAsia" w:eastAsiaTheme="minorEastAsia" w:cstheme="minorEastAsia"/>
          <w:color w:val="auto"/>
          <w:sz w:val="24"/>
          <w:szCs w:val="24"/>
          <w:highlight w:val="none"/>
        </w:rPr>
        <w:t>及进行资格审查，</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应完整地按</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lang w:eastAsia="zh-CN"/>
        </w:rPr>
        <w:t>文件</w:t>
      </w:r>
      <w:r>
        <w:rPr>
          <w:rFonts w:hint="eastAsia" w:asciiTheme="minorEastAsia" w:hAnsiTheme="minorEastAsia" w:eastAsiaTheme="minorEastAsia" w:cstheme="minorEastAsia"/>
          <w:color w:val="auto"/>
          <w:sz w:val="24"/>
          <w:szCs w:val="24"/>
          <w:highlight w:val="none"/>
        </w:rPr>
        <w:t>提供的</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eastAsia="zh-CN"/>
        </w:rPr>
        <w:t>文件</w:t>
      </w:r>
      <w:r>
        <w:rPr>
          <w:rFonts w:hint="eastAsia" w:asciiTheme="minorEastAsia" w:hAnsiTheme="minorEastAsia" w:eastAsiaTheme="minorEastAsia" w:cstheme="minorEastAsia"/>
          <w:color w:val="auto"/>
          <w:sz w:val="24"/>
          <w:szCs w:val="24"/>
          <w:highlight w:val="none"/>
        </w:rPr>
        <w:t>格式及要求编写</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eastAsia="zh-CN"/>
        </w:rPr>
        <w:t>文件，</w:t>
      </w:r>
      <w:r>
        <w:rPr>
          <w:rFonts w:hint="eastAsia" w:asciiTheme="minorEastAsia" w:hAnsiTheme="minorEastAsia" w:eastAsiaTheme="minorEastAsia" w:cstheme="minorEastAsia"/>
          <w:color w:val="auto"/>
          <w:sz w:val="24"/>
          <w:szCs w:val="24"/>
          <w:highlight w:val="none"/>
          <w:lang w:val="en-US" w:eastAsia="zh-CN"/>
        </w:rPr>
        <w:t xml:space="preserve"> 供应商须在磋商截止时间前完成在系统上递交电子磋商文件。供应商的电子磋商文件是经过CA证书加密后上传提交的，任何单位或个人均无法在磋商截止时间(即开标时间)之前查看或篡改，不存在泄密风险。（严格按照政采云电子磋商流程制作并上传电子磋商文件）</w:t>
      </w:r>
      <w:r>
        <w:rPr>
          <w:rFonts w:hint="eastAsia" w:asciiTheme="minorEastAsia" w:hAnsiTheme="minorEastAsia" w:eastAsiaTheme="minorEastAsia" w:cstheme="minorEastAsia"/>
          <w:color w:val="auto"/>
          <w:sz w:val="24"/>
          <w:szCs w:val="24"/>
          <w:highlight w:val="none"/>
        </w:rPr>
        <w:t>。</w:t>
      </w:r>
    </w:p>
    <w:p w14:paraId="705CCEC9">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141" w:name="_Toc518923080"/>
      <w:bookmarkStart w:id="142" w:name="_Toc520356161"/>
      <w:bookmarkStart w:id="143" w:name="_Toc9962"/>
      <w:bookmarkStart w:id="144" w:name="_Toc8960"/>
      <w:bookmarkStart w:id="145" w:name="_Toc19383"/>
      <w:bookmarkStart w:id="146" w:name="_Toc14432"/>
      <w:r>
        <w:rPr>
          <w:rFonts w:hint="eastAsia" w:asciiTheme="minorEastAsia" w:hAnsiTheme="minorEastAsia" w:eastAsiaTheme="minorEastAsia" w:cstheme="minorEastAsia"/>
          <w:color w:val="auto"/>
          <w:sz w:val="24"/>
          <w:szCs w:val="24"/>
          <w:highlight w:val="none"/>
          <w:u w:val="none"/>
        </w:rPr>
        <w:t>16.</w:t>
      </w:r>
      <w:r>
        <w:rPr>
          <w:rFonts w:hint="eastAsia" w:asciiTheme="minorEastAsia" w:hAnsiTheme="minorEastAsia" w:eastAsiaTheme="minorEastAsia" w:cstheme="minorEastAsia"/>
          <w:color w:val="auto"/>
          <w:sz w:val="24"/>
          <w:szCs w:val="24"/>
          <w:highlight w:val="none"/>
          <w:u w:val="none"/>
          <w:lang w:eastAsia="zh-CN"/>
        </w:rPr>
        <w:t>磋商</w:t>
      </w:r>
      <w:r>
        <w:rPr>
          <w:rFonts w:hint="eastAsia" w:asciiTheme="minorEastAsia" w:hAnsiTheme="minorEastAsia" w:eastAsiaTheme="minorEastAsia" w:cstheme="minorEastAsia"/>
          <w:color w:val="auto"/>
          <w:sz w:val="24"/>
          <w:szCs w:val="24"/>
          <w:highlight w:val="none"/>
          <w:u w:val="none"/>
        </w:rPr>
        <w:t>截止</w:t>
      </w:r>
      <w:bookmarkEnd w:id="141"/>
      <w:bookmarkEnd w:id="142"/>
      <w:bookmarkEnd w:id="143"/>
      <w:bookmarkEnd w:id="144"/>
      <w:bookmarkEnd w:id="145"/>
      <w:bookmarkEnd w:id="146"/>
    </w:p>
    <w:p w14:paraId="6B4E7607">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u w:val="single"/>
          <w:lang w:eastAsia="zh-CN"/>
        </w:rPr>
        <w:t>供应商</w:t>
      </w:r>
      <w:r>
        <w:rPr>
          <w:rFonts w:hint="eastAsia" w:asciiTheme="minorEastAsia" w:hAnsiTheme="minorEastAsia" w:eastAsiaTheme="minorEastAsia" w:cstheme="minorEastAsia"/>
          <w:color w:val="auto"/>
          <w:sz w:val="24"/>
          <w:szCs w:val="24"/>
          <w:highlight w:val="none"/>
          <w:u w:val="single"/>
          <w:lang w:val="en-US" w:eastAsia="zh-CN"/>
        </w:rPr>
        <w:t>须知资料表中</w:t>
      </w:r>
      <w:r>
        <w:rPr>
          <w:rFonts w:hint="eastAsia" w:asciiTheme="minorEastAsia" w:hAnsiTheme="minorEastAsia" w:eastAsiaTheme="minorEastAsia" w:cstheme="minorEastAsia"/>
          <w:color w:val="auto"/>
          <w:sz w:val="24"/>
          <w:szCs w:val="24"/>
          <w:highlight w:val="none"/>
        </w:rPr>
        <w:t>规定的截止时间前，将</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递交到</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邀请书</w:t>
      </w:r>
      <w:r>
        <w:rPr>
          <w:rFonts w:hint="eastAsia" w:asciiTheme="minorEastAsia" w:hAnsiTheme="minorEastAsia" w:eastAsiaTheme="minorEastAsia" w:cstheme="minorEastAsia"/>
          <w:color w:val="auto"/>
          <w:sz w:val="24"/>
          <w:szCs w:val="24"/>
          <w:highlight w:val="none"/>
          <w:lang w:val="en-US" w:eastAsia="zh-CN"/>
        </w:rPr>
        <w:t>/公告</w:t>
      </w:r>
      <w:r>
        <w:rPr>
          <w:rFonts w:hint="eastAsia" w:asciiTheme="minorEastAsia" w:hAnsiTheme="minorEastAsia" w:eastAsiaTheme="minorEastAsia" w:cstheme="minorEastAsia"/>
          <w:color w:val="auto"/>
          <w:sz w:val="24"/>
          <w:szCs w:val="24"/>
          <w:highlight w:val="none"/>
        </w:rPr>
        <w:t>中规定的地点。</w:t>
      </w:r>
    </w:p>
    <w:p w14:paraId="7D550287">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16.2</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采购人和采购代理机构有权按本须知的规定，延迟</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截止时间。在此情况下，采购人、采购代理机构和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截止时间制约的所有权利和义务均应延长至新的截止时间。</w:t>
      </w:r>
    </w:p>
    <w:p w14:paraId="3A7A459C">
      <w:pPr>
        <w:spacing w:before="0" w:after="0" w:line="360" w:lineRule="auto"/>
        <w:outlineLvl w:val="9"/>
        <w:rPr>
          <w:rFonts w:hint="eastAsia" w:ascii="宋体" w:hAnsi="宋体" w:eastAsia="宋体" w:cs="宋体"/>
          <w:b w:val="0"/>
          <w:bCs w:val="0"/>
          <w:color w:val="auto"/>
          <w:sz w:val="24"/>
          <w:szCs w:val="24"/>
          <w:highlight w:val="none"/>
          <w:u w:val="single"/>
        </w:rPr>
      </w:pPr>
      <w:bookmarkStart w:id="147" w:name="_Toc11762"/>
      <w:bookmarkStart w:id="148" w:name="_Toc14828"/>
      <w:bookmarkStart w:id="149" w:name="_Toc19257"/>
      <w:bookmarkStart w:id="150" w:name="_Toc520356162"/>
      <w:bookmarkStart w:id="151" w:name="_Toc9507"/>
      <w:bookmarkStart w:id="152" w:name="_Toc518923081"/>
      <w:r>
        <w:rPr>
          <w:rFonts w:hint="eastAsia" w:ascii="宋体" w:hAnsi="宋体" w:eastAsia="宋体" w:cs="宋体"/>
          <w:b w:val="0"/>
          <w:bCs w:val="0"/>
          <w:color w:val="auto"/>
          <w:sz w:val="24"/>
          <w:szCs w:val="24"/>
          <w:highlight w:val="none"/>
          <w:u w:val="none"/>
        </w:rPr>
        <w:t>17.</w:t>
      </w:r>
      <w:bookmarkEnd w:id="147"/>
      <w:bookmarkEnd w:id="148"/>
      <w:bookmarkEnd w:id="149"/>
      <w:bookmarkEnd w:id="150"/>
      <w:bookmarkEnd w:id="151"/>
      <w:bookmarkEnd w:id="152"/>
      <w:r>
        <w:rPr>
          <w:rFonts w:hint="eastAsia" w:ascii="宋体" w:hAnsi="宋体" w:eastAsia="宋体" w:cs="宋体"/>
          <w:b w:val="0"/>
          <w:bCs w:val="0"/>
          <w:color w:val="000000"/>
          <w:sz w:val="24"/>
          <w:szCs w:val="24"/>
          <w:highlight w:val="none"/>
          <w:lang w:val="en-US" w:eastAsia="zh-CN"/>
        </w:rPr>
        <w:t>响应文件的接收、修改、撤回与解密</w:t>
      </w:r>
    </w:p>
    <w:p w14:paraId="71F8B25C">
      <w:pPr>
        <w:spacing w:line="360" w:lineRule="auto"/>
        <w:ind w:left="1079" w:leftChars="257" w:hanging="54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17.1</w:t>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在响应文件提交截止时间前，供应商须将电子响应文件成功完整上传到政采云平台项目采购系统。时间以政采云平台项目采购系统服务器从中国科学院国家授时中心取得的北京时间为准，磋商截止时间结束后，系统将不允许供应商上传响应文件，已上传响应文件但未完成传输的文件系统将拒绝接收。</w:t>
      </w:r>
    </w:p>
    <w:p w14:paraId="3D307AC0">
      <w:pPr>
        <w:spacing w:line="360" w:lineRule="auto"/>
        <w:ind w:left="1079" w:leftChars="257" w:hanging="54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17.2</w:t>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代理机构对因不可抗力事件造成的响应文件的损坏、丢失的，不承担责任。</w:t>
      </w:r>
    </w:p>
    <w:p w14:paraId="12D1B0B0">
      <w:pPr>
        <w:spacing w:line="360" w:lineRule="auto"/>
        <w:ind w:left="1079" w:leftChars="257" w:hanging="54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17.3</w:t>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 xml:space="preserve">出现下述情形之一，属于未成功提交响应文件，按无效磋商处理： </w:t>
      </w:r>
    </w:p>
    <w:p w14:paraId="4E532C47">
      <w:pPr>
        <w:spacing w:line="360" w:lineRule="auto"/>
        <w:ind w:left="1079" w:leftChars="257" w:hanging="54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（1）至提交响应文件截止时间，响应文件未完整上传的。 </w:t>
      </w:r>
    </w:p>
    <w:p w14:paraId="5C2934C3">
      <w:pPr>
        <w:spacing w:line="360" w:lineRule="auto"/>
        <w:ind w:left="1079" w:leftChars="257" w:hanging="54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（2）响应文件未按磋商格式中注明需签字盖章的要求进行签名（含电子签名）和加盖电子印章，或签名（含电子签名）或电子印章不完整的。 </w:t>
      </w:r>
    </w:p>
    <w:p w14:paraId="4A665807">
      <w:pPr>
        <w:spacing w:line="360" w:lineRule="auto"/>
        <w:ind w:left="1079" w:leftChars="257" w:hanging="54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（3）响应文件损坏或格式不正确的。 </w:t>
      </w:r>
    </w:p>
    <w:p w14:paraId="0FFD93CA">
      <w:pPr>
        <w:spacing w:line="360" w:lineRule="auto"/>
        <w:ind w:left="1079" w:leftChars="257" w:hanging="54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17.4</w:t>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在提交响应文件截止时间前，供应商可以修改或撤回未解密的电子响应文件，并于提交响应文件截止时间前将修改后重新生成的电子响应文件上传至政采云平台项目采购系统，到达响应文件提交截止时间后，将不允许修改或撤回。</w:t>
      </w:r>
    </w:p>
    <w:p w14:paraId="13F5A358">
      <w:pPr>
        <w:spacing w:line="360" w:lineRule="auto"/>
        <w:ind w:left="1079" w:leftChars="257" w:hanging="54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17.5</w:t>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在提交响应文件截止时间后，供应商不得补充、修改和更换响应文件。</w:t>
      </w:r>
    </w:p>
    <w:p w14:paraId="7D9FF424">
      <w:pPr>
        <w:spacing w:line="360" w:lineRule="auto"/>
        <w:ind w:left="1079" w:leftChars="257" w:hanging="54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17.6 到达开标时间后，供应商需使用上传响应文件的同一数字证书解密，供应商须在采购代理机构规定的时间内完成响应文件解密（解密时长为30分钟），供应商因非系统原因导致的逾期未解密响应文件，将作无效磋商处理。</w:t>
      </w:r>
    </w:p>
    <w:p w14:paraId="63A2A37D">
      <w:pPr>
        <w:pStyle w:val="3"/>
        <w:spacing w:before="0" w:line="240" w:lineRule="atLeast"/>
        <w:ind w:left="1079" w:leftChars="257" w:hanging="540"/>
        <w:rPr>
          <w:rFonts w:hint="eastAsia" w:asciiTheme="minorEastAsia" w:hAnsiTheme="minorEastAsia" w:eastAsiaTheme="minorEastAsia" w:cstheme="minorEastAsia"/>
          <w:color w:val="auto"/>
          <w:sz w:val="24"/>
          <w:highlight w:val="none"/>
          <w:lang w:eastAsia="zh-CN"/>
        </w:rPr>
      </w:pPr>
      <w:bookmarkStart w:id="153" w:name="_Toc216582809"/>
      <w:bookmarkStart w:id="154" w:name="_Toc1479"/>
      <w:bookmarkStart w:id="155" w:name="_Toc7628"/>
      <w:bookmarkStart w:id="156" w:name="_Toc520356163"/>
      <w:bookmarkStart w:id="157" w:name="_Toc518923082"/>
      <w:bookmarkStart w:id="158" w:name="_Toc1009"/>
      <w:bookmarkStart w:id="159" w:name="_Toc3585"/>
      <w:bookmarkStart w:id="160" w:name="_Toc9097"/>
      <w:r>
        <w:rPr>
          <w:rFonts w:hint="eastAsia" w:asciiTheme="minorEastAsia" w:hAnsiTheme="minorEastAsia" w:eastAsiaTheme="minorEastAsia" w:cstheme="minorEastAsia"/>
          <w:color w:val="auto"/>
          <w:sz w:val="24"/>
          <w:highlight w:val="none"/>
        </w:rPr>
        <w:t>五   开标及评标</w:t>
      </w:r>
      <w:bookmarkEnd w:id="153"/>
      <w:bookmarkEnd w:id="154"/>
      <w:bookmarkEnd w:id="155"/>
      <w:bookmarkEnd w:id="156"/>
      <w:bookmarkEnd w:id="157"/>
      <w:bookmarkEnd w:id="158"/>
      <w:bookmarkEnd w:id="159"/>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磋商</w:t>
      </w:r>
      <w:r>
        <w:rPr>
          <w:rFonts w:hint="eastAsia" w:asciiTheme="minorEastAsia" w:hAnsiTheme="minorEastAsia" w:eastAsiaTheme="minorEastAsia" w:cstheme="minorEastAsia"/>
          <w:color w:val="auto"/>
          <w:sz w:val="24"/>
          <w:highlight w:val="none"/>
          <w:lang w:eastAsia="zh-CN"/>
        </w:rPr>
        <w:t>）</w:t>
      </w:r>
      <w:bookmarkEnd w:id="160"/>
    </w:p>
    <w:p w14:paraId="50D14D53">
      <w:pPr>
        <w:pStyle w:val="7"/>
        <w:rPr>
          <w:rFonts w:hint="eastAsia" w:asciiTheme="minorEastAsia" w:hAnsiTheme="minorEastAsia" w:eastAsiaTheme="minorEastAsia" w:cstheme="minorEastAsia"/>
          <w:color w:val="auto"/>
          <w:highlight w:val="none"/>
        </w:rPr>
      </w:pPr>
    </w:p>
    <w:p w14:paraId="6DEEE5A3">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161" w:name="_Toc26811"/>
      <w:bookmarkStart w:id="162" w:name="_Toc5323"/>
      <w:bookmarkStart w:id="163" w:name="_Toc520356164"/>
      <w:bookmarkStart w:id="164" w:name="_Toc4119"/>
      <w:bookmarkStart w:id="165" w:name="_Toc518923083"/>
      <w:bookmarkStart w:id="166" w:name="_Toc25009"/>
      <w:r>
        <w:rPr>
          <w:rFonts w:hint="eastAsia" w:asciiTheme="minorEastAsia" w:hAnsiTheme="minorEastAsia" w:eastAsiaTheme="minorEastAsia" w:cstheme="minorEastAsia"/>
          <w:color w:val="auto"/>
          <w:sz w:val="24"/>
          <w:szCs w:val="24"/>
          <w:highlight w:val="none"/>
          <w:u w:val="none"/>
        </w:rPr>
        <w:t>18.开标</w:t>
      </w:r>
      <w:bookmarkEnd w:id="161"/>
      <w:bookmarkEnd w:id="162"/>
      <w:bookmarkEnd w:id="163"/>
      <w:bookmarkEnd w:id="164"/>
      <w:bookmarkEnd w:id="165"/>
      <w:bookmarkEnd w:id="166"/>
    </w:p>
    <w:p w14:paraId="00FA67F0">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18.1</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采购人和采购代理机构将按</w:t>
      </w:r>
      <w:r>
        <w:rPr>
          <w:rFonts w:hint="eastAsia" w:asciiTheme="minorEastAsia" w:hAnsiTheme="minorEastAsia" w:eastAsiaTheme="minorEastAsia" w:cstheme="minorEastAsia"/>
          <w:color w:val="auto"/>
          <w:sz w:val="24"/>
          <w:szCs w:val="24"/>
          <w:highlight w:val="none"/>
          <w:u w:val="single"/>
          <w:lang w:eastAsia="zh-CN"/>
        </w:rPr>
        <w:t>供应商</w:t>
      </w:r>
      <w:r>
        <w:rPr>
          <w:rFonts w:hint="eastAsia" w:asciiTheme="minorEastAsia" w:hAnsiTheme="minorEastAsia" w:eastAsiaTheme="minorEastAsia" w:cstheme="minorEastAsia"/>
          <w:color w:val="auto"/>
          <w:sz w:val="24"/>
          <w:szCs w:val="24"/>
          <w:highlight w:val="none"/>
          <w:u w:val="single"/>
        </w:rPr>
        <w:t>须知资料表</w:t>
      </w:r>
      <w:r>
        <w:rPr>
          <w:rFonts w:hint="eastAsia" w:asciiTheme="minorEastAsia" w:hAnsiTheme="minorEastAsia" w:eastAsiaTheme="minorEastAsia" w:cstheme="minorEastAsia"/>
          <w:color w:val="auto"/>
          <w:sz w:val="24"/>
          <w:szCs w:val="24"/>
          <w:highlight w:val="none"/>
        </w:rPr>
        <w:t>中规定的开标时间和地点组织开标并邀请所有</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 xml:space="preserve">代表参加。  </w:t>
      </w:r>
    </w:p>
    <w:p w14:paraId="260FE489">
      <w:pPr>
        <w:spacing w:line="240" w:lineRule="atLeast"/>
        <w:ind w:firstLine="960" w:firstLineChars="4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不足3家的，不得开标。</w:t>
      </w:r>
    </w:p>
    <w:p w14:paraId="3977FEF6">
      <w:pPr>
        <w:spacing w:line="240" w:lineRule="atLeast"/>
        <w:ind w:left="960" w:hanging="960" w:hangingChars="4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18.2   </w:t>
      </w:r>
      <w:r>
        <w:rPr>
          <w:rFonts w:hint="eastAsia" w:asciiTheme="minorEastAsia" w:hAnsiTheme="minorEastAsia" w:eastAsiaTheme="minorEastAsia" w:cstheme="minorEastAsia"/>
          <w:color w:val="auto"/>
          <w:sz w:val="24"/>
          <w:szCs w:val="24"/>
          <w:highlight w:val="none"/>
          <w:u w:val="single"/>
          <w:lang w:eastAsia="zh-CN"/>
        </w:rPr>
        <w:t>供应商</w:t>
      </w:r>
      <w:r>
        <w:rPr>
          <w:rFonts w:hint="eastAsia" w:asciiTheme="minorEastAsia" w:hAnsiTheme="minorEastAsia" w:eastAsiaTheme="minorEastAsia" w:cstheme="minorEastAsia"/>
          <w:color w:val="auto"/>
          <w:sz w:val="24"/>
          <w:szCs w:val="24"/>
          <w:highlight w:val="none"/>
          <w:u w:val="single"/>
        </w:rPr>
        <w:t>应当按照本招标文件载明的时间和模式等要求参加开标。开标时，</w:t>
      </w:r>
      <w:r>
        <w:rPr>
          <w:rFonts w:hint="eastAsia" w:asciiTheme="minorEastAsia" w:hAnsiTheme="minorEastAsia" w:eastAsiaTheme="minorEastAsia" w:cstheme="minorEastAsia"/>
          <w:color w:val="auto"/>
          <w:sz w:val="24"/>
          <w:szCs w:val="24"/>
          <w:highlight w:val="none"/>
          <w:u w:val="single"/>
          <w:lang w:eastAsia="zh-CN"/>
        </w:rPr>
        <w:t>供应商</w:t>
      </w:r>
      <w:r>
        <w:rPr>
          <w:rFonts w:hint="eastAsia" w:asciiTheme="minorEastAsia" w:hAnsiTheme="minorEastAsia" w:eastAsiaTheme="minorEastAsia" w:cstheme="minorEastAsia"/>
          <w:color w:val="auto"/>
          <w:sz w:val="24"/>
          <w:szCs w:val="24"/>
          <w:highlight w:val="none"/>
          <w:u w:val="single"/>
        </w:rPr>
        <w:t>应当使用上传本项目（采购包）电子响应文件时加密所用数字证书在开始解密后按照代理机构规定的时间内完成电子响应文件的解密（解密时长30分钟），如遇不可抗力等其他特殊情况，采购代理机构可视情况延长解密时间。</w:t>
      </w:r>
      <w:r>
        <w:rPr>
          <w:rFonts w:hint="eastAsia" w:asciiTheme="minorEastAsia" w:hAnsiTheme="minorEastAsia" w:eastAsiaTheme="minorEastAsia" w:cstheme="minorEastAsia"/>
          <w:color w:val="auto"/>
          <w:sz w:val="24"/>
          <w:szCs w:val="24"/>
          <w:highlight w:val="none"/>
          <w:u w:val="single"/>
          <w:lang w:eastAsia="zh-CN"/>
        </w:rPr>
        <w:t>供应商</w:t>
      </w:r>
      <w:r>
        <w:rPr>
          <w:rFonts w:hint="eastAsia" w:asciiTheme="minorEastAsia" w:hAnsiTheme="minorEastAsia" w:eastAsiaTheme="minorEastAsia" w:cstheme="minorEastAsia"/>
          <w:color w:val="auto"/>
          <w:sz w:val="24"/>
          <w:szCs w:val="24"/>
          <w:highlight w:val="none"/>
          <w:u w:val="single"/>
        </w:rPr>
        <w:t>未携带数字证书或其他非系统原因导致的在规定时间内未解密响应文件，将作无效</w:t>
      </w:r>
      <w:r>
        <w:rPr>
          <w:rFonts w:hint="eastAsia" w:asciiTheme="minorEastAsia" w:hAnsiTheme="minorEastAsia" w:eastAsiaTheme="minorEastAsia" w:cstheme="minorEastAsia"/>
          <w:color w:val="auto"/>
          <w:sz w:val="24"/>
          <w:szCs w:val="24"/>
          <w:highlight w:val="none"/>
          <w:u w:val="single"/>
          <w:lang w:eastAsia="zh-CN"/>
        </w:rPr>
        <w:t>磋商</w:t>
      </w:r>
      <w:r>
        <w:rPr>
          <w:rFonts w:hint="eastAsia" w:asciiTheme="minorEastAsia" w:hAnsiTheme="minorEastAsia" w:eastAsiaTheme="minorEastAsia" w:cstheme="minorEastAsia"/>
          <w:color w:val="auto"/>
          <w:sz w:val="24"/>
          <w:szCs w:val="24"/>
          <w:highlight w:val="none"/>
          <w:u w:val="single"/>
        </w:rPr>
        <w:t>处理。（采用不见面电子开标，各</w:t>
      </w:r>
      <w:r>
        <w:rPr>
          <w:rFonts w:hint="eastAsia" w:asciiTheme="minorEastAsia" w:hAnsiTheme="minorEastAsia" w:eastAsiaTheme="minorEastAsia" w:cstheme="minorEastAsia"/>
          <w:color w:val="auto"/>
          <w:sz w:val="24"/>
          <w:szCs w:val="24"/>
          <w:highlight w:val="none"/>
          <w:u w:val="single"/>
          <w:lang w:eastAsia="zh-CN"/>
        </w:rPr>
        <w:t>供应商</w:t>
      </w:r>
      <w:r>
        <w:rPr>
          <w:rFonts w:hint="eastAsia" w:asciiTheme="minorEastAsia" w:hAnsiTheme="minorEastAsia" w:eastAsiaTheme="minorEastAsia" w:cstheme="minorEastAsia"/>
          <w:color w:val="auto"/>
          <w:sz w:val="24"/>
          <w:szCs w:val="24"/>
          <w:highlight w:val="none"/>
          <w:u w:val="single"/>
        </w:rPr>
        <w:t>在参加开标以前须自行对使用电脑的网络环境、驱动安装、客户端安装以及数字证书的有效性等进行检测，确保可以正常使用）。</w:t>
      </w:r>
    </w:p>
    <w:p w14:paraId="7320644A">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18.3    采购人或采购代理机构将对开标过程进行记录</w:t>
      </w:r>
      <w:bookmarkStart w:id="167" w:name="_Toc520356165"/>
      <w:r>
        <w:rPr>
          <w:rFonts w:hint="eastAsia" w:asciiTheme="minorEastAsia" w:hAnsiTheme="minorEastAsia" w:eastAsiaTheme="minorEastAsia" w:cstheme="minorEastAsia"/>
          <w:color w:val="auto"/>
          <w:sz w:val="24"/>
          <w:szCs w:val="24"/>
          <w:highlight w:val="none"/>
        </w:rPr>
        <w:t>，由参加开标的各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代表和相关工作人员签字确认，并存档备查。</w:t>
      </w:r>
    </w:p>
    <w:p w14:paraId="042AF9A9">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18.4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代表对开标过程和开标记录有疑义，以及认为采购人、采购代理机构相关工作人员有需要回避的情形的，应当场提出询问或者回避申请。</w:t>
      </w:r>
    </w:p>
    <w:p w14:paraId="2A9D3FE3">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168" w:name="_Toc23981"/>
      <w:bookmarkStart w:id="169" w:name="_Toc16264"/>
      <w:bookmarkStart w:id="170" w:name="_Toc17211"/>
      <w:bookmarkStart w:id="171" w:name="_Toc518923084"/>
      <w:bookmarkStart w:id="172" w:name="_Toc7183"/>
      <w:r>
        <w:rPr>
          <w:rFonts w:hint="eastAsia" w:asciiTheme="minorEastAsia" w:hAnsiTheme="minorEastAsia" w:eastAsiaTheme="minorEastAsia" w:cstheme="minorEastAsia"/>
          <w:color w:val="auto"/>
          <w:sz w:val="24"/>
          <w:szCs w:val="24"/>
          <w:highlight w:val="none"/>
          <w:u w:val="none"/>
        </w:rPr>
        <w:t>19</w:t>
      </w:r>
      <w:bookmarkEnd w:id="167"/>
      <w:r>
        <w:rPr>
          <w:rFonts w:hint="eastAsia" w:asciiTheme="minorEastAsia" w:hAnsiTheme="minorEastAsia" w:eastAsiaTheme="minorEastAsia" w:cstheme="minorEastAsia"/>
          <w:color w:val="auto"/>
          <w:sz w:val="24"/>
          <w:szCs w:val="24"/>
          <w:highlight w:val="none"/>
          <w:u w:val="none"/>
        </w:rPr>
        <w:t>.资格审查及组建</w:t>
      </w:r>
      <w:bookmarkEnd w:id="168"/>
      <w:bookmarkEnd w:id="169"/>
      <w:bookmarkEnd w:id="170"/>
      <w:bookmarkEnd w:id="171"/>
      <w:bookmarkEnd w:id="172"/>
      <w:r>
        <w:rPr>
          <w:rFonts w:hint="eastAsia" w:asciiTheme="minorEastAsia" w:hAnsiTheme="minorEastAsia" w:eastAsiaTheme="minorEastAsia" w:cstheme="minorEastAsia"/>
          <w:color w:val="auto"/>
          <w:sz w:val="24"/>
          <w:szCs w:val="24"/>
          <w:highlight w:val="none"/>
          <w:u w:val="none"/>
        </w:rPr>
        <w:t>磋商小组</w:t>
      </w:r>
    </w:p>
    <w:p w14:paraId="116C950B">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720" w:right="0" w:hanging="720" w:hangingChars="3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19.1  采购人或采购代理机构依据法律法规和</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文件中规定的内容，对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的资格进行审查。</w:t>
      </w:r>
      <w:r>
        <w:rPr>
          <w:rFonts w:hint="eastAsia" w:asciiTheme="minorEastAsia" w:hAnsiTheme="minorEastAsia" w:eastAsiaTheme="minorEastAsia" w:cstheme="minorEastAsia"/>
          <w:color w:val="auto"/>
          <w:sz w:val="24"/>
          <w:szCs w:val="24"/>
          <w:highlight w:val="none"/>
          <w:lang w:val="en-US" w:eastAsia="zh-CN"/>
        </w:rPr>
        <w:t>未通过资格审查的供应商不进入评标；进入评标的供应商不足三家的，不得评标。</w:t>
      </w:r>
    </w:p>
    <w:p w14:paraId="1C332A60">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19.2    采购人或采购代理机构将在开标前1个工作日至</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截止后1小时的期间内查询</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的信用记录。</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存在不良信用记录的，其</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将被认定为</w:t>
      </w:r>
      <w:r>
        <w:rPr>
          <w:rFonts w:hint="eastAsia" w:asciiTheme="minorEastAsia" w:hAnsiTheme="minorEastAsia" w:eastAsiaTheme="minorEastAsia" w:cstheme="minorEastAsia"/>
          <w:b/>
          <w:bCs/>
          <w:color w:val="auto"/>
          <w:sz w:val="24"/>
          <w:szCs w:val="24"/>
          <w:highlight w:val="none"/>
          <w:lang w:eastAsia="zh-CN"/>
        </w:rPr>
        <w:t>磋商</w:t>
      </w:r>
      <w:r>
        <w:rPr>
          <w:rFonts w:hint="eastAsia" w:asciiTheme="minorEastAsia" w:hAnsiTheme="minorEastAsia" w:eastAsiaTheme="minorEastAsia" w:cstheme="minorEastAsia"/>
          <w:b/>
          <w:bCs/>
          <w:color w:val="auto"/>
          <w:sz w:val="24"/>
          <w:szCs w:val="24"/>
          <w:highlight w:val="none"/>
        </w:rPr>
        <w:t>无效</w:t>
      </w:r>
      <w:r>
        <w:rPr>
          <w:rFonts w:hint="eastAsia" w:asciiTheme="minorEastAsia" w:hAnsiTheme="minorEastAsia" w:eastAsiaTheme="minorEastAsia" w:cstheme="minorEastAsia"/>
          <w:color w:val="auto"/>
          <w:sz w:val="24"/>
          <w:szCs w:val="24"/>
          <w:highlight w:val="none"/>
        </w:rPr>
        <w:t>。</w:t>
      </w:r>
    </w:p>
    <w:p w14:paraId="196354EC">
      <w:pPr>
        <w:spacing w:line="240" w:lineRule="atLeast"/>
        <w:ind w:left="857" w:leftChars="2" w:hanging="853"/>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19.2.1  不良信用记录指：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val="en-US" w:eastAsia="zh-CN"/>
        </w:rPr>
        <w:t>在“信用中国”网站被列入失信被执行人、重大税收违法失信主体，在中国政府采购网被列入政府采购政府采购严重违法失信行为记录名单。</w:t>
      </w:r>
      <w:r>
        <w:rPr>
          <w:rFonts w:hint="eastAsia" w:asciiTheme="minorEastAsia" w:hAnsiTheme="minorEastAsia" w:eastAsiaTheme="minorEastAsia" w:cstheme="minorEastAsia"/>
          <w:color w:val="auto"/>
          <w:sz w:val="24"/>
          <w:szCs w:val="24"/>
          <w:highlight w:val="none"/>
        </w:rPr>
        <w:t>以及存在《中华人民共和国政府采购法实施条例》第十九条规定的行政处罚记录。</w:t>
      </w:r>
    </w:p>
    <w:p w14:paraId="1476A2DD">
      <w:pPr>
        <w:spacing w:line="240" w:lineRule="atLeast"/>
        <w:ind w:left="850" w:leftChars="405"/>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以联合体形式参加</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的，联合体任何成员存在以上不良信用记录的，联合体</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将被认定为</w:t>
      </w:r>
      <w:r>
        <w:rPr>
          <w:rFonts w:hint="eastAsia" w:asciiTheme="minorEastAsia" w:hAnsiTheme="minorEastAsia" w:eastAsiaTheme="minorEastAsia" w:cstheme="minorEastAsia"/>
          <w:b/>
          <w:bCs/>
          <w:color w:val="auto"/>
          <w:sz w:val="24"/>
          <w:szCs w:val="24"/>
          <w:highlight w:val="none"/>
          <w:lang w:eastAsia="zh-CN"/>
        </w:rPr>
        <w:t>磋商</w:t>
      </w:r>
      <w:r>
        <w:rPr>
          <w:rFonts w:hint="eastAsia" w:asciiTheme="minorEastAsia" w:hAnsiTheme="minorEastAsia" w:eastAsiaTheme="minorEastAsia" w:cstheme="minorEastAsia"/>
          <w:b/>
          <w:bCs/>
          <w:color w:val="auto"/>
          <w:sz w:val="24"/>
          <w:szCs w:val="24"/>
          <w:highlight w:val="none"/>
        </w:rPr>
        <w:t>无效</w:t>
      </w:r>
      <w:r>
        <w:rPr>
          <w:rFonts w:hint="eastAsia" w:asciiTheme="minorEastAsia" w:hAnsiTheme="minorEastAsia" w:eastAsiaTheme="minorEastAsia" w:cstheme="minorEastAsia"/>
          <w:color w:val="auto"/>
          <w:sz w:val="24"/>
          <w:szCs w:val="24"/>
          <w:highlight w:val="none"/>
        </w:rPr>
        <w:t>。</w:t>
      </w:r>
    </w:p>
    <w:p w14:paraId="515CA2C5">
      <w:pPr>
        <w:pStyle w:val="7"/>
        <w:ind w:left="960" w:leftChars="0" w:hanging="960" w:hangingChars="4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19.2.2 查询及记录方式：采购人或采购代理机构经办人将查询供应商不良信用记录以采购人或采购代理机构查询结果为准。在本磋商文件规定的查询时间之后，网站信息发生的任何变更均不再作为评审依据。供应商自行提供的与网站信息不一致的其他证明材料亦不作为资格审查的依据。</w:t>
      </w:r>
    </w:p>
    <w:p w14:paraId="5E2B4717">
      <w:pPr>
        <w:spacing w:line="240" w:lineRule="atLeast"/>
        <w:ind w:left="850" w:hanging="849" w:hangingChars="354"/>
        <w:outlineLvl w:val="9"/>
        <w:rPr>
          <w:rFonts w:hint="eastAsia" w:asciiTheme="minorEastAsia" w:hAnsiTheme="minorEastAsia" w:eastAsiaTheme="minorEastAsia" w:cstheme="minorEastAsia"/>
          <w:color w:val="FF0000"/>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19.3   </w:t>
      </w:r>
      <w:bookmarkStart w:id="173" w:name="_Toc520356166"/>
      <w:r>
        <w:rPr>
          <w:rFonts w:hint="eastAsia" w:ascii="宋体" w:hAnsi="宋体" w:eastAsia="宋体" w:cs="宋体"/>
          <w:b w:val="0"/>
          <w:bCs w:val="0"/>
          <w:sz w:val="24"/>
          <w:szCs w:val="24"/>
          <w:highlight w:val="none"/>
          <w:u w:val="none"/>
        </w:rPr>
        <w:t>按照《中华人民共和国政府采购法》、《中华人民共和国政府采购法实施条例》《政府采购竞争性磋商采购方式管理暂行办法》及本项目本级和上级财政部门的有关规定依法组建的评标委员会，负责本项目评标工作。</w:t>
      </w:r>
    </w:p>
    <w:p w14:paraId="597D0620">
      <w:pPr>
        <w:spacing w:before="0" w:after="0" w:line="240" w:lineRule="atLeast"/>
        <w:outlineLvl w:val="9"/>
        <w:rPr>
          <w:rFonts w:hint="eastAsia" w:asciiTheme="minorEastAsia" w:hAnsiTheme="minorEastAsia" w:eastAsiaTheme="minorEastAsia" w:cstheme="minorEastAsia"/>
          <w:b w:val="0"/>
          <w:bCs/>
          <w:color w:val="auto"/>
          <w:sz w:val="24"/>
          <w:szCs w:val="24"/>
          <w:highlight w:val="none"/>
          <w:bdr w:val="single" w:color="auto" w:sz="4" w:space="0"/>
        </w:rPr>
      </w:pPr>
      <w:bookmarkStart w:id="174" w:name="_Toc8595"/>
      <w:bookmarkStart w:id="175" w:name="_Toc21484"/>
      <w:bookmarkStart w:id="176" w:name="_Toc25395"/>
      <w:bookmarkStart w:id="177" w:name="_Toc518923085"/>
      <w:bookmarkStart w:id="178" w:name="_Toc15885"/>
      <w:r>
        <w:rPr>
          <w:rFonts w:hint="eastAsia" w:asciiTheme="minorEastAsia" w:hAnsiTheme="minorEastAsia" w:eastAsiaTheme="minorEastAsia" w:cstheme="minorEastAsia"/>
          <w:color w:val="auto"/>
          <w:sz w:val="24"/>
          <w:szCs w:val="24"/>
          <w:highlight w:val="none"/>
          <w:u w:val="none"/>
        </w:rPr>
        <w:t>20.</w:t>
      </w:r>
      <w:r>
        <w:rPr>
          <w:rFonts w:hint="eastAsia" w:asciiTheme="minorEastAsia" w:hAnsiTheme="minorEastAsia" w:eastAsiaTheme="minorEastAsia" w:cstheme="minorEastAsia"/>
          <w:color w:val="auto"/>
          <w:sz w:val="24"/>
          <w:szCs w:val="24"/>
          <w:highlight w:val="none"/>
          <w:u w:val="none"/>
          <w:lang w:eastAsia="zh-CN"/>
        </w:rPr>
        <w:t>响应文件</w:t>
      </w:r>
      <w:r>
        <w:rPr>
          <w:rFonts w:hint="eastAsia" w:asciiTheme="minorEastAsia" w:hAnsiTheme="minorEastAsia" w:eastAsiaTheme="minorEastAsia" w:cstheme="minorEastAsia"/>
          <w:color w:val="auto"/>
          <w:sz w:val="24"/>
          <w:szCs w:val="24"/>
          <w:highlight w:val="none"/>
          <w:u w:val="none"/>
        </w:rPr>
        <w:t>的</w:t>
      </w:r>
      <w:bookmarkEnd w:id="173"/>
      <w:r>
        <w:rPr>
          <w:rFonts w:hint="eastAsia" w:asciiTheme="minorEastAsia" w:hAnsiTheme="minorEastAsia" w:eastAsiaTheme="minorEastAsia" w:cstheme="minorEastAsia"/>
          <w:color w:val="auto"/>
          <w:sz w:val="24"/>
          <w:szCs w:val="24"/>
          <w:highlight w:val="none"/>
          <w:u w:val="none"/>
        </w:rPr>
        <w:t>符合性审查与澄清</w:t>
      </w:r>
      <w:bookmarkEnd w:id="174"/>
      <w:bookmarkEnd w:id="175"/>
      <w:bookmarkEnd w:id="176"/>
      <w:bookmarkEnd w:id="177"/>
      <w:bookmarkEnd w:id="178"/>
    </w:p>
    <w:p w14:paraId="5407BA50">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20.1   符合性审查是指依据</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文件的规定，从</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的有效性和完整性对</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文件的响应程度进行审查，以确定是否对</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文件的实质性要求做出响应。</w:t>
      </w:r>
      <w:bookmarkStart w:id="179" w:name="_Hlt522424701"/>
      <w:bookmarkEnd w:id="179"/>
      <w:bookmarkStart w:id="180" w:name="_Toc520356167"/>
    </w:p>
    <w:p w14:paraId="2D4F153A">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的澄清</w:t>
      </w:r>
    </w:p>
    <w:p w14:paraId="1D9022C8">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20.2.1  在评标期间，磋商小组将以书面方式要求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对其</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中含义不明确、对同类问题表述不一致或者有明显文字和计算错误的内容，以及磋商小组认为</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的报价明显低于其他通过符合性检查</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的报价，有可能影响履约的情况作必要的澄清、说明或补正。</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澄清、说明或补正应在磋商小组规定的时间内以书面方式进行，并不得超出</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范围或者改变</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的实质性内容。</w:t>
      </w:r>
    </w:p>
    <w:p w14:paraId="75E9B97A">
      <w:pPr>
        <w:spacing w:line="400" w:lineRule="exact"/>
        <w:ind w:left="900" w:hanging="900" w:hangingChars="375"/>
        <w:outlineLvl w:val="9"/>
        <w:rPr>
          <w:rFonts w:ascii="宋体" w:hAnsi="宋体" w:eastAsia="宋体" w:cs="宋体"/>
          <w:sz w:val="24"/>
          <w:szCs w:val="24"/>
          <w:highlight w:val="none"/>
        </w:rPr>
      </w:pPr>
      <w:r>
        <w:rPr>
          <w:rFonts w:hint="eastAsia" w:asciiTheme="minorEastAsia" w:hAnsiTheme="minorEastAsia" w:eastAsiaTheme="minorEastAsia" w:cstheme="minorEastAsia"/>
          <w:color w:val="auto"/>
          <w:sz w:val="24"/>
          <w:szCs w:val="24"/>
          <w:highlight w:val="none"/>
        </w:rPr>
        <w:t xml:space="preserve">20.2.2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的澄清、说明或补正将作为</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的一部分。</w:t>
      </w:r>
      <w:r>
        <w:rPr>
          <w:rFonts w:hint="eastAsia" w:ascii="宋体" w:hAnsi="宋体" w:eastAsia="宋体" w:cs="宋体"/>
          <w:sz w:val="24"/>
          <w:szCs w:val="24"/>
          <w:highlight w:val="none"/>
          <w:lang w:val="en-US" w:eastAsia="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E811ECF">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20.3   </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报价出现前后不一致的，按照下列规定修正：</w:t>
      </w:r>
    </w:p>
    <w:p w14:paraId="79271C6E">
      <w:pPr>
        <w:spacing w:line="240" w:lineRule="atLeast"/>
        <w:ind w:left="1020" w:hanging="1020" w:hangingChars="42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（一）</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中开标一览表（报价表）内容与</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中相应内容不一致的，以开标一览表（报价表）为准；</w:t>
      </w:r>
    </w:p>
    <w:p w14:paraId="71149800">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（二）大写金额和小写金额不一致的，以大写金额为准；</w:t>
      </w:r>
    </w:p>
    <w:p w14:paraId="073A8E47">
      <w:pPr>
        <w:spacing w:line="240" w:lineRule="atLeast"/>
        <w:ind w:left="1020" w:hanging="1020" w:hangingChars="42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（三）单价金额小数点或者百分比有明显错位的，以开标一览表的总价为准，并修改单价；</w:t>
      </w:r>
    </w:p>
    <w:p w14:paraId="3A759015">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（四）总价金额与按单价汇总金额不一致的，以单价金额计算结果为准。</w:t>
      </w:r>
    </w:p>
    <w:p w14:paraId="189C584F">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同时出现两种以上不一致的，按照前款规定的顺序修正。修正后的报价按照第20.2条的规定经</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确认后产生约束力，</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不确认的，将被认定为</w:t>
      </w:r>
      <w:r>
        <w:rPr>
          <w:rFonts w:hint="eastAsia" w:asciiTheme="minorEastAsia" w:hAnsiTheme="minorEastAsia" w:eastAsiaTheme="minorEastAsia" w:cstheme="minorEastAsia"/>
          <w:b/>
          <w:bCs/>
          <w:color w:val="auto"/>
          <w:sz w:val="24"/>
          <w:szCs w:val="24"/>
          <w:highlight w:val="none"/>
          <w:lang w:eastAsia="zh-CN"/>
        </w:rPr>
        <w:t>磋商</w:t>
      </w:r>
      <w:r>
        <w:rPr>
          <w:rFonts w:hint="eastAsia" w:asciiTheme="minorEastAsia" w:hAnsiTheme="minorEastAsia" w:eastAsiaTheme="minorEastAsia" w:cstheme="minorEastAsia"/>
          <w:b/>
          <w:bCs/>
          <w:color w:val="auto"/>
          <w:sz w:val="24"/>
          <w:szCs w:val="24"/>
          <w:highlight w:val="none"/>
        </w:rPr>
        <w:t>无效</w:t>
      </w:r>
      <w:r>
        <w:rPr>
          <w:rFonts w:hint="eastAsia" w:asciiTheme="minorEastAsia" w:hAnsiTheme="minorEastAsia" w:eastAsiaTheme="minorEastAsia" w:cstheme="minorEastAsia"/>
          <w:color w:val="auto"/>
          <w:sz w:val="24"/>
          <w:szCs w:val="24"/>
          <w:highlight w:val="none"/>
        </w:rPr>
        <w:t>。</w:t>
      </w:r>
    </w:p>
    <w:p w14:paraId="485D6A32">
      <w:pPr>
        <w:spacing w:line="240" w:lineRule="atLeast"/>
        <w:ind w:left="735" w:leftChars="350" w:firstLine="120" w:firstLineChars="5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对不同文字文本</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的解释发生异议的，以中文文本为准。</w:t>
      </w:r>
    </w:p>
    <w:p w14:paraId="365D4910">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20.4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1778213C">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如采购人所采购产品为政府强制采购的节能产品，</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所投产品的品牌及型号必须为清单中有效期内产品并提供证明文件，否则其</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将被认定为</w:t>
      </w:r>
      <w:r>
        <w:rPr>
          <w:rFonts w:hint="eastAsia" w:asciiTheme="minorEastAsia" w:hAnsiTheme="minorEastAsia" w:eastAsiaTheme="minorEastAsia" w:cstheme="minorEastAsia"/>
          <w:b/>
          <w:bCs/>
          <w:color w:val="auto"/>
          <w:sz w:val="24"/>
          <w:szCs w:val="24"/>
          <w:highlight w:val="none"/>
          <w:lang w:eastAsia="zh-CN"/>
        </w:rPr>
        <w:t>磋商</w:t>
      </w:r>
      <w:r>
        <w:rPr>
          <w:rFonts w:hint="eastAsia" w:asciiTheme="minorEastAsia" w:hAnsiTheme="minorEastAsia" w:eastAsiaTheme="minorEastAsia" w:cstheme="minorEastAsia"/>
          <w:b/>
          <w:bCs/>
          <w:color w:val="auto"/>
          <w:sz w:val="24"/>
          <w:szCs w:val="24"/>
          <w:highlight w:val="none"/>
        </w:rPr>
        <w:t>无效</w:t>
      </w:r>
      <w:r>
        <w:rPr>
          <w:rFonts w:hint="eastAsia" w:asciiTheme="minorEastAsia" w:hAnsiTheme="minorEastAsia" w:eastAsiaTheme="minorEastAsia" w:cstheme="minorEastAsia"/>
          <w:color w:val="auto"/>
          <w:sz w:val="24"/>
          <w:szCs w:val="24"/>
          <w:highlight w:val="none"/>
        </w:rPr>
        <w:t>。</w:t>
      </w:r>
    </w:p>
    <w:p w14:paraId="6292757C">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181" w:name="_Toc31393"/>
      <w:bookmarkStart w:id="182" w:name="_Toc518923086"/>
      <w:bookmarkStart w:id="183" w:name="_Toc19463"/>
      <w:bookmarkStart w:id="184" w:name="_Toc5426"/>
      <w:bookmarkStart w:id="185" w:name="_Toc21030"/>
      <w:r>
        <w:rPr>
          <w:rFonts w:hint="eastAsia" w:asciiTheme="minorEastAsia" w:hAnsiTheme="minorEastAsia" w:eastAsiaTheme="minorEastAsia" w:cstheme="minorEastAsia"/>
          <w:color w:val="auto"/>
          <w:sz w:val="24"/>
          <w:szCs w:val="24"/>
          <w:highlight w:val="none"/>
          <w:u w:val="none"/>
        </w:rPr>
        <w:t>21.</w:t>
      </w:r>
      <w:r>
        <w:rPr>
          <w:rFonts w:hint="eastAsia" w:asciiTheme="minorEastAsia" w:hAnsiTheme="minorEastAsia" w:eastAsiaTheme="minorEastAsia" w:cstheme="minorEastAsia"/>
          <w:color w:val="auto"/>
          <w:sz w:val="24"/>
          <w:szCs w:val="24"/>
          <w:highlight w:val="none"/>
          <w:u w:val="none"/>
          <w:lang w:eastAsia="zh-CN"/>
        </w:rPr>
        <w:t>磋商</w:t>
      </w:r>
      <w:r>
        <w:rPr>
          <w:rFonts w:hint="eastAsia" w:asciiTheme="minorEastAsia" w:hAnsiTheme="minorEastAsia" w:eastAsiaTheme="minorEastAsia" w:cstheme="minorEastAsia"/>
          <w:color w:val="auto"/>
          <w:sz w:val="24"/>
          <w:szCs w:val="24"/>
          <w:highlight w:val="none"/>
          <w:u w:val="none"/>
        </w:rPr>
        <w:t>偏离</w:t>
      </w:r>
      <w:bookmarkEnd w:id="181"/>
      <w:bookmarkEnd w:id="182"/>
      <w:bookmarkEnd w:id="183"/>
      <w:bookmarkEnd w:id="184"/>
      <w:bookmarkEnd w:id="185"/>
    </w:p>
    <w:p w14:paraId="21DFCBC9">
      <w:pPr>
        <w:spacing w:line="240" w:lineRule="atLeast"/>
        <w:ind w:left="847" w:leftChars="99" w:hanging="640" w:hangingChars="267"/>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磋商小组可以接受</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中不构成实质性偏离的不正规或不一致。</w:t>
      </w:r>
    </w:p>
    <w:p w14:paraId="720B4885">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186" w:name="_Toc16132"/>
      <w:bookmarkStart w:id="187" w:name="_Toc518923087"/>
      <w:bookmarkStart w:id="188" w:name="_Toc1105"/>
      <w:bookmarkStart w:id="189" w:name="_Toc17871"/>
      <w:bookmarkStart w:id="190" w:name="_Toc10898"/>
      <w:r>
        <w:rPr>
          <w:rFonts w:hint="eastAsia" w:asciiTheme="minorEastAsia" w:hAnsiTheme="minorEastAsia" w:eastAsiaTheme="minorEastAsia" w:cstheme="minorEastAsia"/>
          <w:color w:val="auto"/>
          <w:sz w:val="24"/>
          <w:szCs w:val="24"/>
          <w:highlight w:val="none"/>
          <w:u w:val="none"/>
        </w:rPr>
        <w:t>22.</w:t>
      </w:r>
      <w:r>
        <w:rPr>
          <w:rFonts w:hint="eastAsia" w:asciiTheme="minorEastAsia" w:hAnsiTheme="minorEastAsia" w:eastAsiaTheme="minorEastAsia" w:cstheme="minorEastAsia"/>
          <w:color w:val="auto"/>
          <w:sz w:val="24"/>
          <w:szCs w:val="24"/>
          <w:highlight w:val="none"/>
          <w:u w:val="none"/>
          <w:lang w:eastAsia="zh-CN"/>
        </w:rPr>
        <w:t>磋商</w:t>
      </w:r>
      <w:r>
        <w:rPr>
          <w:rFonts w:hint="eastAsia" w:asciiTheme="minorEastAsia" w:hAnsiTheme="minorEastAsia" w:eastAsiaTheme="minorEastAsia" w:cstheme="minorEastAsia"/>
          <w:color w:val="auto"/>
          <w:sz w:val="24"/>
          <w:szCs w:val="24"/>
          <w:highlight w:val="none"/>
          <w:u w:val="none"/>
        </w:rPr>
        <w:t>无效</w:t>
      </w:r>
      <w:bookmarkEnd w:id="186"/>
      <w:bookmarkEnd w:id="187"/>
      <w:bookmarkEnd w:id="188"/>
      <w:bookmarkEnd w:id="189"/>
      <w:bookmarkEnd w:id="190"/>
    </w:p>
    <w:p w14:paraId="4563E578">
      <w:pPr>
        <w:spacing w:line="240" w:lineRule="atLeast"/>
        <w:ind w:left="960" w:hanging="960" w:hangingChars="4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   在比较与评价之前，根据本须知的规定，磋商小组要审查每份响应文件是否实质上响应了磋商文件的要求。实质上响应的响应文件应该是与磋商文件要求的全部条款、条件和规格相符，没有重大偏离的响应。对关键条款的偏离，将被认定为无效。供应商不得通过修正或撤销不符合要求的偏离从而使其响应文件成为实质上响应。</w:t>
      </w:r>
    </w:p>
    <w:p w14:paraId="51E33126">
      <w:pPr>
        <w:spacing w:line="240" w:lineRule="atLeast"/>
        <w:ind w:left="791" w:leftChars="377"/>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磋商小组决定磋商的响应性只根据磋商文件要求、响应文件内容及财政主管部门指定相关信息发布媒体。</w:t>
      </w:r>
    </w:p>
    <w:p w14:paraId="3B025468">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如发现下列情况之一的，其</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将被认定为</w:t>
      </w:r>
      <w:r>
        <w:rPr>
          <w:rFonts w:hint="eastAsia" w:asciiTheme="minorEastAsia" w:hAnsiTheme="minorEastAsia" w:eastAsiaTheme="minorEastAsia" w:cstheme="minorEastAsia"/>
          <w:b/>
          <w:bCs/>
          <w:color w:val="auto"/>
          <w:sz w:val="24"/>
          <w:szCs w:val="24"/>
          <w:highlight w:val="none"/>
          <w:lang w:eastAsia="zh-CN"/>
        </w:rPr>
        <w:t>磋商</w:t>
      </w:r>
      <w:r>
        <w:rPr>
          <w:rFonts w:hint="eastAsia" w:asciiTheme="minorEastAsia" w:hAnsiTheme="minorEastAsia" w:eastAsiaTheme="minorEastAsia" w:cstheme="minorEastAsia"/>
          <w:b/>
          <w:bCs/>
          <w:color w:val="auto"/>
          <w:sz w:val="24"/>
          <w:szCs w:val="24"/>
          <w:highlight w:val="none"/>
        </w:rPr>
        <w:t>无效</w:t>
      </w:r>
      <w:r>
        <w:rPr>
          <w:rFonts w:hint="eastAsia" w:asciiTheme="minorEastAsia" w:hAnsiTheme="minorEastAsia" w:eastAsiaTheme="minorEastAsia" w:cstheme="minorEastAsia"/>
          <w:color w:val="auto"/>
          <w:sz w:val="24"/>
          <w:szCs w:val="24"/>
          <w:highlight w:val="none"/>
        </w:rPr>
        <w:t>：</w:t>
      </w:r>
    </w:p>
    <w:p w14:paraId="011C77F4">
      <w:pPr>
        <w:numPr>
          <w:ilvl w:val="0"/>
          <w:numId w:val="10"/>
        </w:numPr>
        <w:spacing w:line="240" w:lineRule="atLeast"/>
        <w:ind w:left="1080" w:leftChars="429" w:hanging="180"/>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未按</w:t>
      </w:r>
      <w:r>
        <w:rPr>
          <w:rFonts w:hint="eastAsia" w:asciiTheme="minorEastAsia" w:hAnsiTheme="minorEastAsia" w:eastAsiaTheme="minorEastAsia" w:cstheme="minorEastAsia"/>
          <w:b w:val="0"/>
          <w:bCs w:val="0"/>
          <w:color w:val="auto"/>
          <w:sz w:val="24"/>
          <w:szCs w:val="24"/>
          <w:highlight w:val="none"/>
          <w:lang w:eastAsia="zh-CN"/>
        </w:rPr>
        <w:t>磋商</w:t>
      </w:r>
      <w:r>
        <w:rPr>
          <w:rFonts w:hint="eastAsia" w:asciiTheme="minorEastAsia" w:hAnsiTheme="minorEastAsia" w:eastAsiaTheme="minorEastAsia" w:cstheme="minorEastAsia"/>
          <w:b w:val="0"/>
          <w:bCs w:val="0"/>
          <w:color w:val="auto"/>
          <w:sz w:val="24"/>
          <w:szCs w:val="24"/>
          <w:highlight w:val="none"/>
        </w:rPr>
        <w:t>文件规定的形式和金额</w:t>
      </w:r>
      <w:r>
        <w:rPr>
          <w:rFonts w:hint="eastAsia" w:asciiTheme="minorEastAsia" w:hAnsiTheme="minorEastAsia" w:eastAsiaTheme="minorEastAsia" w:cstheme="minorEastAsia"/>
          <w:b w:val="0"/>
          <w:bCs w:val="0"/>
          <w:color w:val="auto"/>
          <w:sz w:val="24"/>
          <w:szCs w:val="24"/>
          <w:highlight w:val="none"/>
          <w:lang w:val="en-US" w:eastAsia="zh-CN"/>
        </w:rPr>
        <w:t>等内容</w:t>
      </w:r>
      <w:r>
        <w:rPr>
          <w:rFonts w:hint="eastAsia" w:asciiTheme="minorEastAsia" w:hAnsiTheme="minorEastAsia" w:eastAsiaTheme="minorEastAsia" w:cstheme="minorEastAsia"/>
          <w:b w:val="0"/>
          <w:bCs w:val="0"/>
          <w:color w:val="auto"/>
          <w:sz w:val="24"/>
          <w:szCs w:val="24"/>
          <w:highlight w:val="none"/>
        </w:rPr>
        <w:t>提交</w:t>
      </w:r>
      <w:r>
        <w:rPr>
          <w:rFonts w:hint="eastAsia" w:asciiTheme="minorEastAsia" w:hAnsiTheme="minorEastAsia" w:eastAsiaTheme="minorEastAsia" w:cstheme="minorEastAsia"/>
          <w:b w:val="0"/>
          <w:bCs w:val="0"/>
          <w:color w:val="auto"/>
          <w:sz w:val="24"/>
          <w:szCs w:val="24"/>
          <w:highlight w:val="none"/>
          <w:lang w:eastAsia="zh-CN"/>
        </w:rPr>
        <w:t>磋商保证金</w:t>
      </w:r>
      <w:r>
        <w:rPr>
          <w:rFonts w:hint="eastAsia" w:asciiTheme="minorEastAsia" w:hAnsiTheme="minorEastAsia" w:eastAsiaTheme="minorEastAsia" w:cstheme="minorEastAsia"/>
          <w:b w:val="0"/>
          <w:bCs w:val="0"/>
          <w:color w:val="auto"/>
          <w:sz w:val="24"/>
          <w:szCs w:val="24"/>
          <w:highlight w:val="none"/>
        </w:rPr>
        <w:t>的；</w:t>
      </w:r>
    </w:p>
    <w:p w14:paraId="2E72AE1E">
      <w:pPr>
        <w:numPr>
          <w:ilvl w:val="0"/>
          <w:numId w:val="10"/>
        </w:numPr>
        <w:spacing w:line="240" w:lineRule="atLeast"/>
        <w:ind w:left="1080" w:leftChars="429" w:hanging="180"/>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未按照</w:t>
      </w:r>
      <w:r>
        <w:rPr>
          <w:rFonts w:hint="eastAsia" w:asciiTheme="minorEastAsia" w:hAnsiTheme="minorEastAsia" w:eastAsiaTheme="minorEastAsia" w:cstheme="minorEastAsia"/>
          <w:b w:val="0"/>
          <w:bCs w:val="0"/>
          <w:color w:val="auto"/>
          <w:sz w:val="24"/>
          <w:szCs w:val="24"/>
          <w:highlight w:val="none"/>
          <w:lang w:eastAsia="zh-CN"/>
        </w:rPr>
        <w:t>磋商</w:t>
      </w:r>
      <w:r>
        <w:rPr>
          <w:rFonts w:hint="eastAsia" w:asciiTheme="minorEastAsia" w:hAnsiTheme="minorEastAsia" w:eastAsiaTheme="minorEastAsia" w:cstheme="minorEastAsia"/>
          <w:b w:val="0"/>
          <w:bCs w:val="0"/>
          <w:color w:val="auto"/>
          <w:sz w:val="24"/>
          <w:szCs w:val="24"/>
          <w:highlight w:val="none"/>
        </w:rPr>
        <w:t>文件规定要求签署、盖章的；</w:t>
      </w:r>
    </w:p>
    <w:p w14:paraId="20CFF2EE">
      <w:pPr>
        <w:numPr>
          <w:ilvl w:val="0"/>
          <w:numId w:val="10"/>
        </w:numPr>
        <w:spacing w:line="240" w:lineRule="atLeast"/>
        <w:ind w:left="1080" w:leftChars="429" w:hanging="180"/>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未满足</w:t>
      </w:r>
      <w:r>
        <w:rPr>
          <w:rFonts w:hint="eastAsia" w:asciiTheme="minorEastAsia" w:hAnsiTheme="minorEastAsia" w:eastAsiaTheme="minorEastAsia" w:cstheme="minorEastAsia"/>
          <w:b w:val="0"/>
          <w:bCs w:val="0"/>
          <w:color w:val="auto"/>
          <w:sz w:val="24"/>
          <w:szCs w:val="24"/>
          <w:highlight w:val="none"/>
          <w:lang w:eastAsia="zh-CN"/>
        </w:rPr>
        <w:t>磋商</w:t>
      </w:r>
      <w:r>
        <w:rPr>
          <w:rFonts w:hint="eastAsia" w:asciiTheme="minorEastAsia" w:hAnsiTheme="minorEastAsia" w:eastAsiaTheme="minorEastAsia" w:cstheme="minorEastAsia"/>
          <w:b w:val="0"/>
          <w:bCs w:val="0"/>
          <w:color w:val="auto"/>
          <w:sz w:val="24"/>
          <w:szCs w:val="24"/>
          <w:highlight w:val="none"/>
        </w:rPr>
        <w:t>文件中技术条款的实质性要求；</w:t>
      </w:r>
    </w:p>
    <w:p w14:paraId="44BE8E97">
      <w:pPr>
        <w:numPr>
          <w:ilvl w:val="0"/>
          <w:numId w:val="10"/>
        </w:numPr>
        <w:spacing w:line="240" w:lineRule="atLeast"/>
        <w:ind w:left="1080" w:leftChars="429" w:hanging="180"/>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与其他</w:t>
      </w: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串通</w:t>
      </w:r>
      <w:r>
        <w:rPr>
          <w:rFonts w:hint="eastAsia" w:asciiTheme="minorEastAsia" w:hAnsiTheme="minorEastAsia" w:eastAsiaTheme="minorEastAsia" w:cstheme="minorEastAsia"/>
          <w:b w:val="0"/>
          <w:bCs w:val="0"/>
          <w:color w:val="auto"/>
          <w:sz w:val="24"/>
          <w:szCs w:val="24"/>
          <w:highlight w:val="none"/>
          <w:lang w:eastAsia="zh-CN"/>
        </w:rPr>
        <w:t>磋商</w:t>
      </w:r>
      <w:r>
        <w:rPr>
          <w:rFonts w:hint="eastAsia" w:asciiTheme="minorEastAsia" w:hAnsiTheme="minorEastAsia" w:eastAsiaTheme="minorEastAsia" w:cstheme="minorEastAsia"/>
          <w:b w:val="0"/>
          <w:bCs w:val="0"/>
          <w:color w:val="auto"/>
          <w:sz w:val="24"/>
          <w:szCs w:val="24"/>
          <w:highlight w:val="none"/>
        </w:rPr>
        <w:t>，或者与</w:t>
      </w:r>
      <w:r>
        <w:rPr>
          <w:rFonts w:hint="eastAsia" w:asciiTheme="minorEastAsia" w:hAnsiTheme="minorEastAsia" w:eastAsiaTheme="minorEastAsia" w:cstheme="minorEastAsia"/>
          <w:b w:val="0"/>
          <w:bCs w:val="0"/>
          <w:color w:val="auto"/>
          <w:sz w:val="24"/>
          <w:szCs w:val="24"/>
          <w:highlight w:val="none"/>
          <w:lang w:eastAsia="zh-CN"/>
        </w:rPr>
        <w:t>采购</w:t>
      </w:r>
      <w:r>
        <w:rPr>
          <w:rFonts w:hint="eastAsia" w:asciiTheme="minorEastAsia" w:hAnsiTheme="minorEastAsia" w:eastAsiaTheme="minorEastAsia" w:cstheme="minorEastAsia"/>
          <w:b w:val="0"/>
          <w:bCs w:val="0"/>
          <w:color w:val="auto"/>
          <w:sz w:val="24"/>
          <w:szCs w:val="24"/>
          <w:highlight w:val="none"/>
        </w:rPr>
        <w:t>人串通</w:t>
      </w:r>
      <w:r>
        <w:rPr>
          <w:rFonts w:hint="eastAsia" w:asciiTheme="minorEastAsia" w:hAnsiTheme="minorEastAsia" w:eastAsiaTheme="minorEastAsia" w:cstheme="minorEastAsia"/>
          <w:b w:val="0"/>
          <w:bCs w:val="0"/>
          <w:color w:val="auto"/>
          <w:sz w:val="24"/>
          <w:szCs w:val="24"/>
          <w:highlight w:val="none"/>
          <w:lang w:eastAsia="zh-CN"/>
        </w:rPr>
        <w:t>磋商</w:t>
      </w:r>
      <w:r>
        <w:rPr>
          <w:rFonts w:hint="eastAsia" w:asciiTheme="minorEastAsia" w:hAnsiTheme="minorEastAsia" w:eastAsiaTheme="minorEastAsia" w:cstheme="minorEastAsia"/>
          <w:b w:val="0"/>
          <w:bCs w:val="0"/>
          <w:color w:val="auto"/>
          <w:sz w:val="24"/>
          <w:szCs w:val="24"/>
          <w:highlight w:val="none"/>
        </w:rPr>
        <w:t>；</w:t>
      </w:r>
    </w:p>
    <w:p w14:paraId="3F23FEE5">
      <w:pPr>
        <w:numPr>
          <w:ilvl w:val="0"/>
          <w:numId w:val="10"/>
        </w:numPr>
        <w:spacing w:line="240" w:lineRule="atLeast"/>
        <w:ind w:left="1080" w:leftChars="429" w:hanging="180"/>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属于</w:t>
      </w:r>
      <w:r>
        <w:rPr>
          <w:rFonts w:hint="eastAsia" w:asciiTheme="minorEastAsia" w:hAnsiTheme="minorEastAsia" w:eastAsiaTheme="minorEastAsia" w:cstheme="minorEastAsia"/>
          <w:b w:val="0"/>
          <w:bCs w:val="0"/>
          <w:color w:val="auto"/>
          <w:sz w:val="24"/>
          <w:szCs w:val="24"/>
          <w:highlight w:val="none"/>
          <w:lang w:eastAsia="zh-CN"/>
        </w:rPr>
        <w:t>磋商</w:t>
      </w:r>
      <w:r>
        <w:rPr>
          <w:rFonts w:hint="eastAsia" w:asciiTheme="minorEastAsia" w:hAnsiTheme="minorEastAsia" w:eastAsiaTheme="minorEastAsia" w:cstheme="minorEastAsia"/>
          <w:b w:val="0"/>
          <w:bCs w:val="0"/>
          <w:color w:val="auto"/>
          <w:sz w:val="24"/>
          <w:szCs w:val="24"/>
          <w:highlight w:val="none"/>
        </w:rPr>
        <w:t>文件规定的其他</w:t>
      </w:r>
      <w:r>
        <w:rPr>
          <w:rFonts w:hint="eastAsia" w:asciiTheme="minorEastAsia" w:hAnsiTheme="minorEastAsia" w:eastAsiaTheme="minorEastAsia" w:cstheme="minorEastAsia"/>
          <w:b w:val="0"/>
          <w:bCs w:val="0"/>
          <w:color w:val="auto"/>
          <w:sz w:val="24"/>
          <w:szCs w:val="24"/>
          <w:highlight w:val="none"/>
          <w:lang w:eastAsia="zh-CN"/>
        </w:rPr>
        <w:t>磋商</w:t>
      </w:r>
      <w:r>
        <w:rPr>
          <w:rFonts w:hint="eastAsia" w:asciiTheme="minorEastAsia" w:hAnsiTheme="minorEastAsia" w:eastAsiaTheme="minorEastAsia" w:cstheme="minorEastAsia"/>
          <w:b w:val="0"/>
          <w:bCs w:val="0"/>
          <w:color w:val="auto"/>
          <w:sz w:val="24"/>
          <w:szCs w:val="24"/>
          <w:highlight w:val="none"/>
        </w:rPr>
        <w:t>无效情形；</w:t>
      </w:r>
    </w:p>
    <w:p w14:paraId="7CB2B4CB">
      <w:pPr>
        <w:numPr>
          <w:ilvl w:val="0"/>
          <w:numId w:val="10"/>
        </w:numPr>
        <w:spacing w:line="240" w:lineRule="atLeast"/>
        <w:ind w:left="1080" w:leftChars="429" w:hanging="180"/>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磋商小组认为</w:t>
      </w: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的报价明显低于其他通过符合性检查</w:t>
      </w: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的报价，有可能影响履约的，且</w:t>
      </w: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未按照规定证明其报价合理性的；</w:t>
      </w:r>
    </w:p>
    <w:p w14:paraId="668EE761">
      <w:pPr>
        <w:numPr>
          <w:ilvl w:val="0"/>
          <w:numId w:val="10"/>
        </w:numPr>
        <w:spacing w:line="240" w:lineRule="atLeast"/>
        <w:ind w:left="1080" w:leftChars="429" w:hanging="180"/>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响应文件</w:t>
      </w:r>
      <w:r>
        <w:rPr>
          <w:rFonts w:hint="eastAsia" w:asciiTheme="minorEastAsia" w:hAnsiTheme="minorEastAsia" w:eastAsiaTheme="minorEastAsia" w:cstheme="minorEastAsia"/>
          <w:b w:val="0"/>
          <w:bCs w:val="0"/>
          <w:color w:val="auto"/>
          <w:sz w:val="24"/>
          <w:szCs w:val="24"/>
          <w:highlight w:val="none"/>
        </w:rPr>
        <w:t>含有采购人不能接受的附加条件的；</w:t>
      </w:r>
    </w:p>
    <w:p w14:paraId="4AD56CFD">
      <w:pPr>
        <w:numPr>
          <w:ilvl w:val="0"/>
          <w:numId w:val="0"/>
        </w:numPr>
        <w:spacing w:line="240" w:lineRule="atLeast"/>
        <w:ind w:leftChars="429"/>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8</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不符合法规和</w:t>
      </w:r>
      <w:r>
        <w:rPr>
          <w:rFonts w:hint="eastAsia" w:asciiTheme="minorEastAsia" w:hAnsiTheme="minorEastAsia" w:eastAsiaTheme="minorEastAsia" w:cstheme="minorEastAsia"/>
          <w:b w:val="0"/>
          <w:bCs w:val="0"/>
          <w:color w:val="auto"/>
          <w:sz w:val="24"/>
          <w:szCs w:val="24"/>
          <w:highlight w:val="none"/>
          <w:lang w:eastAsia="zh-CN"/>
        </w:rPr>
        <w:t>磋商</w:t>
      </w:r>
      <w:r>
        <w:rPr>
          <w:rFonts w:hint="eastAsia" w:asciiTheme="minorEastAsia" w:hAnsiTheme="minorEastAsia" w:eastAsiaTheme="minorEastAsia" w:cstheme="minorEastAsia"/>
          <w:b w:val="0"/>
          <w:bCs w:val="0"/>
          <w:color w:val="auto"/>
          <w:sz w:val="24"/>
          <w:szCs w:val="24"/>
          <w:highlight w:val="none"/>
        </w:rPr>
        <w:t>文件中规定的其他实质性要求的。</w:t>
      </w:r>
    </w:p>
    <w:p w14:paraId="106846DD">
      <w:pPr>
        <w:spacing w:line="240" w:lineRule="atLeast"/>
        <w:outlineLvl w:val="9"/>
        <w:rPr>
          <w:rFonts w:hint="eastAsia" w:asciiTheme="minorEastAsia" w:hAnsiTheme="minorEastAsia" w:eastAsiaTheme="minorEastAsia" w:cstheme="minorEastAsia"/>
          <w:color w:val="auto"/>
          <w:sz w:val="24"/>
          <w:szCs w:val="24"/>
          <w:highlight w:val="none"/>
        </w:rPr>
      </w:pPr>
      <w:bookmarkStart w:id="191" w:name="_Toc518923088"/>
      <w:r>
        <w:rPr>
          <w:rFonts w:hint="eastAsia" w:asciiTheme="minorEastAsia" w:hAnsiTheme="minorEastAsia" w:eastAsiaTheme="minorEastAsia" w:cstheme="minorEastAsia"/>
          <w:color w:val="auto"/>
          <w:sz w:val="24"/>
          <w:szCs w:val="24"/>
          <w:highlight w:val="none"/>
        </w:rPr>
        <w:t>23</w:t>
      </w:r>
      <w:bookmarkEnd w:id="180"/>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kern w:val="0"/>
          <w:sz w:val="24"/>
          <w:szCs w:val="24"/>
          <w:highlight w:val="none"/>
          <w:u w:val="none"/>
          <w:lang w:val="en-US" w:eastAsia="zh-CN" w:bidi="ar-SA"/>
        </w:rPr>
        <w:t>比较与评价</w:t>
      </w:r>
      <w:bookmarkEnd w:id="191"/>
    </w:p>
    <w:p w14:paraId="19637C9D">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23.1</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经符合性审查合格的</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，磋商小组成员将根据</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文件确定的评标方法和标准，对其技术部分和商务部分作进一步的比较和评价。</w:t>
      </w:r>
    </w:p>
    <w:p w14:paraId="1130F4E9">
      <w:pPr>
        <w:spacing w:line="400" w:lineRule="exact"/>
        <w:ind w:left="900" w:hanging="900" w:hangingChars="375"/>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23.2  </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评审严格按照磋商文件的要求和条件进行。根据实际情况，在</w:t>
      </w:r>
      <w:r>
        <w:rPr>
          <w:rFonts w:hint="eastAsia" w:ascii="宋体" w:hAnsi="宋体" w:eastAsia="宋体" w:cs="宋体"/>
          <w:color w:val="000000"/>
          <w:sz w:val="24"/>
          <w:szCs w:val="24"/>
          <w:highlight w:val="none"/>
          <w:u w:val="single"/>
        </w:rPr>
        <w:t>供应商须知资料表</w:t>
      </w:r>
      <w:r>
        <w:rPr>
          <w:rFonts w:hint="eastAsia" w:ascii="宋体" w:hAnsi="宋体" w:eastAsia="宋体" w:cs="宋体"/>
          <w:color w:val="000000"/>
          <w:sz w:val="24"/>
          <w:szCs w:val="24"/>
          <w:highlight w:val="none"/>
        </w:rPr>
        <w:t>中规定采用下列一种评审方法，详细评审标准见磋商文件第六章：</w:t>
      </w:r>
    </w:p>
    <w:p w14:paraId="7131D69D">
      <w:pPr>
        <w:pStyle w:val="12"/>
        <w:spacing w:line="400" w:lineRule="exact"/>
        <w:ind w:left="957" w:leftChars="456" w:firstLine="33" w:firstLineChars="14"/>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综合评分法，是指响应文件满足磋商文件全部实质性要求，且按照评审因素的量化指标评审得分最高的供应商为成交候选人的评审方法。</w:t>
      </w:r>
    </w:p>
    <w:p w14:paraId="37DB56D3">
      <w:pPr>
        <w:pStyle w:val="12"/>
        <w:numPr>
          <w:ilvl w:val="0"/>
          <w:numId w:val="0"/>
        </w:numPr>
        <w:spacing w:line="400" w:lineRule="exact"/>
        <w:ind w:leftChars="242"/>
        <w:outlineLvl w:val="9"/>
        <w:rPr>
          <w:rFonts w:ascii="宋体" w:hAnsi="宋体" w:eastAsia="宋体" w:cs="宋体"/>
          <w:sz w:val="24"/>
          <w:szCs w:val="24"/>
          <w:highlight w:val="none"/>
        </w:rPr>
      </w:pPr>
      <w:r>
        <w:rPr>
          <w:rFonts w:hint="eastAsia" w:ascii="宋体" w:hAnsi="宋体" w:eastAsia="宋体" w:cs="宋体"/>
          <w:sz w:val="24"/>
          <w:szCs w:val="24"/>
          <w:highlight w:val="none"/>
        </w:rPr>
        <w:t>23.3根据《</w:t>
      </w:r>
      <w:r>
        <w:rPr>
          <w:rFonts w:hint="eastAsia" w:ascii="宋体" w:hAnsi="宋体" w:eastAsia="宋体" w:cs="宋体"/>
          <w:sz w:val="24"/>
          <w:szCs w:val="24"/>
          <w:highlight w:val="none"/>
          <w:lang w:eastAsia="zh-CN"/>
        </w:rPr>
        <w:t>政府采购促进中小企业发展管理办法</w:t>
      </w:r>
      <w:r>
        <w:rPr>
          <w:rFonts w:hint="eastAsia" w:ascii="宋体" w:hAnsi="宋体" w:eastAsia="宋体" w:cs="宋体"/>
          <w:sz w:val="24"/>
          <w:szCs w:val="24"/>
          <w:highlight w:val="none"/>
        </w:rPr>
        <w:t>》（财库〔2020〕46号）、《关于进一步加大政府采购支持中小企业力度的通知》（财库〔2022〕19号）、《财政部司法部关于政府采购支持监狱企业发展有关问题的通知》（财库〔2014〕68号）和《三部门联合发布关于促进残疾人就业政府采购政策的通知》（</w:t>
      </w:r>
      <w:bookmarkStart w:id="192" w:name="sendNo"/>
      <w:r>
        <w:rPr>
          <w:rFonts w:hint="eastAsia" w:ascii="宋体" w:hAnsi="宋体" w:eastAsia="宋体" w:cs="宋体"/>
          <w:sz w:val="24"/>
          <w:szCs w:val="24"/>
          <w:highlight w:val="none"/>
        </w:rPr>
        <w:t>财库〔</w:t>
      </w:r>
      <w:bookmarkEnd w:id="192"/>
      <w:r>
        <w:rPr>
          <w:rFonts w:hint="eastAsia" w:ascii="宋体" w:hAnsi="宋体" w:eastAsia="宋体" w:cs="宋体"/>
          <w:sz w:val="24"/>
          <w:szCs w:val="24"/>
          <w:highlight w:val="none"/>
        </w:rPr>
        <w:t>2017〕141号）的规定，对满足价格扣除条件且在响应文件中提交了《供应商企业类型声明函》或省级以上监狱管理局、戒毒管理局（含新疆生产建设兵团）出具的属于监狱企业的证明文件的供应商，其</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报价扣除10-20%后参与评审。具体办法详见磋商文件第6章。</w:t>
      </w:r>
    </w:p>
    <w:p w14:paraId="15854122">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193" w:name="_Toc520356168"/>
      <w:bookmarkStart w:id="194" w:name="_Toc2499"/>
      <w:bookmarkStart w:id="195" w:name="_Toc11065"/>
      <w:bookmarkStart w:id="196" w:name="_Toc518923089"/>
      <w:bookmarkStart w:id="197" w:name="_Toc2589"/>
      <w:bookmarkStart w:id="198" w:name="_Toc2184"/>
      <w:r>
        <w:rPr>
          <w:rFonts w:hint="eastAsia" w:asciiTheme="minorEastAsia" w:hAnsiTheme="minorEastAsia" w:eastAsiaTheme="minorEastAsia" w:cstheme="minorEastAsia"/>
          <w:color w:val="auto"/>
          <w:sz w:val="24"/>
          <w:szCs w:val="24"/>
          <w:highlight w:val="none"/>
          <w:u w:val="none"/>
        </w:rPr>
        <w:t>24</w:t>
      </w:r>
      <w:bookmarkEnd w:id="193"/>
      <w:r>
        <w:rPr>
          <w:rFonts w:hint="eastAsia" w:asciiTheme="minorEastAsia" w:hAnsiTheme="minorEastAsia" w:eastAsiaTheme="minorEastAsia" w:cstheme="minorEastAsia"/>
          <w:color w:val="auto"/>
          <w:sz w:val="24"/>
          <w:szCs w:val="24"/>
          <w:highlight w:val="none"/>
          <w:u w:val="none"/>
        </w:rPr>
        <w:t>.废标</w:t>
      </w:r>
      <w:bookmarkEnd w:id="194"/>
      <w:bookmarkEnd w:id="195"/>
      <w:bookmarkEnd w:id="196"/>
      <w:bookmarkEnd w:id="197"/>
      <w:bookmarkEnd w:id="198"/>
    </w:p>
    <w:p w14:paraId="4BE3FEE8">
      <w:pPr>
        <w:spacing w:line="240" w:lineRule="atLeast"/>
        <w:ind w:left="897" w:leftChars="399" w:hanging="60" w:hangingChars="2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出现下列情形之一，将导致项目废标： </w:t>
      </w:r>
    </w:p>
    <w:p w14:paraId="2994EEE1">
      <w:pPr>
        <w:spacing w:line="240" w:lineRule="atLeast"/>
        <w:ind w:left="900" w:hanging="900" w:hangingChars="375"/>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b w:val="0"/>
          <w:bCs w:val="0"/>
          <w:color w:val="auto"/>
          <w:sz w:val="24"/>
          <w:szCs w:val="24"/>
          <w:highlight w:val="none"/>
        </w:rPr>
        <w:t>（1）符合专业条件的供应商或者对</w:t>
      </w:r>
      <w:r>
        <w:rPr>
          <w:rFonts w:hint="eastAsia" w:asciiTheme="minorEastAsia" w:hAnsiTheme="minorEastAsia" w:eastAsiaTheme="minorEastAsia" w:cstheme="minorEastAsia"/>
          <w:b w:val="0"/>
          <w:bCs w:val="0"/>
          <w:color w:val="auto"/>
          <w:sz w:val="24"/>
          <w:szCs w:val="24"/>
          <w:highlight w:val="none"/>
          <w:lang w:eastAsia="zh-CN"/>
        </w:rPr>
        <w:t>磋商</w:t>
      </w:r>
      <w:r>
        <w:rPr>
          <w:rFonts w:hint="eastAsia" w:asciiTheme="minorEastAsia" w:hAnsiTheme="minorEastAsia" w:eastAsiaTheme="minorEastAsia" w:cstheme="minorEastAsia"/>
          <w:b w:val="0"/>
          <w:bCs w:val="0"/>
          <w:color w:val="auto"/>
          <w:sz w:val="24"/>
          <w:szCs w:val="24"/>
          <w:highlight w:val="none"/>
        </w:rPr>
        <w:t>文件做实质性响应的供应商不足三家；</w:t>
      </w:r>
    </w:p>
    <w:p w14:paraId="6BD836FA">
      <w:pPr>
        <w:spacing w:line="240" w:lineRule="atLeast"/>
        <w:ind w:left="900" w:hanging="900" w:hangingChars="375"/>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ab/>
      </w:r>
      <w:r>
        <w:rPr>
          <w:rFonts w:hint="eastAsia" w:asciiTheme="minorEastAsia" w:hAnsiTheme="minorEastAsia" w:eastAsiaTheme="minorEastAsia" w:cstheme="minorEastAsia"/>
          <w:b w:val="0"/>
          <w:bCs w:val="0"/>
          <w:color w:val="auto"/>
          <w:sz w:val="24"/>
          <w:szCs w:val="24"/>
          <w:highlight w:val="none"/>
        </w:rPr>
        <w:t>（2）出现影响采购公正的违法、违规行为的；</w:t>
      </w:r>
    </w:p>
    <w:p w14:paraId="5F615B71">
      <w:pPr>
        <w:spacing w:line="240" w:lineRule="atLeast"/>
        <w:ind w:firstLine="840" w:firstLineChars="350"/>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w:t>
      </w: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的报价均超过了采购预算，采购人不能支付的；</w:t>
      </w:r>
    </w:p>
    <w:p w14:paraId="14CB8383">
      <w:pPr>
        <w:spacing w:line="240" w:lineRule="atLeast"/>
        <w:ind w:firstLine="840" w:firstLineChars="350"/>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 xml:space="preserve">（4）因重大变故，采购任务取消的。   </w:t>
      </w:r>
    </w:p>
    <w:p w14:paraId="4B3F8ED5">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199" w:name="_Toc518923090"/>
      <w:bookmarkStart w:id="200" w:name="_Toc2090"/>
      <w:bookmarkStart w:id="201" w:name="_Toc22354"/>
      <w:bookmarkStart w:id="202" w:name="_Toc31231"/>
      <w:bookmarkStart w:id="203" w:name="_Toc11458"/>
      <w:bookmarkStart w:id="204" w:name="_Toc520356169"/>
      <w:r>
        <w:rPr>
          <w:rFonts w:hint="eastAsia" w:asciiTheme="minorEastAsia" w:hAnsiTheme="minorEastAsia" w:eastAsiaTheme="minorEastAsia" w:cstheme="minorEastAsia"/>
          <w:color w:val="auto"/>
          <w:sz w:val="24"/>
          <w:szCs w:val="24"/>
          <w:highlight w:val="none"/>
          <w:u w:val="none"/>
        </w:rPr>
        <w:t>25.保密原则</w:t>
      </w:r>
      <w:bookmarkEnd w:id="199"/>
      <w:bookmarkEnd w:id="200"/>
      <w:bookmarkEnd w:id="201"/>
      <w:bookmarkEnd w:id="202"/>
      <w:bookmarkEnd w:id="203"/>
    </w:p>
    <w:p w14:paraId="5FCED23A">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25.1</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评标将在严格保密的情况下进行。</w:t>
      </w:r>
    </w:p>
    <w:p w14:paraId="7DFCEA04">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25.2</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政府采购评审专家应当遵守评审工作纪律，不得泄露评审文件、评审情况和评审中获悉的商业秘密。</w:t>
      </w:r>
    </w:p>
    <w:p w14:paraId="1B5C392B">
      <w:pPr>
        <w:spacing w:line="240" w:lineRule="atLeast"/>
        <w:ind w:left="1079" w:leftChars="257" w:hanging="540"/>
        <w:rPr>
          <w:rFonts w:hint="eastAsia" w:asciiTheme="minorEastAsia" w:hAnsiTheme="minorEastAsia" w:eastAsiaTheme="minorEastAsia" w:cstheme="minorEastAsia"/>
          <w:color w:val="auto"/>
          <w:sz w:val="24"/>
          <w:highlight w:val="none"/>
        </w:rPr>
      </w:pPr>
    </w:p>
    <w:p w14:paraId="4026409F">
      <w:pPr>
        <w:pStyle w:val="3"/>
        <w:spacing w:before="0" w:line="240" w:lineRule="atLeast"/>
        <w:ind w:left="1079" w:leftChars="257" w:hanging="540"/>
        <w:rPr>
          <w:rFonts w:hint="eastAsia" w:asciiTheme="minorEastAsia" w:hAnsiTheme="minorEastAsia" w:eastAsiaTheme="minorEastAsia" w:cstheme="minorEastAsia"/>
          <w:color w:val="auto"/>
          <w:sz w:val="24"/>
          <w:highlight w:val="none"/>
        </w:rPr>
      </w:pPr>
      <w:bookmarkStart w:id="205" w:name="_Toc12116"/>
      <w:bookmarkStart w:id="206" w:name="_Toc518923091"/>
      <w:bookmarkStart w:id="207" w:name="_Toc4899"/>
      <w:bookmarkStart w:id="208" w:name="_Toc28831"/>
      <w:bookmarkStart w:id="209" w:name="_Toc19947"/>
      <w:bookmarkStart w:id="210" w:name="_Toc12537"/>
      <w:bookmarkStart w:id="211" w:name="_Toc216582810"/>
      <w:r>
        <w:rPr>
          <w:rFonts w:hint="eastAsia" w:asciiTheme="minorEastAsia" w:hAnsiTheme="minorEastAsia" w:eastAsiaTheme="minorEastAsia" w:cstheme="minorEastAsia"/>
          <w:color w:val="auto"/>
          <w:sz w:val="24"/>
          <w:highlight w:val="none"/>
        </w:rPr>
        <w:t xml:space="preserve">六   </w:t>
      </w:r>
      <w:bookmarkEnd w:id="204"/>
      <w:r>
        <w:rPr>
          <w:rFonts w:hint="eastAsia" w:asciiTheme="minorEastAsia" w:hAnsiTheme="minorEastAsia" w:eastAsiaTheme="minorEastAsia" w:cstheme="minorEastAsia"/>
          <w:color w:val="auto"/>
          <w:sz w:val="24"/>
          <w:highlight w:val="none"/>
        </w:rPr>
        <w:t>确定中标</w:t>
      </w:r>
      <w:bookmarkEnd w:id="205"/>
      <w:bookmarkEnd w:id="206"/>
      <w:bookmarkEnd w:id="207"/>
      <w:bookmarkEnd w:id="208"/>
      <w:bookmarkEnd w:id="209"/>
      <w:bookmarkEnd w:id="210"/>
      <w:bookmarkEnd w:id="211"/>
    </w:p>
    <w:p w14:paraId="3012F64C">
      <w:pPr>
        <w:pStyle w:val="7"/>
        <w:rPr>
          <w:rFonts w:hint="eastAsia" w:asciiTheme="minorEastAsia" w:hAnsiTheme="minorEastAsia" w:eastAsiaTheme="minorEastAsia" w:cstheme="minorEastAsia"/>
          <w:color w:val="auto"/>
          <w:highlight w:val="none"/>
        </w:rPr>
      </w:pPr>
    </w:p>
    <w:p w14:paraId="16029803">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212" w:name="_Toc518923092"/>
      <w:bookmarkStart w:id="213" w:name="_Toc5286"/>
      <w:bookmarkStart w:id="214" w:name="_Toc540"/>
      <w:bookmarkStart w:id="215" w:name="_Toc22247"/>
      <w:bookmarkStart w:id="216" w:name="_Ref467307010"/>
      <w:bookmarkStart w:id="217" w:name="_Toc8083"/>
      <w:bookmarkStart w:id="218" w:name="_Toc520356170"/>
      <w:r>
        <w:rPr>
          <w:rFonts w:hint="eastAsia" w:asciiTheme="minorEastAsia" w:hAnsiTheme="minorEastAsia" w:eastAsiaTheme="minorEastAsia" w:cstheme="minorEastAsia"/>
          <w:color w:val="auto"/>
          <w:sz w:val="24"/>
          <w:szCs w:val="24"/>
          <w:highlight w:val="none"/>
          <w:u w:val="none"/>
        </w:rPr>
        <w:t>26.中标候选人的确定原则及标准</w:t>
      </w:r>
      <w:bookmarkEnd w:id="212"/>
      <w:bookmarkEnd w:id="213"/>
      <w:bookmarkEnd w:id="214"/>
      <w:bookmarkEnd w:id="215"/>
      <w:bookmarkEnd w:id="216"/>
      <w:bookmarkEnd w:id="217"/>
      <w:bookmarkEnd w:id="218"/>
    </w:p>
    <w:p w14:paraId="1C0D5649">
      <w:pPr>
        <w:spacing w:line="240" w:lineRule="atLeast"/>
        <w:ind w:left="957" w:leftChars="456" w:firstLine="60" w:firstLineChars="2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b/>
      </w:r>
      <w:bookmarkStart w:id="219" w:name="_Toc520356171"/>
      <w:bookmarkStart w:id="220" w:name="_Toc518923093"/>
      <w:bookmarkStart w:id="221" w:name="_Toc19632"/>
      <w:bookmarkStart w:id="222" w:name="_Toc15470"/>
      <w:bookmarkStart w:id="223" w:name="_Toc23007"/>
      <w:bookmarkStart w:id="224" w:name="_Toc5627"/>
      <w:r>
        <w:rPr>
          <w:rFonts w:hint="eastAsia" w:asciiTheme="minorEastAsia" w:hAnsiTheme="minorEastAsia" w:eastAsiaTheme="minorEastAsia" w:cstheme="minorEastAsia"/>
          <w:color w:val="auto"/>
          <w:sz w:val="24"/>
          <w:szCs w:val="24"/>
          <w:highlight w:val="none"/>
        </w:rPr>
        <w:t>除第28条规定外，对实质上响应</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按下列方法进行排序，确定中标候选人：评标结果按评审后得分由高到低顺序排列。得分相同的，按修正和扣除后的</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报价由低到高顺序排列。得分与</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报价均相同的处理方式详见</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文件第6章。</w:t>
      </w:r>
    </w:p>
    <w:p w14:paraId="1A767213">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27</w:t>
      </w:r>
      <w:bookmarkEnd w:id="219"/>
      <w:r>
        <w:rPr>
          <w:rFonts w:hint="eastAsia" w:asciiTheme="minorEastAsia" w:hAnsiTheme="minorEastAsia" w:eastAsiaTheme="minorEastAsia" w:cstheme="minorEastAsia"/>
          <w:color w:val="auto"/>
          <w:sz w:val="24"/>
          <w:szCs w:val="24"/>
          <w:highlight w:val="none"/>
          <w:u w:val="none"/>
        </w:rPr>
        <w:t>.确定中标候选人和中标人</w:t>
      </w:r>
      <w:bookmarkEnd w:id="220"/>
      <w:bookmarkEnd w:id="221"/>
      <w:bookmarkEnd w:id="222"/>
      <w:bookmarkEnd w:id="223"/>
      <w:bookmarkEnd w:id="224"/>
    </w:p>
    <w:p w14:paraId="145A92FE">
      <w:pPr>
        <w:ind w:left="901"/>
        <w:outlineLvl w:val="9"/>
        <w:rPr>
          <w:rFonts w:hint="eastAsia" w:asciiTheme="minorEastAsia" w:hAnsiTheme="minorEastAsia" w:eastAsiaTheme="minorEastAsia" w:cstheme="minorEastAsia"/>
          <w:color w:val="auto"/>
          <w:sz w:val="24"/>
          <w:szCs w:val="24"/>
          <w:highlight w:val="none"/>
          <w:lang w:val="en-US" w:eastAsia="zh-CN"/>
        </w:rPr>
      </w:pPr>
      <w:bookmarkStart w:id="225" w:name="_Toc28959"/>
      <w:bookmarkStart w:id="226" w:name="_Toc520356173"/>
      <w:bookmarkStart w:id="227" w:name="_Ref467306874"/>
      <w:bookmarkStart w:id="228" w:name="_Toc7753"/>
      <w:bookmarkStart w:id="229" w:name="_Toc518923094"/>
      <w:r>
        <w:rPr>
          <w:rFonts w:hint="eastAsia" w:asciiTheme="minorEastAsia" w:hAnsiTheme="minorEastAsia" w:eastAsiaTheme="minorEastAsia" w:cstheme="minorEastAsia"/>
          <w:color w:val="auto"/>
          <w:sz w:val="24"/>
          <w:szCs w:val="24"/>
          <w:highlight w:val="none"/>
          <w:lang w:val="en-US" w:eastAsia="zh-CN"/>
        </w:rPr>
        <w:t>磋商小组将根据评标标准，按</w:t>
      </w:r>
      <w:r>
        <w:rPr>
          <w:rFonts w:hint="eastAsia" w:asciiTheme="minorEastAsia" w:hAnsiTheme="minorEastAsia" w:eastAsiaTheme="minorEastAsia" w:cstheme="minorEastAsia"/>
          <w:color w:val="auto"/>
          <w:sz w:val="24"/>
          <w:szCs w:val="24"/>
          <w:highlight w:val="none"/>
          <w:u w:val="single"/>
          <w:lang w:val="en-US" w:eastAsia="zh-CN"/>
        </w:rPr>
        <w:t>供应商须知资料表</w:t>
      </w:r>
      <w:r>
        <w:rPr>
          <w:rFonts w:hint="eastAsia" w:asciiTheme="minorEastAsia" w:hAnsiTheme="minorEastAsia" w:eastAsiaTheme="minorEastAsia" w:cstheme="minorEastAsia"/>
          <w:color w:val="auto"/>
          <w:sz w:val="24"/>
          <w:szCs w:val="24"/>
          <w:highlight w:val="none"/>
          <w:lang w:val="en-US" w:eastAsia="zh-CN"/>
        </w:rPr>
        <w:t>中规定数量推荐中标候选人；或根据采购人的委托，直接确定中标人。</w:t>
      </w:r>
      <w:bookmarkEnd w:id="225"/>
    </w:p>
    <w:p w14:paraId="241C6038">
      <w:pPr>
        <w:tabs>
          <w:tab w:val="left" w:pos="900"/>
        </w:tabs>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230" w:name="_Toc4328"/>
      <w:bookmarkStart w:id="231" w:name="_Toc21045"/>
      <w:bookmarkStart w:id="232" w:name="_Toc7461"/>
      <w:r>
        <w:rPr>
          <w:rFonts w:hint="eastAsia" w:asciiTheme="minorEastAsia" w:hAnsiTheme="minorEastAsia" w:eastAsiaTheme="minorEastAsia" w:cstheme="minorEastAsia"/>
          <w:color w:val="auto"/>
          <w:sz w:val="24"/>
          <w:szCs w:val="24"/>
          <w:highlight w:val="none"/>
          <w:u w:val="none"/>
        </w:rPr>
        <w:t>28</w:t>
      </w:r>
      <w:bookmarkEnd w:id="226"/>
      <w:bookmarkEnd w:id="227"/>
      <w:r>
        <w:rPr>
          <w:rFonts w:hint="eastAsia" w:asciiTheme="minorEastAsia" w:hAnsiTheme="minorEastAsia" w:eastAsiaTheme="minorEastAsia" w:cstheme="minorEastAsia"/>
          <w:color w:val="auto"/>
          <w:sz w:val="24"/>
          <w:szCs w:val="24"/>
          <w:highlight w:val="none"/>
          <w:u w:val="none"/>
        </w:rPr>
        <w:t>.采购任务取消</w:t>
      </w:r>
      <w:bookmarkEnd w:id="228"/>
      <w:bookmarkEnd w:id="229"/>
      <w:bookmarkEnd w:id="230"/>
      <w:bookmarkEnd w:id="231"/>
      <w:bookmarkEnd w:id="232"/>
    </w:p>
    <w:p w14:paraId="337F1720">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因重大变故采购任务取消时，采购人有权拒绝任何</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中标，且对受影响的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不承担任何责任。</w:t>
      </w:r>
      <w:bookmarkStart w:id="233" w:name="_Toc520356174"/>
    </w:p>
    <w:p w14:paraId="3DDDCFD8">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234" w:name="_Toc32405"/>
      <w:bookmarkStart w:id="235" w:name="_Toc903"/>
      <w:bookmarkStart w:id="236" w:name="_Toc3031"/>
      <w:bookmarkStart w:id="237" w:name="_Toc518923095"/>
      <w:bookmarkStart w:id="238" w:name="_Toc14129"/>
      <w:r>
        <w:rPr>
          <w:rFonts w:hint="eastAsia" w:asciiTheme="minorEastAsia" w:hAnsiTheme="minorEastAsia" w:eastAsiaTheme="minorEastAsia" w:cstheme="minorEastAsia"/>
          <w:color w:val="auto"/>
          <w:sz w:val="24"/>
          <w:szCs w:val="24"/>
          <w:highlight w:val="none"/>
          <w:u w:val="none"/>
        </w:rPr>
        <w:t>29.</w:t>
      </w:r>
      <w:r>
        <w:rPr>
          <w:rFonts w:hint="eastAsia" w:asciiTheme="minorEastAsia" w:hAnsiTheme="minorEastAsia" w:eastAsiaTheme="minorEastAsia" w:cstheme="minorEastAsia"/>
          <w:color w:val="auto"/>
          <w:sz w:val="24"/>
          <w:szCs w:val="24"/>
          <w:highlight w:val="none"/>
          <w:u w:val="none"/>
          <w:lang w:eastAsia="zh-CN"/>
        </w:rPr>
        <w:t>成交</w:t>
      </w:r>
      <w:r>
        <w:rPr>
          <w:rFonts w:hint="eastAsia" w:asciiTheme="minorEastAsia" w:hAnsiTheme="minorEastAsia" w:eastAsiaTheme="minorEastAsia" w:cstheme="minorEastAsia"/>
          <w:color w:val="auto"/>
          <w:sz w:val="24"/>
          <w:szCs w:val="24"/>
          <w:highlight w:val="none"/>
          <w:u w:val="none"/>
        </w:rPr>
        <w:t>通知书</w:t>
      </w:r>
      <w:bookmarkEnd w:id="233"/>
      <w:bookmarkEnd w:id="234"/>
      <w:bookmarkEnd w:id="235"/>
      <w:bookmarkEnd w:id="236"/>
      <w:bookmarkEnd w:id="237"/>
      <w:bookmarkEnd w:id="238"/>
    </w:p>
    <w:p w14:paraId="2F7DCA72">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29.1</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有效期内，中标人确定后，采购人或者采购代理机构发布中标公告，同时以书面形式向中标人发出</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通知书；</w:t>
      </w:r>
    </w:p>
    <w:p w14:paraId="0F09F7C3">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29.2</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通知书是合同的组成部分；</w:t>
      </w:r>
    </w:p>
    <w:p w14:paraId="7164BFBD">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239" w:name="_Toc27261"/>
      <w:bookmarkStart w:id="240" w:name="_Ref467306377"/>
      <w:bookmarkStart w:id="241" w:name="_Toc518923096"/>
      <w:bookmarkStart w:id="242" w:name="_Toc520356175"/>
      <w:bookmarkStart w:id="243" w:name="_Toc29795"/>
      <w:bookmarkStart w:id="244" w:name="_Toc21505"/>
      <w:bookmarkStart w:id="245" w:name="_Toc1557"/>
      <w:bookmarkStart w:id="246" w:name="_Ref467307204"/>
      <w:bookmarkStart w:id="247" w:name="_Ref467306978"/>
      <w:bookmarkStart w:id="248" w:name="_Ref467307062"/>
      <w:r>
        <w:rPr>
          <w:rFonts w:hint="eastAsia" w:asciiTheme="minorEastAsia" w:hAnsiTheme="minorEastAsia" w:eastAsiaTheme="minorEastAsia" w:cstheme="minorEastAsia"/>
          <w:color w:val="auto"/>
          <w:sz w:val="24"/>
          <w:szCs w:val="24"/>
          <w:highlight w:val="none"/>
          <w:u w:val="none"/>
        </w:rPr>
        <w:t>30.签订合同</w:t>
      </w:r>
      <w:bookmarkEnd w:id="239"/>
      <w:bookmarkEnd w:id="240"/>
      <w:bookmarkEnd w:id="241"/>
      <w:bookmarkEnd w:id="242"/>
      <w:bookmarkEnd w:id="243"/>
      <w:bookmarkEnd w:id="244"/>
      <w:bookmarkEnd w:id="245"/>
      <w:bookmarkEnd w:id="246"/>
      <w:bookmarkEnd w:id="247"/>
      <w:bookmarkEnd w:id="248"/>
    </w:p>
    <w:p w14:paraId="641D4835">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30.1</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中标人应当自发出中标通知书之日起30日内，与采购人签订合同。</w:t>
      </w:r>
    </w:p>
    <w:p w14:paraId="74D7E803">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30.2</w:t>
      </w:r>
      <w:r>
        <w:rPr>
          <w:rFonts w:hint="eastAsia" w:asciiTheme="minorEastAsia" w:hAnsiTheme="minorEastAsia" w:eastAsiaTheme="minorEastAsia" w:cstheme="minorEastAsia"/>
          <w:color w:val="auto"/>
          <w:sz w:val="24"/>
          <w:szCs w:val="24"/>
          <w:highlight w:val="none"/>
        </w:rPr>
        <w:tab/>
      </w:r>
      <w:bookmarkStart w:id="249" w:name="_Ref467307090"/>
      <w:bookmarkStart w:id="250" w:name="_Toc520356176"/>
      <w:bookmarkStart w:id="251" w:name="_Ref467306425"/>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文件、中标人的</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及其澄清文件等，均为签订合同的依据。</w:t>
      </w:r>
    </w:p>
    <w:p w14:paraId="12025546">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30.3   中标人拒绝与采购人签订合同的，采购人可以按照评审报告推荐的中标候选人名单排序，确定下一中标候选人为中标人，也可以重新开展政府采购活动。</w:t>
      </w:r>
    </w:p>
    <w:p w14:paraId="79E04882">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30.4   当出现法规规定的</w:t>
      </w:r>
      <w:r>
        <w:rPr>
          <w:rFonts w:hint="eastAsia" w:asciiTheme="minorEastAsia" w:hAnsiTheme="minorEastAsia" w:eastAsiaTheme="minorEastAsia" w:cstheme="minorEastAsia"/>
          <w:b/>
          <w:color w:val="auto"/>
          <w:sz w:val="24"/>
          <w:szCs w:val="24"/>
          <w:highlight w:val="none"/>
        </w:rPr>
        <w:t>中标无效或中标结果无效</w:t>
      </w:r>
      <w:r>
        <w:rPr>
          <w:rFonts w:hint="eastAsia" w:asciiTheme="minorEastAsia" w:hAnsiTheme="minorEastAsia" w:eastAsiaTheme="minorEastAsia" w:cstheme="minorEastAsia"/>
          <w:color w:val="auto"/>
          <w:sz w:val="24"/>
          <w:szCs w:val="24"/>
          <w:highlight w:val="none"/>
        </w:rPr>
        <w:t>情形时，采购人可与排名下一位的中标候选人另行签订合同，或依法重新开展采购活动。</w:t>
      </w:r>
    </w:p>
    <w:p w14:paraId="0B6EB048">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252" w:name="_Toc10682"/>
      <w:bookmarkStart w:id="253" w:name="_Toc30351"/>
      <w:bookmarkStart w:id="254" w:name="_Toc518923097"/>
      <w:bookmarkStart w:id="255" w:name="_Toc20502"/>
      <w:bookmarkStart w:id="256" w:name="_Toc4187"/>
      <w:r>
        <w:rPr>
          <w:rFonts w:hint="eastAsia" w:asciiTheme="minorEastAsia" w:hAnsiTheme="minorEastAsia" w:eastAsiaTheme="minorEastAsia" w:cstheme="minorEastAsia"/>
          <w:color w:val="auto"/>
          <w:sz w:val="24"/>
          <w:szCs w:val="24"/>
          <w:highlight w:val="none"/>
          <w:u w:val="none"/>
        </w:rPr>
        <w:t>31.履约保证金</w:t>
      </w:r>
      <w:bookmarkEnd w:id="249"/>
      <w:bookmarkEnd w:id="250"/>
      <w:bookmarkEnd w:id="251"/>
      <w:bookmarkEnd w:id="252"/>
      <w:bookmarkEnd w:id="253"/>
      <w:bookmarkEnd w:id="254"/>
      <w:bookmarkEnd w:id="255"/>
      <w:bookmarkEnd w:id="256"/>
    </w:p>
    <w:p w14:paraId="292B8B8C">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中标人应按照</w:t>
      </w:r>
      <w:r>
        <w:rPr>
          <w:rFonts w:hint="eastAsia" w:asciiTheme="minorEastAsia" w:hAnsiTheme="minorEastAsia" w:eastAsiaTheme="minorEastAsia" w:cstheme="minorEastAsia"/>
          <w:color w:val="auto"/>
          <w:sz w:val="24"/>
          <w:szCs w:val="24"/>
          <w:highlight w:val="none"/>
          <w:u w:val="single"/>
          <w:lang w:eastAsia="zh-CN"/>
        </w:rPr>
        <w:t>供应商</w:t>
      </w:r>
      <w:r>
        <w:rPr>
          <w:rFonts w:hint="eastAsia" w:asciiTheme="minorEastAsia" w:hAnsiTheme="minorEastAsia" w:eastAsiaTheme="minorEastAsia" w:cstheme="minorEastAsia"/>
          <w:color w:val="auto"/>
          <w:sz w:val="24"/>
          <w:szCs w:val="24"/>
          <w:highlight w:val="none"/>
          <w:u w:val="single"/>
        </w:rPr>
        <w:t>须知资料表</w:t>
      </w:r>
      <w:r>
        <w:rPr>
          <w:rFonts w:hint="eastAsia" w:asciiTheme="minorEastAsia" w:hAnsiTheme="minorEastAsia" w:eastAsiaTheme="minorEastAsia" w:cstheme="minorEastAsia"/>
          <w:color w:val="auto"/>
          <w:sz w:val="24"/>
          <w:szCs w:val="24"/>
          <w:highlight w:val="none"/>
        </w:rPr>
        <w:t>规定向采购人缴纳履约保证金（如采用保函形式，格式见本章附件1）。</w:t>
      </w:r>
    </w:p>
    <w:p w14:paraId="176BC160">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政府采购利用担保试点范围内的项目，除31.1规定的情形外，中标人也可以按照财政部门的规定，向采购人提供合格的履约担保函（格式见本章附件2）。</w:t>
      </w:r>
    </w:p>
    <w:p w14:paraId="2151AB88">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31.3   如果中标人没有按照上述履约保证金的规定执行，将视为放弃中标资格，中标人的</w:t>
      </w:r>
      <w:r>
        <w:rPr>
          <w:rFonts w:hint="eastAsia" w:asciiTheme="minorEastAsia" w:hAnsiTheme="minorEastAsia" w:eastAsiaTheme="minorEastAsia" w:cstheme="minorEastAsia"/>
          <w:color w:val="auto"/>
          <w:sz w:val="24"/>
          <w:szCs w:val="24"/>
          <w:highlight w:val="none"/>
          <w:lang w:eastAsia="zh-CN"/>
        </w:rPr>
        <w:t>磋商保证金</w:t>
      </w:r>
      <w:r>
        <w:rPr>
          <w:rFonts w:hint="eastAsia" w:asciiTheme="minorEastAsia" w:hAnsiTheme="minorEastAsia" w:eastAsiaTheme="minorEastAsia" w:cstheme="minorEastAsia"/>
          <w:color w:val="auto"/>
          <w:sz w:val="24"/>
          <w:szCs w:val="24"/>
          <w:highlight w:val="none"/>
        </w:rPr>
        <w:t>将不予退还。在此情况下，采购人可确定下一候选人为中标人，也可以重新开展采购活动。</w:t>
      </w:r>
    </w:p>
    <w:p w14:paraId="0DF4808F">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257" w:name="_Toc518923098"/>
      <w:bookmarkStart w:id="258" w:name="_Toc16508"/>
      <w:bookmarkStart w:id="259" w:name="_Toc8121"/>
      <w:bookmarkStart w:id="260" w:name="_Toc12028"/>
      <w:bookmarkStart w:id="261" w:name="_Toc22051"/>
      <w:r>
        <w:rPr>
          <w:rFonts w:hint="eastAsia" w:asciiTheme="minorEastAsia" w:hAnsiTheme="minorEastAsia" w:eastAsiaTheme="minorEastAsia" w:cstheme="minorEastAsia"/>
          <w:color w:val="auto"/>
          <w:sz w:val="24"/>
          <w:szCs w:val="24"/>
          <w:highlight w:val="none"/>
          <w:u w:val="none"/>
        </w:rPr>
        <w:t>32.中标服务费</w:t>
      </w:r>
      <w:bookmarkEnd w:id="257"/>
      <w:bookmarkEnd w:id="258"/>
      <w:bookmarkEnd w:id="259"/>
      <w:bookmarkEnd w:id="260"/>
      <w:bookmarkEnd w:id="261"/>
    </w:p>
    <w:p w14:paraId="04A587BE">
      <w:pPr>
        <w:spacing w:line="240" w:lineRule="atLeast"/>
        <w:ind w:left="840" w:leftChars="200" w:hanging="420" w:hangingChars="1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中标人须按照</w:t>
      </w:r>
      <w:r>
        <w:rPr>
          <w:rFonts w:hint="eastAsia" w:asciiTheme="minorEastAsia" w:hAnsiTheme="minorEastAsia" w:eastAsiaTheme="minorEastAsia" w:cstheme="minorEastAsia"/>
          <w:color w:val="auto"/>
          <w:sz w:val="24"/>
          <w:szCs w:val="24"/>
          <w:highlight w:val="none"/>
          <w:u w:val="single"/>
          <w:lang w:eastAsia="zh-CN"/>
        </w:rPr>
        <w:t>磋商</w:t>
      </w:r>
      <w:r>
        <w:rPr>
          <w:rFonts w:hint="eastAsia" w:asciiTheme="minorEastAsia" w:hAnsiTheme="minorEastAsia" w:eastAsiaTheme="minorEastAsia" w:cstheme="minorEastAsia"/>
          <w:color w:val="auto"/>
          <w:sz w:val="24"/>
          <w:szCs w:val="24"/>
          <w:highlight w:val="none"/>
          <w:u w:val="single"/>
        </w:rPr>
        <w:t>须知资料表</w:t>
      </w:r>
      <w:r>
        <w:rPr>
          <w:rFonts w:hint="eastAsia" w:asciiTheme="minorEastAsia" w:hAnsiTheme="minorEastAsia" w:eastAsiaTheme="minorEastAsia" w:cstheme="minorEastAsia"/>
          <w:color w:val="auto"/>
          <w:sz w:val="24"/>
          <w:szCs w:val="24"/>
          <w:highlight w:val="none"/>
        </w:rPr>
        <w:t>规定，向采购代理机构支付中标服务费。</w:t>
      </w:r>
    </w:p>
    <w:p w14:paraId="5110936C">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262" w:name="_Toc9656"/>
      <w:bookmarkStart w:id="263" w:name="_Toc8617"/>
      <w:bookmarkStart w:id="264" w:name="_Toc518923099"/>
      <w:bookmarkStart w:id="265" w:name="_Toc29195"/>
      <w:bookmarkStart w:id="266" w:name="_Toc31319"/>
      <w:r>
        <w:rPr>
          <w:rFonts w:hint="eastAsia" w:asciiTheme="minorEastAsia" w:hAnsiTheme="minorEastAsia" w:eastAsiaTheme="minorEastAsia" w:cstheme="minorEastAsia"/>
          <w:color w:val="auto"/>
          <w:sz w:val="24"/>
          <w:szCs w:val="24"/>
          <w:highlight w:val="none"/>
          <w:u w:val="none"/>
        </w:rPr>
        <w:t>33.政府采购信用担保</w:t>
      </w:r>
      <w:bookmarkEnd w:id="262"/>
      <w:bookmarkEnd w:id="263"/>
      <w:bookmarkEnd w:id="264"/>
      <w:bookmarkEnd w:id="265"/>
      <w:bookmarkEnd w:id="266"/>
    </w:p>
    <w:p w14:paraId="68743A0A">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33.1   本项目是否属于信用担保试点范围见</w:t>
      </w:r>
      <w:r>
        <w:rPr>
          <w:rFonts w:hint="eastAsia" w:asciiTheme="minorEastAsia" w:hAnsiTheme="minorEastAsia" w:eastAsiaTheme="minorEastAsia" w:cstheme="minorEastAsia"/>
          <w:color w:val="auto"/>
          <w:sz w:val="24"/>
          <w:szCs w:val="24"/>
          <w:highlight w:val="none"/>
          <w:u w:val="single"/>
          <w:lang w:eastAsia="zh-CN"/>
        </w:rPr>
        <w:t>供应商</w:t>
      </w:r>
      <w:r>
        <w:rPr>
          <w:rFonts w:hint="eastAsia" w:asciiTheme="minorEastAsia" w:hAnsiTheme="minorEastAsia" w:eastAsiaTheme="minorEastAsia" w:cstheme="minorEastAsia"/>
          <w:color w:val="auto"/>
          <w:sz w:val="24"/>
          <w:szCs w:val="24"/>
          <w:highlight w:val="none"/>
          <w:u w:val="single"/>
        </w:rPr>
        <w:t>须知资料表</w:t>
      </w:r>
      <w:r>
        <w:rPr>
          <w:rFonts w:hint="eastAsia" w:asciiTheme="minorEastAsia" w:hAnsiTheme="minorEastAsia" w:eastAsiaTheme="minorEastAsia" w:cstheme="minorEastAsia"/>
          <w:color w:val="auto"/>
          <w:sz w:val="24"/>
          <w:szCs w:val="24"/>
          <w:highlight w:val="none"/>
        </w:rPr>
        <w:t>。</w:t>
      </w:r>
    </w:p>
    <w:p w14:paraId="6E556AF1">
      <w:pPr>
        <w:spacing w:line="240" w:lineRule="atLeast"/>
        <w:ind w:left="850" w:hanging="849" w:hangingChars="354"/>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33.2   如属于政府采购信用担保试点范围内，中小型企业</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可以自由按照财政部门的规定，采用</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担保、履约担保和融资担保。</w:t>
      </w:r>
    </w:p>
    <w:p w14:paraId="01460F64">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33.2.1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递交的</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担保函和履约担保函应符合本</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文件的规定。</w:t>
      </w:r>
    </w:p>
    <w:p w14:paraId="427EB613">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33.2.2 中标人可以采取融资担保的形式为政府采购项目履约进行融资。</w:t>
      </w:r>
    </w:p>
    <w:p w14:paraId="0E0D9EA7">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33.2.3 合格的政府采购专业信用担保机构见</w:t>
      </w:r>
      <w:r>
        <w:rPr>
          <w:rFonts w:hint="eastAsia" w:asciiTheme="minorEastAsia" w:hAnsiTheme="minorEastAsia" w:eastAsiaTheme="minorEastAsia" w:cstheme="minorEastAsia"/>
          <w:color w:val="auto"/>
          <w:sz w:val="24"/>
          <w:szCs w:val="24"/>
          <w:highlight w:val="none"/>
          <w:u w:val="single"/>
          <w:lang w:eastAsia="zh-CN"/>
        </w:rPr>
        <w:t>供应商</w:t>
      </w:r>
      <w:r>
        <w:rPr>
          <w:rFonts w:hint="eastAsia" w:asciiTheme="minorEastAsia" w:hAnsiTheme="minorEastAsia" w:eastAsiaTheme="minorEastAsia" w:cstheme="minorEastAsia"/>
          <w:color w:val="auto"/>
          <w:sz w:val="24"/>
          <w:szCs w:val="24"/>
          <w:highlight w:val="none"/>
          <w:u w:val="single"/>
        </w:rPr>
        <w:t>须知资料表</w:t>
      </w:r>
      <w:r>
        <w:rPr>
          <w:rFonts w:hint="eastAsia" w:asciiTheme="minorEastAsia" w:hAnsiTheme="minorEastAsia" w:eastAsiaTheme="minorEastAsia" w:cstheme="minorEastAsia"/>
          <w:color w:val="auto"/>
          <w:sz w:val="24"/>
          <w:szCs w:val="24"/>
          <w:highlight w:val="none"/>
        </w:rPr>
        <w:t>。</w:t>
      </w:r>
    </w:p>
    <w:p w14:paraId="488C7E72">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267" w:name="_Toc26521"/>
      <w:bookmarkStart w:id="268" w:name="_Toc17581"/>
      <w:bookmarkStart w:id="269" w:name="_Toc518923100"/>
      <w:bookmarkStart w:id="270" w:name="_Toc2336"/>
      <w:bookmarkStart w:id="271" w:name="_Toc3677"/>
      <w:r>
        <w:rPr>
          <w:rFonts w:hint="eastAsia" w:asciiTheme="minorEastAsia" w:hAnsiTheme="minorEastAsia" w:eastAsiaTheme="minorEastAsia" w:cstheme="minorEastAsia"/>
          <w:color w:val="auto"/>
          <w:sz w:val="24"/>
          <w:szCs w:val="24"/>
          <w:highlight w:val="none"/>
          <w:u w:val="none"/>
        </w:rPr>
        <w:t>34.廉洁自律规定</w:t>
      </w:r>
      <w:bookmarkEnd w:id="267"/>
      <w:bookmarkEnd w:id="268"/>
      <w:bookmarkEnd w:id="269"/>
      <w:bookmarkEnd w:id="270"/>
      <w:bookmarkEnd w:id="271"/>
    </w:p>
    <w:p w14:paraId="51173FFC">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34.1   采购代理机构工作人员不得以不正当手段获取政府采购代理业务，不得与采购人、供应商恶意串通操纵政府采购活动。</w:t>
      </w:r>
    </w:p>
    <w:p w14:paraId="781AE178">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34.2   采购代理机构工作人员不得接受采购人或者供应商组织的宴请、旅游、娱乐，不得收受礼品、现金、有价证券等，不得向采购人或者供应商报销应当由个人承担的费用。</w:t>
      </w:r>
    </w:p>
    <w:p w14:paraId="07908596">
      <w:pPr>
        <w:spacing w:line="240" w:lineRule="atLeast"/>
        <w:ind w:left="900" w:hanging="900" w:hangingChars="375"/>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34.3   为强化采购代理机构内部监督机制，供应商可按</w:t>
      </w:r>
      <w:r>
        <w:rPr>
          <w:rFonts w:hint="eastAsia" w:asciiTheme="minorEastAsia" w:hAnsiTheme="minorEastAsia" w:eastAsiaTheme="minorEastAsia" w:cstheme="minorEastAsia"/>
          <w:color w:val="auto"/>
          <w:sz w:val="24"/>
          <w:szCs w:val="24"/>
          <w:highlight w:val="none"/>
          <w:u w:val="single"/>
          <w:lang w:eastAsia="zh-CN"/>
        </w:rPr>
        <w:t>供应商</w:t>
      </w:r>
      <w:r>
        <w:rPr>
          <w:rFonts w:hint="eastAsia" w:asciiTheme="minorEastAsia" w:hAnsiTheme="minorEastAsia" w:eastAsiaTheme="minorEastAsia" w:cstheme="minorEastAsia"/>
          <w:color w:val="auto"/>
          <w:sz w:val="24"/>
          <w:szCs w:val="24"/>
          <w:highlight w:val="none"/>
          <w:u w:val="single"/>
        </w:rPr>
        <w:t>须知资料表中的</w:t>
      </w:r>
      <w:r>
        <w:rPr>
          <w:rFonts w:hint="eastAsia" w:asciiTheme="minorEastAsia" w:hAnsiTheme="minorEastAsia" w:eastAsiaTheme="minorEastAsia" w:cstheme="minorEastAsia"/>
          <w:color w:val="auto"/>
          <w:sz w:val="24"/>
          <w:szCs w:val="24"/>
          <w:highlight w:val="none"/>
        </w:rPr>
        <w:t>监督电话和信箱，反映采购代理机构的廉洁自律等问题。</w:t>
      </w:r>
    </w:p>
    <w:p w14:paraId="11BFE81F">
      <w:pPr>
        <w:spacing w:before="0" w:after="0" w:line="240" w:lineRule="atLeast"/>
        <w:outlineLvl w:val="9"/>
        <w:rPr>
          <w:rFonts w:hint="eastAsia" w:asciiTheme="minorEastAsia" w:hAnsiTheme="minorEastAsia" w:eastAsiaTheme="minorEastAsia" w:cstheme="minorEastAsia"/>
          <w:color w:val="auto"/>
          <w:sz w:val="24"/>
          <w:szCs w:val="24"/>
          <w:highlight w:val="none"/>
          <w:u w:val="none"/>
        </w:rPr>
      </w:pPr>
      <w:bookmarkStart w:id="272" w:name="_Toc21173"/>
      <w:bookmarkStart w:id="273" w:name="_Toc25869"/>
      <w:bookmarkStart w:id="274" w:name="_Toc9562"/>
      <w:bookmarkStart w:id="275" w:name="_Toc29890"/>
      <w:bookmarkStart w:id="276" w:name="_Toc518923101"/>
      <w:r>
        <w:rPr>
          <w:rFonts w:hint="eastAsia" w:asciiTheme="minorEastAsia" w:hAnsiTheme="minorEastAsia" w:eastAsiaTheme="minorEastAsia" w:cstheme="minorEastAsia"/>
          <w:color w:val="auto"/>
          <w:sz w:val="24"/>
          <w:szCs w:val="24"/>
          <w:highlight w:val="none"/>
          <w:u w:val="none"/>
        </w:rPr>
        <w:t>35.人员回避</w:t>
      </w:r>
      <w:bookmarkEnd w:id="272"/>
      <w:bookmarkEnd w:id="273"/>
      <w:bookmarkEnd w:id="274"/>
      <w:bookmarkEnd w:id="275"/>
      <w:bookmarkEnd w:id="276"/>
    </w:p>
    <w:p w14:paraId="0FF4CC21">
      <w:pPr>
        <w:rPr>
          <w:rFonts w:hint="eastAsia"/>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认为采购人员及其相关人员有法律法规所列与其他供应商有利害关系的，可以向采购人或采购代理机构</w:t>
      </w:r>
      <w:r>
        <w:rPr>
          <w:rFonts w:hint="eastAsia"/>
        </w:rPr>
        <w:t>书面提出回避申请，并说明理由。</w:t>
      </w:r>
    </w:p>
    <w:p w14:paraId="4AFC96CC">
      <w:pPr>
        <w:rPr>
          <w:rFonts w:hint="eastAsia"/>
        </w:rPr>
      </w:pPr>
      <w:bookmarkStart w:id="277" w:name="_Toc2062"/>
      <w:bookmarkStart w:id="278" w:name="_Toc23883"/>
      <w:bookmarkStart w:id="279" w:name="_Toc518923103"/>
      <w:bookmarkStart w:id="280" w:name="_Toc11702"/>
      <w:bookmarkStart w:id="281" w:name="_Toc9805"/>
      <w:bookmarkStart w:id="282" w:name="_Toc7557"/>
    </w:p>
    <w:p w14:paraId="23439D66">
      <w:pPr>
        <w:rPr>
          <w:rFonts w:hint="eastAsia"/>
        </w:rPr>
      </w:pPr>
    </w:p>
    <w:p w14:paraId="679C58E1">
      <w:pPr>
        <w:rPr>
          <w:rFonts w:hint="eastAsia"/>
        </w:rPr>
      </w:pPr>
    </w:p>
    <w:p w14:paraId="42E60BFA">
      <w:pPr>
        <w:rPr>
          <w:rFonts w:hint="eastAsia"/>
        </w:rPr>
      </w:pPr>
    </w:p>
    <w:p w14:paraId="141BA1CF">
      <w:pPr>
        <w:rPr>
          <w:rFonts w:hint="eastAsia"/>
        </w:rPr>
      </w:pPr>
    </w:p>
    <w:p w14:paraId="09F39118">
      <w:pPr>
        <w:rPr>
          <w:rFonts w:hint="eastAsia"/>
        </w:rPr>
      </w:pPr>
    </w:p>
    <w:p w14:paraId="560056AF">
      <w:pPr>
        <w:rPr>
          <w:rFonts w:hint="eastAsia"/>
        </w:rPr>
      </w:pPr>
    </w:p>
    <w:p w14:paraId="71158DBE">
      <w:pPr>
        <w:rPr>
          <w:rFonts w:hint="eastAsia"/>
        </w:rPr>
      </w:pPr>
    </w:p>
    <w:p w14:paraId="7A1B2E91">
      <w:pPr>
        <w:rPr>
          <w:rFonts w:hint="eastAsia"/>
        </w:rPr>
      </w:pPr>
    </w:p>
    <w:p w14:paraId="57C0D9F2">
      <w:pPr>
        <w:rPr>
          <w:rFonts w:hint="eastAsia"/>
        </w:rPr>
      </w:pPr>
    </w:p>
    <w:p w14:paraId="358DBE9B">
      <w:pPr>
        <w:rPr>
          <w:rFonts w:hint="eastAsia"/>
        </w:rPr>
      </w:pPr>
    </w:p>
    <w:p w14:paraId="08A4DFF9">
      <w:pPr>
        <w:rPr>
          <w:rFonts w:hint="eastAsia"/>
        </w:rPr>
      </w:pPr>
    </w:p>
    <w:p w14:paraId="2EF4C622">
      <w:pPr>
        <w:rPr>
          <w:rFonts w:hint="eastAsia"/>
        </w:rPr>
      </w:pPr>
    </w:p>
    <w:p w14:paraId="40330AAA">
      <w:pPr>
        <w:rPr>
          <w:rFonts w:hint="eastAsia"/>
        </w:rPr>
      </w:pPr>
    </w:p>
    <w:p w14:paraId="1B39A230">
      <w:pPr>
        <w:pStyle w:val="3"/>
        <w:spacing w:before="0" w:line="240" w:lineRule="atLeast"/>
        <w:ind w:left="1079" w:leftChars="257" w:hanging="54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附件1：履约保证金保函（格式）</w:t>
      </w:r>
      <w:bookmarkEnd w:id="277"/>
      <w:bookmarkEnd w:id="278"/>
      <w:bookmarkEnd w:id="279"/>
      <w:bookmarkEnd w:id="280"/>
      <w:bookmarkEnd w:id="281"/>
      <w:bookmarkEnd w:id="282"/>
    </w:p>
    <w:p w14:paraId="79C48227">
      <w:pPr>
        <w:pStyle w:val="12"/>
        <w:spacing w:line="240" w:lineRule="atLeast"/>
        <w:ind w:left="1079" w:leftChars="257" w:hanging="540"/>
        <w:outlineLvl w:val="9"/>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 xml:space="preserve">   （中标后开具）</w:t>
      </w:r>
    </w:p>
    <w:p w14:paraId="21E1EDB3">
      <w:pPr>
        <w:pStyle w:val="12"/>
        <w:spacing w:line="240" w:lineRule="atLeast"/>
        <w:ind w:left="1079" w:leftChars="257" w:hanging="540"/>
        <w:outlineLvl w:val="9"/>
        <w:rPr>
          <w:rFonts w:hint="eastAsia" w:asciiTheme="minorEastAsia" w:hAnsiTheme="minorEastAsia" w:eastAsiaTheme="minorEastAsia" w:cstheme="minorEastAsia"/>
          <w:b/>
          <w:color w:val="auto"/>
          <w:sz w:val="24"/>
          <w:highlight w:val="none"/>
        </w:rPr>
      </w:pPr>
    </w:p>
    <w:p w14:paraId="46E12807">
      <w:pPr>
        <w:pStyle w:val="12"/>
        <w:spacing w:line="240" w:lineRule="atLeast"/>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 (</w:t>
      </w:r>
      <w:r>
        <w:rPr>
          <w:rFonts w:hint="eastAsia" w:asciiTheme="minorEastAsia" w:hAnsiTheme="minorEastAsia" w:eastAsiaTheme="minorEastAsia" w:cstheme="minorEastAsia"/>
          <w:i/>
          <w:color w:val="auto"/>
          <w:sz w:val="24"/>
          <w:highlight w:val="none"/>
          <w:u w:val="single"/>
        </w:rPr>
        <w:t>买方名称</w:t>
      </w:r>
      <w:r>
        <w:rPr>
          <w:rFonts w:hint="eastAsia" w:asciiTheme="minorEastAsia" w:hAnsiTheme="minorEastAsia" w:eastAsiaTheme="minorEastAsia" w:cstheme="minorEastAsia"/>
          <w:color w:val="auto"/>
          <w:sz w:val="24"/>
          <w:highlight w:val="none"/>
        </w:rPr>
        <w:t>)</w:t>
      </w:r>
    </w:p>
    <w:p w14:paraId="5C64C80B">
      <w:pPr>
        <w:pStyle w:val="12"/>
        <w:spacing w:line="240" w:lineRule="atLeast"/>
        <w:ind w:left="1079" w:leftChars="257" w:hanging="540"/>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号合同履约保函</w:t>
      </w:r>
    </w:p>
    <w:p w14:paraId="7B93A2F7">
      <w:pPr>
        <w:pStyle w:val="12"/>
        <w:spacing w:line="240" w:lineRule="atLeast"/>
        <w:ind w:left="1079" w:leftChars="257" w:hanging="540"/>
        <w:jc w:val="center"/>
        <w:outlineLvl w:val="9"/>
        <w:rPr>
          <w:rFonts w:hint="eastAsia" w:asciiTheme="minorEastAsia" w:hAnsiTheme="minorEastAsia" w:eastAsiaTheme="minorEastAsia" w:cstheme="minorEastAsia"/>
          <w:color w:val="auto"/>
          <w:sz w:val="24"/>
          <w:highlight w:val="none"/>
        </w:rPr>
      </w:pPr>
    </w:p>
    <w:p w14:paraId="1E51D133">
      <w:pPr>
        <w:pStyle w:val="12"/>
        <w:spacing w:line="240" w:lineRule="atLeast"/>
        <w:ind w:firstLine="600" w:firstLineChars="25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本保函作为贵方与(</w:t>
      </w:r>
      <w:r>
        <w:rPr>
          <w:rFonts w:hint="eastAsia" w:asciiTheme="minorEastAsia" w:hAnsiTheme="minorEastAsia" w:eastAsiaTheme="minorEastAsia" w:cstheme="minorEastAsia"/>
          <w:i/>
          <w:color w:val="auto"/>
          <w:sz w:val="24"/>
          <w:highlight w:val="none"/>
          <w:u w:val="single"/>
        </w:rPr>
        <w:t>卖方名称</w:t>
      </w:r>
      <w:r>
        <w:rPr>
          <w:rFonts w:hint="eastAsia" w:asciiTheme="minorEastAsia" w:hAnsiTheme="minorEastAsia" w:eastAsiaTheme="minorEastAsia" w:cstheme="minorEastAsia"/>
          <w:color w:val="auto"/>
          <w:sz w:val="24"/>
          <w:highlight w:val="none"/>
        </w:rPr>
        <w:t>)(以下简称卖方)于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项目(以下简称项目)项下提供(</w:t>
      </w:r>
      <w:r>
        <w:rPr>
          <w:rFonts w:hint="eastAsia" w:asciiTheme="minorEastAsia" w:hAnsiTheme="minorEastAsia" w:eastAsiaTheme="minorEastAsia" w:cstheme="minorEastAsia"/>
          <w:i/>
          <w:color w:val="auto"/>
          <w:sz w:val="24"/>
          <w:highlight w:val="none"/>
          <w:u w:val="single"/>
        </w:rPr>
        <w:t>服务</w:t>
      </w:r>
      <w:r>
        <w:rPr>
          <w:rFonts w:hint="eastAsia" w:asciiTheme="minorEastAsia" w:hAnsiTheme="minorEastAsia" w:eastAsiaTheme="minorEastAsia" w:cstheme="minorEastAsia"/>
          <w:i/>
          <w:color w:val="auto"/>
          <w:sz w:val="24"/>
          <w:highlight w:val="none"/>
          <w:u w:val="single"/>
          <w:lang w:val="en-US" w:eastAsia="zh-CN"/>
        </w:rPr>
        <w:t>/货物</w:t>
      </w:r>
      <w:r>
        <w:rPr>
          <w:rFonts w:hint="eastAsia" w:asciiTheme="minorEastAsia" w:hAnsiTheme="minorEastAsia" w:eastAsiaTheme="minorEastAsia" w:cstheme="minorEastAsia"/>
          <w:i/>
          <w:color w:val="auto"/>
          <w:sz w:val="24"/>
          <w:highlight w:val="none"/>
          <w:u w:val="single"/>
        </w:rPr>
        <w:t>名称</w:t>
      </w:r>
      <w:r>
        <w:rPr>
          <w:rFonts w:hint="eastAsia" w:asciiTheme="minorEastAsia" w:hAnsiTheme="minorEastAsia" w:eastAsiaTheme="minorEastAsia" w:cstheme="minorEastAsia"/>
          <w:color w:val="auto"/>
          <w:sz w:val="24"/>
          <w:highlight w:val="none"/>
        </w:rPr>
        <w:t>)(以下简称服务</w:t>
      </w:r>
      <w:r>
        <w:rPr>
          <w:rFonts w:hint="eastAsia" w:asciiTheme="minorEastAsia" w:hAnsiTheme="minorEastAsia" w:eastAsiaTheme="minorEastAsia" w:cstheme="minorEastAsia"/>
          <w:color w:val="auto"/>
          <w:sz w:val="24"/>
          <w:highlight w:val="none"/>
          <w:lang w:val="en-US" w:eastAsia="zh-CN"/>
        </w:rPr>
        <w:t>/货物</w:t>
      </w:r>
      <w:r>
        <w:rPr>
          <w:rFonts w:hint="eastAsia" w:asciiTheme="minorEastAsia" w:hAnsiTheme="minorEastAsia" w:eastAsiaTheme="minorEastAsia" w:cstheme="minorEastAsia"/>
          <w:color w:val="auto"/>
          <w:sz w:val="24"/>
          <w:highlight w:val="none"/>
        </w:rPr>
        <w:t>)签订的(</w:t>
      </w:r>
      <w:r>
        <w:rPr>
          <w:rFonts w:hint="eastAsia" w:asciiTheme="minorEastAsia" w:hAnsiTheme="minorEastAsia" w:eastAsiaTheme="minorEastAsia" w:cstheme="minorEastAsia"/>
          <w:i/>
          <w:color w:val="auto"/>
          <w:sz w:val="24"/>
          <w:highlight w:val="none"/>
          <w:u w:val="single"/>
        </w:rPr>
        <w:t>合同号</w:t>
      </w:r>
      <w:r>
        <w:rPr>
          <w:rFonts w:hint="eastAsia" w:asciiTheme="minorEastAsia" w:hAnsiTheme="minorEastAsia" w:eastAsiaTheme="minorEastAsia" w:cstheme="minorEastAsia"/>
          <w:color w:val="auto"/>
          <w:sz w:val="24"/>
          <w:highlight w:val="none"/>
        </w:rPr>
        <w:t>)号合同的履约保函。</w:t>
      </w:r>
    </w:p>
    <w:p w14:paraId="66CC6354">
      <w:pPr>
        <w:pStyle w:val="12"/>
        <w:spacing w:line="240" w:lineRule="atLeast"/>
        <w:ind w:firstLine="540" w:firstLineChars="225"/>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i/>
          <w:color w:val="auto"/>
          <w:sz w:val="24"/>
          <w:highlight w:val="none"/>
          <w:u w:val="single"/>
        </w:rPr>
        <w:t>出具保函的银行名称</w:t>
      </w:r>
      <w:r>
        <w:rPr>
          <w:rFonts w:hint="eastAsia" w:asciiTheme="minorEastAsia" w:hAnsiTheme="minorEastAsia" w:eastAsiaTheme="minorEastAsia" w:cstheme="minorEastAsia"/>
          <w:color w:val="auto"/>
          <w:sz w:val="24"/>
          <w:highlight w:val="none"/>
        </w:rPr>
        <w:t>)(以下简称银行)无条件地、不可撤销地具结保证本行、其继承人和受让人无追索地向贵方以(</w:t>
      </w:r>
      <w:r>
        <w:rPr>
          <w:rFonts w:hint="eastAsia" w:asciiTheme="minorEastAsia" w:hAnsiTheme="minorEastAsia" w:eastAsiaTheme="minorEastAsia" w:cstheme="minorEastAsia"/>
          <w:i/>
          <w:color w:val="auto"/>
          <w:sz w:val="24"/>
          <w:highlight w:val="none"/>
          <w:u w:val="single"/>
        </w:rPr>
        <w:t>货币名称</w:t>
      </w:r>
      <w:r>
        <w:rPr>
          <w:rFonts w:hint="eastAsia" w:asciiTheme="minorEastAsia" w:hAnsiTheme="minorEastAsia" w:eastAsiaTheme="minorEastAsia" w:cstheme="minorEastAsia"/>
          <w:color w:val="auto"/>
          <w:sz w:val="24"/>
          <w:highlight w:val="none"/>
        </w:rPr>
        <w:t>)支付总额不超过(</w:t>
      </w:r>
      <w:r>
        <w:rPr>
          <w:rFonts w:hint="eastAsia" w:asciiTheme="minorEastAsia" w:hAnsiTheme="minorEastAsia" w:eastAsiaTheme="minorEastAsia" w:cstheme="minorEastAsia"/>
          <w:i/>
          <w:color w:val="auto"/>
          <w:sz w:val="24"/>
          <w:highlight w:val="none"/>
          <w:u w:val="single"/>
        </w:rPr>
        <w:t>货币数量</w:t>
      </w:r>
      <w:r>
        <w:rPr>
          <w:rFonts w:hint="eastAsia" w:asciiTheme="minorEastAsia" w:hAnsiTheme="minorEastAsia" w:eastAsiaTheme="minorEastAsia" w:cstheme="minorEastAsia"/>
          <w:color w:val="auto"/>
          <w:sz w:val="24"/>
          <w:highlight w:val="none"/>
        </w:rPr>
        <w:t>),即相当于合同价格的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%,并以此约定如下:</w:t>
      </w:r>
    </w:p>
    <w:p w14:paraId="4E5F1236">
      <w:pPr>
        <w:pStyle w:val="12"/>
        <w:spacing w:line="240" w:lineRule="atLeast"/>
        <w:ind w:left="539" w:leftChars="257"/>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1.只要贵方确定卖方未能忠实地履行所有合同文件的规定和双方此后一致 同意的修改、补充和变动,包括更改和/或修补贵方认为有缺陷的服务</w:t>
      </w:r>
      <w:r>
        <w:rPr>
          <w:rFonts w:hint="eastAsia" w:asciiTheme="minorEastAsia" w:hAnsiTheme="minorEastAsia" w:eastAsiaTheme="minorEastAsia" w:cstheme="minorEastAsia"/>
          <w:color w:val="auto"/>
          <w:sz w:val="24"/>
          <w:highlight w:val="none"/>
          <w:lang w:val="en-US" w:eastAsia="zh-CN"/>
        </w:rPr>
        <w:t>/货物</w:t>
      </w:r>
      <w:r>
        <w:rPr>
          <w:rFonts w:hint="eastAsia" w:asciiTheme="minorEastAsia" w:hAnsiTheme="minorEastAsia" w:eastAsiaTheme="minorEastAsia" w:cstheme="minorEastAsia"/>
          <w:color w:val="auto"/>
          <w:sz w:val="24"/>
          <w:highlight w:val="none"/>
        </w:rPr>
        <w:t>(以下简称违约),无论卖方有任何反对,本行将凭贵方关于卖方违约说明的书面通知,立即按贵方提出的累计总额不超过上述金额的款项和按贵方通知规定的方式付给贵方。</w:t>
      </w:r>
    </w:p>
    <w:p w14:paraId="6275D433">
      <w:pPr>
        <w:pStyle w:val="12"/>
        <w:spacing w:line="240" w:lineRule="atLeast"/>
        <w:ind w:left="54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3D302B07">
      <w:pPr>
        <w:pStyle w:val="12"/>
        <w:spacing w:line="240" w:lineRule="atLeast"/>
        <w:ind w:left="54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16695E30">
      <w:pPr>
        <w:pStyle w:val="12"/>
        <w:spacing w:line="240" w:lineRule="atLeast"/>
        <w:ind w:left="1079" w:leftChars="257" w:hanging="54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4.本保函在本合同规定的保证期期满前完全有效。</w:t>
      </w:r>
    </w:p>
    <w:p w14:paraId="23FA627D">
      <w:pPr>
        <w:pStyle w:val="12"/>
        <w:spacing w:line="240" w:lineRule="atLeast"/>
        <w:ind w:left="1079" w:leftChars="257" w:hanging="540"/>
        <w:outlineLvl w:val="9"/>
        <w:rPr>
          <w:rFonts w:hint="eastAsia" w:asciiTheme="minorEastAsia" w:hAnsiTheme="minorEastAsia" w:eastAsiaTheme="minorEastAsia" w:cstheme="minorEastAsia"/>
          <w:color w:val="auto"/>
          <w:sz w:val="24"/>
          <w:highlight w:val="none"/>
        </w:rPr>
      </w:pPr>
    </w:p>
    <w:p w14:paraId="3B6E4C91">
      <w:pPr>
        <w:pStyle w:val="12"/>
        <w:spacing w:line="240" w:lineRule="atLeast"/>
        <w:ind w:left="1079" w:leftChars="257" w:hanging="54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谨启</w:t>
      </w:r>
    </w:p>
    <w:p w14:paraId="0F0306E6">
      <w:pPr>
        <w:pStyle w:val="12"/>
        <w:spacing w:line="240" w:lineRule="atLeast"/>
        <w:ind w:left="1079" w:leftChars="257" w:hanging="54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出具保函银行名称：</w:t>
      </w:r>
      <w:r>
        <w:rPr>
          <w:rFonts w:hint="eastAsia" w:asciiTheme="minorEastAsia" w:hAnsiTheme="minorEastAsia" w:eastAsiaTheme="minorEastAsia" w:cstheme="minorEastAsia"/>
          <w:color w:val="auto"/>
          <w:sz w:val="24"/>
          <w:highlight w:val="none"/>
          <w:u w:val="single"/>
        </w:rPr>
        <w:t xml:space="preserve">                             </w:t>
      </w:r>
    </w:p>
    <w:p w14:paraId="07D941E0">
      <w:pPr>
        <w:pStyle w:val="12"/>
        <w:spacing w:line="240" w:lineRule="atLeast"/>
        <w:ind w:left="1079" w:leftChars="257" w:hanging="540"/>
        <w:outlineLvl w:val="9"/>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签字人姓名和职务：</w:t>
      </w:r>
      <w:r>
        <w:rPr>
          <w:rFonts w:hint="eastAsia" w:asciiTheme="minorEastAsia" w:hAnsiTheme="minorEastAsia" w:eastAsiaTheme="minorEastAsia" w:cstheme="minorEastAsia"/>
          <w:color w:val="auto"/>
          <w:sz w:val="24"/>
          <w:highlight w:val="none"/>
          <w:u w:val="single"/>
        </w:rPr>
        <w:t xml:space="preserve">                             </w:t>
      </w:r>
    </w:p>
    <w:p w14:paraId="23FB0455">
      <w:pPr>
        <w:pStyle w:val="12"/>
        <w:spacing w:line="240" w:lineRule="atLeast"/>
        <w:ind w:left="1079" w:leftChars="257" w:hanging="54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签字人签名：</w:t>
      </w:r>
      <w:r>
        <w:rPr>
          <w:rFonts w:hint="eastAsia" w:asciiTheme="minorEastAsia" w:hAnsiTheme="minorEastAsia" w:eastAsiaTheme="minorEastAsia" w:cstheme="minorEastAsia"/>
          <w:color w:val="auto"/>
          <w:sz w:val="24"/>
          <w:highlight w:val="none"/>
          <w:u w:val="single"/>
        </w:rPr>
        <w:t xml:space="preserve">                                   </w:t>
      </w:r>
    </w:p>
    <w:p w14:paraId="500E0E11">
      <w:pPr>
        <w:pStyle w:val="12"/>
        <w:spacing w:line="240" w:lineRule="atLeast"/>
        <w:ind w:left="1079" w:leftChars="257" w:hanging="540"/>
        <w:outlineLvl w:val="9"/>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公章：</w:t>
      </w:r>
      <w:r>
        <w:rPr>
          <w:rFonts w:hint="eastAsia" w:asciiTheme="minorEastAsia" w:hAnsiTheme="minorEastAsia" w:eastAsiaTheme="minorEastAsia" w:cstheme="minorEastAsia"/>
          <w:color w:val="auto"/>
          <w:sz w:val="24"/>
          <w:highlight w:val="none"/>
          <w:u w:val="single"/>
        </w:rPr>
        <w:t xml:space="preserve">                                         </w:t>
      </w:r>
    </w:p>
    <w:p w14:paraId="4096E4F5">
      <w:pPr>
        <w:spacing w:before="0" w:line="240" w:lineRule="atLeast"/>
        <w:ind w:left="1079" w:leftChars="257" w:hanging="540"/>
        <w:jc w:val="center"/>
        <w:outlineLvl w:val="1"/>
        <w:rPr>
          <w:rFonts w:hint="eastAsia" w:asciiTheme="minorEastAsia" w:hAnsiTheme="minorEastAsia" w:eastAsiaTheme="minorEastAsia" w:cstheme="minorEastAsia"/>
          <w:color w:val="auto"/>
          <w:szCs w:val="24"/>
          <w:highlight w:val="none"/>
        </w:rPr>
      </w:pPr>
      <w:bookmarkStart w:id="283" w:name="_Toc518923104"/>
      <w:bookmarkStart w:id="284" w:name="_Toc27788"/>
      <w:r>
        <w:rPr>
          <w:rFonts w:hint="eastAsia" w:asciiTheme="minorEastAsia" w:hAnsiTheme="minorEastAsia" w:eastAsiaTheme="minorEastAsia" w:cstheme="minorEastAsia"/>
          <w:color w:val="auto"/>
          <w:szCs w:val="24"/>
          <w:highlight w:val="none"/>
        </w:rPr>
        <w:br w:type="page"/>
      </w:r>
      <w:bookmarkStart w:id="285" w:name="_Toc25304"/>
      <w:bookmarkStart w:id="286" w:name="_Toc6277"/>
      <w:bookmarkStart w:id="287" w:name="_Toc23367"/>
      <w:bookmarkStart w:id="288" w:name="_Toc19866"/>
      <w:r>
        <w:rPr>
          <w:rFonts w:hint="eastAsia" w:asciiTheme="minorEastAsia" w:hAnsiTheme="minorEastAsia" w:eastAsiaTheme="minorEastAsia" w:cstheme="minorEastAsia"/>
          <w:b/>
          <w:color w:val="auto"/>
          <w:kern w:val="0"/>
          <w:sz w:val="28"/>
          <w:szCs w:val="24"/>
          <w:highlight w:val="none"/>
          <w:lang w:val="en-US" w:eastAsia="zh-CN" w:bidi="ar-SA"/>
        </w:rPr>
        <w:t>附件2：履约担保函格式</w:t>
      </w:r>
      <w:bookmarkEnd w:id="283"/>
      <w:bookmarkEnd w:id="284"/>
      <w:bookmarkEnd w:id="285"/>
      <w:bookmarkEnd w:id="286"/>
      <w:bookmarkEnd w:id="287"/>
      <w:bookmarkEnd w:id="288"/>
    </w:p>
    <w:p w14:paraId="4D6D6E2F">
      <w:pPr>
        <w:spacing w:before="0" w:line="240" w:lineRule="atLeast"/>
        <w:ind w:left="1079" w:leftChars="257" w:hanging="540"/>
        <w:jc w:val="center"/>
        <w:outlineLvl w:val="9"/>
        <w:rPr>
          <w:rFonts w:hint="eastAsia" w:asciiTheme="minorEastAsia" w:hAnsiTheme="minorEastAsia" w:eastAsiaTheme="minorEastAsia" w:cstheme="minorEastAsia"/>
          <w:b w:val="0"/>
          <w:color w:val="auto"/>
          <w:sz w:val="24"/>
          <w:szCs w:val="24"/>
          <w:highlight w:val="none"/>
        </w:rPr>
      </w:pPr>
      <w:bookmarkStart w:id="289" w:name="_Toc30995"/>
      <w:bookmarkStart w:id="290" w:name="_Toc12515"/>
      <w:bookmarkStart w:id="291" w:name="_Toc29719"/>
      <w:bookmarkStart w:id="292" w:name="_Toc32027"/>
      <w:bookmarkStart w:id="293" w:name="_Toc3281"/>
      <w:bookmarkStart w:id="294" w:name="_Toc518923105"/>
      <w:bookmarkStart w:id="295" w:name="_Toc515904842"/>
      <w:r>
        <w:rPr>
          <w:rFonts w:hint="eastAsia" w:asciiTheme="minorEastAsia" w:hAnsiTheme="minorEastAsia" w:eastAsiaTheme="minorEastAsia" w:cstheme="minorEastAsia"/>
          <w:color w:val="auto"/>
          <w:sz w:val="24"/>
          <w:szCs w:val="24"/>
          <w:highlight w:val="none"/>
        </w:rPr>
        <w:t>（采用政府采购信用担保形式时使用）</w:t>
      </w:r>
      <w:bookmarkEnd w:id="289"/>
      <w:bookmarkEnd w:id="290"/>
      <w:bookmarkEnd w:id="291"/>
      <w:bookmarkEnd w:id="292"/>
      <w:bookmarkEnd w:id="293"/>
      <w:bookmarkEnd w:id="294"/>
      <w:bookmarkEnd w:id="295"/>
    </w:p>
    <w:p w14:paraId="569E7A87">
      <w:pPr>
        <w:spacing w:line="240" w:lineRule="atLeast"/>
        <w:ind w:left="1079" w:leftChars="257" w:hanging="540"/>
        <w:outlineLvl w:val="9"/>
        <w:rPr>
          <w:rFonts w:hint="eastAsia" w:asciiTheme="minorEastAsia" w:hAnsiTheme="minorEastAsia" w:eastAsiaTheme="minorEastAsia" w:cstheme="minorEastAsia"/>
          <w:b/>
          <w:color w:val="auto"/>
          <w:kern w:val="0"/>
          <w:sz w:val="24"/>
          <w:szCs w:val="24"/>
          <w:highlight w:val="none"/>
        </w:rPr>
      </w:pPr>
    </w:p>
    <w:p w14:paraId="79C5EC78">
      <w:pPr>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政府采购履约担保函</w:t>
      </w:r>
    </w:p>
    <w:p w14:paraId="55D8F9F9">
      <w:pP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编号：</w:t>
      </w:r>
    </w:p>
    <w:p w14:paraId="5B69535A">
      <w:pPr>
        <w:outlineLvl w:val="9"/>
        <w:rPr>
          <w:rFonts w:hint="eastAsia" w:asciiTheme="minorEastAsia" w:hAnsiTheme="minorEastAsia" w:eastAsiaTheme="minorEastAsia" w:cstheme="minorEastAsia"/>
          <w:color w:val="auto"/>
          <w:sz w:val="24"/>
          <w:highlight w:val="none"/>
        </w:rPr>
      </w:pPr>
    </w:p>
    <w:p w14:paraId="4959C9F0">
      <w:pP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（采购人）：</w:t>
      </w:r>
    </w:p>
    <w:p w14:paraId="2303DA70">
      <w:pPr>
        <w:outlineLvl w:val="9"/>
        <w:rPr>
          <w:rFonts w:hint="eastAsia" w:asciiTheme="minorEastAsia" w:hAnsiTheme="minorEastAsia" w:eastAsiaTheme="minorEastAsia" w:cstheme="minorEastAsia"/>
          <w:color w:val="auto"/>
          <w:sz w:val="24"/>
          <w:highlight w:val="none"/>
        </w:rPr>
      </w:pPr>
    </w:p>
    <w:p w14:paraId="5BCDEE55">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鉴于你方与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（以下简称供应商）于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日签定编号为   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政府采购合同》（以下简称主合同），且依据该合同的约定，供应商应在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p>
    <w:p w14:paraId="666B008B">
      <w:pP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日前向你方交纳履约保证金，且可以履约担保函的形式交纳履约保证金。应供应商的申请，我方以保证的方式向你方提供如下履约保证金担保：</w:t>
      </w:r>
    </w:p>
    <w:p w14:paraId="7DC90388">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一、保证责任的情形及保证金额</w:t>
      </w:r>
    </w:p>
    <w:p w14:paraId="2C4D95D8">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（一）在供应商出现下列情形之一时，我方承担保证责任：</w:t>
      </w:r>
    </w:p>
    <w:p w14:paraId="4EC1624C">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1．将中标项目转让给他人，或者在</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中未说明，且未经采购招标机构人同意，将中标项目分包给他人的；</w:t>
      </w:r>
    </w:p>
    <w:p w14:paraId="17C1DAA8">
      <w:pP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2．主合同约定的应当缴纳履约保证金的情形: </w:t>
      </w:r>
    </w:p>
    <w:p w14:paraId="362B7634">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（1）未按主合同约定的质量、数量和期限供应货物/提供服务/完成工程的；</w:t>
      </w:r>
    </w:p>
    <w:p w14:paraId="530F96C8">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775099FA">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（二）我方的保证范围是主合同约定的合同价款总额的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%数额为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），币种为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。（即主合同履约保证金金额）</w:t>
      </w:r>
    </w:p>
    <w:p w14:paraId="42EEA63A">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二、保证的方式及保证期间</w:t>
      </w:r>
    </w:p>
    <w:p w14:paraId="3CE492FE">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我方保证的方式为：连带责任保证。</w:t>
      </w:r>
    </w:p>
    <w:p w14:paraId="26087C89">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我方保证的期间为：自本合同生效之日起至供应商按照主合同约定的供货/完工期限届满后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日内。</w:t>
      </w:r>
    </w:p>
    <w:p w14:paraId="0E2C1D2D">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如果供应商未按主合同约定向贵方供应货物/提供服务/完成工程的，由我方在保证金额内向你方支付上述款项。</w:t>
      </w:r>
    </w:p>
    <w:p w14:paraId="68965154">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三、承担保证责任的程序</w:t>
      </w:r>
    </w:p>
    <w:p w14:paraId="57B94E18">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36ABE04B">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如果你方与供应商因货物质量问题产生争议，你方还需同时提供</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部门出具的质量检测报告，或经诉讼（仲裁）程序裁决后的裁决书、调解书，本保证人即按照检测结果或裁决书、调解书决定是否承担保证责任。</w:t>
      </w:r>
    </w:p>
    <w:p w14:paraId="5723451B">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我方收到你方的书面索赔通知及相应证明材料，在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工作日内进行核定后按照本保函的承诺承担保证责任。</w:t>
      </w:r>
    </w:p>
    <w:p w14:paraId="1358826B">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四、保证责任的终止</w:t>
      </w:r>
    </w:p>
    <w:p w14:paraId="54876B84">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C131D4D">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2．我方按照本保函向你方履行了保证责任后，自我方向你方支付款项（支付款项从我方账户划出）之日起，保证责任即终止。</w:t>
      </w:r>
    </w:p>
    <w:p w14:paraId="451A9FDA">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3．按照法律法规的规定或出现应终止我方保证责任的其它情形的，我方在本保函项下的保证责任亦终止。</w:t>
      </w:r>
    </w:p>
    <w:p w14:paraId="6D8B1EEF">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6144075D">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五、免责条款</w:t>
      </w:r>
    </w:p>
    <w:p w14:paraId="77D50228">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1．因你方违反主合同约定致使供应商不能履行义务的，我方不承担保证责任。</w:t>
      </w:r>
    </w:p>
    <w:p w14:paraId="4C2BB409">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2．依照法律法规的规定或你方与供应商的另行约定，全部或者部分免除供应商应缴纳的保证金义务的，我方亦免除相应的保证责任。</w:t>
      </w:r>
    </w:p>
    <w:p w14:paraId="0CD26E4B">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3．因不可抗力造成供应商不能履行供货义务的，我方不承担保证责任。</w:t>
      </w:r>
    </w:p>
    <w:p w14:paraId="2F8CC30E">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六、争议的解决</w:t>
      </w:r>
    </w:p>
    <w:p w14:paraId="0405E1ED">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因本保函发生的纠纷，由你我双方协商解决，协商不成的，通过诉讼程序解决，诉讼管辖地法院为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法院。</w:t>
      </w:r>
    </w:p>
    <w:p w14:paraId="245C65AB">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七、保函的生效</w:t>
      </w:r>
    </w:p>
    <w:p w14:paraId="3AF18A0E">
      <w:pPr>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本保函自我方加盖公章之日起生效。</w:t>
      </w:r>
    </w:p>
    <w:p w14:paraId="2DABFAB1">
      <w:pPr>
        <w:outlineLvl w:val="9"/>
        <w:rPr>
          <w:rFonts w:hint="eastAsia" w:asciiTheme="minorEastAsia" w:hAnsiTheme="minorEastAsia" w:eastAsiaTheme="minorEastAsia" w:cstheme="minorEastAsia"/>
          <w:color w:val="auto"/>
          <w:sz w:val="24"/>
          <w:highlight w:val="none"/>
        </w:rPr>
      </w:pPr>
    </w:p>
    <w:p w14:paraId="0DACA8AE">
      <w:pP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39771ECC">
      <w:pPr>
        <w:ind w:firstLine="5400" w:firstLineChars="225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保证人：（公章）</w:t>
      </w:r>
    </w:p>
    <w:p w14:paraId="40AB3B65">
      <w:pP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080BFDCD">
      <w:pP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0ECE5E10">
      <w:pPr>
        <w:pStyle w:val="7"/>
        <w:spacing w:line="240" w:lineRule="atLeast"/>
        <w:ind w:firstLine="0"/>
        <w:outlineLvl w:val="9"/>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b/>
          <w:color w:val="auto"/>
          <w:highlight w:val="none"/>
        </w:rPr>
        <w:br w:type="page"/>
      </w:r>
    </w:p>
    <w:p w14:paraId="13057965">
      <w:pPr>
        <w:pStyle w:val="2"/>
        <w:numPr>
          <w:ilvl w:val="0"/>
          <w:numId w:val="7"/>
        </w:numPr>
        <w:spacing w:before="0" w:after="0" w:line="240" w:lineRule="atLeast"/>
        <w:jc w:val="center"/>
        <w:rPr>
          <w:rFonts w:hint="eastAsia" w:asciiTheme="minorEastAsia" w:hAnsiTheme="minorEastAsia" w:eastAsiaTheme="minorEastAsia" w:cstheme="minorEastAsia"/>
          <w:color w:val="auto"/>
          <w:highlight w:val="none"/>
        </w:rPr>
      </w:pPr>
      <w:bookmarkStart w:id="296" w:name="_Toc1619"/>
      <w:bookmarkStart w:id="297" w:name="_Toc12659"/>
      <w:bookmarkStart w:id="298" w:name="_Toc12227"/>
      <w:bookmarkStart w:id="299" w:name="_Toc14192"/>
      <w:bookmarkStart w:id="300" w:name="_Toc10238"/>
      <w:bookmarkStart w:id="301" w:name="_Toc216582812"/>
      <w:bookmarkStart w:id="302" w:name="_Toc518923106"/>
      <w:r>
        <w:rPr>
          <w:rFonts w:hint="eastAsia" w:asciiTheme="minorEastAsia" w:hAnsiTheme="minorEastAsia" w:eastAsiaTheme="minorEastAsia" w:cstheme="minorEastAsia"/>
          <w:color w:val="auto"/>
          <w:highlight w:val="none"/>
          <w:lang w:val="en-US" w:eastAsia="zh-CN"/>
        </w:rPr>
        <w:t>响应</w:t>
      </w:r>
      <w:r>
        <w:rPr>
          <w:rFonts w:hint="eastAsia" w:asciiTheme="minorEastAsia" w:hAnsiTheme="minorEastAsia" w:eastAsiaTheme="minorEastAsia" w:cstheme="minorEastAsia"/>
          <w:color w:val="auto"/>
          <w:highlight w:val="none"/>
        </w:rPr>
        <w:t>文件格式</w:t>
      </w:r>
      <w:bookmarkEnd w:id="296"/>
      <w:bookmarkEnd w:id="297"/>
      <w:bookmarkEnd w:id="298"/>
      <w:bookmarkEnd w:id="299"/>
      <w:bookmarkEnd w:id="300"/>
      <w:bookmarkEnd w:id="301"/>
      <w:bookmarkEnd w:id="302"/>
    </w:p>
    <w:p w14:paraId="74AD36EC">
      <w:pPr>
        <w:spacing w:line="240" w:lineRule="atLeast"/>
        <w:ind w:left="735" w:leftChars="350" w:firstLine="120" w:firstLineChars="50"/>
        <w:rPr>
          <w:rFonts w:hint="eastAsia" w:asciiTheme="minorEastAsia" w:hAnsiTheme="minorEastAsia" w:eastAsiaTheme="minorEastAsia" w:cstheme="minorEastAsia"/>
          <w:color w:val="auto"/>
          <w:sz w:val="24"/>
          <w:highlight w:val="none"/>
        </w:rPr>
      </w:pPr>
    </w:p>
    <w:p w14:paraId="394BBD7F">
      <w:pPr>
        <w:keepNext w:val="0"/>
        <w:keepLines w:val="0"/>
        <w:pageBreakBefore w:val="0"/>
        <w:widowControl w:val="0"/>
        <w:tabs>
          <w:tab w:val="left" w:pos="5580"/>
        </w:tabs>
        <w:kinsoku/>
        <w:wordWrap/>
        <w:overflowPunct/>
        <w:topLinePunct w:val="0"/>
        <w:bidi w:val="0"/>
        <w:snapToGrid/>
        <w:spacing w:line="500" w:lineRule="exact"/>
        <w:ind w:firstLine="424" w:firstLineChars="177"/>
        <w:textAlignment w:val="auto"/>
        <w:outlineLvl w:val="9"/>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磋商报价一览表</w:t>
      </w:r>
      <w:r>
        <w:rPr>
          <w:rFonts w:hint="eastAsia" w:asciiTheme="minorEastAsia" w:hAnsiTheme="minorEastAsia" w:eastAsiaTheme="minorEastAsia" w:cstheme="minorEastAsia"/>
          <w:color w:val="auto"/>
          <w:sz w:val="24"/>
          <w:highlight w:val="none"/>
          <w:lang w:eastAsia="zh-CN"/>
        </w:rPr>
        <w:t>；</w:t>
      </w:r>
    </w:p>
    <w:p w14:paraId="3B3CC347">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2、磋商申请;</w:t>
      </w:r>
    </w:p>
    <w:p w14:paraId="6C2D1245">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3、法定代表人身份证明、授权委托书;</w:t>
      </w:r>
    </w:p>
    <w:p w14:paraId="380F7048">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4、磋商保证金；</w:t>
      </w:r>
    </w:p>
    <w:p w14:paraId="1AEC3138">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5、项目管理机构;</w:t>
      </w:r>
    </w:p>
    <w:p w14:paraId="7549F2FF">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5.1项目管理机构人员组成表</w:t>
      </w:r>
    </w:p>
    <w:p w14:paraId="6DEE5ABC">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5.2主要人员简历表</w:t>
      </w:r>
    </w:p>
    <w:p w14:paraId="108BAB70">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5.2.1项目经理简历表</w:t>
      </w:r>
    </w:p>
    <w:p w14:paraId="1CC46BC6">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5.2.2主要项目管理人员简历表</w:t>
      </w:r>
    </w:p>
    <w:p w14:paraId="351CC1BE">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6、资格审查资料；</w:t>
      </w:r>
    </w:p>
    <w:p w14:paraId="06C3E565">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6.1供应商基本情况表</w:t>
      </w:r>
    </w:p>
    <w:p w14:paraId="350507B0">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6.2近年财务状况表</w:t>
      </w:r>
    </w:p>
    <w:p w14:paraId="1932C8A8">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6.3近3年发生的诉讼及仲裁情况</w:t>
      </w:r>
    </w:p>
    <w:p w14:paraId="6697BCC8">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6.4企业其他信誉情况</w:t>
      </w:r>
    </w:p>
    <w:p w14:paraId="03605970">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7、《中小企业声明函》（工程）</w:t>
      </w:r>
    </w:p>
    <w:p w14:paraId="0CFA9B69">
      <w:pPr>
        <w:keepNext w:val="0"/>
        <w:keepLines w:val="0"/>
        <w:pageBreakBefore w:val="0"/>
        <w:widowControl w:val="0"/>
        <w:numPr>
          <w:ilvl w:val="0"/>
          <w:numId w:val="11"/>
        </w:numPr>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残疾人福利性单位声明函（残疾人福利性单位提供）</w:t>
      </w:r>
    </w:p>
    <w:p w14:paraId="51BAEAF3">
      <w:pPr>
        <w:keepNext w:val="0"/>
        <w:keepLines w:val="0"/>
        <w:pageBreakBefore w:val="0"/>
        <w:widowControl w:val="0"/>
        <w:numPr>
          <w:ilvl w:val="0"/>
          <w:numId w:val="11"/>
        </w:numPr>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《监狱企业声明函》</w:t>
      </w:r>
    </w:p>
    <w:p w14:paraId="16E3F415">
      <w:pPr>
        <w:keepNext w:val="0"/>
        <w:keepLines w:val="0"/>
        <w:pageBreakBefore w:val="0"/>
        <w:widowControl w:val="0"/>
        <w:numPr>
          <w:ilvl w:val="0"/>
          <w:numId w:val="11"/>
        </w:numPr>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投标人关联单位的说明</w:t>
      </w:r>
    </w:p>
    <w:p w14:paraId="21FEC668">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11、其他需要提供的证明文件;</w:t>
      </w:r>
    </w:p>
    <w:p w14:paraId="411EB239">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12、已标价的工程量清单</w:t>
      </w:r>
    </w:p>
    <w:p w14:paraId="09E17249">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13、</w:t>
      </w:r>
      <w:r>
        <w:rPr>
          <w:rFonts w:hint="eastAsia" w:asciiTheme="minorEastAsia" w:hAnsiTheme="minorEastAsia" w:eastAsiaTheme="minorEastAsia" w:cstheme="minorEastAsia"/>
          <w:color w:val="auto"/>
          <w:sz w:val="24"/>
          <w:highlight w:val="none"/>
        </w:rPr>
        <w:t>技术</w:t>
      </w:r>
      <w:r>
        <w:rPr>
          <w:rFonts w:hint="eastAsia" w:asciiTheme="minorEastAsia" w:hAnsiTheme="minorEastAsia" w:eastAsiaTheme="minorEastAsia" w:cstheme="minorEastAsia"/>
          <w:color w:val="auto"/>
          <w:sz w:val="24"/>
          <w:highlight w:val="none"/>
          <w:lang w:val="en-US" w:eastAsia="zh-CN"/>
        </w:rPr>
        <w:t>文件</w:t>
      </w:r>
    </w:p>
    <w:p w14:paraId="1B9F8204">
      <w:pPr>
        <w:tabs>
          <w:tab w:val="left" w:pos="5580"/>
        </w:tabs>
        <w:spacing w:line="240" w:lineRule="atLeast"/>
        <w:ind w:left="1" w:firstLine="564" w:firstLineChars="235"/>
        <w:outlineLvl w:val="9"/>
        <w:rPr>
          <w:rFonts w:hint="eastAsia" w:asciiTheme="minorEastAsia" w:hAnsiTheme="minorEastAsia" w:eastAsiaTheme="minorEastAsia" w:cstheme="minorEastAsia"/>
          <w:color w:val="auto"/>
          <w:sz w:val="24"/>
          <w:highlight w:val="none"/>
        </w:rPr>
      </w:pPr>
    </w:p>
    <w:p w14:paraId="14D37EBA">
      <w:pPr>
        <w:tabs>
          <w:tab w:val="left" w:pos="5580"/>
        </w:tabs>
        <w:spacing w:line="240" w:lineRule="atLeast"/>
        <w:ind w:left="1" w:firstLine="564" w:firstLineChars="235"/>
        <w:outlineLvl w:val="9"/>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14、响应文件格式范本</w:t>
      </w:r>
    </w:p>
    <w:p w14:paraId="295D04AD">
      <w:pPr>
        <w:tabs>
          <w:tab w:val="left" w:pos="5580"/>
        </w:tabs>
        <w:spacing w:line="240" w:lineRule="atLeast"/>
        <w:ind w:left="1" w:firstLine="564" w:firstLineChars="235"/>
        <w:outlineLvl w:val="9"/>
        <w:rPr>
          <w:rFonts w:hint="eastAsia" w:asciiTheme="minorEastAsia" w:hAnsiTheme="minorEastAsia" w:eastAsiaTheme="minorEastAsia" w:cstheme="minorEastAsia"/>
          <w:color w:val="auto"/>
          <w:sz w:val="24"/>
          <w:highlight w:val="none"/>
        </w:rPr>
      </w:pPr>
    </w:p>
    <w:p w14:paraId="6E2542D6">
      <w:pPr>
        <w:tabs>
          <w:tab w:val="left" w:pos="5580"/>
        </w:tabs>
        <w:spacing w:line="240" w:lineRule="atLeast"/>
        <w:ind w:left="1" w:firstLine="564" w:firstLineChars="235"/>
        <w:outlineLvl w:val="9"/>
        <w:rPr>
          <w:rFonts w:hint="eastAsia" w:asciiTheme="minorEastAsia" w:hAnsiTheme="minorEastAsia" w:eastAsiaTheme="minorEastAsia" w:cstheme="minorEastAsia"/>
          <w:color w:val="auto"/>
          <w:sz w:val="24"/>
          <w:highlight w:val="none"/>
        </w:rPr>
      </w:pPr>
    </w:p>
    <w:p w14:paraId="507EB2F7">
      <w:pPr>
        <w:tabs>
          <w:tab w:val="left" w:pos="5580"/>
        </w:tabs>
        <w:spacing w:line="240" w:lineRule="atLeast"/>
        <w:ind w:left="1" w:firstLine="564" w:firstLineChars="235"/>
        <w:outlineLvl w:val="9"/>
        <w:rPr>
          <w:rFonts w:hint="eastAsia" w:asciiTheme="minorEastAsia" w:hAnsiTheme="minorEastAsia" w:eastAsiaTheme="minorEastAsia" w:cstheme="minorEastAsia"/>
          <w:color w:val="auto"/>
          <w:sz w:val="24"/>
          <w:highlight w:val="none"/>
        </w:rPr>
      </w:pPr>
    </w:p>
    <w:p w14:paraId="0FF982F5">
      <w:pPr>
        <w:tabs>
          <w:tab w:val="left" w:pos="5580"/>
        </w:tabs>
        <w:spacing w:line="240" w:lineRule="atLeast"/>
        <w:ind w:left="1" w:firstLine="564" w:firstLineChars="235"/>
        <w:outlineLvl w:val="9"/>
        <w:rPr>
          <w:rFonts w:hint="eastAsia" w:asciiTheme="minorEastAsia" w:hAnsiTheme="minorEastAsia" w:eastAsiaTheme="minorEastAsia" w:cstheme="minorEastAsia"/>
          <w:color w:val="auto"/>
          <w:sz w:val="24"/>
          <w:highlight w:val="none"/>
        </w:rPr>
      </w:pPr>
    </w:p>
    <w:p w14:paraId="4659B719">
      <w:pPr>
        <w:tabs>
          <w:tab w:val="left" w:pos="5580"/>
        </w:tabs>
        <w:spacing w:line="240" w:lineRule="atLeast"/>
        <w:ind w:left="1" w:firstLine="564" w:firstLineChars="235"/>
        <w:outlineLvl w:val="9"/>
        <w:rPr>
          <w:rFonts w:hint="eastAsia" w:asciiTheme="minorEastAsia" w:hAnsiTheme="minorEastAsia" w:eastAsiaTheme="minorEastAsia" w:cstheme="minorEastAsia"/>
          <w:color w:val="auto"/>
          <w:sz w:val="24"/>
          <w:highlight w:val="none"/>
        </w:rPr>
      </w:pPr>
    </w:p>
    <w:p w14:paraId="4A2981F6">
      <w:pPr>
        <w:tabs>
          <w:tab w:val="left" w:pos="5580"/>
        </w:tabs>
        <w:spacing w:line="240" w:lineRule="atLeast"/>
        <w:ind w:left="1" w:firstLine="564" w:firstLineChars="235"/>
        <w:outlineLvl w:val="9"/>
        <w:rPr>
          <w:rFonts w:hint="eastAsia" w:asciiTheme="minorEastAsia" w:hAnsiTheme="minorEastAsia" w:eastAsiaTheme="minorEastAsia" w:cstheme="minorEastAsia"/>
          <w:color w:val="auto"/>
          <w:sz w:val="24"/>
          <w:highlight w:val="none"/>
        </w:rPr>
      </w:pPr>
    </w:p>
    <w:p w14:paraId="77EDF970">
      <w:pPr>
        <w:pStyle w:val="3"/>
        <w:spacing w:before="0" w:line="240" w:lineRule="atLeast"/>
        <w:jc w:val="center"/>
        <w:rPr>
          <w:rFonts w:hint="eastAsia" w:asciiTheme="minorEastAsia" w:hAnsiTheme="minorEastAsia" w:eastAsiaTheme="minorEastAsia" w:cstheme="minorEastAsia"/>
          <w:color w:val="auto"/>
          <w:sz w:val="24"/>
          <w:highlight w:val="none"/>
        </w:rPr>
      </w:pPr>
      <w:bookmarkStart w:id="303" w:name="_Toc518923108"/>
      <w:bookmarkStart w:id="304" w:name="_Toc9660"/>
      <w:r>
        <w:rPr>
          <w:rFonts w:hint="eastAsia" w:asciiTheme="minorEastAsia" w:hAnsiTheme="minorEastAsia" w:eastAsiaTheme="minorEastAsia" w:cstheme="minorEastAsia"/>
          <w:color w:val="auto"/>
          <w:sz w:val="24"/>
          <w:highlight w:val="none"/>
        </w:rPr>
        <w:br w:type="page"/>
      </w:r>
      <w:bookmarkStart w:id="305" w:name="_Toc30187"/>
      <w:bookmarkStart w:id="306" w:name="_Toc20858"/>
      <w:bookmarkStart w:id="307" w:name="_Toc5814"/>
      <w:bookmarkStart w:id="308" w:name="_Toc19284"/>
      <w:r>
        <w:rPr>
          <w:rFonts w:hint="eastAsia" w:asciiTheme="minorEastAsia" w:hAnsiTheme="minorEastAsia" w:eastAsiaTheme="minorEastAsia" w:cstheme="minorEastAsia"/>
          <w:color w:val="auto"/>
          <w:sz w:val="24"/>
          <w:highlight w:val="none"/>
          <w:lang w:val="en-US" w:eastAsia="zh-CN"/>
        </w:rPr>
        <w:t>1、</w:t>
      </w:r>
      <w:bookmarkEnd w:id="303"/>
      <w:bookmarkEnd w:id="304"/>
      <w:bookmarkEnd w:id="305"/>
      <w:bookmarkEnd w:id="306"/>
      <w:bookmarkEnd w:id="307"/>
      <w:r>
        <w:rPr>
          <w:rFonts w:hint="eastAsia" w:asciiTheme="minorEastAsia" w:hAnsiTheme="minorEastAsia" w:eastAsiaTheme="minorEastAsia" w:cstheme="minorEastAsia"/>
          <w:color w:val="auto"/>
          <w:sz w:val="24"/>
          <w:highlight w:val="none"/>
        </w:rPr>
        <w:t>磋商报价一览表</w:t>
      </w:r>
      <w:bookmarkEnd w:id="308"/>
    </w:p>
    <w:p w14:paraId="08914BAD">
      <w:pPr>
        <w:pStyle w:val="12"/>
        <w:tabs>
          <w:tab w:val="left" w:pos="5580"/>
        </w:tabs>
        <w:spacing w:line="240" w:lineRule="atLeast"/>
        <w:ind w:left="268" w:leftChars="128"/>
        <w:rPr>
          <w:rFonts w:hint="eastAsia" w:asciiTheme="minorEastAsia" w:hAnsiTheme="minorEastAsia" w:eastAsiaTheme="minorEastAsia" w:cstheme="minorEastAsia"/>
          <w:color w:val="auto"/>
          <w:sz w:val="24"/>
          <w:highlight w:val="none"/>
        </w:rPr>
      </w:pPr>
    </w:p>
    <w:p w14:paraId="629567F0">
      <w:pPr>
        <w:pStyle w:val="12"/>
        <w:tabs>
          <w:tab w:val="left" w:pos="5580"/>
        </w:tabs>
        <w:spacing w:line="240" w:lineRule="atLeast"/>
        <w:ind w:left="268" w:leftChars="128"/>
        <w:rPr>
          <w:rFonts w:hint="eastAsia" w:asciiTheme="minorEastAsia" w:hAnsiTheme="minorEastAsia" w:eastAsiaTheme="minorEastAsia" w:cstheme="minorEastAsia"/>
          <w:color w:val="auto"/>
          <w:sz w:val="24"/>
          <w:szCs w:val="24"/>
          <w:highlight w:val="none"/>
        </w:rPr>
      </w:pPr>
    </w:p>
    <w:p w14:paraId="29872494">
      <w:pPr>
        <w:pStyle w:val="7"/>
        <w:tabs>
          <w:tab w:val="left" w:pos="5580"/>
        </w:tabs>
        <w:spacing w:line="240" w:lineRule="atLeast"/>
        <w:ind w:left="0" w:leftChars="0" w:firstLine="0" w:firstLineChars="0"/>
        <w:jc w:val="center"/>
        <w:outlineLvl w:val="9"/>
        <w:rPr>
          <w:rFonts w:hint="eastAsia" w:asciiTheme="minorEastAsia" w:hAnsiTheme="minorEastAsia" w:eastAsiaTheme="minorEastAsia" w:cstheme="minorEastAsia"/>
          <w:color w:val="auto"/>
          <w:highlight w:val="none"/>
        </w:rPr>
      </w:pPr>
      <w:bookmarkStart w:id="309" w:name="_Hlt520356241"/>
      <w:bookmarkEnd w:id="309"/>
      <w:bookmarkStart w:id="310" w:name="_Ref467988698"/>
      <w:bookmarkStart w:id="311" w:name="_Toc216582813"/>
      <w:bookmarkStart w:id="312" w:name="_Toc480942349"/>
      <w:bookmarkStart w:id="313" w:name="_Toc520356217"/>
    </w:p>
    <w:p w14:paraId="04595015">
      <w:pPr>
        <w:tabs>
          <w:tab w:val="left" w:pos="1800"/>
          <w:tab w:val="left" w:pos="5580"/>
        </w:tabs>
        <w:spacing w:line="240" w:lineRule="atLeast"/>
        <w:ind w:left="1079" w:leftChars="257" w:right="-867" w:rightChars="-413" w:hanging="54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项目名称：　                  </w:t>
      </w:r>
      <w:r>
        <w:rPr>
          <w:rFonts w:hint="eastAsia" w:asciiTheme="minorEastAsia" w:hAnsiTheme="minorEastAsia" w:eastAsiaTheme="minorEastAsia" w:cstheme="minorEastAsia"/>
          <w:color w:val="auto"/>
          <w:sz w:val="24"/>
          <w:highlight w:val="none"/>
          <w:lang w:eastAsia="zh-CN"/>
        </w:rPr>
        <w:t>项目编号</w:t>
      </w:r>
      <w:r>
        <w:rPr>
          <w:rFonts w:hint="eastAsia" w:asciiTheme="minorEastAsia" w:hAnsiTheme="minorEastAsia" w:eastAsiaTheme="minorEastAsia" w:cstheme="minorEastAsia"/>
          <w:color w:val="auto"/>
          <w:sz w:val="24"/>
          <w:highlight w:val="none"/>
        </w:rPr>
        <w:t xml:space="preserve">：                        </w:t>
      </w:r>
    </w:p>
    <w:p w14:paraId="4CF63299">
      <w:pPr>
        <w:tabs>
          <w:tab w:val="left" w:pos="1800"/>
          <w:tab w:val="left" w:pos="5580"/>
        </w:tabs>
        <w:spacing w:line="240" w:lineRule="atLeast"/>
        <w:ind w:left="1079" w:leftChars="257" w:right="-867" w:rightChars="-413" w:hanging="54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报价单位：人民币</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元</w:t>
      </w:r>
    </w:p>
    <w:tbl>
      <w:tblPr>
        <w:tblStyle w:val="25"/>
        <w:tblW w:w="9761" w:type="dxa"/>
        <w:tblInd w:w="-61" w:type="dxa"/>
        <w:tblLayout w:type="fixed"/>
        <w:tblCellMar>
          <w:top w:w="0" w:type="dxa"/>
          <w:left w:w="0" w:type="dxa"/>
          <w:bottom w:w="0" w:type="dxa"/>
          <w:right w:w="0" w:type="dxa"/>
        </w:tblCellMar>
      </w:tblPr>
      <w:tblGrid>
        <w:gridCol w:w="1279"/>
        <w:gridCol w:w="1677"/>
        <w:gridCol w:w="2035"/>
        <w:gridCol w:w="1425"/>
        <w:gridCol w:w="1785"/>
        <w:gridCol w:w="1560"/>
      </w:tblGrid>
      <w:tr w14:paraId="5DD27AC5">
        <w:tblPrEx>
          <w:tblCellMar>
            <w:top w:w="0" w:type="dxa"/>
            <w:left w:w="0" w:type="dxa"/>
            <w:bottom w:w="0" w:type="dxa"/>
            <w:right w:w="0" w:type="dxa"/>
          </w:tblCellMar>
        </w:tblPrEx>
        <w:trPr>
          <w:trHeight w:val="639" w:hRule="atLeast"/>
        </w:trPr>
        <w:tc>
          <w:tcPr>
            <w:tcW w:w="1279" w:type="dxa"/>
            <w:tcBorders>
              <w:top w:val="single" w:color="auto" w:sz="4" w:space="0"/>
              <w:left w:val="single" w:color="auto" w:sz="4" w:space="0"/>
              <w:bottom w:val="single" w:color="auto" w:sz="8" w:space="0"/>
              <w:right w:val="single" w:color="auto" w:sz="4" w:space="0"/>
            </w:tcBorders>
            <w:noWrap w:val="0"/>
            <w:vAlign w:val="center"/>
          </w:tcPr>
          <w:p w14:paraId="4732B854">
            <w:pPr>
              <w:tabs>
                <w:tab w:val="left" w:pos="5580"/>
              </w:tabs>
              <w:spacing w:line="240" w:lineRule="atLeast"/>
              <w:ind w:right="-199" w:firstLine="240" w:firstLineChars="100"/>
              <w:jc w:val="both"/>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项目</w:t>
            </w:r>
            <w:r>
              <w:rPr>
                <w:rFonts w:hint="eastAsia" w:asciiTheme="minorEastAsia" w:hAnsiTheme="minorEastAsia" w:eastAsiaTheme="minorEastAsia" w:cstheme="minorEastAsia"/>
                <w:color w:val="auto"/>
                <w:sz w:val="24"/>
                <w:highlight w:val="none"/>
              </w:rPr>
              <w:t>名称</w:t>
            </w:r>
          </w:p>
        </w:tc>
        <w:tc>
          <w:tcPr>
            <w:tcW w:w="1677" w:type="dxa"/>
            <w:tcBorders>
              <w:top w:val="single" w:color="auto" w:sz="4" w:space="0"/>
              <w:left w:val="single" w:color="auto" w:sz="8" w:space="0"/>
              <w:bottom w:val="single" w:color="auto" w:sz="8" w:space="0"/>
              <w:right w:val="single" w:color="auto" w:sz="4" w:space="0"/>
            </w:tcBorders>
            <w:noWrap w:val="0"/>
            <w:vAlign w:val="center"/>
          </w:tcPr>
          <w:p w14:paraId="7990130A">
            <w:pPr>
              <w:tabs>
                <w:tab w:val="left" w:pos="5580"/>
              </w:tabs>
              <w:spacing w:line="24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投标</w:t>
            </w:r>
            <w:r>
              <w:rPr>
                <w:rFonts w:hint="eastAsia" w:asciiTheme="minorEastAsia" w:hAnsiTheme="minorEastAsia" w:eastAsiaTheme="minorEastAsia" w:cstheme="minorEastAsia"/>
                <w:color w:val="auto"/>
                <w:sz w:val="24"/>
                <w:highlight w:val="none"/>
              </w:rPr>
              <w:t>总价</w:t>
            </w:r>
          </w:p>
        </w:tc>
        <w:tc>
          <w:tcPr>
            <w:tcW w:w="2035" w:type="dxa"/>
            <w:tcBorders>
              <w:top w:val="single" w:color="auto" w:sz="8" w:space="0"/>
              <w:left w:val="nil"/>
              <w:bottom w:val="single" w:color="auto" w:sz="8" w:space="0"/>
              <w:right w:val="single" w:color="auto" w:sz="4" w:space="0"/>
            </w:tcBorders>
            <w:noWrap w:val="0"/>
            <w:vAlign w:val="center"/>
          </w:tcPr>
          <w:p w14:paraId="5B9DC50D">
            <w:pPr>
              <w:tabs>
                <w:tab w:val="left" w:pos="5580"/>
              </w:tabs>
              <w:spacing w:line="24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磋商</w:t>
            </w:r>
            <w:r>
              <w:rPr>
                <w:rFonts w:hint="eastAsia" w:asciiTheme="minorEastAsia" w:hAnsiTheme="minorEastAsia" w:eastAsiaTheme="minorEastAsia" w:cstheme="minorEastAsia"/>
                <w:color w:val="auto"/>
                <w:sz w:val="24"/>
                <w:highlight w:val="none"/>
              </w:rPr>
              <w:t>保证金</w:t>
            </w:r>
          </w:p>
        </w:tc>
        <w:tc>
          <w:tcPr>
            <w:tcW w:w="1425" w:type="dxa"/>
            <w:tcBorders>
              <w:top w:val="single" w:color="auto" w:sz="8" w:space="0"/>
              <w:left w:val="nil"/>
              <w:bottom w:val="single" w:color="auto" w:sz="8" w:space="0"/>
              <w:right w:val="single" w:color="auto" w:sz="4" w:space="0"/>
            </w:tcBorders>
            <w:noWrap w:val="0"/>
            <w:vAlign w:val="center"/>
          </w:tcPr>
          <w:p w14:paraId="14D7A1A9">
            <w:pPr>
              <w:tabs>
                <w:tab w:val="left" w:pos="5580"/>
              </w:tabs>
              <w:spacing w:line="240" w:lineRule="atLeast"/>
              <w:jc w:val="center"/>
              <w:outlineLvl w:val="9"/>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项目工期</w:t>
            </w:r>
          </w:p>
        </w:tc>
        <w:tc>
          <w:tcPr>
            <w:tcW w:w="1785" w:type="dxa"/>
            <w:tcBorders>
              <w:top w:val="single" w:color="auto" w:sz="8" w:space="0"/>
              <w:left w:val="nil"/>
              <w:bottom w:val="single" w:color="auto" w:sz="8" w:space="0"/>
              <w:right w:val="single" w:color="auto" w:sz="4" w:space="0"/>
            </w:tcBorders>
            <w:noWrap w:val="0"/>
            <w:vAlign w:val="center"/>
          </w:tcPr>
          <w:p w14:paraId="1047830E">
            <w:pPr>
              <w:tabs>
                <w:tab w:val="left" w:pos="5580"/>
              </w:tabs>
              <w:spacing w:line="24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项目</w:t>
            </w:r>
            <w:r>
              <w:rPr>
                <w:rFonts w:hint="eastAsia" w:asciiTheme="minorEastAsia" w:hAnsiTheme="minorEastAsia" w:eastAsiaTheme="minorEastAsia" w:cstheme="minorEastAsia"/>
                <w:color w:val="auto"/>
                <w:sz w:val="24"/>
                <w:highlight w:val="none"/>
              </w:rPr>
              <w:t>地点</w:t>
            </w:r>
          </w:p>
        </w:tc>
        <w:tc>
          <w:tcPr>
            <w:tcW w:w="1560" w:type="dxa"/>
            <w:tcBorders>
              <w:top w:val="single" w:color="auto" w:sz="8" w:space="0"/>
              <w:left w:val="single" w:color="auto" w:sz="4" w:space="0"/>
              <w:bottom w:val="single" w:color="auto" w:sz="8" w:space="0"/>
              <w:right w:val="single" w:color="auto" w:sz="8" w:space="0"/>
            </w:tcBorders>
            <w:noWrap w:val="0"/>
            <w:vAlign w:val="center"/>
          </w:tcPr>
          <w:p w14:paraId="02992DCD">
            <w:pPr>
              <w:tabs>
                <w:tab w:val="left" w:pos="5580"/>
              </w:tabs>
              <w:spacing w:line="24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14:paraId="267C5049">
        <w:tblPrEx>
          <w:tblCellMar>
            <w:top w:w="0" w:type="dxa"/>
            <w:left w:w="0" w:type="dxa"/>
            <w:bottom w:w="0" w:type="dxa"/>
            <w:right w:w="0" w:type="dxa"/>
          </w:tblCellMar>
        </w:tblPrEx>
        <w:trPr>
          <w:cantSplit/>
          <w:trHeight w:val="1266" w:hRule="atLeast"/>
        </w:trPr>
        <w:tc>
          <w:tcPr>
            <w:tcW w:w="1279" w:type="dxa"/>
            <w:tcBorders>
              <w:top w:val="single" w:color="auto" w:sz="8" w:space="0"/>
              <w:left w:val="single" w:color="auto" w:sz="4" w:space="0"/>
              <w:bottom w:val="single" w:color="auto" w:sz="4" w:space="0"/>
              <w:right w:val="single" w:color="auto" w:sz="4" w:space="0"/>
            </w:tcBorders>
            <w:noWrap w:val="0"/>
            <w:vAlign w:val="center"/>
          </w:tcPr>
          <w:p w14:paraId="69398CDE">
            <w:pPr>
              <w:tabs>
                <w:tab w:val="left" w:pos="5580"/>
              </w:tabs>
              <w:spacing w:line="240" w:lineRule="atLeast"/>
              <w:ind w:left="1079" w:leftChars="257" w:hanging="540"/>
              <w:jc w:val="center"/>
              <w:outlineLvl w:val="9"/>
              <w:rPr>
                <w:rFonts w:hint="eastAsia" w:asciiTheme="minorEastAsia" w:hAnsiTheme="minorEastAsia" w:eastAsiaTheme="minorEastAsia" w:cstheme="minorEastAsia"/>
                <w:color w:val="auto"/>
                <w:sz w:val="24"/>
                <w:highlight w:val="none"/>
              </w:rPr>
            </w:pPr>
          </w:p>
        </w:tc>
        <w:tc>
          <w:tcPr>
            <w:tcW w:w="1677" w:type="dxa"/>
            <w:tcBorders>
              <w:top w:val="single" w:color="auto" w:sz="8" w:space="0"/>
              <w:left w:val="single" w:color="auto" w:sz="8" w:space="0"/>
              <w:bottom w:val="single" w:color="auto" w:sz="4" w:space="0"/>
              <w:right w:val="single" w:color="auto" w:sz="4" w:space="0"/>
            </w:tcBorders>
            <w:noWrap w:val="0"/>
            <w:vAlign w:val="center"/>
          </w:tcPr>
          <w:p w14:paraId="6D27F0F1">
            <w:pPr>
              <w:tabs>
                <w:tab w:val="left" w:pos="5580"/>
              </w:tabs>
              <w:spacing w:line="240" w:lineRule="atLeast"/>
              <w:jc w:val="left"/>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小</w:t>
            </w:r>
            <w:r>
              <w:rPr>
                <w:rFonts w:hint="eastAsia" w:asciiTheme="minorEastAsia" w:hAnsiTheme="minorEastAsia" w:eastAsiaTheme="minorEastAsia" w:cstheme="minorEastAsia"/>
                <w:color w:val="auto"/>
                <w:sz w:val="24"/>
                <w:highlight w:val="none"/>
              </w:rPr>
              <w:t>写：</w:t>
            </w:r>
          </w:p>
          <w:p w14:paraId="724DCDB1">
            <w:pPr>
              <w:tabs>
                <w:tab w:val="left" w:pos="5580"/>
              </w:tabs>
              <w:spacing w:line="240" w:lineRule="atLeast"/>
              <w:jc w:val="left"/>
              <w:outlineLvl w:val="9"/>
              <w:rPr>
                <w:rFonts w:hint="eastAsia" w:asciiTheme="minorEastAsia" w:hAnsiTheme="minorEastAsia" w:eastAsiaTheme="minorEastAsia" w:cstheme="minorEastAsia"/>
                <w:color w:val="auto"/>
                <w:sz w:val="24"/>
                <w:highlight w:val="none"/>
              </w:rPr>
            </w:pPr>
          </w:p>
          <w:p w14:paraId="7ED7B699">
            <w:pPr>
              <w:tabs>
                <w:tab w:val="left" w:pos="5580"/>
              </w:tabs>
              <w:spacing w:line="240" w:lineRule="atLeast"/>
              <w:jc w:val="left"/>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大</w:t>
            </w:r>
            <w:r>
              <w:rPr>
                <w:rFonts w:hint="eastAsia" w:asciiTheme="minorEastAsia" w:hAnsiTheme="minorEastAsia" w:eastAsiaTheme="minorEastAsia" w:cstheme="minorEastAsia"/>
                <w:color w:val="auto"/>
                <w:sz w:val="24"/>
                <w:highlight w:val="none"/>
              </w:rPr>
              <w:t>写：</w:t>
            </w:r>
          </w:p>
        </w:tc>
        <w:tc>
          <w:tcPr>
            <w:tcW w:w="2035" w:type="dxa"/>
            <w:tcBorders>
              <w:top w:val="single" w:color="auto" w:sz="8" w:space="0"/>
              <w:left w:val="nil"/>
              <w:bottom w:val="single" w:color="auto" w:sz="4" w:space="0"/>
              <w:right w:val="single" w:color="auto" w:sz="4" w:space="0"/>
            </w:tcBorders>
            <w:noWrap w:val="0"/>
            <w:vAlign w:val="center"/>
          </w:tcPr>
          <w:p w14:paraId="3CC256B4">
            <w:pPr>
              <w:tabs>
                <w:tab w:val="left" w:pos="5580"/>
              </w:tabs>
              <w:spacing w:line="240" w:lineRule="atLeast"/>
              <w:ind w:left="1079" w:leftChars="257" w:hanging="540"/>
              <w:jc w:val="center"/>
              <w:outlineLvl w:val="9"/>
              <w:rPr>
                <w:rFonts w:hint="eastAsia" w:asciiTheme="minorEastAsia" w:hAnsiTheme="minorEastAsia" w:eastAsiaTheme="minorEastAsia" w:cstheme="minorEastAsia"/>
                <w:color w:val="auto"/>
                <w:sz w:val="24"/>
                <w:highlight w:val="none"/>
              </w:rPr>
            </w:pPr>
          </w:p>
        </w:tc>
        <w:tc>
          <w:tcPr>
            <w:tcW w:w="1425" w:type="dxa"/>
            <w:tcBorders>
              <w:top w:val="single" w:color="auto" w:sz="8" w:space="0"/>
              <w:left w:val="nil"/>
              <w:bottom w:val="single" w:color="auto" w:sz="4" w:space="0"/>
              <w:right w:val="single" w:color="auto" w:sz="4" w:space="0"/>
            </w:tcBorders>
            <w:noWrap w:val="0"/>
            <w:vAlign w:val="center"/>
          </w:tcPr>
          <w:p w14:paraId="7E639862">
            <w:pPr>
              <w:tabs>
                <w:tab w:val="left" w:pos="5580"/>
              </w:tabs>
              <w:spacing w:line="240" w:lineRule="atLeast"/>
              <w:ind w:left="1079" w:leftChars="257" w:hanging="540"/>
              <w:jc w:val="center"/>
              <w:outlineLvl w:val="9"/>
              <w:rPr>
                <w:rFonts w:hint="eastAsia" w:asciiTheme="minorEastAsia" w:hAnsiTheme="minorEastAsia" w:eastAsiaTheme="minorEastAsia" w:cstheme="minorEastAsia"/>
                <w:color w:val="auto"/>
                <w:sz w:val="24"/>
                <w:highlight w:val="none"/>
              </w:rPr>
            </w:pPr>
          </w:p>
        </w:tc>
        <w:tc>
          <w:tcPr>
            <w:tcW w:w="1785" w:type="dxa"/>
            <w:tcBorders>
              <w:top w:val="single" w:color="auto" w:sz="8" w:space="0"/>
              <w:left w:val="nil"/>
              <w:bottom w:val="single" w:color="auto" w:sz="4" w:space="0"/>
              <w:right w:val="single" w:color="auto" w:sz="4" w:space="0"/>
            </w:tcBorders>
            <w:noWrap w:val="0"/>
            <w:vAlign w:val="center"/>
          </w:tcPr>
          <w:p w14:paraId="1282E7EC">
            <w:pPr>
              <w:tabs>
                <w:tab w:val="left" w:pos="5580"/>
              </w:tabs>
              <w:spacing w:line="240" w:lineRule="atLeast"/>
              <w:ind w:left="1079" w:leftChars="257" w:hanging="540"/>
              <w:jc w:val="center"/>
              <w:outlineLvl w:val="9"/>
              <w:rPr>
                <w:rFonts w:hint="eastAsia" w:asciiTheme="minorEastAsia" w:hAnsiTheme="minorEastAsia" w:eastAsiaTheme="minorEastAsia" w:cstheme="minorEastAsia"/>
                <w:color w:val="auto"/>
                <w:sz w:val="24"/>
                <w:highlight w:val="none"/>
              </w:rPr>
            </w:pPr>
          </w:p>
        </w:tc>
        <w:tc>
          <w:tcPr>
            <w:tcW w:w="1560" w:type="dxa"/>
            <w:tcBorders>
              <w:top w:val="single" w:color="auto" w:sz="8" w:space="0"/>
              <w:left w:val="single" w:color="auto" w:sz="4" w:space="0"/>
              <w:bottom w:val="single" w:color="auto" w:sz="4" w:space="0"/>
              <w:right w:val="single" w:color="auto" w:sz="8" w:space="0"/>
            </w:tcBorders>
            <w:noWrap w:val="0"/>
            <w:vAlign w:val="center"/>
          </w:tcPr>
          <w:p w14:paraId="69428B63">
            <w:pPr>
              <w:tabs>
                <w:tab w:val="left" w:pos="5580"/>
              </w:tabs>
              <w:spacing w:line="240" w:lineRule="atLeast"/>
              <w:ind w:left="1079" w:leftChars="257" w:hanging="540"/>
              <w:jc w:val="center"/>
              <w:outlineLvl w:val="9"/>
              <w:rPr>
                <w:rFonts w:hint="eastAsia" w:asciiTheme="minorEastAsia" w:hAnsiTheme="minorEastAsia" w:eastAsiaTheme="minorEastAsia" w:cstheme="minorEastAsia"/>
                <w:color w:val="auto"/>
                <w:sz w:val="24"/>
                <w:highlight w:val="none"/>
              </w:rPr>
            </w:pPr>
          </w:p>
        </w:tc>
      </w:tr>
    </w:tbl>
    <w:p w14:paraId="7D4B6AD5">
      <w:pPr>
        <w:pStyle w:val="12"/>
        <w:tabs>
          <w:tab w:val="left" w:pos="5580"/>
        </w:tabs>
        <w:spacing w:line="240" w:lineRule="atLeast"/>
        <w:ind w:left="1079" w:leftChars="257" w:hanging="540"/>
        <w:outlineLvl w:val="9"/>
        <w:rPr>
          <w:rFonts w:hint="eastAsia" w:asciiTheme="minorEastAsia" w:hAnsiTheme="minorEastAsia" w:eastAsiaTheme="minorEastAsia" w:cstheme="minorEastAsia"/>
          <w:color w:val="auto"/>
          <w:sz w:val="24"/>
          <w:highlight w:val="none"/>
        </w:rPr>
      </w:pPr>
    </w:p>
    <w:p w14:paraId="2477FDDA">
      <w:pPr>
        <w:pStyle w:val="12"/>
        <w:tabs>
          <w:tab w:val="left" w:pos="5580"/>
        </w:tabs>
        <w:spacing w:line="240" w:lineRule="atLeast"/>
        <w:ind w:left="1079" w:leftChars="257" w:hanging="540"/>
        <w:outlineLvl w:val="9"/>
        <w:rPr>
          <w:rFonts w:hint="eastAsia" w:asciiTheme="minorEastAsia" w:hAnsiTheme="minorEastAsia" w:eastAsiaTheme="minorEastAsia" w:cstheme="minorEastAsia"/>
          <w:color w:val="auto"/>
          <w:sz w:val="24"/>
          <w:highlight w:val="none"/>
          <w:u w:val="single"/>
        </w:rPr>
      </w:pPr>
    </w:p>
    <w:p w14:paraId="157F7E00">
      <w:pPr>
        <w:pStyle w:val="12"/>
        <w:tabs>
          <w:tab w:val="left" w:pos="5580"/>
        </w:tabs>
        <w:spacing w:line="240" w:lineRule="atLeast"/>
        <w:ind w:left="1079" w:leftChars="257" w:hanging="540"/>
        <w:outlineLvl w:val="9"/>
        <w:rPr>
          <w:rFonts w:hint="eastAsia" w:asciiTheme="minorEastAsia" w:hAnsiTheme="minorEastAsia" w:eastAsiaTheme="minorEastAsia" w:cstheme="minorEastAsia"/>
          <w:color w:val="auto"/>
          <w:sz w:val="24"/>
          <w:highlight w:val="none"/>
          <w:u w:val="single"/>
        </w:rPr>
      </w:pPr>
    </w:p>
    <w:p w14:paraId="09E4C0FC">
      <w:pPr>
        <w:pStyle w:val="12"/>
        <w:tabs>
          <w:tab w:val="left" w:pos="5580"/>
        </w:tabs>
        <w:spacing w:line="240" w:lineRule="atLeast"/>
        <w:ind w:left="1079" w:leftChars="257" w:hanging="54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名称（单位章）：</w:t>
      </w:r>
      <w:r>
        <w:rPr>
          <w:rFonts w:hint="eastAsia" w:asciiTheme="minorEastAsia" w:hAnsiTheme="minorEastAsia" w:eastAsiaTheme="minorEastAsia" w:cstheme="minorEastAsia"/>
          <w:color w:val="auto"/>
          <w:sz w:val="24"/>
          <w:highlight w:val="none"/>
          <w:u w:val="single"/>
        </w:rPr>
        <w:t xml:space="preserve">                       </w:t>
      </w:r>
    </w:p>
    <w:p w14:paraId="23F3E0EB">
      <w:pPr>
        <w:pStyle w:val="12"/>
        <w:tabs>
          <w:tab w:val="left" w:pos="5580"/>
        </w:tabs>
        <w:spacing w:line="240" w:lineRule="atLeast"/>
        <w:ind w:left="1079" w:leftChars="257" w:hanging="540"/>
        <w:outlineLvl w:val="9"/>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法定代表人或其委托代理人(签字):</w:t>
      </w:r>
      <w:r>
        <w:rPr>
          <w:rFonts w:hint="eastAsia" w:asciiTheme="minorEastAsia" w:hAnsiTheme="minorEastAsia" w:eastAsiaTheme="minorEastAsia" w:cstheme="minorEastAsia"/>
          <w:color w:val="auto"/>
          <w:sz w:val="24"/>
          <w:highlight w:val="none"/>
          <w:u w:val="single"/>
        </w:rPr>
        <w:tab/>
      </w:r>
    </w:p>
    <w:p w14:paraId="136F0CA7">
      <w:pPr>
        <w:pStyle w:val="12"/>
        <w:tabs>
          <w:tab w:val="left" w:pos="5580"/>
        </w:tabs>
        <w:spacing w:line="240" w:lineRule="atLeast"/>
        <w:ind w:left="1079" w:leftChars="257" w:hanging="540"/>
        <w:outlineLvl w:val="9"/>
        <w:rPr>
          <w:rFonts w:hint="eastAsia" w:asciiTheme="minorEastAsia" w:hAnsiTheme="minorEastAsia" w:eastAsiaTheme="minorEastAsia" w:cstheme="minorEastAsia"/>
          <w:color w:val="auto"/>
          <w:sz w:val="24"/>
          <w:highlight w:val="none"/>
        </w:rPr>
      </w:pPr>
    </w:p>
    <w:p w14:paraId="5511A43F">
      <w:pPr>
        <w:jc w:val="center"/>
        <w:outlineLvl w:val="9"/>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color w:val="auto"/>
          <w:sz w:val="24"/>
          <w:highlight w:val="none"/>
        </w:rPr>
        <w:t>注:此表中，每包的</w:t>
      </w:r>
      <w:r>
        <w:rPr>
          <w:rFonts w:hint="eastAsia" w:asciiTheme="minorEastAsia" w:hAnsiTheme="minorEastAsia" w:eastAsiaTheme="minorEastAsia" w:cstheme="minorEastAsia"/>
          <w:color w:val="auto"/>
          <w:kern w:val="0"/>
          <w:sz w:val="22"/>
          <w:szCs w:val="22"/>
          <w:highlight w:val="none"/>
          <w:lang w:val="en-US" w:eastAsia="zh-CN"/>
        </w:rPr>
        <w:t>投标</w:t>
      </w:r>
      <w:r>
        <w:rPr>
          <w:rFonts w:hint="eastAsia" w:asciiTheme="minorEastAsia" w:hAnsiTheme="minorEastAsia" w:eastAsiaTheme="minorEastAsia" w:cstheme="minorEastAsia"/>
          <w:color w:val="auto"/>
          <w:sz w:val="24"/>
          <w:highlight w:val="none"/>
        </w:rPr>
        <w:t>总价应和</w:t>
      </w:r>
      <w:r>
        <w:rPr>
          <w:rFonts w:hint="eastAsia" w:asciiTheme="minorEastAsia" w:hAnsiTheme="minorEastAsia" w:eastAsiaTheme="minorEastAsia" w:cstheme="minorEastAsia"/>
          <w:color w:val="auto"/>
          <w:kern w:val="0"/>
          <w:sz w:val="22"/>
          <w:szCs w:val="22"/>
          <w:highlight w:val="none"/>
          <w:lang w:val="en-US" w:eastAsia="zh-CN"/>
        </w:rPr>
        <w:t>投标</w:t>
      </w:r>
      <w:r>
        <w:rPr>
          <w:rFonts w:hint="eastAsia" w:asciiTheme="minorEastAsia" w:hAnsiTheme="minorEastAsia" w:eastAsiaTheme="minorEastAsia" w:cstheme="minorEastAsia"/>
          <w:color w:val="auto"/>
          <w:sz w:val="24"/>
          <w:highlight w:val="none"/>
        </w:rPr>
        <w:t>分项报价表的总价相一致。</w:t>
      </w: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bCs/>
          <w:color w:val="auto"/>
          <w:sz w:val="21"/>
          <w:szCs w:val="21"/>
          <w:highlight w:val="none"/>
          <w:u w:val="none"/>
          <w:lang w:val="en-US" w:eastAsia="zh-CN"/>
        </w:rPr>
        <w:t>2、磋商申请</w:t>
      </w:r>
    </w:p>
    <w:p w14:paraId="727875AD">
      <w:pPr>
        <w:pStyle w:val="7"/>
        <w:rPr>
          <w:rFonts w:hint="eastAsia" w:asciiTheme="minorEastAsia" w:hAnsiTheme="minorEastAsia" w:eastAsiaTheme="minorEastAsia" w:cstheme="minorEastAsia"/>
          <w:color w:val="auto"/>
          <w:highlight w:val="none"/>
          <w:lang w:val="en-US" w:eastAsia="zh-CN"/>
        </w:rPr>
      </w:pPr>
    </w:p>
    <w:p w14:paraId="5BBD64B0">
      <w:pPr>
        <w:spacing w:line="440" w:lineRule="exac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采购</w:t>
      </w:r>
      <w:r>
        <w:rPr>
          <w:rFonts w:hint="eastAsia" w:asciiTheme="minorEastAsia" w:hAnsiTheme="minorEastAsia" w:eastAsiaTheme="minorEastAsia" w:cstheme="minorEastAsia"/>
          <w:color w:val="auto"/>
          <w:szCs w:val="21"/>
          <w:highlight w:val="none"/>
        </w:rPr>
        <w:t>人名称）：</w:t>
      </w:r>
    </w:p>
    <w:p w14:paraId="05E083DB">
      <w:pPr>
        <w:spacing w:line="440" w:lineRule="exact"/>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1．我方已仔细研究了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lang w:val="en-US" w:eastAsia="zh-CN"/>
        </w:rPr>
        <w:t>磋商</w:t>
      </w:r>
      <w:r>
        <w:rPr>
          <w:rFonts w:hint="eastAsia" w:asciiTheme="minorEastAsia" w:hAnsiTheme="minorEastAsia" w:eastAsiaTheme="minorEastAsia" w:cstheme="minorEastAsia"/>
          <w:color w:val="auto"/>
          <w:szCs w:val="21"/>
          <w:highlight w:val="none"/>
        </w:rPr>
        <w:t>文件的全部内容，愿意以人民币（大写）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总报价，工期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日历天，按合同约定实施和完成承包工程，修补工程中的任何缺陷，工程质量达到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7D3B060C">
      <w:pPr>
        <w:spacing w:line="440" w:lineRule="exact"/>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2．我方承诺在</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有效期内不修改、撤销</w:t>
      </w:r>
      <w:r>
        <w:rPr>
          <w:rFonts w:hint="eastAsia" w:asciiTheme="minorEastAsia" w:hAnsiTheme="minorEastAsia" w:eastAsiaTheme="minorEastAsia" w:cstheme="minorEastAsia"/>
          <w:color w:val="auto"/>
          <w:szCs w:val="21"/>
          <w:highlight w:val="none"/>
          <w:lang w:eastAsia="zh-CN"/>
        </w:rPr>
        <w:t>响应文件</w:t>
      </w:r>
      <w:r>
        <w:rPr>
          <w:rFonts w:hint="eastAsia" w:asciiTheme="minorEastAsia" w:hAnsiTheme="minorEastAsia" w:eastAsiaTheme="minorEastAsia" w:cstheme="minorEastAsia"/>
          <w:color w:val="auto"/>
          <w:szCs w:val="21"/>
          <w:highlight w:val="none"/>
        </w:rPr>
        <w:t>。</w:t>
      </w:r>
    </w:p>
    <w:p w14:paraId="29518A98">
      <w:pPr>
        <w:spacing w:line="440" w:lineRule="exact"/>
        <w:ind w:firstLine="420" w:firstLineChars="200"/>
        <w:outlineLvl w:val="9"/>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3.已详细审查全部磋商文件，包括所有补充通知（如有），完全理解并同意放弃对这方面有不明、误解和质疑的权力。</w:t>
      </w:r>
    </w:p>
    <w:p w14:paraId="7E7C4FA3">
      <w:pPr>
        <w:spacing w:line="440" w:lineRule="exact"/>
        <w:ind w:firstLine="420" w:firstLineChars="200"/>
        <w:outlineLvl w:val="9"/>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4.按照贵方可能要求，提供与其磋商有关的一切数据或资料，完全理解贵方不一定接受最低价的磋商或收到的任何磋商。</w:t>
      </w:r>
    </w:p>
    <w:p w14:paraId="4E919FF5">
      <w:pPr>
        <w:spacing w:line="440" w:lineRule="exact"/>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．随同本</w:t>
      </w:r>
      <w:r>
        <w:rPr>
          <w:rFonts w:hint="eastAsia" w:asciiTheme="minorEastAsia" w:hAnsiTheme="minorEastAsia" w:eastAsiaTheme="minorEastAsia" w:cstheme="minorEastAsia"/>
          <w:color w:val="auto"/>
          <w:szCs w:val="21"/>
          <w:highlight w:val="none"/>
          <w:lang w:val="en-US" w:eastAsia="zh-CN"/>
        </w:rPr>
        <w:t>申请</w:t>
      </w:r>
      <w:r>
        <w:rPr>
          <w:rFonts w:hint="eastAsia" w:asciiTheme="minorEastAsia" w:hAnsiTheme="minorEastAsia" w:eastAsiaTheme="minorEastAsia" w:cstheme="minorEastAsia"/>
          <w:color w:val="auto"/>
          <w:szCs w:val="21"/>
          <w:highlight w:val="none"/>
        </w:rPr>
        <w:t>提交</w:t>
      </w:r>
      <w:r>
        <w:rPr>
          <w:rFonts w:hint="eastAsia" w:asciiTheme="minorEastAsia" w:hAnsiTheme="minorEastAsia" w:eastAsiaTheme="minorEastAsia" w:cstheme="minorEastAsia"/>
          <w:color w:val="auto"/>
          <w:szCs w:val="21"/>
          <w:highlight w:val="none"/>
          <w:lang w:val="en-US" w:eastAsia="zh-CN"/>
        </w:rPr>
        <w:t>磋商</w:t>
      </w:r>
      <w:r>
        <w:rPr>
          <w:rFonts w:hint="eastAsia" w:asciiTheme="minorEastAsia" w:hAnsiTheme="minorEastAsia" w:eastAsiaTheme="minorEastAsia" w:cstheme="minorEastAsia"/>
          <w:color w:val="auto"/>
          <w:szCs w:val="21"/>
          <w:highlight w:val="none"/>
        </w:rPr>
        <w:t>保证金一份，金额为人民币（大写）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5F370C40">
      <w:pPr>
        <w:spacing w:line="440" w:lineRule="exact"/>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．如我方中标：</w:t>
      </w:r>
    </w:p>
    <w:p w14:paraId="1FF9D83A">
      <w:pPr>
        <w:spacing w:line="440" w:lineRule="exact"/>
        <w:ind w:firstLine="718" w:firstLineChars="342"/>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（1）我方承诺在收到中标通知书后，在中标通知书规定的期限内与你方签订合同。</w:t>
      </w:r>
    </w:p>
    <w:p w14:paraId="14F4A4BC">
      <w:pPr>
        <w:spacing w:line="440" w:lineRule="exact"/>
        <w:ind w:firstLine="718" w:firstLineChars="342"/>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（2）随同本</w:t>
      </w:r>
      <w:r>
        <w:rPr>
          <w:rFonts w:hint="eastAsia" w:asciiTheme="minorEastAsia" w:hAnsiTheme="minorEastAsia" w:eastAsiaTheme="minorEastAsia" w:cstheme="minorEastAsia"/>
          <w:color w:val="auto"/>
          <w:szCs w:val="21"/>
          <w:highlight w:val="none"/>
          <w:lang w:val="en-US" w:eastAsia="zh-CN"/>
        </w:rPr>
        <w:t>磋商申请</w:t>
      </w:r>
      <w:r>
        <w:rPr>
          <w:rFonts w:hint="eastAsia" w:asciiTheme="minorEastAsia" w:hAnsiTheme="minorEastAsia" w:eastAsiaTheme="minorEastAsia" w:cstheme="minorEastAsia"/>
          <w:color w:val="auto"/>
          <w:szCs w:val="21"/>
          <w:highlight w:val="none"/>
        </w:rPr>
        <w:t>递交的附录属于合同文件的组成部分。</w:t>
      </w:r>
    </w:p>
    <w:p w14:paraId="097A1EC7">
      <w:pPr>
        <w:spacing w:line="440" w:lineRule="exact"/>
        <w:ind w:firstLine="718" w:firstLineChars="342"/>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（3）我方承诺按照</w:t>
      </w:r>
      <w:r>
        <w:rPr>
          <w:rFonts w:hint="eastAsia" w:asciiTheme="minorEastAsia" w:hAnsiTheme="minorEastAsia" w:eastAsiaTheme="minorEastAsia" w:cstheme="minorEastAsia"/>
          <w:color w:val="auto"/>
          <w:szCs w:val="21"/>
          <w:highlight w:val="none"/>
          <w:lang w:val="en-US" w:eastAsia="zh-CN"/>
        </w:rPr>
        <w:t>磋商</w:t>
      </w:r>
      <w:r>
        <w:rPr>
          <w:rFonts w:hint="eastAsia" w:asciiTheme="minorEastAsia" w:hAnsiTheme="minorEastAsia" w:eastAsiaTheme="minorEastAsia" w:cstheme="minorEastAsia"/>
          <w:color w:val="auto"/>
          <w:szCs w:val="21"/>
          <w:highlight w:val="none"/>
        </w:rPr>
        <w:t>文件规定向你方递交履约担保。</w:t>
      </w:r>
    </w:p>
    <w:p w14:paraId="2C3DC1A2">
      <w:pPr>
        <w:spacing w:line="440" w:lineRule="exact"/>
        <w:ind w:firstLine="718" w:firstLineChars="342"/>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（4）我方承诺在合同约定的期限内完成并移交全部合同工程。</w:t>
      </w:r>
    </w:p>
    <w:p w14:paraId="30750E1B">
      <w:pPr>
        <w:spacing w:line="440" w:lineRule="exact"/>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（其他补充说明）。</w:t>
      </w:r>
    </w:p>
    <w:p w14:paraId="79EB623C">
      <w:pPr>
        <w:spacing w:line="440" w:lineRule="exact"/>
        <w:outlineLvl w:val="9"/>
        <w:rPr>
          <w:rFonts w:hint="eastAsia" w:asciiTheme="minorEastAsia" w:hAnsiTheme="minorEastAsia" w:eastAsiaTheme="minorEastAsia" w:cstheme="minorEastAsia"/>
          <w:color w:val="auto"/>
          <w:szCs w:val="21"/>
          <w:highlight w:val="none"/>
        </w:rPr>
      </w:pPr>
    </w:p>
    <w:p w14:paraId="0307E504">
      <w:pPr>
        <w:spacing w:line="440" w:lineRule="exact"/>
        <w:ind w:firstLine="3675" w:firstLineChars="175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 标 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14:paraId="7BAB2822">
      <w:pPr>
        <w:spacing w:line="440" w:lineRule="exact"/>
        <w:ind w:firstLine="3675" w:firstLineChars="175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w:t>
      </w:r>
    </w:p>
    <w:p w14:paraId="759889A1">
      <w:pPr>
        <w:spacing w:line="440" w:lineRule="exact"/>
        <w:ind w:firstLine="3675" w:firstLineChars="175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p>
    <w:p w14:paraId="7AF4AC93">
      <w:pPr>
        <w:spacing w:line="440" w:lineRule="exact"/>
        <w:ind w:firstLine="3675" w:firstLineChars="175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网址：</w:t>
      </w:r>
      <w:r>
        <w:rPr>
          <w:rFonts w:hint="eastAsia" w:asciiTheme="minorEastAsia" w:hAnsiTheme="minorEastAsia" w:eastAsiaTheme="minorEastAsia" w:cstheme="minorEastAsia"/>
          <w:color w:val="auto"/>
          <w:szCs w:val="21"/>
          <w:highlight w:val="none"/>
          <w:u w:val="single"/>
        </w:rPr>
        <w:t xml:space="preserve">                                     </w:t>
      </w:r>
    </w:p>
    <w:p w14:paraId="4ADA6B8A">
      <w:pPr>
        <w:spacing w:line="440" w:lineRule="exact"/>
        <w:ind w:firstLine="3675" w:firstLineChars="175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p>
    <w:p w14:paraId="3E2B70D8">
      <w:pPr>
        <w:spacing w:line="440" w:lineRule="exact"/>
        <w:ind w:firstLine="3675" w:firstLineChars="175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p>
    <w:p w14:paraId="15B5F378">
      <w:pPr>
        <w:spacing w:line="440" w:lineRule="exact"/>
        <w:ind w:firstLine="3675" w:firstLineChars="175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p>
    <w:p w14:paraId="6C1C1040">
      <w:pPr>
        <w:spacing w:line="440" w:lineRule="exact"/>
        <w:ind w:firstLine="3675" w:firstLineChars="1750"/>
        <w:outlineLvl w:val="9"/>
        <w:rPr>
          <w:rFonts w:hint="eastAsia" w:asciiTheme="minorEastAsia" w:hAnsiTheme="minorEastAsia" w:eastAsiaTheme="minorEastAsia" w:cstheme="minorEastAsia"/>
          <w:color w:val="auto"/>
          <w:szCs w:val="21"/>
          <w:highlight w:val="none"/>
        </w:rPr>
      </w:pPr>
    </w:p>
    <w:p w14:paraId="13208A61">
      <w:pPr>
        <w:pStyle w:val="36"/>
        <w:jc w:val="center"/>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color w:val="auto"/>
          <w:kern w:val="2"/>
          <w:sz w:val="21"/>
          <w:szCs w:val="21"/>
          <w:highlight w:val="none"/>
          <w:u w:val="single"/>
          <w:lang w:val="en-US" w:eastAsia="zh-CN" w:bidi="ar-SA"/>
        </w:rPr>
        <w:t>年       月        日</w:t>
      </w:r>
      <w:r>
        <w:rPr>
          <w:rFonts w:hint="eastAsia" w:asciiTheme="minorEastAsia" w:hAnsiTheme="minorEastAsia" w:eastAsiaTheme="minorEastAsia" w:cstheme="minorEastAsia"/>
          <w:color w:val="auto"/>
          <w:highlight w:val="none"/>
        </w:rPr>
        <w:br w:type="page"/>
      </w:r>
    </w:p>
    <w:p w14:paraId="4FD5D817">
      <w:pPr>
        <w:keepNext w:val="0"/>
        <w:keepLines w:val="0"/>
        <w:pageBreakBefore w:val="0"/>
        <w:widowControl w:val="0"/>
        <w:tabs>
          <w:tab w:val="left" w:pos="5580"/>
        </w:tabs>
        <w:kinsoku/>
        <w:wordWrap/>
        <w:overflowPunct/>
        <w:topLinePunct w:val="0"/>
        <w:bidi w:val="0"/>
        <w:snapToGrid/>
        <w:spacing w:line="500" w:lineRule="exact"/>
        <w:ind w:firstLine="662" w:firstLineChars="276"/>
        <w:jc w:val="center"/>
        <w:textAlignment w:val="auto"/>
        <w:outlineLvl w:val="1"/>
        <w:rPr>
          <w:rFonts w:hint="eastAsia" w:asciiTheme="minorEastAsia" w:hAnsiTheme="minorEastAsia" w:eastAsiaTheme="minorEastAsia" w:cstheme="minorEastAsia"/>
          <w:b/>
          <w:bCs/>
          <w:color w:val="auto"/>
          <w:sz w:val="24"/>
          <w:highlight w:val="none"/>
          <w:lang w:val="en-US" w:eastAsia="zh-CN"/>
        </w:rPr>
      </w:pPr>
      <w:bookmarkStart w:id="314" w:name="_Toc12933"/>
      <w:r>
        <w:rPr>
          <w:rFonts w:hint="eastAsia" w:asciiTheme="minorEastAsia" w:hAnsiTheme="minorEastAsia" w:eastAsiaTheme="minorEastAsia" w:cstheme="minorEastAsia"/>
          <w:b/>
          <w:bCs/>
          <w:color w:val="auto"/>
          <w:sz w:val="24"/>
          <w:highlight w:val="none"/>
          <w:lang w:val="en-US" w:eastAsia="zh-CN"/>
        </w:rPr>
        <w:t>3、法定代表人身份证明、授权委托书</w:t>
      </w:r>
      <w:bookmarkEnd w:id="314"/>
    </w:p>
    <w:p w14:paraId="224DDF1F">
      <w:pPr>
        <w:pStyle w:val="36"/>
        <w:jc w:val="center"/>
        <w:rPr>
          <w:rFonts w:hint="eastAsia" w:asciiTheme="minorEastAsia" w:hAnsiTheme="minorEastAsia" w:eastAsiaTheme="minorEastAsia" w:cstheme="minorEastAsia"/>
          <w:color w:val="auto"/>
          <w:highlight w:val="none"/>
        </w:rPr>
      </w:pPr>
    </w:p>
    <w:p w14:paraId="6B8FF853">
      <w:pPr>
        <w:pStyle w:val="36"/>
        <w:jc w:val="center"/>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 xml:space="preserve">3.1 </w:t>
      </w:r>
      <w:r>
        <w:rPr>
          <w:rFonts w:hint="eastAsia" w:asciiTheme="minorEastAsia" w:hAnsiTheme="minorEastAsia" w:eastAsiaTheme="minorEastAsia" w:cstheme="minorEastAsia"/>
          <w:b/>
          <w:color w:val="auto"/>
          <w:sz w:val="21"/>
          <w:szCs w:val="21"/>
          <w:highlight w:val="none"/>
        </w:rPr>
        <w:t>法定代表人身份证明</w:t>
      </w:r>
    </w:p>
    <w:p w14:paraId="55E62F5D">
      <w:pPr>
        <w:spacing w:line="440" w:lineRule="exact"/>
        <w:outlineLvl w:val="9"/>
        <w:rPr>
          <w:rFonts w:hint="eastAsia" w:asciiTheme="minorEastAsia" w:hAnsiTheme="minorEastAsia" w:eastAsiaTheme="minorEastAsia" w:cstheme="minorEastAsia"/>
          <w:color w:val="auto"/>
          <w:szCs w:val="21"/>
          <w:highlight w:val="none"/>
        </w:rPr>
      </w:pPr>
    </w:p>
    <w:p w14:paraId="38A3C020">
      <w:pPr>
        <w:spacing w:line="440" w:lineRule="exact"/>
        <w:outlineLvl w:val="9"/>
        <w:rPr>
          <w:rFonts w:hint="eastAsia" w:asciiTheme="minorEastAsia" w:hAnsiTheme="minorEastAsia" w:eastAsiaTheme="minorEastAsia" w:cstheme="minorEastAsia"/>
          <w:color w:val="auto"/>
          <w:szCs w:val="21"/>
          <w:highlight w:val="none"/>
        </w:rPr>
      </w:pPr>
    </w:p>
    <w:p w14:paraId="11F5D3E2">
      <w:pPr>
        <w:spacing w:line="440" w:lineRule="exact"/>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418A013F">
      <w:pPr>
        <w:spacing w:line="440" w:lineRule="exact"/>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单位性质：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630857C8">
      <w:pPr>
        <w:spacing w:line="440" w:lineRule="exact"/>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p>
    <w:p w14:paraId="5B273B27">
      <w:pPr>
        <w:spacing w:line="440" w:lineRule="exact"/>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日</w:t>
      </w:r>
    </w:p>
    <w:p w14:paraId="109DC685">
      <w:pPr>
        <w:spacing w:line="440" w:lineRule="exact"/>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经营期限：</w:t>
      </w:r>
      <w:r>
        <w:rPr>
          <w:rFonts w:hint="eastAsia" w:asciiTheme="minorEastAsia" w:hAnsiTheme="minorEastAsia" w:eastAsiaTheme="minorEastAsia" w:cstheme="minorEastAsia"/>
          <w:color w:val="auto"/>
          <w:szCs w:val="21"/>
          <w:highlight w:val="none"/>
          <w:u w:val="single"/>
        </w:rPr>
        <w:t xml:space="preserve">                               </w:t>
      </w:r>
    </w:p>
    <w:p w14:paraId="0D01399E">
      <w:pPr>
        <w:spacing w:line="440" w:lineRule="exact"/>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性别：</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p>
    <w:p w14:paraId="605E70AF">
      <w:pPr>
        <w:spacing w:line="440" w:lineRule="exact"/>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名称）的法定代表人。</w:t>
      </w:r>
    </w:p>
    <w:p w14:paraId="45E758AC">
      <w:pPr>
        <w:spacing w:line="440" w:lineRule="exact"/>
        <w:ind w:firstLine="840" w:firstLineChars="4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特此证明。</w:t>
      </w:r>
    </w:p>
    <w:p w14:paraId="04D49B1A">
      <w:pPr>
        <w:pStyle w:val="7"/>
        <w:outlineLvl w:val="9"/>
        <w:rPr>
          <w:rFonts w:hint="eastAsia" w:asciiTheme="minorEastAsia" w:hAnsiTheme="minorEastAsia" w:eastAsiaTheme="minorEastAsia" w:cstheme="minorEastAsia"/>
          <w:color w:val="auto"/>
          <w:szCs w:val="21"/>
          <w:highlight w:val="none"/>
        </w:rPr>
      </w:pPr>
    </w:p>
    <w:p w14:paraId="64A72474">
      <w:pPr>
        <w:outlineLvl w:val="9"/>
        <w:rPr>
          <w:rFonts w:hint="eastAsia" w:asciiTheme="minorEastAsia" w:hAnsiTheme="minorEastAsia" w:eastAsiaTheme="minorEastAsia" w:cstheme="minorEastAsia"/>
          <w:color w:val="auto"/>
          <w:szCs w:val="21"/>
          <w:highlight w:val="none"/>
        </w:rPr>
      </w:pPr>
    </w:p>
    <w:p w14:paraId="487552B6">
      <w:pPr>
        <w:spacing w:line="440" w:lineRule="exact"/>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附：法定代表人身份证复印件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5F72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4785" w:type="dxa"/>
            <w:noWrap w:val="0"/>
            <w:vAlign w:val="top"/>
          </w:tcPr>
          <w:p w14:paraId="5D7A423B">
            <w:pPr>
              <w:spacing w:line="440" w:lineRule="exact"/>
              <w:jc w:val="center"/>
              <w:outlineLvl w:val="9"/>
              <w:rPr>
                <w:rFonts w:hint="eastAsia" w:asciiTheme="minorEastAsia" w:hAnsiTheme="minorEastAsia" w:eastAsiaTheme="minorEastAsia" w:cstheme="minorEastAsia"/>
                <w:color w:val="auto"/>
                <w:sz w:val="24"/>
                <w:highlight w:val="none"/>
                <w:vertAlign w:val="baseline"/>
                <w:lang w:val="en-US" w:eastAsia="zh-CN"/>
              </w:rPr>
            </w:pPr>
          </w:p>
        </w:tc>
        <w:tc>
          <w:tcPr>
            <w:tcW w:w="4785" w:type="dxa"/>
            <w:noWrap w:val="0"/>
            <w:vAlign w:val="top"/>
          </w:tcPr>
          <w:p w14:paraId="3BE9F6B7">
            <w:pPr>
              <w:spacing w:line="440" w:lineRule="exact"/>
              <w:jc w:val="center"/>
              <w:outlineLvl w:val="9"/>
              <w:rPr>
                <w:rFonts w:hint="eastAsia" w:asciiTheme="minorEastAsia" w:hAnsiTheme="minorEastAsia" w:eastAsiaTheme="minorEastAsia" w:cstheme="minorEastAsia"/>
                <w:color w:val="auto"/>
                <w:sz w:val="24"/>
                <w:highlight w:val="none"/>
                <w:vertAlign w:val="baseline"/>
              </w:rPr>
            </w:pPr>
          </w:p>
        </w:tc>
      </w:tr>
    </w:tbl>
    <w:p w14:paraId="6D1768C5">
      <w:pPr>
        <w:pStyle w:val="7"/>
        <w:outlineLvl w:val="9"/>
        <w:rPr>
          <w:rFonts w:hint="eastAsia" w:asciiTheme="minorEastAsia" w:hAnsiTheme="minorEastAsia" w:eastAsiaTheme="minorEastAsia" w:cstheme="minorEastAsia"/>
          <w:color w:val="auto"/>
          <w:szCs w:val="21"/>
          <w:highlight w:val="none"/>
        </w:rPr>
      </w:pPr>
    </w:p>
    <w:p w14:paraId="2772E86B">
      <w:pPr>
        <w:outlineLvl w:val="9"/>
        <w:rPr>
          <w:rFonts w:hint="eastAsia" w:asciiTheme="minorEastAsia" w:hAnsiTheme="minorEastAsia" w:eastAsiaTheme="minorEastAsia" w:cstheme="minorEastAsia"/>
          <w:color w:val="auto"/>
          <w:szCs w:val="21"/>
          <w:highlight w:val="none"/>
        </w:rPr>
      </w:pPr>
    </w:p>
    <w:p w14:paraId="5842296C">
      <w:pPr>
        <w:pStyle w:val="7"/>
        <w:outlineLvl w:val="9"/>
        <w:rPr>
          <w:rFonts w:hint="eastAsia" w:asciiTheme="minorEastAsia" w:hAnsiTheme="minorEastAsia" w:eastAsiaTheme="minorEastAsia" w:cstheme="minorEastAsia"/>
          <w:color w:val="auto"/>
          <w:highlight w:val="none"/>
        </w:rPr>
      </w:pPr>
    </w:p>
    <w:p w14:paraId="7B8C55B2">
      <w:pPr>
        <w:spacing w:line="440" w:lineRule="exact"/>
        <w:outlineLvl w:val="9"/>
        <w:rPr>
          <w:rFonts w:hint="eastAsia" w:asciiTheme="minorEastAsia" w:hAnsiTheme="minorEastAsia" w:eastAsiaTheme="minorEastAsia" w:cstheme="minorEastAsia"/>
          <w:color w:val="auto"/>
          <w:szCs w:val="21"/>
          <w:highlight w:val="none"/>
        </w:rPr>
      </w:pPr>
    </w:p>
    <w:p w14:paraId="455759F5">
      <w:pPr>
        <w:spacing w:line="440" w:lineRule="exact"/>
        <w:outlineLvl w:val="9"/>
        <w:rPr>
          <w:rFonts w:hint="eastAsia" w:asciiTheme="minorEastAsia" w:hAnsiTheme="minorEastAsia" w:eastAsiaTheme="minorEastAsia" w:cstheme="minorEastAsia"/>
          <w:color w:val="auto"/>
          <w:szCs w:val="21"/>
          <w:highlight w:val="none"/>
        </w:rPr>
      </w:pPr>
    </w:p>
    <w:p w14:paraId="59B19FAB">
      <w:pPr>
        <w:spacing w:line="440" w:lineRule="exac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14:paraId="43FBFABC">
      <w:pPr>
        <w:spacing w:line="440" w:lineRule="exac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14:paraId="745D9953">
      <w:pPr>
        <w:spacing w:line="440" w:lineRule="exact"/>
        <w:outlineLvl w:val="9"/>
        <w:rPr>
          <w:rFonts w:hint="eastAsia" w:asciiTheme="minorEastAsia" w:hAnsiTheme="minorEastAsia" w:eastAsiaTheme="minorEastAsia" w:cstheme="minorEastAsia"/>
          <w:color w:val="auto"/>
          <w:szCs w:val="21"/>
          <w:highlight w:val="none"/>
        </w:rPr>
      </w:pPr>
    </w:p>
    <w:p w14:paraId="77AECCD4">
      <w:pPr>
        <w:spacing w:line="440" w:lineRule="exact"/>
        <w:outlineLvl w:val="9"/>
        <w:rPr>
          <w:rFonts w:hint="eastAsia" w:asciiTheme="minorEastAsia" w:hAnsiTheme="minorEastAsia" w:eastAsiaTheme="minorEastAsia" w:cstheme="minorEastAsia"/>
          <w:color w:val="auto"/>
          <w:szCs w:val="21"/>
          <w:highlight w:val="none"/>
        </w:rPr>
      </w:pPr>
    </w:p>
    <w:p w14:paraId="07AAFD63">
      <w:pPr>
        <w:pStyle w:val="36"/>
        <w:jc w:val="center"/>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br w:type="page"/>
      </w:r>
      <w:r>
        <w:rPr>
          <w:rFonts w:hint="eastAsia" w:asciiTheme="minorEastAsia" w:hAnsiTheme="minorEastAsia" w:eastAsiaTheme="minorEastAsia" w:cstheme="minorEastAsia"/>
          <w:b/>
          <w:color w:val="auto"/>
          <w:sz w:val="21"/>
          <w:szCs w:val="21"/>
          <w:highlight w:val="none"/>
          <w:lang w:val="en-US" w:eastAsia="zh-CN"/>
        </w:rPr>
        <w:t xml:space="preserve">3.2 </w:t>
      </w:r>
      <w:r>
        <w:rPr>
          <w:rFonts w:hint="eastAsia" w:asciiTheme="minorEastAsia" w:hAnsiTheme="minorEastAsia" w:eastAsiaTheme="minorEastAsia" w:cstheme="minorEastAsia"/>
          <w:b/>
          <w:color w:val="auto"/>
          <w:sz w:val="21"/>
          <w:szCs w:val="21"/>
          <w:highlight w:val="none"/>
        </w:rPr>
        <w:t>授权委托书</w:t>
      </w:r>
    </w:p>
    <w:p w14:paraId="684D4063">
      <w:pPr>
        <w:spacing w:line="440" w:lineRule="exact"/>
        <w:outlineLvl w:val="9"/>
        <w:rPr>
          <w:rFonts w:hint="eastAsia" w:asciiTheme="minorEastAsia" w:hAnsiTheme="minorEastAsia" w:eastAsiaTheme="minorEastAsia" w:cstheme="minorEastAsia"/>
          <w:color w:val="auto"/>
          <w:szCs w:val="21"/>
          <w:highlight w:val="none"/>
        </w:rPr>
      </w:pPr>
    </w:p>
    <w:p w14:paraId="2693F062">
      <w:pPr>
        <w:topLinePunct/>
        <w:spacing w:line="44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（姓名）系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名称）的法定代表人，现委托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文件、签订合同和处理有关事宜，其法律后果由我方承担。</w:t>
      </w:r>
    </w:p>
    <w:p w14:paraId="00395CA3">
      <w:pPr>
        <w:spacing w:line="440" w:lineRule="exac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委托期限：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3361E8ED">
      <w:pPr>
        <w:spacing w:line="44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代理人无转委托权。</w:t>
      </w:r>
    </w:p>
    <w:p w14:paraId="7277AEEA">
      <w:pPr>
        <w:spacing w:line="44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附：法定代表人身份证复印件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6CE6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4785" w:type="dxa"/>
            <w:noWrap w:val="0"/>
            <w:vAlign w:val="top"/>
          </w:tcPr>
          <w:p w14:paraId="1DB40F53">
            <w:pPr>
              <w:spacing w:line="440" w:lineRule="exact"/>
              <w:jc w:val="center"/>
              <w:outlineLvl w:val="9"/>
              <w:rPr>
                <w:rFonts w:hint="eastAsia" w:asciiTheme="minorEastAsia" w:hAnsiTheme="minorEastAsia" w:eastAsiaTheme="minorEastAsia" w:cstheme="minorEastAsia"/>
                <w:color w:val="auto"/>
                <w:sz w:val="24"/>
                <w:szCs w:val="24"/>
                <w:highlight w:val="none"/>
                <w:vertAlign w:val="baseline"/>
                <w:lang w:val="en-US" w:eastAsia="zh-CN"/>
              </w:rPr>
            </w:pPr>
          </w:p>
        </w:tc>
        <w:tc>
          <w:tcPr>
            <w:tcW w:w="4785" w:type="dxa"/>
            <w:noWrap w:val="0"/>
            <w:vAlign w:val="top"/>
          </w:tcPr>
          <w:p w14:paraId="2221E30F">
            <w:pPr>
              <w:spacing w:line="440" w:lineRule="exact"/>
              <w:jc w:val="center"/>
              <w:outlineLvl w:val="9"/>
              <w:rPr>
                <w:rFonts w:hint="eastAsia" w:asciiTheme="minorEastAsia" w:hAnsiTheme="minorEastAsia" w:eastAsiaTheme="minorEastAsia" w:cstheme="minorEastAsia"/>
                <w:color w:val="auto"/>
                <w:sz w:val="24"/>
                <w:szCs w:val="24"/>
                <w:highlight w:val="none"/>
                <w:vertAlign w:val="baseline"/>
              </w:rPr>
            </w:pPr>
          </w:p>
        </w:tc>
      </w:tr>
    </w:tbl>
    <w:p w14:paraId="5E2F3A9E">
      <w:pPr>
        <w:spacing w:line="44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w:t>
      </w:r>
      <w:r>
        <w:rPr>
          <w:rFonts w:hint="eastAsia" w:asciiTheme="minorEastAsia" w:hAnsiTheme="minorEastAsia" w:eastAsiaTheme="minorEastAsia" w:cstheme="minorEastAsia"/>
          <w:color w:val="auto"/>
          <w:sz w:val="24"/>
          <w:szCs w:val="24"/>
          <w:highlight w:val="none"/>
          <w:lang w:eastAsia="zh-CN"/>
        </w:rPr>
        <w:t>委托代理</w:t>
      </w:r>
      <w:r>
        <w:rPr>
          <w:rFonts w:hint="eastAsia" w:asciiTheme="minorEastAsia" w:hAnsiTheme="minorEastAsia" w:eastAsiaTheme="minorEastAsia" w:cstheme="minorEastAsia"/>
          <w:color w:val="auto"/>
          <w:sz w:val="24"/>
          <w:szCs w:val="24"/>
          <w:highlight w:val="none"/>
        </w:rPr>
        <w:t>人身份证复印件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265A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4785" w:type="dxa"/>
            <w:noWrap w:val="0"/>
            <w:vAlign w:val="top"/>
          </w:tcPr>
          <w:p w14:paraId="1F7FAE09">
            <w:pPr>
              <w:spacing w:line="440" w:lineRule="exact"/>
              <w:jc w:val="center"/>
              <w:outlineLvl w:val="9"/>
              <w:rPr>
                <w:rFonts w:hint="eastAsia" w:asciiTheme="minorEastAsia" w:hAnsiTheme="minorEastAsia" w:eastAsiaTheme="minorEastAsia" w:cstheme="minorEastAsia"/>
                <w:color w:val="auto"/>
                <w:sz w:val="24"/>
                <w:szCs w:val="24"/>
                <w:highlight w:val="none"/>
                <w:vertAlign w:val="baseline"/>
                <w:lang w:val="en-US" w:eastAsia="zh-CN"/>
              </w:rPr>
            </w:pPr>
          </w:p>
        </w:tc>
        <w:tc>
          <w:tcPr>
            <w:tcW w:w="4785" w:type="dxa"/>
            <w:noWrap w:val="0"/>
            <w:vAlign w:val="top"/>
          </w:tcPr>
          <w:p w14:paraId="73222D36">
            <w:pPr>
              <w:spacing w:line="440" w:lineRule="exact"/>
              <w:jc w:val="center"/>
              <w:outlineLvl w:val="9"/>
              <w:rPr>
                <w:rFonts w:hint="eastAsia" w:asciiTheme="minorEastAsia" w:hAnsiTheme="minorEastAsia" w:eastAsiaTheme="minorEastAsia" w:cstheme="minorEastAsia"/>
                <w:color w:val="auto"/>
                <w:sz w:val="24"/>
                <w:szCs w:val="24"/>
                <w:highlight w:val="none"/>
                <w:vertAlign w:val="baseline"/>
              </w:rPr>
            </w:pPr>
          </w:p>
        </w:tc>
      </w:tr>
    </w:tbl>
    <w:p w14:paraId="5361F801">
      <w:pPr>
        <w:spacing w:line="360" w:lineRule="auto"/>
        <w:outlineLvl w:val="9"/>
        <w:rPr>
          <w:rFonts w:hint="eastAsia" w:asciiTheme="minorEastAsia" w:hAnsiTheme="minorEastAsia" w:eastAsiaTheme="minorEastAsia" w:cstheme="minorEastAsia"/>
          <w:b/>
          <w:color w:val="auto"/>
          <w:sz w:val="24"/>
          <w:szCs w:val="24"/>
          <w:highlight w:val="none"/>
          <w:lang w:bidi="ar-SA"/>
        </w:rPr>
      </w:pPr>
    </w:p>
    <w:p w14:paraId="55461FBB">
      <w:pPr>
        <w:spacing w:line="360" w:lineRule="auto"/>
        <w:ind w:firstLine="480" w:firstLineChars="200"/>
        <w:outlineLvl w:val="9"/>
        <w:rPr>
          <w:rFonts w:hint="eastAsia" w:asciiTheme="minorEastAsia" w:hAnsiTheme="minorEastAsia" w:eastAsiaTheme="minorEastAsia" w:cstheme="minorEastAsia"/>
          <w:b w:val="0"/>
          <w:bCs/>
          <w:color w:val="auto"/>
          <w:sz w:val="24"/>
          <w:szCs w:val="24"/>
          <w:highlight w:val="none"/>
          <w:lang w:bidi="ar-SA"/>
        </w:rPr>
      </w:pPr>
      <w:r>
        <w:rPr>
          <w:rFonts w:hint="eastAsia" w:asciiTheme="minorEastAsia" w:hAnsiTheme="minorEastAsia" w:eastAsiaTheme="minorEastAsia" w:cstheme="minorEastAsia"/>
          <w:b w:val="0"/>
          <w:bCs/>
          <w:color w:val="auto"/>
          <w:sz w:val="24"/>
          <w:szCs w:val="24"/>
          <w:highlight w:val="none"/>
          <w:lang w:bidi="ar-SA"/>
        </w:rPr>
        <w:t>投  标  人：</w:t>
      </w:r>
      <w:r>
        <w:rPr>
          <w:rFonts w:hint="eastAsia" w:asciiTheme="minorEastAsia" w:hAnsiTheme="minorEastAsia" w:eastAsiaTheme="minorEastAsia" w:cstheme="minorEastAsia"/>
          <w:b w:val="0"/>
          <w:bCs/>
          <w:color w:val="auto"/>
          <w:sz w:val="24"/>
          <w:szCs w:val="24"/>
          <w:highlight w:val="none"/>
          <w:u w:val="single"/>
          <w:lang w:bidi="ar-SA"/>
        </w:rPr>
        <w:t xml:space="preserve">                                 </w:t>
      </w:r>
      <w:r>
        <w:rPr>
          <w:rFonts w:hint="eastAsia" w:asciiTheme="minorEastAsia" w:hAnsiTheme="minorEastAsia" w:eastAsiaTheme="minorEastAsia" w:cstheme="minorEastAsia"/>
          <w:b w:val="0"/>
          <w:bCs/>
          <w:color w:val="auto"/>
          <w:sz w:val="24"/>
          <w:szCs w:val="24"/>
          <w:highlight w:val="none"/>
          <w:lang w:bidi="ar-SA"/>
        </w:rPr>
        <w:t>（盖章）</w:t>
      </w:r>
    </w:p>
    <w:p w14:paraId="31731662">
      <w:pPr>
        <w:spacing w:line="360" w:lineRule="auto"/>
        <w:ind w:firstLine="480" w:firstLineChars="200"/>
        <w:outlineLvl w:val="9"/>
        <w:rPr>
          <w:rFonts w:hint="eastAsia" w:asciiTheme="minorEastAsia" w:hAnsiTheme="minorEastAsia" w:eastAsiaTheme="minorEastAsia" w:cstheme="minorEastAsia"/>
          <w:b w:val="0"/>
          <w:bCs/>
          <w:color w:val="auto"/>
          <w:sz w:val="24"/>
          <w:szCs w:val="24"/>
          <w:highlight w:val="none"/>
          <w:lang w:bidi="ar-SA"/>
        </w:rPr>
      </w:pPr>
      <w:r>
        <w:rPr>
          <w:rFonts w:hint="eastAsia" w:asciiTheme="minorEastAsia" w:hAnsiTheme="minorEastAsia" w:eastAsiaTheme="minorEastAsia" w:cstheme="minorEastAsia"/>
          <w:b w:val="0"/>
          <w:bCs/>
          <w:color w:val="auto"/>
          <w:sz w:val="24"/>
          <w:szCs w:val="24"/>
          <w:highlight w:val="none"/>
          <w:lang w:bidi="ar-SA"/>
        </w:rPr>
        <w:t>法定代表人：</w:t>
      </w:r>
      <w:r>
        <w:rPr>
          <w:rFonts w:hint="eastAsia" w:asciiTheme="minorEastAsia" w:hAnsiTheme="minorEastAsia" w:eastAsiaTheme="minorEastAsia" w:cstheme="minorEastAsia"/>
          <w:b w:val="0"/>
          <w:bCs/>
          <w:color w:val="auto"/>
          <w:sz w:val="24"/>
          <w:szCs w:val="24"/>
          <w:highlight w:val="none"/>
          <w:u w:val="single"/>
          <w:lang w:bidi="ar-SA"/>
        </w:rPr>
        <w:t xml:space="preserve">              　　　　　　　</w:t>
      </w:r>
      <w:r>
        <w:rPr>
          <w:rFonts w:hint="eastAsia" w:asciiTheme="minorEastAsia" w:hAnsiTheme="minorEastAsia" w:eastAsiaTheme="minorEastAsia" w:cstheme="minorEastAsia"/>
          <w:b w:val="0"/>
          <w:bCs/>
          <w:color w:val="auto"/>
          <w:sz w:val="24"/>
          <w:szCs w:val="24"/>
          <w:highlight w:val="none"/>
          <w:lang w:bidi="ar-SA"/>
        </w:rPr>
        <w:t>（签字或盖章）</w:t>
      </w:r>
    </w:p>
    <w:p w14:paraId="6CFD2402">
      <w:pPr>
        <w:spacing w:line="360" w:lineRule="auto"/>
        <w:ind w:left="0" w:firstLine="480" w:firstLineChars="200"/>
        <w:jc w:val="left"/>
        <w:outlineLvl w:val="9"/>
        <w:rPr>
          <w:rFonts w:hint="eastAsia" w:asciiTheme="minorEastAsia" w:hAnsiTheme="minorEastAsia" w:eastAsiaTheme="minorEastAsia" w:cstheme="minorEastAsia"/>
          <w:b w:val="0"/>
          <w:bCs/>
          <w:color w:val="auto"/>
          <w:sz w:val="24"/>
          <w:szCs w:val="24"/>
          <w:highlight w:val="none"/>
          <w:lang w:bidi="ar-SA"/>
        </w:rPr>
      </w:pPr>
      <w:r>
        <w:rPr>
          <w:rFonts w:hint="eastAsia" w:asciiTheme="minorEastAsia" w:hAnsiTheme="minorEastAsia" w:eastAsiaTheme="minorEastAsia" w:cstheme="minorEastAsia"/>
          <w:b w:val="0"/>
          <w:bCs/>
          <w:color w:val="auto"/>
          <w:sz w:val="24"/>
          <w:szCs w:val="24"/>
          <w:highlight w:val="none"/>
          <w:lang w:bidi="ar-SA"/>
        </w:rPr>
        <w:t>委托代理人：</w:t>
      </w:r>
      <w:r>
        <w:rPr>
          <w:rFonts w:hint="eastAsia" w:asciiTheme="minorEastAsia" w:hAnsiTheme="minorEastAsia" w:eastAsiaTheme="minorEastAsia" w:cstheme="minorEastAsia"/>
          <w:b w:val="0"/>
          <w:bCs/>
          <w:color w:val="auto"/>
          <w:sz w:val="24"/>
          <w:szCs w:val="24"/>
          <w:highlight w:val="none"/>
          <w:u w:val="single"/>
          <w:lang w:bidi="ar-SA"/>
        </w:rPr>
        <w:t xml:space="preserve">              　　　　　　　</w:t>
      </w:r>
      <w:r>
        <w:rPr>
          <w:rFonts w:hint="eastAsia" w:asciiTheme="minorEastAsia" w:hAnsiTheme="minorEastAsia" w:eastAsiaTheme="minorEastAsia" w:cstheme="minorEastAsia"/>
          <w:b w:val="0"/>
          <w:bCs/>
          <w:color w:val="auto"/>
          <w:sz w:val="24"/>
          <w:szCs w:val="24"/>
          <w:highlight w:val="none"/>
          <w:lang w:bidi="ar-SA"/>
        </w:rPr>
        <w:t>（签字或盖章）</w:t>
      </w:r>
    </w:p>
    <w:p w14:paraId="373A57C0">
      <w:pPr>
        <w:spacing w:line="360" w:lineRule="auto"/>
        <w:ind w:firstLine="5008" w:firstLineChars="2087"/>
        <w:jc w:val="left"/>
        <w:outlineLvl w:val="9"/>
        <w:rPr>
          <w:rFonts w:hint="eastAsia" w:asciiTheme="minorEastAsia" w:hAnsiTheme="minorEastAsia" w:eastAsiaTheme="minorEastAsia" w:cstheme="minorEastAsia"/>
          <w:b w:val="0"/>
          <w:bCs/>
          <w:color w:val="auto"/>
          <w:sz w:val="24"/>
          <w:szCs w:val="24"/>
          <w:highlight w:val="none"/>
          <w:lang w:bidi="ar-SA"/>
        </w:rPr>
      </w:pPr>
    </w:p>
    <w:p w14:paraId="1B905C30">
      <w:pPr>
        <w:spacing w:line="360" w:lineRule="auto"/>
        <w:ind w:firstLine="5008" w:firstLineChars="2087"/>
        <w:jc w:val="left"/>
        <w:outlineLvl w:val="9"/>
        <w:rPr>
          <w:rFonts w:hint="eastAsia" w:asciiTheme="minorEastAsia" w:hAnsiTheme="minorEastAsia" w:eastAsiaTheme="minorEastAsia" w:cstheme="minorEastAsia"/>
          <w:b w:val="0"/>
          <w:bCs/>
          <w:color w:val="auto"/>
          <w:sz w:val="24"/>
          <w:szCs w:val="24"/>
          <w:highlight w:val="none"/>
          <w:lang w:bidi="ar-SA"/>
        </w:rPr>
      </w:pPr>
      <w:r>
        <w:rPr>
          <w:rFonts w:hint="eastAsia" w:asciiTheme="minorEastAsia" w:hAnsiTheme="minorEastAsia" w:eastAsiaTheme="minorEastAsia" w:cstheme="minorEastAsia"/>
          <w:b w:val="0"/>
          <w:bCs/>
          <w:color w:val="auto"/>
          <w:sz w:val="24"/>
          <w:szCs w:val="24"/>
          <w:highlight w:val="none"/>
          <w:lang w:bidi="ar-SA"/>
        </w:rPr>
        <w:t>年    月    日</w:t>
      </w:r>
    </w:p>
    <w:p w14:paraId="587F8E61">
      <w:pPr>
        <w:outlineLvl w:val="9"/>
        <w:rPr>
          <w:rFonts w:hint="eastAsia" w:asciiTheme="minorEastAsia" w:hAnsiTheme="minorEastAsia" w:eastAsiaTheme="minorEastAsia" w:cstheme="minorEastAsia"/>
          <w:color w:val="auto"/>
          <w:highlight w:val="none"/>
        </w:rPr>
      </w:pPr>
    </w:p>
    <w:p w14:paraId="54925C87">
      <w:pPr>
        <w:outlineLvl w:val="9"/>
        <w:rPr>
          <w:rFonts w:hint="eastAsia" w:asciiTheme="minorEastAsia" w:hAnsiTheme="minorEastAsia" w:eastAsiaTheme="minorEastAsia" w:cstheme="minorEastAsia"/>
          <w:b/>
          <w:bCs/>
          <w:color w:val="auto"/>
          <w:sz w:val="32"/>
          <w:szCs w:val="32"/>
          <w:highlight w:val="none"/>
        </w:rPr>
      </w:pPr>
    </w:p>
    <w:p w14:paraId="41E467EF">
      <w:pPr>
        <w:outlineLvl w:val="9"/>
        <w:rPr>
          <w:rFonts w:hint="eastAsia" w:asciiTheme="minorEastAsia" w:hAnsiTheme="minorEastAsia" w:eastAsiaTheme="minorEastAsia" w:cstheme="minorEastAsia"/>
          <w:b/>
          <w:bCs/>
          <w:color w:val="auto"/>
          <w:sz w:val="32"/>
          <w:szCs w:val="32"/>
          <w:highlight w:val="none"/>
        </w:rPr>
      </w:pPr>
    </w:p>
    <w:p w14:paraId="41FE34BE">
      <w:pPr>
        <w:pStyle w:val="36"/>
        <w:ind w:firstLine="2205" w:firstLineChars="1050"/>
        <w:outlineLvl w:val="9"/>
        <w:rPr>
          <w:rFonts w:hint="eastAsia" w:asciiTheme="minorEastAsia" w:hAnsiTheme="minorEastAsia" w:eastAsiaTheme="minorEastAsia" w:cstheme="minorEastAsia"/>
          <w:b/>
          <w:color w:val="auto"/>
          <w:sz w:val="21"/>
          <w:szCs w:val="21"/>
          <w:highlight w:val="none"/>
        </w:rPr>
      </w:pPr>
    </w:p>
    <w:p w14:paraId="21659946">
      <w:pPr>
        <w:jc w:val="center"/>
        <w:outlineLvl w:val="1"/>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color w:val="auto"/>
          <w:sz w:val="21"/>
          <w:szCs w:val="21"/>
          <w:highlight w:val="none"/>
        </w:rPr>
        <w:br w:type="page"/>
      </w:r>
      <w:bookmarkStart w:id="315" w:name="_Toc30215"/>
      <w:r>
        <w:rPr>
          <w:rFonts w:hint="eastAsia" w:asciiTheme="minorEastAsia" w:hAnsiTheme="minorEastAsia" w:eastAsiaTheme="minorEastAsia" w:cstheme="minorEastAsia"/>
          <w:b/>
          <w:color w:val="auto"/>
          <w:szCs w:val="21"/>
          <w:highlight w:val="none"/>
          <w:lang w:val="en-US" w:eastAsia="zh-CN"/>
        </w:rPr>
        <w:t>4、</w:t>
      </w:r>
      <w:r>
        <w:rPr>
          <w:rFonts w:hint="eastAsia" w:asciiTheme="minorEastAsia" w:hAnsiTheme="minorEastAsia" w:eastAsiaTheme="minorEastAsia" w:cstheme="minorEastAsia"/>
          <w:b/>
          <w:color w:val="auto"/>
          <w:szCs w:val="21"/>
          <w:highlight w:val="none"/>
          <w:lang w:eastAsia="zh-CN"/>
        </w:rPr>
        <w:t>磋商保证金</w:t>
      </w:r>
      <w:bookmarkEnd w:id="315"/>
    </w:p>
    <w:p w14:paraId="29E9BEEB">
      <w:pPr>
        <w:spacing w:line="360" w:lineRule="auto"/>
        <w:jc w:val="center"/>
        <w:rPr>
          <w:rFonts w:hint="eastAsia" w:asciiTheme="minorEastAsia" w:hAnsiTheme="minorEastAsia" w:eastAsiaTheme="minorEastAsia" w:cstheme="minorEastAsia"/>
          <w:color w:val="auto"/>
          <w:szCs w:val="21"/>
          <w:highlight w:val="none"/>
        </w:rPr>
      </w:pPr>
    </w:p>
    <w:p w14:paraId="3FC94E65">
      <w:pPr>
        <w:pStyle w:val="7"/>
        <w:outlineLvl w:val="9"/>
        <w:rPr>
          <w:rFonts w:hint="eastAsia" w:asciiTheme="minorEastAsia" w:hAnsiTheme="minorEastAsia" w:eastAsiaTheme="minorEastAsia" w:cstheme="minorEastAsia"/>
          <w:color w:val="auto"/>
          <w:szCs w:val="21"/>
          <w:highlight w:val="none"/>
        </w:rPr>
      </w:pPr>
    </w:p>
    <w:p w14:paraId="32BF50B7">
      <w:pPr>
        <w:pStyle w:val="36"/>
        <w:ind w:firstLine="420" w:firstLineChars="200"/>
        <w:jc w:val="left"/>
        <w:outlineLvl w:val="9"/>
        <w:rPr>
          <w:rFonts w:hint="eastAsia" w:asciiTheme="minorEastAsia" w:hAnsiTheme="minorEastAsia" w:eastAsiaTheme="minorEastAsia" w:cstheme="minorEastAsia"/>
          <w:b w:val="0"/>
          <w:bCs/>
          <w:color w:val="auto"/>
          <w:sz w:val="21"/>
          <w:szCs w:val="21"/>
          <w:highlight w:val="none"/>
          <w:lang w:eastAsia="zh-CN"/>
        </w:rPr>
      </w:pPr>
      <w:bookmarkStart w:id="316" w:name="_Toc10524"/>
      <w:r>
        <w:rPr>
          <w:rFonts w:hint="eastAsia" w:asciiTheme="minorEastAsia" w:hAnsiTheme="minorEastAsia" w:eastAsiaTheme="minorEastAsia" w:cstheme="minorEastAsia"/>
          <w:b w:val="0"/>
          <w:bCs/>
          <w:color w:val="auto"/>
          <w:sz w:val="21"/>
          <w:szCs w:val="21"/>
          <w:highlight w:val="none"/>
          <w:lang w:eastAsia="zh-CN"/>
        </w:rPr>
        <w:t>供应商</w:t>
      </w:r>
      <w:r>
        <w:rPr>
          <w:rFonts w:hint="eastAsia" w:asciiTheme="minorEastAsia" w:hAnsiTheme="minorEastAsia" w:eastAsiaTheme="minorEastAsia" w:cstheme="minorEastAsia"/>
          <w:b w:val="0"/>
          <w:bCs/>
          <w:color w:val="auto"/>
          <w:sz w:val="21"/>
          <w:szCs w:val="21"/>
          <w:highlight w:val="none"/>
        </w:rPr>
        <w:t>应将本项目</w:t>
      </w:r>
      <w:r>
        <w:rPr>
          <w:rFonts w:hint="eastAsia" w:asciiTheme="minorEastAsia" w:hAnsiTheme="minorEastAsia" w:eastAsiaTheme="minorEastAsia" w:cstheme="minorEastAsia"/>
          <w:b w:val="0"/>
          <w:bCs/>
          <w:color w:val="auto"/>
          <w:sz w:val="21"/>
          <w:szCs w:val="21"/>
          <w:highlight w:val="none"/>
          <w:lang w:eastAsia="zh-CN"/>
        </w:rPr>
        <w:t>磋商保证金</w:t>
      </w:r>
      <w:r>
        <w:rPr>
          <w:rFonts w:hint="eastAsia" w:asciiTheme="minorEastAsia" w:hAnsiTheme="minorEastAsia" w:eastAsiaTheme="minorEastAsia" w:cstheme="minorEastAsia"/>
          <w:b w:val="0"/>
          <w:bCs/>
          <w:color w:val="auto"/>
          <w:sz w:val="21"/>
          <w:szCs w:val="21"/>
          <w:highlight w:val="none"/>
        </w:rPr>
        <w:t>支付的银行汇款凭证复印件作为缴纳凭证装订在本部分，复印件上应加盖本单位章；如使用</w:t>
      </w:r>
      <w:r>
        <w:rPr>
          <w:rFonts w:hint="eastAsia" w:asciiTheme="minorEastAsia" w:hAnsiTheme="minorEastAsia" w:eastAsiaTheme="minorEastAsia" w:cstheme="minorEastAsia"/>
          <w:b w:val="0"/>
          <w:bCs/>
          <w:color w:val="auto"/>
          <w:sz w:val="21"/>
          <w:szCs w:val="21"/>
          <w:highlight w:val="none"/>
          <w:lang w:eastAsia="zh-CN"/>
        </w:rPr>
        <w:t>保函</w:t>
      </w:r>
      <w:r>
        <w:rPr>
          <w:rFonts w:hint="eastAsia" w:asciiTheme="minorEastAsia" w:hAnsiTheme="minorEastAsia" w:eastAsiaTheme="minorEastAsia" w:cstheme="minorEastAsia"/>
          <w:b w:val="0"/>
          <w:bCs/>
          <w:color w:val="auto"/>
          <w:sz w:val="21"/>
          <w:szCs w:val="21"/>
          <w:highlight w:val="none"/>
        </w:rPr>
        <w:t>等其他</w:t>
      </w:r>
      <w:r>
        <w:rPr>
          <w:rFonts w:hint="eastAsia" w:asciiTheme="minorEastAsia" w:hAnsiTheme="minorEastAsia" w:eastAsiaTheme="minorEastAsia" w:cstheme="minorEastAsia"/>
          <w:b w:val="0"/>
          <w:bCs/>
          <w:color w:val="auto"/>
          <w:sz w:val="21"/>
          <w:szCs w:val="21"/>
          <w:highlight w:val="none"/>
          <w:lang w:eastAsia="zh-CN"/>
        </w:rPr>
        <w:t>磋商</w:t>
      </w:r>
      <w:r>
        <w:rPr>
          <w:rFonts w:hint="eastAsia" w:asciiTheme="minorEastAsia" w:hAnsiTheme="minorEastAsia" w:eastAsiaTheme="minorEastAsia" w:cstheme="minorEastAsia"/>
          <w:b w:val="0"/>
          <w:bCs/>
          <w:color w:val="auto"/>
          <w:sz w:val="21"/>
          <w:szCs w:val="21"/>
          <w:highlight w:val="none"/>
        </w:rPr>
        <w:t>担保函的，应将担保函</w:t>
      </w:r>
      <w:r>
        <w:rPr>
          <w:rFonts w:hint="eastAsia" w:asciiTheme="minorEastAsia" w:hAnsiTheme="minorEastAsia" w:eastAsiaTheme="minorEastAsia" w:cstheme="minorEastAsia"/>
          <w:b w:val="0"/>
          <w:bCs/>
          <w:color w:val="auto"/>
          <w:sz w:val="21"/>
          <w:szCs w:val="21"/>
          <w:highlight w:val="none"/>
          <w:lang w:val="en-US" w:eastAsia="zh-CN"/>
        </w:rPr>
        <w:t>复印件</w:t>
      </w:r>
      <w:r>
        <w:rPr>
          <w:rFonts w:hint="eastAsia" w:asciiTheme="minorEastAsia" w:hAnsiTheme="minorEastAsia" w:eastAsiaTheme="minorEastAsia" w:cstheme="minorEastAsia"/>
          <w:b w:val="0"/>
          <w:bCs/>
          <w:color w:val="auto"/>
          <w:sz w:val="21"/>
          <w:szCs w:val="21"/>
          <w:highlight w:val="none"/>
        </w:rPr>
        <w:t>，装订在本部分正本中</w:t>
      </w:r>
      <w:r>
        <w:rPr>
          <w:rFonts w:hint="eastAsia" w:asciiTheme="minorEastAsia" w:hAnsiTheme="minorEastAsia" w:eastAsiaTheme="minorEastAsia" w:cstheme="minorEastAsia"/>
          <w:b w:val="0"/>
          <w:bCs/>
          <w:color w:val="auto"/>
          <w:sz w:val="21"/>
          <w:szCs w:val="21"/>
          <w:highlight w:val="none"/>
          <w:lang w:eastAsia="zh-CN"/>
        </w:rPr>
        <w:t>。</w:t>
      </w:r>
      <w:bookmarkEnd w:id="316"/>
    </w:p>
    <w:tbl>
      <w:tblPr>
        <w:tblStyle w:val="25"/>
        <w:tblpPr w:leftFromText="180" w:rightFromText="180" w:vertAnchor="text" w:horzAnchor="page" w:tblpX="1585"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14:paraId="7104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8850" w:type="dxa"/>
            <w:noWrap w:val="0"/>
            <w:vAlign w:val="top"/>
          </w:tcPr>
          <w:p w14:paraId="01CD052F">
            <w:pPr>
              <w:outlineLvl w:val="9"/>
              <w:rPr>
                <w:rFonts w:hint="eastAsia" w:asciiTheme="minorEastAsia" w:hAnsiTheme="minorEastAsia" w:eastAsiaTheme="minorEastAsia" w:cstheme="minorEastAsia"/>
                <w:b/>
                <w:bCs/>
                <w:color w:val="auto"/>
                <w:sz w:val="30"/>
                <w:szCs w:val="30"/>
                <w:highlight w:val="none"/>
              </w:rPr>
            </w:pPr>
          </w:p>
          <w:p w14:paraId="685097D6">
            <w:pPr>
              <w:jc w:val="center"/>
              <w:outlineLvl w:val="9"/>
              <w:rPr>
                <w:rFonts w:hint="eastAsia" w:asciiTheme="minorEastAsia" w:hAnsiTheme="minorEastAsia" w:eastAsiaTheme="minorEastAsia" w:cstheme="minorEastAsia"/>
                <w:b/>
                <w:bCs/>
                <w:color w:val="auto"/>
                <w:sz w:val="30"/>
                <w:szCs w:val="30"/>
                <w:highlight w:val="none"/>
              </w:rPr>
            </w:pPr>
          </w:p>
          <w:p w14:paraId="043061D5">
            <w:pPr>
              <w:jc w:val="center"/>
              <w:outlineLvl w:val="9"/>
              <w:rPr>
                <w:rFonts w:hint="eastAsia" w:asciiTheme="minorEastAsia" w:hAnsiTheme="minorEastAsia" w:eastAsiaTheme="minorEastAsia" w:cstheme="minorEastAsia"/>
                <w:b/>
                <w:bCs/>
                <w:color w:val="auto"/>
                <w:sz w:val="30"/>
                <w:szCs w:val="30"/>
                <w:highlight w:val="none"/>
              </w:rPr>
            </w:pPr>
          </w:p>
          <w:p w14:paraId="59670F04">
            <w:pPr>
              <w:jc w:val="center"/>
              <w:outlineLvl w:val="9"/>
              <w:rPr>
                <w:rFonts w:hint="eastAsia" w:asciiTheme="minorEastAsia" w:hAnsiTheme="minorEastAsia" w:eastAsiaTheme="minorEastAsia" w:cstheme="minorEastAsia"/>
                <w:b/>
                <w:bCs/>
                <w:color w:val="auto"/>
                <w:sz w:val="30"/>
                <w:szCs w:val="30"/>
                <w:highlight w:val="none"/>
              </w:rPr>
            </w:pPr>
          </w:p>
          <w:p w14:paraId="0661C1C4">
            <w:pPr>
              <w:jc w:val="center"/>
              <w:outlineLvl w:val="9"/>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银行汇款凭证复印件</w:t>
            </w:r>
            <w:r>
              <w:rPr>
                <w:rFonts w:hint="eastAsia" w:asciiTheme="minorEastAsia" w:hAnsiTheme="minorEastAsia" w:eastAsiaTheme="minorEastAsia" w:cstheme="minorEastAsia"/>
                <w:b/>
                <w:bCs/>
                <w:color w:val="auto"/>
                <w:sz w:val="30"/>
                <w:szCs w:val="30"/>
                <w:highlight w:val="none"/>
                <w:lang w:val="en-US" w:eastAsia="zh-CN"/>
              </w:rPr>
              <w:t>或 保函复印件</w:t>
            </w:r>
          </w:p>
        </w:tc>
      </w:tr>
    </w:tbl>
    <w:p w14:paraId="3C7DA6B2">
      <w:pPr>
        <w:pStyle w:val="36"/>
        <w:jc w:val="left"/>
        <w:outlineLvl w:val="9"/>
        <w:rPr>
          <w:rFonts w:hint="eastAsia" w:asciiTheme="minorEastAsia" w:hAnsiTheme="minorEastAsia" w:eastAsiaTheme="minorEastAsia" w:cstheme="minorEastAsia"/>
          <w:b w:val="0"/>
          <w:bCs/>
          <w:color w:val="auto"/>
          <w:sz w:val="21"/>
          <w:szCs w:val="21"/>
          <w:highlight w:val="none"/>
          <w:lang w:eastAsia="zh-CN"/>
        </w:rPr>
      </w:pPr>
    </w:p>
    <w:p w14:paraId="098DCA33">
      <w:pPr>
        <w:pStyle w:val="36"/>
        <w:numPr>
          <w:ilvl w:val="0"/>
          <w:numId w:val="12"/>
        </w:num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br w:type="page"/>
      </w:r>
      <w:bookmarkStart w:id="317" w:name="_Toc14897"/>
      <w:r>
        <w:rPr>
          <w:rFonts w:hint="eastAsia" w:asciiTheme="minorEastAsia" w:hAnsiTheme="minorEastAsia" w:eastAsiaTheme="minorEastAsia" w:cstheme="minorEastAsia"/>
          <w:b/>
          <w:color w:val="auto"/>
          <w:sz w:val="21"/>
          <w:szCs w:val="21"/>
          <w:highlight w:val="none"/>
        </w:rPr>
        <w:t>项目管理机构</w:t>
      </w:r>
      <w:bookmarkEnd w:id="317"/>
    </w:p>
    <w:p w14:paraId="51C808F4">
      <w:pPr>
        <w:pStyle w:val="36"/>
        <w:numPr>
          <w:ilvl w:val="0"/>
          <w:numId w:val="0"/>
        </w:numPr>
        <w:jc w:val="both"/>
        <w:outlineLvl w:val="9"/>
        <w:rPr>
          <w:rFonts w:hint="eastAsia" w:asciiTheme="minorEastAsia" w:hAnsiTheme="minorEastAsia" w:eastAsiaTheme="minorEastAsia" w:cstheme="minorEastAsia"/>
          <w:b/>
          <w:color w:val="auto"/>
          <w:sz w:val="21"/>
          <w:szCs w:val="21"/>
          <w:highlight w:val="none"/>
        </w:rPr>
      </w:pPr>
    </w:p>
    <w:p w14:paraId="6BA3F01D">
      <w:pPr>
        <w:spacing w:line="440" w:lineRule="exact"/>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（现场技术力量配备）</w:t>
      </w:r>
    </w:p>
    <w:p w14:paraId="26B02366">
      <w:pPr>
        <w:pStyle w:val="37"/>
        <w:numPr>
          <w:ilvl w:val="0"/>
          <w:numId w:val="0"/>
        </w:numPr>
        <w:ind w:leftChars="0"/>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 xml:space="preserve">5.1 </w:t>
      </w:r>
      <w:r>
        <w:rPr>
          <w:rFonts w:hint="eastAsia" w:asciiTheme="minorEastAsia" w:hAnsiTheme="minorEastAsia" w:eastAsiaTheme="minorEastAsia" w:cstheme="minorEastAsia"/>
          <w:color w:val="auto"/>
          <w:sz w:val="21"/>
          <w:szCs w:val="21"/>
          <w:highlight w:val="none"/>
          <w:u w:val="none"/>
        </w:rPr>
        <w:t>项目管理机构</w:t>
      </w:r>
      <w:r>
        <w:rPr>
          <w:rFonts w:hint="eastAsia" w:asciiTheme="minorEastAsia" w:hAnsiTheme="minorEastAsia" w:eastAsiaTheme="minorEastAsia" w:cstheme="minorEastAsia"/>
          <w:color w:val="auto"/>
          <w:sz w:val="21"/>
          <w:szCs w:val="21"/>
          <w:highlight w:val="none"/>
          <w:u w:val="none"/>
          <w:lang w:val="en-US" w:eastAsia="zh-CN"/>
        </w:rPr>
        <w:t>人员</w:t>
      </w:r>
      <w:r>
        <w:rPr>
          <w:rFonts w:hint="eastAsia" w:asciiTheme="minorEastAsia" w:hAnsiTheme="minorEastAsia" w:eastAsiaTheme="minorEastAsia" w:cstheme="minorEastAsia"/>
          <w:color w:val="auto"/>
          <w:sz w:val="21"/>
          <w:szCs w:val="21"/>
          <w:highlight w:val="none"/>
          <w:u w:val="none"/>
        </w:rPr>
        <w:t>组成表</w:t>
      </w:r>
    </w:p>
    <w:p w14:paraId="5AE859D8">
      <w:pPr>
        <w:pStyle w:val="37"/>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项目名称</w:t>
      </w:r>
      <w:r>
        <w:rPr>
          <w:rFonts w:hint="eastAsia" w:asciiTheme="minorEastAsia" w:hAnsiTheme="minorEastAsia" w:eastAsiaTheme="minorEastAsia" w:cstheme="minorEastAsia"/>
          <w:color w:val="auto"/>
          <w:sz w:val="21"/>
          <w:szCs w:val="21"/>
          <w:highlight w:val="none"/>
          <w:u w:val="none"/>
        </w:rPr>
        <w: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868"/>
        <w:gridCol w:w="906"/>
        <w:gridCol w:w="1251"/>
        <w:gridCol w:w="1432"/>
        <w:gridCol w:w="1541"/>
        <w:gridCol w:w="1504"/>
        <w:gridCol w:w="724"/>
      </w:tblGrid>
      <w:tr w14:paraId="2769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vMerge w:val="restart"/>
            <w:noWrap w:val="0"/>
            <w:vAlign w:val="center"/>
          </w:tcPr>
          <w:p w14:paraId="182BF895">
            <w:pPr>
              <w:spacing w:line="440" w:lineRule="exact"/>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tc>
        <w:tc>
          <w:tcPr>
            <w:tcW w:w="868" w:type="dxa"/>
            <w:vMerge w:val="restart"/>
            <w:noWrap w:val="0"/>
            <w:vAlign w:val="center"/>
          </w:tcPr>
          <w:p w14:paraId="322A90F3">
            <w:pPr>
              <w:spacing w:line="440" w:lineRule="exact"/>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906" w:type="dxa"/>
            <w:vMerge w:val="restart"/>
            <w:noWrap w:val="0"/>
            <w:vAlign w:val="center"/>
          </w:tcPr>
          <w:p w14:paraId="2478B719">
            <w:pPr>
              <w:spacing w:line="440" w:lineRule="exact"/>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职称</w:t>
            </w:r>
          </w:p>
        </w:tc>
        <w:tc>
          <w:tcPr>
            <w:tcW w:w="5728" w:type="dxa"/>
            <w:gridSpan w:val="4"/>
            <w:noWrap w:val="0"/>
            <w:vAlign w:val="center"/>
          </w:tcPr>
          <w:p w14:paraId="0D1D349B">
            <w:pPr>
              <w:spacing w:line="440" w:lineRule="exact"/>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执业或职业资格证明</w:t>
            </w:r>
          </w:p>
        </w:tc>
        <w:tc>
          <w:tcPr>
            <w:tcW w:w="724" w:type="dxa"/>
            <w:noWrap w:val="0"/>
            <w:vAlign w:val="center"/>
          </w:tcPr>
          <w:p w14:paraId="0EA9DBB4">
            <w:pPr>
              <w:spacing w:line="440" w:lineRule="exact"/>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0F7E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89" w:type="dxa"/>
            <w:vMerge w:val="continue"/>
            <w:noWrap w:val="0"/>
            <w:vAlign w:val="center"/>
          </w:tcPr>
          <w:p w14:paraId="0DD90489">
            <w:pPr>
              <w:outlineLvl w:val="9"/>
              <w:rPr>
                <w:rFonts w:hint="eastAsia" w:asciiTheme="minorEastAsia" w:hAnsiTheme="minorEastAsia" w:eastAsiaTheme="minorEastAsia" w:cstheme="minorEastAsia"/>
                <w:color w:val="auto"/>
                <w:highlight w:val="none"/>
              </w:rPr>
            </w:pPr>
          </w:p>
        </w:tc>
        <w:tc>
          <w:tcPr>
            <w:tcW w:w="868" w:type="dxa"/>
            <w:vMerge w:val="continue"/>
            <w:noWrap w:val="0"/>
            <w:vAlign w:val="center"/>
          </w:tcPr>
          <w:p w14:paraId="056E9AB8">
            <w:pPr>
              <w:outlineLvl w:val="9"/>
              <w:rPr>
                <w:rFonts w:hint="eastAsia" w:asciiTheme="minorEastAsia" w:hAnsiTheme="minorEastAsia" w:eastAsiaTheme="minorEastAsia" w:cstheme="minorEastAsia"/>
                <w:color w:val="auto"/>
                <w:highlight w:val="none"/>
              </w:rPr>
            </w:pPr>
          </w:p>
        </w:tc>
        <w:tc>
          <w:tcPr>
            <w:tcW w:w="906" w:type="dxa"/>
            <w:vMerge w:val="continue"/>
            <w:noWrap w:val="0"/>
            <w:vAlign w:val="center"/>
          </w:tcPr>
          <w:p w14:paraId="728BE694">
            <w:pPr>
              <w:outlineLvl w:val="9"/>
              <w:rPr>
                <w:rFonts w:hint="eastAsia" w:asciiTheme="minorEastAsia" w:hAnsiTheme="minorEastAsia" w:eastAsiaTheme="minorEastAsia" w:cstheme="minorEastAsia"/>
                <w:color w:val="auto"/>
                <w:highlight w:val="none"/>
              </w:rPr>
            </w:pPr>
          </w:p>
        </w:tc>
        <w:tc>
          <w:tcPr>
            <w:tcW w:w="1251" w:type="dxa"/>
            <w:noWrap w:val="0"/>
            <w:vAlign w:val="center"/>
          </w:tcPr>
          <w:p w14:paraId="5AC37A58">
            <w:pPr>
              <w:spacing w:line="440" w:lineRule="exact"/>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证书名称</w:t>
            </w:r>
          </w:p>
        </w:tc>
        <w:tc>
          <w:tcPr>
            <w:tcW w:w="1432" w:type="dxa"/>
            <w:noWrap w:val="0"/>
            <w:vAlign w:val="center"/>
          </w:tcPr>
          <w:p w14:paraId="7B71B9C8">
            <w:pPr>
              <w:spacing w:line="440" w:lineRule="exact"/>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级别</w:t>
            </w:r>
          </w:p>
        </w:tc>
        <w:tc>
          <w:tcPr>
            <w:tcW w:w="1541" w:type="dxa"/>
            <w:noWrap w:val="0"/>
            <w:vAlign w:val="center"/>
          </w:tcPr>
          <w:p w14:paraId="237BBAE1">
            <w:pPr>
              <w:spacing w:line="440" w:lineRule="exact"/>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证号</w:t>
            </w:r>
          </w:p>
        </w:tc>
        <w:tc>
          <w:tcPr>
            <w:tcW w:w="1504" w:type="dxa"/>
            <w:noWrap w:val="0"/>
            <w:vAlign w:val="center"/>
          </w:tcPr>
          <w:p w14:paraId="2D228BC5">
            <w:pPr>
              <w:spacing w:line="440" w:lineRule="exact"/>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专业</w:t>
            </w:r>
          </w:p>
        </w:tc>
        <w:tc>
          <w:tcPr>
            <w:tcW w:w="724" w:type="dxa"/>
            <w:noWrap w:val="0"/>
            <w:vAlign w:val="center"/>
          </w:tcPr>
          <w:p w14:paraId="60EFD936">
            <w:pPr>
              <w:spacing w:line="440" w:lineRule="exact"/>
              <w:jc w:val="center"/>
              <w:outlineLvl w:val="9"/>
              <w:rPr>
                <w:rFonts w:hint="eastAsia" w:asciiTheme="minorEastAsia" w:hAnsiTheme="minorEastAsia" w:eastAsiaTheme="minorEastAsia" w:cstheme="minorEastAsia"/>
                <w:color w:val="auto"/>
                <w:szCs w:val="21"/>
                <w:highlight w:val="none"/>
              </w:rPr>
            </w:pPr>
          </w:p>
        </w:tc>
      </w:tr>
      <w:tr w14:paraId="3AF3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noWrap w:val="0"/>
            <w:vAlign w:val="center"/>
          </w:tcPr>
          <w:p w14:paraId="0CC6A476">
            <w:pPr>
              <w:spacing w:line="440" w:lineRule="exact"/>
              <w:ind w:left="210" w:leftChars="100"/>
              <w:outlineLvl w:val="9"/>
              <w:rPr>
                <w:rFonts w:hint="default" w:asciiTheme="minorEastAsia" w:hAnsiTheme="minorEastAsia" w:eastAsiaTheme="minorEastAsia" w:cstheme="minorEastAsia"/>
                <w:color w:val="auto"/>
                <w:szCs w:val="21"/>
                <w:highlight w:val="none"/>
                <w:lang w:val="en-US" w:eastAsia="zh-CN"/>
              </w:rPr>
            </w:pPr>
          </w:p>
        </w:tc>
        <w:tc>
          <w:tcPr>
            <w:tcW w:w="868" w:type="dxa"/>
            <w:noWrap w:val="0"/>
            <w:vAlign w:val="center"/>
          </w:tcPr>
          <w:p w14:paraId="2ACACB77">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906" w:type="dxa"/>
            <w:noWrap w:val="0"/>
            <w:vAlign w:val="center"/>
          </w:tcPr>
          <w:p w14:paraId="10A00027">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251" w:type="dxa"/>
            <w:noWrap w:val="0"/>
            <w:vAlign w:val="center"/>
          </w:tcPr>
          <w:p w14:paraId="16C08B73">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432" w:type="dxa"/>
            <w:noWrap w:val="0"/>
            <w:vAlign w:val="center"/>
          </w:tcPr>
          <w:p w14:paraId="4B599D0B">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541" w:type="dxa"/>
            <w:noWrap w:val="0"/>
            <w:vAlign w:val="center"/>
          </w:tcPr>
          <w:p w14:paraId="505B0094">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504" w:type="dxa"/>
            <w:noWrap w:val="0"/>
            <w:vAlign w:val="center"/>
          </w:tcPr>
          <w:p w14:paraId="31D63AE5">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724" w:type="dxa"/>
            <w:noWrap w:val="0"/>
            <w:vAlign w:val="center"/>
          </w:tcPr>
          <w:p w14:paraId="0A6E0F62">
            <w:pPr>
              <w:spacing w:line="440" w:lineRule="exact"/>
              <w:jc w:val="center"/>
              <w:outlineLvl w:val="9"/>
              <w:rPr>
                <w:rFonts w:hint="eastAsia" w:asciiTheme="minorEastAsia" w:hAnsiTheme="minorEastAsia" w:eastAsiaTheme="minorEastAsia" w:cstheme="minorEastAsia"/>
                <w:color w:val="auto"/>
                <w:szCs w:val="21"/>
                <w:highlight w:val="none"/>
              </w:rPr>
            </w:pPr>
          </w:p>
        </w:tc>
      </w:tr>
      <w:tr w14:paraId="7F5F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noWrap w:val="0"/>
            <w:vAlign w:val="center"/>
          </w:tcPr>
          <w:p w14:paraId="1859F4FC">
            <w:pPr>
              <w:spacing w:line="440" w:lineRule="exact"/>
              <w:ind w:left="210" w:leftChars="100"/>
              <w:outlineLvl w:val="9"/>
              <w:rPr>
                <w:rFonts w:hint="eastAsia" w:asciiTheme="minorEastAsia" w:hAnsiTheme="minorEastAsia" w:eastAsiaTheme="minorEastAsia" w:cstheme="minorEastAsia"/>
                <w:color w:val="auto"/>
                <w:szCs w:val="21"/>
                <w:highlight w:val="none"/>
              </w:rPr>
            </w:pPr>
          </w:p>
        </w:tc>
        <w:tc>
          <w:tcPr>
            <w:tcW w:w="868" w:type="dxa"/>
            <w:noWrap w:val="0"/>
            <w:vAlign w:val="top"/>
          </w:tcPr>
          <w:p w14:paraId="3C80FF08">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906" w:type="dxa"/>
            <w:noWrap w:val="0"/>
            <w:vAlign w:val="top"/>
          </w:tcPr>
          <w:p w14:paraId="6552871C">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251" w:type="dxa"/>
            <w:noWrap w:val="0"/>
            <w:vAlign w:val="top"/>
          </w:tcPr>
          <w:p w14:paraId="58112DBA">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432" w:type="dxa"/>
            <w:noWrap w:val="0"/>
            <w:vAlign w:val="top"/>
          </w:tcPr>
          <w:p w14:paraId="2B117782">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541" w:type="dxa"/>
            <w:noWrap w:val="0"/>
            <w:vAlign w:val="top"/>
          </w:tcPr>
          <w:p w14:paraId="0A01AFE4">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504" w:type="dxa"/>
            <w:noWrap w:val="0"/>
            <w:vAlign w:val="top"/>
          </w:tcPr>
          <w:p w14:paraId="711B78F1">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724" w:type="dxa"/>
            <w:noWrap w:val="0"/>
            <w:vAlign w:val="top"/>
          </w:tcPr>
          <w:p w14:paraId="1439A50F">
            <w:pPr>
              <w:spacing w:line="440" w:lineRule="exact"/>
              <w:jc w:val="center"/>
              <w:outlineLvl w:val="9"/>
              <w:rPr>
                <w:rFonts w:hint="eastAsia" w:asciiTheme="minorEastAsia" w:hAnsiTheme="minorEastAsia" w:eastAsiaTheme="minorEastAsia" w:cstheme="minorEastAsia"/>
                <w:color w:val="auto"/>
                <w:szCs w:val="21"/>
                <w:highlight w:val="none"/>
              </w:rPr>
            </w:pPr>
          </w:p>
        </w:tc>
      </w:tr>
      <w:tr w14:paraId="53FA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noWrap w:val="0"/>
            <w:vAlign w:val="center"/>
          </w:tcPr>
          <w:p w14:paraId="2BF97278">
            <w:pPr>
              <w:spacing w:line="440" w:lineRule="exact"/>
              <w:ind w:left="210" w:leftChars="100"/>
              <w:outlineLvl w:val="9"/>
              <w:rPr>
                <w:rFonts w:hint="eastAsia" w:asciiTheme="minorEastAsia" w:hAnsiTheme="minorEastAsia" w:eastAsiaTheme="minorEastAsia" w:cstheme="minorEastAsia"/>
                <w:color w:val="auto"/>
                <w:szCs w:val="21"/>
                <w:highlight w:val="none"/>
              </w:rPr>
            </w:pPr>
          </w:p>
        </w:tc>
        <w:tc>
          <w:tcPr>
            <w:tcW w:w="868" w:type="dxa"/>
            <w:noWrap w:val="0"/>
            <w:vAlign w:val="top"/>
          </w:tcPr>
          <w:p w14:paraId="3AF60809">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906" w:type="dxa"/>
            <w:noWrap w:val="0"/>
            <w:vAlign w:val="top"/>
          </w:tcPr>
          <w:p w14:paraId="599FAA17">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251" w:type="dxa"/>
            <w:noWrap w:val="0"/>
            <w:vAlign w:val="top"/>
          </w:tcPr>
          <w:p w14:paraId="21052421">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432" w:type="dxa"/>
            <w:noWrap w:val="0"/>
            <w:vAlign w:val="top"/>
          </w:tcPr>
          <w:p w14:paraId="1BEBFAEC">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541" w:type="dxa"/>
            <w:noWrap w:val="0"/>
            <w:vAlign w:val="top"/>
          </w:tcPr>
          <w:p w14:paraId="26DE5882">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504" w:type="dxa"/>
            <w:noWrap w:val="0"/>
            <w:vAlign w:val="top"/>
          </w:tcPr>
          <w:p w14:paraId="5395EAD0">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724" w:type="dxa"/>
            <w:noWrap w:val="0"/>
            <w:vAlign w:val="top"/>
          </w:tcPr>
          <w:p w14:paraId="0AF5EEA5">
            <w:pPr>
              <w:spacing w:line="440" w:lineRule="exact"/>
              <w:jc w:val="center"/>
              <w:outlineLvl w:val="9"/>
              <w:rPr>
                <w:rFonts w:hint="eastAsia" w:asciiTheme="minorEastAsia" w:hAnsiTheme="minorEastAsia" w:eastAsiaTheme="minorEastAsia" w:cstheme="minorEastAsia"/>
                <w:color w:val="auto"/>
                <w:szCs w:val="21"/>
                <w:highlight w:val="none"/>
              </w:rPr>
            </w:pPr>
          </w:p>
        </w:tc>
      </w:tr>
      <w:tr w14:paraId="636E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noWrap w:val="0"/>
            <w:vAlign w:val="center"/>
          </w:tcPr>
          <w:p w14:paraId="09152FA4">
            <w:pPr>
              <w:spacing w:line="440" w:lineRule="exact"/>
              <w:ind w:left="210" w:leftChars="100"/>
              <w:outlineLvl w:val="9"/>
              <w:rPr>
                <w:rFonts w:hint="eastAsia" w:asciiTheme="minorEastAsia" w:hAnsiTheme="minorEastAsia" w:eastAsiaTheme="minorEastAsia" w:cstheme="minorEastAsia"/>
                <w:color w:val="auto"/>
                <w:szCs w:val="21"/>
                <w:highlight w:val="none"/>
              </w:rPr>
            </w:pPr>
          </w:p>
        </w:tc>
        <w:tc>
          <w:tcPr>
            <w:tcW w:w="868" w:type="dxa"/>
            <w:noWrap w:val="0"/>
            <w:vAlign w:val="top"/>
          </w:tcPr>
          <w:p w14:paraId="68045097">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906" w:type="dxa"/>
            <w:noWrap w:val="0"/>
            <w:vAlign w:val="top"/>
          </w:tcPr>
          <w:p w14:paraId="5FA20E86">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251" w:type="dxa"/>
            <w:noWrap w:val="0"/>
            <w:vAlign w:val="top"/>
          </w:tcPr>
          <w:p w14:paraId="1EBFD46F">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432" w:type="dxa"/>
            <w:noWrap w:val="0"/>
            <w:vAlign w:val="top"/>
          </w:tcPr>
          <w:p w14:paraId="4BA30825">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541" w:type="dxa"/>
            <w:noWrap w:val="0"/>
            <w:vAlign w:val="top"/>
          </w:tcPr>
          <w:p w14:paraId="249E5870">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504" w:type="dxa"/>
            <w:noWrap w:val="0"/>
            <w:vAlign w:val="top"/>
          </w:tcPr>
          <w:p w14:paraId="09F2E45A">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724" w:type="dxa"/>
            <w:noWrap w:val="0"/>
            <w:vAlign w:val="top"/>
          </w:tcPr>
          <w:p w14:paraId="0B445BD7">
            <w:pPr>
              <w:spacing w:line="440" w:lineRule="exact"/>
              <w:jc w:val="center"/>
              <w:outlineLvl w:val="9"/>
              <w:rPr>
                <w:rFonts w:hint="eastAsia" w:asciiTheme="minorEastAsia" w:hAnsiTheme="minorEastAsia" w:eastAsiaTheme="minorEastAsia" w:cstheme="minorEastAsia"/>
                <w:color w:val="auto"/>
                <w:szCs w:val="21"/>
                <w:highlight w:val="none"/>
              </w:rPr>
            </w:pPr>
          </w:p>
        </w:tc>
      </w:tr>
      <w:tr w14:paraId="3BCD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89" w:type="dxa"/>
            <w:noWrap w:val="0"/>
            <w:vAlign w:val="center"/>
          </w:tcPr>
          <w:p w14:paraId="3BB0414D">
            <w:pPr>
              <w:spacing w:line="440" w:lineRule="exact"/>
              <w:ind w:left="210" w:leftChars="100"/>
              <w:outlineLvl w:val="9"/>
              <w:rPr>
                <w:rFonts w:hint="eastAsia" w:asciiTheme="minorEastAsia" w:hAnsiTheme="minorEastAsia" w:eastAsiaTheme="minorEastAsia" w:cstheme="minorEastAsia"/>
                <w:color w:val="auto"/>
                <w:szCs w:val="21"/>
                <w:highlight w:val="none"/>
                <w:lang w:val="en-US" w:eastAsia="zh-CN"/>
              </w:rPr>
            </w:pPr>
          </w:p>
        </w:tc>
        <w:tc>
          <w:tcPr>
            <w:tcW w:w="868" w:type="dxa"/>
            <w:noWrap w:val="0"/>
            <w:vAlign w:val="top"/>
          </w:tcPr>
          <w:p w14:paraId="58BD8F37">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906" w:type="dxa"/>
            <w:noWrap w:val="0"/>
            <w:vAlign w:val="top"/>
          </w:tcPr>
          <w:p w14:paraId="5270BCB4">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251" w:type="dxa"/>
            <w:noWrap w:val="0"/>
            <w:vAlign w:val="top"/>
          </w:tcPr>
          <w:p w14:paraId="3D18FA5A">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432" w:type="dxa"/>
            <w:noWrap w:val="0"/>
            <w:vAlign w:val="top"/>
          </w:tcPr>
          <w:p w14:paraId="0BAD75D6">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541" w:type="dxa"/>
            <w:noWrap w:val="0"/>
            <w:vAlign w:val="top"/>
          </w:tcPr>
          <w:p w14:paraId="06D6C30E">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504" w:type="dxa"/>
            <w:noWrap w:val="0"/>
            <w:vAlign w:val="top"/>
          </w:tcPr>
          <w:p w14:paraId="2A5091CB">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724" w:type="dxa"/>
            <w:noWrap w:val="0"/>
            <w:vAlign w:val="top"/>
          </w:tcPr>
          <w:p w14:paraId="639BEDC4">
            <w:pPr>
              <w:spacing w:line="440" w:lineRule="exact"/>
              <w:jc w:val="center"/>
              <w:outlineLvl w:val="9"/>
              <w:rPr>
                <w:rFonts w:hint="eastAsia" w:asciiTheme="minorEastAsia" w:hAnsiTheme="minorEastAsia" w:eastAsiaTheme="minorEastAsia" w:cstheme="minorEastAsia"/>
                <w:color w:val="auto"/>
                <w:szCs w:val="21"/>
                <w:highlight w:val="none"/>
              </w:rPr>
            </w:pPr>
          </w:p>
        </w:tc>
      </w:tr>
      <w:tr w14:paraId="6AA3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noWrap w:val="0"/>
            <w:vAlign w:val="top"/>
          </w:tcPr>
          <w:p w14:paraId="1F95ACAA">
            <w:pPr>
              <w:spacing w:line="440" w:lineRule="exact"/>
              <w:ind w:left="210" w:leftChars="100"/>
              <w:outlineLvl w:val="9"/>
              <w:rPr>
                <w:rFonts w:hint="default" w:asciiTheme="minorEastAsia" w:hAnsiTheme="minorEastAsia" w:eastAsiaTheme="minorEastAsia" w:cstheme="minorEastAsia"/>
                <w:color w:val="auto"/>
                <w:szCs w:val="21"/>
                <w:highlight w:val="none"/>
                <w:lang w:val="en-US" w:eastAsia="zh-CN"/>
              </w:rPr>
            </w:pPr>
          </w:p>
        </w:tc>
        <w:tc>
          <w:tcPr>
            <w:tcW w:w="868" w:type="dxa"/>
            <w:noWrap w:val="0"/>
            <w:vAlign w:val="top"/>
          </w:tcPr>
          <w:p w14:paraId="721F7DF6">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906" w:type="dxa"/>
            <w:noWrap w:val="0"/>
            <w:vAlign w:val="top"/>
          </w:tcPr>
          <w:p w14:paraId="6E3CC503">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251" w:type="dxa"/>
            <w:noWrap w:val="0"/>
            <w:vAlign w:val="top"/>
          </w:tcPr>
          <w:p w14:paraId="177082D3">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432" w:type="dxa"/>
            <w:noWrap w:val="0"/>
            <w:vAlign w:val="top"/>
          </w:tcPr>
          <w:p w14:paraId="5BFA3227">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541" w:type="dxa"/>
            <w:noWrap w:val="0"/>
            <w:vAlign w:val="top"/>
          </w:tcPr>
          <w:p w14:paraId="28D99CC2">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504" w:type="dxa"/>
            <w:noWrap w:val="0"/>
            <w:vAlign w:val="top"/>
          </w:tcPr>
          <w:p w14:paraId="5984F016">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724" w:type="dxa"/>
            <w:noWrap w:val="0"/>
            <w:vAlign w:val="top"/>
          </w:tcPr>
          <w:p w14:paraId="57D07392">
            <w:pPr>
              <w:spacing w:line="440" w:lineRule="exact"/>
              <w:jc w:val="center"/>
              <w:outlineLvl w:val="9"/>
              <w:rPr>
                <w:rFonts w:hint="eastAsia" w:asciiTheme="minorEastAsia" w:hAnsiTheme="minorEastAsia" w:eastAsiaTheme="minorEastAsia" w:cstheme="minorEastAsia"/>
                <w:color w:val="auto"/>
                <w:szCs w:val="21"/>
                <w:highlight w:val="none"/>
              </w:rPr>
            </w:pPr>
          </w:p>
        </w:tc>
      </w:tr>
      <w:tr w14:paraId="36B6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noWrap w:val="0"/>
            <w:vAlign w:val="top"/>
          </w:tcPr>
          <w:p w14:paraId="29AC6624">
            <w:pPr>
              <w:spacing w:line="440" w:lineRule="exact"/>
              <w:ind w:left="210" w:leftChars="100"/>
              <w:outlineLvl w:val="9"/>
              <w:rPr>
                <w:rFonts w:hint="default" w:asciiTheme="minorEastAsia" w:hAnsiTheme="minorEastAsia" w:eastAsiaTheme="minorEastAsia" w:cstheme="minorEastAsia"/>
                <w:color w:val="auto"/>
                <w:szCs w:val="21"/>
                <w:highlight w:val="none"/>
                <w:lang w:val="en-US" w:eastAsia="zh-CN"/>
              </w:rPr>
            </w:pPr>
          </w:p>
        </w:tc>
        <w:tc>
          <w:tcPr>
            <w:tcW w:w="868" w:type="dxa"/>
            <w:noWrap w:val="0"/>
            <w:vAlign w:val="top"/>
          </w:tcPr>
          <w:p w14:paraId="319E1FBE">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906" w:type="dxa"/>
            <w:noWrap w:val="0"/>
            <w:vAlign w:val="top"/>
          </w:tcPr>
          <w:p w14:paraId="65A80B81">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251" w:type="dxa"/>
            <w:noWrap w:val="0"/>
            <w:vAlign w:val="top"/>
          </w:tcPr>
          <w:p w14:paraId="682FEF61">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432" w:type="dxa"/>
            <w:noWrap w:val="0"/>
            <w:vAlign w:val="top"/>
          </w:tcPr>
          <w:p w14:paraId="2CCB9D52">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541" w:type="dxa"/>
            <w:noWrap w:val="0"/>
            <w:vAlign w:val="top"/>
          </w:tcPr>
          <w:p w14:paraId="3BE6B5D3">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504" w:type="dxa"/>
            <w:noWrap w:val="0"/>
            <w:vAlign w:val="top"/>
          </w:tcPr>
          <w:p w14:paraId="17255E3E">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724" w:type="dxa"/>
            <w:noWrap w:val="0"/>
            <w:vAlign w:val="top"/>
          </w:tcPr>
          <w:p w14:paraId="041B22FA">
            <w:pPr>
              <w:spacing w:line="440" w:lineRule="exact"/>
              <w:jc w:val="center"/>
              <w:outlineLvl w:val="9"/>
              <w:rPr>
                <w:rFonts w:hint="eastAsia" w:asciiTheme="minorEastAsia" w:hAnsiTheme="minorEastAsia" w:eastAsiaTheme="minorEastAsia" w:cstheme="minorEastAsia"/>
                <w:color w:val="auto"/>
                <w:szCs w:val="21"/>
                <w:highlight w:val="none"/>
              </w:rPr>
            </w:pPr>
          </w:p>
        </w:tc>
      </w:tr>
      <w:tr w14:paraId="048D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noWrap w:val="0"/>
            <w:vAlign w:val="top"/>
          </w:tcPr>
          <w:p w14:paraId="40E054FA">
            <w:pPr>
              <w:spacing w:line="440" w:lineRule="exact"/>
              <w:ind w:left="210" w:leftChars="100"/>
              <w:outlineLvl w:val="9"/>
              <w:rPr>
                <w:rFonts w:hint="default" w:asciiTheme="minorEastAsia" w:hAnsiTheme="minorEastAsia" w:eastAsiaTheme="minorEastAsia" w:cstheme="minorEastAsia"/>
                <w:color w:val="auto"/>
                <w:szCs w:val="21"/>
                <w:highlight w:val="none"/>
                <w:lang w:val="en-US" w:eastAsia="zh-CN"/>
              </w:rPr>
            </w:pPr>
          </w:p>
        </w:tc>
        <w:tc>
          <w:tcPr>
            <w:tcW w:w="868" w:type="dxa"/>
            <w:noWrap w:val="0"/>
            <w:vAlign w:val="top"/>
          </w:tcPr>
          <w:p w14:paraId="3E6943C7">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906" w:type="dxa"/>
            <w:noWrap w:val="0"/>
            <w:vAlign w:val="top"/>
          </w:tcPr>
          <w:p w14:paraId="2751360B">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251" w:type="dxa"/>
            <w:noWrap w:val="0"/>
            <w:vAlign w:val="top"/>
          </w:tcPr>
          <w:p w14:paraId="665AF302">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432" w:type="dxa"/>
            <w:noWrap w:val="0"/>
            <w:vAlign w:val="top"/>
          </w:tcPr>
          <w:p w14:paraId="02E260DF">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541" w:type="dxa"/>
            <w:noWrap w:val="0"/>
            <w:vAlign w:val="top"/>
          </w:tcPr>
          <w:p w14:paraId="730462FA">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504" w:type="dxa"/>
            <w:noWrap w:val="0"/>
            <w:vAlign w:val="top"/>
          </w:tcPr>
          <w:p w14:paraId="64214496">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724" w:type="dxa"/>
            <w:noWrap w:val="0"/>
            <w:vAlign w:val="top"/>
          </w:tcPr>
          <w:p w14:paraId="69E8B3A6">
            <w:pPr>
              <w:spacing w:line="440" w:lineRule="exact"/>
              <w:jc w:val="center"/>
              <w:outlineLvl w:val="9"/>
              <w:rPr>
                <w:rFonts w:hint="eastAsia" w:asciiTheme="minorEastAsia" w:hAnsiTheme="minorEastAsia" w:eastAsiaTheme="minorEastAsia" w:cstheme="minorEastAsia"/>
                <w:color w:val="auto"/>
                <w:szCs w:val="21"/>
                <w:highlight w:val="none"/>
              </w:rPr>
            </w:pPr>
          </w:p>
        </w:tc>
      </w:tr>
      <w:tr w14:paraId="5F20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noWrap w:val="0"/>
            <w:vAlign w:val="top"/>
          </w:tcPr>
          <w:p w14:paraId="61A7EBC6">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868" w:type="dxa"/>
            <w:noWrap w:val="0"/>
            <w:vAlign w:val="top"/>
          </w:tcPr>
          <w:p w14:paraId="062E99D8">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906" w:type="dxa"/>
            <w:noWrap w:val="0"/>
            <w:vAlign w:val="top"/>
          </w:tcPr>
          <w:p w14:paraId="2A49EF31">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251" w:type="dxa"/>
            <w:noWrap w:val="0"/>
            <w:vAlign w:val="top"/>
          </w:tcPr>
          <w:p w14:paraId="00D4A65E">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432" w:type="dxa"/>
            <w:noWrap w:val="0"/>
            <w:vAlign w:val="top"/>
          </w:tcPr>
          <w:p w14:paraId="34827230">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541" w:type="dxa"/>
            <w:noWrap w:val="0"/>
            <w:vAlign w:val="top"/>
          </w:tcPr>
          <w:p w14:paraId="558B7D24">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1504" w:type="dxa"/>
            <w:noWrap w:val="0"/>
            <w:vAlign w:val="top"/>
          </w:tcPr>
          <w:p w14:paraId="43E96807">
            <w:pPr>
              <w:spacing w:line="440" w:lineRule="exact"/>
              <w:jc w:val="center"/>
              <w:outlineLvl w:val="9"/>
              <w:rPr>
                <w:rFonts w:hint="eastAsia" w:asciiTheme="minorEastAsia" w:hAnsiTheme="minorEastAsia" w:eastAsiaTheme="minorEastAsia" w:cstheme="minorEastAsia"/>
                <w:color w:val="auto"/>
                <w:szCs w:val="21"/>
                <w:highlight w:val="none"/>
              </w:rPr>
            </w:pPr>
          </w:p>
        </w:tc>
        <w:tc>
          <w:tcPr>
            <w:tcW w:w="724" w:type="dxa"/>
            <w:noWrap w:val="0"/>
            <w:vAlign w:val="top"/>
          </w:tcPr>
          <w:p w14:paraId="1EBE6A2E">
            <w:pPr>
              <w:spacing w:line="440" w:lineRule="exact"/>
              <w:jc w:val="center"/>
              <w:outlineLvl w:val="9"/>
              <w:rPr>
                <w:rFonts w:hint="eastAsia" w:asciiTheme="minorEastAsia" w:hAnsiTheme="minorEastAsia" w:eastAsiaTheme="minorEastAsia" w:cstheme="minorEastAsia"/>
                <w:color w:val="auto"/>
                <w:szCs w:val="21"/>
                <w:highlight w:val="none"/>
              </w:rPr>
            </w:pPr>
          </w:p>
        </w:tc>
      </w:tr>
    </w:tbl>
    <w:p w14:paraId="5515928D">
      <w:pPr>
        <w:spacing w:line="440" w:lineRule="exact"/>
        <w:ind w:left="210" w:leftChars="1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注：1、本工程一旦我单位中标，将配备上述项目管理人员。上述填报内容真实，如不真实，将按照有关规定接受处理。</w:t>
      </w:r>
    </w:p>
    <w:p w14:paraId="74908EBE">
      <w:pPr>
        <w:numPr>
          <w:ilvl w:val="0"/>
          <w:numId w:val="13"/>
        </w:numPr>
        <w:spacing w:line="440" w:lineRule="exact"/>
        <w:ind w:left="210" w:leftChars="100" w:firstLine="420" w:firstLineChars="200"/>
        <w:outlineLvl w:val="9"/>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承包人若需要更换本工程</w:t>
      </w:r>
      <w:r>
        <w:rPr>
          <w:rFonts w:hint="eastAsia" w:asciiTheme="minorEastAsia" w:hAnsiTheme="minorEastAsia" w:eastAsiaTheme="minorEastAsia" w:cstheme="minorEastAsia"/>
          <w:b/>
          <w:color w:val="auto"/>
          <w:kern w:val="0"/>
          <w:szCs w:val="21"/>
          <w:highlight w:val="none"/>
          <w:lang w:val="en-US" w:eastAsia="zh-CN"/>
        </w:rPr>
        <w:t>响应</w:t>
      </w:r>
      <w:r>
        <w:rPr>
          <w:rFonts w:hint="eastAsia" w:asciiTheme="minorEastAsia" w:hAnsiTheme="minorEastAsia" w:eastAsiaTheme="minorEastAsia" w:cstheme="minorEastAsia"/>
          <w:b/>
          <w:color w:val="auto"/>
          <w:kern w:val="0"/>
          <w:szCs w:val="21"/>
          <w:highlight w:val="none"/>
        </w:rPr>
        <w:t>文件中原有人员时须经发包人同意。未经发包人同意，承包人更换人员应承担违约责任</w:t>
      </w:r>
      <w:r>
        <w:rPr>
          <w:rFonts w:hint="eastAsia" w:asciiTheme="minorEastAsia" w:hAnsiTheme="minorEastAsia" w:eastAsiaTheme="minorEastAsia" w:cstheme="minorEastAsia"/>
          <w:b/>
          <w:color w:val="auto"/>
          <w:kern w:val="0"/>
          <w:szCs w:val="21"/>
          <w:highlight w:val="none"/>
          <w:lang w:eastAsia="zh-CN"/>
        </w:rPr>
        <w:t>，</w:t>
      </w:r>
      <w:r>
        <w:rPr>
          <w:rFonts w:hint="eastAsia" w:asciiTheme="minorEastAsia" w:hAnsiTheme="minorEastAsia" w:eastAsiaTheme="minorEastAsia" w:cstheme="minorEastAsia"/>
          <w:b/>
          <w:color w:val="auto"/>
          <w:kern w:val="0"/>
          <w:szCs w:val="21"/>
          <w:highlight w:val="none"/>
        </w:rPr>
        <w:t>并且按照中标价</w:t>
      </w:r>
      <w:r>
        <w:rPr>
          <w:rFonts w:hint="eastAsia" w:asciiTheme="minorEastAsia" w:hAnsiTheme="minorEastAsia" w:eastAsiaTheme="minorEastAsia" w:cstheme="minorEastAsia"/>
          <w:b/>
          <w:color w:val="auto"/>
          <w:kern w:val="0"/>
          <w:szCs w:val="21"/>
          <w:highlight w:val="none"/>
          <w:u w:val="single"/>
        </w:rPr>
        <w:t xml:space="preserve"> </w:t>
      </w:r>
      <w:r>
        <w:rPr>
          <w:rFonts w:hint="eastAsia" w:asciiTheme="minorEastAsia" w:hAnsiTheme="minorEastAsia" w:eastAsiaTheme="minorEastAsia" w:cstheme="minorEastAsia"/>
          <w:b/>
          <w:bCs/>
          <w:color w:val="auto"/>
          <w:kern w:val="0"/>
          <w:szCs w:val="21"/>
          <w:highlight w:val="none"/>
          <w:u w:val="single"/>
        </w:rPr>
        <w:t>5</w:t>
      </w:r>
      <w:r>
        <w:rPr>
          <w:rFonts w:hint="eastAsia" w:asciiTheme="minorEastAsia" w:hAnsiTheme="minorEastAsia" w:eastAsiaTheme="minorEastAsia" w:cstheme="minorEastAsia"/>
          <w:b/>
          <w:color w:val="auto"/>
          <w:kern w:val="0"/>
          <w:szCs w:val="21"/>
          <w:highlight w:val="none"/>
          <w:u w:val="single"/>
        </w:rPr>
        <w:t xml:space="preserve"> </w:t>
      </w: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color w:val="auto"/>
          <w:kern w:val="0"/>
          <w:szCs w:val="21"/>
          <w:highlight w:val="none"/>
        </w:rPr>
        <w:t xml:space="preserve"> 给发包人支付违约金。</w:t>
      </w:r>
    </w:p>
    <w:p w14:paraId="03C3931A">
      <w:pPr>
        <w:numPr>
          <w:ilvl w:val="0"/>
          <w:numId w:val="0"/>
        </w:numPr>
        <w:spacing w:line="440" w:lineRule="exact"/>
        <w:ind w:leftChars="300"/>
        <w:outlineLvl w:val="9"/>
        <w:rPr>
          <w:rFonts w:hint="eastAsia" w:asciiTheme="minorEastAsia" w:hAnsiTheme="minorEastAsia" w:eastAsiaTheme="minorEastAsia" w:cstheme="minorEastAsia"/>
          <w:color w:val="auto"/>
          <w:szCs w:val="21"/>
          <w:highlight w:val="none"/>
        </w:rPr>
      </w:pPr>
    </w:p>
    <w:p w14:paraId="32A53000">
      <w:pPr>
        <w:numPr>
          <w:ilvl w:val="0"/>
          <w:numId w:val="0"/>
        </w:numPr>
        <w:spacing w:line="440" w:lineRule="exact"/>
        <w:ind w:leftChars="300"/>
        <w:jc w:val="lef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color w:val="auto"/>
          <w:szCs w:val="21"/>
          <w:highlight w:val="none"/>
          <w:lang w:val="en-US" w:eastAsia="zh-CN"/>
        </w:rPr>
        <w:t xml:space="preserve">5.2 </w:t>
      </w:r>
      <w:r>
        <w:rPr>
          <w:rFonts w:hint="eastAsia" w:asciiTheme="minorEastAsia" w:hAnsiTheme="minorEastAsia" w:eastAsiaTheme="minorEastAsia" w:cstheme="minorEastAsia"/>
          <w:color w:val="auto"/>
          <w:szCs w:val="21"/>
          <w:highlight w:val="none"/>
        </w:rPr>
        <w:t>主要人员简历表</w:t>
      </w:r>
    </w:p>
    <w:p w14:paraId="77192BE9">
      <w:pPr>
        <w:spacing w:line="420" w:lineRule="exac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5.2.</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项目经理简历表</w:t>
      </w:r>
    </w:p>
    <w:p w14:paraId="4F48C718">
      <w:pPr>
        <w:spacing w:line="420" w:lineRule="exact"/>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项目经理应附建造师注册证书、安全生产考核证书、身份证、职称证</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如有</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、学历证</w:t>
      </w:r>
      <w:r>
        <w:rPr>
          <w:rFonts w:hint="eastAsia" w:asciiTheme="minorEastAsia" w:hAnsiTheme="minorEastAsia" w:eastAsiaTheme="minorEastAsia" w:cstheme="minorEastAsia"/>
          <w:color w:val="auto"/>
          <w:szCs w:val="21"/>
          <w:highlight w:val="none"/>
          <w:lang w:val="en-US" w:eastAsia="zh-CN"/>
        </w:rPr>
        <w:t>等资料</w:t>
      </w:r>
      <w:r>
        <w:rPr>
          <w:rFonts w:hint="eastAsia" w:asciiTheme="minorEastAsia" w:hAnsiTheme="minorEastAsia" w:eastAsiaTheme="minorEastAsia" w:cstheme="minorEastAsia"/>
          <w:color w:val="auto"/>
          <w:szCs w:val="21"/>
          <w:highlight w:val="none"/>
        </w:rPr>
        <w:t>复印件及未担任其他在施建设工程项目项目经理的承诺书，管理过的项目业绩须附中标通知书、合同协议书复印件。类似项目限于以项目经理身份参与的项目。</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441"/>
      </w:tblGrid>
      <w:tr w14:paraId="0042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1092B0AC">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  名</w:t>
            </w:r>
          </w:p>
        </w:tc>
        <w:tc>
          <w:tcPr>
            <w:tcW w:w="1035" w:type="dxa"/>
            <w:noWrap w:val="0"/>
            <w:vAlign w:val="center"/>
          </w:tcPr>
          <w:p w14:paraId="4487C06E">
            <w:pPr>
              <w:jc w:val="center"/>
              <w:outlineLvl w:val="9"/>
              <w:rPr>
                <w:rFonts w:hint="eastAsia" w:asciiTheme="minorEastAsia" w:hAnsiTheme="minorEastAsia" w:eastAsiaTheme="minorEastAsia" w:cstheme="minorEastAsia"/>
                <w:color w:val="auto"/>
                <w:szCs w:val="21"/>
                <w:highlight w:val="none"/>
              </w:rPr>
            </w:pPr>
          </w:p>
        </w:tc>
        <w:tc>
          <w:tcPr>
            <w:tcW w:w="1134" w:type="dxa"/>
            <w:noWrap w:val="0"/>
            <w:vAlign w:val="center"/>
          </w:tcPr>
          <w:p w14:paraId="66003B41">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  龄</w:t>
            </w:r>
          </w:p>
        </w:tc>
        <w:tc>
          <w:tcPr>
            <w:tcW w:w="1275" w:type="dxa"/>
            <w:noWrap w:val="0"/>
            <w:vAlign w:val="center"/>
          </w:tcPr>
          <w:p w14:paraId="54F2EE97">
            <w:pPr>
              <w:jc w:val="center"/>
              <w:outlineLvl w:val="9"/>
              <w:rPr>
                <w:rFonts w:hint="eastAsia" w:asciiTheme="minorEastAsia" w:hAnsiTheme="minorEastAsia" w:eastAsiaTheme="minorEastAsia" w:cstheme="minorEastAsia"/>
                <w:color w:val="auto"/>
                <w:szCs w:val="21"/>
                <w:highlight w:val="none"/>
              </w:rPr>
            </w:pPr>
          </w:p>
        </w:tc>
        <w:tc>
          <w:tcPr>
            <w:tcW w:w="1843" w:type="dxa"/>
            <w:noWrap w:val="0"/>
            <w:vAlign w:val="center"/>
          </w:tcPr>
          <w:p w14:paraId="2E099EEB">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学历</w:t>
            </w:r>
          </w:p>
        </w:tc>
        <w:tc>
          <w:tcPr>
            <w:tcW w:w="2441" w:type="dxa"/>
            <w:noWrap w:val="0"/>
            <w:vAlign w:val="center"/>
          </w:tcPr>
          <w:p w14:paraId="26EEA084">
            <w:pPr>
              <w:jc w:val="center"/>
              <w:outlineLvl w:val="9"/>
              <w:rPr>
                <w:rFonts w:hint="eastAsia" w:asciiTheme="minorEastAsia" w:hAnsiTheme="minorEastAsia" w:eastAsiaTheme="minorEastAsia" w:cstheme="minorEastAsia"/>
                <w:color w:val="auto"/>
                <w:szCs w:val="21"/>
                <w:highlight w:val="none"/>
              </w:rPr>
            </w:pPr>
          </w:p>
        </w:tc>
      </w:tr>
      <w:tr w14:paraId="7C0B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149D51DC">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  称</w:t>
            </w:r>
          </w:p>
        </w:tc>
        <w:tc>
          <w:tcPr>
            <w:tcW w:w="1035" w:type="dxa"/>
            <w:noWrap w:val="0"/>
            <w:vAlign w:val="center"/>
          </w:tcPr>
          <w:p w14:paraId="1D98E5C8">
            <w:pPr>
              <w:jc w:val="center"/>
              <w:outlineLvl w:val="9"/>
              <w:rPr>
                <w:rFonts w:hint="eastAsia" w:asciiTheme="minorEastAsia" w:hAnsiTheme="minorEastAsia" w:eastAsiaTheme="minorEastAsia" w:cstheme="minorEastAsia"/>
                <w:color w:val="auto"/>
                <w:szCs w:val="21"/>
                <w:highlight w:val="none"/>
              </w:rPr>
            </w:pPr>
          </w:p>
        </w:tc>
        <w:tc>
          <w:tcPr>
            <w:tcW w:w="1134" w:type="dxa"/>
            <w:noWrap w:val="0"/>
            <w:vAlign w:val="center"/>
          </w:tcPr>
          <w:p w14:paraId="0EA30DBE">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  务</w:t>
            </w:r>
          </w:p>
        </w:tc>
        <w:tc>
          <w:tcPr>
            <w:tcW w:w="1275" w:type="dxa"/>
            <w:noWrap w:val="0"/>
            <w:vAlign w:val="center"/>
          </w:tcPr>
          <w:p w14:paraId="054342E8">
            <w:pPr>
              <w:jc w:val="center"/>
              <w:outlineLvl w:val="9"/>
              <w:rPr>
                <w:rFonts w:hint="eastAsia" w:asciiTheme="minorEastAsia" w:hAnsiTheme="minorEastAsia" w:eastAsiaTheme="minorEastAsia" w:cstheme="minorEastAsia"/>
                <w:color w:val="auto"/>
                <w:szCs w:val="21"/>
                <w:highlight w:val="none"/>
              </w:rPr>
            </w:pPr>
          </w:p>
        </w:tc>
        <w:tc>
          <w:tcPr>
            <w:tcW w:w="1843" w:type="dxa"/>
            <w:noWrap w:val="0"/>
            <w:vAlign w:val="center"/>
          </w:tcPr>
          <w:p w14:paraId="3CFA9D83">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拟在本工程任职</w:t>
            </w:r>
          </w:p>
        </w:tc>
        <w:tc>
          <w:tcPr>
            <w:tcW w:w="2441" w:type="dxa"/>
            <w:noWrap w:val="0"/>
            <w:vAlign w:val="center"/>
          </w:tcPr>
          <w:p w14:paraId="5D63BA6F">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w:t>
            </w:r>
          </w:p>
        </w:tc>
      </w:tr>
      <w:tr w14:paraId="17BC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noWrap w:val="0"/>
            <w:vAlign w:val="center"/>
          </w:tcPr>
          <w:p w14:paraId="57CE5A97">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注册建造师执业资格等级</w:t>
            </w:r>
          </w:p>
        </w:tc>
        <w:tc>
          <w:tcPr>
            <w:tcW w:w="1275" w:type="dxa"/>
            <w:noWrap w:val="0"/>
            <w:vAlign w:val="center"/>
          </w:tcPr>
          <w:p w14:paraId="079F81E0">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级</w:t>
            </w:r>
          </w:p>
        </w:tc>
        <w:tc>
          <w:tcPr>
            <w:tcW w:w="1843" w:type="dxa"/>
            <w:noWrap w:val="0"/>
            <w:vAlign w:val="center"/>
          </w:tcPr>
          <w:p w14:paraId="371EDE3F">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建造师专业</w:t>
            </w:r>
          </w:p>
        </w:tc>
        <w:tc>
          <w:tcPr>
            <w:tcW w:w="2441" w:type="dxa"/>
            <w:noWrap w:val="0"/>
            <w:vAlign w:val="center"/>
          </w:tcPr>
          <w:p w14:paraId="1E9D4ECA">
            <w:pPr>
              <w:jc w:val="center"/>
              <w:outlineLvl w:val="9"/>
              <w:rPr>
                <w:rFonts w:hint="eastAsia" w:asciiTheme="minorEastAsia" w:hAnsiTheme="minorEastAsia" w:eastAsiaTheme="minorEastAsia" w:cstheme="minorEastAsia"/>
                <w:color w:val="auto"/>
                <w:szCs w:val="21"/>
                <w:highlight w:val="none"/>
              </w:rPr>
            </w:pPr>
          </w:p>
        </w:tc>
      </w:tr>
      <w:tr w14:paraId="51CC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noWrap w:val="0"/>
            <w:vAlign w:val="center"/>
          </w:tcPr>
          <w:p w14:paraId="2E87EA5D">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安全生产考核合格证书</w:t>
            </w:r>
          </w:p>
        </w:tc>
        <w:tc>
          <w:tcPr>
            <w:tcW w:w="5559" w:type="dxa"/>
            <w:gridSpan w:val="3"/>
            <w:noWrap w:val="0"/>
            <w:vAlign w:val="center"/>
          </w:tcPr>
          <w:p w14:paraId="408403F4">
            <w:pPr>
              <w:jc w:val="center"/>
              <w:outlineLvl w:val="9"/>
              <w:rPr>
                <w:rFonts w:hint="eastAsia" w:asciiTheme="minorEastAsia" w:hAnsiTheme="minorEastAsia" w:eastAsiaTheme="minorEastAsia" w:cstheme="minorEastAsia"/>
                <w:color w:val="auto"/>
                <w:szCs w:val="21"/>
                <w:highlight w:val="none"/>
              </w:rPr>
            </w:pPr>
          </w:p>
        </w:tc>
      </w:tr>
      <w:tr w14:paraId="04ED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55C0C0B6">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毕业学校</w:t>
            </w:r>
          </w:p>
        </w:tc>
        <w:tc>
          <w:tcPr>
            <w:tcW w:w="7728" w:type="dxa"/>
            <w:gridSpan w:val="5"/>
            <w:noWrap w:val="0"/>
            <w:vAlign w:val="center"/>
          </w:tcPr>
          <w:p w14:paraId="1329662B">
            <w:pPr>
              <w:ind w:firstLine="840" w:firstLineChars="4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年毕业于                  学校            专业</w:t>
            </w:r>
          </w:p>
        </w:tc>
      </w:tr>
      <w:tr w14:paraId="32FD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0" w:type="dxa"/>
            <w:gridSpan w:val="6"/>
            <w:noWrap w:val="0"/>
            <w:vAlign w:val="center"/>
          </w:tcPr>
          <w:p w14:paraId="333C8C17">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主要工作经历</w:t>
            </w:r>
          </w:p>
        </w:tc>
      </w:tr>
      <w:tr w14:paraId="63F2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575BEB3E">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  间</w:t>
            </w:r>
          </w:p>
        </w:tc>
        <w:tc>
          <w:tcPr>
            <w:tcW w:w="3444" w:type="dxa"/>
            <w:gridSpan w:val="3"/>
            <w:noWrap w:val="0"/>
            <w:vAlign w:val="center"/>
          </w:tcPr>
          <w:p w14:paraId="268C888F">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参加过的类似项目名称</w:t>
            </w:r>
          </w:p>
        </w:tc>
        <w:tc>
          <w:tcPr>
            <w:tcW w:w="1843" w:type="dxa"/>
            <w:noWrap w:val="0"/>
            <w:vAlign w:val="center"/>
          </w:tcPr>
          <w:p w14:paraId="433F299E">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工程概况说明</w:t>
            </w:r>
          </w:p>
        </w:tc>
        <w:tc>
          <w:tcPr>
            <w:tcW w:w="2441" w:type="dxa"/>
            <w:noWrap w:val="0"/>
            <w:vAlign w:val="center"/>
          </w:tcPr>
          <w:p w14:paraId="5550FE52">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发包人及联系电话</w:t>
            </w:r>
          </w:p>
        </w:tc>
      </w:tr>
      <w:tr w14:paraId="61C7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1D125D71">
            <w:pPr>
              <w:jc w:val="center"/>
              <w:outlineLvl w:val="9"/>
              <w:rPr>
                <w:rFonts w:hint="eastAsia" w:asciiTheme="minorEastAsia" w:hAnsiTheme="minorEastAsia" w:eastAsiaTheme="minorEastAsia" w:cstheme="minorEastAsia"/>
                <w:color w:val="auto"/>
                <w:szCs w:val="21"/>
                <w:highlight w:val="none"/>
              </w:rPr>
            </w:pPr>
          </w:p>
        </w:tc>
        <w:tc>
          <w:tcPr>
            <w:tcW w:w="1035" w:type="dxa"/>
            <w:noWrap w:val="0"/>
            <w:vAlign w:val="center"/>
          </w:tcPr>
          <w:p w14:paraId="26085092">
            <w:pPr>
              <w:jc w:val="center"/>
              <w:outlineLvl w:val="9"/>
              <w:rPr>
                <w:rFonts w:hint="eastAsia" w:asciiTheme="minorEastAsia" w:hAnsiTheme="minorEastAsia" w:eastAsiaTheme="minorEastAsia" w:cstheme="minorEastAsia"/>
                <w:color w:val="auto"/>
                <w:szCs w:val="21"/>
                <w:highlight w:val="none"/>
              </w:rPr>
            </w:pPr>
          </w:p>
        </w:tc>
        <w:tc>
          <w:tcPr>
            <w:tcW w:w="1134" w:type="dxa"/>
            <w:noWrap w:val="0"/>
            <w:vAlign w:val="center"/>
          </w:tcPr>
          <w:p w14:paraId="7E1014F3">
            <w:pPr>
              <w:jc w:val="center"/>
              <w:outlineLvl w:val="9"/>
              <w:rPr>
                <w:rFonts w:hint="eastAsia" w:asciiTheme="minorEastAsia" w:hAnsiTheme="minorEastAsia" w:eastAsiaTheme="minorEastAsia" w:cstheme="minorEastAsia"/>
                <w:color w:val="auto"/>
                <w:szCs w:val="21"/>
                <w:highlight w:val="none"/>
              </w:rPr>
            </w:pPr>
          </w:p>
        </w:tc>
        <w:tc>
          <w:tcPr>
            <w:tcW w:w="1275" w:type="dxa"/>
            <w:noWrap w:val="0"/>
            <w:vAlign w:val="center"/>
          </w:tcPr>
          <w:p w14:paraId="383C62AC">
            <w:pPr>
              <w:jc w:val="center"/>
              <w:outlineLvl w:val="9"/>
              <w:rPr>
                <w:rFonts w:hint="eastAsia" w:asciiTheme="minorEastAsia" w:hAnsiTheme="minorEastAsia" w:eastAsiaTheme="minorEastAsia" w:cstheme="minorEastAsia"/>
                <w:color w:val="auto"/>
                <w:szCs w:val="21"/>
                <w:highlight w:val="none"/>
              </w:rPr>
            </w:pPr>
          </w:p>
        </w:tc>
        <w:tc>
          <w:tcPr>
            <w:tcW w:w="1843" w:type="dxa"/>
            <w:noWrap w:val="0"/>
            <w:vAlign w:val="center"/>
          </w:tcPr>
          <w:p w14:paraId="26BC413B">
            <w:pPr>
              <w:jc w:val="center"/>
              <w:outlineLvl w:val="9"/>
              <w:rPr>
                <w:rFonts w:hint="eastAsia" w:asciiTheme="minorEastAsia" w:hAnsiTheme="minorEastAsia" w:eastAsiaTheme="minorEastAsia" w:cstheme="minorEastAsia"/>
                <w:color w:val="auto"/>
                <w:szCs w:val="21"/>
                <w:highlight w:val="none"/>
              </w:rPr>
            </w:pPr>
          </w:p>
        </w:tc>
        <w:tc>
          <w:tcPr>
            <w:tcW w:w="2441" w:type="dxa"/>
            <w:noWrap w:val="0"/>
            <w:vAlign w:val="center"/>
          </w:tcPr>
          <w:p w14:paraId="32CA166B">
            <w:pPr>
              <w:jc w:val="center"/>
              <w:outlineLvl w:val="9"/>
              <w:rPr>
                <w:rFonts w:hint="eastAsia" w:asciiTheme="minorEastAsia" w:hAnsiTheme="minorEastAsia" w:eastAsiaTheme="minorEastAsia" w:cstheme="minorEastAsia"/>
                <w:color w:val="auto"/>
                <w:szCs w:val="21"/>
                <w:highlight w:val="none"/>
              </w:rPr>
            </w:pPr>
          </w:p>
        </w:tc>
      </w:tr>
      <w:tr w14:paraId="70A1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3D2C3D02">
            <w:pPr>
              <w:jc w:val="center"/>
              <w:outlineLvl w:val="9"/>
              <w:rPr>
                <w:rFonts w:hint="eastAsia" w:asciiTheme="minorEastAsia" w:hAnsiTheme="minorEastAsia" w:eastAsiaTheme="minorEastAsia" w:cstheme="minorEastAsia"/>
                <w:color w:val="auto"/>
                <w:szCs w:val="21"/>
                <w:highlight w:val="none"/>
              </w:rPr>
            </w:pPr>
          </w:p>
        </w:tc>
        <w:tc>
          <w:tcPr>
            <w:tcW w:w="1035" w:type="dxa"/>
            <w:noWrap w:val="0"/>
            <w:vAlign w:val="center"/>
          </w:tcPr>
          <w:p w14:paraId="62BCAC36">
            <w:pPr>
              <w:jc w:val="center"/>
              <w:outlineLvl w:val="9"/>
              <w:rPr>
                <w:rFonts w:hint="eastAsia" w:asciiTheme="minorEastAsia" w:hAnsiTheme="minorEastAsia" w:eastAsiaTheme="minorEastAsia" w:cstheme="minorEastAsia"/>
                <w:color w:val="auto"/>
                <w:szCs w:val="21"/>
                <w:highlight w:val="none"/>
              </w:rPr>
            </w:pPr>
          </w:p>
        </w:tc>
        <w:tc>
          <w:tcPr>
            <w:tcW w:w="1134" w:type="dxa"/>
            <w:noWrap w:val="0"/>
            <w:vAlign w:val="center"/>
          </w:tcPr>
          <w:p w14:paraId="75981B0C">
            <w:pPr>
              <w:jc w:val="center"/>
              <w:outlineLvl w:val="9"/>
              <w:rPr>
                <w:rFonts w:hint="eastAsia" w:asciiTheme="minorEastAsia" w:hAnsiTheme="minorEastAsia" w:eastAsiaTheme="minorEastAsia" w:cstheme="minorEastAsia"/>
                <w:color w:val="auto"/>
                <w:szCs w:val="21"/>
                <w:highlight w:val="none"/>
              </w:rPr>
            </w:pPr>
          </w:p>
        </w:tc>
        <w:tc>
          <w:tcPr>
            <w:tcW w:w="1275" w:type="dxa"/>
            <w:noWrap w:val="0"/>
            <w:vAlign w:val="center"/>
          </w:tcPr>
          <w:p w14:paraId="6AAE4EF4">
            <w:pPr>
              <w:jc w:val="center"/>
              <w:outlineLvl w:val="9"/>
              <w:rPr>
                <w:rFonts w:hint="eastAsia" w:asciiTheme="minorEastAsia" w:hAnsiTheme="minorEastAsia" w:eastAsiaTheme="minorEastAsia" w:cstheme="minorEastAsia"/>
                <w:color w:val="auto"/>
                <w:szCs w:val="21"/>
                <w:highlight w:val="none"/>
              </w:rPr>
            </w:pPr>
          </w:p>
        </w:tc>
        <w:tc>
          <w:tcPr>
            <w:tcW w:w="1843" w:type="dxa"/>
            <w:noWrap w:val="0"/>
            <w:vAlign w:val="center"/>
          </w:tcPr>
          <w:p w14:paraId="599C51C4">
            <w:pPr>
              <w:jc w:val="center"/>
              <w:outlineLvl w:val="9"/>
              <w:rPr>
                <w:rFonts w:hint="eastAsia" w:asciiTheme="minorEastAsia" w:hAnsiTheme="minorEastAsia" w:eastAsiaTheme="minorEastAsia" w:cstheme="minorEastAsia"/>
                <w:color w:val="auto"/>
                <w:szCs w:val="21"/>
                <w:highlight w:val="none"/>
              </w:rPr>
            </w:pPr>
          </w:p>
        </w:tc>
        <w:tc>
          <w:tcPr>
            <w:tcW w:w="2441" w:type="dxa"/>
            <w:noWrap w:val="0"/>
            <w:vAlign w:val="center"/>
          </w:tcPr>
          <w:p w14:paraId="0CC3B525">
            <w:pPr>
              <w:jc w:val="center"/>
              <w:outlineLvl w:val="9"/>
              <w:rPr>
                <w:rFonts w:hint="eastAsia" w:asciiTheme="minorEastAsia" w:hAnsiTheme="minorEastAsia" w:eastAsiaTheme="minorEastAsia" w:cstheme="minorEastAsia"/>
                <w:color w:val="auto"/>
                <w:szCs w:val="21"/>
                <w:highlight w:val="none"/>
              </w:rPr>
            </w:pPr>
          </w:p>
        </w:tc>
      </w:tr>
      <w:tr w14:paraId="7BF4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28E68473">
            <w:pPr>
              <w:jc w:val="center"/>
              <w:outlineLvl w:val="9"/>
              <w:rPr>
                <w:rFonts w:hint="eastAsia" w:asciiTheme="minorEastAsia" w:hAnsiTheme="minorEastAsia" w:eastAsiaTheme="minorEastAsia" w:cstheme="minorEastAsia"/>
                <w:color w:val="auto"/>
                <w:szCs w:val="21"/>
                <w:highlight w:val="none"/>
              </w:rPr>
            </w:pPr>
          </w:p>
        </w:tc>
        <w:tc>
          <w:tcPr>
            <w:tcW w:w="1035" w:type="dxa"/>
            <w:noWrap w:val="0"/>
            <w:vAlign w:val="center"/>
          </w:tcPr>
          <w:p w14:paraId="2E4AF650">
            <w:pPr>
              <w:jc w:val="center"/>
              <w:outlineLvl w:val="9"/>
              <w:rPr>
                <w:rFonts w:hint="eastAsia" w:asciiTheme="minorEastAsia" w:hAnsiTheme="minorEastAsia" w:eastAsiaTheme="minorEastAsia" w:cstheme="minorEastAsia"/>
                <w:color w:val="auto"/>
                <w:szCs w:val="21"/>
                <w:highlight w:val="none"/>
              </w:rPr>
            </w:pPr>
          </w:p>
        </w:tc>
        <w:tc>
          <w:tcPr>
            <w:tcW w:w="1134" w:type="dxa"/>
            <w:noWrap w:val="0"/>
            <w:vAlign w:val="center"/>
          </w:tcPr>
          <w:p w14:paraId="64B6E713">
            <w:pPr>
              <w:jc w:val="center"/>
              <w:outlineLvl w:val="9"/>
              <w:rPr>
                <w:rFonts w:hint="eastAsia" w:asciiTheme="minorEastAsia" w:hAnsiTheme="minorEastAsia" w:eastAsiaTheme="minorEastAsia" w:cstheme="minorEastAsia"/>
                <w:color w:val="auto"/>
                <w:szCs w:val="21"/>
                <w:highlight w:val="none"/>
              </w:rPr>
            </w:pPr>
          </w:p>
        </w:tc>
        <w:tc>
          <w:tcPr>
            <w:tcW w:w="1275" w:type="dxa"/>
            <w:noWrap w:val="0"/>
            <w:vAlign w:val="center"/>
          </w:tcPr>
          <w:p w14:paraId="49B7FD2E">
            <w:pPr>
              <w:jc w:val="center"/>
              <w:outlineLvl w:val="9"/>
              <w:rPr>
                <w:rFonts w:hint="eastAsia" w:asciiTheme="minorEastAsia" w:hAnsiTheme="minorEastAsia" w:eastAsiaTheme="minorEastAsia" w:cstheme="minorEastAsia"/>
                <w:color w:val="auto"/>
                <w:szCs w:val="21"/>
                <w:highlight w:val="none"/>
              </w:rPr>
            </w:pPr>
          </w:p>
        </w:tc>
        <w:tc>
          <w:tcPr>
            <w:tcW w:w="1843" w:type="dxa"/>
            <w:noWrap w:val="0"/>
            <w:vAlign w:val="center"/>
          </w:tcPr>
          <w:p w14:paraId="53A13D7B">
            <w:pPr>
              <w:jc w:val="center"/>
              <w:outlineLvl w:val="9"/>
              <w:rPr>
                <w:rFonts w:hint="eastAsia" w:asciiTheme="minorEastAsia" w:hAnsiTheme="minorEastAsia" w:eastAsiaTheme="minorEastAsia" w:cstheme="minorEastAsia"/>
                <w:color w:val="auto"/>
                <w:szCs w:val="21"/>
                <w:highlight w:val="none"/>
              </w:rPr>
            </w:pPr>
          </w:p>
        </w:tc>
        <w:tc>
          <w:tcPr>
            <w:tcW w:w="2441" w:type="dxa"/>
            <w:noWrap w:val="0"/>
            <w:vAlign w:val="center"/>
          </w:tcPr>
          <w:p w14:paraId="4341693C">
            <w:pPr>
              <w:jc w:val="center"/>
              <w:outlineLvl w:val="9"/>
              <w:rPr>
                <w:rFonts w:hint="eastAsia" w:asciiTheme="minorEastAsia" w:hAnsiTheme="minorEastAsia" w:eastAsiaTheme="minorEastAsia" w:cstheme="minorEastAsia"/>
                <w:color w:val="auto"/>
                <w:szCs w:val="21"/>
                <w:highlight w:val="none"/>
              </w:rPr>
            </w:pPr>
          </w:p>
        </w:tc>
      </w:tr>
      <w:tr w14:paraId="1241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271E4024">
            <w:pPr>
              <w:jc w:val="center"/>
              <w:outlineLvl w:val="9"/>
              <w:rPr>
                <w:rFonts w:hint="eastAsia" w:asciiTheme="minorEastAsia" w:hAnsiTheme="minorEastAsia" w:eastAsiaTheme="minorEastAsia" w:cstheme="minorEastAsia"/>
                <w:color w:val="auto"/>
                <w:szCs w:val="21"/>
                <w:highlight w:val="none"/>
              </w:rPr>
            </w:pPr>
          </w:p>
        </w:tc>
        <w:tc>
          <w:tcPr>
            <w:tcW w:w="1035" w:type="dxa"/>
            <w:noWrap w:val="0"/>
            <w:vAlign w:val="center"/>
          </w:tcPr>
          <w:p w14:paraId="07100CC2">
            <w:pPr>
              <w:jc w:val="center"/>
              <w:outlineLvl w:val="9"/>
              <w:rPr>
                <w:rFonts w:hint="eastAsia" w:asciiTheme="minorEastAsia" w:hAnsiTheme="minorEastAsia" w:eastAsiaTheme="minorEastAsia" w:cstheme="minorEastAsia"/>
                <w:color w:val="auto"/>
                <w:szCs w:val="21"/>
                <w:highlight w:val="none"/>
              </w:rPr>
            </w:pPr>
          </w:p>
        </w:tc>
        <w:tc>
          <w:tcPr>
            <w:tcW w:w="1134" w:type="dxa"/>
            <w:noWrap w:val="0"/>
            <w:vAlign w:val="center"/>
          </w:tcPr>
          <w:p w14:paraId="3670E0B8">
            <w:pPr>
              <w:jc w:val="center"/>
              <w:outlineLvl w:val="9"/>
              <w:rPr>
                <w:rFonts w:hint="eastAsia" w:asciiTheme="minorEastAsia" w:hAnsiTheme="minorEastAsia" w:eastAsiaTheme="minorEastAsia" w:cstheme="minorEastAsia"/>
                <w:color w:val="auto"/>
                <w:szCs w:val="21"/>
                <w:highlight w:val="none"/>
              </w:rPr>
            </w:pPr>
          </w:p>
        </w:tc>
        <w:tc>
          <w:tcPr>
            <w:tcW w:w="1275" w:type="dxa"/>
            <w:noWrap w:val="0"/>
            <w:vAlign w:val="center"/>
          </w:tcPr>
          <w:p w14:paraId="6835200D">
            <w:pPr>
              <w:jc w:val="center"/>
              <w:outlineLvl w:val="9"/>
              <w:rPr>
                <w:rFonts w:hint="eastAsia" w:asciiTheme="minorEastAsia" w:hAnsiTheme="minorEastAsia" w:eastAsiaTheme="minorEastAsia" w:cstheme="minorEastAsia"/>
                <w:color w:val="auto"/>
                <w:szCs w:val="21"/>
                <w:highlight w:val="none"/>
              </w:rPr>
            </w:pPr>
          </w:p>
        </w:tc>
        <w:tc>
          <w:tcPr>
            <w:tcW w:w="1843" w:type="dxa"/>
            <w:noWrap w:val="0"/>
            <w:vAlign w:val="center"/>
          </w:tcPr>
          <w:p w14:paraId="54B3531B">
            <w:pPr>
              <w:jc w:val="center"/>
              <w:outlineLvl w:val="9"/>
              <w:rPr>
                <w:rFonts w:hint="eastAsia" w:asciiTheme="minorEastAsia" w:hAnsiTheme="minorEastAsia" w:eastAsiaTheme="minorEastAsia" w:cstheme="minorEastAsia"/>
                <w:color w:val="auto"/>
                <w:szCs w:val="21"/>
                <w:highlight w:val="none"/>
              </w:rPr>
            </w:pPr>
          </w:p>
        </w:tc>
        <w:tc>
          <w:tcPr>
            <w:tcW w:w="2441" w:type="dxa"/>
            <w:noWrap w:val="0"/>
            <w:vAlign w:val="center"/>
          </w:tcPr>
          <w:p w14:paraId="7375EFB4">
            <w:pPr>
              <w:jc w:val="center"/>
              <w:outlineLvl w:val="9"/>
              <w:rPr>
                <w:rFonts w:hint="eastAsia" w:asciiTheme="minorEastAsia" w:hAnsiTheme="minorEastAsia" w:eastAsiaTheme="minorEastAsia" w:cstheme="minorEastAsia"/>
                <w:color w:val="auto"/>
                <w:szCs w:val="21"/>
                <w:highlight w:val="none"/>
              </w:rPr>
            </w:pPr>
          </w:p>
        </w:tc>
      </w:tr>
      <w:tr w14:paraId="352C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6EFDA61E">
            <w:pPr>
              <w:jc w:val="center"/>
              <w:outlineLvl w:val="9"/>
              <w:rPr>
                <w:rFonts w:hint="eastAsia" w:asciiTheme="minorEastAsia" w:hAnsiTheme="minorEastAsia" w:eastAsiaTheme="minorEastAsia" w:cstheme="minorEastAsia"/>
                <w:color w:val="auto"/>
                <w:szCs w:val="21"/>
                <w:highlight w:val="none"/>
              </w:rPr>
            </w:pPr>
          </w:p>
        </w:tc>
        <w:tc>
          <w:tcPr>
            <w:tcW w:w="1035" w:type="dxa"/>
            <w:noWrap w:val="0"/>
            <w:vAlign w:val="center"/>
          </w:tcPr>
          <w:p w14:paraId="7FEAD6C8">
            <w:pPr>
              <w:jc w:val="center"/>
              <w:outlineLvl w:val="9"/>
              <w:rPr>
                <w:rFonts w:hint="eastAsia" w:asciiTheme="minorEastAsia" w:hAnsiTheme="minorEastAsia" w:eastAsiaTheme="minorEastAsia" w:cstheme="minorEastAsia"/>
                <w:color w:val="auto"/>
                <w:szCs w:val="21"/>
                <w:highlight w:val="none"/>
              </w:rPr>
            </w:pPr>
          </w:p>
        </w:tc>
        <w:tc>
          <w:tcPr>
            <w:tcW w:w="1134" w:type="dxa"/>
            <w:noWrap w:val="0"/>
            <w:vAlign w:val="center"/>
          </w:tcPr>
          <w:p w14:paraId="737D20DC">
            <w:pPr>
              <w:jc w:val="center"/>
              <w:outlineLvl w:val="9"/>
              <w:rPr>
                <w:rFonts w:hint="eastAsia" w:asciiTheme="minorEastAsia" w:hAnsiTheme="minorEastAsia" w:eastAsiaTheme="minorEastAsia" w:cstheme="minorEastAsia"/>
                <w:color w:val="auto"/>
                <w:szCs w:val="21"/>
                <w:highlight w:val="none"/>
              </w:rPr>
            </w:pPr>
          </w:p>
        </w:tc>
        <w:tc>
          <w:tcPr>
            <w:tcW w:w="1275" w:type="dxa"/>
            <w:noWrap w:val="0"/>
            <w:vAlign w:val="center"/>
          </w:tcPr>
          <w:p w14:paraId="4E61EC33">
            <w:pPr>
              <w:jc w:val="center"/>
              <w:outlineLvl w:val="9"/>
              <w:rPr>
                <w:rFonts w:hint="eastAsia" w:asciiTheme="minorEastAsia" w:hAnsiTheme="minorEastAsia" w:eastAsiaTheme="minorEastAsia" w:cstheme="minorEastAsia"/>
                <w:color w:val="auto"/>
                <w:szCs w:val="21"/>
                <w:highlight w:val="none"/>
              </w:rPr>
            </w:pPr>
          </w:p>
        </w:tc>
        <w:tc>
          <w:tcPr>
            <w:tcW w:w="1843" w:type="dxa"/>
            <w:noWrap w:val="0"/>
            <w:vAlign w:val="center"/>
          </w:tcPr>
          <w:p w14:paraId="139EE409">
            <w:pPr>
              <w:jc w:val="center"/>
              <w:outlineLvl w:val="9"/>
              <w:rPr>
                <w:rFonts w:hint="eastAsia" w:asciiTheme="minorEastAsia" w:hAnsiTheme="minorEastAsia" w:eastAsiaTheme="minorEastAsia" w:cstheme="minorEastAsia"/>
                <w:color w:val="auto"/>
                <w:szCs w:val="21"/>
                <w:highlight w:val="none"/>
              </w:rPr>
            </w:pPr>
          </w:p>
        </w:tc>
        <w:tc>
          <w:tcPr>
            <w:tcW w:w="2441" w:type="dxa"/>
            <w:noWrap w:val="0"/>
            <w:vAlign w:val="center"/>
          </w:tcPr>
          <w:p w14:paraId="6FD99DFE">
            <w:pPr>
              <w:jc w:val="center"/>
              <w:outlineLvl w:val="9"/>
              <w:rPr>
                <w:rFonts w:hint="eastAsia" w:asciiTheme="minorEastAsia" w:hAnsiTheme="minorEastAsia" w:eastAsiaTheme="minorEastAsia" w:cstheme="minorEastAsia"/>
                <w:color w:val="auto"/>
                <w:szCs w:val="21"/>
                <w:highlight w:val="none"/>
              </w:rPr>
            </w:pPr>
          </w:p>
        </w:tc>
      </w:tr>
      <w:tr w14:paraId="073F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2F71BE60">
            <w:pPr>
              <w:jc w:val="center"/>
              <w:outlineLvl w:val="9"/>
              <w:rPr>
                <w:rFonts w:hint="eastAsia" w:asciiTheme="minorEastAsia" w:hAnsiTheme="minorEastAsia" w:eastAsiaTheme="minorEastAsia" w:cstheme="minorEastAsia"/>
                <w:color w:val="auto"/>
                <w:szCs w:val="21"/>
                <w:highlight w:val="none"/>
              </w:rPr>
            </w:pPr>
          </w:p>
        </w:tc>
        <w:tc>
          <w:tcPr>
            <w:tcW w:w="1035" w:type="dxa"/>
            <w:noWrap w:val="0"/>
            <w:vAlign w:val="center"/>
          </w:tcPr>
          <w:p w14:paraId="637DC00D">
            <w:pPr>
              <w:jc w:val="center"/>
              <w:outlineLvl w:val="9"/>
              <w:rPr>
                <w:rFonts w:hint="eastAsia" w:asciiTheme="minorEastAsia" w:hAnsiTheme="minorEastAsia" w:eastAsiaTheme="minorEastAsia" w:cstheme="minorEastAsia"/>
                <w:color w:val="auto"/>
                <w:szCs w:val="21"/>
                <w:highlight w:val="none"/>
              </w:rPr>
            </w:pPr>
          </w:p>
        </w:tc>
        <w:tc>
          <w:tcPr>
            <w:tcW w:w="1134" w:type="dxa"/>
            <w:noWrap w:val="0"/>
            <w:vAlign w:val="center"/>
          </w:tcPr>
          <w:p w14:paraId="1209C6F5">
            <w:pPr>
              <w:jc w:val="center"/>
              <w:outlineLvl w:val="9"/>
              <w:rPr>
                <w:rFonts w:hint="eastAsia" w:asciiTheme="minorEastAsia" w:hAnsiTheme="minorEastAsia" w:eastAsiaTheme="minorEastAsia" w:cstheme="minorEastAsia"/>
                <w:color w:val="auto"/>
                <w:szCs w:val="21"/>
                <w:highlight w:val="none"/>
              </w:rPr>
            </w:pPr>
          </w:p>
        </w:tc>
        <w:tc>
          <w:tcPr>
            <w:tcW w:w="1275" w:type="dxa"/>
            <w:noWrap w:val="0"/>
            <w:vAlign w:val="center"/>
          </w:tcPr>
          <w:p w14:paraId="14B5B6A2">
            <w:pPr>
              <w:jc w:val="center"/>
              <w:outlineLvl w:val="9"/>
              <w:rPr>
                <w:rFonts w:hint="eastAsia" w:asciiTheme="minorEastAsia" w:hAnsiTheme="minorEastAsia" w:eastAsiaTheme="minorEastAsia" w:cstheme="minorEastAsia"/>
                <w:color w:val="auto"/>
                <w:szCs w:val="21"/>
                <w:highlight w:val="none"/>
              </w:rPr>
            </w:pPr>
          </w:p>
        </w:tc>
        <w:tc>
          <w:tcPr>
            <w:tcW w:w="1843" w:type="dxa"/>
            <w:noWrap w:val="0"/>
            <w:vAlign w:val="center"/>
          </w:tcPr>
          <w:p w14:paraId="2E63C870">
            <w:pPr>
              <w:jc w:val="center"/>
              <w:outlineLvl w:val="9"/>
              <w:rPr>
                <w:rFonts w:hint="eastAsia" w:asciiTheme="minorEastAsia" w:hAnsiTheme="minorEastAsia" w:eastAsiaTheme="minorEastAsia" w:cstheme="minorEastAsia"/>
                <w:color w:val="auto"/>
                <w:szCs w:val="21"/>
                <w:highlight w:val="none"/>
              </w:rPr>
            </w:pPr>
          </w:p>
        </w:tc>
        <w:tc>
          <w:tcPr>
            <w:tcW w:w="2441" w:type="dxa"/>
            <w:noWrap w:val="0"/>
            <w:vAlign w:val="center"/>
          </w:tcPr>
          <w:p w14:paraId="1955CD1B">
            <w:pPr>
              <w:jc w:val="center"/>
              <w:outlineLvl w:val="9"/>
              <w:rPr>
                <w:rFonts w:hint="eastAsia" w:asciiTheme="minorEastAsia" w:hAnsiTheme="minorEastAsia" w:eastAsiaTheme="minorEastAsia" w:cstheme="minorEastAsia"/>
                <w:color w:val="auto"/>
                <w:szCs w:val="21"/>
                <w:highlight w:val="none"/>
              </w:rPr>
            </w:pPr>
          </w:p>
        </w:tc>
      </w:tr>
      <w:tr w14:paraId="3DEA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463226BD">
            <w:pPr>
              <w:jc w:val="center"/>
              <w:outlineLvl w:val="9"/>
              <w:rPr>
                <w:rFonts w:hint="eastAsia" w:asciiTheme="minorEastAsia" w:hAnsiTheme="minorEastAsia" w:eastAsiaTheme="minorEastAsia" w:cstheme="minorEastAsia"/>
                <w:color w:val="auto"/>
                <w:szCs w:val="21"/>
                <w:highlight w:val="none"/>
              </w:rPr>
            </w:pPr>
          </w:p>
        </w:tc>
        <w:tc>
          <w:tcPr>
            <w:tcW w:w="1035" w:type="dxa"/>
            <w:noWrap w:val="0"/>
            <w:vAlign w:val="center"/>
          </w:tcPr>
          <w:p w14:paraId="06D6E380">
            <w:pPr>
              <w:jc w:val="center"/>
              <w:outlineLvl w:val="9"/>
              <w:rPr>
                <w:rFonts w:hint="eastAsia" w:asciiTheme="minorEastAsia" w:hAnsiTheme="minorEastAsia" w:eastAsiaTheme="minorEastAsia" w:cstheme="minorEastAsia"/>
                <w:color w:val="auto"/>
                <w:szCs w:val="21"/>
                <w:highlight w:val="none"/>
              </w:rPr>
            </w:pPr>
          </w:p>
        </w:tc>
        <w:tc>
          <w:tcPr>
            <w:tcW w:w="1134" w:type="dxa"/>
            <w:noWrap w:val="0"/>
            <w:vAlign w:val="center"/>
          </w:tcPr>
          <w:p w14:paraId="7C5D931D">
            <w:pPr>
              <w:jc w:val="center"/>
              <w:outlineLvl w:val="9"/>
              <w:rPr>
                <w:rFonts w:hint="eastAsia" w:asciiTheme="minorEastAsia" w:hAnsiTheme="minorEastAsia" w:eastAsiaTheme="minorEastAsia" w:cstheme="minorEastAsia"/>
                <w:color w:val="auto"/>
                <w:szCs w:val="21"/>
                <w:highlight w:val="none"/>
              </w:rPr>
            </w:pPr>
          </w:p>
        </w:tc>
        <w:tc>
          <w:tcPr>
            <w:tcW w:w="1275" w:type="dxa"/>
            <w:noWrap w:val="0"/>
            <w:vAlign w:val="center"/>
          </w:tcPr>
          <w:p w14:paraId="7CFAF67B">
            <w:pPr>
              <w:jc w:val="center"/>
              <w:outlineLvl w:val="9"/>
              <w:rPr>
                <w:rFonts w:hint="eastAsia" w:asciiTheme="minorEastAsia" w:hAnsiTheme="minorEastAsia" w:eastAsiaTheme="minorEastAsia" w:cstheme="minorEastAsia"/>
                <w:color w:val="auto"/>
                <w:szCs w:val="21"/>
                <w:highlight w:val="none"/>
              </w:rPr>
            </w:pPr>
          </w:p>
        </w:tc>
        <w:tc>
          <w:tcPr>
            <w:tcW w:w="1843" w:type="dxa"/>
            <w:noWrap w:val="0"/>
            <w:vAlign w:val="center"/>
          </w:tcPr>
          <w:p w14:paraId="7D9A9F1B">
            <w:pPr>
              <w:jc w:val="center"/>
              <w:outlineLvl w:val="9"/>
              <w:rPr>
                <w:rFonts w:hint="eastAsia" w:asciiTheme="minorEastAsia" w:hAnsiTheme="minorEastAsia" w:eastAsiaTheme="minorEastAsia" w:cstheme="minorEastAsia"/>
                <w:color w:val="auto"/>
                <w:szCs w:val="21"/>
                <w:highlight w:val="none"/>
              </w:rPr>
            </w:pPr>
          </w:p>
        </w:tc>
        <w:tc>
          <w:tcPr>
            <w:tcW w:w="2441" w:type="dxa"/>
            <w:noWrap w:val="0"/>
            <w:vAlign w:val="center"/>
          </w:tcPr>
          <w:p w14:paraId="2204F260">
            <w:pPr>
              <w:jc w:val="center"/>
              <w:outlineLvl w:val="9"/>
              <w:rPr>
                <w:rFonts w:hint="eastAsia" w:asciiTheme="minorEastAsia" w:hAnsiTheme="minorEastAsia" w:eastAsiaTheme="minorEastAsia" w:cstheme="minorEastAsia"/>
                <w:color w:val="auto"/>
                <w:szCs w:val="21"/>
                <w:highlight w:val="none"/>
              </w:rPr>
            </w:pPr>
          </w:p>
        </w:tc>
      </w:tr>
    </w:tbl>
    <w:p w14:paraId="3E25CC22">
      <w:pPr>
        <w:pStyle w:val="14"/>
        <w:spacing w:line="240" w:lineRule="auto"/>
        <w:ind w:firstLine="480"/>
        <w:outlineLvl w:val="9"/>
        <w:rPr>
          <w:rFonts w:hint="eastAsia" w:asciiTheme="minorEastAsia" w:hAnsiTheme="minorEastAsia" w:eastAsiaTheme="minorEastAsia" w:cstheme="minorEastAsia"/>
          <w:color w:val="auto"/>
          <w:szCs w:val="21"/>
          <w:highlight w:val="none"/>
        </w:rPr>
      </w:pPr>
    </w:p>
    <w:p w14:paraId="7B4B82C5">
      <w:pPr>
        <w:pStyle w:val="14"/>
        <w:keepNext w:val="0"/>
        <w:keepLines w:val="0"/>
        <w:pageBreakBefore w:val="0"/>
        <w:widowControl w:val="0"/>
        <w:kinsoku/>
        <w:wordWrap/>
        <w:overflowPunct/>
        <w:topLinePunct w:val="0"/>
        <w:autoSpaceDE/>
        <w:autoSpaceDN/>
        <w:bidi w:val="0"/>
        <w:adjustRightInd/>
        <w:snapToGrid/>
        <w:spacing w:line="400" w:lineRule="exact"/>
        <w:ind w:firstLine="482"/>
        <w:textAlignment w:val="auto"/>
        <w:outlineLvl w:val="9"/>
        <w:rPr>
          <w:rFonts w:hint="eastAsia" w:asciiTheme="minorEastAsia" w:hAnsiTheme="minorEastAsia" w:eastAsiaTheme="minorEastAsia" w:cstheme="minorEastAsia"/>
          <w:b/>
          <w:color w:val="auto"/>
          <w:kern w:val="0"/>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lang w:val="en-US" w:eastAsia="zh-CN" w:bidi="ar-SA"/>
        </w:rPr>
        <w:t>注： 承包人若需要更换本工程响应文件中原有建造师及人员时须经发包人同意。未经发包人同意，承包人更换人员应承担违约责任，并且按照中标价</w:t>
      </w:r>
      <w:r>
        <w:rPr>
          <w:rFonts w:hint="eastAsia" w:asciiTheme="minorEastAsia" w:hAnsiTheme="minorEastAsia" w:eastAsiaTheme="minorEastAsia" w:cstheme="minorEastAsia"/>
          <w:b/>
          <w:color w:val="auto"/>
          <w:kern w:val="0"/>
          <w:sz w:val="21"/>
          <w:szCs w:val="21"/>
          <w:highlight w:val="none"/>
          <w:u w:val="single"/>
          <w:lang w:val="en-US" w:eastAsia="zh-CN" w:bidi="ar-SA"/>
        </w:rPr>
        <w:t xml:space="preserve"> 5 </w:t>
      </w:r>
      <w:r>
        <w:rPr>
          <w:rFonts w:hint="eastAsia" w:asciiTheme="minorEastAsia" w:hAnsiTheme="minorEastAsia" w:eastAsiaTheme="minorEastAsia" w:cstheme="minorEastAsia"/>
          <w:b/>
          <w:color w:val="auto"/>
          <w:kern w:val="0"/>
          <w:sz w:val="21"/>
          <w:szCs w:val="21"/>
          <w:highlight w:val="none"/>
          <w:lang w:val="en-US" w:eastAsia="zh-CN" w:bidi="ar-SA"/>
        </w:rPr>
        <w:t>％ 给发包人支付违约金。</w:t>
      </w:r>
    </w:p>
    <w:p w14:paraId="38840AAC">
      <w:pPr>
        <w:spacing w:line="420" w:lineRule="exact"/>
        <w:jc w:val="lef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color w:val="auto"/>
          <w:szCs w:val="21"/>
          <w:highlight w:val="none"/>
          <w:lang w:val="en-US" w:eastAsia="zh-CN"/>
        </w:rPr>
        <w:t xml:space="preserve">5.2.2 </w:t>
      </w:r>
      <w:r>
        <w:rPr>
          <w:rFonts w:hint="eastAsia" w:asciiTheme="minorEastAsia" w:hAnsiTheme="minorEastAsia" w:eastAsiaTheme="minorEastAsia" w:cstheme="minorEastAsia"/>
          <w:color w:val="auto"/>
          <w:szCs w:val="21"/>
          <w:highlight w:val="none"/>
        </w:rPr>
        <w:t>主要项目管理人员简历表</w:t>
      </w:r>
    </w:p>
    <w:p w14:paraId="094F1F61">
      <w:pPr>
        <w:spacing w:line="420" w:lineRule="exact"/>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主要项目管理人员指项目副经理、技术负责人、专职安全生产管理人员等岗位人员。应附注册资格证书</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如有</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、身份证、职称证</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如有</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岗位证书等资料</w:t>
      </w:r>
      <w:r>
        <w:rPr>
          <w:rFonts w:hint="eastAsia" w:asciiTheme="minorEastAsia" w:hAnsiTheme="minorEastAsia" w:eastAsiaTheme="minorEastAsia" w:cstheme="minorEastAsia"/>
          <w:color w:val="auto"/>
          <w:szCs w:val="21"/>
          <w:highlight w:val="none"/>
        </w:rPr>
        <w:t>复印件，专职安全生产管理人员应附安全生产考核合格证书</w:t>
      </w:r>
      <w:r>
        <w:rPr>
          <w:rFonts w:hint="eastAsia" w:asciiTheme="minorEastAsia" w:hAnsiTheme="minorEastAsia" w:eastAsiaTheme="minorEastAsia" w:cstheme="minorEastAsia"/>
          <w:color w:val="auto"/>
          <w:szCs w:val="21"/>
          <w:highlight w:val="none"/>
          <w:lang w:val="en-US" w:eastAsia="zh-CN"/>
        </w:rPr>
        <w:t>及岗位证书</w:t>
      </w:r>
      <w:r>
        <w:rPr>
          <w:rFonts w:hint="eastAsia" w:asciiTheme="minorEastAsia" w:hAnsiTheme="minorEastAsia" w:eastAsiaTheme="minorEastAsia" w:cstheme="minorEastAsia"/>
          <w:color w:val="auto"/>
          <w:szCs w:val="21"/>
          <w:highlight w:val="none"/>
        </w:rPr>
        <w:t>，主要业绩须附合同协议书。</w:t>
      </w:r>
    </w:p>
    <w:p w14:paraId="3A247914">
      <w:pPr>
        <w:topLinePunct/>
        <w:spacing w:line="440" w:lineRule="exact"/>
        <w:jc w:val="center"/>
        <w:outlineLvl w:val="9"/>
        <w:rPr>
          <w:rFonts w:hint="eastAsia" w:asciiTheme="minorEastAsia" w:hAnsiTheme="minorEastAsia" w:eastAsiaTheme="minorEastAsia" w:cstheme="minorEastAsia"/>
          <w:color w:val="auto"/>
          <w:szCs w:val="21"/>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23"/>
        <w:gridCol w:w="3420"/>
        <w:gridCol w:w="1261"/>
        <w:gridCol w:w="2296"/>
      </w:tblGrid>
      <w:tr w14:paraId="03F5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00" w:type="dxa"/>
            <w:gridSpan w:val="5"/>
            <w:noWrap w:val="0"/>
            <w:vAlign w:val="center"/>
          </w:tcPr>
          <w:p w14:paraId="5BD470CD">
            <w:pPr>
              <w:spacing w:line="440" w:lineRule="exac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岗位名称</w:t>
            </w:r>
          </w:p>
        </w:tc>
      </w:tr>
      <w:tr w14:paraId="7C12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14:paraId="72C9F46F">
            <w:pPr>
              <w:spacing w:line="440" w:lineRule="exac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3420" w:type="dxa"/>
            <w:noWrap w:val="0"/>
            <w:vAlign w:val="center"/>
          </w:tcPr>
          <w:p w14:paraId="625EF578">
            <w:pPr>
              <w:spacing w:line="440" w:lineRule="exact"/>
              <w:outlineLvl w:val="9"/>
              <w:rPr>
                <w:rFonts w:hint="eastAsia" w:asciiTheme="minorEastAsia" w:hAnsiTheme="minorEastAsia" w:eastAsiaTheme="minorEastAsia" w:cstheme="minorEastAsia"/>
                <w:color w:val="auto"/>
                <w:szCs w:val="21"/>
                <w:highlight w:val="none"/>
              </w:rPr>
            </w:pPr>
          </w:p>
        </w:tc>
        <w:tc>
          <w:tcPr>
            <w:tcW w:w="1261" w:type="dxa"/>
            <w:noWrap w:val="0"/>
            <w:vAlign w:val="center"/>
          </w:tcPr>
          <w:p w14:paraId="24D819F7">
            <w:pPr>
              <w:spacing w:line="440" w:lineRule="exac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年龄</w:t>
            </w:r>
          </w:p>
        </w:tc>
        <w:tc>
          <w:tcPr>
            <w:tcW w:w="2296" w:type="dxa"/>
            <w:noWrap w:val="0"/>
            <w:vAlign w:val="center"/>
          </w:tcPr>
          <w:p w14:paraId="30FCFB07">
            <w:pPr>
              <w:spacing w:line="440" w:lineRule="exact"/>
              <w:outlineLvl w:val="9"/>
              <w:rPr>
                <w:rFonts w:hint="eastAsia" w:asciiTheme="minorEastAsia" w:hAnsiTheme="minorEastAsia" w:eastAsiaTheme="minorEastAsia" w:cstheme="minorEastAsia"/>
                <w:color w:val="auto"/>
                <w:szCs w:val="21"/>
                <w:highlight w:val="none"/>
              </w:rPr>
            </w:pPr>
          </w:p>
        </w:tc>
      </w:tr>
      <w:tr w14:paraId="62E7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14:paraId="7866E792">
            <w:pPr>
              <w:spacing w:line="440" w:lineRule="exac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性别</w:t>
            </w:r>
          </w:p>
        </w:tc>
        <w:tc>
          <w:tcPr>
            <w:tcW w:w="3420" w:type="dxa"/>
            <w:noWrap w:val="0"/>
            <w:vAlign w:val="top"/>
          </w:tcPr>
          <w:p w14:paraId="6FC42FE0">
            <w:pPr>
              <w:spacing w:line="440" w:lineRule="exact"/>
              <w:outlineLvl w:val="9"/>
              <w:rPr>
                <w:rFonts w:hint="eastAsia" w:asciiTheme="minorEastAsia" w:hAnsiTheme="minorEastAsia" w:eastAsiaTheme="minorEastAsia" w:cstheme="minorEastAsia"/>
                <w:color w:val="auto"/>
                <w:szCs w:val="21"/>
                <w:highlight w:val="none"/>
              </w:rPr>
            </w:pPr>
          </w:p>
        </w:tc>
        <w:tc>
          <w:tcPr>
            <w:tcW w:w="1261" w:type="dxa"/>
            <w:noWrap w:val="0"/>
            <w:vAlign w:val="top"/>
          </w:tcPr>
          <w:p w14:paraId="614A640E">
            <w:pPr>
              <w:spacing w:line="440" w:lineRule="exac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毕业学校</w:t>
            </w:r>
          </w:p>
        </w:tc>
        <w:tc>
          <w:tcPr>
            <w:tcW w:w="2296" w:type="dxa"/>
            <w:noWrap w:val="0"/>
            <w:vAlign w:val="top"/>
          </w:tcPr>
          <w:p w14:paraId="20851709">
            <w:pPr>
              <w:spacing w:line="440" w:lineRule="exact"/>
              <w:outlineLvl w:val="9"/>
              <w:rPr>
                <w:rFonts w:hint="eastAsia" w:asciiTheme="minorEastAsia" w:hAnsiTheme="minorEastAsia" w:eastAsiaTheme="minorEastAsia" w:cstheme="minorEastAsia"/>
                <w:color w:val="auto"/>
                <w:szCs w:val="21"/>
                <w:highlight w:val="none"/>
              </w:rPr>
            </w:pPr>
          </w:p>
        </w:tc>
      </w:tr>
      <w:tr w14:paraId="0C64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14:paraId="2630ACA5">
            <w:pPr>
              <w:spacing w:line="440" w:lineRule="exac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学历和专业</w:t>
            </w:r>
          </w:p>
        </w:tc>
        <w:tc>
          <w:tcPr>
            <w:tcW w:w="3420" w:type="dxa"/>
            <w:noWrap w:val="0"/>
            <w:vAlign w:val="top"/>
          </w:tcPr>
          <w:p w14:paraId="7389C76A">
            <w:pPr>
              <w:spacing w:line="440" w:lineRule="exact"/>
              <w:outlineLvl w:val="9"/>
              <w:rPr>
                <w:rFonts w:hint="eastAsia" w:asciiTheme="minorEastAsia" w:hAnsiTheme="minorEastAsia" w:eastAsiaTheme="minorEastAsia" w:cstheme="minorEastAsia"/>
                <w:color w:val="auto"/>
                <w:szCs w:val="21"/>
                <w:highlight w:val="none"/>
              </w:rPr>
            </w:pPr>
          </w:p>
        </w:tc>
        <w:tc>
          <w:tcPr>
            <w:tcW w:w="1261" w:type="dxa"/>
            <w:noWrap w:val="0"/>
            <w:vAlign w:val="top"/>
          </w:tcPr>
          <w:p w14:paraId="74E996B3">
            <w:pPr>
              <w:spacing w:line="440" w:lineRule="exac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毕业时间</w:t>
            </w:r>
          </w:p>
        </w:tc>
        <w:tc>
          <w:tcPr>
            <w:tcW w:w="2296" w:type="dxa"/>
            <w:noWrap w:val="0"/>
            <w:vAlign w:val="top"/>
          </w:tcPr>
          <w:p w14:paraId="1C3ACE23">
            <w:pPr>
              <w:spacing w:line="440" w:lineRule="exact"/>
              <w:outlineLvl w:val="9"/>
              <w:rPr>
                <w:rFonts w:hint="eastAsia" w:asciiTheme="minorEastAsia" w:hAnsiTheme="minorEastAsia" w:eastAsiaTheme="minorEastAsia" w:cstheme="minorEastAsia"/>
                <w:color w:val="auto"/>
                <w:szCs w:val="21"/>
                <w:highlight w:val="none"/>
              </w:rPr>
            </w:pPr>
          </w:p>
        </w:tc>
      </w:tr>
      <w:tr w14:paraId="4022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14:paraId="725B5262">
            <w:pPr>
              <w:spacing w:line="440" w:lineRule="exac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拥有的执业资格</w:t>
            </w:r>
          </w:p>
        </w:tc>
        <w:tc>
          <w:tcPr>
            <w:tcW w:w="3420" w:type="dxa"/>
            <w:noWrap w:val="0"/>
            <w:vAlign w:val="top"/>
          </w:tcPr>
          <w:p w14:paraId="58CE481D">
            <w:pPr>
              <w:spacing w:line="440" w:lineRule="exact"/>
              <w:outlineLvl w:val="9"/>
              <w:rPr>
                <w:rFonts w:hint="eastAsia" w:asciiTheme="minorEastAsia" w:hAnsiTheme="minorEastAsia" w:eastAsiaTheme="minorEastAsia" w:cstheme="minorEastAsia"/>
                <w:color w:val="auto"/>
                <w:szCs w:val="21"/>
                <w:highlight w:val="none"/>
              </w:rPr>
            </w:pPr>
          </w:p>
        </w:tc>
        <w:tc>
          <w:tcPr>
            <w:tcW w:w="1261" w:type="dxa"/>
            <w:noWrap w:val="0"/>
            <w:vAlign w:val="top"/>
          </w:tcPr>
          <w:p w14:paraId="4DF22103">
            <w:pPr>
              <w:spacing w:line="440" w:lineRule="exac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专业职称</w:t>
            </w:r>
          </w:p>
        </w:tc>
        <w:tc>
          <w:tcPr>
            <w:tcW w:w="2296" w:type="dxa"/>
            <w:noWrap w:val="0"/>
            <w:vAlign w:val="top"/>
          </w:tcPr>
          <w:p w14:paraId="47803B02">
            <w:pPr>
              <w:spacing w:line="440" w:lineRule="exact"/>
              <w:outlineLvl w:val="9"/>
              <w:rPr>
                <w:rFonts w:hint="eastAsia" w:asciiTheme="minorEastAsia" w:hAnsiTheme="minorEastAsia" w:eastAsiaTheme="minorEastAsia" w:cstheme="minorEastAsia"/>
                <w:color w:val="auto"/>
                <w:szCs w:val="21"/>
                <w:highlight w:val="none"/>
              </w:rPr>
            </w:pPr>
          </w:p>
        </w:tc>
      </w:tr>
      <w:tr w14:paraId="0464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14:paraId="73C3F30C">
            <w:pPr>
              <w:spacing w:line="440" w:lineRule="exac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执业资格证书编号</w:t>
            </w:r>
          </w:p>
        </w:tc>
        <w:tc>
          <w:tcPr>
            <w:tcW w:w="3420" w:type="dxa"/>
            <w:noWrap w:val="0"/>
            <w:vAlign w:val="center"/>
          </w:tcPr>
          <w:p w14:paraId="54421E4B">
            <w:pPr>
              <w:spacing w:line="440" w:lineRule="exact"/>
              <w:outlineLvl w:val="9"/>
              <w:rPr>
                <w:rFonts w:hint="eastAsia" w:asciiTheme="minorEastAsia" w:hAnsiTheme="minorEastAsia" w:eastAsiaTheme="minorEastAsia" w:cstheme="minorEastAsia"/>
                <w:color w:val="auto"/>
                <w:szCs w:val="21"/>
                <w:highlight w:val="none"/>
              </w:rPr>
            </w:pPr>
          </w:p>
        </w:tc>
        <w:tc>
          <w:tcPr>
            <w:tcW w:w="1261" w:type="dxa"/>
            <w:noWrap w:val="0"/>
            <w:vAlign w:val="center"/>
          </w:tcPr>
          <w:p w14:paraId="38EACD79">
            <w:pPr>
              <w:spacing w:line="440" w:lineRule="exac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工作年限</w:t>
            </w:r>
          </w:p>
        </w:tc>
        <w:tc>
          <w:tcPr>
            <w:tcW w:w="2296" w:type="dxa"/>
            <w:noWrap w:val="0"/>
            <w:vAlign w:val="center"/>
          </w:tcPr>
          <w:p w14:paraId="2C5D3F31">
            <w:pPr>
              <w:spacing w:line="440" w:lineRule="exact"/>
              <w:outlineLvl w:val="9"/>
              <w:rPr>
                <w:rFonts w:hint="eastAsia" w:asciiTheme="minorEastAsia" w:hAnsiTheme="minorEastAsia" w:eastAsiaTheme="minorEastAsia" w:cstheme="minorEastAsia"/>
                <w:color w:val="auto"/>
                <w:szCs w:val="21"/>
                <w:highlight w:val="none"/>
              </w:rPr>
            </w:pPr>
          </w:p>
        </w:tc>
      </w:tr>
      <w:tr w14:paraId="26DE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600" w:type="dxa"/>
            <w:noWrap w:val="0"/>
            <w:vAlign w:val="center"/>
          </w:tcPr>
          <w:p w14:paraId="5AF3CDDA">
            <w:pPr>
              <w:spacing w:line="440" w:lineRule="exact"/>
              <w:outlineLvl w:val="9"/>
              <w:rPr>
                <w:rFonts w:hint="eastAsia" w:asciiTheme="minorEastAsia" w:hAnsiTheme="minorEastAsia" w:eastAsiaTheme="minorEastAsia" w:cstheme="minorEastAsia"/>
                <w:color w:val="auto"/>
                <w:szCs w:val="21"/>
                <w:highlight w:val="none"/>
              </w:rPr>
            </w:pPr>
          </w:p>
          <w:p w14:paraId="0A19514F">
            <w:pPr>
              <w:spacing w:line="440" w:lineRule="exac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主要工作业绩及担任的主要工作</w:t>
            </w:r>
          </w:p>
          <w:p w14:paraId="09795E83">
            <w:pPr>
              <w:spacing w:line="440" w:lineRule="exact"/>
              <w:outlineLvl w:val="9"/>
              <w:rPr>
                <w:rFonts w:hint="eastAsia" w:asciiTheme="minorEastAsia" w:hAnsiTheme="minorEastAsia" w:eastAsiaTheme="minorEastAsia" w:cstheme="minorEastAsia"/>
                <w:color w:val="auto"/>
                <w:szCs w:val="21"/>
                <w:highlight w:val="none"/>
              </w:rPr>
            </w:pPr>
          </w:p>
        </w:tc>
        <w:tc>
          <w:tcPr>
            <w:tcW w:w="8300" w:type="dxa"/>
            <w:gridSpan w:val="4"/>
            <w:noWrap w:val="0"/>
            <w:vAlign w:val="center"/>
          </w:tcPr>
          <w:p w14:paraId="57C65CCC">
            <w:pPr>
              <w:widowControl/>
              <w:jc w:val="left"/>
              <w:outlineLvl w:val="9"/>
              <w:rPr>
                <w:rFonts w:hint="eastAsia" w:asciiTheme="minorEastAsia" w:hAnsiTheme="minorEastAsia" w:eastAsiaTheme="minorEastAsia" w:cstheme="minorEastAsia"/>
                <w:color w:val="auto"/>
                <w:szCs w:val="21"/>
                <w:highlight w:val="none"/>
              </w:rPr>
            </w:pPr>
          </w:p>
          <w:p w14:paraId="4DFB2E97">
            <w:pPr>
              <w:widowControl/>
              <w:jc w:val="left"/>
              <w:outlineLvl w:val="9"/>
              <w:rPr>
                <w:rFonts w:hint="eastAsia" w:asciiTheme="minorEastAsia" w:hAnsiTheme="minorEastAsia" w:eastAsiaTheme="minorEastAsia" w:cstheme="minorEastAsia"/>
                <w:color w:val="auto"/>
                <w:szCs w:val="21"/>
                <w:highlight w:val="none"/>
              </w:rPr>
            </w:pPr>
          </w:p>
          <w:p w14:paraId="749A5089">
            <w:pPr>
              <w:widowControl/>
              <w:jc w:val="left"/>
              <w:outlineLvl w:val="9"/>
              <w:rPr>
                <w:rFonts w:hint="eastAsia" w:asciiTheme="minorEastAsia" w:hAnsiTheme="minorEastAsia" w:eastAsiaTheme="minorEastAsia" w:cstheme="minorEastAsia"/>
                <w:color w:val="auto"/>
                <w:szCs w:val="21"/>
                <w:highlight w:val="none"/>
              </w:rPr>
            </w:pPr>
          </w:p>
          <w:p w14:paraId="02BD1E9A">
            <w:pPr>
              <w:widowControl/>
              <w:jc w:val="left"/>
              <w:outlineLvl w:val="9"/>
              <w:rPr>
                <w:rFonts w:hint="eastAsia" w:asciiTheme="minorEastAsia" w:hAnsiTheme="minorEastAsia" w:eastAsiaTheme="minorEastAsia" w:cstheme="minorEastAsia"/>
                <w:color w:val="auto"/>
                <w:szCs w:val="21"/>
                <w:highlight w:val="none"/>
              </w:rPr>
            </w:pPr>
          </w:p>
          <w:p w14:paraId="2A17A60E">
            <w:pPr>
              <w:widowControl/>
              <w:jc w:val="left"/>
              <w:outlineLvl w:val="9"/>
              <w:rPr>
                <w:rFonts w:hint="eastAsia" w:asciiTheme="minorEastAsia" w:hAnsiTheme="minorEastAsia" w:eastAsiaTheme="minorEastAsia" w:cstheme="minorEastAsia"/>
                <w:color w:val="auto"/>
                <w:szCs w:val="21"/>
                <w:highlight w:val="none"/>
              </w:rPr>
            </w:pPr>
          </w:p>
          <w:p w14:paraId="4666D95B">
            <w:pPr>
              <w:widowControl/>
              <w:jc w:val="left"/>
              <w:outlineLvl w:val="9"/>
              <w:rPr>
                <w:rFonts w:hint="eastAsia" w:asciiTheme="minorEastAsia" w:hAnsiTheme="minorEastAsia" w:eastAsiaTheme="minorEastAsia" w:cstheme="minorEastAsia"/>
                <w:color w:val="auto"/>
                <w:szCs w:val="21"/>
                <w:highlight w:val="none"/>
              </w:rPr>
            </w:pPr>
          </w:p>
          <w:p w14:paraId="615BFC9E">
            <w:pPr>
              <w:widowControl/>
              <w:jc w:val="left"/>
              <w:outlineLvl w:val="9"/>
              <w:rPr>
                <w:rFonts w:hint="eastAsia" w:asciiTheme="minorEastAsia" w:hAnsiTheme="minorEastAsia" w:eastAsiaTheme="minorEastAsia" w:cstheme="minorEastAsia"/>
                <w:color w:val="auto"/>
                <w:szCs w:val="21"/>
                <w:highlight w:val="none"/>
              </w:rPr>
            </w:pPr>
          </w:p>
          <w:p w14:paraId="0C0C3BFF">
            <w:pPr>
              <w:widowControl/>
              <w:jc w:val="left"/>
              <w:outlineLvl w:val="9"/>
              <w:rPr>
                <w:rFonts w:hint="eastAsia" w:asciiTheme="minorEastAsia" w:hAnsiTheme="minorEastAsia" w:eastAsiaTheme="minorEastAsia" w:cstheme="minorEastAsia"/>
                <w:color w:val="auto"/>
                <w:szCs w:val="21"/>
                <w:highlight w:val="none"/>
              </w:rPr>
            </w:pPr>
          </w:p>
          <w:p w14:paraId="07A78848">
            <w:pPr>
              <w:widowControl/>
              <w:jc w:val="left"/>
              <w:outlineLvl w:val="9"/>
              <w:rPr>
                <w:rFonts w:hint="eastAsia" w:asciiTheme="minorEastAsia" w:hAnsiTheme="minorEastAsia" w:eastAsiaTheme="minorEastAsia" w:cstheme="minorEastAsia"/>
                <w:color w:val="auto"/>
                <w:szCs w:val="21"/>
                <w:highlight w:val="none"/>
              </w:rPr>
            </w:pPr>
          </w:p>
          <w:p w14:paraId="3DB2E476">
            <w:pPr>
              <w:widowControl/>
              <w:jc w:val="left"/>
              <w:outlineLvl w:val="9"/>
              <w:rPr>
                <w:rFonts w:hint="eastAsia" w:asciiTheme="minorEastAsia" w:hAnsiTheme="minorEastAsia" w:eastAsiaTheme="minorEastAsia" w:cstheme="minorEastAsia"/>
                <w:color w:val="auto"/>
                <w:szCs w:val="21"/>
                <w:highlight w:val="none"/>
              </w:rPr>
            </w:pPr>
          </w:p>
          <w:p w14:paraId="721C2BB9">
            <w:pPr>
              <w:spacing w:line="440" w:lineRule="exact"/>
              <w:outlineLvl w:val="9"/>
              <w:rPr>
                <w:rFonts w:hint="eastAsia" w:asciiTheme="minorEastAsia" w:hAnsiTheme="minorEastAsia" w:eastAsiaTheme="minorEastAsia" w:cstheme="minorEastAsia"/>
                <w:color w:val="auto"/>
                <w:szCs w:val="21"/>
                <w:highlight w:val="none"/>
              </w:rPr>
            </w:pPr>
          </w:p>
        </w:tc>
      </w:tr>
    </w:tbl>
    <w:p w14:paraId="431CFF4F">
      <w:pPr>
        <w:pStyle w:val="14"/>
        <w:spacing w:line="240" w:lineRule="auto"/>
        <w:outlineLvl w:val="9"/>
        <w:rPr>
          <w:rFonts w:hint="eastAsia" w:asciiTheme="minorEastAsia" w:hAnsiTheme="minorEastAsia" w:eastAsiaTheme="minorEastAsia" w:cstheme="minorEastAsia"/>
          <w:color w:val="auto"/>
          <w:szCs w:val="21"/>
          <w:highlight w:val="none"/>
        </w:rPr>
      </w:pPr>
    </w:p>
    <w:p w14:paraId="40F1A575">
      <w:pPr>
        <w:spacing w:line="440" w:lineRule="exact"/>
        <w:jc w:val="center"/>
        <w:outlineLvl w:val="1"/>
        <w:rPr>
          <w:rFonts w:hint="eastAsia" w:asciiTheme="minorEastAsia" w:hAnsiTheme="minorEastAsia" w:eastAsiaTheme="minorEastAsia" w:cstheme="minorEastAsia"/>
          <w:b/>
          <w:color w:val="auto"/>
          <w:sz w:val="21"/>
          <w:szCs w:val="21"/>
          <w:highlight w:val="none"/>
        </w:rPr>
      </w:pPr>
      <w:bookmarkStart w:id="318" w:name="_Toc144974874"/>
      <w:bookmarkStart w:id="319" w:name="_Toc152042595"/>
      <w:bookmarkStart w:id="320" w:name="_Toc179632826"/>
      <w:bookmarkStart w:id="321" w:name="_Toc152045806"/>
      <w:r>
        <w:rPr>
          <w:rFonts w:hint="eastAsia" w:asciiTheme="minorEastAsia" w:hAnsiTheme="minorEastAsia" w:eastAsiaTheme="minorEastAsia" w:cstheme="minorEastAsia"/>
          <w:b/>
          <w:color w:val="auto"/>
          <w:sz w:val="21"/>
          <w:szCs w:val="21"/>
          <w:highlight w:val="none"/>
        </w:rPr>
        <w:br w:type="page"/>
      </w:r>
      <w:bookmarkEnd w:id="318"/>
      <w:bookmarkEnd w:id="319"/>
      <w:bookmarkEnd w:id="320"/>
      <w:bookmarkEnd w:id="321"/>
      <w:bookmarkStart w:id="322" w:name="_Toc5077"/>
      <w:r>
        <w:rPr>
          <w:rFonts w:hint="eastAsia" w:asciiTheme="minorEastAsia" w:hAnsiTheme="minorEastAsia" w:eastAsiaTheme="minorEastAsia" w:cstheme="minorEastAsia"/>
          <w:b/>
          <w:color w:val="auto"/>
          <w:sz w:val="21"/>
          <w:szCs w:val="21"/>
          <w:highlight w:val="none"/>
          <w:lang w:val="en-US" w:eastAsia="zh-CN"/>
        </w:rPr>
        <w:t>6、</w:t>
      </w:r>
      <w:r>
        <w:rPr>
          <w:rFonts w:hint="eastAsia" w:asciiTheme="minorEastAsia" w:hAnsiTheme="minorEastAsia" w:eastAsiaTheme="minorEastAsia" w:cstheme="minorEastAsia"/>
          <w:b/>
          <w:color w:val="auto"/>
          <w:sz w:val="21"/>
          <w:szCs w:val="21"/>
          <w:highlight w:val="none"/>
        </w:rPr>
        <w:t>资格审查资料</w:t>
      </w:r>
      <w:bookmarkEnd w:id="322"/>
    </w:p>
    <w:p w14:paraId="4F3012DC">
      <w:pPr>
        <w:spacing w:before="156" w:beforeLines="50" w:after="312" w:afterLines="100" w:line="440" w:lineRule="exac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6.1</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基本情况表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993"/>
        <w:gridCol w:w="283"/>
        <w:gridCol w:w="195"/>
        <w:gridCol w:w="1246"/>
        <w:gridCol w:w="260"/>
        <w:gridCol w:w="709"/>
        <w:gridCol w:w="1416"/>
      </w:tblGrid>
      <w:tr w14:paraId="78B0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AE958DD">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名称</w:t>
            </w:r>
          </w:p>
        </w:tc>
        <w:tc>
          <w:tcPr>
            <w:tcW w:w="7020" w:type="dxa"/>
            <w:gridSpan w:val="9"/>
            <w:noWrap w:val="0"/>
            <w:vAlign w:val="center"/>
          </w:tcPr>
          <w:p w14:paraId="3158CE7F">
            <w:pPr>
              <w:jc w:val="center"/>
              <w:outlineLvl w:val="9"/>
              <w:rPr>
                <w:rFonts w:hint="eastAsia" w:asciiTheme="minorEastAsia" w:hAnsiTheme="minorEastAsia" w:eastAsiaTheme="minorEastAsia" w:cstheme="minorEastAsia"/>
                <w:color w:val="auto"/>
                <w:szCs w:val="21"/>
                <w:highlight w:val="none"/>
              </w:rPr>
            </w:pPr>
          </w:p>
        </w:tc>
      </w:tr>
      <w:tr w14:paraId="0577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D1CF1ED">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注册地址</w:t>
            </w:r>
          </w:p>
        </w:tc>
        <w:tc>
          <w:tcPr>
            <w:tcW w:w="3389" w:type="dxa"/>
            <w:gridSpan w:val="5"/>
            <w:noWrap w:val="0"/>
            <w:vAlign w:val="center"/>
          </w:tcPr>
          <w:p w14:paraId="19DFFC4A">
            <w:pPr>
              <w:jc w:val="center"/>
              <w:outlineLvl w:val="9"/>
              <w:rPr>
                <w:rFonts w:hint="eastAsia" w:asciiTheme="minorEastAsia" w:hAnsiTheme="minorEastAsia" w:eastAsiaTheme="minorEastAsia" w:cstheme="minorEastAsia"/>
                <w:color w:val="auto"/>
                <w:szCs w:val="21"/>
                <w:highlight w:val="none"/>
              </w:rPr>
            </w:pPr>
          </w:p>
        </w:tc>
        <w:tc>
          <w:tcPr>
            <w:tcW w:w="1246" w:type="dxa"/>
            <w:noWrap w:val="0"/>
            <w:vAlign w:val="center"/>
          </w:tcPr>
          <w:p w14:paraId="3BFA0792">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p>
        </w:tc>
        <w:tc>
          <w:tcPr>
            <w:tcW w:w="2385" w:type="dxa"/>
            <w:gridSpan w:val="3"/>
            <w:noWrap w:val="0"/>
            <w:vAlign w:val="center"/>
          </w:tcPr>
          <w:p w14:paraId="091EB473">
            <w:pPr>
              <w:jc w:val="center"/>
              <w:outlineLvl w:val="9"/>
              <w:rPr>
                <w:rFonts w:hint="eastAsia" w:asciiTheme="minorEastAsia" w:hAnsiTheme="minorEastAsia" w:eastAsiaTheme="minorEastAsia" w:cstheme="minorEastAsia"/>
                <w:color w:val="auto"/>
                <w:szCs w:val="21"/>
                <w:highlight w:val="none"/>
              </w:rPr>
            </w:pPr>
          </w:p>
        </w:tc>
      </w:tr>
      <w:tr w14:paraId="1B12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14:paraId="5BCAD70F">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联系方式</w:t>
            </w:r>
          </w:p>
        </w:tc>
        <w:tc>
          <w:tcPr>
            <w:tcW w:w="897" w:type="dxa"/>
            <w:noWrap w:val="0"/>
            <w:vAlign w:val="center"/>
          </w:tcPr>
          <w:p w14:paraId="6CB074D3">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w:t>
            </w:r>
          </w:p>
        </w:tc>
        <w:tc>
          <w:tcPr>
            <w:tcW w:w="2492" w:type="dxa"/>
            <w:gridSpan w:val="4"/>
            <w:noWrap w:val="0"/>
            <w:vAlign w:val="center"/>
          </w:tcPr>
          <w:p w14:paraId="09AD1968">
            <w:pPr>
              <w:jc w:val="center"/>
              <w:outlineLvl w:val="9"/>
              <w:rPr>
                <w:rFonts w:hint="eastAsia" w:asciiTheme="minorEastAsia" w:hAnsiTheme="minorEastAsia" w:eastAsiaTheme="minorEastAsia" w:cstheme="minorEastAsia"/>
                <w:color w:val="auto"/>
                <w:szCs w:val="21"/>
                <w:highlight w:val="none"/>
              </w:rPr>
            </w:pPr>
          </w:p>
        </w:tc>
        <w:tc>
          <w:tcPr>
            <w:tcW w:w="1246" w:type="dxa"/>
            <w:noWrap w:val="0"/>
            <w:vAlign w:val="center"/>
          </w:tcPr>
          <w:p w14:paraId="08380176">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  话</w:t>
            </w:r>
          </w:p>
        </w:tc>
        <w:tc>
          <w:tcPr>
            <w:tcW w:w="2385" w:type="dxa"/>
            <w:gridSpan w:val="3"/>
            <w:noWrap w:val="0"/>
            <w:vAlign w:val="center"/>
          </w:tcPr>
          <w:p w14:paraId="06A645AD">
            <w:pPr>
              <w:jc w:val="center"/>
              <w:outlineLvl w:val="9"/>
              <w:rPr>
                <w:rFonts w:hint="eastAsia" w:asciiTheme="minorEastAsia" w:hAnsiTheme="minorEastAsia" w:eastAsiaTheme="minorEastAsia" w:cstheme="minorEastAsia"/>
                <w:color w:val="auto"/>
                <w:szCs w:val="21"/>
                <w:highlight w:val="none"/>
              </w:rPr>
            </w:pPr>
          </w:p>
        </w:tc>
      </w:tr>
      <w:tr w14:paraId="1A78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14:paraId="0620A999">
            <w:pPr>
              <w:outlineLvl w:val="9"/>
              <w:rPr>
                <w:rFonts w:hint="eastAsia" w:asciiTheme="minorEastAsia" w:hAnsiTheme="minorEastAsia" w:eastAsiaTheme="minorEastAsia" w:cstheme="minorEastAsia"/>
                <w:color w:val="auto"/>
                <w:highlight w:val="none"/>
              </w:rPr>
            </w:pPr>
          </w:p>
        </w:tc>
        <w:tc>
          <w:tcPr>
            <w:tcW w:w="897" w:type="dxa"/>
            <w:noWrap w:val="0"/>
            <w:vAlign w:val="center"/>
          </w:tcPr>
          <w:p w14:paraId="6BF14D6B">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  真</w:t>
            </w:r>
          </w:p>
        </w:tc>
        <w:tc>
          <w:tcPr>
            <w:tcW w:w="2492" w:type="dxa"/>
            <w:gridSpan w:val="4"/>
            <w:noWrap w:val="0"/>
            <w:vAlign w:val="center"/>
          </w:tcPr>
          <w:p w14:paraId="6E3D4AAB">
            <w:pPr>
              <w:jc w:val="center"/>
              <w:outlineLvl w:val="9"/>
              <w:rPr>
                <w:rFonts w:hint="eastAsia" w:asciiTheme="minorEastAsia" w:hAnsiTheme="minorEastAsia" w:eastAsiaTheme="minorEastAsia" w:cstheme="minorEastAsia"/>
                <w:color w:val="auto"/>
                <w:szCs w:val="21"/>
                <w:highlight w:val="none"/>
              </w:rPr>
            </w:pPr>
          </w:p>
        </w:tc>
        <w:tc>
          <w:tcPr>
            <w:tcW w:w="1246" w:type="dxa"/>
            <w:noWrap w:val="0"/>
            <w:vAlign w:val="center"/>
          </w:tcPr>
          <w:p w14:paraId="3596C903">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网  址</w:t>
            </w:r>
          </w:p>
        </w:tc>
        <w:tc>
          <w:tcPr>
            <w:tcW w:w="2385" w:type="dxa"/>
            <w:gridSpan w:val="3"/>
            <w:noWrap w:val="0"/>
            <w:vAlign w:val="center"/>
          </w:tcPr>
          <w:p w14:paraId="54419AD1">
            <w:pPr>
              <w:jc w:val="center"/>
              <w:outlineLvl w:val="9"/>
              <w:rPr>
                <w:rFonts w:hint="eastAsia" w:asciiTheme="minorEastAsia" w:hAnsiTheme="minorEastAsia" w:eastAsiaTheme="minorEastAsia" w:cstheme="minorEastAsia"/>
                <w:color w:val="auto"/>
                <w:szCs w:val="21"/>
                <w:highlight w:val="none"/>
              </w:rPr>
            </w:pPr>
          </w:p>
        </w:tc>
      </w:tr>
      <w:tr w14:paraId="6C85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BB01A6E">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组织结构</w:t>
            </w:r>
          </w:p>
        </w:tc>
        <w:tc>
          <w:tcPr>
            <w:tcW w:w="7020" w:type="dxa"/>
            <w:gridSpan w:val="9"/>
            <w:noWrap w:val="0"/>
            <w:vAlign w:val="center"/>
          </w:tcPr>
          <w:p w14:paraId="37F1AE2B">
            <w:pPr>
              <w:jc w:val="center"/>
              <w:outlineLvl w:val="9"/>
              <w:rPr>
                <w:rFonts w:hint="eastAsia" w:asciiTheme="minorEastAsia" w:hAnsiTheme="minorEastAsia" w:eastAsiaTheme="minorEastAsia" w:cstheme="minorEastAsia"/>
                <w:color w:val="auto"/>
                <w:szCs w:val="21"/>
                <w:highlight w:val="none"/>
              </w:rPr>
            </w:pPr>
          </w:p>
        </w:tc>
      </w:tr>
      <w:tr w14:paraId="25E8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D94E3E8">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p>
        </w:tc>
        <w:tc>
          <w:tcPr>
            <w:tcW w:w="897" w:type="dxa"/>
            <w:noWrap w:val="0"/>
            <w:vAlign w:val="center"/>
          </w:tcPr>
          <w:p w14:paraId="0CECDD09">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1021" w:type="dxa"/>
            <w:noWrap w:val="0"/>
            <w:vAlign w:val="center"/>
          </w:tcPr>
          <w:p w14:paraId="773D4C5D">
            <w:pPr>
              <w:jc w:val="center"/>
              <w:outlineLvl w:val="9"/>
              <w:rPr>
                <w:rFonts w:hint="eastAsia" w:asciiTheme="minorEastAsia" w:hAnsiTheme="minorEastAsia" w:eastAsiaTheme="minorEastAsia" w:cstheme="minorEastAsia"/>
                <w:color w:val="auto"/>
                <w:szCs w:val="21"/>
                <w:highlight w:val="none"/>
              </w:rPr>
            </w:pPr>
          </w:p>
        </w:tc>
        <w:tc>
          <w:tcPr>
            <w:tcW w:w="1276" w:type="dxa"/>
            <w:gridSpan w:val="2"/>
            <w:noWrap w:val="0"/>
            <w:vAlign w:val="center"/>
          </w:tcPr>
          <w:p w14:paraId="5A722917">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技术职称</w:t>
            </w:r>
          </w:p>
        </w:tc>
        <w:tc>
          <w:tcPr>
            <w:tcW w:w="1701" w:type="dxa"/>
            <w:gridSpan w:val="3"/>
            <w:noWrap w:val="0"/>
            <w:vAlign w:val="center"/>
          </w:tcPr>
          <w:p w14:paraId="68B36EF0">
            <w:pPr>
              <w:jc w:val="center"/>
              <w:outlineLvl w:val="9"/>
              <w:rPr>
                <w:rFonts w:hint="eastAsia" w:asciiTheme="minorEastAsia" w:hAnsiTheme="minorEastAsia" w:eastAsiaTheme="minorEastAsia" w:cstheme="minorEastAsia"/>
                <w:color w:val="auto"/>
                <w:szCs w:val="21"/>
                <w:highlight w:val="none"/>
              </w:rPr>
            </w:pPr>
          </w:p>
        </w:tc>
        <w:tc>
          <w:tcPr>
            <w:tcW w:w="709" w:type="dxa"/>
            <w:noWrap w:val="0"/>
            <w:vAlign w:val="center"/>
          </w:tcPr>
          <w:p w14:paraId="480130C3">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1416" w:type="dxa"/>
            <w:noWrap w:val="0"/>
            <w:vAlign w:val="center"/>
          </w:tcPr>
          <w:p w14:paraId="078A5621">
            <w:pPr>
              <w:jc w:val="center"/>
              <w:outlineLvl w:val="9"/>
              <w:rPr>
                <w:rFonts w:hint="eastAsia" w:asciiTheme="minorEastAsia" w:hAnsiTheme="minorEastAsia" w:eastAsiaTheme="minorEastAsia" w:cstheme="minorEastAsia"/>
                <w:color w:val="auto"/>
                <w:szCs w:val="21"/>
                <w:highlight w:val="none"/>
              </w:rPr>
            </w:pPr>
          </w:p>
        </w:tc>
      </w:tr>
      <w:tr w14:paraId="4CB3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60ED247">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技术负责人</w:t>
            </w:r>
          </w:p>
        </w:tc>
        <w:tc>
          <w:tcPr>
            <w:tcW w:w="897" w:type="dxa"/>
            <w:noWrap w:val="0"/>
            <w:vAlign w:val="center"/>
          </w:tcPr>
          <w:p w14:paraId="2A7F1A8E">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1021" w:type="dxa"/>
            <w:noWrap w:val="0"/>
            <w:vAlign w:val="center"/>
          </w:tcPr>
          <w:p w14:paraId="6B1AD3D2">
            <w:pPr>
              <w:jc w:val="center"/>
              <w:outlineLvl w:val="9"/>
              <w:rPr>
                <w:rFonts w:hint="eastAsia" w:asciiTheme="minorEastAsia" w:hAnsiTheme="minorEastAsia" w:eastAsiaTheme="minorEastAsia" w:cstheme="minorEastAsia"/>
                <w:color w:val="auto"/>
                <w:szCs w:val="21"/>
                <w:highlight w:val="none"/>
              </w:rPr>
            </w:pPr>
          </w:p>
        </w:tc>
        <w:tc>
          <w:tcPr>
            <w:tcW w:w="1276" w:type="dxa"/>
            <w:gridSpan w:val="2"/>
            <w:noWrap w:val="0"/>
            <w:vAlign w:val="center"/>
          </w:tcPr>
          <w:p w14:paraId="5792F77D">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技术职称</w:t>
            </w:r>
          </w:p>
        </w:tc>
        <w:tc>
          <w:tcPr>
            <w:tcW w:w="1701" w:type="dxa"/>
            <w:gridSpan w:val="3"/>
            <w:noWrap w:val="0"/>
            <w:vAlign w:val="center"/>
          </w:tcPr>
          <w:p w14:paraId="5DD8B055">
            <w:pPr>
              <w:jc w:val="center"/>
              <w:outlineLvl w:val="9"/>
              <w:rPr>
                <w:rFonts w:hint="eastAsia" w:asciiTheme="minorEastAsia" w:hAnsiTheme="minorEastAsia" w:eastAsiaTheme="minorEastAsia" w:cstheme="minorEastAsia"/>
                <w:color w:val="auto"/>
                <w:szCs w:val="21"/>
                <w:highlight w:val="none"/>
              </w:rPr>
            </w:pPr>
          </w:p>
        </w:tc>
        <w:tc>
          <w:tcPr>
            <w:tcW w:w="709" w:type="dxa"/>
            <w:noWrap w:val="0"/>
            <w:vAlign w:val="center"/>
          </w:tcPr>
          <w:p w14:paraId="73BE5204">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1416" w:type="dxa"/>
            <w:noWrap w:val="0"/>
            <w:vAlign w:val="center"/>
          </w:tcPr>
          <w:p w14:paraId="37C6EB91">
            <w:pPr>
              <w:jc w:val="center"/>
              <w:outlineLvl w:val="9"/>
              <w:rPr>
                <w:rFonts w:hint="eastAsia" w:asciiTheme="minorEastAsia" w:hAnsiTheme="minorEastAsia" w:eastAsiaTheme="minorEastAsia" w:cstheme="minorEastAsia"/>
                <w:color w:val="auto"/>
                <w:szCs w:val="21"/>
                <w:highlight w:val="none"/>
              </w:rPr>
            </w:pPr>
          </w:p>
        </w:tc>
      </w:tr>
      <w:tr w14:paraId="58D5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26" w:type="dxa"/>
            <w:noWrap w:val="0"/>
            <w:vAlign w:val="center"/>
          </w:tcPr>
          <w:p w14:paraId="0FC246EB">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p>
        </w:tc>
        <w:tc>
          <w:tcPr>
            <w:tcW w:w="1918" w:type="dxa"/>
            <w:gridSpan w:val="2"/>
            <w:noWrap w:val="0"/>
            <w:vAlign w:val="center"/>
          </w:tcPr>
          <w:p w14:paraId="7B20B722">
            <w:pPr>
              <w:jc w:val="center"/>
              <w:outlineLvl w:val="9"/>
              <w:rPr>
                <w:rFonts w:hint="eastAsia" w:asciiTheme="minorEastAsia" w:hAnsiTheme="minorEastAsia" w:eastAsiaTheme="minorEastAsia" w:cstheme="minorEastAsia"/>
                <w:color w:val="auto"/>
                <w:szCs w:val="21"/>
                <w:highlight w:val="none"/>
              </w:rPr>
            </w:pPr>
          </w:p>
        </w:tc>
        <w:tc>
          <w:tcPr>
            <w:tcW w:w="5102" w:type="dxa"/>
            <w:gridSpan w:val="7"/>
            <w:noWrap w:val="0"/>
            <w:vAlign w:val="center"/>
          </w:tcPr>
          <w:p w14:paraId="3DAFF43A">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员工总人数：</w:t>
            </w:r>
          </w:p>
        </w:tc>
      </w:tr>
      <w:tr w14:paraId="5EBF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26" w:type="dxa"/>
            <w:noWrap w:val="0"/>
            <w:vAlign w:val="center"/>
          </w:tcPr>
          <w:p w14:paraId="2D68DBEF">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企业资质等级</w:t>
            </w:r>
          </w:p>
        </w:tc>
        <w:tc>
          <w:tcPr>
            <w:tcW w:w="897" w:type="dxa"/>
            <w:noWrap w:val="0"/>
            <w:vAlign w:val="center"/>
          </w:tcPr>
          <w:p w14:paraId="1AE707C8">
            <w:pPr>
              <w:jc w:val="center"/>
              <w:outlineLvl w:val="9"/>
              <w:rPr>
                <w:rFonts w:hint="eastAsia" w:asciiTheme="minorEastAsia" w:hAnsiTheme="minorEastAsia" w:eastAsiaTheme="minorEastAsia" w:cstheme="minorEastAsia"/>
                <w:color w:val="auto"/>
                <w:szCs w:val="21"/>
                <w:highlight w:val="none"/>
              </w:rPr>
            </w:pPr>
          </w:p>
        </w:tc>
        <w:tc>
          <w:tcPr>
            <w:tcW w:w="1021" w:type="dxa"/>
            <w:noWrap w:val="0"/>
            <w:vAlign w:val="center"/>
          </w:tcPr>
          <w:p w14:paraId="0853A1C1">
            <w:pPr>
              <w:jc w:val="center"/>
              <w:outlineLvl w:val="9"/>
              <w:rPr>
                <w:rFonts w:hint="eastAsia" w:asciiTheme="minorEastAsia" w:hAnsiTheme="minorEastAsia" w:eastAsiaTheme="minorEastAsia" w:cstheme="minorEastAsia"/>
                <w:color w:val="auto"/>
                <w:szCs w:val="21"/>
                <w:highlight w:val="none"/>
              </w:rPr>
            </w:pPr>
          </w:p>
        </w:tc>
        <w:tc>
          <w:tcPr>
            <w:tcW w:w="993" w:type="dxa"/>
            <w:vMerge w:val="restart"/>
            <w:noWrap w:val="0"/>
            <w:vAlign w:val="center"/>
          </w:tcPr>
          <w:p w14:paraId="7890A282">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其中</w:t>
            </w:r>
          </w:p>
        </w:tc>
        <w:tc>
          <w:tcPr>
            <w:tcW w:w="1984" w:type="dxa"/>
            <w:gridSpan w:val="4"/>
            <w:noWrap w:val="0"/>
            <w:vAlign w:val="center"/>
          </w:tcPr>
          <w:p w14:paraId="3987C936">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w:t>
            </w:r>
          </w:p>
        </w:tc>
        <w:tc>
          <w:tcPr>
            <w:tcW w:w="2125" w:type="dxa"/>
            <w:gridSpan w:val="2"/>
            <w:noWrap w:val="0"/>
            <w:vAlign w:val="center"/>
          </w:tcPr>
          <w:p w14:paraId="0CDE2D1A">
            <w:pPr>
              <w:jc w:val="center"/>
              <w:outlineLvl w:val="9"/>
              <w:rPr>
                <w:rFonts w:hint="eastAsia" w:asciiTheme="minorEastAsia" w:hAnsiTheme="minorEastAsia" w:eastAsiaTheme="minorEastAsia" w:cstheme="minorEastAsia"/>
                <w:color w:val="auto"/>
                <w:szCs w:val="21"/>
                <w:highlight w:val="none"/>
              </w:rPr>
            </w:pPr>
          </w:p>
        </w:tc>
      </w:tr>
      <w:tr w14:paraId="44AA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26" w:type="dxa"/>
            <w:noWrap w:val="0"/>
            <w:vAlign w:val="center"/>
          </w:tcPr>
          <w:p w14:paraId="4B88974D">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营业执照号</w:t>
            </w:r>
          </w:p>
        </w:tc>
        <w:tc>
          <w:tcPr>
            <w:tcW w:w="897" w:type="dxa"/>
            <w:noWrap w:val="0"/>
            <w:vAlign w:val="center"/>
          </w:tcPr>
          <w:p w14:paraId="66010EEE">
            <w:pPr>
              <w:jc w:val="center"/>
              <w:outlineLvl w:val="9"/>
              <w:rPr>
                <w:rFonts w:hint="eastAsia" w:asciiTheme="minorEastAsia" w:hAnsiTheme="minorEastAsia" w:eastAsiaTheme="minorEastAsia" w:cstheme="minorEastAsia"/>
                <w:color w:val="auto"/>
                <w:szCs w:val="21"/>
                <w:highlight w:val="none"/>
              </w:rPr>
            </w:pPr>
          </w:p>
        </w:tc>
        <w:tc>
          <w:tcPr>
            <w:tcW w:w="1021" w:type="dxa"/>
            <w:noWrap w:val="0"/>
            <w:vAlign w:val="center"/>
          </w:tcPr>
          <w:p w14:paraId="5A999F94">
            <w:pPr>
              <w:jc w:val="center"/>
              <w:outlineLvl w:val="9"/>
              <w:rPr>
                <w:rFonts w:hint="eastAsia" w:asciiTheme="minorEastAsia" w:hAnsiTheme="minorEastAsia" w:eastAsiaTheme="minorEastAsia" w:cstheme="minorEastAsia"/>
                <w:color w:val="auto"/>
                <w:szCs w:val="21"/>
                <w:highlight w:val="none"/>
              </w:rPr>
            </w:pPr>
          </w:p>
        </w:tc>
        <w:tc>
          <w:tcPr>
            <w:tcW w:w="993" w:type="dxa"/>
            <w:vMerge w:val="continue"/>
            <w:noWrap w:val="0"/>
            <w:vAlign w:val="center"/>
          </w:tcPr>
          <w:p w14:paraId="1B671C82">
            <w:pPr>
              <w:outlineLvl w:val="9"/>
              <w:rPr>
                <w:rFonts w:hint="eastAsia" w:asciiTheme="minorEastAsia" w:hAnsiTheme="minorEastAsia" w:eastAsiaTheme="minorEastAsia" w:cstheme="minorEastAsia"/>
                <w:color w:val="auto"/>
                <w:highlight w:val="none"/>
              </w:rPr>
            </w:pPr>
          </w:p>
        </w:tc>
        <w:tc>
          <w:tcPr>
            <w:tcW w:w="1984" w:type="dxa"/>
            <w:gridSpan w:val="4"/>
            <w:noWrap w:val="0"/>
            <w:vAlign w:val="center"/>
          </w:tcPr>
          <w:p w14:paraId="008FD886">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高级职称人员</w:t>
            </w:r>
          </w:p>
        </w:tc>
        <w:tc>
          <w:tcPr>
            <w:tcW w:w="2125" w:type="dxa"/>
            <w:gridSpan w:val="2"/>
            <w:noWrap w:val="0"/>
            <w:vAlign w:val="center"/>
          </w:tcPr>
          <w:p w14:paraId="0F5F270F">
            <w:pPr>
              <w:jc w:val="center"/>
              <w:outlineLvl w:val="9"/>
              <w:rPr>
                <w:rFonts w:hint="eastAsia" w:asciiTheme="minorEastAsia" w:hAnsiTheme="minorEastAsia" w:eastAsiaTheme="minorEastAsia" w:cstheme="minorEastAsia"/>
                <w:color w:val="auto"/>
                <w:szCs w:val="21"/>
                <w:highlight w:val="none"/>
              </w:rPr>
            </w:pPr>
          </w:p>
        </w:tc>
      </w:tr>
      <w:tr w14:paraId="59CB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626" w:type="dxa"/>
            <w:noWrap w:val="0"/>
            <w:vAlign w:val="center"/>
          </w:tcPr>
          <w:p w14:paraId="147164D4">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注册资金</w:t>
            </w:r>
          </w:p>
        </w:tc>
        <w:tc>
          <w:tcPr>
            <w:tcW w:w="897" w:type="dxa"/>
            <w:noWrap w:val="0"/>
            <w:vAlign w:val="center"/>
          </w:tcPr>
          <w:p w14:paraId="4AE9947F">
            <w:pPr>
              <w:jc w:val="center"/>
              <w:outlineLvl w:val="9"/>
              <w:rPr>
                <w:rFonts w:hint="eastAsia" w:asciiTheme="minorEastAsia" w:hAnsiTheme="minorEastAsia" w:eastAsiaTheme="minorEastAsia" w:cstheme="minorEastAsia"/>
                <w:color w:val="auto"/>
                <w:szCs w:val="21"/>
                <w:highlight w:val="none"/>
              </w:rPr>
            </w:pPr>
          </w:p>
        </w:tc>
        <w:tc>
          <w:tcPr>
            <w:tcW w:w="1021" w:type="dxa"/>
            <w:noWrap w:val="0"/>
            <w:vAlign w:val="center"/>
          </w:tcPr>
          <w:p w14:paraId="6A80E27E">
            <w:pPr>
              <w:jc w:val="center"/>
              <w:outlineLvl w:val="9"/>
              <w:rPr>
                <w:rFonts w:hint="eastAsia" w:asciiTheme="minorEastAsia" w:hAnsiTheme="minorEastAsia" w:eastAsiaTheme="minorEastAsia" w:cstheme="minorEastAsia"/>
                <w:color w:val="auto"/>
                <w:szCs w:val="21"/>
                <w:highlight w:val="none"/>
              </w:rPr>
            </w:pPr>
          </w:p>
        </w:tc>
        <w:tc>
          <w:tcPr>
            <w:tcW w:w="993" w:type="dxa"/>
            <w:vMerge w:val="continue"/>
            <w:noWrap w:val="0"/>
            <w:vAlign w:val="center"/>
          </w:tcPr>
          <w:p w14:paraId="70B38691">
            <w:pPr>
              <w:outlineLvl w:val="9"/>
              <w:rPr>
                <w:rFonts w:hint="eastAsia" w:asciiTheme="minorEastAsia" w:hAnsiTheme="minorEastAsia" w:eastAsiaTheme="minorEastAsia" w:cstheme="minorEastAsia"/>
                <w:color w:val="auto"/>
                <w:highlight w:val="none"/>
              </w:rPr>
            </w:pPr>
          </w:p>
        </w:tc>
        <w:tc>
          <w:tcPr>
            <w:tcW w:w="1984" w:type="dxa"/>
            <w:gridSpan w:val="4"/>
            <w:noWrap w:val="0"/>
            <w:vAlign w:val="center"/>
          </w:tcPr>
          <w:p w14:paraId="0146ACFB">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中级职称人员</w:t>
            </w:r>
          </w:p>
        </w:tc>
        <w:tc>
          <w:tcPr>
            <w:tcW w:w="2125" w:type="dxa"/>
            <w:gridSpan w:val="2"/>
            <w:noWrap w:val="0"/>
            <w:vAlign w:val="center"/>
          </w:tcPr>
          <w:p w14:paraId="01DF3572">
            <w:pPr>
              <w:jc w:val="center"/>
              <w:outlineLvl w:val="9"/>
              <w:rPr>
                <w:rFonts w:hint="eastAsia" w:asciiTheme="minorEastAsia" w:hAnsiTheme="minorEastAsia" w:eastAsiaTheme="minorEastAsia" w:cstheme="minorEastAsia"/>
                <w:color w:val="auto"/>
                <w:szCs w:val="21"/>
                <w:highlight w:val="none"/>
              </w:rPr>
            </w:pPr>
          </w:p>
        </w:tc>
      </w:tr>
      <w:tr w14:paraId="445C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26" w:type="dxa"/>
            <w:noWrap w:val="0"/>
            <w:vAlign w:val="center"/>
          </w:tcPr>
          <w:p w14:paraId="11A2587F">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p>
        </w:tc>
        <w:tc>
          <w:tcPr>
            <w:tcW w:w="897" w:type="dxa"/>
            <w:noWrap w:val="0"/>
            <w:vAlign w:val="center"/>
          </w:tcPr>
          <w:p w14:paraId="34D50D95">
            <w:pPr>
              <w:jc w:val="center"/>
              <w:outlineLvl w:val="9"/>
              <w:rPr>
                <w:rFonts w:hint="eastAsia" w:asciiTheme="minorEastAsia" w:hAnsiTheme="minorEastAsia" w:eastAsiaTheme="minorEastAsia" w:cstheme="minorEastAsia"/>
                <w:color w:val="auto"/>
                <w:szCs w:val="21"/>
                <w:highlight w:val="none"/>
              </w:rPr>
            </w:pPr>
          </w:p>
        </w:tc>
        <w:tc>
          <w:tcPr>
            <w:tcW w:w="1021" w:type="dxa"/>
            <w:noWrap w:val="0"/>
            <w:vAlign w:val="center"/>
          </w:tcPr>
          <w:p w14:paraId="1BC3E71D">
            <w:pPr>
              <w:jc w:val="center"/>
              <w:outlineLvl w:val="9"/>
              <w:rPr>
                <w:rFonts w:hint="eastAsia" w:asciiTheme="minorEastAsia" w:hAnsiTheme="minorEastAsia" w:eastAsiaTheme="minorEastAsia" w:cstheme="minorEastAsia"/>
                <w:color w:val="auto"/>
                <w:szCs w:val="21"/>
                <w:highlight w:val="none"/>
              </w:rPr>
            </w:pPr>
          </w:p>
        </w:tc>
        <w:tc>
          <w:tcPr>
            <w:tcW w:w="993" w:type="dxa"/>
            <w:vMerge w:val="continue"/>
            <w:noWrap w:val="0"/>
            <w:vAlign w:val="center"/>
          </w:tcPr>
          <w:p w14:paraId="4126D129">
            <w:pPr>
              <w:outlineLvl w:val="9"/>
              <w:rPr>
                <w:rFonts w:hint="eastAsia" w:asciiTheme="minorEastAsia" w:hAnsiTheme="minorEastAsia" w:eastAsiaTheme="minorEastAsia" w:cstheme="minorEastAsia"/>
                <w:color w:val="auto"/>
                <w:highlight w:val="none"/>
              </w:rPr>
            </w:pPr>
          </w:p>
        </w:tc>
        <w:tc>
          <w:tcPr>
            <w:tcW w:w="1984" w:type="dxa"/>
            <w:gridSpan w:val="4"/>
            <w:noWrap w:val="0"/>
            <w:vAlign w:val="center"/>
          </w:tcPr>
          <w:p w14:paraId="41B18DDC">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初级职称人员</w:t>
            </w:r>
          </w:p>
        </w:tc>
        <w:tc>
          <w:tcPr>
            <w:tcW w:w="2125" w:type="dxa"/>
            <w:gridSpan w:val="2"/>
            <w:noWrap w:val="0"/>
            <w:vAlign w:val="center"/>
          </w:tcPr>
          <w:p w14:paraId="6BBAD78B">
            <w:pPr>
              <w:jc w:val="center"/>
              <w:outlineLvl w:val="9"/>
              <w:rPr>
                <w:rFonts w:hint="eastAsia" w:asciiTheme="minorEastAsia" w:hAnsiTheme="minorEastAsia" w:eastAsiaTheme="minorEastAsia" w:cstheme="minorEastAsia"/>
                <w:color w:val="auto"/>
                <w:szCs w:val="21"/>
                <w:highlight w:val="none"/>
              </w:rPr>
            </w:pPr>
          </w:p>
        </w:tc>
      </w:tr>
      <w:tr w14:paraId="4901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26" w:type="dxa"/>
            <w:noWrap w:val="0"/>
            <w:vAlign w:val="center"/>
          </w:tcPr>
          <w:p w14:paraId="446F2399">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账号</w:t>
            </w:r>
          </w:p>
        </w:tc>
        <w:tc>
          <w:tcPr>
            <w:tcW w:w="897" w:type="dxa"/>
            <w:noWrap w:val="0"/>
            <w:vAlign w:val="center"/>
          </w:tcPr>
          <w:p w14:paraId="36447EB3">
            <w:pPr>
              <w:jc w:val="center"/>
              <w:outlineLvl w:val="9"/>
              <w:rPr>
                <w:rFonts w:hint="eastAsia" w:asciiTheme="minorEastAsia" w:hAnsiTheme="minorEastAsia" w:eastAsiaTheme="minorEastAsia" w:cstheme="minorEastAsia"/>
                <w:color w:val="auto"/>
                <w:szCs w:val="21"/>
                <w:highlight w:val="none"/>
              </w:rPr>
            </w:pPr>
          </w:p>
        </w:tc>
        <w:tc>
          <w:tcPr>
            <w:tcW w:w="1021" w:type="dxa"/>
            <w:noWrap w:val="0"/>
            <w:vAlign w:val="center"/>
          </w:tcPr>
          <w:p w14:paraId="04D2891B">
            <w:pPr>
              <w:jc w:val="center"/>
              <w:outlineLvl w:val="9"/>
              <w:rPr>
                <w:rFonts w:hint="eastAsia" w:asciiTheme="minorEastAsia" w:hAnsiTheme="minorEastAsia" w:eastAsiaTheme="minorEastAsia" w:cstheme="minorEastAsia"/>
                <w:color w:val="auto"/>
                <w:szCs w:val="21"/>
                <w:highlight w:val="none"/>
              </w:rPr>
            </w:pPr>
          </w:p>
        </w:tc>
        <w:tc>
          <w:tcPr>
            <w:tcW w:w="993" w:type="dxa"/>
            <w:vMerge w:val="continue"/>
            <w:noWrap w:val="0"/>
            <w:vAlign w:val="center"/>
          </w:tcPr>
          <w:p w14:paraId="2E64C112">
            <w:pPr>
              <w:outlineLvl w:val="9"/>
              <w:rPr>
                <w:rFonts w:hint="eastAsia" w:asciiTheme="minorEastAsia" w:hAnsiTheme="minorEastAsia" w:eastAsiaTheme="minorEastAsia" w:cstheme="minorEastAsia"/>
                <w:color w:val="auto"/>
                <w:highlight w:val="none"/>
              </w:rPr>
            </w:pPr>
          </w:p>
        </w:tc>
        <w:tc>
          <w:tcPr>
            <w:tcW w:w="1984" w:type="dxa"/>
            <w:gridSpan w:val="4"/>
            <w:noWrap w:val="0"/>
            <w:vAlign w:val="center"/>
          </w:tcPr>
          <w:p w14:paraId="7595D984">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  工</w:t>
            </w:r>
          </w:p>
        </w:tc>
        <w:tc>
          <w:tcPr>
            <w:tcW w:w="2125" w:type="dxa"/>
            <w:gridSpan w:val="2"/>
            <w:noWrap w:val="0"/>
            <w:vAlign w:val="center"/>
          </w:tcPr>
          <w:p w14:paraId="7F9C309D">
            <w:pPr>
              <w:jc w:val="center"/>
              <w:outlineLvl w:val="9"/>
              <w:rPr>
                <w:rFonts w:hint="eastAsia" w:asciiTheme="minorEastAsia" w:hAnsiTheme="minorEastAsia" w:eastAsiaTheme="minorEastAsia" w:cstheme="minorEastAsia"/>
                <w:color w:val="auto"/>
                <w:szCs w:val="21"/>
                <w:highlight w:val="none"/>
              </w:rPr>
            </w:pPr>
          </w:p>
        </w:tc>
      </w:tr>
      <w:tr w14:paraId="60C6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626" w:type="dxa"/>
            <w:noWrap w:val="0"/>
            <w:vAlign w:val="center"/>
          </w:tcPr>
          <w:p w14:paraId="6295C8A1">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经营范围</w:t>
            </w:r>
          </w:p>
        </w:tc>
        <w:tc>
          <w:tcPr>
            <w:tcW w:w="7020" w:type="dxa"/>
            <w:gridSpan w:val="9"/>
            <w:noWrap w:val="0"/>
            <w:vAlign w:val="center"/>
          </w:tcPr>
          <w:p w14:paraId="5B22F0FE">
            <w:pPr>
              <w:jc w:val="center"/>
              <w:outlineLvl w:val="9"/>
              <w:rPr>
                <w:rFonts w:hint="eastAsia" w:asciiTheme="minorEastAsia" w:hAnsiTheme="minorEastAsia" w:eastAsiaTheme="minorEastAsia" w:cstheme="minorEastAsia"/>
                <w:color w:val="auto"/>
                <w:szCs w:val="21"/>
                <w:highlight w:val="none"/>
              </w:rPr>
            </w:pPr>
          </w:p>
        </w:tc>
      </w:tr>
      <w:tr w14:paraId="3CE8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E4F20DD">
            <w:pPr>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c>
          <w:tcPr>
            <w:tcW w:w="7020" w:type="dxa"/>
            <w:gridSpan w:val="9"/>
            <w:noWrap w:val="0"/>
            <w:vAlign w:val="center"/>
          </w:tcPr>
          <w:p w14:paraId="5B72E999">
            <w:pPr>
              <w:jc w:val="center"/>
              <w:outlineLvl w:val="9"/>
              <w:rPr>
                <w:rFonts w:hint="eastAsia" w:asciiTheme="minorEastAsia" w:hAnsiTheme="minorEastAsia" w:eastAsiaTheme="minorEastAsia" w:cstheme="minorEastAsia"/>
                <w:color w:val="auto"/>
                <w:szCs w:val="21"/>
                <w:highlight w:val="none"/>
              </w:rPr>
            </w:pPr>
          </w:p>
        </w:tc>
      </w:tr>
    </w:tbl>
    <w:p w14:paraId="12F43379">
      <w:pPr>
        <w:topLinePunct/>
        <w:spacing w:line="440" w:lineRule="exact"/>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备注：本表后应附</w:t>
      </w:r>
      <w:r>
        <w:rPr>
          <w:rFonts w:hint="eastAsia" w:asciiTheme="minorEastAsia" w:hAnsiTheme="minorEastAsia" w:eastAsiaTheme="minorEastAsia" w:cstheme="minorEastAsia"/>
          <w:b/>
          <w:color w:val="auto"/>
          <w:szCs w:val="21"/>
          <w:highlight w:val="none"/>
          <w:lang w:val="en-US" w:eastAsia="zh-CN"/>
        </w:rPr>
        <w:t>合格有效的</w:t>
      </w:r>
      <w:r>
        <w:rPr>
          <w:rFonts w:hint="eastAsia" w:asciiTheme="minorEastAsia" w:hAnsiTheme="minorEastAsia" w:eastAsiaTheme="minorEastAsia" w:cstheme="minorEastAsia"/>
          <w:b/>
          <w:color w:val="auto"/>
          <w:szCs w:val="21"/>
          <w:highlight w:val="none"/>
        </w:rPr>
        <w:t>企业法人营业执照、企业资质证书、安全生产许可证等材料的复印件。</w:t>
      </w:r>
    </w:p>
    <w:p w14:paraId="3FB4E48A">
      <w:pPr>
        <w:pStyle w:val="37"/>
        <w:outlineLvl w:val="9"/>
        <w:rPr>
          <w:rFonts w:hint="eastAsia" w:asciiTheme="minorEastAsia" w:hAnsiTheme="minorEastAsia" w:eastAsiaTheme="minorEastAsia" w:cstheme="minorEastAsia"/>
          <w:color w:val="auto"/>
          <w:sz w:val="21"/>
          <w:szCs w:val="21"/>
          <w:highlight w:val="none"/>
          <w:u w:val="none"/>
        </w:rPr>
      </w:pPr>
    </w:p>
    <w:p w14:paraId="4D2DA13F">
      <w:pPr>
        <w:pStyle w:val="37"/>
        <w:outlineLvl w:val="9"/>
        <w:rPr>
          <w:rFonts w:hint="eastAsia" w:asciiTheme="minorEastAsia" w:hAnsiTheme="minorEastAsia" w:eastAsiaTheme="minorEastAsia" w:cstheme="minorEastAsia"/>
          <w:color w:val="auto"/>
          <w:sz w:val="21"/>
          <w:szCs w:val="21"/>
          <w:highlight w:val="none"/>
          <w:u w:val="none"/>
        </w:rPr>
      </w:pPr>
    </w:p>
    <w:p w14:paraId="0F9CFFBA">
      <w:pPr>
        <w:pStyle w:val="37"/>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6.2</w:t>
      </w:r>
      <w:r>
        <w:rPr>
          <w:rFonts w:hint="eastAsia" w:asciiTheme="minorEastAsia" w:hAnsiTheme="minorEastAsia" w:eastAsiaTheme="minorEastAsia" w:cstheme="minorEastAsia"/>
          <w:color w:val="auto"/>
          <w:sz w:val="21"/>
          <w:szCs w:val="21"/>
          <w:highlight w:val="none"/>
          <w:u w:val="none"/>
        </w:rPr>
        <w:t>近年财务状况表</w:t>
      </w:r>
    </w:p>
    <w:p w14:paraId="2862BBAF">
      <w:pPr>
        <w:spacing w:before="156" w:beforeLines="50" w:after="156" w:afterLines="50" w:line="440" w:lineRule="exact"/>
        <w:ind w:firstLine="420" w:firstLineChars="200"/>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提供2023年或2024年度的财务审计报告（注册成立未满一年新公司提供银行资信证明）。</w:t>
      </w:r>
    </w:p>
    <w:p w14:paraId="5B428E03">
      <w:pPr>
        <w:spacing w:line="440" w:lineRule="exac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43805120">
      <w:pPr>
        <w:pStyle w:val="37"/>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 xml:space="preserve">6.3 </w:t>
      </w:r>
      <w:r>
        <w:rPr>
          <w:rFonts w:hint="eastAsia" w:asciiTheme="minorEastAsia" w:hAnsiTheme="minorEastAsia" w:eastAsiaTheme="minorEastAsia" w:cstheme="minorEastAsia"/>
          <w:color w:val="auto"/>
          <w:sz w:val="21"/>
          <w:szCs w:val="21"/>
          <w:highlight w:val="none"/>
          <w:u w:val="none"/>
        </w:rPr>
        <w:t>近</w:t>
      </w:r>
      <w:r>
        <w:rPr>
          <w:rFonts w:hint="eastAsia" w:asciiTheme="minorEastAsia" w:hAnsiTheme="minorEastAsia" w:eastAsiaTheme="minorEastAsia" w:cstheme="minorEastAsia"/>
          <w:color w:val="auto"/>
          <w:sz w:val="21"/>
          <w:szCs w:val="21"/>
          <w:highlight w:val="none"/>
          <w:u w:val="none"/>
          <w:lang w:val="en-US" w:eastAsia="zh-CN"/>
        </w:rPr>
        <w:t>3年</w:t>
      </w:r>
      <w:r>
        <w:rPr>
          <w:rFonts w:hint="eastAsia" w:asciiTheme="minorEastAsia" w:hAnsiTheme="minorEastAsia" w:eastAsiaTheme="minorEastAsia" w:cstheme="minorEastAsia"/>
          <w:color w:val="auto"/>
          <w:sz w:val="21"/>
          <w:szCs w:val="21"/>
          <w:highlight w:val="none"/>
          <w:u w:val="none"/>
        </w:rPr>
        <w:t>发生的诉讼及仲裁情况</w:t>
      </w:r>
    </w:p>
    <w:p w14:paraId="0F66F776">
      <w:pPr>
        <w:spacing w:line="440" w:lineRule="exact"/>
        <w:ind w:left="630" w:hanging="630" w:hangingChars="3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说明：近年发生的诉讼和仲裁情况仅限于</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败诉的，且与履行施工承包合同有关的案件，不包括调解结案以及未裁决的仲裁或未终审判决的诉讼。</w:t>
      </w:r>
    </w:p>
    <w:p w14:paraId="6FEE7112">
      <w:pPr>
        <w:spacing w:line="440" w:lineRule="exact"/>
        <w:outlineLvl w:val="9"/>
        <w:rPr>
          <w:rFonts w:hint="eastAsia" w:asciiTheme="minorEastAsia" w:hAnsiTheme="minorEastAsia" w:eastAsiaTheme="minorEastAsia" w:cstheme="minorEastAsia"/>
          <w:color w:val="auto"/>
          <w:szCs w:val="21"/>
          <w:highlight w:val="none"/>
        </w:rPr>
      </w:pPr>
    </w:p>
    <w:p w14:paraId="6BD11B77">
      <w:pPr>
        <w:spacing w:line="440" w:lineRule="exact"/>
        <w:outlineLvl w:val="9"/>
        <w:rPr>
          <w:rFonts w:hint="eastAsia" w:asciiTheme="minorEastAsia" w:hAnsiTheme="minorEastAsia" w:eastAsiaTheme="minorEastAsia" w:cstheme="minorEastAsia"/>
          <w:color w:val="auto"/>
          <w:szCs w:val="21"/>
          <w:highlight w:val="none"/>
        </w:rPr>
      </w:pPr>
    </w:p>
    <w:p w14:paraId="3B52CCBE">
      <w:pPr>
        <w:spacing w:line="440" w:lineRule="exact"/>
        <w:outlineLvl w:val="9"/>
        <w:rPr>
          <w:rFonts w:hint="eastAsia" w:asciiTheme="minorEastAsia" w:hAnsiTheme="minorEastAsia" w:eastAsiaTheme="minorEastAsia" w:cstheme="minorEastAsia"/>
          <w:color w:val="auto"/>
          <w:szCs w:val="21"/>
          <w:highlight w:val="none"/>
        </w:rPr>
      </w:pPr>
    </w:p>
    <w:p w14:paraId="2CA003CF">
      <w:pPr>
        <w:spacing w:before="156" w:beforeLines="50" w:after="156" w:afterLines="50" w:line="440" w:lineRule="exact"/>
        <w:ind w:left="630" w:hanging="630" w:hangingChars="3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6.4</w:t>
      </w:r>
      <w:r>
        <w:rPr>
          <w:rFonts w:hint="eastAsia" w:asciiTheme="minorEastAsia" w:hAnsiTheme="minorEastAsia" w:eastAsiaTheme="minorEastAsia" w:cstheme="minorEastAsia"/>
          <w:color w:val="auto"/>
          <w:szCs w:val="21"/>
          <w:highlight w:val="none"/>
        </w:rPr>
        <w:t>企业其他信誉情况表</w:t>
      </w:r>
    </w:p>
    <w:p w14:paraId="2357D7F9">
      <w:pPr>
        <w:spacing w:before="156" w:beforeLines="50" w:after="156" w:afterLines="50" w:line="440" w:lineRule="exact"/>
        <w:ind w:left="630" w:hanging="630" w:hangingChars="300"/>
        <w:jc w:val="center"/>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（年份要求同诉讼及仲裁情况年份要求）</w:t>
      </w:r>
    </w:p>
    <w:p w14:paraId="53BCFDC8">
      <w:pPr>
        <w:spacing w:before="156" w:beforeLines="50" w:after="156" w:afterLines="50" w:line="440" w:lineRule="exact"/>
        <w:ind w:left="630" w:hanging="630" w:hangingChars="300"/>
        <w:jc w:val="center"/>
        <w:outlineLvl w:val="9"/>
        <w:rPr>
          <w:rFonts w:hint="eastAsia" w:asciiTheme="minorEastAsia" w:hAnsiTheme="minorEastAsia" w:eastAsiaTheme="minorEastAsia" w:cstheme="minorEastAsia"/>
          <w:b/>
          <w:color w:val="auto"/>
          <w:szCs w:val="21"/>
          <w:highlight w:val="none"/>
        </w:rPr>
      </w:pPr>
    </w:p>
    <w:p w14:paraId="0A2C1D00">
      <w:pPr>
        <w:spacing w:line="440" w:lineRule="exact"/>
        <w:ind w:left="630" w:hanging="630" w:hangingChars="3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近年企业不良行为记录情况</w:t>
      </w:r>
    </w:p>
    <w:p w14:paraId="32D2F041">
      <w:pPr>
        <w:spacing w:line="440" w:lineRule="exact"/>
        <w:ind w:left="630" w:hanging="630" w:hangingChars="300"/>
        <w:outlineLvl w:val="9"/>
        <w:rPr>
          <w:rFonts w:hint="eastAsia" w:asciiTheme="minorEastAsia" w:hAnsiTheme="minorEastAsia" w:eastAsiaTheme="minorEastAsia" w:cstheme="minorEastAsia"/>
          <w:color w:val="auto"/>
          <w:szCs w:val="21"/>
          <w:highlight w:val="none"/>
        </w:rPr>
      </w:pPr>
    </w:p>
    <w:p w14:paraId="47AA284A">
      <w:pPr>
        <w:spacing w:line="440" w:lineRule="exact"/>
        <w:outlineLvl w:val="9"/>
        <w:rPr>
          <w:rFonts w:hint="eastAsia" w:asciiTheme="minorEastAsia" w:hAnsiTheme="minorEastAsia" w:eastAsiaTheme="minorEastAsia" w:cstheme="minorEastAsia"/>
          <w:color w:val="auto"/>
          <w:szCs w:val="21"/>
          <w:highlight w:val="none"/>
        </w:rPr>
      </w:pPr>
    </w:p>
    <w:p w14:paraId="2DD4E5B6">
      <w:pPr>
        <w:spacing w:line="440" w:lineRule="exact"/>
        <w:ind w:left="630" w:hanging="630" w:hangingChars="3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在施工程以及近年已竣工工程合同履行情况</w:t>
      </w:r>
    </w:p>
    <w:p w14:paraId="02398427">
      <w:pPr>
        <w:spacing w:line="440" w:lineRule="exact"/>
        <w:ind w:left="630" w:hanging="630" w:hangingChars="300"/>
        <w:outlineLvl w:val="9"/>
        <w:rPr>
          <w:rFonts w:hint="eastAsia" w:asciiTheme="minorEastAsia" w:hAnsiTheme="minorEastAsia" w:eastAsiaTheme="minorEastAsia" w:cstheme="minorEastAsia"/>
          <w:color w:val="auto"/>
          <w:szCs w:val="21"/>
          <w:highlight w:val="none"/>
        </w:rPr>
      </w:pPr>
    </w:p>
    <w:p w14:paraId="32026FD5">
      <w:pPr>
        <w:spacing w:line="440" w:lineRule="exact"/>
        <w:outlineLvl w:val="9"/>
        <w:rPr>
          <w:rFonts w:hint="eastAsia" w:asciiTheme="minorEastAsia" w:hAnsiTheme="minorEastAsia" w:eastAsiaTheme="minorEastAsia" w:cstheme="minorEastAsia"/>
          <w:color w:val="auto"/>
          <w:szCs w:val="21"/>
          <w:highlight w:val="none"/>
        </w:rPr>
      </w:pPr>
    </w:p>
    <w:p w14:paraId="71C9CC0D">
      <w:pPr>
        <w:numPr>
          <w:ilvl w:val="0"/>
          <w:numId w:val="14"/>
        </w:numPr>
        <w:spacing w:line="440" w:lineRule="exact"/>
        <w:ind w:left="630" w:hanging="630" w:hangingChars="3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  他</w:t>
      </w:r>
    </w:p>
    <w:p w14:paraId="74820FA9">
      <w:pPr>
        <w:spacing w:line="440" w:lineRule="exact"/>
        <w:outlineLvl w:val="9"/>
        <w:rPr>
          <w:rFonts w:hint="eastAsia" w:asciiTheme="minorEastAsia" w:hAnsiTheme="minorEastAsia" w:eastAsiaTheme="minorEastAsia" w:cstheme="minorEastAsia"/>
          <w:color w:val="auto"/>
          <w:szCs w:val="21"/>
          <w:highlight w:val="none"/>
        </w:rPr>
      </w:pPr>
    </w:p>
    <w:p w14:paraId="0AB653AB">
      <w:pPr>
        <w:spacing w:line="440" w:lineRule="exact"/>
        <w:outlineLvl w:val="9"/>
        <w:rPr>
          <w:rFonts w:hint="eastAsia" w:asciiTheme="minorEastAsia" w:hAnsiTheme="minorEastAsia" w:eastAsiaTheme="minorEastAsia" w:cstheme="minorEastAsia"/>
          <w:color w:val="auto"/>
          <w:szCs w:val="21"/>
          <w:highlight w:val="none"/>
        </w:rPr>
      </w:pPr>
    </w:p>
    <w:p w14:paraId="3367ACC2">
      <w:pPr>
        <w:spacing w:line="440" w:lineRule="exact"/>
        <w:ind w:left="630" w:hanging="630" w:hangingChars="300"/>
        <w:outlineLvl w:val="9"/>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备注：1、</w:t>
      </w:r>
      <w:r>
        <w:rPr>
          <w:rFonts w:hint="eastAsia" w:asciiTheme="minorEastAsia" w:hAnsiTheme="minorEastAsia" w:eastAsiaTheme="minorEastAsia" w:cstheme="minorEastAsia"/>
          <w:color w:val="auto"/>
          <w:szCs w:val="21"/>
          <w:highlight w:val="none"/>
          <w:lang w:val="en-US" w:eastAsia="zh-CN"/>
        </w:rPr>
        <w:t>供应商自行对信誉良好，没有处于被责令停业、磋商资格被取消、财产被接管、冻结、破产状态，</w:t>
      </w:r>
    </w:p>
    <w:p w14:paraId="31D82A3F">
      <w:pPr>
        <w:spacing w:line="440" w:lineRule="exact"/>
        <w:ind w:left="630" w:hanging="630" w:hangingChars="300"/>
        <w:outlineLvl w:val="9"/>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最近三年内没有骗取中标和严重违约的记录，未因不良记录被建设行政主管部门或财政部门暂停或取消资</w:t>
      </w:r>
    </w:p>
    <w:p w14:paraId="47D805E1">
      <w:pPr>
        <w:spacing w:line="440" w:lineRule="exact"/>
        <w:ind w:left="630" w:hanging="630" w:hangingChars="300"/>
        <w:outlineLvl w:val="9"/>
        <w:rPr>
          <w:rFonts w:hint="eastAsia" w:asciiTheme="minorEastAsia" w:hAnsiTheme="minorEastAsia" w:eastAsiaTheme="minorEastAsia" w:cstheme="minorEastAsia"/>
          <w:b w:val="0"/>
          <w:bCs w:val="0"/>
          <w:color w:val="auto"/>
          <w:szCs w:val="21"/>
          <w:highlight w:val="none"/>
          <w:u w:val="none"/>
        </w:rPr>
      </w:pPr>
      <w:r>
        <w:rPr>
          <w:rFonts w:hint="eastAsia" w:asciiTheme="minorEastAsia" w:hAnsiTheme="minorEastAsia" w:eastAsiaTheme="minorEastAsia" w:cstheme="minorEastAsia"/>
          <w:color w:val="auto"/>
          <w:szCs w:val="21"/>
          <w:highlight w:val="none"/>
          <w:lang w:val="en-US" w:eastAsia="zh-CN"/>
        </w:rPr>
        <w:t>格进</w:t>
      </w:r>
      <w:r>
        <w:rPr>
          <w:rFonts w:hint="eastAsia" w:asciiTheme="minorEastAsia" w:hAnsiTheme="minorEastAsia" w:eastAsiaTheme="minorEastAsia" w:cstheme="minorEastAsia"/>
          <w:b w:val="0"/>
          <w:bCs w:val="0"/>
          <w:color w:val="auto"/>
          <w:szCs w:val="21"/>
          <w:highlight w:val="none"/>
          <w:lang w:val="en-US" w:eastAsia="zh-CN"/>
        </w:rPr>
        <w:t>行说明</w:t>
      </w:r>
      <w:r>
        <w:rPr>
          <w:rFonts w:hint="eastAsia" w:asciiTheme="minorEastAsia" w:hAnsiTheme="minorEastAsia" w:eastAsiaTheme="minorEastAsia" w:cstheme="minorEastAsia"/>
          <w:b w:val="0"/>
          <w:bCs w:val="0"/>
          <w:color w:val="auto"/>
          <w:szCs w:val="21"/>
          <w:highlight w:val="none"/>
          <w:u w:val="none"/>
          <w:lang w:val="en-US" w:eastAsia="zh-CN"/>
        </w:rPr>
        <w:t>或承诺，格式不限。</w:t>
      </w:r>
    </w:p>
    <w:p w14:paraId="29DB5587">
      <w:pPr>
        <w:numPr>
          <w:ilvl w:val="0"/>
          <w:numId w:val="15"/>
        </w:numPr>
        <w:spacing w:line="440" w:lineRule="exact"/>
        <w:ind w:left="630" w:hanging="630" w:hangingChars="300"/>
        <w:outlineLvl w:val="9"/>
        <w:rPr>
          <w:rFonts w:hint="eastAsia" w:asciiTheme="minorEastAsia" w:hAnsiTheme="minorEastAsia" w:eastAsiaTheme="minorEastAsia" w:cstheme="minorEastAsia"/>
          <w:b w:val="0"/>
          <w:bCs w:val="0"/>
          <w:color w:val="auto"/>
          <w:szCs w:val="21"/>
          <w:highlight w:val="none"/>
          <w:u w:val="none"/>
          <w:lang w:val="en-US" w:eastAsia="zh-CN"/>
        </w:rPr>
      </w:pPr>
      <w:r>
        <w:rPr>
          <w:rFonts w:hint="eastAsia" w:asciiTheme="minorEastAsia" w:hAnsiTheme="minorEastAsia" w:eastAsiaTheme="minorEastAsia" w:cstheme="minorEastAsia"/>
          <w:b w:val="0"/>
          <w:bCs w:val="0"/>
          <w:color w:val="auto"/>
          <w:szCs w:val="21"/>
          <w:highlight w:val="none"/>
          <w:u w:val="none"/>
          <w:lang w:val="en-US" w:eastAsia="zh-CN"/>
        </w:rPr>
        <w:t>供应商在“信用中国”网站未被列入失信被执行人、重大税收违法失信主体，在中国政府采网</w:t>
      </w:r>
    </w:p>
    <w:p w14:paraId="78C7E9A5">
      <w:pPr>
        <w:numPr>
          <w:ilvl w:val="0"/>
          <w:numId w:val="0"/>
        </w:numPr>
        <w:spacing w:line="440" w:lineRule="exact"/>
        <w:ind w:left="0" w:leftChars="0" w:firstLine="0" w:firstLineChars="0"/>
        <w:outlineLvl w:val="9"/>
        <w:rPr>
          <w:rFonts w:hint="eastAsia" w:asciiTheme="minorEastAsia" w:hAnsiTheme="minorEastAsia" w:eastAsiaTheme="minorEastAsia" w:cstheme="minorEastAsia"/>
          <w:b w:val="0"/>
          <w:bCs w:val="0"/>
          <w:color w:val="auto"/>
          <w:szCs w:val="21"/>
          <w:highlight w:val="none"/>
          <w:u w:val="none"/>
        </w:rPr>
      </w:pPr>
      <w:r>
        <w:rPr>
          <w:rFonts w:hint="eastAsia" w:asciiTheme="minorEastAsia" w:hAnsiTheme="minorEastAsia" w:eastAsiaTheme="minorEastAsia" w:cstheme="minorEastAsia"/>
          <w:b w:val="0"/>
          <w:bCs w:val="0"/>
          <w:color w:val="auto"/>
          <w:szCs w:val="21"/>
          <w:highlight w:val="none"/>
          <w:u w:val="none"/>
          <w:lang w:val="en-US" w:eastAsia="zh-CN"/>
        </w:rPr>
        <w:t>未被列入政府采购政府采购严重违法失信行为记录名单。提供上述网页截图打印（打印日期需在公告发布之日起至磋商截止时间止）并加盖公章。</w:t>
      </w:r>
    </w:p>
    <w:p w14:paraId="0827B9A8">
      <w:pPr>
        <w:spacing w:line="440" w:lineRule="exact"/>
        <w:outlineLvl w:val="9"/>
        <w:rPr>
          <w:rFonts w:hint="eastAsia" w:asciiTheme="minorEastAsia" w:hAnsiTheme="minorEastAsia" w:eastAsiaTheme="minorEastAsia" w:cstheme="minorEastAsia"/>
          <w:b w:val="0"/>
          <w:bCs w:val="0"/>
          <w:color w:val="auto"/>
          <w:szCs w:val="21"/>
          <w:highlight w:val="none"/>
        </w:rPr>
      </w:pPr>
    </w:p>
    <w:p w14:paraId="3F29ED71">
      <w:pPr>
        <w:outlineLvl w:val="9"/>
        <w:rPr>
          <w:rFonts w:hint="eastAsia" w:asciiTheme="minorEastAsia" w:hAnsiTheme="minorEastAsia" w:eastAsiaTheme="minorEastAsia" w:cstheme="minorEastAsia"/>
          <w:color w:val="auto"/>
          <w:highlight w:val="none"/>
        </w:rPr>
        <w:sectPr>
          <w:footerReference r:id="rId5" w:type="default"/>
          <w:pgSz w:w="11906" w:h="16838"/>
          <w:pgMar w:top="1440" w:right="1080" w:bottom="1440" w:left="1080" w:header="851" w:footer="992" w:gutter="0"/>
          <w:pgNumType w:fmt="decimal"/>
          <w:cols w:space="720" w:num="1"/>
          <w:docGrid w:type="linesAndChars" w:linePitch="312" w:charSpace="0"/>
        </w:sectPr>
      </w:pPr>
    </w:p>
    <w:p w14:paraId="3D0FEC89">
      <w:pPr>
        <w:pStyle w:val="38"/>
        <w:spacing w:line="400" w:lineRule="exact"/>
        <w:jc w:val="center"/>
        <w:outlineLvl w:val="1"/>
        <w:rPr>
          <w:rFonts w:hint="eastAsia" w:asciiTheme="minorEastAsia" w:hAnsiTheme="minorEastAsia" w:eastAsiaTheme="minorEastAsia" w:cstheme="minorEastAsia"/>
          <w:b/>
          <w:bCs/>
          <w:color w:val="auto"/>
          <w:sz w:val="24"/>
          <w:highlight w:val="none"/>
          <w:lang w:eastAsia="zh-CN"/>
        </w:rPr>
      </w:pPr>
      <w:bookmarkStart w:id="323" w:name="_Toc24047"/>
      <w:bookmarkStart w:id="324" w:name="_Toc1473"/>
      <w:bookmarkStart w:id="325" w:name="_Toc3716"/>
      <w:bookmarkStart w:id="326" w:name="_Toc12319"/>
      <w:bookmarkStart w:id="327" w:name="_Toc518923111"/>
      <w:bookmarkStart w:id="328" w:name="_Toc1351"/>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b/>
          <w:bCs/>
          <w:color w:val="auto"/>
          <w:sz w:val="24"/>
          <w:highlight w:val="none"/>
        </w:rPr>
        <w:t>《中小企业声明函》</w:t>
      </w:r>
      <w:r>
        <w:rPr>
          <w:rFonts w:hint="eastAsia" w:asciiTheme="minorEastAsia" w:hAnsiTheme="minorEastAsia" w:eastAsiaTheme="minorEastAsia" w:cstheme="minorEastAsia"/>
          <w:b/>
          <w:bCs/>
          <w:color w:val="auto"/>
          <w:sz w:val="24"/>
          <w:highlight w:val="none"/>
          <w:lang w:eastAsia="zh-CN"/>
        </w:rPr>
        <w:t>（工程）</w:t>
      </w:r>
      <w:bookmarkEnd w:id="323"/>
    </w:p>
    <w:p w14:paraId="7FCD15E9">
      <w:pPr>
        <w:spacing w:line="240" w:lineRule="atLeast"/>
        <w:ind w:left="1080" w:leftChars="257" w:hanging="540"/>
        <w:jc w:val="center"/>
        <w:rPr>
          <w:rFonts w:hint="eastAsia" w:asciiTheme="minorEastAsia" w:hAnsiTheme="minorEastAsia" w:eastAsiaTheme="minorEastAsia" w:cstheme="minorEastAsia"/>
          <w:b/>
          <w:color w:val="auto"/>
          <w:kern w:val="0"/>
          <w:sz w:val="24"/>
          <w:szCs w:val="20"/>
          <w:highlight w:val="none"/>
        </w:rPr>
      </w:pPr>
    </w:p>
    <w:p w14:paraId="3AF0366B">
      <w:pPr>
        <w:widowControl/>
        <w:numPr>
          <w:ilvl w:val="0"/>
          <w:numId w:val="0"/>
        </w:numPr>
        <w:spacing w:before="100" w:beforeAutospacing="1" w:after="100" w:afterAutospacing="1" w:line="330" w:lineRule="atLeast"/>
        <w:ind w:firstLine="480" w:firstLineChars="200"/>
        <w:jc w:val="left"/>
        <w:outlineLvl w:val="9"/>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本公司郑重声明，根据《政府采购促进中小企业发展管理办法》（财库〔2020〕[2020]46号）的规定，本公司参加</w:t>
      </w:r>
      <w:r>
        <w:rPr>
          <w:rFonts w:hint="eastAsia" w:asciiTheme="minorEastAsia" w:hAnsiTheme="minorEastAsia" w:eastAsiaTheme="minorEastAsia" w:cstheme="minorEastAsia"/>
          <w:color w:val="auto"/>
          <w:kern w:val="0"/>
          <w:sz w:val="24"/>
          <w:highlight w:val="none"/>
          <w:u w:val="single"/>
        </w:rPr>
        <w:t>（单位名称）</w:t>
      </w:r>
      <w:r>
        <w:rPr>
          <w:rFonts w:hint="eastAsia" w:asciiTheme="minorEastAsia" w:hAnsiTheme="minorEastAsia" w:eastAsiaTheme="minorEastAsia" w:cstheme="minorEastAsia"/>
          <w:color w:val="auto"/>
          <w:kern w:val="0"/>
          <w:sz w:val="24"/>
          <w:highlight w:val="none"/>
        </w:rPr>
        <w:t>的</w:t>
      </w:r>
      <w:r>
        <w:rPr>
          <w:rFonts w:hint="eastAsia" w:asciiTheme="minorEastAsia" w:hAnsiTheme="minorEastAsia" w:eastAsiaTheme="minorEastAsia" w:cstheme="minorEastAsia"/>
          <w:color w:val="auto"/>
          <w:kern w:val="0"/>
          <w:sz w:val="24"/>
          <w:highlight w:val="none"/>
          <w:u w:val="single"/>
        </w:rPr>
        <w:t>（项目名称）</w:t>
      </w:r>
      <w:r>
        <w:rPr>
          <w:rFonts w:hint="eastAsia" w:asciiTheme="minorEastAsia" w:hAnsiTheme="minorEastAsia" w:eastAsiaTheme="minorEastAsia" w:cstheme="minorEastAsia"/>
          <w:color w:val="auto"/>
          <w:kern w:val="0"/>
          <w:sz w:val="24"/>
          <w:highlight w:val="none"/>
        </w:rPr>
        <w:t>采购活动，工程的施工单位全部为符合政策要求的中小企业承建。相关企业的具体情况如下：</w:t>
      </w:r>
    </w:p>
    <w:p w14:paraId="4277B296">
      <w:pPr>
        <w:widowControl/>
        <w:numPr>
          <w:ilvl w:val="0"/>
          <w:numId w:val="0"/>
        </w:numPr>
        <w:spacing w:before="100" w:beforeAutospacing="1" w:after="100" w:afterAutospacing="1" w:line="330" w:lineRule="atLeast"/>
        <w:ind w:firstLine="480" w:firstLineChars="200"/>
        <w:jc w:val="left"/>
        <w:outlineLvl w:val="9"/>
        <w:rPr>
          <w:rFonts w:hint="eastAsia" w:asciiTheme="minorEastAsia" w:hAnsiTheme="minorEastAsia" w:eastAsiaTheme="minorEastAsia" w:cstheme="minorEastAsia"/>
          <w:b w:val="0"/>
          <w:bCs w:val="0"/>
          <w:color w:val="auto"/>
          <w:kern w:val="0"/>
          <w:sz w:val="24"/>
          <w:highlight w:val="none"/>
          <w:u w:val="none"/>
          <w:lang w:val="en-US" w:eastAsia="zh-CN"/>
        </w:rPr>
      </w:pPr>
      <w:r>
        <w:rPr>
          <w:rFonts w:hint="eastAsia" w:asciiTheme="minorEastAsia" w:hAnsiTheme="minorEastAsia" w:eastAsiaTheme="minorEastAsia" w:cstheme="minorEastAsia"/>
          <w:b w:val="0"/>
          <w:bCs w:val="0"/>
          <w:color w:val="auto"/>
          <w:kern w:val="0"/>
          <w:sz w:val="24"/>
          <w:highlight w:val="none"/>
          <w:u w:val="none"/>
          <w:lang w:val="en-US" w:eastAsia="zh-CN"/>
        </w:rPr>
        <w:t>1.</w:t>
      </w:r>
      <w:r>
        <w:rPr>
          <w:rFonts w:hint="eastAsia" w:asciiTheme="minorEastAsia" w:hAnsiTheme="minorEastAsia" w:eastAsiaTheme="minorEastAsia" w:cstheme="minorEastAsia"/>
          <w:b w:val="0"/>
          <w:bCs w:val="0"/>
          <w:color w:val="auto"/>
          <w:kern w:val="0"/>
          <w:sz w:val="24"/>
          <w:highlight w:val="none"/>
          <w:u w:val="single"/>
          <w:lang w:val="en-US" w:eastAsia="zh-CN"/>
        </w:rPr>
        <w:t xml:space="preserve">（标的名称） </w:t>
      </w:r>
      <w:r>
        <w:rPr>
          <w:rFonts w:hint="eastAsia" w:asciiTheme="minorEastAsia" w:hAnsiTheme="minorEastAsia" w:eastAsiaTheme="minorEastAsia" w:cstheme="minorEastAsia"/>
          <w:b w:val="0"/>
          <w:bCs w:val="0"/>
          <w:color w:val="auto"/>
          <w:kern w:val="0"/>
          <w:sz w:val="24"/>
          <w:highlight w:val="none"/>
          <w:u w:val="none"/>
          <w:lang w:val="en-US" w:eastAsia="zh-CN"/>
        </w:rPr>
        <w:t>，属于</w:t>
      </w:r>
      <w:r>
        <w:rPr>
          <w:rFonts w:hint="eastAsia" w:asciiTheme="minorEastAsia" w:hAnsiTheme="minorEastAsia" w:eastAsiaTheme="minorEastAsia" w:cstheme="minorEastAsia"/>
          <w:b w:val="0"/>
          <w:bCs w:val="0"/>
          <w:color w:val="auto"/>
          <w:kern w:val="0"/>
          <w:sz w:val="24"/>
          <w:highlight w:val="none"/>
          <w:u w:val="single"/>
          <w:lang w:val="en-US" w:eastAsia="zh-CN"/>
        </w:rPr>
        <w:t>（采购文件中明确的所属行业）</w:t>
      </w:r>
      <w:r>
        <w:rPr>
          <w:rFonts w:hint="eastAsia" w:asciiTheme="minorEastAsia" w:hAnsiTheme="minorEastAsia" w:eastAsiaTheme="minorEastAsia" w:cstheme="minorEastAsia"/>
          <w:b w:val="0"/>
          <w:bCs w:val="0"/>
          <w:color w:val="auto"/>
          <w:kern w:val="0"/>
          <w:sz w:val="24"/>
          <w:highlight w:val="none"/>
          <w:u w:val="none"/>
          <w:lang w:val="en-US" w:eastAsia="zh-CN"/>
        </w:rPr>
        <w:t>行业；承建（承接）企业为</w:t>
      </w:r>
      <w:r>
        <w:rPr>
          <w:rFonts w:hint="eastAsia" w:asciiTheme="minorEastAsia" w:hAnsiTheme="minorEastAsia" w:eastAsiaTheme="minorEastAsia" w:cstheme="minorEastAsia"/>
          <w:b w:val="0"/>
          <w:bCs w:val="0"/>
          <w:color w:val="auto"/>
          <w:kern w:val="0"/>
          <w:sz w:val="24"/>
          <w:highlight w:val="none"/>
          <w:u w:val="single"/>
          <w:lang w:val="en-US" w:eastAsia="zh-CN"/>
        </w:rPr>
        <w:t>（企业名称）</w:t>
      </w:r>
      <w:r>
        <w:rPr>
          <w:rFonts w:hint="eastAsia" w:asciiTheme="minorEastAsia" w:hAnsiTheme="minorEastAsia" w:eastAsiaTheme="minorEastAsia" w:cstheme="minorEastAsia"/>
          <w:b w:val="0"/>
          <w:bCs w:val="0"/>
          <w:color w:val="auto"/>
          <w:kern w:val="0"/>
          <w:sz w:val="24"/>
          <w:highlight w:val="none"/>
          <w:u w:val="none"/>
          <w:lang w:val="en-US" w:eastAsia="zh-CN"/>
        </w:rPr>
        <w:t>，从业人员</w:t>
      </w:r>
      <w:r>
        <w:rPr>
          <w:rFonts w:hint="eastAsia" w:asciiTheme="minorEastAsia" w:hAnsiTheme="minorEastAsia" w:eastAsiaTheme="minorEastAsia" w:cstheme="minorEastAsia"/>
          <w:b w:val="0"/>
          <w:bCs w:val="0"/>
          <w:color w:val="auto"/>
          <w:kern w:val="0"/>
          <w:sz w:val="24"/>
          <w:highlight w:val="none"/>
          <w:u w:val="single"/>
          <w:lang w:val="en-US" w:eastAsia="zh-CN"/>
        </w:rPr>
        <w:t xml:space="preserve">   </w:t>
      </w:r>
      <w:r>
        <w:rPr>
          <w:rFonts w:hint="eastAsia" w:asciiTheme="minorEastAsia" w:hAnsiTheme="minorEastAsia" w:eastAsiaTheme="minorEastAsia" w:cstheme="minorEastAsia"/>
          <w:b w:val="0"/>
          <w:bCs w:val="0"/>
          <w:color w:val="auto"/>
          <w:kern w:val="0"/>
          <w:sz w:val="24"/>
          <w:highlight w:val="none"/>
          <w:u w:val="none"/>
          <w:lang w:val="en-US" w:eastAsia="zh-CN"/>
        </w:rPr>
        <w:t>人，营业收入为</w:t>
      </w:r>
      <w:r>
        <w:rPr>
          <w:rFonts w:hint="eastAsia" w:asciiTheme="minorEastAsia" w:hAnsiTheme="minorEastAsia" w:eastAsiaTheme="minorEastAsia" w:cstheme="minorEastAsia"/>
          <w:b w:val="0"/>
          <w:bCs w:val="0"/>
          <w:color w:val="auto"/>
          <w:kern w:val="0"/>
          <w:sz w:val="24"/>
          <w:highlight w:val="none"/>
          <w:u w:val="single"/>
          <w:lang w:val="en-US" w:eastAsia="zh-CN"/>
        </w:rPr>
        <w:t xml:space="preserve">   </w:t>
      </w:r>
      <w:r>
        <w:rPr>
          <w:rFonts w:hint="eastAsia" w:asciiTheme="minorEastAsia" w:hAnsiTheme="minorEastAsia" w:eastAsiaTheme="minorEastAsia" w:cstheme="minorEastAsia"/>
          <w:b w:val="0"/>
          <w:bCs w:val="0"/>
          <w:color w:val="auto"/>
          <w:kern w:val="0"/>
          <w:sz w:val="24"/>
          <w:highlight w:val="none"/>
          <w:u w:val="none"/>
          <w:lang w:val="en-US" w:eastAsia="zh-CN"/>
        </w:rPr>
        <w:t>万元，资产总额为</w:t>
      </w:r>
      <w:r>
        <w:rPr>
          <w:rFonts w:hint="eastAsia" w:asciiTheme="minorEastAsia" w:hAnsiTheme="minorEastAsia" w:eastAsiaTheme="minorEastAsia" w:cstheme="minorEastAsia"/>
          <w:b w:val="0"/>
          <w:bCs w:val="0"/>
          <w:color w:val="auto"/>
          <w:kern w:val="0"/>
          <w:sz w:val="24"/>
          <w:highlight w:val="none"/>
          <w:u w:val="single"/>
          <w:lang w:val="en-US" w:eastAsia="zh-CN"/>
        </w:rPr>
        <w:t xml:space="preserve">   </w:t>
      </w:r>
      <w:r>
        <w:rPr>
          <w:rFonts w:hint="eastAsia" w:asciiTheme="minorEastAsia" w:hAnsiTheme="minorEastAsia" w:eastAsiaTheme="minorEastAsia" w:cstheme="minorEastAsia"/>
          <w:b w:val="0"/>
          <w:bCs w:val="0"/>
          <w:color w:val="auto"/>
          <w:kern w:val="0"/>
          <w:sz w:val="24"/>
          <w:highlight w:val="none"/>
          <w:u w:val="none"/>
          <w:lang w:val="en-US" w:eastAsia="zh-CN"/>
        </w:rPr>
        <w:t>万元，属于</w:t>
      </w:r>
      <w:r>
        <w:rPr>
          <w:rFonts w:hint="eastAsia" w:asciiTheme="minorEastAsia" w:hAnsiTheme="minorEastAsia" w:eastAsiaTheme="minorEastAsia" w:cstheme="minorEastAsia"/>
          <w:b w:val="0"/>
          <w:bCs w:val="0"/>
          <w:color w:val="auto"/>
          <w:kern w:val="0"/>
          <w:sz w:val="24"/>
          <w:highlight w:val="none"/>
          <w:u w:val="single"/>
          <w:lang w:val="en-US" w:eastAsia="zh-CN"/>
        </w:rPr>
        <w:t xml:space="preserve">    （中型企业、小型企业、微型企业）</w:t>
      </w:r>
      <w:r>
        <w:rPr>
          <w:rFonts w:hint="eastAsia" w:asciiTheme="minorEastAsia" w:hAnsiTheme="minorEastAsia" w:eastAsiaTheme="minorEastAsia" w:cstheme="minorEastAsia"/>
          <w:b w:val="0"/>
          <w:bCs w:val="0"/>
          <w:color w:val="auto"/>
          <w:kern w:val="0"/>
          <w:sz w:val="24"/>
          <w:highlight w:val="none"/>
          <w:u w:val="none"/>
          <w:lang w:val="en-US" w:eastAsia="zh-CN"/>
        </w:rPr>
        <w:t>；</w:t>
      </w:r>
    </w:p>
    <w:p w14:paraId="5401CC91">
      <w:pPr>
        <w:widowControl/>
        <w:numPr>
          <w:ilvl w:val="0"/>
          <w:numId w:val="0"/>
        </w:numPr>
        <w:spacing w:before="100" w:beforeAutospacing="1" w:after="100" w:afterAutospacing="1" w:line="330" w:lineRule="atLeast"/>
        <w:ind w:firstLine="480" w:firstLineChars="200"/>
        <w:jc w:val="left"/>
        <w:outlineLvl w:val="9"/>
        <w:rPr>
          <w:rFonts w:hint="eastAsia" w:asciiTheme="minorEastAsia" w:hAnsiTheme="minorEastAsia" w:eastAsiaTheme="minorEastAsia" w:cstheme="minorEastAsia"/>
          <w:b w:val="0"/>
          <w:bCs w:val="0"/>
          <w:color w:val="auto"/>
          <w:kern w:val="0"/>
          <w:sz w:val="24"/>
          <w:highlight w:val="none"/>
          <w:u w:val="none"/>
          <w:lang w:val="en-US" w:eastAsia="zh-CN"/>
        </w:rPr>
      </w:pPr>
      <w:r>
        <w:rPr>
          <w:rFonts w:hint="eastAsia" w:asciiTheme="minorEastAsia" w:hAnsiTheme="minorEastAsia" w:eastAsiaTheme="minorEastAsia" w:cstheme="minorEastAsia"/>
          <w:b w:val="0"/>
          <w:bCs w:val="0"/>
          <w:color w:val="auto"/>
          <w:kern w:val="0"/>
          <w:sz w:val="24"/>
          <w:highlight w:val="none"/>
          <w:u w:val="none"/>
          <w:lang w:val="en-US" w:eastAsia="zh-CN"/>
        </w:rPr>
        <w:t>2.</w:t>
      </w:r>
      <w:r>
        <w:rPr>
          <w:rFonts w:hint="eastAsia" w:asciiTheme="minorEastAsia" w:hAnsiTheme="minorEastAsia" w:eastAsiaTheme="minorEastAsia" w:cstheme="minorEastAsia"/>
          <w:b w:val="0"/>
          <w:bCs w:val="0"/>
          <w:color w:val="auto"/>
          <w:kern w:val="0"/>
          <w:sz w:val="24"/>
          <w:highlight w:val="none"/>
          <w:u w:val="single"/>
          <w:lang w:val="en-US" w:eastAsia="zh-CN"/>
        </w:rPr>
        <w:t>（标的名称）</w:t>
      </w:r>
      <w:r>
        <w:rPr>
          <w:rFonts w:hint="eastAsia" w:asciiTheme="minorEastAsia" w:hAnsiTheme="minorEastAsia" w:eastAsiaTheme="minorEastAsia" w:cstheme="minorEastAsia"/>
          <w:b w:val="0"/>
          <w:bCs w:val="0"/>
          <w:color w:val="auto"/>
          <w:kern w:val="0"/>
          <w:sz w:val="24"/>
          <w:highlight w:val="none"/>
          <w:u w:val="none"/>
          <w:lang w:val="en-US" w:eastAsia="zh-CN"/>
        </w:rPr>
        <w:t xml:space="preserve"> ，属于</w:t>
      </w:r>
      <w:r>
        <w:rPr>
          <w:rFonts w:hint="eastAsia" w:asciiTheme="minorEastAsia" w:hAnsiTheme="minorEastAsia" w:eastAsiaTheme="minorEastAsia" w:cstheme="minorEastAsia"/>
          <w:b w:val="0"/>
          <w:bCs w:val="0"/>
          <w:color w:val="auto"/>
          <w:kern w:val="0"/>
          <w:sz w:val="24"/>
          <w:highlight w:val="none"/>
          <w:u w:val="single"/>
          <w:lang w:val="en-US" w:eastAsia="zh-CN"/>
        </w:rPr>
        <w:t>（采购文件中明确的所属行业）</w:t>
      </w:r>
      <w:r>
        <w:rPr>
          <w:rFonts w:hint="eastAsia" w:asciiTheme="minorEastAsia" w:hAnsiTheme="minorEastAsia" w:eastAsiaTheme="minorEastAsia" w:cstheme="minorEastAsia"/>
          <w:b w:val="0"/>
          <w:bCs w:val="0"/>
          <w:color w:val="auto"/>
          <w:kern w:val="0"/>
          <w:sz w:val="24"/>
          <w:highlight w:val="none"/>
          <w:u w:val="none"/>
          <w:lang w:val="en-US" w:eastAsia="zh-CN"/>
        </w:rPr>
        <w:t>行业；承建（承接）企业为</w:t>
      </w:r>
      <w:r>
        <w:rPr>
          <w:rFonts w:hint="eastAsia" w:asciiTheme="minorEastAsia" w:hAnsiTheme="minorEastAsia" w:eastAsiaTheme="minorEastAsia" w:cstheme="minorEastAsia"/>
          <w:b w:val="0"/>
          <w:bCs w:val="0"/>
          <w:color w:val="auto"/>
          <w:kern w:val="0"/>
          <w:sz w:val="24"/>
          <w:highlight w:val="none"/>
          <w:u w:val="single"/>
          <w:lang w:val="en-US" w:eastAsia="zh-CN"/>
        </w:rPr>
        <w:t>（企业名称）</w:t>
      </w:r>
      <w:r>
        <w:rPr>
          <w:rFonts w:hint="eastAsia" w:asciiTheme="minorEastAsia" w:hAnsiTheme="minorEastAsia" w:eastAsiaTheme="minorEastAsia" w:cstheme="minorEastAsia"/>
          <w:b w:val="0"/>
          <w:bCs w:val="0"/>
          <w:color w:val="auto"/>
          <w:kern w:val="0"/>
          <w:sz w:val="24"/>
          <w:highlight w:val="none"/>
          <w:u w:val="none"/>
          <w:lang w:val="en-US" w:eastAsia="zh-CN"/>
        </w:rPr>
        <w:t>，从业人员</w:t>
      </w:r>
      <w:r>
        <w:rPr>
          <w:rFonts w:hint="eastAsia" w:asciiTheme="minorEastAsia" w:hAnsiTheme="minorEastAsia" w:eastAsiaTheme="minorEastAsia" w:cstheme="minorEastAsia"/>
          <w:b w:val="0"/>
          <w:bCs w:val="0"/>
          <w:color w:val="auto"/>
          <w:kern w:val="0"/>
          <w:sz w:val="24"/>
          <w:highlight w:val="none"/>
          <w:u w:val="single"/>
          <w:lang w:val="en-US" w:eastAsia="zh-CN"/>
        </w:rPr>
        <w:t xml:space="preserve">   </w:t>
      </w:r>
      <w:r>
        <w:rPr>
          <w:rFonts w:hint="eastAsia" w:asciiTheme="minorEastAsia" w:hAnsiTheme="minorEastAsia" w:eastAsiaTheme="minorEastAsia" w:cstheme="minorEastAsia"/>
          <w:b w:val="0"/>
          <w:bCs w:val="0"/>
          <w:color w:val="auto"/>
          <w:kern w:val="0"/>
          <w:sz w:val="24"/>
          <w:highlight w:val="none"/>
          <w:u w:val="none"/>
          <w:lang w:val="en-US" w:eastAsia="zh-CN"/>
        </w:rPr>
        <w:t>人，营业收入为</w:t>
      </w:r>
      <w:r>
        <w:rPr>
          <w:rFonts w:hint="eastAsia" w:asciiTheme="minorEastAsia" w:hAnsiTheme="minorEastAsia" w:eastAsiaTheme="minorEastAsia" w:cstheme="minorEastAsia"/>
          <w:b w:val="0"/>
          <w:bCs w:val="0"/>
          <w:color w:val="auto"/>
          <w:kern w:val="0"/>
          <w:sz w:val="24"/>
          <w:highlight w:val="none"/>
          <w:u w:val="single"/>
          <w:lang w:val="en-US" w:eastAsia="zh-CN"/>
        </w:rPr>
        <w:t xml:space="preserve">   </w:t>
      </w:r>
      <w:r>
        <w:rPr>
          <w:rFonts w:hint="eastAsia" w:asciiTheme="minorEastAsia" w:hAnsiTheme="minorEastAsia" w:eastAsiaTheme="minorEastAsia" w:cstheme="minorEastAsia"/>
          <w:b w:val="0"/>
          <w:bCs w:val="0"/>
          <w:color w:val="auto"/>
          <w:kern w:val="0"/>
          <w:sz w:val="24"/>
          <w:highlight w:val="none"/>
          <w:u w:val="none"/>
          <w:lang w:val="en-US" w:eastAsia="zh-CN"/>
        </w:rPr>
        <w:t>万元，资产总额为</w:t>
      </w:r>
      <w:r>
        <w:rPr>
          <w:rFonts w:hint="eastAsia" w:asciiTheme="minorEastAsia" w:hAnsiTheme="minorEastAsia" w:eastAsiaTheme="minorEastAsia" w:cstheme="minorEastAsia"/>
          <w:b w:val="0"/>
          <w:bCs w:val="0"/>
          <w:color w:val="auto"/>
          <w:kern w:val="0"/>
          <w:sz w:val="24"/>
          <w:highlight w:val="none"/>
          <w:u w:val="single"/>
          <w:lang w:val="en-US" w:eastAsia="zh-CN"/>
        </w:rPr>
        <w:t xml:space="preserve">   </w:t>
      </w:r>
      <w:r>
        <w:rPr>
          <w:rFonts w:hint="eastAsia" w:asciiTheme="minorEastAsia" w:hAnsiTheme="minorEastAsia" w:eastAsiaTheme="minorEastAsia" w:cstheme="minorEastAsia"/>
          <w:b w:val="0"/>
          <w:bCs w:val="0"/>
          <w:color w:val="auto"/>
          <w:kern w:val="0"/>
          <w:sz w:val="24"/>
          <w:highlight w:val="none"/>
          <w:u w:val="none"/>
          <w:lang w:val="en-US" w:eastAsia="zh-CN"/>
        </w:rPr>
        <w:t>万元，属于</w:t>
      </w:r>
      <w:r>
        <w:rPr>
          <w:rFonts w:hint="eastAsia" w:asciiTheme="minorEastAsia" w:hAnsiTheme="minorEastAsia" w:eastAsiaTheme="minorEastAsia" w:cstheme="minorEastAsia"/>
          <w:b w:val="0"/>
          <w:bCs w:val="0"/>
          <w:color w:val="auto"/>
          <w:kern w:val="0"/>
          <w:sz w:val="24"/>
          <w:highlight w:val="none"/>
          <w:u w:val="single"/>
          <w:lang w:val="en-US" w:eastAsia="zh-CN"/>
        </w:rPr>
        <w:t>（中型企业、小型企业、微型企业）</w:t>
      </w:r>
      <w:r>
        <w:rPr>
          <w:rFonts w:hint="eastAsia" w:asciiTheme="minorEastAsia" w:hAnsiTheme="minorEastAsia" w:eastAsiaTheme="minorEastAsia" w:cstheme="minorEastAsia"/>
          <w:b w:val="0"/>
          <w:bCs w:val="0"/>
          <w:color w:val="auto"/>
          <w:kern w:val="0"/>
          <w:sz w:val="24"/>
          <w:highlight w:val="none"/>
          <w:u w:val="none"/>
          <w:lang w:val="en-US" w:eastAsia="zh-CN"/>
        </w:rPr>
        <w:t>；</w:t>
      </w:r>
    </w:p>
    <w:p w14:paraId="46A83A84">
      <w:pPr>
        <w:ind w:firstLine="480" w:firstLineChars="200"/>
        <w:outlineLvl w:val="9"/>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val="0"/>
          <w:bCs w:val="0"/>
          <w:color w:val="auto"/>
          <w:kern w:val="0"/>
          <w:sz w:val="24"/>
          <w:highlight w:val="none"/>
          <w:u w:val="none"/>
          <w:lang w:val="en-US" w:eastAsia="zh-CN"/>
        </w:rPr>
        <w:t>......</w:t>
      </w:r>
    </w:p>
    <w:p w14:paraId="57E95466">
      <w:pPr>
        <w:widowControl/>
        <w:numPr>
          <w:ilvl w:val="0"/>
          <w:numId w:val="0"/>
        </w:numPr>
        <w:spacing w:before="100" w:beforeAutospacing="1" w:after="100" w:afterAutospacing="1" w:line="330" w:lineRule="atLeast"/>
        <w:ind w:firstLine="480" w:firstLineChars="200"/>
        <w:jc w:val="left"/>
        <w:outlineLvl w:val="9"/>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以上企业，不属于大企业的分支机构，不存在控股股东为大企业的情形，也不存在与大企业的负责人为同一人的情形。</w:t>
      </w:r>
    </w:p>
    <w:p w14:paraId="5212D624">
      <w:pPr>
        <w:widowControl/>
        <w:spacing w:before="100" w:beforeAutospacing="1" w:after="100" w:afterAutospacing="1" w:line="330" w:lineRule="atLeast"/>
        <w:ind w:firstLine="480" w:firstLineChars="200"/>
        <w:jc w:val="left"/>
        <w:outlineLvl w:val="9"/>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本企业对上述声明内容的真实性负责。如有虚假，将依法承担相应责任。</w:t>
      </w:r>
    </w:p>
    <w:p w14:paraId="38DB412A">
      <w:pPr>
        <w:widowControl/>
        <w:spacing w:before="100" w:beforeAutospacing="1" w:after="100" w:afterAutospacing="1" w:line="330" w:lineRule="atLeast"/>
        <w:jc w:val="left"/>
        <w:outlineLvl w:val="9"/>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w:t>
      </w:r>
    </w:p>
    <w:p w14:paraId="1A9874C5">
      <w:pPr>
        <w:widowControl/>
        <w:spacing w:before="100" w:beforeAutospacing="1" w:after="100" w:afterAutospacing="1" w:line="330" w:lineRule="atLeast"/>
        <w:jc w:val="left"/>
        <w:outlineLvl w:val="9"/>
        <w:rPr>
          <w:rFonts w:hint="eastAsia" w:asciiTheme="minorEastAsia" w:hAnsiTheme="minorEastAsia" w:eastAsiaTheme="minorEastAsia" w:cstheme="minorEastAsia"/>
          <w:color w:val="auto"/>
          <w:kern w:val="0"/>
          <w:sz w:val="24"/>
          <w:highlight w:val="none"/>
        </w:rPr>
      </w:pPr>
    </w:p>
    <w:p w14:paraId="7BED8ABB">
      <w:pPr>
        <w:widowControl/>
        <w:spacing w:before="100" w:beforeAutospacing="1" w:after="100" w:afterAutospacing="1" w:line="330" w:lineRule="atLeast"/>
        <w:jc w:val="left"/>
        <w:outlineLvl w:val="9"/>
        <w:rPr>
          <w:rFonts w:hint="eastAsia" w:asciiTheme="minorEastAsia" w:hAnsiTheme="minorEastAsia" w:eastAsiaTheme="minorEastAsia" w:cstheme="minorEastAsia"/>
          <w:color w:val="auto"/>
          <w:kern w:val="0"/>
          <w:sz w:val="24"/>
          <w:highlight w:val="none"/>
        </w:rPr>
      </w:pPr>
    </w:p>
    <w:p w14:paraId="7F899AFA">
      <w:pPr>
        <w:spacing w:line="240" w:lineRule="atLeast"/>
        <w:ind w:left="1080" w:leftChars="257" w:hanging="540"/>
        <w:jc w:val="center"/>
        <w:outlineLvl w:val="9"/>
        <w:rPr>
          <w:rFonts w:hint="eastAsia" w:asciiTheme="minorEastAsia" w:hAnsiTheme="minorEastAsia" w:eastAsiaTheme="minorEastAsia" w:cstheme="minorEastAsia"/>
          <w:b/>
          <w:color w:val="auto"/>
          <w:kern w:val="0"/>
          <w:sz w:val="24"/>
          <w:szCs w:val="20"/>
          <w:highlight w:val="none"/>
        </w:rPr>
      </w:pPr>
      <w:r>
        <w:rPr>
          <w:rFonts w:hint="eastAsia" w:asciiTheme="minorEastAsia" w:hAnsiTheme="minorEastAsia" w:eastAsiaTheme="minorEastAsia" w:cstheme="minorEastAsia"/>
          <w:b/>
          <w:color w:val="auto"/>
          <w:kern w:val="0"/>
          <w:sz w:val="24"/>
          <w:szCs w:val="20"/>
          <w:highlight w:val="none"/>
        </w:rPr>
        <w:t>　</w:t>
      </w:r>
    </w:p>
    <w:p w14:paraId="584F6EAD">
      <w:pPr>
        <w:widowControl/>
        <w:spacing w:before="100" w:beforeAutospacing="1" w:after="100" w:afterAutospacing="1" w:line="330" w:lineRule="atLeast"/>
        <w:ind w:firstLine="3960" w:firstLineChars="1650"/>
        <w:jc w:val="left"/>
        <w:outlineLvl w:val="9"/>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企业</w:t>
      </w:r>
      <w:r>
        <w:rPr>
          <w:rFonts w:hint="eastAsia" w:asciiTheme="minorEastAsia" w:hAnsiTheme="minorEastAsia" w:eastAsiaTheme="minorEastAsia" w:cstheme="minorEastAsia"/>
          <w:color w:val="auto"/>
          <w:kern w:val="0"/>
          <w:sz w:val="24"/>
          <w:highlight w:val="none"/>
        </w:rPr>
        <w:t>名称（盖单位章）：</w:t>
      </w:r>
      <w:r>
        <w:rPr>
          <w:rFonts w:hint="eastAsia" w:asciiTheme="minorEastAsia" w:hAnsiTheme="minorEastAsia" w:eastAsiaTheme="minorEastAsia" w:cstheme="minorEastAsia"/>
          <w:color w:val="auto"/>
          <w:kern w:val="0"/>
          <w:sz w:val="24"/>
          <w:highlight w:val="none"/>
          <w:u w:val="single"/>
        </w:rPr>
        <w:t xml:space="preserve">             </w:t>
      </w:r>
    </w:p>
    <w:p w14:paraId="0B9C5302">
      <w:pPr>
        <w:widowControl/>
        <w:spacing w:before="100" w:beforeAutospacing="1" w:after="100" w:afterAutospacing="1" w:line="330" w:lineRule="atLeast"/>
        <w:ind w:firstLine="3720" w:firstLineChars="1550"/>
        <w:jc w:val="left"/>
        <w:outlineLvl w:val="9"/>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　日</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　期：</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xml:space="preserve">     </w:t>
      </w:r>
    </w:p>
    <w:p w14:paraId="28946477">
      <w:pPr>
        <w:outlineLvl w:val="9"/>
        <w:rPr>
          <w:rFonts w:hint="eastAsia" w:asciiTheme="minorEastAsia" w:hAnsiTheme="minorEastAsia" w:eastAsiaTheme="minorEastAsia" w:cstheme="minorEastAsia"/>
          <w:color w:val="auto"/>
          <w:kern w:val="0"/>
          <w:sz w:val="24"/>
          <w:highlight w:val="none"/>
          <w:u w:val="single"/>
        </w:rPr>
      </w:pPr>
    </w:p>
    <w:p w14:paraId="67C05CF9">
      <w:pPr>
        <w:outlineLvl w:val="9"/>
        <w:rPr>
          <w:rFonts w:hint="eastAsia" w:asciiTheme="minorEastAsia" w:hAnsiTheme="minorEastAsia" w:eastAsiaTheme="minorEastAsia" w:cstheme="minorEastAsia"/>
          <w:color w:val="auto"/>
          <w:kern w:val="0"/>
          <w:sz w:val="24"/>
          <w:highlight w:val="none"/>
          <w:u w:val="single"/>
        </w:rPr>
      </w:pPr>
    </w:p>
    <w:p w14:paraId="607CE987">
      <w:pPr>
        <w:outlineLvl w:val="9"/>
        <w:rPr>
          <w:rFonts w:hint="eastAsia" w:asciiTheme="minorEastAsia" w:hAnsiTheme="minorEastAsia" w:eastAsiaTheme="minorEastAsia" w:cstheme="minorEastAsia"/>
          <w:b w:val="0"/>
          <w:bCs/>
          <w:color w:val="auto"/>
          <w:sz w:val="18"/>
          <w:szCs w:val="13"/>
          <w:highlight w:val="none"/>
          <w:u w:val="none"/>
          <w:lang w:val="en-US" w:eastAsia="zh-CN"/>
        </w:rPr>
      </w:pPr>
      <w:r>
        <w:rPr>
          <w:rFonts w:hint="eastAsia" w:asciiTheme="minorEastAsia" w:hAnsiTheme="minorEastAsia" w:eastAsiaTheme="minorEastAsia" w:cstheme="minorEastAsia"/>
          <w:b w:val="0"/>
          <w:bCs/>
          <w:color w:val="auto"/>
          <w:kern w:val="0"/>
          <w:sz w:val="18"/>
          <w:szCs w:val="13"/>
          <w:highlight w:val="none"/>
          <w:u w:val="none"/>
          <w:lang w:val="en-US" w:eastAsia="zh-CN"/>
        </w:rPr>
        <w:t>注：</w:t>
      </w:r>
      <w:r>
        <w:rPr>
          <w:rFonts w:hint="eastAsia" w:asciiTheme="minorEastAsia" w:hAnsiTheme="minorEastAsia" w:eastAsiaTheme="minorEastAsia" w:cstheme="minorEastAsia"/>
          <w:b/>
          <w:bCs w:val="0"/>
          <w:color w:val="auto"/>
          <w:kern w:val="0"/>
          <w:sz w:val="22"/>
          <w:szCs w:val="18"/>
          <w:highlight w:val="none"/>
          <w:u w:val="none"/>
          <w:vertAlign w:val="superscript"/>
          <w:lang w:val="en-US" w:eastAsia="zh-CN"/>
        </w:rPr>
        <w:t>1</w:t>
      </w:r>
      <w:r>
        <w:rPr>
          <w:rFonts w:hint="eastAsia" w:asciiTheme="minorEastAsia" w:hAnsiTheme="minorEastAsia" w:eastAsiaTheme="minorEastAsia" w:cstheme="minorEastAsia"/>
          <w:b w:val="0"/>
          <w:bCs/>
          <w:color w:val="auto"/>
          <w:kern w:val="0"/>
          <w:sz w:val="18"/>
          <w:szCs w:val="13"/>
          <w:highlight w:val="none"/>
          <w:u w:val="none"/>
          <w:lang w:val="en-US" w:eastAsia="zh-CN"/>
        </w:rPr>
        <w:t>从业人员、营业收入、资产总额填报上一年度数据，无上一年度数据的新成立企业可不填报。</w:t>
      </w:r>
    </w:p>
    <w:p w14:paraId="6E581FDC">
      <w:pPr>
        <w:pStyle w:val="59"/>
        <w:spacing w:line="360" w:lineRule="auto"/>
        <w:ind w:left="0" w:leftChars="0" w:firstLine="0" w:firstLineChars="0"/>
        <w:jc w:val="both"/>
        <w:outlineLvl w:val="9"/>
        <w:rPr>
          <w:rFonts w:hint="eastAsia" w:ascii="宋体" w:hAnsi="宋体" w:eastAsia="宋体" w:cs="宋体"/>
          <w:b/>
          <w:bCs/>
          <w:color w:val="000000"/>
          <w:kern w:val="2"/>
          <w:sz w:val="24"/>
          <w:szCs w:val="20"/>
          <w:highlight w:val="none"/>
          <w:lang w:val="en-US" w:eastAsia="zh-CN" w:bidi="ar-SA"/>
        </w:rPr>
      </w:pPr>
      <w:r>
        <w:rPr>
          <w:rFonts w:hint="eastAsia" w:ascii="宋体" w:hAnsi="宋体" w:eastAsia="宋体" w:cs="宋体"/>
          <w:b/>
          <w:bCs/>
          <w:color w:val="000000"/>
          <w:kern w:val="2"/>
          <w:sz w:val="24"/>
          <w:szCs w:val="20"/>
          <w:highlight w:val="none"/>
          <w:lang w:val="en-US" w:eastAsia="zh-CN" w:bidi="ar-SA"/>
        </w:rPr>
        <w:t>注：潜在投标企业属于中小微企业的，请在投标文件中提供“中小企业声明函”，如果未提供或提供虛假的“中小企业声明函”，投标企业将承担由此造成的一切不利后果。</w:t>
      </w:r>
    </w:p>
    <w:p w14:paraId="3AD6CB5A">
      <w:pPr>
        <w:outlineLvl w:val="9"/>
        <w:rPr>
          <w:rFonts w:hint="eastAsia" w:ascii="宋体" w:hAnsi="宋体" w:eastAsia="宋体" w:cs="宋体"/>
          <w:color w:val="000000"/>
          <w:highlight w:val="none"/>
          <w:lang w:val="en-US" w:eastAsia="zh-CN"/>
        </w:rPr>
      </w:pPr>
    </w:p>
    <w:p w14:paraId="197533D1">
      <w:pPr>
        <w:jc w:val="left"/>
        <w:outlineLvl w:val="9"/>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br w:type="page"/>
      </w:r>
      <w:r>
        <w:rPr>
          <w:rFonts w:hint="eastAsia" w:ascii="宋体" w:hAnsi="宋体" w:eastAsia="宋体" w:cs="宋体"/>
          <w:b/>
          <w:bCs/>
          <w:color w:val="000000"/>
          <w:kern w:val="0"/>
          <w:sz w:val="24"/>
          <w:szCs w:val="24"/>
          <w:highlight w:val="none"/>
        </w:rPr>
        <w:t>附：</w:t>
      </w:r>
    </w:p>
    <w:p w14:paraId="2B43EA07">
      <w:pPr>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中小微企业划型标准</w:t>
      </w:r>
    </w:p>
    <w:tbl>
      <w:tblPr>
        <w:tblStyle w:val="25"/>
        <w:tblW w:w="9256" w:type="dxa"/>
        <w:jc w:val="center"/>
        <w:tblLayout w:type="fixed"/>
        <w:tblCellMar>
          <w:top w:w="0" w:type="dxa"/>
          <w:left w:w="108" w:type="dxa"/>
          <w:bottom w:w="0" w:type="dxa"/>
          <w:right w:w="108" w:type="dxa"/>
        </w:tblCellMar>
      </w:tblPr>
      <w:tblGrid>
        <w:gridCol w:w="1358"/>
        <w:gridCol w:w="1925"/>
        <w:gridCol w:w="1188"/>
        <w:gridCol w:w="2037"/>
        <w:gridCol w:w="1657"/>
        <w:gridCol w:w="1091"/>
      </w:tblGrid>
      <w:tr w14:paraId="554542F4">
        <w:tblPrEx>
          <w:tblCellMar>
            <w:top w:w="0" w:type="dxa"/>
            <w:left w:w="108" w:type="dxa"/>
            <w:bottom w:w="0" w:type="dxa"/>
            <w:right w:w="108" w:type="dxa"/>
          </w:tblCellMar>
        </w:tblPrEx>
        <w:trPr>
          <w:trHeight w:val="534"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14:paraId="308893E2">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行业名称</w:t>
            </w:r>
          </w:p>
        </w:tc>
        <w:tc>
          <w:tcPr>
            <w:tcW w:w="1925" w:type="dxa"/>
            <w:tcBorders>
              <w:top w:val="single" w:color="auto" w:sz="4" w:space="0"/>
              <w:left w:val="nil"/>
              <w:bottom w:val="single" w:color="auto" w:sz="4" w:space="0"/>
              <w:right w:val="single" w:color="auto" w:sz="4" w:space="0"/>
            </w:tcBorders>
            <w:vAlign w:val="center"/>
          </w:tcPr>
          <w:p w14:paraId="7EC4A97B">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指标名称</w:t>
            </w:r>
          </w:p>
        </w:tc>
        <w:tc>
          <w:tcPr>
            <w:tcW w:w="1188" w:type="dxa"/>
            <w:tcBorders>
              <w:top w:val="single" w:color="auto" w:sz="4" w:space="0"/>
              <w:left w:val="nil"/>
              <w:bottom w:val="single" w:color="auto" w:sz="4" w:space="0"/>
              <w:right w:val="single" w:color="auto" w:sz="4" w:space="0"/>
            </w:tcBorders>
            <w:vAlign w:val="center"/>
          </w:tcPr>
          <w:p w14:paraId="10357CA1">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计量单位</w:t>
            </w:r>
          </w:p>
        </w:tc>
        <w:tc>
          <w:tcPr>
            <w:tcW w:w="2037" w:type="dxa"/>
            <w:tcBorders>
              <w:top w:val="single" w:color="auto" w:sz="4" w:space="0"/>
              <w:left w:val="nil"/>
              <w:bottom w:val="single" w:color="auto" w:sz="4" w:space="0"/>
              <w:right w:val="single" w:color="auto" w:sz="4" w:space="0"/>
            </w:tcBorders>
            <w:vAlign w:val="center"/>
          </w:tcPr>
          <w:p w14:paraId="50119149">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中型</w:t>
            </w:r>
          </w:p>
        </w:tc>
        <w:tc>
          <w:tcPr>
            <w:tcW w:w="1657" w:type="dxa"/>
            <w:tcBorders>
              <w:top w:val="single" w:color="auto" w:sz="4" w:space="0"/>
              <w:left w:val="nil"/>
              <w:bottom w:val="single" w:color="auto" w:sz="4" w:space="0"/>
              <w:right w:val="single" w:color="auto" w:sz="4" w:space="0"/>
            </w:tcBorders>
            <w:vAlign w:val="center"/>
          </w:tcPr>
          <w:p w14:paraId="173A3337">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小型</w:t>
            </w:r>
          </w:p>
        </w:tc>
        <w:tc>
          <w:tcPr>
            <w:tcW w:w="1091" w:type="dxa"/>
            <w:tcBorders>
              <w:top w:val="single" w:color="auto" w:sz="4" w:space="0"/>
              <w:left w:val="nil"/>
              <w:bottom w:val="single" w:color="auto" w:sz="4" w:space="0"/>
              <w:right w:val="single" w:color="auto" w:sz="4" w:space="0"/>
            </w:tcBorders>
            <w:vAlign w:val="center"/>
          </w:tcPr>
          <w:p w14:paraId="73F1964D">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微型</w:t>
            </w:r>
          </w:p>
        </w:tc>
      </w:tr>
      <w:tr w14:paraId="21C83057">
        <w:tblPrEx>
          <w:tblCellMar>
            <w:top w:w="0" w:type="dxa"/>
            <w:left w:w="108" w:type="dxa"/>
            <w:bottom w:w="0" w:type="dxa"/>
            <w:right w:w="108" w:type="dxa"/>
          </w:tblCellMar>
        </w:tblPrEx>
        <w:trPr>
          <w:trHeight w:val="534" w:hRule="atLeast"/>
          <w:jc w:val="center"/>
        </w:trPr>
        <w:tc>
          <w:tcPr>
            <w:tcW w:w="1358" w:type="dxa"/>
            <w:tcBorders>
              <w:top w:val="nil"/>
              <w:left w:val="single" w:color="auto" w:sz="4" w:space="0"/>
              <w:bottom w:val="single" w:color="auto" w:sz="4" w:space="0"/>
              <w:right w:val="single" w:color="auto" w:sz="4" w:space="0"/>
            </w:tcBorders>
            <w:vAlign w:val="center"/>
          </w:tcPr>
          <w:p w14:paraId="4C044955">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农、林、牧、渔</w:t>
            </w:r>
          </w:p>
        </w:tc>
        <w:tc>
          <w:tcPr>
            <w:tcW w:w="1925" w:type="dxa"/>
            <w:tcBorders>
              <w:top w:val="nil"/>
              <w:left w:val="nil"/>
              <w:bottom w:val="single" w:color="auto" w:sz="4" w:space="0"/>
              <w:right w:val="single" w:color="auto" w:sz="4" w:space="0"/>
            </w:tcBorders>
            <w:vAlign w:val="center"/>
          </w:tcPr>
          <w:p w14:paraId="6718A17B">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营业收入（Y）</w:t>
            </w:r>
          </w:p>
        </w:tc>
        <w:tc>
          <w:tcPr>
            <w:tcW w:w="1188" w:type="dxa"/>
            <w:tcBorders>
              <w:top w:val="nil"/>
              <w:left w:val="nil"/>
              <w:bottom w:val="single" w:color="auto" w:sz="4" w:space="0"/>
              <w:right w:val="single" w:color="auto" w:sz="4" w:space="0"/>
            </w:tcBorders>
            <w:vAlign w:val="center"/>
          </w:tcPr>
          <w:p w14:paraId="5956AF9B">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万元</w:t>
            </w:r>
          </w:p>
        </w:tc>
        <w:tc>
          <w:tcPr>
            <w:tcW w:w="2037" w:type="dxa"/>
            <w:tcBorders>
              <w:top w:val="nil"/>
              <w:left w:val="nil"/>
              <w:bottom w:val="single" w:color="auto" w:sz="4" w:space="0"/>
              <w:right w:val="single" w:color="auto" w:sz="4" w:space="0"/>
            </w:tcBorders>
            <w:vAlign w:val="center"/>
          </w:tcPr>
          <w:p w14:paraId="01D32DED">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500≤Y＜20000</w:t>
            </w:r>
          </w:p>
        </w:tc>
        <w:tc>
          <w:tcPr>
            <w:tcW w:w="1657" w:type="dxa"/>
            <w:tcBorders>
              <w:top w:val="nil"/>
              <w:left w:val="nil"/>
              <w:bottom w:val="single" w:color="auto" w:sz="4" w:space="0"/>
              <w:right w:val="single" w:color="auto" w:sz="4" w:space="0"/>
            </w:tcBorders>
            <w:vAlign w:val="center"/>
          </w:tcPr>
          <w:p w14:paraId="6BC25008">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50≤Y＜500</w:t>
            </w:r>
          </w:p>
        </w:tc>
        <w:tc>
          <w:tcPr>
            <w:tcW w:w="1091" w:type="dxa"/>
            <w:tcBorders>
              <w:top w:val="nil"/>
              <w:left w:val="nil"/>
              <w:bottom w:val="single" w:color="auto" w:sz="4" w:space="0"/>
              <w:right w:val="single" w:color="auto" w:sz="4" w:space="0"/>
            </w:tcBorders>
            <w:vAlign w:val="center"/>
          </w:tcPr>
          <w:p w14:paraId="1F176622">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Y＜50</w:t>
            </w:r>
          </w:p>
        </w:tc>
      </w:tr>
      <w:tr w14:paraId="25B2919C">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5DF06B05">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工业</w:t>
            </w:r>
          </w:p>
        </w:tc>
        <w:tc>
          <w:tcPr>
            <w:tcW w:w="1925" w:type="dxa"/>
            <w:tcBorders>
              <w:top w:val="nil"/>
              <w:left w:val="nil"/>
              <w:bottom w:val="single" w:color="auto" w:sz="4" w:space="0"/>
              <w:right w:val="single" w:color="auto" w:sz="4" w:space="0"/>
            </w:tcBorders>
            <w:vAlign w:val="center"/>
          </w:tcPr>
          <w:p w14:paraId="7F3A491E">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从业人员（X）</w:t>
            </w:r>
          </w:p>
        </w:tc>
        <w:tc>
          <w:tcPr>
            <w:tcW w:w="1188" w:type="dxa"/>
            <w:tcBorders>
              <w:top w:val="nil"/>
              <w:left w:val="nil"/>
              <w:bottom w:val="single" w:color="auto" w:sz="4" w:space="0"/>
              <w:right w:val="single" w:color="auto" w:sz="4" w:space="0"/>
            </w:tcBorders>
            <w:vAlign w:val="center"/>
          </w:tcPr>
          <w:p w14:paraId="4BBD80C1">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人</w:t>
            </w:r>
          </w:p>
        </w:tc>
        <w:tc>
          <w:tcPr>
            <w:tcW w:w="2037" w:type="dxa"/>
            <w:tcBorders>
              <w:top w:val="nil"/>
              <w:left w:val="nil"/>
              <w:bottom w:val="single" w:color="auto" w:sz="4" w:space="0"/>
              <w:right w:val="single" w:color="auto" w:sz="4" w:space="0"/>
            </w:tcBorders>
            <w:vAlign w:val="center"/>
          </w:tcPr>
          <w:p w14:paraId="734D003D">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300≤X＜1000</w:t>
            </w:r>
          </w:p>
        </w:tc>
        <w:tc>
          <w:tcPr>
            <w:tcW w:w="1657" w:type="dxa"/>
            <w:tcBorders>
              <w:top w:val="nil"/>
              <w:left w:val="nil"/>
              <w:bottom w:val="single" w:color="auto" w:sz="4" w:space="0"/>
              <w:right w:val="single" w:color="auto" w:sz="4" w:space="0"/>
            </w:tcBorders>
            <w:vAlign w:val="center"/>
          </w:tcPr>
          <w:p w14:paraId="1F0B823F">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20≤X＜300</w:t>
            </w:r>
          </w:p>
        </w:tc>
        <w:tc>
          <w:tcPr>
            <w:tcW w:w="1091" w:type="dxa"/>
            <w:tcBorders>
              <w:top w:val="nil"/>
              <w:left w:val="nil"/>
              <w:bottom w:val="single" w:color="auto" w:sz="4" w:space="0"/>
              <w:right w:val="single" w:color="auto" w:sz="4" w:space="0"/>
            </w:tcBorders>
            <w:vAlign w:val="center"/>
          </w:tcPr>
          <w:p w14:paraId="4E29D830">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X＜20</w:t>
            </w:r>
          </w:p>
        </w:tc>
      </w:tr>
      <w:tr w14:paraId="2966EAB0">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3853606D">
            <w:pPr>
              <w:widowControl/>
              <w:snapToGrid w:val="0"/>
              <w:contextualSpacing/>
              <w:jc w:val="center"/>
              <w:rPr>
                <w:rFonts w:hint="eastAsia" w:ascii="宋体" w:hAnsi="宋体" w:eastAsia="宋体" w:cs="宋体"/>
                <w:b/>
                <w:bCs w:val="0"/>
                <w:color w:val="000000"/>
                <w:kern w:val="0"/>
                <w:sz w:val="21"/>
                <w:szCs w:val="21"/>
                <w:highlight w:val="none"/>
              </w:rPr>
            </w:pPr>
          </w:p>
        </w:tc>
        <w:tc>
          <w:tcPr>
            <w:tcW w:w="1925" w:type="dxa"/>
            <w:tcBorders>
              <w:top w:val="nil"/>
              <w:left w:val="nil"/>
              <w:bottom w:val="single" w:color="auto" w:sz="4" w:space="0"/>
              <w:right w:val="single" w:color="auto" w:sz="4" w:space="0"/>
            </w:tcBorders>
            <w:vAlign w:val="center"/>
          </w:tcPr>
          <w:p w14:paraId="52299B8C">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营业收入（Y）</w:t>
            </w:r>
          </w:p>
        </w:tc>
        <w:tc>
          <w:tcPr>
            <w:tcW w:w="1188" w:type="dxa"/>
            <w:tcBorders>
              <w:top w:val="nil"/>
              <w:left w:val="nil"/>
              <w:bottom w:val="single" w:color="auto" w:sz="4" w:space="0"/>
              <w:right w:val="single" w:color="auto" w:sz="4" w:space="0"/>
            </w:tcBorders>
            <w:vAlign w:val="center"/>
          </w:tcPr>
          <w:p w14:paraId="2050E8E0">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万元</w:t>
            </w:r>
          </w:p>
        </w:tc>
        <w:tc>
          <w:tcPr>
            <w:tcW w:w="2037" w:type="dxa"/>
            <w:tcBorders>
              <w:top w:val="nil"/>
              <w:left w:val="nil"/>
              <w:bottom w:val="single" w:color="auto" w:sz="4" w:space="0"/>
              <w:right w:val="single" w:color="auto" w:sz="4" w:space="0"/>
            </w:tcBorders>
            <w:vAlign w:val="center"/>
          </w:tcPr>
          <w:p w14:paraId="7B4008B4">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2000≤Y＜40000</w:t>
            </w:r>
          </w:p>
        </w:tc>
        <w:tc>
          <w:tcPr>
            <w:tcW w:w="1657" w:type="dxa"/>
            <w:tcBorders>
              <w:top w:val="nil"/>
              <w:left w:val="nil"/>
              <w:bottom w:val="single" w:color="auto" w:sz="4" w:space="0"/>
              <w:right w:val="single" w:color="auto" w:sz="4" w:space="0"/>
            </w:tcBorders>
            <w:vAlign w:val="center"/>
          </w:tcPr>
          <w:p w14:paraId="1D325C06">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300≤Y＜2000</w:t>
            </w:r>
          </w:p>
        </w:tc>
        <w:tc>
          <w:tcPr>
            <w:tcW w:w="1091" w:type="dxa"/>
            <w:tcBorders>
              <w:top w:val="nil"/>
              <w:left w:val="nil"/>
              <w:bottom w:val="single" w:color="auto" w:sz="4" w:space="0"/>
              <w:right w:val="single" w:color="auto" w:sz="4" w:space="0"/>
            </w:tcBorders>
            <w:vAlign w:val="center"/>
          </w:tcPr>
          <w:p w14:paraId="360C79AC">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Y＜300</w:t>
            </w:r>
          </w:p>
        </w:tc>
      </w:tr>
      <w:tr w14:paraId="7EFF7B3F">
        <w:tblPrEx>
          <w:tblCellMar>
            <w:top w:w="0" w:type="dxa"/>
            <w:left w:w="108" w:type="dxa"/>
            <w:bottom w:w="0" w:type="dxa"/>
            <w:right w:w="108" w:type="dxa"/>
          </w:tblCellMar>
        </w:tblPrEx>
        <w:trPr>
          <w:trHeight w:val="401"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2A465147">
            <w:pPr>
              <w:widowControl/>
              <w:snapToGrid w:val="0"/>
              <w:contextualSpacing/>
              <w:jc w:val="center"/>
              <w:rPr>
                <w:rFonts w:hint="eastAsia" w:ascii="宋体" w:hAnsi="宋体" w:eastAsia="宋体" w:cs="宋体"/>
                <w:b/>
                <w:bCs w:val="0"/>
                <w:color w:val="000000"/>
                <w:kern w:val="0"/>
                <w:sz w:val="21"/>
                <w:szCs w:val="21"/>
                <w:highlight w:val="none"/>
                <w:lang w:eastAsia="zh-CN"/>
              </w:rPr>
            </w:pPr>
            <w:r>
              <w:rPr>
                <w:rFonts w:hint="eastAsia" w:ascii="宋体" w:hAnsi="宋体" w:eastAsia="宋体" w:cs="宋体"/>
                <w:b/>
                <w:bCs w:val="0"/>
                <w:color w:val="000000"/>
                <w:kern w:val="0"/>
                <w:sz w:val="21"/>
                <w:szCs w:val="21"/>
                <w:highlight w:val="none"/>
                <w:lang w:eastAsia="zh-CN"/>
              </w:rPr>
              <w:t>建筑业</w:t>
            </w:r>
          </w:p>
        </w:tc>
        <w:tc>
          <w:tcPr>
            <w:tcW w:w="1925" w:type="dxa"/>
            <w:tcBorders>
              <w:top w:val="nil"/>
              <w:left w:val="nil"/>
              <w:bottom w:val="single" w:color="auto" w:sz="4" w:space="0"/>
              <w:right w:val="single" w:color="auto" w:sz="4" w:space="0"/>
            </w:tcBorders>
            <w:vAlign w:val="center"/>
          </w:tcPr>
          <w:p w14:paraId="31B89957">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营业收入（Y）</w:t>
            </w:r>
          </w:p>
        </w:tc>
        <w:tc>
          <w:tcPr>
            <w:tcW w:w="1188" w:type="dxa"/>
            <w:tcBorders>
              <w:top w:val="nil"/>
              <w:left w:val="nil"/>
              <w:bottom w:val="single" w:color="auto" w:sz="4" w:space="0"/>
              <w:right w:val="single" w:color="auto" w:sz="4" w:space="0"/>
            </w:tcBorders>
            <w:vAlign w:val="center"/>
          </w:tcPr>
          <w:p w14:paraId="204AE443">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万元</w:t>
            </w:r>
          </w:p>
        </w:tc>
        <w:tc>
          <w:tcPr>
            <w:tcW w:w="2037" w:type="dxa"/>
            <w:tcBorders>
              <w:top w:val="nil"/>
              <w:left w:val="nil"/>
              <w:bottom w:val="single" w:color="auto" w:sz="4" w:space="0"/>
              <w:right w:val="single" w:color="auto" w:sz="4" w:space="0"/>
            </w:tcBorders>
            <w:vAlign w:val="center"/>
          </w:tcPr>
          <w:p w14:paraId="0BABA448">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6000≤Y＜80000</w:t>
            </w:r>
          </w:p>
        </w:tc>
        <w:tc>
          <w:tcPr>
            <w:tcW w:w="1657" w:type="dxa"/>
            <w:tcBorders>
              <w:top w:val="nil"/>
              <w:left w:val="nil"/>
              <w:bottom w:val="single" w:color="auto" w:sz="4" w:space="0"/>
              <w:right w:val="single" w:color="auto" w:sz="4" w:space="0"/>
            </w:tcBorders>
            <w:vAlign w:val="center"/>
          </w:tcPr>
          <w:p w14:paraId="1C9320A9">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300≤Y＜6000</w:t>
            </w:r>
          </w:p>
        </w:tc>
        <w:tc>
          <w:tcPr>
            <w:tcW w:w="1091" w:type="dxa"/>
            <w:tcBorders>
              <w:top w:val="nil"/>
              <w:left w:val="nil"/>
              <w:bottom w:val="single" w:color="auto" w:sz="4" w:space="0"/>
              <w:right w:val="single" w:color="auto" w:sz="4" w:space="0"/>
            </w:tcBorders>
            <w:vAlign w:val="center"/>
          </w:tcPr>
          <w:p w14:paraId="008E824D">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Y＜300</w:t>
            </w:r>
          </w:p>
        </w:tc>
      </w:tr>
      <w:tr w14:paraId="2EFD4C83">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537E4DF5">
            <w:pPr>
              <w:widowControl/>
              <w:snapToGrid w:val="0"/>
              <w:contextualSpacing/>
              <w:jc w:val="center"/>
              <w:rPr>
                <w:rFonts w:hint="eastAsia" w:ascii="宋体" w:hAnsi="宋体" w:eastAsia="宋体" w:cs="宋体"/>
                <w:b/>
                <w:bCs w:val="0"/>
                <w:color w:val="000000"/>
                <w:kern w:val="0"/>
                <w:sz w:val="21"/>
                <w:szCs w:val="21"/>
                <w:highlight w:val="none"/>
              </w:rPr>
            </w:pPr>
          </w:p>
        </w:tc>
        <w:tc>
          <w:tcPr>
            <w:tcW w:w="1925" w:type="dxa"/>
            <w:tcBorders>
              <w:top w:val="nil"/>
              <w:left w:val="nil"/>
              <w:bottom w:val="single" w:color="auto" w:sz="4" w:space="0"/>
              <w:right w:val="single" w:color="auto" w:sz="4" w:space="0"/>
            </w:tcBorders>
            <w:vAlign w:val="center"/>
          </w:tcPr>
          <w:p w14:paraId="6A6A0E8E">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资产总额（Z）</w:t>
            </w:r>
          </w:p>
        </w:tc>
        <w:tc>
          <w:tcPr>
            <w:tcW w:w="1188" w:type="dxa"/>
            <w:tcBorders>
              <w:top w:val="nil"/>
              <w:left w:val="nil"/>
              <w:bottom w:val="single" w:color="auto" w:sz="4" w:space="0"/>
              <w:right w:val="single" w:color="auto" w:sz="4" w:space="0"/>
            </w:tcBorders>
            <w:vAlign w:val="center"/>
          </w:tcPr>
          <w:p w14:paraId="181F68F5">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万元</w:t>
            </w:r>
          </w:p>
        </w:tc>
        <w:tc>
          <w:tcPr>
            <w:tcW w:w="2037" w:type="dxa"/>
            <w:tcBorders>
              <w:top w:val="nil"/>
              <w:left w:val="nil"/>
              <w:bottom w:val="single" w:color="auto" w:sz="4" w:space="0"/>
              <w:right w:val="single" w:color="auto" w:sz="4" w:space="0"/>
            </w:tcBorders>
            <w:vAlign w:val="center"/>
          </w:tcPr>
          <w:p w14:paraId="37F59791">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5000≤Z＜80000</w:t>
            </w:r>
          </w:p>
        </w:tc>
        <w:tc>
          <w:tcPr>
            <w:tcW w:w="1657" w:type="dxa"/>
            <w:tcBorders>
              <w:top w:val="nil"/>
              <w:left w:val="nil"/>
              <w:bottom w:val="single" w:color="auto" w:sz="4" w:space="0"/>
              <w:right w:val="single" w:color="auto" w:sz="4" w:space="0"/>
            </w:tcBorders>
            <w:vAlign w:val="center"/>
          </w:tcPr>
          <w:p w14:paraId="17833C07">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300≤Z＜5000</w:t>
            </w:r>
          </w:p>
        </w:tc>
        <w:tc>
          <w:tcPr>
            <w:tcW w:w="1091" w:type="dxa"/>
            <w:tcBorders>
              <w:top w:val="nil"/>
              <w:left w:val="nil"/>
              <w:bottom w:val="single" w:color="auto" w:sz="4" w:space="0"/>
              <w:right w:val="single" w:color="auto" w:sz="4" w:space="0"/>
            </w:tcBorders>
            <w:vAlign w:val="center"/>
          </w:tcPr>
          <w:p w14:paraId="39BA1C84">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Z＜300</w:t>
            </w:r>
          </w:p>
        </w:tc>
      </w:tr>
      <w:tr w14:paraId="7061CDB7">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3258CA76">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批发业</w:t>
            </w:r>
          </w:p>
        </w:tc>
        <w:tc>
          <w:tcPr>
            <w:tcW w:w="1925" w:type="dxa"/>
            <w:tcBorders>
              <w:top w:val="nil"/>
              <w:left w:val="nil"/>
              <w:bottom w:val="single" w:color="auto" w:sz="4" w:space="0"/>
              <w:right w:val="single" w:color="auto" w:sz="4" w:space="0"/>
            </w:tcBorders>
            <w:vAlign w:val="center"/>
          </w:tcPr>
          <w:p w14:paraId="73B73EFF">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从业人员（X）</w:t>
            </w:r>
          </w:p>
        </w:tc>
        <w:tc>
          <w:tcPr>
            <w:tcW w:w="1188" w:type="dxa"/>
            <w:tcBorders>
              <w:top w:val="nil"/>
              <w:left w:val="nil"/>
              <w:bottom w:val="single" w:color="auto" w:sz="4" w:space="0"/>
              <w:right w:val="single" w:color="auto" w:sz="4" w:space="0"/>
            </w:tcBorders>
            <w:vAlign w:val="center"/>
          </w:tcPr>
          <w:p w14:paraId="332BDB60">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人</w:t>
            </w:r>
          </w:p>
        </w:tc>
        <w:tc>
          <w:tcPr>
            <w:tcW w:w="2037" w:type="dxa"/>
            <w:tcBorders>
              <w:top w:val="nil"/>
              <w:left w:val="nil"/>
              <w:bottom w:val="single" w:color="auto" w:sz="4" w:space="0"/>
              <w:right w:val="single" w:color="auto" w:sz="4" w:space="0"/>
            </w:tcBorders>
            <w:vAlign w:val="center"/>
          </w:tcPr>
          <w:p w14:paraId="438028A3">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20≤X＜200</w:t>
            </w:r>
          </w:p>
        </w:tc>
        <w:tc>
          <w:tcPr>
            <w:tcW w:w="1657" w:type="dxa"/>
            <w:tcBorders>
              <w:top w:val="nil"/>
              <w:left w:val="nil"/>
              <w:bottom w:val="single" w:color="auto" w:sz="4" w:space="0"/>
              <w:right w:val="single" w:color="auto" w:sz="4" w:space="0"/>
            </w:tcBorders>
            <w:vAlign w:val="center"/>
          </w:tcPr>
          <w:p w14:paraId="0EBFAE23">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5≤X＜20</w:t>
            </w:r>
          </w:p>
        </w:tc>
        <w:tc>
          <w:tcPr>
            <w:tcW w:w="1091" w:type="dxa"/>
            <w:tcBorders>
              <w:top w:val="nil"/>
              <w:left w:val="nil"/>
              <w:bottom w:val="single" w:color="auto" w:sz="4" w:space="0"/>
              <w:right w:val="single" w:color="auto" w:sz="4" w:space="0"/>
            </w:tcBorders>
            <w:vAlign w:val="center"/>
          </w:tcPr>
          <w:p w14:paraId="1CFE6703">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X＜5</w:t>
            </w:r>
          </w:p>
        </w:tc>
      </w:tr>
      <w:tr w14:paraId="3B9B71B6">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454FD841">
            <w:pPr>
              <w:widowControl/>
              <w:snapToGrid w:val="0"/>
              <w:contextualSpacing/>
              <w:jc w:val="center"/>
              <w:rPr>
                <w:rFonts w:hint="eastAsia" w:ascii="宋体" w:hAnsi="宋体" w:eastAsia="宋体" w:cs="宋体"/>
                <w:b/>
                <w:bCs w:val="0"/>
                <w:color w:val="000000"/>
                <w:kern w:val="0"/>
                <w:sz w:val="21"/>
                <w:szCs w:val="21"/>
                <w:highlight w:val="none"/>
              </w:rPr>
            </w:pPr>
          </w:p>
        </w:tc>
        <w:tc>
          <w:tcPr>
            <w:tcW w:w="1925" w:type="dxa"/>
            <w:tcBorders>
              <w:top w:val="nil"/>
              <w:left w:val="nil"/>
              <w:bottom w:val="single" w:color="auto" w:sz="4" w:space="0"/>
              <w:right w:val="single" w:color="auto" w:sz="4" w:space="0"/>
            </w:tcBorders>
            <w:vAlign w:val="center"/>
          </w:tcPr>
          <w:p w14:paraId="1E9E35C4">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营业收入（Y）</w:t>
            </w:r>
          </w:p>
        </w:tc>
        <w:tc>
          <w:tcPr>
            <w:tcW w:w="1188" w:type="dxa"/>
            <w:tcBorders>
              <w:top w:val="nil"/>
              <w:left w:val="nil"/>
              <w:bottom w:val="single" w:color="auto" w:sz="4" w:space="0"/>
              <w:right w:val="single" w:color="auto" w:sz="4" w:space="0"/>
            </w:tcBorders>
            <w:vAlign w:val="center"/>
          </w:tcPr>
          <w:p w14:paraId="7ABA6240">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万元</w:t>
            </w:r>
          </w:p>
        </w:tc>
        <w:tc>
          <w:tcPr>
            <w:tcW w:w="2037" w:type="dxa"/>
            <w:tcBorders>
              <w:top w:val="nil"/>
              <w:left w:val="nil"/>
              <w:bottom w:val="single" w:color="auto" w:sz="4" w:space="0"/>
              <w:right w:val="single" w:color="auto" w:sz="4" w:space="0"/>
            </w:tcBorders>
            <w:vAlign w:val="center"/>
          </w:tcPr>
          <w:p w14:paraId="2D19EE5C">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5000≤Y＜40000</w:t>
            </w:r>
          </w:p>
        </w:tc>
        <w:tc>
          <w:tcPr>
            <w:tcW w:w="1657" w:type="dxa"/>
            <w:tcBorders>
              <w:top w:val="nil"/>
              <w:left w:val="nil"/>
              <w:bottom w:val="single" w:color="auto" w:sz="4" w:space="0"/>
              <w:right w:val="single" w:color="auto" w:sz="4" w:space="0"/>
            </w:tcBorders>
            <w:vAlign w:val="center"/>
          </w:tcPr>
          <w:p w14:paraId="25CAFA68">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1000≤Y＜5000</w:t>
            </w:r>
          </w:p>
        </w:tc>
        <w:tc>
          <w:tcPr>
            <w:tcW w:w="1091" w:type="dxa"/>
            <w:tcBorders>
              <w:top w:val="nil"/>
              <w:left w:val="nil"/>
              <w:bottom w:val="single" w:color="auto" w:sz="4" w:space="0"/>
              <w:right w:val="single" w:color="auto" w:sz="4" w:space="0"/>
            </w:tcBorders>
            <w:vAlign w:val="center"/>
          </w:tcPr>
          <w:p w14:paraId="0EF2C113">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Y＜1000</w:t>
            </w:r>
          </w:p>
        </w:tc>
      </w:tr>
      <w:tr w14:paraId="1EB3A2F2">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48245AEF">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零售业</w:t>
            </w:r>
          </w:p>
        </w:tc>
        <w:tc>
          <w:tcPr>
            <w:tcW w:w="1925" w:type="dxa"/>
            <w:tcBorders>
              <w:top w:val="nil"/>
              <w:left w:val="nil"/>
              <w:bottom w:val="single" w:color="auto" w:sz="4" w:space="0"/>
              <w:right w:val="single" w:color="auto" w:sz="4" w:space="0"/>
            </w:tcBorders>
            <w:vAlign w:val="center"/>
          </w:tcPr>
          <w:p w14:paraId="56FDB341">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从业人员（X）</w:t>
            </w:r>
          </w:p>
        </w:tc>
        <w:tc>
          <w:tcPr>
            <w:tcW w:w="1188" w:type="dxa"/>
            <w:tcBorders>
              <w:top w:val="nil"/>
              <w:left w:val="nil"/>
              <w:bottom w:val="single" w:color="auto" w:sz="4" w:space="0"/>
              <w:right w:val="single" w:color="auto" w:sz="4" w:space="0"/>
            </w:tcBorders>
            <w:vAlign w:val="center"/>
          </w:tcPr>
          <w:p w14:paraId="3C36F7EA">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人</w:t>
            </w:r>
          </w:p>
        </w:tc>
        <w:tc>
          <w:tcPr>
            <w:tcW w:w="2037" w:type="dxa"/>
            <w:tcBorders>
              <w:top w:val="nil"/>
              <w:left w:val="nil"/>
              <w:bottom w:val="single" w:color="auto" w:sz="4" w:space="0"/>
              <w:right w:val="single" w:color="auto" w:sz="4" w:space="0"/>
            </w:tcBorders>
            <w:vAlign w:val="center"/>
          </w:tcPr>
          <w:p w14:paraId="51DF5A1F">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50≤X＜300</w:t>
            </w:r>
          </w:p>
        </w:tc>
        <w:tc>
          <w:tcPr>
            <w:tcW w:w="1657" w:type="dxa"/>
            <w:tcBorders>
              <w:top w:val="nil"/>
              <w:left w:val="nil"/>
              <w:bottom w:val="single" w:color="auto" w:sz="4" w:space="0"/>
              <w:right w:val="single" w:color="auto" w:sz="4" w:space="0"/>
            </w:tcBorders>
            <w:vAlign w:val="center"/>
          </w:tcPr>
          <w:p w14:paraId="77B03BE7">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10≤X＜50</w:t>
            </w:r>
          </w:p>
        </w:tc>
        <w:tc>
          <w:tcPr>
            <w:tcW w:w="1091" w:type="dxa"/>
            <w:tcBorders>
              <w:top w:val="nil"/>
              <w:left w:val="nil"/>
              <w:bottom w:val="single" w:color="auto" w:sz="4" w:space="0"/>
              <w:right w:val="single" w:color="auto" w:sz="4" w:space="0"/>
            </w:tcBorders>
            <w:vAlign w:val="center"/>
          </w:tcPr>
          <w:p w14:paraId="6F1C67C0">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X＜10</w:t>
            </w:r>
          </w:p>
        </w:tc>
      </w:tr>
      <w:tr w14:paraId="1F31A258">
        <w:tblPrEx>
          <w:tblCellMar>
            <w:top w:w="0" w:type="dxa"/>
            <w:left w:w="108" w:type="dxa"/>
            <w:bottom w:w="0" w:type="dxa"/>
            <w:right w:w="108" w:type="dxa"/>
          </w:tblCellMar>
        </w:tblPrEx>
        <w:trPr>
          <w:trHeight w:val="272"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53289D7E">
            <w:pPr>
              <w:widowControl/>
              <w:snapToGrid w:val="0"/>
              <w:contextualSpacing/>
              <w:jc w:val="center"/>
              <w:rPr>
                <w:rFonts w:hint="eastAsia" w:ascii="宋体" w:hAnsi="宋体" w:eastAsia="宋体" w:cs="宋体"/>
                <w:b/>
                <w:bCs w:val="0"/>
                <w:color w:val="000000"/>
                <w:kern w:val="0"/>
                <w:sz w:val="21"/>
                <w:szCs w:val="21"/>
                <w:highlight w:val="none"/>
              </w:rPr>
            </w:pPr>
          </w:p>
        </w:tc>
        <w:tc>
          <w:tcPr>
            <w:tcW w:w="1925" w:type="dxa"/>
            <w:tcBorders>
              <w:top w:val="nil"/>
              <w:left w:val="nil"/>
              <w:bottom w:val="single" w:color="auto" w:sz="4" w:space="0"/>
              <w:right w:val="single" w:color="auto" w:sz="4" w:space="0"/>
            </w:tcBorders>
            <w:vAlign w:val="center"/>
          </w:tcPr>
          <w:p w14:paraId="7EDDE132">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营业收入（Y）</w:t>
            </w:r>
          </w:p>
        </w:tc>
        <w:tc>
          <w:tcPr>
            <w:tcW w:w="1188" w:type="dxa"/>
            <w:tcBorders>
              <w:top w:val="nil"/>
              <w:left w:val="nil"/>
              <w:bottom w:val="single" w:color="auto" w:sz="4" w:space="0"/>
              <w:right w:val="single" w:color="auto" w:sz="4" w:space="0"/>
            </w:tcBorders>
            <w:vAlign w:val="center"/>
          </w:tcPr>
          <w:p w14:paraId="01FBCFFF">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万元</w:t>
            </w:r>
          </w:p>
        </w:tc>
        <w:tc>
          <w:tcPr>
            <w:tcW w:w="2037" w:type="dxa"/>
            <w:tcBorders>
              <w:top w:val="nil"/>
              <w:left w:val="nil"/>
              <w:bottom w:val="single" w:color="auto" w:sz="4" w:space="0"/>
              <w:right w:val="single" w:color="auto" w:sz="4" w:space="0"/>
            </w:tcBorders>
            <w:vAlign w:val="center"/>
          </w:tcPr>
          <w:p w14:paraId="6E718C65">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500≤Y＜20000</w:t>
            </w:r>
          </w:p>
        </w:tc>
        <w:tc>
          <w:tcPr>
            <w:tcW w:w="1657" w:type="dxa"/>
            <w:tcBorders>
              <w:top w:val="nil"/>
              <w:left w:val="nil"/>
              <w:bottom w:val="single" w:color="auto" w:sz="4" w:space="0"/>
              <w:right w:val="single" w:color="auto" w:sz="4" w:space="0"/>
            </w:tcBorders>
            <w:vAlign w:val="center"/>
          </w:tcPr>
          <w:p w14:paraId="1D0433DB">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100≤Y＜500</w:t>
            </w:r>
          </w:p>
        </w:tc>
        <w:tc>
          <w:tcPr>
            <w:tcW w:w="1091" w:type="dxa"/>
            <w:tcBorders>
              <w:top w:val="nil"/>
              <w:left w:val="nil"/>
              <w:bottom w:val="single" w:color="auto" w:sz="4" w:space="0"/>
              <w:right w:val="single" w:color="auto" w:sz="4" w:space="0"/>
            </w:tcBorders>
            <w:vAlign w:val="center"/>
          </w:tcPr>
          <w:p w14:paraId="0A36243A">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Y＜100</w:t>
            </w:r>
          </w:p>
        </w:tc>
      </w:tr>
      <w:tr w14:paraId="5A7EF464">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11E8D251">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交通运输业</w:t>
            </w:r>
          </w:p>
        </w:tc>
        <w:tc>
          <w:tcPr>
            <w:tcW w:w="1925" w:type="dxa"/>
            <w:tcBorders>
              <w:top w:val="nil"/>
              <w:left w:val="nil"/>
              <w:bottom w:val="single" w:color="auto" w:sz="4" w:space="0"/>
              <w:right w:val="single" w:color="auto" w:sz="4" w:space="0"/>
            </w:tcBorders>
            <w:vAlign w:val="center"/>
          </w:tcPr>
          <w:p w14:paraId="5FF9E6C4">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从业人员（X）</w:t>
            </w:r>
          </w:p>
        </w:tc>
        <w:tc>
          <w:tcPr>
            <w:tcW w:w="1188" w:type="dxa"/>
            <w:tcBorders>
              <w:top w:val="nil"/>
              <w:left w:val="nil"/>
              <w:bottom w:val="single" w:color="auto" w:sz="4" w:space="0"/>
              <w:right w:val="single" w:color="auto" w:sz="4" w:space="0"/>
            </w:tcBorders>
            <w:vAlign w:val="center"/>
          </w:tcPr>
          <w:p w14:paraId="22559E45">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人</w:t>
            </w:r>
          </w:p>
        </w:tc>
        <w:tc>
          <w:tcPr>
            <w:tcW w:w="2037" w:type="dxa"/>
            <w:tcBorders>
              <w:top w:val="nil"/>
              <w:left w:val="nil"/>
              <w:bottom w:val="single" w:color="auto" w:sz="4" w:space="0"/>
              <w:right w:val="single" w:color="auto" w:sz="4" w:space="0"/>
            </w:tcBorders>
            <w:vAlign w:val="center"/>
          </w:tcPr>
          <w:p w14:paraId="09653445">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300≤X＜1000</w:t>
            </w:r>
          </w:p>
        </w:tc>
        <w:tc>
          <w:tcPr>
            <w:tcW w:w="1657" w:type="dxa"/>
            <w:tcBorders>
              <w:top w:val="nil"/>
              <w:left w:val="nil"/>
              <w:bottom w:val="single" w:color="auto" w:sz="4" w:space="0"/>
              <w:right w:val="single" w:color="auto" w:sz="4" w:space="0"/>
            </w:tcBorders>
            <w:vAlign w:val="center"/>
          </w:tcPr>
          <w:p w14:paraId="4E29688C">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20≤X＜300</w:t>
            </w:r>
          </w:p>
        </w:tc>
        <w:tc>
          <w:tcPr>
            <w:tcW w:w="1091" w:type="dxa"/>
            <w:tcBorders>
              <w:top w:val="nil"/>
              <w:left w:val="nil"/>
              <w:bottom w:val="single" w:color="auto" w:sz="4" w:space="0"/>
              <w:right w:val="single" w:color="auto" w:sz="4" w:space="0"/>
            </w:tcBorders>
            <w:vAlign w:val="center"/>
          </w:tcPr>
          <w:p w14:paraId="2ACAA70C">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X＜20</w:t>
            </w:r>
          </w:p>
        </w:tc>
      </w:tr>
      <w:tr w14:paraId="4316F755">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32DE5016">
            <w:pPr>
              <w:widowControl/>
              <w:snapToGrid w:val="0"/>
              <w:contextualSpacing/>
              <w:jc w:val="center"/>
              <w:rPr>
                <w:rFonts w:hint="eastAsia" w:ascii="宋体" w:hAnsi="宋体" w:eastAsia="宋体" w:cs="宋体"/>
                <w:b/>
                <w:bCs w:val="0"/>
                <w:color w:val="000000"/>
                <w:kern w:val="0"/>
                <w:sz w:val="21"/>
                <w:szCs w:val="21"/>
                <w:highlight w:val="none"/>
              </w:rPr>
            </w:pPr>
          </w:p>
        </w:tc>
        <w:tc>
          <w:tcPr>
            <w:tcW w:w="1925" w:type="dxa"/>
            <w:tcBorders>
              <w:top w:val="nil"/>
              <w:left w:val="nil"/>
              <w:bottom w:val="single" w:color="auto" w:sz="4" w:space="0"/>
              <w:right w:val="single" w:color="auto" w:sz="4" w:space="0"/>
            </w:tcBorders>
            <w:vAlign w:val="center"/>
          </w:tcPr>
          <w:p w14:paraId="6BE3C163">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营业收入（Y）</w:t>
            </w:r>
          </w:p>
        </w:tc>
        <w:tc>
          <w:tcPr>
            <w:tcW w:w="1188" w:type="dxa"/>
            <w:tcBorders>
              <w:top w:val="nil"/>
              <w:left w:val="nil"/>
              <w:bottom w:val="single" w:color="auto" w:sz="4" w:space="0"/>
              <w:right w:val="single" w:color="auto" w:sz="4" w:space="0"/>
            </w:tcBorders>
            <w:vAlign w:val="center"/>
          </w:tcPr>
          <w:p w14:paraId="7D25F831">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万元</w:t>
            </w:r>
          </w:p>
        </w:tc>
        <w:tc>
          <w:tcPr>
            <w:tcW w:w="2037" w:type="dxa"/>
            <w:tcBorders>
              <w:top w:val="nil"/>
              <w:left w:val="nil"/>
              <w:bottom w:val="single" w:color="auto" w:sz="4" w:space="0"/>
              <w:right w:val="single" w:color="auto" w:sz="4" w:space="0"/>
            </w:tcBorders>
            <w:vAlign w:val="center"/>
          </w:tcPr>
          <w:p w14:paraId="1B4C5626">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3000≤Y＜30000</w:t>
            </w:r>
          </w:p>
        </w:tc>
        <w:tc>
          <w:tcPr>
            <w:tcW w:w="1657" w:type="dxa"/>
            <w:tcBorders>
              <w:top w:val="nil"/>
              <w:left w:val="nil"/>
              <w:bottom w:val="single" w:color="auto" w:sz="4" w:space="0"/>
              <w:right w:val="single" w:color="auto" w:sz="4" w:space="0"/>
            </w:tcBorders>
            <w:vAlign w:val="center"/>
          </w:tcPr>
          <w:p w14:paraId="69D249BE">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200≤Y＜3000</w:t>
            </w:r>
          </w:p>
        </w:tc>
        <w:tc>
          <w:tcPr>
            <w:tcW w:w="1091" w:type="dxa"/>
            <w:tcBorders>
              <w:top w:val="nil"/>
              <w:left w:val="nil"/>
              <w:bottom w:val="single" w:color="auto" w:sz="4" w:space="0"/>
              <w:right w:val="single" w:color="auto" w:sz="4" w:space="0"/>
            </w:tcBorders>
            <w:vAlign w:val="center"/>
          </w:tcPr>
          <w:p w14:paraId="7223C6BC">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Y＜200</w:t>
            </w:r>
          </w:p>
        </w:tc>
      </w:tr>
      <w:tr w14:paraId="1C369E8C">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5BB99401">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仓储业</w:t>
            </w:r>
          </w:p>
        </w:tc>
        <w:tc>
          <w:tcPr>
            <w:tcW w:w="1925" w:type="dxa"/>
            <w:tcBorders>
              <w:top w:val="nil"/>
              <w:left w:val="nil"/>
              <w:bottom w:val="single" w:color="auto" w:sz="4" w:space="0"/>
              <w:right w:val="single" w:color="auto" w:sz="4" w:space="0"/>
            </w:tcBorders>
            <w:vAlign w:val="center"/>
          </w:tcPr>
          <w:p w14:paraId="3AC3E498">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从业人员（X）</w:t>
            </w:r>
          </w:p>
        </w:tc>
        <w:tc>
          <w:tcPr>
            <w:tcW w:w="1188" w:type="dxa"/>
            <w:tcBorders>
              <w:top w:val="nil"/>
              <w:left w:val="nil"/>
              <w:bottom w:val="single" w:color="auto" w:sz="4" w:space="0"/>
              <w:right w:val="single" w:color="auto" w:sz="4" w:space="0"/>
            </w:tcBorders>
            <w:vAlign w:val="center"/>
          </w:tcPr>
          <w:p w14:paraId="554501D5">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人</w:t>
            </w:r>
          </w:p>
        </w:tc>
        <w:tc>
          <w:tcPr>
            <w:tcW w:w="2037" w:type="dxa"/>
            <w:tcBorders>
              <w:top w:val="nil"/>
              <w:left w:val="nil"/>
              <w:bottom w:val="single" w:color="auto" w:sz="4" w:space="0"/>
              <w:right w:val="single" w:color="auto" w:sz="4" w:space="0"/>
            </w:tcBorders>
            <w:vAlign w:val="center"/>
          </w:tcPr>
          <w:p w14:paraId="6AD06271">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100≤X＜200</w:t>
            </w:r>
          </w:p>
        </w:tc>
        <w:tc>
          <w:tcPr>
            <w:tcW w:w="1657" w:type="dxa"/>
            <w:tcBorders>
              <w:top w:val="nil"/>
              <w:left w:val="nil"/>
              <w:bottom w:val="single" w:color="auto" w:sz="4" w:space="0"/>
              <w:right w:val="single" w:color="auto" w:sz="4" w:space="0"/>
            </w:tcBorders>
            <w:vAlign w:val="center"/>
          </w:tcPr>
          <w:p w14:paraId="7EC86440">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20≤X＜100</w:t>
            </w:r>
          </w:p>
        </w:tc>
        <w:tc>
          <w:tcPr>
            <w:tcW w:w="1091" w:type="dxa"/>
            <w:tcBorders>
              <w:top w:val="nil"/>
              <w:left w:val="nil"/>
              <w:bottom w:val="single" w:color="auto" w:sz="4" w:space="0"/>
              <w:right w:val="single" w:color="auto" w:sz="4" w:space="0"/>
            </w:tcBorders>
            <w:vAlign w:val="center"/>
          </w:tcPr>
          <w:p w14:paraId="1DD8FBE2">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X＜20</w:t>
            </w:r>
          </w:p>
        </w:tc>
      </w:tr>
      <w:tr w14:paraId="531C71E6">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62F95BBB">
            <w:pPr>
              <w:widowControl/>
              <w:snapToGrid w:val="0"/>
              <w:contextualSpacing/>
              <w:jc w:val="center"/>
              <w:rPr>
                <w:rFonts w:hint="eastAsia" w:ascii="宋体" w:hAnsi="宋体" w:eastAsia="宋体" w:cs="宋体"/>
                <w:b/>
                <w:bCs w:val="0"/>
                <w:color w:val="000000"/>
                <w:kern w:val="0"/>
                <w:sz w:val="21"/>
                <w:szCs w:val="21"/>
                <w:highlight w:val="none"/>
              </w:rPr>
            </w:pPr>
          </w:p>
        </w:tc>
        <w:tc>
          <w:tcPr>
            <w:tcW w:w="1925" w:type="dxa"/>
            <w:tcBorders>
              <w:top w:val="nil"/>
              <w:left w:val="nil"/>
              <w:bottom w:val="single" w:color="auto" w:sz="4" w:space="0"/>
              <w:right w:val="single" w:color="auto" w:sz="4" w:space="0"/>
            </w:tcBorders>
            <w:vAlign w:val="center"/>
          </w:tcPr>
          <w:p w14:paraId="2AB4C6AA">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营业收入（Y）</w:t>
            </w:r>
          </w:p>
        </w:tc>
        <w:tc>
          <w:tcPr>
            <w:tcW w:w="1188" w:type="dxa"/>
            <w:tcBorders>
              <w:top w:val="nil"/>
              <w:left w:val="nil"/>
              <w:bottom w:val="single" w:color="auto" w:sz="4" w:space="0"/>
              <w:right w:val="single" w:color="auto" w:sz="4" w:space="0"/>
            </w:tcBorders>
            <w:vAlign w:val="center"/>
          </w:tcPr>
          <w:p w14:paraId="59756812">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万元</w:t>
            </w:r>
          </w:p>
        </w:tc>
        <w:tc>
          <w:tcPr>
            <w:tcW w:w="2037" w:type="dxa"/>
            <w:tcBorders>
              <w:top w:val="nil"/>
              <w:left w:val="nil"/>
              <w:bottom w:val="single" w:color="auto" w:sz="4" w:space="0"/>
              <w:right w:val="single" w:color="auto" w:sz="4" w:space="0"/>
            </w:tcBorders>
            <w:vAlign w:val="center"/>
          </w:tcPr>
          <w:p w14:paraId="3F84196B">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1000≤Y＜30000</w:t>
            </w:r>
          </w:p>
        </w:tc>
        <w:tc>
          <w:tcPr>
            <w:tcW w:w="1657" w:type="dxa"/>
            <w:tcBorders>
              <w:top w:val="nil"/>
              <w:left w:val="nil"/>
              <w:bottom w:val="single" w:color="auto" w:sz="4" w:space="0"/>
              <w:right w:val="single" w:color="auto" w:sz="4" w:space="0"/>
            </w:tcBorders>
            <w:vAlign w:val="center"/>
          </w:tcPr>
          <w:p w14:paraId="1AC757B6">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100≤Y＜1000</w:t>
            </w:r>
          </w:p>
        </w:tc>
        <w:tc>
          <w:tcPr>
            <w:tcW w:w="1091" w:type="dxa"/>
            <w:tcBorders>
              <w:top w:val="nil"/>
              <w:left w:val="nil"/>
              <w:bottom w:val="single" w:color="auto" w:sz="4" w:space="0"/>
              <w:right w:val="single" w:color="auto" w:sz="4" w:space="0"/>
            </w:tcBorders>
            <w:vAlign w:val="center"/>
          </w:tcPr>
          <w:p w14:paraId="4BC43314">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Y＜100</w:t>
            </w:r>
          </w:p>
        </w:tc>
      </w:tr>
      <w:tr w14:paraId="1374429C">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4775BC17">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邮政业</w:t>
            </w:r>
          </w:p>
        </w:tc>
        <w:tc>
          <w:tcPr>
            <w:tcW w:w="1925" w:type="dxa"/>
            <w:tcBorders>
              <w:top w:val="nil"/>
              <w:left w:val="nil"/>
              <w:bottom w:val="single" w:color="auto" w:sz="4" w:space="0"/>
              <w:right w:val="single" w:color="auto" w:sz="4" w:space="0"/>
            </w:tcBorders>
            <w:vAlign w:val="center"/>
          </w:tcPr>
          <w:p w14:paraId="43698ED7">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从业人员（X）</w:t>
            </w:r>
          </w:p>
        </w:tc>
        <w:tc>
          <w:tcPr>
            <w:tcW w:w="1188" w:type="dxa"/>
            <w:tcBorders>
              <w:top w:val="nil"/>
              <w:left w:val="nil"/>
              <w:bottom w:val="single" w:color="auto" w:sz="4" w:space="0"/>
              <w:right w:val="single" w:color="auto" w:sz="4" w:space="0"/>
            </w:tcBorders>
            <w:vAlign w:val="center"/>
          </w:tcPr>
          <w:p w14:paraId="7A1D91BE">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人</w:t>
            </w:r>
          </w:p>
        </w:tc>
        <w:tc>
          <w:tcPr>
            <w:tcW w:w="2037" w:type="dxa"/>
            <w:tcBorders>
              <w:top w:val="nil"/>
              <w:left w:val="nil"/>
              <w:bottom w:val="single" w:color="auto" w:sz="4" w:space="0"/>
              <w:right w:val="single" w:color="auto" w:sz="4" w:space="0"/>
            </w:tcBorders>
            <w:vAlign w:val="center"/>
          </w:tcPr>
          <w:p w14:paraId="283306A6">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300≤X＜1000</w:t>
            </w:r>
          </w:p>
        </w:tc>
        <w:tc>
          <w:tcPr>
            <w:tcW w:w="1657" w:type="dxa"/>
            <w:tcBorders>
              <w:top w:val="nil"/>
              <w:left w:val="nil"/>
              <w:bottom w:val="single" w:color="auto" w:sz="4" w:space="0"/>
              <w:right w:val="single" w:color="auto" w:sz="4" w:space="0"/>
            </w:tcBorders>
            <w:vAlign w:val="center"/>
          </w:tcPr>
          <w:p w14:paraId="25FB5B30">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20≤X＜300</w:t>
            </w:r>
          </w:p>
        </w:tc>
        <w:tc>
          <w:tcPr>
            <w:tcW w:w="1091" w:type="dxa"/>
            <w:tcBorders>
              <w:top w:val="nil"/>
              <w:left w:val="nil"/>
              <w:bottom w:val="single" w:color="auto" w:sz="4" w:space="0"/>
              <w:right w:val="single" w:color="auto" w:sz="4" w:space="0"/>
            </w:tcBorders>
            <w:vAlign w:val="center"/>
          </w:tcPr>
          <w:p w14:paraId="54364A1E">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X＜20</w:t>
            </w:r>
          </w:p>
        </w:tc>
      </w:tr>
      <w:tr w14:paraId="320DF992">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25B056F3">
            <w:pPr>
              <w:widowControl/>
              <w:snapToGrid w:val="0"/>
              <w:contextualSpacing/>
              <w:jc w:val="center"/>
              <w:rPr>
                <w:rFonts w:hint="eastAsia" w:ascii="宋体" w:hAnsi="宋体" w:eastAsia="宋体" w:cs="宋体"/>
                <w:b/>
                <w:bCs w:val="0"/>
                <w:color w:val="000000"/>
                <w:kern w:val="0"/>
                <w:sz w:val="21"/>
                <w:szCs w:val="21"/>
                <w:highlight w:val="none"/>
              </w:rPr>
            </w:pPr>
          </w:p>
        </w:tc>
        <w:tc>
          <w:tcPr>
            <w:tcW w:w="1925" w:type="dxa"/>
            <w:tcBorders>
              <w:top w:val="nil"/>
              <w:left w:val="nil"/>
              <w:bottom w:val="single" w:color="auto" w:sz="4" w:space="0"/>
              <w:right w:val="single" w:color="auto" w:sz="4" w:space="0"/>
            </w:tcBorders>
            <w:vAlign w:val="center"/>
          </w:tcPr>
          <w:p w14:paraId="0A93FFF5">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营业收入（Y）</w:t>
            </w:r>
          </w:p>
        </w:tc>
        <w:tc>
          <w:tcPr>
            <w:tcW w:w="1188" w:type="dxa"/>
            <w:tcBorders>
              <w:top w:val="nil"/>
              <w:left w:val="nil"/>
              <w:bottom w:val="single" w:color="auto" w:sz="4" w:space="0"/>
              <w:right w:val="single" w:color="auto" w:sz="4" w:space="0"/>
            </w:tcBorders>
            <w:vAlign w:val="center"/>
          </w:tcPr>
          <w:p w14:paraId="6E2EA9D5">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万元</w:t>
            </w:r>
          </w:p>
        </w:tc>
        <w:tc>
          <w:tcPr>
            <w:tcW w:w="2037" w:type="dxa"/>
            <w:tcBorders>
              <w:top w:val="nil"/>
              <w:left w:val="nil"/>
              <w:bottom w:val="single" w:color="auto" w:sz="4" w:space="0"/>
              <w:right w:val="single" w:color="auto" w:sz="4" w:space="0"/>
            </w:tcBorders>
            <w:vAlign w:val="center"/>
          </w:tcPr>
          <w:p w14:paraId="19407088">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2000≤Y＜30000</w:t>
            </w:r>
          </w:p>
        </w:tc>
        <w:tc>
          <w:tcPr>
            <w:tcW w:w="1657" w:type="dxa"/>
            <w:tcBorders>
              <w:top w:val="nil"/>
              <w:left w:val="nil"/>
              <w:bottom w:val="single" w:color="auto" w:sz="4" w:space="0"/>
              <w:right w:val="single" w:color="auto" w:sz="4" w:space="0"/>
            </w:tcBorders>
            <w:vAlign w:val="center"/>
          </w:tcPr>
          <w:p w14:paraId="28E48219">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100≤Y＜2000</w:t>
            </w:r>
          </w:p>
        </w:tc>
        <w:tc>
          <w:tcPr>
            <w:tcW w:w="1091" w:type="dxa"/>
            <w:tcBorders>
              <w:top w:val="nil"/>
              <w:left w:val="nil"/>
              <w:bottom w:val="single" w:color="auto" w:sz="4" w:space="0"/>
              <w:right w:val="single" w:color="auto" w:sz="4" w:space="0"/>
            </w:tcBorders>
            <w:vAlign w:val="center"/>
          </w:tcPr>
          <w:p w14:paraId="39BBA620">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Y＜100</w:t>
            </w:r>
          </w:p>
        </w:tc>
      </w:tr>
      <w:tr w14:paraId="7092BB17">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1528E115">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住宿业</w:t>
            </w:r>
          </w:p>
        </w:tc>
        <w:tc>
          <w:tcPr>
            <w:tcW w:w="1925" w:type="dxa"/>
            <w:tcBorders>
              <w:top w:val="nil"/>
              <w:left w:val="nil"/>
              <w:bottom w:val="single" w:color="auto" w:sz="4" w:space="0"/>
              <w:right w:val="single" w:color="auto" w:sz="4" w:space="0"/>
            </w:tcBorders>
            <w:vAlign w:val="center"/>
          </w:tcPr>
          <w:p w14:paraId="0290097A">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从业人员（X）</w:t>
            </w:r>
          </w:p>
        </w:tc>
        <w:tc>
          <w:tcPr>
            <w:tcW w:w="1188" w:type="dxa"/>
            <w:tcBorders>
              <w:top w:val="nil"/>
              <w:left w:val="nil"/>
              <w:bottom w:val="single" w:color="auto" w:sz="4" w:space="0"/>
              <w:right w:val="single" w:color="auto" w:sz="4" w:space="0"/>
            </w:tcBorders>
            <w:vAlign w:val="center"/>
          </w:tcPr>
          <w:p w14:paraId="4228B738">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人</w:t>
            </w:r>
          </w:p>
        </w:tc>
        <w:tc>
          <w:tcPr>
            <w:tcW w:w="2037" w:type="dxa"/>
            <w:tcBorders>
              <w:top w:val="nil"/>
              <w:left w:val="nil"/>
              <w:bottom w:val="single" w:color="auto" w:sz="4" w:space="0"/>
              <w:right w:val="single" w:color="auto" w:sz="4" w:space="0"/>
            </w:tcBorders>
            <w:vAlign w:val="center"/>
          </w:tcPr>
          <w:p w14:paraId="51EF9F9F">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100≤X＜300</w:t>
            </w:r>
          </w:p>
        </w:tc>
        <w:tc>
          <w:tcPr>
            <w:tcW w:w="1657" w:type="dxa"/>
            <w:tcBorders>
              <w:top w:val="nil"/>
              <w:left w:val="nil"/>
              <w:bottom w:val="single" w:color="auto" w:sz="4" w:space="0"/>
              <w:right w:val="single" w:color="auto" w:sz="4" w:space="0"/>
            </w:tcBorders>
            <w:vAlign w:val="center"/>
          </w:tcPr>
          <w:p w14:paraId="371072B7">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10≤X＜100</w:t>
            </w:r>
          </w:p>
        </w:tc>
        <w:tc>
          <w:tcPr>
            <w:tcW w:w="1091" w:type="dxa"/>
            <w:tcBorders>
              <w:top w:val="nil"/>
              <w:left w:val="nil"/>
              <w:bottom w:val="single" w:color="auto" w:sz="4" w:space="0"/>
              <w:right w:val="single" w:color="auto" w:sz="4" w:space="0"/>
            </w:tcBorders>
            <w:vAlign w:val="center"/>
          </w:tcPr>
          <w:p w14:paraId="4C43DC0F">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X＜10</w:t>
            </w:r>
          </w:p>
        </w:tc>
      </w:tr>
      <w:tr w14:paraId="320F6908">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2C599C9C">
            <w:pPr>
              <w:widowControl/>
              <w:snapToGrid w:val="0"/>
              <w:contextualSpacing/>
              <w:jc w:val="center"/>
              <w:rPr>
                <w:rFonts w:hint="eastAsia" w:ascii="宋体" w:hAnsi="宋体" w:eastAsia="宋体" w:cs="宋体"/>
                <w:b/>
                <w:bCs w:val="0"/>
                <w:color w:val="000000"/>
                <w:kern w:val="0"/>
                <w:sz w:val="21"/>
                <w:szCs w:val="21"/>
                <w:highlight w:val="none"/>
              </w:rPr>
            </w:pPr>
          </w:p>
        </w:tc>
        <w:tc>
          <w:tcPr>
            <w:tcW w:w="1925" w:type="dxa"/>
            <w:tcBorders>
              <w:top w:val="nil"/>
              <w:left w:val="nil"/>
              <w:bottom w:val="single" w:color="auto" w:sz="4" w:space="0"/>
              <w:right w:val="single" w:color="auto" w:sz="4" w:space="0"/>
            </w:tcBorders>
            <w:vAlign w:val="center"/>
          </w:tcPr>
          <w:p w14:paraId="76FFAF51">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营业收入（Y）</w:t>
            </w:r>
          </w:p>
        </w:tc>
        <w:tc>
          <w:tcPr>
            <w:tcW w:w="1188" w:type="dxa"/>
            <w:tcBorders>
              <w:top w:val="nil"/>
              <w:left w:val="nil"/>
              <w:bottom w:val="single" w:color="auto" w:sz="4" w:space="0"/>
              <w:right w:val="single" w:color="auto" w:sz="4" w:space="0"/>
            </w:tcBorders>
            <w:vAlign w:val="center"/>
          </w:tcPr>
          <w:p w14:paraId="3BF322FF">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万元</w:t>
            </w:r>
          </w:p>
        </w:tc>
        <w:tc>
          <w:tcPr>
            <w:tcW w:w="2037" w:type="dxa"/>
            <w:tcBorders>
              <w:top w:val="nil"/>
              <w:left w:val="nil"/>
              <w:bottom w:val="single" w:color="auto" w:sz="4" w:space="0"/>
              <w:right w:val="single" w:color="auto" w:sz="4" w:space="0"/>
            </w:tcBorders>
            <w:vAlign w:val="center"/>
          </w:tcPr>
          <w:p w14:paraId="786605E3">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2000≤Y＜10000</w:t>
            </w:r>
          </w:p>
        </w:tc>
        <w:tc>
          <w:tcPr>
            <w:tcW w:w="1657" w:type="dxa"/>
            <w:tcBorders>
              <w:top w:val="nil"/>
              <w:left w:val="nil"/>
              <w:bottom w:val="single" w:color="auto" w:sz="4" w:space="0"/>
              <w:right w:val="single" w:color="auto" w:sz="4" w:space="0"/>
            </w:tcBorders>
            <w:vAlign w:val="center"/>
          </w:tcPr>
          <w:p w14:paraId="7DF158AF">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100≤Y＜2000</w:t>
            </w:r>
          </w:p>
        </w:tc>
        <w:tc>
          <w:tcPr>
            <w:tcW w:w="1091" w:type="dxa"/>
            <w:tcBorders>
              <w:top w:val="nil"/>
              <w:left w:val="nil"/>
              <w:bottom w:val="single" w:color="auto" w:sz="4" w:space="0"/>
              <w:right w:val="single" w:color="auto" w:sz="4" w:space="0"/>
            </w:tcBorders>
            <w:vAlign w:val="center"/>
          </w:tcPr>
          <w:p w14:paraId="458471BE">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Y＜100</w:t>
            </w:r>
          </w:p>
        </w:tc>
      </w:tr>
      <w:tr w14:paraId="3E256B40">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6C47ABE9">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餐饮业</w:t>
            </w:r>
          </w:p>
        </w:tc>
        <w:tc>
          <w:tcPr>
            <w:tcW w:w="1925" w:type="dxa"/>
            <w:tcBorders>
              <w:top w:val="nil"/>
              <w:left w:val="nil"/>
              <w:bottom w:val="single" w:color="auto" w:sz="4" w:space="0"/>
              <w:right w:val="single" w:color="auto" w:sz="4" w:space="0"/>
            </w:tcBorders>
            <w:vAlign w:val="center"/>
          </w:tcPr>
          <w:p w14:paraId="5A766982">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从业人员（X）</w:t>
            </w:r>
          </w:p>
        </w:tc>
        <w:tc>
          <w:tcPr>
            <w:tcW w:w="1188" w:type="dxa"/>
            <w:tcBorders>
              <w:top w:val="nil"/>
              <w:left w:val="nil"/>
              <w:bottom w:val="single" w:color="auto" w:sz="4" w:space="0"/>
              <w:right w:val="single" w:color="auto" w:sz="4" w:space="0"/>
            </w:tcBorders>
            <w:vAlign w:val="center"/>
          </w:tcPr>
          <w:p w14:paraId="2B1136E9">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人</w:t>
            </w:r>
          </w:p>
        </w:tc>
        <w:tc>
          <w:tcPr>
            <w:tcW w:w="2037" w:type="dxa"/>
            <w:tcBorders>
              <w:top w:val="nil"/>
              <w:left w:val="nil"/>
              <w:bottom w:val="single" w:color="auto" w:sz="4" w:space="0"/>
              <w:right w:val="single" w:color="auto" w:sz="4" w:space="0"/>
            </w:tcBorders>
            <w:vAlign w:val="center"/>
          </w:tcPr>
          <w:p w14:paraId="127F61C4">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100≤X＜300</w:t>
            </w:r>
          </w:p>
        </w:tc>
        <w:tc>
          <w:tcPr>
            <w:tcW w:w="1657" w:type="dxa"/>
            <w:tcBorders>
              <w:top w:val="nil"/>
              <w:left w:val="nil"/>
              <w:bottom w:val="single" w:color="auto" w:sz="4" w:space="0"/>
              <w:right w:val="single" w:color="auto" w:sz="4" w:space="0"/>
            </w:tcBorders>
            <w:vAlign w:val="center"/>
          </w:tcPr>
          <w:p w14:paraId="5204F275">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10≤X＜100</w:t>
            </w:r>
          </w:p>
        </w:tc>
        <w:tc>
          <w:tcPr>
            <w:tcW w:w="1091" w:type="dxa"/>
            <w:tcBorders>
              <w:top w:val="nil"/>
              <w:left w:val="nil"/>
              <w:bottom w:val="single" w:color="auto" w:sz="4" w:space="0"/>
              <w:right w:val="single" w:color="auto" w:sz="4" w:space="0"/>
            </w:tcBorders>
            <w:vAlign w:val="center"/>
          </w:tcPr>
          <w:p w14:paraId="68F3476A">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X＜10</w:t>
            </w:r>
          </w:p>
        </w:tc>
      </w:tr>
      <w:tr w14:paraId="5744CF49">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5B8960F0">
            <w:pPr>
              <w:widowControl/>
              <w:snapToGrid w:val="0"/>
              <w:contextualSpacing/>
              <w:jc w:val="center"/>
              <w:rPr>
                <w:rFonts w:hint="eastAsia" w:ascii="宋体" w:hAnsi="宋体" w:eastAsia="宋体" w:cs="宋体"/>
                <w:b/>
                <w:bCs w:val="0"/>
                <w:color w:val="000000"/>
                <w:kern w:val="0"/>
                <w:sz w:val="21"/>
                <w:szCs w:val="21"/>
                <w:highlight w:val="none"/>
              </w:rPr>
            </w:pPr>
          </w:p>
        </w:tc>
        <w:tc>
          <w:tcPr>
            <w:tcW w:w="1925" w:type="dxa"/>
            <w:tcBorders>
              <w:top w:val="nil"/>
              <w:left w:val="nil"/>
              <w:bottom w:val="single" w:color="auto" w:sz="4" w:space="0"/>
              <w:right w:val="single" w:color="auto" w:sz="4" w:space="0"/>
            </w:tcBorders>
            <w:vAlign w:val="center"/>
          </w:tcPr>
          <w:p w14:paraId="20744E64">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营业收入（Y）</w:t>
            </w:r>
          </w:p>
        </w:tc>
        <w:tc>
          <w:tcPr>
            <w:tcW w:w="1188" w:type="dxa"/>
            <w:tcBorders>
              <w:top w:val="nil"/>
              <w:left w:val="nil"/>
              <w:bottom w:val="single" w:color="auto" w:sz="4" w:space="0"/>
              <w:right w:val="single" w:color="auto" w:sz="4" w:space="0"/>
            </w:tcBorders>
            <w:vAlign w:val="center"/>
          </w:tcPr>
          <w:p w14:paraId="32FBC750">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万元</w:t>
            </w:r>
          </w:p>
        </w:tc>
        <w:tc>
          <w:tcPr>
            <w:tcW w:w="2037" w:type="dxa"/>
            <w:tcBorders>
              <w:top w:val="nil"/>
              <w:left w:val="nil"/>
              <w:bottom w:val="single" w:color="auto" w:sz="4" w:space="0"/>
              <w:right w:val="single" w:color="auto" w:sz="4" w:space="0"/>
            </w:tcBorders>
            <w:vAlign w:val="center"/>
          </w:tcPr>
          <w:p w14:paraId="0C518CF1">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2000≤Y＜10000</w:t>
            </w:r>
          </w:p>
        </w:tc>
        <w:tc>
          <w:tcPr>
            <w:tcW w:w="1657" w:type="dxa"/>
            <w:tcBorders>
              <w:top w:val="nil"/>
              <w:left w:val="nil"/>
              <w:bottom w:val="single" w:color="auto" w:sz="4" w:space="0"/>
              <w:right w:val="single" w:color="auto" w:sz="4" w:space="0"/>
            </w:tcBorders>
            <w:vAlign w:val="center"/>
          </w:tcPr>
          <w:p w14:paraId="2648FF50">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100≤Y＜2000</w:t>
            </w:r>
          </w:p>
        </w:tc>
        <w:tc>
          <w:tcPr>
            <w:tcW w:w="1091" w:type="dxa"/>
            <w:tcBorders>
              <w:top w:val="nil"/>
              <w:left w:val="nil"/>
              <w:bottom w:val="single" w:color="auto" w:sz="4" w:space="0"/>
              <w:right w:val="single" w:color="auto" w:sz="4" w:space="0"/>
            </w:tcBorders>
            <w:vAlign w:val="center"/>
          </w:tcPr>
          <w:p w14:paraId="3DC6CFC3">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Y＜100</w:t>
            </w:r>
          </w:p>
        </w:tc>
      </w:tr>
      <w:tr w14:paraId="249875F1">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6668C945">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信息传输业</w:t>
            </w:r>
          </w:p>
        </w:tc>
        <w:tc>
          <w:tcPr>
            <w:tcW w:w="1925" w:type="dxa"/>
            <w:tcBorders>
              <w:top w:val="nil"/>
              <w:left w:val="nil"/>
              <w:bottom w:val="single" w:color="auto" w:sz="4" w:space="0"/>
              <w:right w:val="single" w:color="auto" w:sz="4" w:space="0"/>
            </w:tcBorders>
            <w:vAlign w:val="center"/>
          </w:tcPr>
          <w:p w14:paraId="5A5D3107">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从业人员（X）</w:t>
            </w:r>
          </w:p>
        </w:tc>
        <w:tc>
          <w:tcPr>
            <w:tcW w:w="1188" w:type="dxa"/>
            <w:tcBorders>
              <w:top w:val="nil"/>
              <w:left w:val="nil"/>
              <w:bottom w:val="single" w:color="auto" w:sz="4" w:space="0"/>
              <w:right w:val="single" w:color="auto" w:sz="4" w:space="0"/>
            </w:tcBorders>
            <w:vAlign w:val="center"/>
          </w:tcPr>
          <w:p w14:paraId="603C2F03">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人</w:t>
            </w:r>
          </w:p>
        </w:tc>
        <w:tc>
          <w:tcPr>
            <w:tcW w:w="2037" w:type="dxa"/>
            <w:tcBorders>
              <w:top w:val="nil"/>
              <w:left w:val="nil"/>
              <w:bottom w:val="single" w:color="auto" w:sz="4" w:space="0"/>
              <w:right w:val="single" w:color="auto" w:sz="4" w:space="0"/>
            </w:tcBorders>
            <w:vAlign w:val="center"/>
          </w:tcPr>
          <w:p w14:paraId="649FBFEC">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100≤X＜2000</w:t>
            </w:r>
          </w:p>
        </w:tc>
        <w:tc>
          <w:tcPr>
            <w:tcW w:w="1657" w:type="dxa"/>
            <w:tcBorders>
              <w:top w:val="nil"/>
              <w:left w:val="nil"/>
              <w:bottom w:val="single" w:color="auto" w:sz="4" w:space="0"/>
              <w:right w:val="single" w:color="auto" w:sz="4" w:space="0"/>
            </w:tcBorders>
            <w:vAlign w:val="center"/>
          </w:tcPr>
          <w:p w14:paraId="6044A938">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10≤X＜100</w:t>
            </w:r>
          </w:p>
        </w:tc>
        <w:tc>
          <w:tcPr>
            <w:tcW w:w="1091" w:type="dxa"/>
            <w:tcBorders>
              <w:top w:val="nil"/>
              <w:left w:val="nil"/>
              <w:bottom w:val="single" w:color="auto" w:sz="4" w:space="0"/>
              <w:right w:val="single" w:color="auto" w:sz="4" w:space="0"/>
            </w:tcBorders>
            <w:vAlign w:val="center"/>
          </w:tcPr>
          <w:p w14:paraId="66CC843E">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X＜10</w:t>
            </w:r>
          </w:p>
        </w:tc>
      </w:tr>
      <w:tr w14:paraId="4E3B3862">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6E4329B7">
            <w:pPr>
              <w:widowControl/>
              <w:snapToGrid w:val="0"/>
              <w:contextualSpacing/>
              <w:jc w:val="center"/>
              <w:rPr>
                <w:rFonts w:hint="eastAsia" w:ascii="宋体" w:hAnsi="宋体" w:eastAsia="宋体" w:cs="宋体"/>
                <w:b/>
                <w:bCs w:val="0"/>
                <w:color w:val="000000"/>
                <w:kern w:val="0"/>
                <w:sz w:val="21"/>
                <w:szCs w:val="21"/>
                <w:highlight w:val="none"/>
              </w:rPr>
            </w:pPr>
          </w:p>
        </w:tc>
        <w:tc>
          <w:tcPr>
            <w:tcW w:w="1925" w:type="dxa"/>
            <w:tcBorders>
              <w:top w:val="nil"/>
              <w:left w:val="nil"/>
              <w:bottom w:val="single" w:color="auto" w:sz="4" w:space="0"/>
              <w:right w:val="single" w:color="auto" w:sz="4" w:space="0"/>
            </w:tcBorders>
            <w:vAlign w:val="center"/>
          </w:tcPr>
          <w:p w14:paraId="1FE170C3">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营业收入（Y）</w:t>
            </w:r>
          </w:p>
        </w:tc>
        <w:tc>
          <w:tcPr>
            <w:tcW w:w="1188" w:type="dxa"/>
            <w:tcBorders>
              <w:top w:val="nil"/>
              <w:left w:val="nil"/>
              <w:bottom w:val="single" w:color="auto" w:sz="4" w:space="0"/>
              <w:right w:val="single" w:color="auto" w:sz="4" w:space="0"/>
            </w:tcBorders>
            <w:vAlign w:val="center"/>
          </w:tcPr>
          <w:p w14:paraId="795A562B">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万元</w:t>
            </w:r>
          </w:p>
        </w:tc>
        <w:tc>
          <w:tcPr>
            <w:tcW w:w="2037" w:type="dxa"/>
            <w:tcBorders>
              <w:top w:val="nil"/>
              <w:left w:val="nil"/>
              <w:bottom w:val="single" w:color="auto" w:sz="4" w:space="0"/>
              <w:right w:val="single" w:color="auto" w:sz="4" w:space="0"/>
            </w:tcBorders>
            <w:vAlign w:val="center"/>
          </w:tcPr>
          <w:p w14:paraId="5530A2DA">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1000≤Y＜100000</w:t>
            </w:r>
          </w:p>
        </w:tc>
        <w:tc>
          <w:tcPr>
            <w:tcW w:w="1657" w:type="dxa"/>
            <w:tcBorders>
              <w:top w:val="nil"/>
              <w:left w:val="nil"/>
              <w:bottom w:val="single" w:color="auto" w:sz="4" w:space="0"/>
              <w:right w:val="single" w:color="auto" w:sz="4" w:space="0"/>
            </w:tcBorders>
            <w:vAlign w:val="center"/>
          </w:tcPr>
          <w:p w14:paraId="50114DF1">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100≤Y＜1000</w:t>
            </w:r>
          </w:p>
        </w:tc>
        <w:tc>
          <w:tcPr>
            <w:tcW w:w="1091" w:type="dxa"/>
            <w:tcBorders>
              <w:top w:val="nil"/>
              <w:left w:val="nil"/>
              <w:bottom w:val="single" w:color="auto" w:sz="4" w:space="0"/>
              <w:right w:val="single" w:color="auto" w:sz="4" w:space="0"/>
            </w:tcBorders>
            <w:vAlign w:val="center"/>
          </w:tcPr>
          <w:p w14:paraId="7548BF97">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Y＜100</w:t>
            </w:r>
          </w:p>
        </w:tc>
      </w:tr>
      <w:tr w14:paraId="34F4D0CB">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55D7AD1B">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软件和信息技术服务业</w:t>
            </w:r>
          </w:p>
        </w:tc>
        <w:tc>
          <w:tcPr>
            <w:tcW w:w="1925" w:type="dxa"/>
            <w:tcBorders>
              <w:top w:val="nil"/>
              <w:left w:val="nil"/>
              <w:bottom w:val="single" w:color="auto" w:sz="4" w:space="0"/>
              <w:right w:val="single" w:color="auto" w:sz="4" w:space="0"/>
            </w:tcBorders>
            <w:vAlign w:val="center"/>
          </w:tcPr>
          <w:p w14:paraId="4C57F39B">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从业人员（X）</w:t>
            </w:r>
          </w:p>
        </w:tc>
        <w:tc>
          <w:tcPr>
            <w:tcW w:w="1188" w:type="dxa"/>
            <w:tcBorders>
              <w:top w:val="nil"/>
              <w:left w:val="nil"/>
              <w:bottom w:val="single" w:color="auto" w:sz="4" w:space="0"/>
              <w:right w:val="single" w:color="auto" w:sz="4" w:space="0"/>
            </w:tcBorders>
            <w:vAlign w:val="center"/>
          </w:tcPr>
          <w:p w14:paraId="2BD7C079">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人</w:t>
            </w:r>
          </w:p>
        </w:tc>
        <w:tc>
          <w:tcPr>
            <w:tcW w:w="2037" w:type="dxa"/>
            <w:tcBorders>
              <w:top w:val="nil"/>
              <w:left w:val="nil"/>
              <w:bottom w:val="single" w:color="auto" w:sz="4" w:space="0"/>
              <w:right w:val="single" w:color="auto" w:sz="4" w:space="0"/>
            </w:tcBorders>
            <w:vAlign w:val="center"/>
          </w:tcPr>
          <w:p w14:paraId="74DD8F72">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100≤X＜300</w:t>
            </w:r>
          </w:p>
        </w:tc>
        <w:tc>
          <w:tcPr>
            <w:tcW w:w="1657" w:type="dxa"/>
            <w:tcBorders>
              <w:top w:val="nil"/>
              <w:left w:val="nil"/>
              <w:bottom w:val="single" w:color="auto" w:sz="4" w:space="0"/>
              <w:right w:val="single" w:color="auto" w:sz="4" w:space="0"/>
            </w:tcBorders>
            <w:vAlign w:val="center"/>
          </w:tcPr>
          <w:p w14:paraId="04C3BC6F">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10≤X＜100</w:t>
            </w:r>
          </w:p>
        </w:tc>
        <w:tc>
          <w:tcPr>
            <w:tcW w:w="1091" w:type="dxa"/>
            <w:tcBorders>
              <w:top w:val="nil"/>
              <w:left w:val="nil"/>
              <w:bottom w:val="single" w:color="auto" w:sz="4" w:space="0"/>
              <w:right w:val="single" w:color="auto" w:sz="4" w:space="0"/>
            </w:tcBorders>
            <w:vAlign w:val="center"/>
          </w:tcPr>
          <w:p w14:paraId="0417CDA4">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X＜10</w:t>
            </w:r>
          </w:p>
        </w:tc>
      </w:tr>
      <w:tr w14:paraId="3DC68B5C">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70F26C78">
            <w:pPr>
              <w:widowControl/>
              <w:snapToGrid w:val="0"/>
              <w:contextualSpacing/>
              <w:jc w:val="center"/>
              <w:rPr>
                <w:rFonts w:hint="eastAsia" w:ascii="宋体" w:hAnsi="宋体" w:eastAsia="宋体" w:cs="宋体"/>
                <w:b/>
                <w:bCs w:val="0"/>
                <w:color w:val="000000"/>
                <w:kern w:val="0"/>
                <w:sz w:val="21"/>
                <w:szCs w:val="21"/>
                <w:highlight w:val="none"/>
              </w:rPr>
            </w:pPr>
          </w:p>
        </w:tc>
        <w:tc>
          <w:tcPr>
            <w:tcW w:w="1925" w:type="dxa"/>
            <w:tcBorders>
              <w:top w:val="nil"/>
              <w:left w:val="nil"/>
              <w:bottom w:val="single" w:color="auto" w:sz="4" w:space="0"/>
              <w:right w:val="single" w:color="auto" w:sz="4" w:space="0"/>
            </w:tcBorders>
            <w:vAlign w:val="center"/>
          </w:tcPr>
          <w:p w14:paraId="547DA529">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营业收入（Y）</w:t>
            </w:r>
          </w:p>
        </w:tc>
        <w:tc>
          <w:tcPr>
            <w:tcW w:w="1188" w:type="dxa"/>
            <w:tcBorders>
              <w:top w:val="nil"/>
              <w:left w:val="nil"/>
              <w:bottom w:val="single" w:color="auto" w:sz="4" w:space="0"/>
              <w:right w:val="single" w:color="auto" w:sz="4" w:space="0"/>
            </w:tcBorders>
            <w:vAlign w:val="center"/>
          </w:tcPr>
          <w:p w14:paraId="3C00B193">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万元</w:t>
            </w:r>
          </w:p>
        </w:tc>
        <w:tc>
          <w:tcPr>
            <w:tcW w:w="2037" w:type="dxa"/>
            <w:tcBorders>
              <w:top w:val="nil"/>
              <w:left w:val="nil"/>
              <w:bottom w:val="single" w:color="auto" w:sz="4" w:space="0"/>
              <w:right w:val="single" w:color="auto" w:sz="4" w:space="0"/>
            </w:tcBorders>
            <w:vAlign w:val="center"/>
          </w:tcPr>
          <w:p w14:paraId="34D71D2D">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1000≤Y＜10000</w:t>
            </w:r>
          </w:p>
        </w:tc>
        <w:tc>
          <w:tcPr>
            <w:tcW w:w="1657" w:type="dxa"/>
            <w:tcBorders>
              <w:top w:val="nil"/>
              <w:left w:val="nil"/>
              <w:bottom w:val="single" w:color="auto" w:sz="4" w:space="0"/>
              <w:right w:val="single" w:color="auto" w:sz="4" w:space="0"/>
            </w:tcBorders>
            <w:vAlign w:val="center"/>
          </w:tcPr>
          <w:p w14:paraId="769B103A">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50≤Y＜1000</w:t>
            </w:r>
          </w:p>
        </w:tc>
        <w:tc>
          <w:tcPr>
            <w:tcW w:w="1091" w:type="dxa"/>
            <w:tcBorders>
              <w:top w:val="nil"/>
              <w:left w:val="nil"/>
              <w:bottom w:val="single" w:color="auto" w:sz="4" w:space="0"/>
              <w:right w:val="single" w:color="auto" w:sz="4" w:space="0"/>
            </w:tcBorders>
            <w:vAlign w:val="center"/>
          </w:tcPr>
          <w:p w14:paraId="0D3E280C">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Y＜50</w:t>
            </w:r>
          </w:p>
        </w:tc>
      </w:tr>
      <w:tr w14:paraId="424D9D84">
        <w:tblPrEx>
          <w:tblCellMar>
            <w:top w:w="0" w:type="dxa"/>
            <w:left w:w="108" w:type="dxa"/>
            <w:bottom w:w="0" w:type="dxa"/>
            <w:right w:w="108" w:type="dxa"/>
          </w:tblCellMar>
        </w:tblPrEx>
        <w:trPr>
          <w:trHeight w:val="401"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2AFB0BC3">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房地产开发经营</w:t>
            </w:r>
          </w:p>
        </w:tc>
        <w:tc>
          <w:tcPr>
            <w:tcW w:w="1925" w:type="dxa"/>
            <w:tcBorders>
              <w:top w:val="nil"/>
              <w:left w:val="nil"/>
              <w:bottom w:val="single" w:color="auto" w:sz="4" w:space="0"/>
              <w:right w:val="single" w:color="auto" w:sz="4" w:space="0"/>
            </w:tcBorders>
            <w:vAlign w:val="center"/>
          </w:tcPr>
          <w:p w14:paraId="45FC34C5">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营业收入（Y）</w:t>
            </w:r>
          </w:p>
        </w:tc>
        <w:tc>
          <w:tcPr>
            <w:tcW w:w="1188" w:type="dxa"/>
            <w:tcBorders>
              <w:top w:val="nil"/>
              <w:left w:val="nil"/>
              <w:bottom w:val="single" w:color="auto" w:sz="4" w:space="0"/>
              <w:right w:val="single" w:color="auto" w:sz="4" w:space="0"/>
            </w:tcBorders>
            <w:vAlign w:val="center"/>
          </w:tcPr>
          <w:p w14:paraId="1EADE98F">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万元</w:t>
            </w:r>
          </w:p>
        </w:tc>
        <w:tc>
          <w:tcPr>
            <w:tcW w:w="2037" w:type="dxa"/>
            <w:tcBorders>
              <w:top w:val="nil"/>
              <w:left w:val="nil"/>
              <w:bottom w:val="single" w:color="auto" w:sz="4" w:space="0"/>
              <w:right w:val="single" w:color="auto" w:sz="4" w:space="0"/>
            </w:tcBorders>
            <w:vAlign w:val="center"/>
          </w:tcPr>
          <w:p w14:paraId="4F412F00">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1000≤Y＜200000</w:t>
            </w:r>
          </w:p>
        </w:tc>
        <w:tc>
          <w:tcPr>
            <w:tcW w:w="1657" w:type="dxa"/>
            <w:tcBorders>
              <w:top w:val="nil"/>
              <w:left w:val="nil"/>
              <w:bottom w:val="single" w:color="auto" w:sz="4" w:space="0"/>
              <w:right w:val="single" w:color="auto" w:sz="4" w:space="0"/>
            </w:tcBorders>
            <w:vAlign w:val="center"/>
          </w:tcPr>
          <w:p w14:paraId="2DA0F23D">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100≤X＜1000</w:t>
            </w:r>
          </w:p>
        </w:tc>
        <w:tc>
          <w:tcPr>
            <w:tcW w:w="1091" w:type="dxa"/>
            <w:tcBorders>
              <w:top w:val="nil"/>
              <w:left w:val="nil"/>
              <w:bottom w:val="single" w:color="auto" w:sz="4" w:space="0"/>
              <w:right w:val="single" w:color="auto" w:sz="4" w:space="0"/>
            </w:tcBorders>
            <w:vAlign w:val="center"/>
          </w:tcPr>
          <w:p w14:paraId="1E43A4A4">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X＜100</w:t>
            </w:r>
          </w:p>
        </w:tc>
      </w:tr>
      <w:tr w14:paraId="0C82F679">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1ED86200">
            <w:pPr>
              <w:widowControl/>
              <w:snapToGrid w:val="0"/>
              <w:contextualSpacing/>
              <w:jc w:val="center"/>
              <w:rPr>
                <w:rFonts w:hint="eastAsia" w:ascii="宋体" w:hAnsi="宋体" w:eastAsia="宋体" w:cs="宋体"/>
                <w:b/>
                <w:bCs w:val="0"/>
                <w:color w:val="000000"/>
                <w:kern w:val="0"/>
                <w:sz w:val="21"/>
                <w:szCs w:val="21"/>
                <w:highlight w:val="none"/>
              </w:rPr>
            </w:pPr>
          </w:p>
        </w:tc>
        <w:tc>
          <w:tcPr>
            <w:tcW w:w="1925" w:type="dxa"/>
            <w:tcBorders>
              <w:top w:val="nil"/>
              <w:left w:val="nil"/>
              <w:bottom w:val="single" w:color="auto" w:sz="4" w:space="0"/>
              <w:right w:val="single" w:color="auto" w:sz="4" w:space="0"/>
            </w:tcBorders>
            <w:vAlign w:val="center"/>
          </w:tcPr>
          <w:p w14:paraId="4A17BF37">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资产总额（Z）</w:t>
            </w:r>
          </w:p>
        </w:tc>
        <w:tc>
          <w:tcPr>
            <w:tcW w:w="1188" w:type="dxa"/>
            <w:tcBorders>
              <w:top w:val="nil"/>
              <w:left w:val="nil"/>
              <w:bottom w:val="single" w:color="auto" w:sz="4" w:space="0"/>
              <w:right w:val="single" w:color="auto" w:sz="4" w:space="0"/>
            </w:tcBorders>
            <w:vAlign w:val="center"/>
          </w:tcPr>
          <w:p w14:paraId="0A50647B">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万元</w:t>
            </w:r>
          </w:p>
        </w:tc>
        <w:tc>
          <w:tcPr>
            <w:tcW w:w="2037" w:type="dxa"/>
            <w:tcBorders>
              <w:top w:val="nil"/>
              <w:left w:val="nil"/>
              <w:bottom w:val="single" w:color="auto" w:sz="4" w:space="0"/>
              <w:right w:val="single" w:color="auto" w:sz="4" w:space="0"/>
            </w:tcBorders>
            <w:vAlign w:val="center"/>
          </w:tcPr>
          <w:p w14:paraId="1A1D45DA">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5000≤Z＜10000</w:t>
            </w:r>
          </w:p>
        </w:tc>
        <w:tc>
          <w:tcPr>
            <w:tcW w:w="1657" w:type="dxa"/>
            <w:tcBorders>
              <w:top w:val="nil"/>
              <w:left w:val="nil"/>
              <w:bottom w:val="single" w:color="auto" w:sz="4" w:space="0"/>
              <w:right w:val="single" w:color="auto" w:sz="4" w:space="0"/>
            </w:tcBorders>
            <w:vAlign w:val="center"/>
          </w:tcPr>
          <w:p w14:paraId="46CF84A8">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2000≤Y＜5000</w:t>
            </w:r>
          </w:p>
        </w:tc>
        <w:tc>
          <w:tcPr>
            <w:tcW w:w="1091" w:type="dxa"/>
            <w:tcBorders>
              <w:top w:val="nil"/>
              <w:left w:val="nil"/>
              <w:bottom w:val="single" w:color="auto" w:sz="4" w:space="0"/>
              <w:right w:val="single" w:color="auto" w:sz="4" w:space="0"/>
            </w:tcBorders>
            <w:vAlign w:val="center"/>
          </w:tcPr>
          <w:p w14:paraId="3751CBC8">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Y＜2000</w:t>
            </w:r>
          </w:p>
        </w:tc>
      </w:tr>
      <w:tr w14:paraId="3CD3275A">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5C8AFE12">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物业管理</w:t>
            </w:r>
          </w:p>
        </w:tc>
        <w:tc>
          <w:tcPr>
            <w:tcW w:w="1925" w:type="dxa"/>
            <w:tcBorders>
              <w:top w:val="nil"/>
              <w:left w:val="nil"/>
              <w:bottom w:val="single" w:color="auto" w:sz="4" w:space="0"/>
              <w:right w:val="single" w:color="auto" w:sz="4" w:space="0"/>
            </w:tcBorders>
            <w:vAlign w:val="center"/>
          </w:tcPr>
          <w:p w14:paraId="6BA5FC9C">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从业人员（X）</w:t>
            </w:r>
          </w:p>
        </w:tc>
        <w:tc>
          <w:tcPr>
            <w:tcW w:w="1188" w:type="dxa"/>
            <w:tcBorders>
              <w:top w:val="nil"/>
              <w:left w:val="nil"/>
              <w:bottom w:val="single" w:color="auto" w:sz="4" w:space="0"/>
              <w:right w:val="single" w:color="auto" w:sz="4" w:space="0"/>
            </w:tcBorders>
            <w:vAlign w:val="center"/>
          </w:tcPr>
          <w:p w14:paraId="42209A9F">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人</w:t>
            </w:r>
          </w:p>
        </w:tc>
        <w:tc>
          <w:tcPr>
            <w:tcW w:w="2037" w:type="dxa"/>
            <w:tcBorders>
              <w:top w:val="nil"/>
              <w:left w:val="nil"/>
              <w:bottom w:val="single" w:color="auto" w:sz="4" w:space="0"/>
              <w:right w:val="single" w:color="auto" w:sz="4" w:space="0"/>
            </w:tcBorders>
            <w:vAlign w:val="center"/>
          </w:tcPr>
          <w:p w14:paraId="513F8FE4">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300≤X＜1000</w:t>
            </w:r>
          </w:p>
        </w:tc>
        <w:tc>
          <w:tcPr>
            <w:tcW w:w="1657" w:type="dxa"/>
            <w:tcBorders>
              <w:top w:val="nil"/>
              <w:left w:val="nil"/>
              <w:bottom w:val="single" w:color="auto" w:sz="4" w:space="0"/>
              <w:right w:val="single" w:color="auto" w:sz="4" w:space="0"/>
            </w:tcBorders>
            <w:vAlign w:val="center"/>
          </w:tcPr>
          <w:p w14:paraId="4F255A64">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100≤X＜300</w:t>
            </w:r>
          </w:p>
        </w:tc>
        <w:tc>
          <w:tcPr>
            <w:tcW w:w="1091" w:type="dxa"/>
            <w:tcBorders>
              <w:top w:val="nil"/>
              <w:left w:val="nil"/>
              <w:bottom w:val="single" w:color="auto" w:sz="4" w:space="0"/>
              <w:right w:val="single" w:color="auto" w:sz="4" w:space="0"/>
            </w:tcBorders>
            <w:vAlign w:val="center"/>
          </w:tcPr>
          <w:p w14:paraId="7E7AF804">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X＜100</w:t>
            </w:r>
          </w:p>
        </w:tc>
      </w:tr>
      <w:tr w14:paraId="5796267E">
        <w:tblPrEx>
          <w:tblCellMar>
            <w:top w:w="0" w:type="dxa"/>
            <w:left w:w="108" w:type="dxa"/>
            <w:bottom w:w="0" w:type="dxa"/>
            <w:right w:w="108" w:type="dxa"/>
          </w:tblCellMar>
        </w:tblPrEx>
        <w:trPr>
          <w:trHeight w:val="272"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1AFD9C03">
            <w:pPr>
              <w:widowControl/>
              <w:snapToGrid w:val="0"/>
              <w:contextualSpacing/>
              <w:jc w:val="center"/>
              <w:rPr>
                <w:rFonts w:hint="eastAsia" w:ascii="宋体" w:hAnsi="宋体" w:eastAsia="宋体" w:cs="宋体"/>
                <w:b/>
                <w:bCs w:val="0"/>
                <w:color w:val="000000"/>
                <w:kern w:val="0"/>
                <w:sz w:val="21"/>
                <w:szCs w:val="21"/>
                <w:highlight w:val="none"/>
              </w:rPr>
            </w:pPr>
          </w:p>
        </w:tc>
        <w:tc>
          <w:tcPr>
            <w:tcW w:w="1925" w:type="dxa"/>
            <w:tcBorders>
              <w:top w:val="nil"/>
              <w:left w:val="nil"/>
              <w:bottom w:val="single" w:color="auto" w:sz="4" w:space="0"/>
              <w:right w:val="single" w:color="auto" w:sz="4" w:space="0"/>
            </w:tcBorders>
            <w:vAlign w:val="center"/>
          </w:tcPr>
          <w:p w14:paraId="4565F8E1">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营业收入（Y）</w:t>
            </w:r>
          </w:p>
        </w:tc>
        <w:tc>
          <w:tcPr>
            <w:tcW w:w="1188" w:type="dxa"/>
            <w:tcBorders>
              <w:top w:val="nil"/>
              <w:left w:val="nil"/>
              <w:bottom w:val="single" w:color="auto" w:sz="4" w:space="0"/>
              <w:right w:val="single" w:color="auto" w:sz="4" w:space="0"/>
            </w:tcBorders>
            <w:vAlign w:val="center"/>
          </w:tcPr>
          <w:p w14:paraId="7CFFCD23">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万元</w:t>
            </w:r>
          </w:p>
        </w:tc>
        <w:tc>
          <w:tcPr>
            <w:tcW w:w="2037" w:type="dxa"/>
            <w:tcBorders>
              <w:top w:val="nil"/>
              <w:left w:val="nil"/>
              <w:bottom w:val="single" w:color="auto" w:sz="4" w:space="0"/>
              <w:right w:val="single" w:color="auto" w:sz="4" w:space="0"/>
            </w:tcBorders>
            <w:vAlign w:val="center"/>
          </w:tcPr>
          <w:p w14:paraId="138B4C99">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1000≤Y＜5000</w:t>
            </w:r>
          </w:p>
        </w:tc>
        <w:tc>
          <w:tcPr>
            <w:tcW w:w="1657" w:type="dxa"/>
            <w:tcBorders>
              <w:top w:val="nil"/>
              <w:left w:val="nil"/>
              <w:bottom w:val="single" w:color="auto" w:sz="4" w:space="0"/>
              <w:right w:val="single" w:color="auto" w:sz="4" w:space="0"/>
            </w:tcBorders>
            <w:vAlign w:val="center"/>
          </w:tcPr>
          <w:p w14:paraId="49BA4018">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500≤Y＜1000</w:t>
            </w:r>
          </w:p>
        </w:tc>
        <w:tc>
          <w:tcPr>
            <w:tcW w:w="1091" w:type="dxa"/>
            <w:tcBorders>
              <w:top w:val="nil"/>
              <w:left w:val="nil"/>
              <w:bottom w:val="single" w:color="auto" w:sz="4" w:space="0"/>
              <w:right w:val="single" w:color="auto" w:sz="4" w:space="0"/>
            </w:tcBorders>
            <w:vAlign w:val="center"/>
          </w:tcPr>
          <w:p w14:paraId="484DEC52">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Y＜500</w:t>
            </w:r>
          </w:p>
        </w:tc>
      </w:tr>
      <w:tr w14:paraId="29CFA9EF">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2A20B525">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租赁和商务服务业</w:t>
            </w:r>
          </w:p>
        </w:tc>
        <w:tc>
          <w:tcPr>
            <w:tcW w:w="1925" w:type="dxa"/>
            <w:tcBorders>
              <w:top w:val="nil"/>
              <w:left w:val="nil"/>
              <w:bottom w:val="single" w:color="auto" w:sz="4" w:space="0"/>
              <w:right w:val="single" w:color="auto" w:sz="4" w:space="0"/>
            </w:tcBorders>
            <w:vAlign w:val="center"/>
          </w:tcPr>
          <w:p w14:paraId="1002A799">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从业人员（X）</w:t>
            </w:r>
          </w:p>
        </w:tc>
        <w:tc>
          <w:tcPr>
            <w:tcW w:w="1188" w:type="dxa"/>
            <w:tcBorders>
              <w:top w:val="nil"/>
              <w:left w:val="nil"/>
              <w:bottom w:val="single" w:color="auto" w:sz="4" w:space="0"/>
              <w:right w:val="single" w:color="auto" w:sz="4" w:space="0"/>
            </w:tcBorders>
            <w:vAlign w:val="center"/>
          </w:tcPr>
          <w:p w14:paraId="2BEE8B2C">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人</w:t>
            </w:r>
          </w:p>
        </w:tc>
        <w:tc>
          <w:tcPr>
            <w:tcW w:w="2037" w:type="dxa"/>
            <w:tcBorders>
              <w:top w:val="nil"/>
              <w:left w:val="nil"/>
              <w:bottom w:val="single" w:color="auto" w:sz="4" w:space="0"/>
              <w:right w:val="single" w:color="auto" w:sz="4" w:space="0"/>
            </w:tcBorders>
            <w:vAlign w:val="center"/>
          </w:tcPr>
          <w:p w14:paraId="5A128DB7">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100≤X＜300</w:t>
            </w:r>
          </w:p>
        </w:tc>
        <w:tc>
          <w:tcPr>
            <w:tcW w:w="1657" w:type="dxa"/>
            <w:tcBorders>
              <w:top w:val="nil"/>
              <w:left w:val="nil"/>
              <w:bottom w:val="single" w:color="auto" w:sz="4" w:space="0"/>
              <w:right w:val="single" w:color="auto" w:sz="4" w:space="0"/>
            </w:tcBorders>
            <w:vAlign w:val="center"/>
          </w:tcPr>
          <w:p w14:paraId="08136F39">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10≤X＜100</w:t>
            </w:r>
          </w:p>
        </w:tc>
        <w:tc>
          <w:tcPr>
            <w:tcW w:w="1091" w:type="dxa"/>
            <w:tcBorders>
              <w:top w:val="nil"/>
              <w:left w:val="nil"/>
              <w:bottom w:val="single" w:color="auto" w:sz="4" w:space="0"/>
              <w:right w:val="single" w:color="auto" w:sz="4" w:space="0"/>
            </w:tcBorders>
            <w:vAlign w:val="center"/>
          </w:tcPr>
          <w:p w14:paraId="2B1B7C23">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X＜10</w:t>
            </w:r>
          </w:p>
        </w:tc>
      </w:tr>
      <w:tr w14:paraId="3D2F8F0A">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159D923D">
            <w:pPr>
              <w:widowControl/>
              <w:snapToGrid w:val="0"/>
              <w:contextualSpacing/>
              <w:jc w:val="center"/>
              <w:rPr>
                <w:rFonts w:hint="eastAsia" w:ascii="宋体" w:hAnsi="宋体" w:eastAsia="宋体" w:cs="宋体"/>
                <w:b/>
                <w:bCs w:val="0"/>
                <w:color w:val="000000"/>
                <w:kern w:val="0"/>
                <w:sz w:val="21"/>
                <w:szCs w:val="21"/>
                <w:highlight w:val="none"/>
              </w:rPr>
            </w:pPr>
          </w:p>
        </w:tc>
        <w:tc>
          <w:tcPr>
            <w:tcW w:w="1925" w:type="dxa"/>
            <w:tcBorders>
              <w:top w:val="nil"/>
              <w:left w:val="nil"/>
              <w:bottom w:val="single" w:color="auto" w:sz="4" w:space="0"/>
              <w:right w:val="single" w:color="auto" w:sz="4" w:space="0"/>
            </w:tcBorders>
            <w:vAlign w:val="center"/>
          </w:tcPr>
          <w:p w14:paraId="06FF3F17">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资产总额（Z）</w:t>
            </w:r>
          </w:p>
        </w:tc>
        <w:tc>
          <w:tcPr>
            <w:tcW w:w="1188" w:type="dxa"/>
            <w:tcBorders>
              <w:top w:val="nil"/>
              <w:left w:val="nil"/>
              <w:bottom w:val="single" w:color="auto" w:sz="4" w:space="0"/>
              <w:right w:val="single" w:color="auto" w:sz="4" w:space="0"/>
            </w:tcBorders>
            <w:vAlign w:val="center"/>
          </w:tcPr>
          <w:p w14:paraId="26F6A537">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万元</w:t>
            </w:r>
          </w:p>
        </w:tc>
        <w:tc>
          <w:tcPr>
            <w:tcW w:w="2037" w:type="dxa"/>
            <w:tcBorders>
              <w:top w:val="nil"/>
              <w:left w:val="nil"/>
              <w:bottom w:val="single" w:color="auto" w:sz="4" w:space="0"/>
              <w:right w:val="single" w:color="auto" w:sz="4" w:space="0"/>
            </w:tcBorders>
            <w:vAlign w:val="center"/>
          </w:tcPr>
          <w:p w14:paraId="31F0D2B8">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8000≤Z＜120000</w:t>
            </w:r>
          </w:p>
        </w:tc>
        <w:tc>
          <w:tcPr>
            <w:tcW w:w="1657" w:type="dxa"/>
            <w:tcBorders>
              <w:top w:val="nil"/>
              <w:left w:val="nil"/>
              <w:bottom w:val="single" w:color="auto" w:sz="4" w:space="0"/>
              <w:right w:val="single" w:color="auto" w:sz="4" w:space="0"/>
            </w:tcBorders>
            <w:vAlign w:val="center"/>
          </w:tcPr>
          <w:p w14:paraId="5D4AAD9B">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100≤Z＜8000</w:t>
            </w:r>
          </w:p>
        </w:tc>
        <w:tc>
          <w:tcPr>
            <w:tcW w:w="1091" w:type="dxa"/>
            <w:tcBorders>
              <w:top w:val="nil"/>
              <w:left w:val="nil"/>
              <w:bottom w:val="single" w:color="auto" w:sz="4" w:space="0"/>
              <w:right w:val="single" w:color="auto" w:sz="4" w:space="0"/>
            </w:tcBorders>
            <w:vAlign w:val="center"/>
          </w:tcPr>
          <w:p w14:paraId="3F5943F5">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Y＜100</w:t>
            </w:r>
          </w:p>
        </w:tc>
      </w:tr>
      <w:tr w14:paraId="524ECAAC">
        <w:tblPrEx>
          <w:tblCellMar>
            <w:top w:w="0" w:type="dxa"/>
            <w:left w:w="108" w:type="dxa"/>
            <w:bottom w:w="0" w:type="dxa"/>
            <w:right w:w="108" w:type="dxa"/>
          </w:tblCellMar>
        </w:tblPrEx>
        <w:trPr>
          <w:trHeight w:val="543" w:hRule="atLeast"/>
          <w:jc w:val="center"/>
        </w:trPr>
        <w:tc>
          <w:tcPr>
            <w:tcW w:w="1358" w:type="dxa"/>
            <w:tcBorders>
              <w:top w:val="nil"/>
              <w:left w:val="single" w:color="auto" w:sz="4" w:space="0"/>
              <w:bottom w:val="single" w:color="auto" w:sz="4" w:space="0"/>
              <w:right w:val="single" w:color="auto" w:sz="4" w:space="0"/>
            </w:tcBorders>
            <w:vAlign w:val="center"/>
          </w:tcPr>
          <w:p w14:paraId="106654CA">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其他未列明行业</w:t>
            </w:r>
          </w:p>
        </w:tc>
        <w:tc>
          <w:tcPr>
            <w:tcW w:w="1925" w:type="dxa"/>
            <w:tcBorders>
              <w:top w:val="nil"/>
              <w:left w:val="nil"/>
              <w:bottom w:val="single" w:color="auto" w:sz="4" w:space="0"/>
              <w:right w:val="single" w:color="auto" w:sz="4" w:space="0"/>
            </w:tcBorders>
            <w:vAlign w:val="center"/>
          </w:tcPr>
          <w:p w14:paraId="1B26E79A">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从业人员（X）</w:t>
            </w:r>
          </w:p>
        </w:tc>
        <w:tc>
          <w:tcPr>
            <w:tcW w:w="1188" w:type="dxa"/>
            <w:tcBorders>
              <w:top w:val="nil"/>
              <w:left w:val="nil"/>
              <w:bottom w:val="single" w:color="auto" w:sz="4" w:space="0"/>
              <w:right w:val="single" w:color="auto" w:sz="4" w:space="0"/>
            </w:tcBorders>
            <w:vAlign w:val="center"/>
          </w:tcPr>
          <w:p w14:paraId="49216A00">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人</w:t>
            </w:r>
          </w:p>
        </w:tc>
        <w:tc>
          <w:tcPr>
            <w:tcW w:w="2037" w:type="dxa"/>
            <w:tcBorders>
              <w:top w:val="nil"/>
              <w:left w:val="nil"/>
              <w:bottom w:val="single" w:color="auto" w:sz="4" w:space="0"/>
              <w:right w:val="single" w:color="auto" w:sz="4" w:space="0"/>
            </w:tcBorders>
            <w:vAlign w:val="center"/>
          </w:tcPr>
          <w:p w14:paraId="1DCE8047">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100≤X＜300</w:t>
            </w:r>
          </w:p>
        </w:tc>
        <w:tc>
          <w:tcPr>
            <w:tcW w:w="1657" w:type="dxa"/>
            <w:tcBorders>
              <w:top w:val="nil"/>
              <w:left w:val="nil"/>
              <w:bottom w:val="single" w:color="auto" w:sz="4" w:space="0"/>
              <w:right w:val="single" w:color="auto" w:sz="4" w:space="0"/>
            </w:tcBorders>
            <w:vAlign w:val="center"/>
          </w:tcPr>
          <w:p w14:paraId="55088786">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10≤X＜100</w:t>
            </w:r>
          </w:p>
        </w:tc>
        <w:tc>
          <w:tcPr>
            <w:tcW w:w="1091" w:type="dxa"/>
            <w:tcBorders>
              <w:top w:val="nil"/>
              <w:left w:val="nil"/>
              <w:bottom w:val="single" w:color="auto" w:sz="4" w:space="0"/>
              <w:right w:val="single" w:color="auto" w:sz="4" w:space="0"/>
            </w:tcBorders>
            <w:vAlign w:val="center"/>
          </w:tcPr>
          <w:p w14:paraId="09906A1C">
            <w:pPr>
              <w:widowControl/>
              <w:snapToGrid w:val="0"/>
              <w:contextualSpacing/>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X＜10</w:t>
            </w:r>
          </w:p>
        </w:tc>
      </w:tr>
    </w:tbl>
    <w:p w14:paraId="00D4AE09">
      <w:pPr>
        <w:widowControl/>
        <w:spacing w:before="100" w:beforeAutospacing="1" w:after="100" w:afterAutospacing="1" w:line="360" w:lineRule="auto"/>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说明：</w:t>
      </w:r>
      <w:r>
        <w:rPr>
          <w:rFonts w:hint="eastAsia" w:ascii="宋体" w:hAnsi="宋体" w:eastAsia="宋体" w:cs="宋体"/>
          <w:color w:val="000000"/>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65FB16BF">
      <w:pPr>
        <w:shd w:val="clear" w:color="auto" w:fill="auto"/>
        <w:spacing w:line="600" w:lineRule="auto"/>
        <w:ind w:firstLine="562" w:firstLineChars="200"/>
        <w:jc w:val="center"/>
        <w:outlineLvl w:val="1"/>
        <w:rPr>
          <w:rFonts w:hint="eastAsia" w:ascii="宋体" w:hAnsi="宋体" w:eastAsia="宋体" w:cs="宋体"/>
          <w:b/>
          <w:bCs/>
          <w:color w:val="000000"/>
          <w:kern w:val="2"/>
          <w:sz w:val="28"/>
          <w:szCs w:val="21"/>
          <w:highlight w:val="none"/>
          <w:lang w:val="en-US" w:eastAsia="zh-CN" w:bidi="ar-SA"/>
        </w:rPr>
      </w:pPr>
      <w:bookmarkStart w:id="329" w:name="_Toc24130"/>
      <w:r>
        <w:rPr>
          <w:rFonts w:hint="eastAsia" w:ascii="宋体" w:hAnsi="宋体" w:eastAsia="宋体" w:cs="宋体"/>
          <w:b/>
          <w:bCs/>
          <w:color w:val="000000"/>
          <w:kern w:val="2"/>
          <w:sz w:val="28"/>
          <w:szCs w:val="21"/>
          <w:highlight w:val="none"/>
          <w:lang w:val="en-US" w:eastAsia="zh-CN" w:bidi="ar-SA"/>
        </w:rPr>
        <w:t>8、残疾人福利性单位声明函（残疾人福利性单位提供）</w:t>
      </w:r>
      <w:bookmarkEnd w:id="329"/>
    </w:p>
    <w:p w14:paraId="3BA779F6">
      <w:pPr>
        <w:shd w:val="clear" w:color="auto" w:fill="auto"/>
        <w:spacing w:line="600" w:lineRule="auto"/>
        <w:ind w:firstLine="480" w:firstLineChars="200"/>
        <w:outlineLvl w:val="9"/>
        <w:rPr>
          <w:rFonts w:hint="eastAsia" w:ascii="宋体" w:hAnsi="宋体" w:eastAsia="宋体" w:cs="宋体"/>
          <w:color w:val="000000"/>
          <w:kern w:val="2"/>
          <w:sz w:val="24"/>
          <w:szCs w:val="20"/>
          <w:highlight w:val="none"/>
          <w:lang w:val="en-US" w:eastAsia="zh-CN" w:bidi="ar-SA"/>
        </w:rPr>
      </w:pPr>
      <w:r>
        <w:rPr>
          <w:rFonts w:hint="eastAsia" w:ascii="宋体" w:hAnsi="宋体" w:eastAsia="宋体" w:cs="宋体"/>
          <w:color w:val="000000"/>
          <w:kern w:val="2"/>
          <w:sz w:val="24"/>
          <w:szCs w:val="20"/>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000000"/>
          <w:spacing w:val="6"/>
          <w:sz w:val="30"/>
          <w:szCs w:val="30"/>
          <w:highlight w:val="none"/>
        </w:rPr>
        <w:t>______</w:t>
      </w:r>
      <w:r>
        <w:rPr>
          <w:rFonts w:hint="eastAsia" w:ascii="宋体" w:hAnsi="宋体" w:eastAsia="宋体" w:cs="宋体"/>
          <w:color w:val="000000"/>
          <w:kern w:val="2"/>
          <w:sz w:val="24"/>
          <w:szCs w:val="20"/>
          <w:highlight w:val="none"/>
          <w:lang w:val="en-US" w:eastAsia="zh-CN" w:bidi="ar-SA"/>
        </w:rPr>
        <w:t>单位的</w:t>
      </w:r>
      <w:r>
        <w:rPr>
          <w:rFonts w:hint="eastAsia" w:ascii="宋体" w:hAnsi="宋体" w:eastAsia="宋体" w:cs="宋体"/>
          <w:color w:val="000000"/>
          <w:spacing w:val="6"/>
          <w:sz w:val="30"/>
          <w:szCs w:val="30"/>
          <w:highlight w:val="none"/>
        </w:rPr>
        <w:t>______</w:t>
      </w:r>
      <w:r>
        <w:rPr>
          <w:rFonts w:hint="eastAsia" w:ascii="宋体" w:hAnsi="宋体" w:eastAsia="宋体" w:cs="宋体"/>
          <w:color w:val="000000"/>
          <w:kern w:val="2"/>
          <w:sz w:val="24"/>
          <w:szCs w:val="20"/>
          <w:highlight w:val="none"/>
          <w:lang w:val="en-US" w:eastAsia="zh-CN" w:bidi="ar-SA"/>
        </w:rPr>
        <w:t>项目采购活动提供本单位制造的货物（由本单位承担工程/提供服务），或者提供其他残疾人福利性单位制造的货物（不包括使用非残疾人福利性单位注册商标的货物）。</w:t>
      </w:r>
    </w:p>
    <w:p w14:paraId="124BCD80">
      <w:pPr>
        <w:shd w:val="clear" w:color="auto" w:fill="auto"/>
        <w:spacing w:line="600" w:lineRule="auto"/>
        <w:ind w:firstLine="480" w:firstLineChars="200"/>
        <w:outlineLvl w:val="9"/>
        <w:rPr>
          <w:rFonts w:hint="eastAsia" w:ascii="宋体" w:hAnsi="宋体" w:eastAsia="宋体" w:cs="宋体"/>
          <w:color w:val="000000"/>
          <w:kern w:val="2"/>
          <w:sz w:val="24"/>
          <w:szCs w:val="20"/>
          <w:highlight w:val="none"/>
          <w:lang w:val="en-US" w:eastAsia="zh-CN" w:bidi="ar-SA"/>
        </w:rPr>
      </w:pPr>
      <w:r>
        <w:rPr>
          <w:rFonts w:hint="eastAsia" w:ascii="宋体" w:hAnsi="宋体" w:eastAsia="宋体" w:cs="宋体"/>
          <w:color w:val="000000"/>
          <w:kern w:val="2"/>
          <w:sz w:val="24"/>
          <w:szCs w:val="20"/>
          <w:highlight w:val="none"/>
          <w:lang w:val="en-US" w:eastAsia="zh-CN" w:bidi="ar-SA"/>
        </w:rPr>
        <w:t>本单位对上述声明的真实性负责。如有虚假，将依法承担相应责任。</w:t>
      </w:r>
    </w:p>
    <w:p w14:paraId="684310B0">
      <w:pPr>
        <w:shd w:val="clear" w:color="auto" w:fill="auto"/>
        <w:ind w:firstLine="480" w:firstLineChars="200"/>
        <w:jc w:val="both"/>
        <w:outlineLvl w:val="9"/>
        <w:rPr>
          <w:rFonts w:hint="eastAsia" w:ascii="宋体" w:hAnsi="宋体" w:eastAsia="宋体" w:cs="宋体"/>
          <w:color w:val="000000"/>
          <w:kern w:val="2"/>
          <w:sz w:val="24"/>
          <w:szCs w:val="20"/>
          <w:highlight w:val="none"/>
          <w:lang w:val="en-US" w:eastAsia="zh-CN" w:bidi="ar-SA"/>
        </w:rPr>
      </w:pPr>
      <w:r>
        <w:rPr>
          <w:rFonts w:hint="eastAsia" w:ascii="宋体" w:hAnsi="宋体" w:eastAsia="宋体" w:cs="宋体"/>
          <w:color w:val="000000"/>
          <w:kern w:val="2"/>
          <w:sz w:val="24"/>
          <w:szCs w:val="20"/>
          <w:highlight w:val="none"/>
          <w:lang w:val="en-US" w:eastAsia="zh-CN" w:bidi="ar-SA"/>
        </w:rPr>
        <w:t>注：残疾人福利性单位享受中小企业同等政策。</w:t>
      </w:r>
    </w:p>
    <w:p w14:paraId="20EB5C01">
      <w:pPr>
        <w:pStyle w:val="62"/>
        <w:shd w:val="clear" w:color="auto" w:fill="auto"/>
        <w:ind w:firstLine="562" w:firstLineChars="200"/>
        <w:jc w:val="left"/>
        <w:outlineLvl w:val="9"/>
        <w:rPr>
          <w:rFonts w:hint="eastAsia" w:ascii="宋体" w:hAnsi="宋体" w:eastAsia="宋体" w:cs="宋体"/>
          <w:b/>
          <w:bCs/>
          <w:color w:val="000000"/>
          <w:sz w:val="28"/>
          <w:szCs w:val="28"/>
          <w:highlight w:val="none"/>
          <w:lang w:val="en-US" w:eastAsia="zh-CN"/>
        </w:rPr>
      </w:pPr>
    </w:p>
    <w:p w14:paraId="70F59794">
      <w:pPr>
        <w:shd w:val="clear" w:color="auto" w:fill="auto"/>
        <w:spacing w:line="588" w:lineRule="exact"/>
        <w:ind w:firstLine="624" w:firstLineChars="200"/>
        <w:outlineLvl w:val="9"/>
        <w:rPr>
          <w:rFonts w:hint="eastAsia" w:ascii="宋体" w:hAnsi="宋体" w:eastAsia="宋体" w:cs="宋体"/>
          <w:color w:val="000000"/>
          <w:spacing w:val="6"/>
          <w:sz w:val="30"/>
          <w:szCs w:val="30"/>
          <w:highlight w:val="none"/>
        </w:rPr>
      </w:pPr>
    </w:p>
    <w:p w14:paraId="7E5AFBA6">
      <w:pPr>
        <w:shd w:val="clear" w:color="auto" w:fill="auto"/>
        <w:spacing w:line="588" w:lineRule="exact"/>
        <w:ind w:firstLine="624" w:firstLineChars="200"/>
        <w:outlineLvl w:val="9"/>
        <w:rPr>
          <w:rFonts w:hint="eastAsia" w:ascii="宋体" w:hAnsi="宋体" w:eastAsia="宋体" w:cs="宋体"/>
          <w:color w:val="000000"/>
          <w:spacing w:val="6"/>
          <w:sz w:val="30"/>
          <w:szCs w:val="30"/>
          <w:highlight w:val="none"/>
        </w:rPr>
      </w:pPr>
    </w:p>
    <w:p w14:paraId="2178C869">
      <w:pPr>
        <w:shd w:val="clear" w:color="auto" w:fill="auto"/>
        <w:spacing w:line="588" w:lineRule="exact"/>
        <w:ind w:firstLine="624" w:firstLineChars="200"/>
        <w:jc w:val="right"/>
        <w:outlineLvl w:val="9"/>
        <w:rPr>
          <w:rFonts w:hint="eastAsia" w:ascii="宋体" w:hAnsi="宋体" w:eastAsia="宋体" w:cs="宋体"/>
          <w:color w:val="000000"/>
          <w:spacing w:val="6"/>
          <w:sz w:val="30"/>
          <w:szCs w:val="30"/>
          <w:highlight w:val="none"/>
        </w:rPr>
      </w:pPr>
    </w:p>
    <w:p w14:paraId="411FB034">
      <w:pPr>
        <w:shd w:val="clear" w:color="auto" w:fill="auto"/>
        <w:spacing w:line="588" w:lineRule="exact"/>
        <w:ind w:firstLine="624" w:firstLineChars="200"/>
        <w:jc w:val="right"/>
        <w:outlineLvl w:val="9"/>
        <w:rPr>
          <w:rFonts w:hint="eastAsia" w:ascii="宋体" w:hAnsi="宋体" w:eastAsia="宋体" w:cs="宋体"/>
          <w:color w:val="000000"/>
          <w:spacing w:val="6"/>
          <w:sz w:val="30"/>
          <w:szCs w:val="30"/>
          <w:highlight w:val="none"/>
        </w:rPr>
      </w:pPr>
      <w:r>
        <w:rPr>
          <w:rFonts w:hint="eastAsia" w:ascii="宋体" w:hAnsi="宋体" w:eastAsia="宋体" w:cs="宋体"/>
          <w:color w:val="000000"/>
          <w:spacing w:val="6"/>
          <w:sz w:val="30"/>
          <w:szCs w:val="30"/>
          <w:highlight w:val="none"/>
        </w:rPr>
        <w:t xml:space="preserve">       </w:t>
      </w:r>
      <w:r>
        <w:rPr>
          <w:rFonts w:hint="eastAsia" w:ascii="宋体" w:hAnsi="宋体" w:eastAsia="宋体" w:cs="宋体"/>
          <w:color w:val="000000"/>
          <w:spacing w:val="6"/>
          <w:sz w:val="30"/>
          <w:szCs w:val="30"/>
          <w:highlight w:val="none"/>
          <w:lang w:val="en-US" w:eastAsia="zh-CN"/>
        </w:rPr>
        <w:t xml:space="preserve">             </w:t>
      </w:r>
      <w:r>
        <w:rPr>
          <w:rFonts w:hint="eastAsia" w:ascii="宋体" w:hAnsi="宋体" w:eastAsia="宋体" w:cs="宋体"/>
          <w:color w:val="000000"/>
          <w:spacing w:val="6"/>
          <w:sz w:val="30"/>
          <w:szCs w:val="30"/>
          <w:highlight w:val="none"/>
        </w:rPr>
        <w:t xml:space="preserve"> </w:t>
      </w:r>
      <w:r>
        <w:rPr>
          <w:rFonts w:hint="eastAsia" w:ascii="宋体" w:hAnsi="宋体" w:eastAsia="宋体" w:cs="宋体"/>
          <w:color w:val="000000"/>
          <w:kern w:val="2"/>
          <w:sz w:val="24"/>
          <w:szCs w:val="20"/>
          <w:highlight w:val="none"/>
          <w:lang w:val="en-US" w:eastAsia="zh-CN" w:bidi="ar-SA"/>
        </w:rPr>
        <w:t>单位名称（加盖公章）：</w:t>
      </w:r>
    </w:p>
    <w:p w14:paraId="133FD827">
      <w:pPr>
        <w:shd w:val="clear" w:color="auto" w:fill="auto"/>
        <w:spacing w:line="588" w:lineRule="exact"/>
        <w:ind w:firstLine="480" w:firstLineChars="200"/>
        <w:jc w:val="right"/>
        <w:outlineLvl w:val="9"/>
        <w:rPr>
          <w:rFonts w:hint="eastAsia" w:ascii="宋体" w:hAnsi="宋体" w:eastAsia="宋体" w:cs="宋体"/>
          <w:color w:val="000000"/>
          <w:kern w:val="2"/>
          <w:sz w:val="24"/>
          <w:szCs w:val="20"/>
          <w:highlight w:val="none"/>
          <w:lang w:val="en-US" w:eastAsia="zh-CN" w:bidi="ar-SA"/>
        </w:rPr>
      </w:pPr>
      <w:r>
        <w:rPr>
          <w:rFonts w:hint="eastAsia" w:ascii="宋体" w:hAnsi="宋体" w:eastAsia="宋体" w:cs="宋体"/>
          <w:color w:val="000000"/>
          <w:kern w:val="2"/>
          <w:sz w:val="24"/>
          <w:szCs w:val="20"/>
          <w:highlight w:val="none"/>
          <w:lang w:val="en-US" w:eastAsia="zh-CN" w:bidi="ar-SA"/>
        </w:rPr>
        <w:t xml:space="preserve">                                          日      期：</w:t>
      </w:r>
    </w:p>
    <w:p w14:paraId="3D580533">
      <w:pPr>
        <w:shd w:val="clear" w:color="auto" w:fill="auto"/>
        <w:jc w:val="both"/>
        <w:outlineLvl w:val="9"/>
        <w:rPr>
          <w:rFonts w:hint="eastAsia" w:ascii="宋体" w:hAnsi="宋体" w:eastAsia="宋体" w:cs="宋体"/>
          <w:color w:val="000000"/>
          <w:sz w:val="28"/>
          <w:szCs w:val="28"/>
          <w:highlight w:val="none"/>
          <w:lang w:val="en-US" w:eastAsia="zh-CN"/>
        </w:rPr>
      </w:pPr>
      <w:r>
        <w:rPr>
          <w:rFonts w:hint="eastAsia" w:ascii="宋体" w:hAnsi="宋体" w:eastAsia="宋体" w:cs="宋体"/>
          <w:b/>
          <w:bCs/>
          <w:color w:val="000000"/>
          <w:kern w:val="2"/>
          <w:sz w:val="28"/>
          <w:szCs w:val="28"/>
          <w:highlight w:val="none"/>
          <w:lang w:val="en-US" w:eastAsia="zh-CN" w:bidi="ar-SA"/>
        </w:rPr>
        <w:br w:type="page"/>
      </w:r>
    </w:p>
    <w:p w14:paraId="527FFF7F">
      <w:pPr>
        <w:shd w:val="clear" w:color="auto" w:fill="auto"/>
        <w:spacing w:line="600" w:lineRule="auto"/>
        <w:ind w:firstLine="562" w:firstLineChars="200"/>
        <w:jc w:val="center"/>
        <w:outlineLvl w:val="1"/>
        <w:rPr>
          <w:rFonts w:hint="eastAsia" w:ascii="宋体" w:hAnsi="宋体" w:eastAsia="宋体" w:cs="宋体"/>
          <w:b/>
          <w:bCs/>
          <w:color w:val="000000"/>
          <w:kern w:val="2"/>
          <w:sz w:val="28"/>
          <w:szCs w:val="21"/>
          <w:highlight w:val="none"/>
          <w:lang w:val="en-US" w:eastAsia="zh-CN" w:bidi="ar-SA"/>
        </w:rPr>
      </w:pPr>
      <w:bookmarkStart w:id="330" w:name="_Toc22103"/>
      <w:r>
        <w:rPr>
          <w:rFonts w:hint="eastAsia" w:ascii="宋体" w:hAnsi="宋体" w:eastAsia="宋体" w:cs="宋体"/>
          <w:b/>
          <w:bCs/>
          <w:color w:val="000000"/>
          <w:kern w:val="2"/>
          <w:sz w:val="28"/>
          <w:szCs w:val="21"/>
          <w:highlight w:val="none"/>
          <w:lang w:val="en-US" w:eastAsia="zh-CN" w:bidi="ar-SA"/>
        </w:rPr>
        <w:t>9、《监狱企业声明函》</w:t>
      </w:r>
      <w:bookmarkEnd w:id="330"/>
    </w:p>
    <w:p w14:paraId="6741D53F">
      <w:pPr>
        <w:bidi w:val="0"/>
        <w:rPr>
          <w:rFonts w:hint="eastAsia" w:ascii="宋体" w:hAnsi="宋体" w:eastAsia="宋体" w:cs="宋体"/>
          <w:sz w:val="24"/>
          <w:szCs w:val="24"/>
          <w:highlight w:val="none"/>
        </w:rPr>
      </w:pPr>
    </w:p>
    <w:p w14:paraId="0BBA0D4E">
      <w:pPr>
        <w:shd w:val="clear" w:color="auto" w:fill="auto"/>
        <w:spacing w:line="600" w:lineRule="auto"/>
        <w:ind w:firstLine="480" w:firstLineChars="200"/>
        <w:outlineLvl w:val="9"/>
        <w:rPr>
          <w:rFonts w:hint="eastAsia" w:ascii="宋体" w:hAnsi="宋体" w:eastAsia="宋体" w:cs="宋体"/>
          <w:color w:val="000000"/>
          <w:kern w:val="2"/>
          <w:sz w:val="24"/>
          <w:szCs w:val="20"/>
          <w:highlight w:val="none"/>
          <w:lang w:val="en-US" w:eastAsia="zh-CN" w:bidi="ar-SA"/>
        </w:rPr>
      </w:pPr>
      <w:r>
        <w:rPr>
          <w:rFonts w:hint="eastAsia" w:ascii="宋体" w:hAnsi="宋体" w:eastAsia="宋体" w:cs="宋体"/>
          <w:color w:val="000000"/>
          <w:kern w:val="2"/>
          <w:sz w:val="24"/>
          <w:szCs w:val="20"/>
          <w:highlight w:val="none"/>
          <w:lang w:val="en-US" w:eastAsia="zh-CN" w:bidi="ar-SA"/>
        </w:rPr>
        <w:t>本单位郑重声明，根据《财政部司法部关于政府采购支持监狱企业发展有关问题的通知》(财库〔2014〕68号)的规定，本单位为符合条件的监狱企业福利性单位，本单位参加 ______单位的______项目采购活动，货物/施工/服务全部由符合政策要求的监狱企业承接。 相关监狱企业的具体情况如下：</w:t>
      </w:r>
    </w:p>
    <w:p w14:paraId="7743F7F0">
      <w:pPr>
        <w:shd w:val="clear" w:color="auto" w:fill="auto"/>
        <w:spacing w:line="600" w:lineRule="auto"/>
        <w:ind w:firstLine="480" w:firstLineChars="200"/>
        <w:outlineLvl w:val="9"/>
        <w:rPr>
          <w:rFonts w:hint="eastAsia" w:ascii="宋体" w:hAnsi="宋体" w:eastAsia="宋体" w:cs="宋体"/>
          <w:color w:val="000000"/>
          <w:kern w:val="2"/>
          <w:sz w:val="24"/>
          <w:szCs w:val="20"/>
          <w:highlight w:val="none"/>
          <w:lang w:val="en-US" w:eastAsia="zh-CN" w:bidi="ar-SA"/>
        </w:rPr>
      </w:pPr>
      <w:r>
        <w:rPr>
          <w:rFonts w:hint="eastAsia" w:ascii="宋体" w:hAnsi="宋体" w:eastAsia="宋体" w:cs="宋体"/>
          <w:color w:val="000000"/>
          <w:kern w:val="2"/>
          <w:sz w:val="24"/>
          <w:szCs w:val="20"/>
          <w:highlight w:val="none"/>
          <w:lang w:val="en-US" w:eastAsia="zh-CN" w:bidi="ar-SA"/>
        </w:rPr>
        <w:t>1. (标的名称) ，承接单位为 (企业名称) ，属于监狱企业；</w:t>
      </w:r>
    </w:p>
    <w:p w14:paraId="32758B54">
      <w:pPr>
        <w:shd w:val="clear" w:color="auto" w:fill="auto"/>
        <w:spacing w:line="600" w:lineRule="auto"/>
        <w:ind w:firstLine="480" w:firstLineChars="200"/>
        <w:outlineLvl w:val="9"/>
        <w:rPr>
          <w:rFonts w:hint="eastAsia" w:ascii="宋体" w:hAnsi="宋体" w:eastAsia="宋体" w:cs="宋体"/>
          <w:color w:val="000000"/>
          <w:kern w:val="2"/>
          <w:sz w:val="24"/>
          <w:szCs w:val="20"/>
          <w:highlight w:val="none"/>
          <w:lang w:val="en-US" w:eastAsia="zh-CN" w:bidi="ar-SA"/>
        </w:rPr>
      </w:pPr>
      <w:r>
        <w:rPr>
          <w:rFonts w:hint="eastAsia" w:ascii="宋体" w:hAnsi="宋体" w:eastAsia="宋体" w:cs="宋体"/>
          <w:color w:val="000000"/>
          <w:kern w:val="2"/>
          <w:sz w:val="24"/>
          <w:szCs w:val="20"/>
          <w:highlight w:val="none"/>
          <w:lang w:val="en-US" w:eastAsia="zh-CN" w:bidi="ar-SA"/>
        </w:rPr>
        <w:t>2. (标的名称) ，承接单位为 (企业名称) ，属于监狱企业。</w:t>
      </w:r>
    </w:p>
    <w:p w14:paraId="11FAB3F2">
      <w:pPr>
        <w:shd w:val="clear" w:color="auto" w:fill="auto"/>
        <w:spacing w:line="600" w:lineRule="auto"/>
        <w:ind w:firstLine="480" w:firstLineChars="200"/>
        <w:outlineLvl w:val="9"/>
        <w:rPr>
          <w:rFonts w:hint="eastAsia" w:ascii="宋体" w:hAnsi="宋体" w:eastAsia="宋体" w:cs="宋体"/>
          <w:color w:val="000000"/>
          <w:kern w:val="2"/>
          <w:sz w:val="24"/>
          <w:szCs w:val="20"/>
          <w:highlight w:val="none"/>
          <w:lang w:val="en-US" w:eastAsia="zh-CN" w:bidi="ar-SA"/>
        </w:rPr>
      </w:pPr>
      <w:r>
        <w:rPr>
          <w:rFonts w:hint="eastAsia" w:ascii="宋体" w:hAnsi="宋体" w:eastAsia="宋体" w:cs="宋体"/>
          <w:color w:val="000000"/>
          <w:kern w:val="2"/>
          <w:sz w:val="24"/>
          <w:szCs w:val="20"/>
          <w:highlight w:val="none"/>
          <w:lang w:val="en-US" w:eastAsia="zh-CN" w:bidi="ar-SA"/>
        </w:rPr>
        <w:t>……</w:t>
      </w:r>
    </w:p>
    <w:p w14:paraId="445F80CE">
      <w:pPr>
        <w:shd w:val="clear" w:color="auto" w:fill="auto"/>
        <w:spacing w:line="600" w:lineRule="auto"/>
        <w:ind w:firstLine="480" w:firstLineChars="200"/>
        <w:outlineLvl w:val="9"/>
        <w:rPr>
          <w:rFonts w:hint="eastAsia" w:ascii="宋体" w:hAnsi="宋体" w:eastAsia="宋体" w:cs="宋体"/>
          <w:color w:val="000000"/>
          <w:kern w:val="2"/>
          <w:sz w:val="24"/>
          <w:szCs w:val="20"/>
          <w:highlight w:val="none"/>
          <w:lang w:val="en-US" w:eastAsia="zh-CN" w:bidi="ar-SA"/>
        </w:rPr>
      </w:pPr>
      <w:r>
        <w:rPr>
          <w:rFonts w:hint="eastAsia" w:ascii="宋体" w:hAnsi="宋体" w:eastAsia="宋体" w:cs="宋体"/>
          <w:color w:val="000000"/>
          <w:kern w:val="2"/>
          <w:sz w:val="24"/>
          <w:szCs w:val="20"/>
          <w:highlight w:val="none"/>
          <w:lang w:val="en-US" w:eastAsia="zh-CN" w:bidi="ar-SA"/>
        </w:rPr>
        <w:t>本单位对上述声明的真实性负责。如有虚假，将依法承担相应责任。</w:t>
      </w:r>
    </w:p>
    <w:p w14:paraId="506F373B">
      <w:pPr>
        <w:shd w:val="clear" w:color="auto" w:fill="auto"/>
        <w:spacing w:line="600" w:lineRule="auto"/>
        <w:ind w:firstLine="480" w:firstLineChars="200"/>
        <w:outlineLvl w:val="9"/>
        <w:rPr>
          <w:rFonts w:hint="eastAsia" w:ascii="宋体" w:hAnsi="宋体" w:eastAsia="宋体" w:cs="宋体"/>
          <w:color w:val="000000"/>
          <w:kern w:val="2"/>
          <w:sz w:val="24"/>
          <w:szCs w:val="20"/>
          <w:highlight w:val="none"/>
          <w:lang w:val="en-US" w:eastAsia="zh-CN" w:bidi="ar-SA"/>
        </w:rPr>
      </w:pPr>
      <w:r>
        <w:rPr>
          <w:rFonts w:hint="eastAsia" w:ascii="宋体" w:hAnsi="宋体" w:eastAsia="宋体" w:cs="宋体"/>
          <w:color w:val="000000"/>
          <w:kern w:val="2"/>
          <w:sz w:val="24"/>
          <w:szCs w:val="20"/>
          <w:highlight w:val="none"/>
          <w:lang w:val="en-US" w:eastAsia="zh-CN" w:bidi="ar-SA"/>
        </w:rPr>
        <w:t>附：省级以上监狱管理局、戒毒管理局 (含新疆生产建设兵团) 出具的监狱企业证明文 件。</w:t>
      </w:r>
    </w:p>
    <w:p w14:paraId="5CB1BB89">
      <w:pPr>
        <w:shd w:val="clear" w:color="auto" w:fill="auto"/>
        <w:spacing w:line="600" w:lineRule="auto"/>
        <w:ind w:firstLine="480" w:firstLineChars="200"/>
        <w:outlineLvl w:val="9"/>
        <w:rPr>
          <w:rFonts w:hint="eastAsia" w:ascii="宋体" w:hAnsi="宋体" w:eastAsia="宋体" w:cs="宋体"/>
          <w:color w:val="000000"/>
          <w:kern w:val="2"/>
          <w:sz w:val="24"/>
          <w:szCs w:val="20"/>
          <w:highlight w:val="none"/>
          <w:lang w:val="en-US" w:eastAsia="zh-CN" w:bidi="ar-SA"/>
        </w:rPr>
      </w:pPr>
    </w:p>
    <w:p w14:paraId="38B73E61">
      <w:pPr>
        <w:shd w:val="clear" w:color="auto" w:fill="auto"/>
        <w:spacing w:line="600" w:lineRule="auto"/>
        <w:ind w:firstLine="480" w:firstLineChars="200"/>
        <w:outlineLvl w:val="9"/>
        <w:rPr>
          <w:rFonts w:hint="eastAsia" w:ascii="宋体" w:hAnsi="宋体" w:eastAsia="宋体" w:cs="宋体"/>
          <w:color w:val="000000"/>
          <w:kern w:val="2"/>
          <w:sz w:val="24"/>
          <w:szCs w:val="20"/>
          <w:highlight w:val="none"/>
          <w:lang w:val="en-US" w:eastAsia="zh-CN" w:bidi="ar-SA"/>
        </w:rPr>
      </w:pPr>
      <w:r>
        <w:rPr>
          <w:rFonts w:hint="eastAsia" w:ascii="宋体" w:hAnsi="宋体" w:eastAsia="宋体" w:cs="宋体"/>
          <w:color w:val="000000"/>
          <w:kern w:val="2"/>
          <w:sz w:val="24"/>
          <w:szCs w:val="20"/>
          <w:highlight w:val="none"/>
          <w:lang w:val="en-US" w:eastAsia="zh-CN" w:bidi="ar-SA"/>
        </w:rPr>
        <w:t>投标人 (单位盖章) ：________</w:t>
      </w:r>
    </w:p>
    <w:p w14:paraId="33C8CB89">
      <w:pPr>
        <w:shd w:val="clear" w:color="auto" w:fill="auto"/>
        <w:spacing w:line="600" w:lineRule="auto"/>
        <w:ind w:firstLine="480" w:firstLineChars="200"/>
        <w:outlineLvl w:val="9"/>
        <w:rPr>
          <w:rFonts w:hint="eastAsia" w:ascii="宋体" w:hAnsi="宋体" w:eastAsia="宋体" w:cs="宋体"/>
          <w:color w:val="000000"/>
          <w:kern w:val="2"/>
          <w:sz w:val="24"/>
          <w:szCs w:val="20"/>
          <w:highlight w:val="none"/>
          <w:lang w:val="en-US" w:eastAsia="zh-CN" w:bidi="ar-SA"/>
        </w:rPr>
        <w:sectPr>
          <w:footerReference r:id="rId6" w:type="default"/>
          <w:pgSz w:w="11906" w:h="16839"/>
          <w:pgMar w:top="1440" w:right="1800" w:bottom="1440" w:left="1800" w:header="0" w:footer="958" w:gutter="0"/>
          <w:pgNumType w:fmt="decimal"/>
          <w:cols w:space="720" w:num="1"/>
        </w:sectPr>
      </w:pPr>
      <w:r>
        <w:rPr>
          <w:rFonts w:hint="eastAsia" w:ascii="宋体" w:hAnsi="宋体" w:eastAsia="宋体" w:cs="宋体"/>
          <w:color w:val="000000"/>
          <w:kern w:val="2"/>
          <w:sz w:val="24"/>
          <w:szCs w:val="20"/>
          <w:highlight w:val="none"/>
          <w:lang w:val="en-US" w:eastAsia="zh-CN" w:bidi="ar-SA"/>
        </w:rPr>
        <w:t xml:space="preserve">日  期 ：            </w:t>
      </w:r>
    </w:p>
    <w:p w14:paraId="607B16B9">
      <w:pPr>
        <w:pStyle w:val="63"/>
        <w:rPr>
          <w:rFonts w:hint="eastAsia" w:ascii="宋体" w:hAnsi="宋体" w:eastAsia="宋体" w:cs="宋体"/>
          <w:b/>
          <w:bCs/>
          <w:color w:val="000000"/>
          <w:kern w:val="2"/>
          <w:sz w:val="28"/>
          <w:szCs w:val="28"/>
          <w:highlight w:val="none"/>
          <w:lang w:val="en-US" w:eastAsia="zh-CN" w:bidi="ar-SA"/>
        </w:rPr>
      </w:pPr>
    </w:p>
    <w:p w14:paraId="0448AC60">
      <w:pPr>
        <w:pStyle w:val="59"/>
        <w:numPr>
          <w:ilvl w:val="0"/>
          <w:numId w:val="0"/>
        </w:numPr>
        <w:shd w:val="clear" w:color="auto" w:fill="auto"/>
        <w:ind w:left="-110" w:leftChars="0"/>
        <w:jc w:val="center"/>
        <w:outlineLvl w:val="1"/>
        <w:rPr>
          <w:rFonts w:hint="eastAsia" w:ascii="宋体" w:hAnsi="宋体" w:eastAsia="宋体" w:cs="宋体"/>
          <w:b/>
          <w:bCs/>
          <w:color w:val="000000"/>
          <w:kern w:val="2"/>
          <w:sz w:val="28"/>
          <w:szCs w:val="28"/>
          <w:highlight w:val="none"/>
          <w:lang w:val="en-US" w:eastAsia="zh-CN" w:bidi="ar-SA"/>
        </w:rPr>
      </w:pPr>
      <w:bookmarkStart w:id="331" w:name="_Toc30003"/>
      <w:r>
        <w:rPr>
          <w:rFonts w:hint="eastAsia" w:ascii="宋体" w:hAnsi="宋体" w:eastAsia="宋体" w:cs="宋体"/>
          <w:b/>
          <w:bCs/>
          <w:color w:val="000000"/>
          <w:kern w:val="2"/>
          <w:sz w:val="28"/>
          <w:szCs w:val="28"/>
          <w:highlight w:val="none"/>
          <w:lang w:val="en-US" w:eastAsia="zh-CN" w:bidi="ar-SA"/>
        </w:rPr>
        <w:t>1</w:t>
      </w:r>
      <w:r>
        <w:rPr>
          <w:rFonts w:hint="eastAsia" w:hAnsi="宋体" w:eastAsia="宋体" w:cs="宋体"/>
          <w:b/>
          <w:bCs/>
          <w:color w:val="000000"/>
          <w:kern w:val="2"/>
          <w:sz w:val="28"/>
          <w:szCs w:val="28"/>
          <w:highlight w:val="none"/>
          <w:lang w:val="en-US" w:eastAsia="zh-CN" w:bidi="ar-SA"/>
        </w:rPr>
        <w:t>0</w:t>
      </w:r>
      <w:r>
        <w:rPr>
          <w:rFonts w:hint="eastAsia" w:ascii="宋体" w:hAnsi="宋体" w:eastAsia="宋体" w:cs="宋体"/>
          <w:b/>
          <w:bCs/>
          <w:color w:val="000000"/>
          <w:kern w:val="2"/>
          <w:sz w:val="28"/>
          <w:szCs w:val="28"/>
          <w:highlight w:val="none"/>
          <w:lang w:val="en-US" w:eastAsia="zh-CN" w:bidi="ar-SA"/>
        </w:rPr>
        <w:t>、投标人关联单位的说明</w:t>
      </w:r>
      <w:bookmarkEnd w:id="331"/>
    </w:p>
    <w:p w14:paraId="66F26996">
      <w:pPr>
        <w:pStyle w:val="60"/>
        <w:tabs>
          <w:tab w:val="clear" w:pos="567"/>
        </w:tabs>
        <w:ind w:left="736"/>
        <w:outlineLvl w:val="9"/>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说明：投标人应当如实披露与本单位存在下列关联关系的单位名称：</w:t>
      </w:r>
    </w:p>
    <w:p w14:paraId="2562187F">
      <w:pPr>
        <w:pStyle w:val="64"/>
        <w:numPr>
          <w:ilvl w:val="2"/>
          <w:numId w:val="16"/>
        </w:numPr>
        <w:tabs>
          <w:tab w:val="left" w:pos="1337"/>
        </w:tabs>
        <w:spacing w:before="2" w:after="0" w:line="240" w:lineRule="auto"/>
        <w:ind w:left="1337" w:right="0" w:hanging="601"/>
        <w:jc w:val="left"/>
        <w:outlineLvl w:val="9"/>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与投标人单位负责人为同一人的其他单位；</w:t>
      </w:r>
    </w:p>
    <w:p w14:paraId="2F8F9E43">
      <w:pPr>
        <w:pStyle w:val="64"/>
        <w:numPr>
          <w:ilvl w:val="2"/>
          <w:numId w:val="16"/>
        </w:numPr>
        <w:tabs>
          <w:tab w:val="left" w:pos="1337"/>
        </w:tabs>
        <w:spacing w:before="5" w:after="0" w:line="240" w:lineRule="auto"/>
        <w:ind w:left="1337" w:right="0" w:hanging="601"/>
        <w:jc w:val="left"/>
        <w:outlineLvl w:val="9"/>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与投标人存在直接控股、管理关系的其他单位。</w:t>
      </w:r>
    </w:p>
    <w:p w14:paraId="30C55094">
      <w:pPr>
        <w:pStyle w:val="63"/>
        <w:ind w:left="0" w:leftChars="0" w:firstLine="0" w:firstLineChars="0"/>
        <w:outlineLvl w:val="9"/>
        <w:rPr>
          <w:rFonts w:hint="eastAsia" w:ascii="宋体" w:hAnsi="宋体" w:eastAsia="宋体" w:cs="宋体"/>
          <w:color w:val="000000"/>
          <w:highlight w:val="none"/>
        </w:rPr>
      </w:pPr>
    </w:p>
    <w:p w14:paraId="357BA09C">
      <w:pPr>
        <w:pStyle w:val="65"/>
        <w:spacing w:line="240" w:lineRule="atLeast"/>
        <w:outlineLvl w:val="9"/>
        <w:rPr>
          <w:rFonts w:hint="eastAsia" w:ascii="宋体" w:hAnsi="宋体" w:eastAsia="宋体" w:cs="宋体"/>
          <w:color w:val="000000"/>
          <w:sz w:val="24"/>
          <w:highlight w:val="none"/>
        </w:rPr>
      </w:pPr>
    </w:p>
    <w:p w14:paraId="3EB2782B">
      <w:pPr>
        <w:pStyle w:val="65"/>
        <w:spacing w:line="240" w:lineRule="atLeast"/>
        <w:outlineLvl w:val="9"/>
        <w:rPr>
          <w:rFonts w:hint="eastAsia" w:ascii="宋体" w:hAnsi="宋体" w:eastAsia="宋体" w:cs="宋体"/>
          <w:color w:val="000000"/>
          <w:sz w:val="24"/>
          <w:highlight w:val="none"/>
        </w:rPr>
      </w:pPr>
    </w:p>
    <w:p w14:paraId="4650BE11">
      <w:pPr>
        <w:pStyle w:val="65"/>
        <w:spacing w:line="240" w:lineRule="atLeast"/>
        <w:outlineLvl w:val="9"/>
        <w:rPr>
          <w:rFonts w:hint="eastAsia" w:ascii="宋体" w:hAnsi="宋体" w:eastAsia="宋体" w:cs="宋体"/>
          <w:b/>
          <w:bCs/>
          <w:color w:val="000000"/>
          <w:sz w:val="24"/>
          <w:highlight w:val="none"/>
        </w:rPr>
      </w:pPr>
    </w:p>
    <w:p w14:paraId="0CA0CAC0">
      <w:pPr>
        <w:pStyle w:val="65"/>
        <w:spacing w:line="240" w:lineRule="atLeast"/>
        <w:outlineLvl w:val="9"/>
        <w:rPr>
          <w:rFonts w:hint="eastAsia" w:ascii="宋体" w:hAnsi="宋体" w:eastAsia="宋体" w:cs="宋体"/>
          <w:b/>
          <w:bCs/>
          <w:color w:val="000000"/>
          <w:sz w:val="24"/>
          <w:highlight w:val="none"/>
        </w:rPr>
      </w:pPr>
    </w:p>
    <w:p w14:paraId="45C12A67">
      <w:pPr>
        <w:widowControl/>
        <w:jc w:val="center"/>
        <w:outlineLvl w:val="9"/>
        <w:rPr>
          <w:rFonts w:hint="eastAsia" w:ascii="宋体" w:hAnsi="宋体" w:eastAsia="宋体" w:cs="宋体"/>
          <w:color w:val="000000"/>
          <w:kern w:val="0"/>
          <w:highlight w:val="none"/>
          <w:lang w:bidi="ar"/>
        </w:rPr>
      </w:pPr>
      <w:r>
        <w:rPr>
          <w:rFonts w:hint="eastAsia" w:ascii="宋体" w:hAnsi="宋体" w:eastAsia="宋体" w:cs="宋体"/>
          <w:color w:val="000000"/>
          <w:kern w:val="0"/>
          <w:highlight w:val="none"/>
          <w:lang w:bidi="ar"/>
        </w:rPr>
        <w:t xml:space="preserve">                         </w:t>
      </w:r>
      <w:r>
        <w:rPr>
          <w:rFonts w:hint="eastAsia" w:ascii="宋体" w:hAnsi="宋体" w:eastAsia="宋体" w:cs="宋体"/>
          <w:color w:val="000000"/>
          <w:kern w:val="0"/>
          <w:highlight w:val="none"/>
          <w:lang w:val="en-US" w:eastAsia="zh-CN" w:bidi="ar"/>
        </w:rPr>
        <w:t xml:space="preserve">              </w:t>
      </w:r>
      <w:r>
        <w:rPr>
          <w:rFonts w:hint="eastAsia" w:ascii="宋体" w:hAnsi="宋体" w:eastAsia="宋体" w:cs="宋体"/>
          <w:color w:val="000000"/>
          <w:kern w:val="0"/>
          <w:sz w:val="24"/>
          <w:szCs w:val="24"/>
          <w:highlight w:val="none"/>
          <w:lang w:bidi="ar"/>
        </w:rPr>
        <w:t xml:space="preserve"> 供应商：</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2"/>
          <w:sz w:val="24"/>
          <w:szCs w:val="20"/>
          <w:highlight w:val="none"/>
          <w:lang w:val="en-US" w:eastAsia="zh-CN" w:bidi="ar-SA"/>
        </w:rPr>
        <w:t>加盖公章</w:t>
      </w:r>
      <w:r>
        <w:rPr>
          <w:rFonts w:hint="eastAsia" w:ascii="宋体" w:hAnsi="宋体" w:eastAsia="宋体" w:cs="宋体"/>
          <w:color w:val="000000"/>
          <w:kern w:val="0"/>
          <w:sz w:val="24"/>
          <w:szCs w:val="24"/>
          <w:highlight w:val="none"/>
          <w:lang w:bidi="ar"/>
        </w:rPr>
        <w:t xml:space="preserve">） </w:t>
      </w:r>
    </w:p>
    <w:p w14:paraId="1709E5A2">
      <w:pPr>
        <w:pStyle w:val="32"/>
        <w:ind w:firstLine="4800" w:firstLineChars="2000"/>
        <w:outlineLvl w:val="9"/>
        <w:rPr>
          <w:rFonts w:hint="eastAsia" w:ascii="宋体" w:hAnsi="宋体" w:eastAsia="宋体" w:cs="宋体"/>
          <w:color w:val="000000"/>
          <w:kern w:val="0"/>
          <w:sz w:val="24"/>
          <w:szCs w:val="24"/>
          <w:highlight w:val="none"/>
          <w:lang w:val="en-US" w:eastAsia="zh-CN" w:bidi="ar"/>
        </w:rPr>
      </w:pPr>
    </w:p>
    <w:p w14:paraId="21170BBE">
      <w:pPr>
        <w:pStyle w:val="32"/>
        <w:jc w:val="right"/>
        <w:outlineLvl w:val="9"/>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法定代表人或其委托代理人</w:t>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（签字或盖章）</w:t>
      </w:r>
    </w:p>
    <w:p w14:paraId="29A468BF">
      <w:pPr>
        <w:bidi w:val="0"/>
        <w:outlineLvl w:val="9"/>
        <w:rPr>
          <w:rFonts w:hint="eastAsia" w:ascii="宋体" w:hAnsi="宋体" w:eastAsia="宋体" w:cs="宋体"/>
          <w:highlight w:val="none"/>
          <w:lang w:val="en-US" w:eastAsia="zh-CN"/>
        </w:rPr>
      </w:pPr>
    </w:p>
    <w:p w14:paraId="21517CC9">
      <w:pPr>
        <w:bidi w:val="0"/>
        <w:outlineLvl w:val="9"/>
        <w:rPr>
          <w:rFonts w:hint="eastAsia" w:ascii="宋体" w:hAnsi="宋体" w:eastAsia="宋体" w:cs="宋体"/>
          <w:highlight w:val="none"/>
          <w:lang w:val="en-US" w:eastAsia="zh-CN"/>
        </w:rPr>
      </w:pPr>
    </w:p>
    <w:p w14:paraId="7C1B260E">
      <w:pPr>
        <w:pStyle w:val="60"/>
        <w:tabs>
          <w:tab w:val="clear" w:pos="567"/>
        </w:tabs>
        <w:outlineLvl w:val="9"/>
        <w:rPr>
          <w:rFonts w:hint="eastAsia" w:ascii="宋体" w:hAnsi="宋体" w:eastAsia="宋体" w:cs="宋体"/>
          <w:color w:val="000000"/>
          <w:highlight w:val="none"/>
          <w:lang w:val="en-US" w:eastAsia="zh-CN"/>
        </w:rPr>
        <w:sectPr>
          <w:footerReference r:id="rId7" w:type="default"/>
          <w:pgSz w:w="11906" w:h="16838"/>
          <w:pgMar w:top="1440" w:right="1080" w:bottom="1440" w:left="1080" w:header="851" w:footer="992" w:gutter="0"/>
          <w:pgNumType w:fmt="decimal"/>
          <w:cols w:space="720" w:num="1"/>
          <w:docGrid w:type="linesAndChars" w:linePitch="312" w:charSpace="0"/>
        </w:sectPr>
      </w:pPr>
    </w:p>
    <w:p w14:paraId="1F1C8595">
      <w:pPr>
        <w:pStyle w:val="3"/>
        <w:numPr>
          <w:ilvl w:val="0"/>
          <w:numId w:val="0"/>
        </w:numPr>
        <w:spacing w:before="0" w:line="240" w:lineRule="atLeast"/>
        <w:ind w:leftChars="257"/>
        <w:rPr>
          <w:rFonts w:hint="eastAsia" w:asciiTheme="minorEastAsia" w:hAnsiTheme="minorEastAsia" w:eastAsiaTheme="minorEastAsia" w:cstheme="minorEastAsia"/>
          <w:color w:val="auto"/>
          <w:sz w:val="24"/>
          <w:highlight w:val="none"/>
          <w:lang w:val="en-US" w:eastAsia="zh-CN"/>
        </w:rPr>
      </w:pPr>
      <w:bookmarkStart w:id="332" w:name="_Toc20389"/>
      <w:bookmarkStart w:id="333" w:name="_Toc15729"/>
      <w:r>
        <w:rPr>
          <w:rFonts w:hint="eastAsia" w:asciiTheme="minorEastAsia" w:hAnsiTheme="minorEastAsia" w:eastAsiaTheme="minorEastAsia" w:cstheme="minorEastAsia"/>
          <w:color w:val="auto"/>
          <w:sz w:val="24"/>
          <w:highlight w:val="none"/>
          <w:lang w:val="en-US" w:eastAsia="zh-CN"/>
        </w:rPr>
        <w:t>11、其他需要提供的资料</w:t>
      </w:r>
      <w:bookmarkEnd w:id="332"/>
      <w:bookmarkEnd w:id="333"/>
    </w:p>
    <w:p w14:paraId="509EAF88">
      <w:pPr>
        <w:numPr>
          <w:ilvl w:val="0"/>
          <w:numId w:val="0"/>
        </w:numPr>
        <w:rPr>
          <w:rFonts w:hint="eastAsia" w:asciiTheme="minorEastAsia" w:hAnsiTheme="minorEastAsia" w:eastAsiaTheme="minorEastAsia" w:cstheme="minorEastAsia"/>
          <w:color w:val="auto"/>
          <w:kern w:val="2"/>
          <w:sz w:val="24"/>
          <w:szCs w:val="24"/>
          <w:highlight w:val="none"/>
          <w:lang w:val="en-US" w:eastAsia="zh-CN" w:bidi="ar-SA"/>
        </w:rPr>
      </w:pPr>
    </w:p>
    <w:bookmarkEnd w:id="324"/>
    <w:bookmarkEnd w:id="325"/>
    <w:bookmarkEnd w:id="326"/>
    <w:bookmarkEnd w:id="327"/>
    <w:bookmarkEnd w:id="328"/>
    <w:p w14:paraId="546F6362">
      <w:pPr>
        <w:keepNext w:val="0"/>
        <w:keepLines w:val="0"/>
        <w:pageBreakBefore w:val="0"/>
        <w:widowControl w:val="0"/>
        <w:numPr>
          <w:ilvl w:val="0"/>
          <w:numId w:val="0"/>
        </w:numPr>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bookmarkStart w:id="334" w:name="_Toc25345"/>
      <w:bookmarkStart w:id="335" w:name="_Toc518923114"/>
      <w:r>
        <w:rPr>
          <w:rFonts w:hint="eastAsia" w:asciiTheme="minorEastAsia" w:hAnsiTheme="minorEastAsia" w:eastAsiaTheme="minorEastAsia" w:cstheme="minorEastAsia"/>
          <w:color w:val="auto"/>
          <w:kern w:val="2"/>
          <w:sz w:val="24"/>
          <w:szCs w:val="24"/>
          <w:highlight w:val="none"/>
          <w:lang w:val="en-US" w:eastAsia="zh-CN" w:bidi="ar-SA"/>
        </w:rPr>
        <w:t>包括但不限于以下内容：</w:t>
      </w:r>
    </w:p>
    <w:p w14:paraId="298DAFDB">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0" w:firstLineChars="0"/>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（1）具有有效的营业执照副本；</w:t>
      </w:r>
    </w:p>
    <w:p w14:paraId="3A9339B4">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（2）法定代表人投标的需提供法定代表人身份证；被授权委托人需提供法人授权委托书及被授权委托人身份证和在本单位缴纳的近三个月中任意一个月社保缴纳证明；</w:t>
      </w:r>
    </w:p>
    <w:p w14:paraId="513437AB">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0" w:firstLineChars="0"/>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（3）投标单位须具备【公路工程施工总承包三级】（含）以上资质等级且具备有效的安全生产许可证；项目负责人具备[公路工程专业二级]（含）以上注册建造师执业资格且具有有效的安全生产考核证书；</w:t>
      </w:r>
    </w:p>
    <w:p w14:paraId="1B84359B">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0" w:firstLineChars="0"/>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（4）提供近三个月任意一个月税务局开具的完税证明；（完税证明或税务部门出具的其他证明，非社会保险类）；</w:t>
      </w:r>
    </w:p>
    <w:p w14:paraId="5824AA13">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0" w:firstLineChars="0"/>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（5）供应商针对本次项目《反商业贿赂承诺书》；</w:t>
      </w:r>
    </w:p>
    <w:p w14:paraId="7E12CB03">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0" w:firstLineChars="0"/>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（6）参加政府采购活动前3年内在经营活动中没有重大违法记录的书面声明；</w:t>
      </w:r>
    </w:p>
    <w:p w14:paraId="58DE8AA0">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0" w:firstLineChars="0"/>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（7）提供2023年或2024年度的财务审计报告（注册成立未满一年新公司提供银行资信证明）；</w:t>
      </w:r>
    </w:p>
    <w:p w14:paraId="47C77CB0">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0" w:firstLineChars="0"/>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（8）根据《财政部关于在政府采购活动中查询及使用信用记录有关问题的通知》（财库﹝2016﹞125号）的要求，凡拟参加本次招标项目的供应商，如在“信用中国”网站（ www.creditchina.gov.cn） 被列入失信被执行人、重大税收违法失信主体(信用中国-信息公示-重大税收违法失信主体查询-搜索栏输入单位全称-截图)、中国政府采购网（http://www.ccgp.gov.cn/search/cr/）政府采购严重违法失信行为记录名单的（尚在处罚期内的），将拒绝其参加本次招标活动；（提供查询结果网页截图并加盖供应商公章）；</w:t>
      </w:r>
    </w:p>
    <w:p w14:paraId="6F361C1F">
      <w:pPr>
        <w:spacing w:line="240" w:lineRule="atLeast"/>
        <w:ind w:left="710" w:leftChars="-23" w:hanging="758" w:hangingChars="316"/>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（9）磋商保证金缴纳有效凭证。</w:t>
      </w:r>
    </w:p>
    <w:p w14:paraId="6849A6C5">
      <w:pPr>
        <w:spacing w:line="240" w:lineRule="atLeast"/>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(10)本项目不接受联合体投标。</w:t>
      </w:r>
    </w:p>
    <w:p w14:paraId="0A5F73FD">
      <w:pPr>
        <w:pStyle w:val="24"/>
        <w:outlineLvl w:val="9"/>
        <w:rPr>
          <w:rFonts w:hint="default"/>
          <w:highlight w:val="none"/>
          <w:lang w:val="en-US" w:eastAsia="zh-CN"/>
        </w:rPr>
      </w:pPr>
      <w:r>
        <w:rPr>
          <w:rFonts w:hint="default"/>
          <w:highlight w:val="none"/>
          <w:lang w:val="en-US" w:eastAsia="zh-CN"/>
        </w:rPr>
        <w:t>提示：上述资质开标现场能够通过官方网络查证的，均视为合格供应商。</w:t>
      </w:r>
    </w:p>
    <w:p w14:paraId="1196A94B">
      <w:pPr>
        <w:pStyle w:val="12"/>
        <w:tabs>
          <w:tab w:val="left" w:pos="5580"/>
        </w:tabs>
        <w:spacing w:line="240" w:lineRule="atLeast"/>
        <w:ind w:left="1260" w:leftChars="344" w:hanging="538"/>
        <w:jc w:val="center"/>
        <w:outlineLvl w:val="9"/>
        <w:rPr>
          <w:rFonts w:hint="eastAsia" w:asciiTheme="minorEastAsia" w:hAnsiTheme="minorEastAsia" w:eastAsiaTheme="minorEastAsia" w:cstheme="minorEastAsia"/>
          <w:color w:val="auto"/>
          <w:sz w:val="24"/>
          <w:highlight w:val="none"/>
          <w:lang w:val="en-US" w:eastAsia="zh-CN"/>
        </w:rPr>
      </w:pPr>
    </w:p>
    <w:p w14:paraId="15EE0AE5">
      <w:pPr>
        <w:pStyle w:val="12"/>
        <w:tabs>
          <w:tab w:val="left" w:pos="5580"/>
        </w:tabs>
        <w:spacing w:line="240" w:lineRule="atLeast"/>
        <w:ind w:left="1260" w:leftChars="344" w:hanging="538"/>
        <w:jc w:val="center"/>
        <w:outlineLvl w:val="9"/>
        <w:rPr>
          <w:rFonts w:hint="eastAsia" w:asciiTheme="minorEastAsia" w:hAnsiTheme="minorEastAsia" w:eastAsiaTheme="minorEastAsia" w:cstheme="minorEastAsia"/>
          <w:color w:val="auto"/>
          <w:sz w:val="24"/>
          <w:highlight w:val="none"/>
          <w:lang w:val="en-US" w:eastAsia="zh-CN"/>
        </w:rPr>
      </w:pPr>
    </w:p>
    <w:p w14:paraId="0973CBD5">
      <w:pPr>
        <w:pStyle w:val="12"/>
        <w:tabs>
          <w:tab w:val="left" w:pos="5580"/>
        </w:tabs>
        <w:spacing w:line="240" w:lineRule="atLeast"/>
        <w:ind w:left="1441" w:leftChars="686" w:firstLine="106" w:firstLineChars="44"/>
        <w:jc w:val="both"/>
        <w:outlineLvl w:val="9"/>
        <w:rPr>
          <w:rFonts w:hint="eastAsia" w:asciiTheme="minorEastAsia" w:hAnsiTheme="minorEastAsia" w:eastAsiaTheme="minorEastAsia" w:cstheme="minorEastAsia"/>
          <w:b/>
          <w:color w:val="auto"/>
          <w:kern w:val="0"/>
          <w:sz w:val="24"/>
          <w:szCs w:val="20"/>
          <w:highlight w:val="none"/>
          <w:lang w:val="en-US" w:eastAsia="zh-CN" w:bidi="ar-SA"/>
        </w:rPr>
      </w:pPr>
      <w:r>
        <w:rPr>
          <w:rFonts w:hint="eastAsia" w:asciiTheme="minorEastAsia" w:hAnsiTheme="minorEastAsia" w:eastAsiaTheme="minorEastAsia" w:cstheme="minorEastAsia"/>
          <w:b/>
          <w:color w:val="auto"/>
          <w:kern w:val="0"/>
          <w:sz w:val="24"/>
          <w:szCs w:val="20"/>
          <w:highlight w:val="none"/>
          <w:lang w:val="en-US" w:eastAsia="zh-CN" w:bidi="ar-SA"/>
        </w:rPr>
        <w:br w:type="page"/>
      </w:r>
    </w:p>
    <w:p w14:paraId="0A4C635A">
      <w:pPr>
        <w:pStyle w:val="12"/>
        <w:tabs>
          <w:tab w:val="left" w:pos="5580"/>
        </w:tabs>
        <w:spacing w:line="240" w:lineRule="atLeast"/>
        <w:jc w:val="center"/>
        <w:outlineLvl w:val="1"/>
        <w:rPr>
          <w:rFonts w:hint="eastAsia" w:asciiTheme="minorEastAsia" w:hAnsiTheme="minorEastAsia" w:eastAsiaTheme="minorEastAsia" w:cstheme="minorEastAsia"/>
          <w:b/>
          <w:color w:val="auto"/>
          <w:kern w:val="0"/>
          <w:sz w:val="24"/>
          <w:szCs w:val="20"/>
          <w:highlight w:val="none"/>
          <w:lang w:val="en-US" w:eastAsia="zh-CN" w:bidi="ar-SA"/>
        </w:rPr>
      </w:pPr>
      <w:bookmarkStart w:id="336" w:name="_Toc12817"/>
      <w:r>
        <w:rPr>
          <w:rFonts w:hint="eastAsia" w:asciiTheme="minorEastAsia" w:hAnsiTheme="minorEastAsia" w:eastAsiaTheme="minorEastAsia" w:cstheme="minorEastAsia"/>
          <w:b/>
          <w:color w:val="auto"/>
          <w:kern w:val="0"/>
          <w:sz w:val="24"/>
          <w:szCs w:val="20"/>
          <w:highlight w:val="none"/>
          <w:lang w:val="en-US" w:eastAsia="zh-CN" w:bidi="ar-SA"/>
        </w:rPr>
        <w:t>12、已标价的工程量清单</w:t>
      </w:r>
      <w:bookmarkEnd w:id="336"/>
    </w:p>
    <w:p w14:paraId="5DCE58E1">
      <w:pPr>
        <w:pStyle w:val="12"/>
        <w:tabs>
          <w:tab w:val="left" w:pos="5580"/>
        </w:tabs>
        <w:spacing w:line="240" w:lineRule="atLeast"/>
        <w:ind w:left="1441" w:leftChars="686" w:firstLine="106" w:firstLineChars="44"/>
        <w:jc w:val="both"/>
        <w:rPr>
          <w:rFonts w:hint="eastAsia" w:asciiTheme="minorEastAsia" w:hAnsiTheme="minorEastAsia" w:eastAsiaTheme="minorEastAsia" w:cstheme="minorEastAsia"/>
          <w:b/>
          <w:color w:val="auto"/>
          <w:kern w:val="0"/>
          <w:sz w:val="24"/>
          <w:szCs w:val="20"/>
          <w:highlight w:val="none"/>
          <w:lang w:val="en-US" w:eastAsia="zh-CN" w:bidi="ar-SA"/>
        </w:rPr>
      </w:pPr>
    </w:p>
    <w:p w14:paraId="7294816A">
      <w:pPr>
        <w:pStyle w:val="12"/>
        <w:tabs>
          <w:tab w:val="left" w:pos="5580"/>
        </w:tabs>
        <w:spacing w:line="240" w:lineRule="atLeast"/>
        <w:jc w:val="both"/>
        <w:rPr>
          <w:rFonts w:hint="eastAsia" w:asciiTheme="minorEastAsia" w:hAnsiTheme="minorEastAsia" w:eastAsiaTheme="minorEastAsia" w:cstheme="minorEastAsia"/>
          <w:b/>
          <w:color w:val="auto"/>
          <w:kern w:val="0"/>
          <w:sz w:val="24"/>
          <w:szCs w:val="20"/>
          <w:highlight w:val="none"/>
          <w:lang w:val="en-US" w:eastAsia="zh-CN" w:bidi="ar-SA"/>
        </w:rPr>
      </w:pPr>
    </w:p>
    <w:p w14:paraId="35F4215F">
      <w:pPr>
        <w:pStyle w:val="12"/>
        <w:tabs>
          <w:tab w:val="left" w:pos="5580"/>
        </w:tabs>
        <w:spacing w:line="240" w:lineRule="atLeast"/>
        <w:ind w:left="1441" w:leftChars="686" w:firstLine="106" w:firstLineChars="44"/>
        <w:jc w:val="both"/>
        <w:rPr>
          <w:rFonts w:hint="eastAsia" w:asciiTheme="minorEastAsia" w:hAnsiTheme="minorEastAsia" w:eastAsiaTheme="minorEastAsia" w:cstheme="minorEastAsia"/>
          <w:b/>
          <w:color w:val="auto"/>
          <w:kern w:val="0"/>
          <w:sz w:val="24"/>
          <w:szCs w:val="20"/>
          <w:highlight w:val="none"/>
          <w:lang w:val="en-US" w:eastAsia="zh-CN" w:bidi="ar-SA"/>
        </w:rPr>
      </w:pPr>
    </w:p>
    <w:p w14:paraId="2655E5ED">
      <w:pPr>
        <w:pStyle w:val="13"/>
        <w:rPr>
          <w:rFonts w:hint="eastAsia" w:asciiTheme="minorEastAsia" w:hAnsiTheme="minorEastAsia" w:eastAsiaTheme="minorEastAsia" w:cstheme="minorEastAsia"/>
          <w:color w:val="auto"/>
          <w:highlight w:val="none"/>
          <w:lang w:val="en-US" w:eastAsia="zh-CN"/>
        </w:rPr>
      </w:pPr>
    </w:p>
    <w:p w14:paraId="33B12343">
      <w:pPr>
        <w:pStyle w:val="12"/>
        <w:tabs>
          <w:tab w:val="left" w:pos="5580"/>
        </w:tabs>
        <w:spacing w:line="240" w:lineRule="atLeast"/>
        <w:ind w:left="1441" w:leftChars="686" w:firstLine="106" w:firstLineChars="44"/>
        <w:jc w:val="both"/>
        <w:rPr>
          <w:rFonts w:hint="eastAsia" w:asciiTheme="minorEastAsia" w:hAnsiTheme="minorEastAsia" w:eastAsiaTheme="minorEastAsia" w:cstheme="minorEastAsia"/>
          <w:b/>
          <w:color w:val="auto"/>
          <w:kern w:val="0"/>
          <w:sz w:val="24"/>
          <w:szCs w:val="20"/>
          <w:highlight w:val="none"/>
          <w:lang w:val="en-US" w:eastAsia="zh-CN" w:bidi="ar-SA"/>
        </w:rPr>
      </w:pPr>
    </w:p>
    <w:bookmarkEnd w:id="310"/>
    <w:bookmarkEnd w:id="311"/>
    <w:bookmarkEnd w:id="312"/>
    <w:bookmarkEnd w:id="313"/>
    <w:bookmarkEnd w:id="334"/>
    <w:bookmarkEnd w:id="335"/>
    <w:p w14:paraId="36308607">
      <w:pPr>
        <w:pStyle w:val="4"/>
        <w:outlineLvl w:val="9"/>
        <w:rPr>
          <w:rFonts w:hint="eastAsia" w:asciiTheme="minorEastAsia" w:hAnsiTheme="minorEastAsia" w:eastAsiaTheme="minorEastAsia" w:cstheme="minorEastAsia"/>
          <w:b w:val="0"/>
          <w:bCs/>
          <w:color w:val="auto"/>
          <w:sz w:val="18"/>
          <w:szCs w:val="13"/>
          <w:highlight w:val="none"/>
          <w:u w:val="none"/>
          <w:lang w:val="en-US" w:eastAsia="zh-CN"/>
        </w:rPr>
      </w:pPr>
    </w:p>
    <w:p w14:paraId="583416A0">
      <w:pPr>
        <w:widowControl/>
        <w:spacing w:before="100" w:beforeAutospacing="1" w:after="100" w:afterAutospacing="1" w:line="330" w:lineRule="atLeast"/>
        <w:jc w:val="left"/>
        <w:rPr>
          <w:rFonts w:hint="eastAsia" w:asciiTheme="minorEastAsia" w:hAnsiTheme="minorEastAsia" w:eastAsiaTheme="minorEastAsia" w:cstheme="minorEastAsia"/>
          <w:color w:val="auto"/>
          <w:highlight w:val="none"/>
        </w:rPr>
      </w:pPr>
    </w:p>
    <w:p w14:paraId="33E860FD">
      <w:pPr>
        <w:pStyle w:val="7"/>
        <w:jc w:val="center"/>
        <w:rPr>
          <w:rFonts w:hint="eastAsia" w:asciiTheme="minorEastAsia" w:hAnsiTheme="minorEastAsia" w:eastAsiaTheme="minorEastAsia" w:cstheme="minorEastAsia"/>
          <w:color w:val="auto"/>
          <w:highlight w:val="none"/>
        </w:rPr>
      </w:pPr>
    </w:p>
    <w:p w14:paraId="56354D6E">
      <w:pPr>
        <w:numPr>
          <w:ilvl w:val="0"/>
          <w:numId w:val="0"/>
        </w:numPr>
        <w:spacing w:line="360" w:lineRule="exact"/>
        <w:ind w:firstLine="3132" w:firstLineChars="1300"/>
        <w:jc w:val="both"/>
        <w:outlineLvl w:val="1"/>
        <w:rPr>
          <w:rFonts w:hint="eastAsia" w:asciiTheme="minorEastAsia" w:hAnsiTheme="minorEastAsia" w:eastAsiaTheme="minorEastAsia" w:cstheme="minorEastAsia"/>
          <w:b/>
          <w:color w:val="auto"/>
          <w:kern w:val="0"/>
          <w:sz w:val="24"/>
          <w:szCs w:val="20"/>
          <w:highlight w:val="none"/>
          <w:lang w:val="en-US" w:eastAsia="zh-CN" w:bidi="ar-SA"/>
        </w:rPr>
      </w:pPr>
      <w:bookmarkStart w:id="337" w:name="_Toc19539"/>
      <w:r>
        <w:rPr>
          <w:rFonts w:hint="eastAsia" w:asciiTheme="minorEastAsia" w:hAnsiTheme="minorEastAsia" w:eastAsiaTheme="minorEastAsia" w:cstheme="minorEastAsia"/>
          <w:b/>
          <w:color w:val="auto"/>
          <w:kern w:val="0"/>
          <w:sz w:val="24"/>
          <w:szCs w:val="20"/>
          <w:highlight w:val="none"/>
          <w:lang w:val="en-US" w:eastAsia="zh-CN" w:bidi="ar-SA"/>
        </w:rPr>
        <w:t>13、技术文件</w:t>
      </w:r>
      <w:bookmarkEnd w:id="337"/>
    </w:p>
    <w:p w14:paraId="1626C936">
      <w:pPr>
        <w:pageBreakBefore w:val="0"/>
        <w:kinsoku/>
        <w:wordWrap/>
        <w:overflowPunct/>
        <w:topLinePunct w:val="0"/>
        <w:bidi w:val="0"/>
        <w:snapToGrid w:val="0"/>
        <w:spacing w:line="520" w:lineRule="exact"/>
        <w:ind w:left="1079" w:leftChars="257" w:hanging="539"/>
        <w:jc w:val="left"/>
        <w:textAlignment w:val="baseline"/>
        <w:outlineLvl w:val="1"/>
        <w:rPr>
          <w:rFonts w:hint="eastAsia" w:ascii="微软雅黑" w:hAnsi="微软雅黑" w:eastAsia="微软雅黑" w:cs="微软雅黑"/>
          <w:b/>
          <w:color w:val="auto"/>
          <w:kern w:val="0"/>
          <w:sz w:val="24"/>
          <w:szCs w:val="20"/>
          <w:highlight w:val="none"/>
        </w:rPr>
      </w:pPr>
    </w:p>
    <w:p w14:paraId="272CE90C">
      <w:pPr>
        <w:pageBreakBefore w:val="0"/>
        <w:kinsoku/>
        <w:wordWrap/>
        <w:overflowPunct/>
        <w:topLinePunct w:val="0"/>
        <w:bidi w:val="0"/>
        <w:snapToGrid w:val="0"/>
        <w:spacing w:line="520" w:lineRule="exact"/>
        <w:ind w:left="1079" w:leftChars="257" w:hanging="539"/>
        <w:jc w:val="left"/>
        <w:textAlignment w:val="baseline"/>
        <w:outlineLvl w:val="1"/>
        <w:rPr>
          <w:rFonts w:hint="eastAsia" w:ascii="微软雅黑" w:hAnsi="微软雅黑" w:eastAsia="微软雅黑" w:cs="微软雅黑"/>
          <w:b/>
          <w:color w:val="auto"/>
          <w:kern w:val="0"/>
          <w:sz w:val="24"/>
          <w:szCs w:val="20"/>
          <w:highlight w:val="none"/>
        </w:rPr>
      </w:pPr>
    </w:p>
    <w:p w14:paraId="40984A5C">
      <w:pPr>
        <w:pageBreakBefore w:val="0"/>
        <w:kinsoku/>
        <w:wordWrap/>
        <w:overflowPunct/>
        <w:topLinePunct w:val="0"/>
        <w:bidi w:val="0"/>
        <w:snapToGrid w:val="0"/>
        <w:spacing w:line="520" w:lineRule="exact"/>
        <w:ind w:left="1079" w:leftChars="257" w:hanging="539"/>
        <w:jc w:val="left"/>
        <w:textAlignment w:val="baseline"/>
        <w:outlineLvl w:val="1"/>
        <w:rPr>
          <w:rFonts w:hint="eastAsia" w:ascii="微软雅黑" w:hAnsi="微软雅黑" w:eastAsia="微软雅黑" w:cs="微软雅黑"/>
          <w:b/>
          <w:color w:val="auto"/>
          <w:kern w:val="0"/>
          <w:sz w:val="24"/>
          <w:szCs w:val="20"/>
          <w:highlight w:val="none"/>
        </w:rPr>
      </w:pPr>
    </w:p>
    <w:p w14:paraId="44FBDC54">
      <w:pPr>
        <w:pageBreakBefore w:val="0"/>
        <w:kinsoku/>
        <w:wordWrap/>
        <w:overflowPunct/>
        <w:topLinePunct w:val="0"/>
        <w:bidi w:val="0"/>
        <w:snapToGrid w:val="0"/>
        <w:spacing w:line="520" w:lineRule="exact"/>
        <w:ind w:left="1079" w:leftChars="257" w:hanging="539"/>
        <w:jc w:val="left"/>
        <w:textAlignment w:val="baseline"/>
        <w:outlineLvl w:val="1"/>
        <w:rPr>
          <w:rFonts w:hint="eastAsia" w:ascii="微软雅黑" w:hAnsi="微软雅黑" w:eastAsia="微软雅黑" w:cs="微软雅黑"/>
          <w:b/>
          <w:color w:val="auto"/>
          <w:kern w:val="0"/>
          <w:sz w:val="24"/>
          <w:szCs w:val="20"/>
          <w:highlight w:val="none"/>
        </w:rPr>
      </w:pPr>
    </w:p>
    <w:p w14:paraId="7DEB339A">
      <w:pPr>
        <w:pageBreakBefore w:val="0"/>
        <w:kinsoku/>
        <w:wordWrap/>
        <w:overflowPunct/>
        <w:topLinePunct w:val="0"/>
        <w:bidi w:val="0"/>
        <w:snapToGrid w:val="0"/>
        <w:spacing w:line="520" w:lineRule="exact"/>
        <w:ind w:left="1079" w:leftChars="257" w:hanging="539"/>
        <w:jc w:val="left"/>
        <w:textAlignment w:val="baseline"/>
        <w:outlineLvl w:val="1"/>
        <w:rPr>
          <w:rFonts w:hint="eastAsia" w:ascii="微软雅黑" w:hAnsi="微软雅黑" w:eastAsia="微软雅黑" w:cs="微软雅黑"/>
          <w:b/>
          <w:color w:val="auto"/>
          <w:kern w:val="0"/>
          <w:sz w:val="24"/>
          <w:szCs w:val="20"/>
          <w:highlight w:val="none"/>
        </w:rPr>
      </w:pPr>
    </w:p>
    <w:p w14:paraId="6A9CCC25">
      <w:pPr>
        <w:pageBreakBefore w:val="0"/>
        <w:kinsoku/>
        <w:wordWrap/>
        <w:overflowPunct/>
        <w:topLinePunct w:val="0"/>
        <w:bidi w:val="0"/>
        <w:snapToGrid w:val="0"/>
        <w:spacing w:line="520" w:lineRule="exact"/>
        <w:ind w:left="1079" w:leftChars="257" w:hanging="539"/>
        <w:jc w:val="left"/>
        <w:textAlignment w:val="baseline"/>
        <w:outlineLvl w:val="1"/>
        <w:rPr>
          <w:rFonts w:hint="eastAsia" w:ascii="微软雅黑" w:hAnsi="微软雅黑" w:eastAsia="微软雅黑" w:cs="微软雅黑"/>
          <w:b/>
          <w:color w:val="auto"/>
          <w:kern w:val="0"/>
          <w:sz w:val="24"/>
          <w:szCs w:val="20"/>
          <w:highlight w:val="none"/>
        </w:rPr>
      </w:pPr>
    </w:p>
    <w:p w14:paraId="1DA579B8">
      <w:pPr>
        <w:pageBreakBefore w:val="0"/>
        <w:kinsoku/>
        <w:wordWrap/>
        <w:overflowPunct/>
        <w:topLinePunct w:val="0"/>
        <w:bidi w:val="0"/>
        <w:snapToGrid w:val="0"/>
        <w:spacing w:line="520" w:lineRule="exact"/>
        <w:ind w:left="1079" w:leftChars="257" w:hanging="539"/>
        <w:jc w:val="left"/>
        <w:textAlignment w:val="baseline"/>
        <w:outlineLvl w:val="1"/>
        <w:rPr>
          <w:rFonts w:hint="eastAsia" w:ascii="微软雅黑" w:hAnsi="微软雅黑" w:eastAsia="微软雅黑" w:cs="微软雅黑"/>
          <w:b/>
          <w:color w:val="auto"/>
          <w:kern w:val="0"/>
          <w:sz w:val="24"/>
          <w:szCs w:val="20"/>
          <w:highlight w:val="none"/>
        </w:rPr>
      </w:pPr>
    </w:p>
    <w:p w14:paraId="4F685679">
      <w:pPr>
        <w:pageBreakBefore w:val="0"/>
        <w:kinsoku/>
        <w:wordWrap/>
        <w:overflowPunct/>
        <w:topLinePunct w:val="0"/>
        <w:bidi w:val="0"/>
        <w:snapToGrid w:val="0"/>
        <w:spacing w:line="520" w:lineRule="exact"/>
        <w:ind w:left="1079" w:leftChars="257" w:hanging="539"/>
        <w:jc w:val="left"/>
        <w:textAlignment w:val="baseline"/>
        <w:outlineLvl w:val="1"/>
        <w:rPr>
          <w:rFonts w:hint="eastAsia" w:ascii="微软雅黑" w:hAnsi="微软雅黑" w:eastAsia="微软雅黑" w:cs="微软雅黑"/>
          <w:b/>
          <w:color w:val="auto"/>
          <w:kern w:val="0"/>
          <w:sz w:val="24"/>
          <w:szCs w:val="20"/>
          <w:highlight w:val="none"/>
        </w:rPr>
      </w:pPr>
    </w:p>
    <w:p w14:paraId="56BE837E">
      <w:pPr>
        <w:pageBreakBefore w:val="0"/>
        <w:kinsoku/>
        <w:wordWrap/>
        <w:overflowPunct/>
        <w:topLinePunct w:val="0"/>
        <w:bidi w:val="0"/>
        <w:snapToGrid w:val="0"/>
        <w:spacing w:line="520" w:lineRule="exact"/>
        <w:ind w:left="1079" w:leftChars="257" w:hanging="539"/>
        <w:jc w:val="left"/>
        <w:textAlignment w:val="baseline"/>
        <w:outlineLvl w:val="1"/>
        <w:rPr>
          <w:rFonts w:hint="eastAsia" w:ascii="微软雅黑" w:hAnsi="微软雅黑" w:eastAsia="微软雅黑" w:cs="微软雅黑"/>
          <w:b/>
          <w:color w:val="auto"/>
          <w:kern w:val="0"/>
          <w:sz w:val="24"/>
          <w:szCs w:val="20"/>
          <w:highlight w:val="none"/>
        </w:rPr>
      </w:pPr>
    </w:p>
    <w:p w14:paraId="253F98B2">
      <w:pPr>
        <w:pageBreakBefore w:val="0"/>
        <w:kinsoku/>
        <w:wordWrap/>
        <w:overflowPunct/>
        <w:topLinePunct w:val="0"/>
        <w:bidi w:val="0"/>
        <w:snapToGrid w:val="0"/>
        <w:spacing w:line="520" w:lineRule="exact"/>
        <w:ind w:left="1079" w:leftChars="257" w:hanging="539"/>
        <w:jc w:val="left"/>
        <w:textAlignment w:val="baseline"/>
        <w:outlineLvl w:val="1"/>
        <w:rPr>
          <w:rFonts w:hint="eastAsia" w:ascii="微软雅黑" w:hAnsi="微软雅黑" w:eastAsia="微软雅黑" w:cs="微软雅黑"/>
          <w:b/>
          <w:color w:val="auto"/>
          <w:kern w:val="0"/>
          <w:sz w:val="24"/>
          <w:szCs w:val="20"/>
          <w:highlight w:val="none"/>
        </w:rPr>
      </w:pPr>
    </w:p>
    <w:p w14:paraId="7875C90C">
      <w:pPr>
        <w:pageBreakBefore w:val="0"/>
        <w:kinsoku/>
        <w:wordWrap/>
        <w:overflowPunct/>
        <w:topLinePunct w:val="0"/>
        <w:bidi w:val="0"/>
        <w:snapToGrid w:val="0"/>
        <w:spacing w:line="520" w:lineRule="exact"/>
        <w:ind w:left="1079" w:leftChars="257" w:hanging="539"/>
        <w:jc w:val="left"/>
        <w:textAlignment w:val="baseline"/>
        <w:outlineLvl w:val="1"/>
        <w:rPr>
          <w:rFonts w:hint="eastAsia" w:ascii="微软雅黑" w:hAnsi="微软雅黑" w:eastAsia="微软雅黑" w:cs="微软雅黑"/>
          <w:b/>
          <w:color w:val="auto"/>
          <w:kern w:val="0"/>
          <w:sz w:val="24"/>
          <w:szCs w:val="20"/>
          <w:highlight w:val="none"/>
        </w:rPr>
      </w:pPr>
    </w:p>
    <w:p w14:paraId="41F71F50">
      <w:pPr>
        <w:pageBreakBefore w:val="0"/>
        <w:kinsoku/>
        <w:wordWrap/>
        <w:overflowPunct/>
        <w:topLinePunct w:val="0"/>
        <w:bidi w:val="0"/>
        <w:snapToGrid w:val="0"/>
        <w:spacing w:line="520" w:lineRule="exact"/>
        <w:ind w:left="1079" w:leftChars="257" w:hanging="539"/>
        <w:jc w:val="left"/>
        <w:textAlignment w:val="baseline"/>
        <w:outlineLvl w:val="1"/>
        <w:rPr>
          <w:rFonts w:hint="eastAsia" w:ascii="微软雅黑" w:hAnsi="微软雅黑" w:eastAsia="微软雅黑" w:cs="微软雅黑"/>
          <w:b/>
          <w:color w:val="auto"/>
          <w:kern w:val="0"/>
          <w:sz w:val="24"/>
          <w:szCs w:val="20"/>
          <w:highlight w:val="none"/>
        </w:rPr>
      </w:pPr>
    </w:p>
    <w:p w14:paraId="788B0165">
      <w:pPr>
        <w:pageBreakBefore w:val="0"/>
        <w:kinsoku/>
        <w:wordWrap/>
        <w:overflowPunct/>
        <w:topLinePunct w:val="0"/>
        <w:bidi w:val="0"/>
        <w:snapToGrid w:val="0"/>
        <w:spacing w:line="520" w:lineRule="exact"/>
        <w:ind w:left="1079" w:leftChars="257" w:hanging="539"/>
        <w:jc w:val="left"/>
        <w:textAlignment w:val="baseline"/>
        <w:outlineLvl w:val="1"/>
        <w:rPr>
          <w:rFonts w:hint="eastAsia" w:ascii="微软雅黑" w:hAnsi="微软雅黑" w:eastAsia="微软雅黑" w:cs="微软雅黑"/>
          <w:b/>
          <w:color w:val="auto"/>
          <w:kern w:val="0"/>
          <w:sz w:val="24"/>
          <w:szCs w:val="20"/>
          <w:highlight w:val="none"/>
        </w:rPr>
      </w:pPr>
    </w:p>
    <w:p w14:paraId="5A38588D">
      <w:pPr>
        <w:pageBreakBefore w:val="0"/>
        <w:kinsoku/>
        <w:wordWrap/>
        <w:overflowPunct/>
        <w:topLinePunct w:val="0"/>
        <w:bidi w:val="0"/>
        <w:snapToGrid w:val="0"/>
        <w:spacing w:line="520" w:lineRule="exact"/>
        <w:ind w:left="1079" w:leftChars="257" w:hanging="539"/>
        <w:jc w:val="left"/>
        <w:textAlignment w:val="baseline"/>
        <w:outlineLvl w:val="1"/>
        <w:rPr>
          <w:rFonts w:hint="eastAsia" w:ascii="微软雅黑" w:hAnsi="微软雅黑" w:eastAsia="微软雅黑" w:cs="微软雅黑"/>
          <w:b/>
          <w:color w:val="auto"/>
          <w:kern w:val="0"/>
          <w:sz w:val="24"/>
          <w:szCs w:val="20"/>
          <w:highlight w:val="none"/>
        </w:rPr>
      </w:pPr>
    </w:p>
    <w:p w14:paraId="0B0AC627">
      <w:pPr>
        <w:pageBreakBefore w:val="0"/>
        <w:kinsoku/>
        <w:wordWrap/>
        <w:overflowPunct/>
        <w:topLinePunct w:val="0"/>
        <w:bidi w:val="0"/>
        <w:snapToGrid w:val="0"/>
        <w:spacing w:line="520" w:lineRule="exact"/>
        <w:ind w:left="1079" w:leftChars="257" w:hanging="539"/>
        <w:jc w:val="left"/>
        <w:textAlignment w:val="baseline"/>
        <w:outlineLvl w:val="1"/>
        <w:rPr>
          <w:rFonts w:hint="eastAsia" w:ascii="微软雅黑" w:hAnsi="微软雅黑" w:eastAsia="微软雅黑" w:cs="微软雅黑"/>
          <w:b/>
          <w:color w:val="auto"/>
          <w:kern w:val="0"/>
          <w:sz w:val="24"/>
          <w:szCs w:val="20"/>
          <w:highlight w:val="none"/>
        </w:rPr>
      </w:pPr>
    </w:p>
    <w:p w14:paraId="478D28C1">
      <w:pPr>
        <w:pageBreakBefore w:val="0"/>
        <w:kinsoku/>
        <w:wordWrap/>
        <w:overflowPunct/>
        <w:topLinePunct w:val="0"/>
        <w:bidi w:val="0"/>
        <w:snapToGrid w:val="0"/>
        <w:spacing w:line="520" w:lineRule="exact"/>
        <w:ind w:left="1079" w:leftChars="257" w:hanging="539"/>
        <w:jc w:val="left"/>
        <w:textAlignment w:val="baseline"/>
        <w:outlineLvl w:val="1"/>
        <w:rPr>
          <w:rFonts w:hint="eastAsia" w:ascii="微软雅黑" w:hAnsi="微软雅黑" w:eastAsia="微软雅黑" w:cs="微软雅黑"/>
          <w:b/>
          <w:color w:val="auto"/>
          <w:kern w:val="0"/>
          <w:sz w:val="24"/>
          <w:szCs w:val="20"/>
          <w:highlight w:val="none"/>
        </w:rPr>
      </w:pPr>
    </w:p>
    <w:p w14:paraId="5CCC066B">
      <w:pPr>
        <w:pageBreakBefore w:val="0"/>
        <w:kinsoku/>
        <w:wordWrap/>
        <w:overflowPunct/>
        <w:topLinePunct w:val="0"/>
        <w:bidi w:val="0"/>
        <w:snapToGrid w:val="0"/>
        <w:spacing w:line="520" w:lineRule="exact"/>
        <w:ind w:left="1079" w:leftChars="257" w:hanging="539"/>
        <w:jc w:val="left"/>
        <w:textAlignment w:val="baseline"/>
        <w:outlineLvl w:val="1"/>
        <w:rPr>
          <w:rFonts w:hint="eastAsia" w:ascii="微软雅黑" w:hAnsi="微软雅黑" w:eastAsia="微软雅黑" w:cs="微软雅黑"/>
          <w:b/>
          <w:color w:val="auto"/>
          <w:kern w:val="0"/>
          <w:sz w:val="24"/>
          <w:szCs w:val="20"/>
          <w:highlight w:val="none"/>
        </w:rPr>
      </w:pPr>
    </w:p>
    <w:p w14:paraId="3893A6CF">
      <w:pPr>
        <w:pageBreakBefore w:val="0"/>
        <w:kinsoku/>
        <w:wordWrap/>
        <w:overflowPunct/>
        <w:topLinePunct w:val="0"/>
        <w:bidi w:val="0"/>
        <w:snapToGrid w:val="0"/>
        <w:spacing w:line="520" w:lineRule="exact"/>
        <w:ind w:left="1079" w:leftChars="257" w:hanging="539"/>
        <w:jc w:val="left"/>
        <w:textAlignment w:val="baseline"/>
        <w:outlineLvl w:val="1"/>
        <w:rPr>
          <w:rFonts w:hint="eastAsia" w:ascii="微软雅黑" w:hAnsi="微软雅黑" w:eastAsia="微软雅黑" w:cs="微软雅黑"/>
          <w:b/>
          <w:color w:val="auto"/>
          <w:kern w:val="0"/>
          <w:sz w:val="24"/>
          <w:szCs w:val="20"/>
          <w:highlight w:val="none"/>
        </w:rPr>
      </w:pPr>
    </w:p>
    <w:p w14:paraId="3DF83851">
      <w:pPr>
        <w:pageBreakBefore w:val="0"/>
        <w:kinsoku/>
        <w:wordWrap/>
        <w:overflowPunct/>
        <w:topLinePunct w:val="0"/>
        <w:bidi w:val="0"/>
        <w:snapToGrid w:val="0"/>
        <w:spacing w:line="520" w:lineRule="exact"/>
        <w:ind w:left="1079" w:leftChars="257" w:hanging="539"/>
        <w:jc w:val="left"/>
        <w:textAlignment w:val="baseline"/>
        <w:outlineLvl w:val="9"/>
        <w:rPr>
          <w:rFonts w:hint="eastAsia" w:ascii="微软雅黑" w:hAnsi="微软雅黑" w:eastAsia="微软雅黑" w:cs="微软雅黑"/>
          <w:b/>
          <w:color w:val="auto"/>
          <w:kern w:val="0"/>
          <w:sz w:val="24"/>
          <w:szCs w:val="20"/>
          <w:highlight w:val="none"/>
        </w:rPr>
      </w:pPr>
      <w:r>
        <w:rPr>
          <w:rFonts w:hint="eastAsia" w:ascii="微软雅黑" w:hAnsi="微软雅黑" w:eastAsia="微软雅黑" w:cs="微软雅黑"/>
          <w:b/>
          <w:color w:val="auto"/>
          <w:kern w:val="0"/>
          <w:sz w:val="24"/>
          <w:szCs w:val="20"/>
          <w:highlight w:val="none"/>
          <w:lang w:val="en-US" w:eastAsia="zh-CN"/>
        </w:rPr>
        <w:t>14、</w:t>
      </w:r>
      <w:r>
        <w:rPr>
          <w:rFonts w:hint="eastAsia" w:ascii="微软雅黑" w:hAnsi="微软雅黑" w:eastAsia="微软雅黑" w:cs="微软雅黑"/>
          <w:b/>
          <w:color w:val="auto"/>
          <w:kern w:val="0"/>
          <w:sz w:val="24"/>
          <w:szCs w:val="20"/>
          <w:highlight w:val="none"/>
        </w:rPr>
        <w:t>响应文件格式范本</w:t>
      </w:r>
    </w:p>
    <w:tbl>
      <w:tblPr>
        <w:tblStyle w:val="25"/>
        <w:tblpPr w:leftFromText="180" w:rightFromText="180" w:vertAnchor="text" w:horzAnchor="page" w:tblpX="1343" w:tblpY="413"/>
        <w:tblOverlap w:val="never"/>
        <w:tblW w:w="960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600"/>
      </w:tblGrid>
      <w:tr w14:paraId="54570089">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979" w:hRule="atLeast"/>
        </w:trPr>
        <w:tc>
          <w:tcPr>
            <w:tcW w:w="9600" w:type="dxa"/>
            <w:shd w:val="clear" w:color="auto" w:fill="FCFEEA"/>
          </w:tcPr>
          <w:p w14:paraId="2CED1AD2">
            <w:pPr>
              <w:pStyle w:val="10"/>
              <w:pageBreakBefore w:val="0"/>
              <w:kinsoku/>
              <w:wordWrap/>
              <w:overflowPunct/>
              <w:topLinePunct w:val="0"/>
              <w:bidi w:val="0"/>
              <w:snapToGrid w:val="0"/>
              <w:spacing w:line="520" w:lineRule="exact"/>
              <w:jc w:val="center"/>
              <w:textAlignment w:val="baseline"/>
              <w:rPr>
                <w:rFonts w:hint="eastAsia" w:ascii="微软雅黑" w:hAnsi="微软雅黑" w:eastAsia="微软雅黑" w:cs="微软雅黑"/>
                <w:b/>
                <w:bCs/>
                <w:color w:val="auto"/>
                <w:sz w:val="28"/>
                <w:szCs w:val="28"/>
                <w:highlight w:val="none"/>
                <w:lang w:eastAsia="zh-CN"/>
              </w:rPr>
            </w:pPr>
            <w:r>
              <w:rPr>
                <w:rFonts w:hint="eastAsia" w:ascii="微软雅黑" w:hAnsi="微软雅黑" w:eastAsia="微软雅黑" w:cs="微软雅黑"/>
                <w:b/>
                <w:bCs/>
                <w:color w:val="auto"/>
                <w:sz w:val="28"/>
                <w:szCs w:val="28"/>
                <w:highlight w:val="none"/>
              </w:rPr>
              <w:t xml:space="preserve">                                               </w:t>
            </w:r>
            <w:r>
              <w:rPr>
                <w:rFonts w:hint="eastAsia" w:ascii="微软雅黑" w:hAnsi="微软雅黑" w:eastAsia="微软雅黑" w:cs="微软雅黑"/>
                <w:b/>
                <w:bCs/>
                <w:color w:val="auto"/>
                <w:sz w:val="28"/>
                <w:szCs w:val="28"/>
                <w:highlight w:val="none"/>
                <w:lang w:val="en-US" w:eastAsia="zh-CN"/>
              </w:rPr>
              <w:t xml:space="preserve"> </w:t>
            </w:r>
          </w:p>
          <w:p w14:paraId="4970BCD0">
            <w:pPr>
              <w:pStyle w:val="10"/>
              <w:pageBreakBefore w:val="0"/>
              <w:kinsoku/>
              <w:wordWrap/>
              <w:overflowPunct/>
              <w:topLinePunct w:val="0"/>
              <w:bidi w:val="0"/>
              <w:snapToGrid w:val="0"/>
              <w:spacing w:line="520" w:lineRule="exact"/>
              <w:ind w:firstLine="4202" w:firstLineChars="1500"/>
              <w:textAlignment w:val="baseline"/>
              <w:rPr>
                <w:rFonts w:ascii="微软雅黑" w:hAnsi="微软雅黑" w:eastAsia="微软雅黑" w:cs="微软雅黑"/>
                <w:b/>
                <w:bCs/>
                <w:color w:val="auto"/>
                <w:sz w:val="28"/>
                <w:szCs w:val="28"/>
                <w:highlight w:val="none"/>
              </w:rPr>
            </w:pPr>
          </w:p>
          <w:p w14:paraId="283D0E9F">
            <w:pPr>
              <w:pStyle w:val="10"/>
              <w:pageBreakBefore w:val="0"/>
              <w:kinsoku/>
              <w:wordWrap/>
              <w:overflowPunct/>
              <w:topLinePunct w:val="0"/>
              <w:bidi w:val="0"/>
              <w:snapToGrid w:val="0"/>
              <w:spacing w:line="520" w:lineRule="exact"/>
              <w:textAlignment w:val="baseline"/>
              <w:rPr>
                <w:rFonts w:ascii="微软雅黑" w:hAnsi="微软雅黑" w:eastAsia="微软雅黑" w:cs="微软雅黑"/>
                <w:b/>
                <w:bCs/>
                <w:color w:val="auto"/>
                <w:sz w:val="28"/>
                <w:szCs w:val="28"/>
                <w:highlight w:val="none"/>
              </w:rPr>
            </w:pPr>
          </w:p>
          <w:p w14:paraId="35531C53">
            <w:pPr>
              <w:pStyle w:val="10"/>
              <w:pageBreakBefore w:val="0"/>
              <w:kinsoku/>
              <w:wordWrap/>
              <w:overflowPunct/>
              <w:topLinePunct w:val="0"/>
              <w:bidi w:val="0"/>
              <w:snapToGrid w:val="0"/>
              <w:spacing w:line="520" w:lineRule="exact"/>
              <w:ind w:firstLine="2521" w:firstLineChars="900"/>
              <w:textAlignment w:val="baseline"/>
              <w:rPr>
                <w:rFonts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 *** *** *** ***   项目</w:t>
            </w:r>
          </w:p>
          <w:p w14:paraId="25A4C4CF">
            <w:pPr>
              <w:pStyle w:val="10"/>
              <w:pageBreakBefore w:val="0"/>
              <w:kinsoku/>
              <w:wordWrap/>
              <w:overflowPunct/>
              <w:topLinePunct w:val="0"/>
              <w:bidi w:val="0"/>
              <w:snapToGrid w:val="0"/>
              <w:spacing w:line="520" w:lineRule="exact"/>
              <w:jc w:val="center"/>
              <w:textAlignment w:val="baseline"/>
              <w:rPr>
                <w:rFonts w:ascii="微软雅黑" w:hAnsi="微软雅黑" w:eastAsia="微软雅黑" w:cs="微软雅黑"/>
                <w:b/>
                <w:bCs/>
                <w:color w:val="auto"/>
                <w:sz w:val="21"/>
                <w:szCs w:val="21"/>
                <w:highlight w:val="none"/>
              </w:rPr>
            </w:pPr>
          </w:p>
          <w:p w14:paraId="7560C5FC">
            <w:pPr>
              <w:pStyle w:val="10"/>
              <w:pageBreakBefore w:val="0"/>
              <w:kinsoku/>
              <w:wordWrap/>
              <w:overflowPunct/>
              <w:topLinePunct w:val="0"/>
              <w:bidi w:val="0"/>
              <w:snapToGrid w:val="0"/>
              <w:spacing w:line="520" w:lineRule="exact"/>
              <w:ind w:firstLine="3152" w:firstLineChars="1500"/>
              <w:textAlignment w:val="baseline"/>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编号 ＊＊＊</w:t>
            </w:r>
          </w:p>
          <w:p w14:paraId="22D89447">
            <w:pPr>
              <w:pStyle w:val="10"/>
              <w:pageBreakBefore w:val="0"/>
              <w:kinsoku/>
              <w:wordWrap/>
              <w:overflowPunct/>
              <w:topLinePunct w:val="0"/>
              <w:bidi w:val="0"/>
              <w:snapToGrid w:val="0"/>
              <w:spacing w:line="520" w:lineRule="exact"/>
              <w:jc w:val="both"/>
              <w:textAlignment w:val="baseline"/>
              <w:rPr>
                <w:rFonts w:ascii="微软雅黑" w:hAnsi="微软雅黑" w:eastAsia="微软雅黑" w:cs="微软雅黑"/>
                <w:b/>
                <w:bCs/>
                <w:color w:val="auto"/>
                <w:sz w:val="48"/>
                <w:highlight w:val="none"/>
              </w:rPr>
            </w:pPr>
          </w:p>
          <w:p w14:paraId="441A626C">
            <w:pPr>
              <w:pStyle w:val="10"/>
              <w:pageBreakBefore w:val="0"/>
              <w:kinsoku/>
              <w:wordWrap/>
              <w:overflowPunct/>
              <w:topLinePunct w:val="0"/>
              <w:bidi w:val="0"/>
              <w:snapToGrid w:val="0"/>
              <w:spacing w:line="520" w:lineRule="exact"/>
              <w:jc w:val="center"/>
              <w:textAlignment w:val="baseline"/>
              <w:rPr>
                <w:rFonts w:ascii="微软雅黑" w:hAnsi="微软雅黑" w:eastAsia="微软雅黑" w:cs="微软雅黑"/>
                <w:b/>
                <w:bCs/>
                <w:color w:val="auto"/>
                <w:sz w:val="48"/>
                <w:highlight w:val="none"/>
              </w:rPr>
            </w:pPr>
            <w:r>
              <w:rPr>
                <w:rFonts w:hint="eastAsia" w:ascii="微软雅黑" w:hAnsi="微软雅黑" w:eastAsia="微软雅黑" w:cs="微软雅黑"/>
                <w:b/>
                <w:bCs/>
                <w:color w:val="auto"/>
                <w:sz w:val="48"/>
                <w:highlight w:val="none"/>
              </w:rPr>
              <w:t>响 应 文 件</w:t>
            </w:r>
          </w:p>
          <w:p w14:paraId="77CD9706">
            <w:pPr>
              <w:pStyle w:val="7"/>
              <w:pageBreakBefore w:val="0"/>
              <w:kinsoku/>
              <w:wordWrap/>
              <w:overflowPunct/>
              <w:topLinePunct w:val="0"/>
              <w:bidi w:val="0"/>
              <w:snapToGrid w:val="0"/>
              <w:spacing w:line="520" w:lineRule="exact"/>
              <w:ind w:firstLine="0"/>
              <w:textAlignment w:val="baseline"/>
              <w:rPr>
                <w:rFonts w:ascii="微软雅黑" w:hAnsi="微软雅黑" w:eastAsia="微软雅黑" w:cs="微软雅黑"/>
                <w:b/>
                <w:color w:val="auto"/>
                <w:sz w:val="32"/>
                <w:highlight w:val="none"/>
              </w:rPr>
            </w:pPr>
          </w:p>
          <w:p w14:paraId="5D370061">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highlight w:val="none"/>
              </w:rPr>
            </w:pPr>
            <w:r>
              <w:rPr>
                <w:rFonts w:hint="eastAsia" w:ascii="微软雅黑" w:hAnsi="微软雅黑" w:eastAsia="微软雅黑" w:cs="微软雅黑"/>
                <w:color w:val="auto"/>
                <w:szCs w:val="21"/>
                <w:highlight w:val="none"/>
              </w:rPr>
              <w:t>磋商单位：</w:t>
            </w:r>
            <w:r>
              <w:rPr>
                <w:rFonts w:hint="eastAsia" w:ascii="微软雅黑" w:hAnsi="微软雅黑" w:eastAsia="微软雅黑" w:cs="微软雅黑"/>
                <w:color w:val="auto"/>
                <w:szCs w:val="21"/>
                <w:highlight w:val="none"/>
                <w:u w:val="single" w:color="000000"/>
              </w:rPr>
              <w:t xml:space="preserve">                                       </w:t>
            </w:r>
            <w:r>
              <w:rPr>
                <w:rFonts w:hint="eastAsia" w:ascii="微软雅黑" w:hAnsi="微软雅黑" w:eastAsia="微软雅黑" w:cs="微软雅黑"/>
                <w:color w:val="auto"/>
                <w:szCs w:val="21"/>
                <w:highlight w:val="none"/>
              </w:rPr>
              <w:t>（公章）</w:t>
            </w:r>
          </w:p>
          <w:p w14:paraId="1105EB90">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highlight w:val="none"/>
                <w:u w:val="single" w:color="000000"/>
              </w:rPr>
            </w:pPr>
            <w:r>
              <w:rPr>
                <w:rFonts w:hint="eastAsia" w:ascii="微软雅黑" w:hAnsi="微软雅黑" w:eastAsia="微软雅黑" w:cs="微软雅黑"/>
                <w:color w:val="auto"/>
                <w:szCs w:val="21"/>
                <w:highlight w:val="none"/>
              </w:rPr>
              <w:t>项目名称：</w:t>
            </w:r>
            <w:r>
              <w:rPr>
                <w:rFonts w:hint="eastAsia" w:ascii="微软雅黑" w:hAnsi="微软雅黑" w:eastAsia="微软雅黑" w:cs="微软雅黑"/>
                <w:color w:val="auto"/>
                <w:szCs w:val="21"/>
                <w:highlight w:val="none"/>
                <w:u w:val="single" w:color="000000"/>
              </w:rPr>
              <w:t xml:space="preserve">                                          </w:t>
            </w:r>
          </w:p>
          <w:p w14:paraId="6E4A71D8">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highlight w:val="none"/>
                <w:u w:val="single" w:color="000000"/>
              </w:rPr>
            </w:pPr>
            <w:r>
              <w:rPr>
                <w:rFonts w:hint="eastAsia" w:ascii="微软雅黑" w:hAnsi="微软雅黑" w:eastAsia="微软雅黑" w:cs="微软雅黑"/>
                <w:color w:val="auto"/>
                <w:szCs w:val="21"/>
                <w:highlight w:val="none"/>
              </w:rPr>
              <w:t>项目编号：</w:t>
            </w:r>
            <w:r>
              <w:rPr>
                <w:rFonts w:hint="eastAsia" w:ascii="微软雅黑" w:hAnsi="微软雅黑" w:eastAsia="微软雅黑" w:cs="微软雅黑"/>
                <w:color w:val="auto"/>
                <w:szCs w:val="21"/>
                <w:highlight w:val="none"/>
                <w:u w:val="single" w:color="000000"/>
              </w:rPr>
              <w:t xml:space="preserve">                                        </w:t>
            </w:r>
          </w:p>
          <w:p w14:paraId="37698FE2">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highlight w:val="none"/>
                <w:u w:val="single" w:color="000000"/>
              </w:rPr>
            </w:pPr>
            <w:r>
              <w:rPr>
                <w:rFonts w:hint="eastAsia" w:ascii="微软雅黑" w:hAnsi="微软雅黑" w:eastAsia="微软雅黑" w:cs="微软雅黑"/>
                <w:color w:val="auto"/>
                <w:szCs w:val="21"/>
                <w:highlight w:val="none"/>
              </w:rPr>
              <w:t>联 系 人：</w:t>
            </w:r>
            <w:r>
              <w:rPr>
                <w:rFonts w:hint="eastAsia" w:ascii="微软雅黑" w:hAnsi="微软雅黑" w:eastAsia="微软雅黑" w:cs="微软雅黑"/>
                <w:color w:val="auto"/>
                <w:szCs w:val="21"/>
                <w:highlight w:val="none"/>
                <w:u w:val="single" w:color="000000"/>
              </w:rPr>
              <w:t xml:space="preserve">                                        </w:t>
            </w:r>
          </w:p>
          <w:p w14:paraId="7B43F925">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highlight w:val="none"/>
              </w:rPr>
            </w:pPr>
            <w:r>
              <w:rPr>
                <w:rFonts w:hint="eastAsia" w:ascii="微软雅黑" w:hAnsi="微软雅黑" w:eastAsia="微软雅黑" w:cs="微软雅黑"/>
                <w:color w:val="auto"/>
                <w:szCs w:val="21"/>
                <w:highlight w:val="none"/>
              </w:rPr>
              <w:t>电    话：</w:t>
            </w:r>
            <w:r>
              <w:rPr>
                <w:rFonts w:hint="eastAsia" w:ascii="微软雅黑" w:hAnsi="微软雅黑" w:eastAsia="微软雅黑" w:cs="微软雅黑"/>
                <w:color w:val="auto"/>
                <w:szCs w:val="21"/>
                <w:highlight w:val="none"/>
                <w:u w:val="single" w:color="000000"/>
              </w:rPr>
              <w:t xml:space="preserve">                                        </w:t>
            </w:r>
          </w:p>
          <w:p w14:paraId="21231D58">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highlight w:val="none"/>
                <w:u w:val="single" w:color="000000"/>
              </w:rPr>
            </w:pPr>
            <w:r>
              <w:rPr>
                <w:rFonts w:hint="eastAsia" w:ascii="微软雅黑" w:hAnsi="微软雅黑" w:eastAsia="微软雅黑" w:cs="微软雅黑"/>
                <w:color w:val="auto"/>
                <w:szCs w:val="21"/>
                <w:highlight w:val="none"/>
              </w:rPr>
              <w:t xml:space="preserve">地    址  ：  </w:t>
            </w:r>
            <w:r>
              <w:rPr>
                <w:rFonts w:hint="eastAsia" w:ascii="微软雅黑" w:hAnsi="微软雅黑" w:eastAsia="微软雅黑" w:cs="微软雅黑"/>
                <w:color w:val="auto"/>
                <w:szCs w:val="21"/>
                <w:highlight w:val="none"/>
                <w:u w:val="single" w:color="000000"/>
              </w:rPr>
              <w:t xml:space="preserve">                                    </w:t>
            </w:r>
          </w:p>
          <w:p w14:paraId="54E89694">
            <w:pPr>
              <w:pageBreakBefore w:val="0"/>
              <w:kinsoku/>
              <w:wordWrap/>
              <w:overflowPunct/>
              <w:topLinePunct w:val="0"/>
              <w:bidi w:val="0"/>
              <w:snapToGrid w:val="0"/>
              <w:spacing w:line="520" w:lineRule="exact"/>
              <w:jc w:val="both"/>
              <w:textAlignment w:val="baseline"/>
              <w:rPr>
                <w:rFonts w:ascii="微软雅黑" w:hAnsi="微软雅黑" w:eastAsia="微软雅黑" w:cs="微软雅黑"/>
                <w:b/>
                <w:bCs/>
                <w:color w:val="auto"/>
                <w:sz w:val="20"/>
                <w:highlight w:val="none"/>
              </w:rPr>
            </w:pPr>
          </w:p>
          <w:p w14:paraId="1B20E69D">
            <w:pPr>
              <w:pageBreakBefore w:val="0"/>
              <w:kinsoku/>
              <w:wordWrap/>
              <w:overflowPunct/>
              <w:topLinePunct w:val="0"/>
              <w:bidi w:val="0"/>
              <w:snapToGrid w:val="0"/>
              <w:spacing w:line="520" w:lineRule="exact"/>
              <w:jc w:val="center"/>
              <w:textAlignment w:val="baseline"/>
              <w:rPr>
                <w:rFonts w:ascii="微软雅黑" w:hAnsi="微软雅黑" w:eastAsia="微软雅黑" w:cs="微软雅黑"/>
                <w:b/>
                <w:bCs/>
                <w:color w:val="auto"/>
                <w:sz w:val="20"/>
                <w:highlight w:val="none"/>
              </w:rPr>
            </w:pPr>
          </w:p>
          <w:p w14:paraId="6756E449">
            <w:pPr>
              <w:pageBreakBefore w:val="0"/>
              <w:kinsoku/>
              <w:wordWrap/>
              <w:overflowPunct/>
              <w:topLinePunct w:val="0"/>
              <w:bidi w:val="0"/>
              <w:snapToGrid w:val="0"/>
              <w:spacing w:line="520" w:lineRule="exact"/>
              <w:jc w:val="center"/>
              <w:textAlignment w:val="baseline"/>
              <w:rPr>
                <w:rFonts w:ascii="微软雅黑" w:hAnsi="微软雅黑" w:eastAsia="微软雅黑" w:cs="微软雅黑"/>
                <w:b/>
                <w:bCs/>
                <w:color w:val="auto"/>
                <w:sz w:val="20"/>
                <w:highlight w:val="none"/>
              </w:rPr>
            </w:pPr>
            <w:r>
              <w:rPr>
                <w:rFonts w:hint="eastAsia" w:ascii="微软雅黑" w:hAnsi="微软雅黑" w:eastAsia="微软雅黑" w:cs="微软雅黑"/>
                <w:b/>
                <w:bCs/>
                <w:color w:val="auto"/>
                <w:highlight w:val="none"/>
              </w:rPr>
              <w:t>注：   在20XX年   月  日 X午</w:t>
            </w:r>
            <w:r>
              <w:rPr>
                <w:rFonts w:hint="eastAsia" w:ascii="微软雅黑" w:hAnsi="微软雅黑" w:eastAsia="微软雅黑" w:cs="微软雅黑"/>
                <w:color w:val="auto"/>
                <w:kern w:val="0"/>
                <w:szCs w:val="21"/>
                <w:highlight w:val="none"/>
              </w:rPr>
              <w:t>XX</w:t>
            </w:r>
            <w:r>
              <w:rPr>
                <w:rFonts w:hint="eastAsia" w:ascii="微软雅黑" w:hAnsi="微软雅黑" w:eastAsia="微软雅黑" w:cs="微软雅黑"/>
                <w:b/>
                <w:bCs/>
                <w:color w:val="auto"/>
                <w:highlight w:val="none"/>
              </w:rPr>
              <w:t>之前不得启封</w:t>
            </w:r>
          </w:p>
          <w:p w14:paraId="2AA929AC">
            <w:pPr>
              <w:pageBreakBefore w:val="0"/>
              <w:kinsoku/>
              <w:wordWrap/>
              <w:overflowPunct/>
              <w:topLinePunct w:val="0"/>
              <w:bidi w:val="0"/>
              <w:snapToGrid w:val="0"/>
              <w:spacing w:line="520" w:lineRule="exact"/>
              <w:jc w:val="center"/>
              <w:textAlignment w:val="baseline"/>
              <w:rPr>
                <w:rFonts w:ascii="微软雅黑" w:hAnsi="微软雅黑" w:eastAsia="微软雅黑" w:cs="微软雅黑"/>
                <w:b/>
                <w:bCs/>
                <w:color w:val="auto"/>
                <w:sz w:val="20"/>
                <w:highlight w:val="none"/>
              </w:rPr>
            </w:pPr>
          </w:p>
        </w:tc>
      </w:tr>
    </w:tbl>
    <w:p w14:paraId="3ADF1D7D">
      <w:pPr>
        <w:pageBreakBefore w:val="0"/>
        <w:kinsoku/>
        <w:wordWrap/>
        <w:overflowPunct/>
        <w:topLinePunct w:val="0"/>
        <w:bidi w:val="0"/>
        <w:snapToGrid w:val="0"/>
        <w:spacing w:line="520" w:lineRule="exact"/>
        <w:textAlignment w:val="baseline"/>
        <w:rPr>
          <w:rFonts w:ascii="微软雅黑" w:hAnsi="微软雅黑" w:eastAsia="微软雅黑" w:cs="微软雅黑"/>
          <w:b/>
          <w:color w:val="auto"/>
          <w:sz w:val="30"/>
          <w:szCs w:val="30"/>
          <w:highlight w:val="none"/>
        </w:rPr>
      </w:pPr>
    </w:p>
    <w:p w14:paraId="2EB37D90">
      <w:pPr>
        <w:widowControl/>
        <w:jc w:val="center"/>
        <w:textAlignment w:val="auto"/>
        <w:rPr>
          <w:rFonts w:hint="eastAsia" w:asciiTheme="minorEastAsia" w:hAnsiTheme="minorEastAsia" w:eastAsiaTheme="minorEastAsia" w:cstheme="minorEastAsia"/>
          <w:bCs/>
          <w:color w:val="000000"/>
          <w:sz w:val="52"/>
          <w:szCs w:val="52"/>
          <w:highlight w:val="none"/>
          <w:lang w:eastAsia="zh-CN"/>
        </w:rPr>
      </w:pPr>
    </w:p>
    <w:p w14:paraId="5F07C7A1">
      <w:pPr>
        <w:widowControl/>
        <w:jc w:val="center"/>
        <w:textAlignment w:val="auto"/>
        <w:rPr>
          <w:rFonts w:hint="eastAsia" w:asciiTheme="minorEastAsia" w:hAnsiTheme="minorEastAsia" w:eastAsiaTheme="minorEastAsia" w:cstheme="minorEastAsia"/>
          <w:bCs/>
          <w:color w:val="000000"/>
          <w:sz w:val="52"/>
          <w:szCs w:val="52"/>
          <w:highlight w:val="none"/>
          <w:lang w:eastAsia="zh-CN"/>
        </w:rPr>
      </w:pPr>
    </w:p>
    <w:p w14:paraId="41C607DF">
      <w:pPr>
        <w:widowControl/>
        <w:jc w:val="center"/>
        <w:textAlignment w:val="auto"/>
        <w:rPr>
          <w:rFonts w:hint="eastAsia" w:asciiTheme="minorEastAsia" w:hAnsiTheme="minorEastAsia" w:eastAsiaTheme="minorEastAsia" w:cstheme="minorEastAsia"/>
          <w:bCs/>
          <w:color w:val="000000"/>
          <w:sz w:val="52"/>
          <w:szCs w:val="52"/>
          <w:highlight w:val="none"/>
          <w:lang w:eastAsia="zh-CN"/>
        </w:rPr>
      </w:pPr>
    </w:p>
    <w:p w14:paraId="013599D8">
      <w:pPr>
        <w:widowControl/>
        <w:jc w:val="center"/>
        <w:textAlignment w:val="auto"/>
        <w:rPr>
          <w:rFonts w:hint="eastAsia" w:asciiTheme="minorEastAsia" w:hAnsiTheme="minorEastAsia" w:eastAsiaTheme="minorEastAsia" w:cstheme="minorEastAsia"/>
          <w:bCs/>
          <w:color w:val="000000"/>
          <w:sz w:val="36"/>
          <w:szCs w:val="36"/>
          <w:highlight w:val="none"/>
          <w:lang w:eastAsia="zh-CN"/>
        </w:rPr>
      </w:pPr>
      <w:r>
        <w:rPr>
          <w:rFonts w:hint="eastAsia" w:asciiTheme="minorEastAsia" w:hAnsiTheme="minorEastAsia" w:eastAsiaTheme="minorEastAsia" w:cstheme="minorEastAsia"/>
          <w:bCs/>
          <w:color w:val="000000"/>
          <w:sz w:val="36"/>
          <w:szCs w:val="36"/>
          <w:highlight w:val="none"/>
          <w:lang w:eastAsia="zh-CN"/>
        </w:rPr>
        <w:t>疏勒县良种繁育场种畜二队路面便化工程项目</w:t>
      </w:r>
    </w:p>
    <w:p w14:paraId="30B03561">
      <w:pPr>
        <w:widowControl/>
        <w:jc w:val="center"/>
        <w:textAlignment w:val="auto"/>
        <w:rPr>
          <w:rFonts w:hint="eastAsia" w:asciiTheme="minorEastAsia" w:hAnsiTheme="minorEastAsia" w:eastAsiaTheme="minorEastAsia" w:cstheme="minorEastAsia"/>
          <w:bCs/>
          <w:color w:val="000000"/>
          <w:sz w:val="36"/>
          <w:szCs w:val="36"/>
          <w:highlight w:val="none"/>
          <w:lang w:eastAsia="zh-CN"/>
        </w:rPr>
      </w:pPr>
    </w:p>
    <w:p w14:paraId="3802F071">
      <w:pPr>
        <w:widowControl/>
        <w:jc w:val="center"/>
        <w:textAlignment w:val="auto"/>
        <w:rPr>
          <w:rFonts w:hint="eastAsia" w:asciiTheme="minorEastAsia" w:hAnsiTheme="minorEastAsia" w:eastAsiaTheme="minorEastAsia" w:cstheme="minorEastAsia"/>
          <w:bCs/>
          <w:color w:val="000000"/>
          <w:sz w:val="36"/>
          <w:szCs w:val="36"/>
          <w:highlight w:val="none"/>
          <w:lang w:eastAsia="zh-CN"/>
        </w:rPr>
      </w:pPr>
      <w:r>
        <w:rPr>
          <w:rFonts w:hint="eastAsia" w:asciiTheme="minorEastAsia" w:hAnsiTheme="minorEastAsia" w:eastAsiaTheme="minorEastAsia" w:cstheme="minorEastAsia"/>
          <w:bCs/>
          <w:color w:val="000000"/>
          <w:sz w:val="36"/>
          <w:szCs w:val="36"/>
          <w:highlight w:val="none"/>
          <w:lang w:eastAsia="zh-CN"/>
        </w:rPr>
        <w:t>竞争性磋商文件</w:t>
      </w:r>
    </w:p>
    <w:p w14:paraId="31A303AE">
      <w:pPr>
        <w:snapToGrid w:val="0"/>
        <w:jc w:val="center"/>
        <w:rPr>
          <w:rStyle w:val="33"/>
          <w:rFonts w:hint="eastAsia" w:asciiTheme="minorEastAsia" w:hAnsiTheme="minorEastAsia" w:eastAsiaTheme="minorEastAsia" w:cstheme="minorEastAsia"/>
          <w:color w:val="000000"/>
          <w:sz w:val="72"/>
          <w:highlight w:val="none"/>
          <w:lang w:val="en-US" w:eastAsia="zh-CN"/>
        </w:rPr>
      </w:pPr>
      <w:r>
        <w:rPr>
          <w:rStyle w:val="33"/>
          <w:rFonts w:hint="eastAsia" w:asciiTheme="minorEastAsia" w:hAnsiTheme="minorEastAsia" w:eastAsiaTheme="minorEastAsia" w:cstheme="minorEastAsia"/>
          <w:color w:val="000000"/>
          <w:sz w:val="72"/>
          <w:highlight w:val="none"/>
          <w:lang w:val="en-US" w:eastAsia="zh-CN"/>
        </w:rPr>
        <w:t xml:space="preserve">  </w:t>
      </w:r>
    </w:p>
    <w:p w14:paraId="555B479D">
      <w:pPr>
        <w:snapToGrid w:val="0"/>
        <w:rPr>
          <w:rStyle w:val="33"/>
          <w:rFonts w:hint="eastAsia" w:asciiTheme="minorEastAsia" w:hAnsiTheme="minorEastAsia" w:eastAsiaTheme="minorEastAsia" w:cstheme="minorEastAsia"/>
          <w:color w:val="000000"/>
          <w:sz w:val="72"/>
          <w:highlight w:val="none"/>
        </w:rPr>
      </w:pPr>
    </w:p>
    <w:p w14:paraId="1B6B9876">
      <w:pPr>
        <w:widowControl/>
        <w:jc w:val="center"/>
        <w:rPr>
          <w:rFonts w:hint="eastAsia" w:asciiTheme="minorEastAsia" w:hAnsiTheme="minorEastAsia" w:eastAsiaTheme="minorEastAsia" w:cstheme="minorEastAsia"/>
          <w:kern w:val="0"/>
          <w:sz w:val="32"/>
          <w:szCs w:val="32"/>
          <w:highlight w:val="none"/>
        </w:rPr>
      </w:pPr>
      <w:r>
        <w:rPr>
          <w:rFonts w:hint="eastAsia" w:asciiTheme="minorEastAsia" w:hAnsiTheme="minorEastAsia" w:eastAsiaTheme="minorEastAsia" w:cstheme="minorEastAsia"/>
          <w:kern w:val="0"/>
          <w:sz w:val="32"/>
          <w:szCs w:val="32"/>
          <w:highlight w:val="none"/>
        </w:rPr>
        <w:t>（ 项目编号：</w:t>
      </w:r>
      <w:r>
        <w:rPr>
          <w:rFonts w:hint="eastAsia" w:asciiTheme="minorEastAsia" w:hAnsiTheme="minorEastAsia" w:eastAsiaTheme="minorEastAsia" w:cstheme="minorEastAsia"/>
          <w:kern w:val="0"/>
          <w:sz w:val="32"/>
          <w:szCs w:val="32"/>
          <w:highlight w:val="none"/>
          <w:lang w:val="en-US" w:eastAsia="zh-CN"/>
        </w:rPr>
        <w:t> SLXLZFYC（CS）XJHZ2025-9号</w:t>
      </w:r>
      <w:r>
        <w:rPr>
          <w:rFonts w:hint="eastAsia" w:asciiTheme="minorEastAsia" w:hAnsiTheme="minorEastAsia" w:eastAsiaTheme="minorEastAsia" w:cstheme="minorEastAsia"/>
          <w:color w:val="000000" w:themeColor="text1"/>
          <w:kern w:val="0"/>
          <w:sz w:val="32"/>
          <w:szCs w:val="32"/>
          <w:highlight w:val="none"/>
          <w14:textFill>
            <w14:solidFill>
              <w14:schemeClr w14:val="tx1"/>
            </w14:solidFill>
          </w14:textFill>
        </w:rPr>
        <w:t>）</w:t>
      </w:r>
    </w:p>
    <w:p w14:paraId="634C98A4">
      <w:pPr>
        <w:spacing w:line="240" w:lineRule="atLeast"/>
        <w:ind w:left="1080" w:leftChars="257" w:hanging="540"/>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Cs/>
          <w:sz w:val="32"/>
          <w:szCs w:val="32"/>
          <w:highlight w:val="none"/>
        </w:rPr>
        <w:t xml:space="preserve"> </w:t>
      </w:r>
    </w:p>
    <w:p w14:paraId="03FFA429">
      <w:pPr>
        <w:spacing w:line="240" w:lineRule="atLeast"/>
        <w:ind w:left="1080" w:leftChars="257" w:hanging="540"/>
        <w:jc w:val="center"/>
        <w:rPr>
          <w:rFonts w:hint="eastAsia" w:asciiTheme="minorEastAsia" w:hAnsiTheme="minorEastAsia" w:eastAsiaTheme="minorEastAsia" w:cstheme="minorEastAsia"/>
          <w:b/>
          <w:sz w:val="32"/>
          <w:szCs w:val="32"/>
          <w:highlight w:val="none"/>
        </w:rPr>
      </w:pPr>
    </w:p>
    <w:p w14:paraId="62A78162">
      <w:pPr>
        <w:spacing w:line="240" w:lineRule="atLeast"/>
        <w:ind w:left="1080" w:leftChars="257" w:hanging="540"/>
        <w:rPr>
          <w:rFonts w:hint="eastAsia" w:asciiTheme="minorEastAsia" w:hAnsiTheme="minorEastAsia" w:eastAsiaTheme="minorEastAsia" w:cstheme="minorEastAsia"/>
          <w:b/>
          <w:sz w:val="28"/>
          <w:highlight w:val="none"/>
        </w:rPr>
      </w:pPr>
    </w:p>
    <w:p w14:paraId="7FE5D6C0">
      <w:pPr>
        <w:spacing w:line="240" w:lineRule="atLeast"/>
        <w:ind w:left="1080" w:leftChars="257" w:hanging="540"/>
        <w:jc w:val="center"/>
        <w:rPr>
          <w:rFonts w:hint="eastAsia" w:asciiTheme="minorEastAsia" w:hAnsiTheme="minorEastAsia" w:eastAsiaTheme="minorEastAsia" w:cstheme="minorEastAsia"/>
          <w:b/>
          <w:sz w:val="48"/>
          <w:szCs w:val="48"/>
          <w:highlight w:val="none"/>
        </w:rPr>
      </w:pPr>
      <w:r>
        <w:rPr>
          <w:rFonts w:hint="eastAsia" w:asciiTheme="minorEastAsia" w:hAnsiTheme="minorEastAsia" w:eastAsiaTheme="minorEastAsia" w:cstheme="minorEastAsia"/>
          <w:b/>
          <w:sz w:val="48"/>
          <w:szCs w:val="48"/>
          <w:highlight w:val="none"/>
        </w:rPr>
        <w:t>第</w:t>
      </w:r>
      <w:r>
        <w:rPr>
          <w:rFonts w:hint="eastAsia" w:asciiTheme="minorEastAsia" w:hAnsiTheme="minorEastAsia" w:eastAsiaTheme="minorEastAsia" w:cstheme="minorEastAsia"/>
          <w:b/>
          <w:sz w:val="48"/>
          <w:szCs w:val="48"/>
          <w:highlight w:val="none"/>
          <w:lang w:eastAsia="zh-CN"/>
        </w:rPr>
        <w:t>二</w:t>
      </w:r>
      <w:r>
        <w:rPr>
          <w:rFonts w:hint="eastAsia" w:asciiTheme="minorEastAsia" w:hAnsiTheme="minorEastAsia" w:eastAsiaTheme="minorEastAsia" w:cstheme="minorEastAsia"/>
          <w:b/>
          <w:sz w:val="48"/>
          <w:szCs w:val="48"/>
          <w:highlight w:val="none"/>
        </w:rPr>
        <w:t>册</w:t>
      </w:r>
    </w:p>
    <w:p w14:paraId="066A4548">
      <w:pPr>
        <w:spacing w:line="240" w:lineRule="atLeast"/>
        <w:ind w:left="1080" w:leftChars="257" w:hanging="540"/>
        <w:jc w:val="center"/>
        <w:rPr>
          <w:rFonts w:hint="eastAsia" w:asciiTheme="minorEastAsia" w:hAnsiTheme="minorEastAsia" w:eastAsiaTheme="minorEastAsia" w:cstheme="minorEastAsia"/>
          <w:b/>
          <w:sz w:val="48"/>
          <w:szCs w:val="48"/>
          <w:highlight w:val="none"/>
        </w:rPr>
      </w:pPr>
    </w:p>
    <w:p w14:paraId="273B393A">
      <w:pPr>
        <w:rPr>
          <w:rFonts w:hint="eastAsia" w:asciiTheme="minorEastAsia" w:hAnsiTheme="minorEastAsia" w:eastAsiaTheme="minorEastAsia" w:cstheme="minorEastAsia"/>
          <w:highlight w:val="none"/>
        </w:rPr>
      </w:pPr>
    </w:p>
    <w:p w14:paraId="0E8943C9">
      <w:pPr>
        <w:pStyle w:val="7"/>
        <w:rPr>
          <w:rFonts w:hint="eastAsia" w:asciiTheme="minorEastAsia" w:hAnsiTheme="minorEastAsia" w:eastAsiaTheme="minorEastAsia" w:cstheme="minorEastAsia"/>
          <w:highlight w:val="none"/>
        </w:rPr>
      </w:pPr>
    </w:p>
    <w:p w14:paraId="605FB043">
      <w:pPr>
        <w:rPr>
          <w:rFonts w:hint="eastAsia" w:asciiTheme="minorEastAsia" w:hAnsiTheme="minorEastAsia" w:eastAsiaTheme="minorEastAsia" w:cstheme="minorEastAsia"/>
          <w:highlight w:val="none"/>
        </w:rPr>
      </w:pPr>
    </w:p>
    <w:p w14:paraId="3EC72F23">
      <w:pPr>
        <w:pStyle w:val="7"/>
        <w:rPr>
          <w:rFonts w:hint="eastAsia" w:asciiTheme="minorEastAsia" w:hAnsiTheme="minorEastAsia" w:eastAsiaTheme="minorEastAsia" w:cstheme="minorEastAsia"/>
          <w:highlight w:val="none"/>
        </w:rPr>
      </w:pPr>
    </w:p>
    <w:p w14:paraId="2E979D86">
      <w:pPr>
        <w:rPr>
          <w:rFonts w:hint="eastAsia" w:asciiTheme="minorEastAsia" w:hAnsiTheme="minorEastAsia" w:eastAsiaTheme="minorEastAsia" w:cstheme="minorEastAsia"/>
          <w:highlight w:val="none"/>
        </w:rPr>
      </w:pPr>
    </w:p>
    <w:p w14:paraId="40E6A262">
      <w:pPr>
        <w:pStyle w:val="7"/>
        <w:rPr>
          <w:rFonts w:hint="eastAsia" w:asciiTheme="minorEastAsia" w:hAnsiTheme="minorEastAsia" w:eastAsiaTheme="minorEastAsia" w:cstheme="minorEastAsia"/>
          <w:highlight w:val="none"/>
        </w:rPr>
      </w:pPr>
    </w:p>
    <w:p w14:paraId="6AFF5A68">
      <w:pPr>
        <w:rPr>
          <w:rFonts w:hint="eastAsia" w:asciiTheme="minorEastAsia" w:hAnsiTheme="minorEastAsia" w:eastAsiaTheme="minorEastAsia" w:cstheme="minorEastAsia"/>
          <w:highlight w:val="none"/>
        </w:rPr>
      </w:pPr>
    </w:p>
    <w:p w14:paraId="0DA05483">
      <w:pPr>
        <w:pStyle w:val="7"/>
        <w:rPr>
          <w:rFonts w:hint="eastAsia" w:asciiTheme="minorEastAsia" w:hAnsiTheme="minorEastAsia" w:eastAsiaTheme="minorEastAsia" w:cstheme="minorEastAsia"/>
          <w:highlight w:val="none"/>
        </w:rPr>
      </w:pPr>
    </w:p>
    <w:p w14:paraId="2CF15431">
      <w:pPr>
        <w:rPr>
          <w:rFonts w:hint="eastAsia" w:asciiTheme="minorEastAsia" w:hAnsiTheme="minorEastAsia" w:eastAsiaTheme="minorEastAsia" w:cstheme="minorEastAsia"/>
          <w:highlight w:val="none"/>
        </w:rPr>
      </w:pPr>
    </w:p>
    <w:p w14:paraId="03B8093E">
      <w:pPr>
        <w:pStyle w:val="7"/>
        <w:rPr>
          <w:rFonts w:hint="eastAsia" w:asciiTheme="minorEastAsia" w:hAnsiTheme="minorEastAsia" w:eastAsiaTheme="minorEastAsia" w:cstheme="minorEastAsia"/>
          <w:highlight w:val="none"/>
        </w:rPr>
      </w:pPr>
    </w:p>
    <w:p w14:paraId="3E63DD08">
      <w:pPr>
        <w:rPr>
          <w:rFonts w:hint="eastAsia" w:asciiTheme="minorEastAsia" w:hAnsiTheme="minorEastAsia" w:eastAsiaTheme="minorEastAsia" w:cstheme="minorEastAsia"/>
          <w:highlight w:val="none"/>
        </w:rPr>
      </w:pPr>
    </w:p>
    <w:p w14:paraId="53CB3E7A">
      <w:pPr>
        <w:pStyle w:val="7"/>
        <w:rPr>
          <w:rFonts w:hint="eastAsia" w:asciiTheme="minorEastAsia" w:hAnsiTheme="minorEastAsia" w:eastAsiaTheme="minorEastAsia" w:cstheme="minorEastAsia"/>
          <w:highlight w:val="none"/>
        </w:rPr>
      </w:pPr>
    </w:p>
    <w:p w14:paraId="50DB879D">
      <w:pPr>
        <w:rPr>
          <w:rFonts w:hint="eastAsia" w:asciiTheme="minorEastAsia" w:hAnsiTheme="minorEastAsia" w:eastAsiaTheme="minorEastAsia" w:cstheme="minorEastAsia"/>
          <w:highlight w:val="none"/>
        </w:rPr>
      </w:pPr>
    </w:p>
    <w:p w14:paraId="4D37E885">
      <w:pPr>
        <w:pStyle w:val="7"/>
        <w:rPr>
          <w:rFonts w:hint="eastAsia" w:asciiTheme="minorEastAsia" w:hAnsiTheme="minorEastAsia" w:eastAsiaTheme="minorEastAsia" w:cstheme="minorEastAsia"/>
          <w:highlight w:val="none"/>
        </w:rPr>
      </w:pPr>
    </w:p>
    <w:p w14:paraId="6301D59C">
      <w:pPr>
        <w:rPr>
          <w:rFonts w:hint="eastAsia" w:asciiTheme="minorEastAsia" w:hAnsiTheme="minorEastAsia" w:eastAsiaTheme="minorEastAsia" w:cstheme="minorEastAsia"/>
          <w:highlight w:val="none"/>
        </w:rPr>
      </w:pPr>
    </w:p>
    <w:p w14:paraId="557C54D4">
      <w:pPr>
        <w:pStyle w:val="7"/>
        <w:rPr>
          <w:rFonts w:hint="eastAsia" w:asciiTheme="minorEastAsia" w:hAnsiTheme="minorEastAsia" w:eastAsiaTheme="minorEastAsia" w:cstheme="minorEastAsia"/>
          <w:highlight w:val="none"/>
        </w:rPr>
      </w:pPr>
    </w:p>
    <w:p w14:paraId="01B19AB4">
      <w:pPr>
        <w:rPr>
          <w:rFonts w:hint="eastAsia" w:asciiTheme="minorEastAsia" w:hAnsiTheme="minorEastAsia" w:eastAsiaTheme="minorEastAsia" w:cstheme="minorEastAsia"/>
          <w:highlight w:val="none"/>
        </w:rPr>
      </w:pPr>
    </w:p>
    <w:p w14:paraId="2AA8AB30">
      <w:pPr>
        <w:rPr>
          <w:rFonts w:hint="eastAsia" w:asciiTheme="minorEastAsia" w:hAnsiTheme="minorEastAsia" w:eastAsiaTheme="minorEastAsia" w:cstheme="minorEastAsia"/>
          <w:highlight w:val="none"/>
        </w:rPr>
      </w:pPr>
    </w:p>
    <w:p w14:paraId="4E4B083B">
      <w:pPr>
        <w:pStyle w:val="2"/>
        <w:numPr>
          <w:ilvl w:val="0"/>
          <w:numId w:val="0"/>
        </w:numPr>
        <w:tabs>
          <w:tab w:val="left" w:pos="0"/>
        </w:tabs>
        <w:spacing w:before="0" w:after="0" w:line="240" w:lineRule="atLeast"/>
        <w:ind w:leftChars="0"/>
        <w:jc w:val="center"/>
        <w:outlineLvl w:val="0"/>
        <w:rPr>
          <w:rFonts w:hint="eastAsia" w:asciiTheme="minorEastAsia" w:hAnsiTheme="minorEastAsia" w:eastAsiaTheme="minorEastAsia" w:cstheme="minorEastAsia"/>
          <w:color w:val="auto"/>
          <w:highlight w:val="none"/>
        </w:rPr>
      </w:pPr>
      <w:bookmarkStart w:id="338" w:name="_Toc13468"/>
      <w:r>
        <w:rPr>
          <w:rFonts w:hint="eastAsia" w:asciiTheme="minorEastAsia" w:hAnsiTheme="minorEastAsia" w:eastAsiaTheme="minorEastAsia" w:cstheme="minorEastAsia"/>
          <w:color w:val="auto"/>
          <w:highlight w:val="none"/>
          <w:lang w:eastAsia="zh-CN"/>
        </w:rPr>
        <w:t>第</w:t>
      </w:r>
      <w:r>
        <w:rPr>
          <w:rFonts w:hint="eastAsia" w:asciiTheme="minorEastAsia" w:hAnsiTheme="minorEastAsia" w:eastAsiaTheme="minorEastAsia" w:cstheme="minorEastAsia"/>
          <w:color w:val="auto"/>
          <w:highlight w:val="none"/>
          <w:lang w:val="en-US" w:eastAsia="zh-CN"/>
        </w:rPr>
        <w:t xml:space="preserve">3章 </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邀请</w:t>
      </w:r>
      <w:bookmarkEnd w:id="338"/>
    </w:p>
    <w:p w14:paraId="125C1EFF">
      <w:pPr>
        <w:rPr>
          <w:rFonts w:hint="eastAsia" w:asciiTheme="minorEastAsia" w:hAnsiTheme="minorEastAsia" w:eastAsiaTheme="minorEastAsia" w:cstheme="minorEastAsia"/>
          <w:color w:val="auto"/>
          <w:highlight w:val="none"/>
        </w:rPr>
      </w:pPr>
    </w:p>
    <w:p w14:paraId="0D057C1A">
      <w:pPr>
        <w:ind w:firstLine="480"/>
        <w:jc w:val="center"/>
        <w:outlineLvl w:val="9"/>
        <w:rPr>
          <w:rStyle w:val="33"/>
          <w:rFonts w:hint="eastAsia" w:asciiTheme="minorEastAsia" w:hAnsiTheme="minorEastAsia" w:eastAsiaTheme="minorEastAsia" w:cstheme="minorEastAsia"/>
          <w:b/>
          <w:color w:val="000000"/>
          <w:kern w:val="0"/>
          <w:sz w:val="28"/>
          <w:szCs w:val="28"/>
          <w:highlight w:val="none"/>
          <w:lang w:val="en-US" w:eastAsia="zh-CN" w:bidi="ar-SA"/>
        </w:rPr>
      </w:pPr>
      <w:bookmarkStart w:id="339" w:name="_Toc1529"/>
      <w:r>
        <w:rPr>
          <w:rStyle w:val="33"/>
          <w:rFonts w:hint="eastAsia" w:asciiTheme="minorEastAsia" w:hAnsiTheme="minorEastAsia" w:eastAsiaTheme="minorEastAsia" w:cstheme="minorEastAsia"/>
          <w:b/>
          <w:color w:val="000000"/>
          <w:kern w:val="0"/>
          <w:sz w:val="28"/>
          <w:szCs w:val="28"/>
          <w:highlight w:val="none"/>
          <w:lang w:val="en-US" w:eastAsia="zh-CN" w:bidi="ar-SA"/>
        </w:rPr>
        <w:t>疏勒县良种繁育场种畜二队路面便化工程项目</w:t>
      </w:r>
    </w:p>
    <w:p w14:paraId="75C3FDFD">
      <w:pPr>
        <w:ind w:firstLine="480"/>
        <w:jc w:val="center"/>
        <w:outlineLvl w:val="9"/>
        <w:rPr>
          <w:rFonts w:hint="eastAsia" w:asciiTheme="minorEastAsia" w:hAnsiTheme="minorEastAsia" w:eastAsiaTheme="minorEastAsia" w:cstheme="minorEastAsia"/>
          <w:b/>
          <w:bCs/>
          <w:color w:val="auto"/>
          <w:sz w:val="32"/>
          <w:szCs w:val="32"/>
          <w:highlight w:val="none"/>
          <w:lang w:val="en-US" w:eastAsia="zh-CN"/>
        </w:rPr>
      </w:pPr>
      <w:r>
        <w:rPr>
          <w:rStyle w:val="33"/>
          <w:rFonts w:hint="eastAsia" w:asciiTheme="minorEastAsia" w:hAnsiTheme="minorEastAsia" w:eastAsiaTheme="minorEastAsia" w:cstheme="minorEastAsia"/>
          <w:b/>
          <w:color w:val="000000"/>
          <w:kern w:val="0"/>
          <w:sz w:val="28"/>
          <w:szCs w:val="28"/>
          <w:highlight w:val="none"/>
          <w:lang w:val="en-US" w:eastAsia="zh-CN" w:bidi="ar-SA"/>
        </w:rPr>
        <w:t>竞争性磋商公告</w:t>
      </w:r>
      <w:bookmarkEnd w:id="339"/>
    </w:p>
    <w:p w14:paraId="28B30B1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left="0" w:leftChars="0" w:firstLine="0" w:firstLineChars="0"/>
        <w:textAlignment w:val="auto"/>
        <w:outlineLvl w:val="9"/>
        <w:rPr>
          <w:rFonts w:hint="eastAsia" w:asciiTheme="minorEastAsia" w:hAnsiTheme="minorEastAsia" w:eastAsiaTheme="minorEastAsia" w:cstheme="minorEastAsia"/>
          <w:color w:val="auto"/>
          <w:sz w:val="24"/>
          <w:szCs w:val="24"/>
          <w:highlight w:val="none"/>
        </w:rPr>
      </w:pPr>
      <w:bookmarkStart w:id="340" w:name="_Toc18596"/>
      <w:r>
        <w:rPr>
          <w:rFonts w:hint="eastAsia" w:asciiTheme="minorEastAsia" w:hAnsiTheme="minorEastAsia" w:eastAsiaTheme="minorEastAsia" w:cstheme="minorEastAsia"/>
          <w:color w:val="auto"/>
          <w:sz w:val="24"/>
          <w:szCs w:val="24"/>
          <w:highlight w:val="none"/>
        </w:rPr>
        <w:t>项目概况</w:t>
      </w:r>
    </w:p>
    <w:p w14:paraId="3270393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firstLine="480" w:firstLineChars="200"/>
        <w:textAlignment w:val="auto"/>
        <w:outlineLvl w:val="9"/>
        <w:rPr>
          <w:rFonts w:hint="eastAsia" w:asciiTheme="minorEastAsia" w:hAnsiTheme="minorEastAsia" w:eastAsiaTheme="minorEastAsia" w:cstheme="minorEastAsia"/>
          <w:color w:val="auto"/>
          <w:sz w:val="28"/>
          <w:szCs w:val="28"/>
          <w:highlight w:val="none"/>
          <w:lang w:val="en-US"/>
        </w:rPr>
      </w:pPr>
      <w:r>
        <w:rPr>
          <w:rFonts w:hint="eastAsia" w:asciiTheme="minorEastAsia" w:hAnsiTheme="minorEastAsia" w:eastAsiaTheme="minorEastAsia" w:cstheme="minorEastAsia"/>
          <w:color w:val="auto"/>
          <w:sz w:val="24"/>
          <w:szCs w:val="24"/>
          <w:highlight w:val="none"/>
          <w:u w:val="single"/>
          <w:lang w:eastAsia="zh-CN"/>
        </w:rPr>
        <w:t>疏勒县良种繁育场种畜二队路面便化工程项目</w:t>
      </w:r>
      <w:r>
        <w:rPr>
          <w:rFonts w:hint="eastAsia" w:asciiTheme="minorEastAsia" w:hAnsiTheme="minorEastAsia" w:eastAsiaTheme="minorEastAsia" w:cstheme="minorEastAsia"/>
          <w:color w:val="auto"/>
          <w:sz w:val="24"/>
          <w:szCs w:val="24"/>
          <w:highlight w:val="none"/>
          <w:u w:val="none"/>
          <w:lang w:eastAsia="zh-CN"/>
        </w:rPr>
        <w:t>的潜在供应商应在政采云平台（www.zcygov.cn）线上获取获取采购文件</w:t>
      </w:r>
      <w:r>
        <w:rPr>
          <w:rFonts w:hint="eastAsia" w:asciiTheme="minorEastAsia" w:hAnsiTheme="minorEastAsia" w:eastAsiaTheme="minorEastAsia" w:cstheme="minorEastAsia"/>
          <w:color w:val="auto"/>
          <w:sz w:val="24"/>
          <w:szCs w:val="24"/>
          <w:highlight w:val="none"/>
        </w:rPr>
        <w:t>，并于</w:t>
      </w:r>
      <w:r>
        <w:rPr>
          <w:rFonts w:hint="eastAsia" w:asciiTheme="minorEastAsia" w:hAnsiTheme="minorEastAsia" w:eastAsiaTheme="minorEastAsia" w:cstheme="minorEastAsia"/>
          <w:color w:val="auto"/>
          <w:sz w:val="24"/>
          <w:szCs w:val="24"/>
          <w:highlight w:val="none"/>
          <w:u w:val="single"/>
          <w:lang w:val="en-US" w:eastAsia="zh-CN"/>
        </w:rPr>
        <w:t>2025年7月14日11时00分前提交响应文件。</w:t>
      </w:r>
    </w:p>
    <w:bookmarkEnd w:id="340"/>
    <w:p w14:paraId="1E5E1181">
      <w:pPr>
        <w:keepNext w:val="0"/>
        <w:keepLines w:val="0"/>
        <w:pageBreakBefore w:val="0"/>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stheme="minorEastAsia"/>
          <w:color w:val="auto"/>
          <w:sz w:val="24"/>
          <w:szCs w:val="24"/>
          <w:highlight w:val="none"/>
        </w:rPr>
      </w:pPr>
      <w:bookmarkStart w:id="341" w:name="_Toc5871"/>
      <w:r>
        <w:rPr>
          <w:rFonts w:hint="eastAsia" w:asciiTheme="minorEastAsia" w:hAnsiTheme="minorEastAsia" w:eastAsiaTheme="minorEastAsia" w:cstheme="minorEastAsia"/>
          <w:color w:val="auto"/>
          <w:sz w:val="24"/>
          <w:szCs w:val="24"/>
          <w:highlight w:val="none"/>
        </w:rPr>
        <w:t>一、项目基本情况</w:t>
      </w:r>
    </w:p>
    <w:p w14:paraId="114E582A">
      <w:pPr>
        <w:keepNext w:val="0"/>
        <w:keepLines w:val="0"/>
        <w:pageBreakBefore w:val="0"/>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项目编号：</w:t>
      </w:r>
      <w:r>
        <w:rPr>
          <w:rFonts w:hint="eastAsia" w:asciiTheme="minorEastAsia" w:hAnsiTheme="minorEastAsia" w:eastAsiaTheme="minorEastAsia" w:cstheme="minorEastAsia"/>
          <w:color w:val="auto"/>
          <w:sz w:val="24"/>
          <w:szCs w:val="24"/>
          <w:highlight w:val="none"/>
          <w:lang w:val="en-US" w:eastAsia="zh-CN"/>
        </w:rPr>
        <w:t> SLXLZFYC（CS）XJHZ2025-9号</w:t>
      </w:r>
    </w:p>
    <w:p w14:paraId="7CD45AB5">
      <w:pPr>
        <w:keepNext w:val="0"/>
        <w:keepLines w:val="0"/>
        <w:pageBreakBefore w:val="0"/>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项目名称：</w:t>
      </w:r>
      <w:r>
        <w:rPr>
          <w:rFonts w:hint="eastAsia" w:asciiTheme="minorEastAsia" w:hAnsiTheme="minorEastAsia" w:eastAsiaTheme="minorEastAsia" w:cstheme="minorEastAsia"/>
          <w:color w:val="auto"/>
          <w:sz w:val="24"/>
          <w:szCs w:val="24"/>
          <w:highlight w:val="none"/>
          <w:lang w:eastAsia="zh-CN"/>
        </w:rPr>
        <w:t>疏勒县良种繁育场种畜二队路面便化工程项目</w:t>
      </w:r>
      <w:r>
        <w:rPr>
          <w:rFonts w:hint="eastAsia" w:asciiTheme="minorEastAsia" w:hAnsiTheme="minorEastAsia" w:eastAsiaTheme="minorEastAsia" w:cstheme="minorEastAsia"/>
          <w:color w:val="auto"/>
          <w:sz w:val="24"/>
          <w:szCs w:val="24"/>
          <w:highlight w:val="none"/>
        </w:rPr>
        <w:t>   </w:t>
      </w:r>
    </w:p>
    <w:p w14:paraId="42838575">
      <w:pPr>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采购方式：</w:t>
      </w:r>
      <w:r>
        <w:rPr>
          <w:rFonts w:hint="eastAsia" w:asciiTheme="minorEastAsia" w:hAnsiTheme="minorEastAsia" w:eastAsiaTheme="minorEastAsia" w:cstheme="minorEastAsia"/>
          <w:color w:val="auto"/>
          <w:sz w:val="24"/>
          <w:szCs w:val="24"/>
          <w:highlight w:val="none"/>
          <w:lang w:val="en-US" w:eastAsia="zh-CN"/>
        </w:rPr>
        <w:t>竞争性磋商</w:t>
      </w:r>
    </w:p>
    <w:p w14:paraId="7DE1B8BF">
      <w:pPr>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预算金额（元）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1190000.00</w:t>
      </w:r>
    </w:p>
    <w:p w14:paraId="3D024C5E">
      <w:pPr>
        <w:keepNext w:val="0"/>
        <w:keepLines w:val="0"/>
        <w:pageBreakBefore w:val="0"/>
        <w:kinsoku/>
        <w:wordWrap/>
        <w:overflowPunct/>
        <w:topLinePunct w:val="0"/>
        <w:autoSpaceDE/>
        <w:autoSpaceDN/>
        <w:bidi w:val="0"/>
        <w:adjustRightInd/>
        <w:snapToGrid/>
        <w:spacing w:line="380" w:lineRule="exact"/>
        <w:jc w:val="left"/>
        <w:textAlignment w:val="auto"/>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最高限价（元）：</w:t>
      </w:r>
      <w:r>
        <w:rPr>
          <w:rFonts w:hint="eastAsia" w:asciiTheme="minorEastAsia" w:hAnsiTheme="minorEastAsia" w:eastAsiaTheme="minorEastAsia" w:cstheme="minorEastAsia"/>
          <w:color w:val="auto"/>
          <w:sz w:val="24"/>
          <w:szCs w:val="24"/>
          <w:highlight w:val="none"/>
          <w:lang w:val="en-US" w:eastAsia="zh-CN"/>
        </w:rPr>
        <w:t>976206.00</w:t>
      </w:r>
    </w:p>
    <w:p w14:paraId="1AE934D8">
      <w:pPr>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采购需求：具体详见</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w:t>
      </w:r>
    </w:p>
    <w:p w14:paraId="45DCDD1C">
      <w:pPr>
        <w:keepNext w:val="0"/>
        <w:keepLines w:val="0"/>
        <w:pageBreakBefore w:val="0"/>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标项一    </w:t>
      </w:r>
    </w:p>
    <w:p w14:paraId="0E253672">
      <w:pPr>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标项名称：</w:t>
      </w:r>
      <w:r>
        <w:rPr>
          <w:rFonts w:hint="eastAsia" w:asciiTheme="minorEastAsia" w:hAnsiTheme="minorEastAsia" w:eastAsiaTheme="minorEastAsia" w:cstheme="minorEastAsia"/>
          <w:color w:val="auto"/>
          <w:sz w:val="24"/>
          <w:szCs w:val="24"/>
          <w:highlight w:val="none"/>
          <w:lang w:eastAsia="zh-CN"/>
        </w:rPr>
        <w:t>疏勒县良种繁育场种畜二队路面便化工程项目</w:t>
      </w:r>
      <w:r>
        <w:rPr>
          <w:rFonts w:hint="eastAsia" w:asciiTheme="minorEastAsia" w:hAnsiTheme="minorEastAsia" w:eastAsiaTheme="minorEastAsia" w:cstheme="minorEastAsia"/>
          <w:color w:val="auto"/>
          <w:sz w:val="24"/>
          <w:szCs w:val="24"/>
          <w:highlight w:val="none"/>
          <w:lang w:val="en-US" w:eastAsia="zh-CN"/>
        </w:rPr>
        <w:t xml:space="preserve">    </w:t>
      </w:r>
    </w:p>
    <w:p w14:paraId="65FC232E">
      <w:pPr>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数量：1     </w:t>
      </w:r>
    </w:p>
    <w:p w14:paraId="1D433E84">
      <w:pPr>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预算金额（元）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1190000.00</w:t>
      </w:r>
    </w:p>
    <w:p w14:paraId="6544EB8F">
      <w:pPr>
        <w:keepNext w:val="0"/>
        <w:keepLines w:val="0"/>
        <w:pageBreakBefore w:val="0"/>
        <w:kinsoku/>
        <w:wordWrap/>
        <w:overflowPunct/>
        <w:topLinePunct w:val="0"/>
        <w:autoSpaceDE/>
        <w:autoSpaceDN/>
        <w:bidi w:val="0"/>
        <w:adjustRightInd/>
        <w:snapToGrid/>
        <w:spacing w:line="380" w:lineRule="exact"/>
        <w:jc w:val="left"/>
        <w:textAlignment w:val="auto"/>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最高限价（元）：</w:t>
      </w:r>
      <w:r>
        <w:rPr>
          <w:rFonts w:hint="eastAsia" w:asciiTheme="minorEastAsia" w:hAnsiTheme="minorEastAsia" w:eastAsiaTheme="minorEastAsia" w:cstheme="minorEastAsia"/>
          <w:color w:val="auto"/>
          <w:sz w:val="24"/>
          <w:szCs w:val="24"/>
          <w:highlight w:val="none"/>
          <w:lang w:val="en-US" w:eastAsia="zh-CN"/>
        </w:rPr>
        <w:t>976206.00</w:t>
      </w:r>
    </w:p>
    <w:p w14:paraId="577819D2">
      <w:pPr>
        <w:ind w:firstLine="480" w:firstLineChars="200"/>
        <w:jc w:val="both"/>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单位：</w:t>
      </w:r>
      <w:r>
        <w:rPr>
          <w:rFonts w:hint="eastAsia" w:ascii="宋体" w:hAnsi="宋体" w:eastAsia="宋体" w:cs="宋体"/>
          <w:b w:val="0"/>
          <w:bCs/>
          <w:color w:val="auto"/>
          <w:sz w:val="24"/>
          <w:szCs w:val="24"/>
          <w:highlight w:val="none"/>
          <w:lang w:eastAsia="zh-CN"/>
        </w:rPr>
        <w:t>批</w:t>
      </w:r>
    </w:p>
    <w:p w14:paraId="789F67A7">
      <w:pPr>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简要规格描述：改建良种繁育场种畜二队路面硬化面积6335平方米，路面检查井3座，混凝土涵管8米。</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具体详见</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w:t>
      </w:r>
    </w:p>
    <w:p w14:paraId="64261570">
      <w:pPr>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 </w:t>
      </w:r>
    </w:p>
    <w:p w14:paraId="0CCC397A">
      <w:pPr>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合同履行期限：</w:t>
      </w:r>
      <w:r>
        <w:rPr>
          <w:rFonts w:hint="eastAsia" w:asciiTheme="minorEastAsia" w:hAnsiTheme="minorEastAsia" w:eastAsiaTheme="minorEastAsia" w:cstheme="minorEastAsia"/>
          <w:color w:val="auto"/>
          <w:sz w:val="24"/>
          <w:szCs w:val="24"/>
          <w:highlight w:val="none"/>
          <w:lang w:eastAsia="zh-CN"/>
        </w:rPr>
        <w:t>详见磋商文件</w:t>
      </w:r>
    </w:p>
    <w:p w14:paraId="4A76E863">
      <w:pPr>
        <w:keepNext w:val="0"/>
        <w:keepLines w:val="0"/>
        <w:pageBreakBefore w:val="0"/>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本项目</w:t>
      </w:r>
      <w:r>
        <w:rPr>
          <w:rFonts w:hint="eastAsia" w:asciiTheme="minorEastAsia" w:hAnsiTheme="minorEastAsia" w:eastAsiaTheme="minorEastAsia" w:cstheme="minorEastAsia"/>
          <w:color w:val="auto"/>
          <w:sz w:val="24"/>
          <w:szCs w:val="24"/>
          <w:highlight w:val="none"/>
          <w:lang w:val="en-US" w:eastAsia="zh-CN"/>
        </w:rPr>
        <w:t>不</w:t>
      </w:r>
      <w:r>
        <w:rPr>
          <w:rFonts w:hint="eastAsia" w:asciiTheme="minorEastAsia" w:hAnsiTheme="minorEastAsia" w:eastAsiaTheme="minorEastAsia" w:cstheme="minorEastAsia"/>
          <w:color w:val="auto"/>
          <w:sz w:val="24"/>
          <w:szCs w:val="24"/>
          <w:highlight w:val="none"/>
        </w:rPr>
        <w:t>接受联合体</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w:t>
      </w:r>
    </w:p>
    <w:p w14:paraId="789DD0B7">
      <w:pPr>
        <w:keepNext w:val="0"/>
        <w:keepLines w:val="0"/>
        <w:pageBreakBefore w:val="0"/>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stheme="minorEastAsia"/>
          <w:color w:val="auto"/>
          <w:sz w:val="24"/>
          <w:szCs w:val="24"/>
          <w:highlight w:val="none"/>
        </w:rPr>
      </w:pPr>
      <w:bookmarkStart w:id="342" w:name="_Toc29265"/>
      <w:r>
        <w:rPr>
          <w:rFonts w:hint="eastAsia" w:asciiTheme="minorEastAsia" w:hAnsiTheme="minorEastAsia" w:eastAsiaTheme="minorEastAsia" w:cstheme="minorEastAsia"/>
          <w:color w:val="auto"/>
          <w:sz w:val="24"/>
          <w:szCs w:val="24"/>
          <w:highlight w:val="none"/>
        </w:rPr>
        <w:t>二、申请人的资格要求：</w:t>
      </w:r>
      <w:bookmarkEnd w:id="342"/>
    </w:p>
    <w:p w14:paraId="4643234C">
      <w:pPr>
        <w:keepNext w:val="0"/>
        <w:keepLines w:val="0"/>
        <w:pageBreakBefore w:val="0"/>
        <w:kinsoku/>
        <w:wordWrap/>
        <w:overflowPunct/>
        <w:topLinePunct w:val="0"/>
        <w:autoSpaceDE/>
        <w:autoSpaceDN/>
        <w:bidi w:val="0"/>
        <w:adjustRightInd/>
        <w:snapToGrid/>
        <w:spacing w:line="380" w:lineRule="exact"/>
        <w:ind w:firstLine="373"/>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0086A507">
      <w:pPr>
        <w:keepNext w:val="0"/>
        <w:keepLines w:val="0"/>
        <w:pageBreakBefore w:val="0"/>
        <w:kinsoku/>
        <w:wordWrap/>
        <w:overflowPunct/>
        <w:topLinePunct w:val="0"/>
        <w:autoSpaceDE/>
        <w:autoSpaceDN/>
        <w:bidi w:val="0"/>
        <w:adjustRightInd/>
        <w:snapToGrid/>
        <w:spacing w:line="380" w:lineRule="exact"/>
        <w:ind w:firstLine="373"/>
        <w:jc w:val="left"/>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2.落实政府采购政策需满足的资格要求：标项1：</w:t>
      </w:r>
      <w:r>
        <w:rPr>
          <w:rFonts w:hint="eastAsia" w:asciiTheme="minorEastAsia" w:hAnsiTheme="minorEastAsia" w:eastAsiaTheme="minorEastAsia" w:cstheme="minorEastAsia"/>
          <w:color w:val="auto"/>
          <w:sz w:val="24"/>
          <w:szCs w:val="24"/>
          <w:highlight w:val="none"/>
          <w:lang w:eastAsia="zh-CN"/>
        </w:rPr>
        <w:t>专门面向中小微企业。</w:t>
      </w:r>
    </w:p>
    <w:p w14:paraId="1E5CB5F2">
      <w:pPr>
        <w:keepNext w:val="0"/>
        <w:keepLines w:val="0"/>
        <w:pageBreakBefore w:val="0"/>
        <w:kinsoku/>
        <w:wordWrap/>
        <w:overflowPunct/>
        <w:topLinePunct w:val="0"/>
        <w:autoSpaceDE/>
        <w:autoSpaceDN/>
        <w:bidi w:val="0"/>
        <w:adjustRightInd/>
        <w:snapToGrid/>
        <w:spacing w:line="380" w:lineRule="exact"/>
        <w:ind w:firstLine="373"/>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3.本项目的特定资格要求：</w:t>
      </w:r>
      <w:r>
        <w:rPr>
          <w:rFonts w:hint="eastAsia" w:asciiTheme="minorEastAsia" w:hAnsiTheme="minorEastAsia" w:eastAsiaTheme="minorEastAsia" w:cstheme="minorEastAsia"/>
          <w:color w:val="auto"/>
          <w:kern w:val="2"/>
          <w:sz w:val="24"/>
          <w:szCs w:val="24"/>
          <w:highlight w:val="none"/>
          <w:lang w:val="en-US" w:eastAsia="zh-CN" w:bidi="ar-SA"/>
        </w:rPr>
        <w:t>投标单位须具备【公路工程施工总承包三级】（含）以上资质等级且具备有效的安全生产许可证；项目负责人具备[公路工程专业二级]（含）以上注册建造师执业资格且具有有效的安全生产考核证书。</w:t>
      </w:r>
    </w:p>
    <w:p w14:paraId="30B93A91">
      <w:pPr>
        <w:numPr>
          <w:ilvl w:val="0"/>
          <w:numId w:val="0"/>
        </w:numPr>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本项目不接受联合体投标。 </w:t>
      </w:r>
    </w:p>
    <w:p w14:paraId="1368303A">
      <w:pPr>
        <w:numPr>
          <w:ilvl w:val="0"/>
          <w:numId w:val="0"/>
        </w:numPr>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三、获取采购文件</w:t>
      </w:r>
      <w:bookmarkEnd w:id="341"/>
    </w:p>
    <w:p w14:paraId="6FDB4577">
      <w:pPr>
        <w:keepNext w:val="0"/>
        <w:keepLines w:val="0"/>
        <w:pageBreakBefore w:val="0"/>
        <w:kinsoku/>
        <w:wordWrap/>
        <w:overflowPunct/>
        <w:topLinePunct w:val="0"/>
        <w:autoSpaceDE/>
        <w:autoSpaceDN/>
        <w:bidi w:val="0"/>
        <w:snapToGrid/>
        <w:spacing w:line="380" w:lineRule="exact"/>
        <w:ind w:firstLine="54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u w:val="single"/>
          <w:lang w:val="en-US" w:eastAsia="zh-CN"/>
        </w:rPr>
        <w:t>2025</w:t>
      </w:r>
      <w:r>
        <w:rPr>
          <w:rFonts w:hint="eastAsia" w:asciiTheme="minorEastAsia" w:hAnsiTheme="minorEastAsia" w:eastAsiaTheme="minorEastAsia" w:cstheme="minorEastAsia"/>
          <w:color w:val="auto"/>
          <w:sz w:val="24"/>
          <w:szCs w:val="24"/>
          <w:highlight w:val="none"/>
          <w:u w:val="single"/>
        </w:rPr>
        <w:t>年</w:t>
      </w:r>
      <w:r>
        <w:rPr>
          <w:rFonts w:hint="eastAsia" w:asciiTheme="minorEastAsia" w:hAnsiTheme="minorEastAsia" w:eastAsiaTheme="minorEastAsia" w:cstheme="minorEastAsia"/>
          <w:color w:val="auto"/>
          <w:sz w:val="24"/>
          <w:szCs w:val="24"/>
          <w:highlight w:val="none"/>
          <w:u w:val="single"/>
          <w:lang w:val="en-US" w:eastAsia="zh-CN"/>
        </w:rPr>
        <w:t>7</w:t>
      </w:r>
      <w:r>
        <w:rPr>
          <w:rFonts w:hint="eastAsia" w:asciiTheme="minorEastAsia" w:hAnsiTheme="minorEastAsia" w:eastAsiaTheme="minorEastAsia" w:cstheme="minorEastAsia"/>
          <w:color w:val="auto"/>
          <w:sz w:val="24"/>
          <w:szCs w:val="24"/>
          <w:highlight w:val="none"/>
          <w:u w:val="single"/>
        </w:rPr>
        <w:t>月</w:t>
      </w:r>
      <w:r>
        <w:rPr>
          <w:rFonts w:hint="eastAsia" w:asciiTheme="minorEastAsia" w:hAnsiTheme="minorEastAsia" w:eastAsiaTheme="minorEastAsia" w:cstheme="minorEastAsia"/>
          <w:color w:val="auto"/>
          <w:sz w:val="24"/>
          <w:szCs w:val="24"/>
          <w:highlight w:val="none"/>
          <w:u w:val="single"/>
          <w:lang w:val="en-US" w:eastAsia="zh-CN"/>
        </w:rPr>
        <w:t>3</w:t>
      </w:r>
      <w:r>
        <w:rPr>
          <w:rFonts w:hint="eastAsia" w:asciiTheme="minorEastAsia" w:hAnsiTheme="minorEastAsia" w:eastAsiaTheme="minorEastAsia" w:cstheme="minorEastAsia"/>
          <w:color w:val="auto"/>
          <w:sz w:val="24"/>
          <w:szCs w:val="24"/>
          <w:highlight w:val="none"/>
          <w:u w:val="single"/>
        </w:rPr>
        <w:t>日</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val="en-US" w:eastAsia="zh-CN"/>
        </w:rPr>
        <w:t>2025</w:t>
      </w:r>
      <w:r>
        <w:rPr>
          <w:rFonts w:hint="eastAsia" w:asciiTheme="minorEastAsia" w:hAnsiTheme="minorEastAsia" w:eastAsiaTheme="minorEastAsia" w:cstheme="minorEastAsia"/>
          <w:color w:val="auto"/>
          <w:sz w:val="24"/>
          <w:szCs w:val="24"/>
          <w:highlight w:val="none"/>
          <w:u w:val="single"/>
        </w:rPr>
        <w:t>年</w:t>
      </w:r>
      <w:r>
        <w:rPr>
          <w:rFonts w:hint="eastAsia" w:asciiTheme="minorEastAsia" w:hAnsiTheme="minorEastAsia" w:eastAsiaTheme="minorEastAsia" w:cstheme="minorEastAsia"/>
          <w:color w:val="auto"/>
          <w:sz w:val="24"/>
          <w:szCs w:val="24"/>
          <w:highlight w:val="none"/>
          <w:u w:val="single"/>
          <w:lang w:val="en-US" w:eastAsia="zh-CN"/>
        </w:rPr>
        <w:t>7</w:t>
      </w:r>
      <w:r>
        <w:rPr>
          <w:rFonts w:hint="eastAsia" w:asciiTheme="minorEastAsia" w:hAnsiTheme="minorEastAsia" w:eastAsiaTheme="minorEastAsia" w:cstheme="minorEastAsia"/>
          <w:color w:val="auto"/>
          <w:sz w:val="24"/>
          <w:szCs w:val="24"/>
          <w:highlight w:val="none"/>
          <w:u w:val="single"/>
        </w:rPr>
        <w:t>月</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u w:val="single"/>
        </w:rPr>
        <w:t>日</w:t>
      </w:r>
      <w:r>
        <w:rPr>
          <w:rFonts w:hint="eastAsia" w:asciiTheme="minorEastAsia" w:hAnsiTheme="minorEastAsia" w:eastAsiaTheme="minorEastAsia" w:cstheme="minorEastAsia"/>
          <w:color w:val="auto"/>
          <w:sz w:val="24"/>
          <w:szCs w:val="24"/>
          <w:highlight w:val="none"/>
        </w:rPr>
        <w:t>，每天上午</w:t>
      </w:r>
      <w:r>
        <w:rPr>
          <w:rFonts w:hint="eastAsia" w:asciiTheme="minorEastAsia" w:hAnsiTheme="minorEastAsia" w:eastAsiaTheme="minorEastAsia" w:cstheme="minorEastAsia"/>
          <w:color w:val="auto"/>
          <w:sz w:val="24"/>
          <w:szCs w:val="24"/>
          <w:highlight w:val="none"/>
          <w:u w:val="single"/>
          <w:lang w:val="en-US" w:eastAsia="zh-CN"/>
        </w:rPr>
        <w:t>10：00</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val="en-US" w:eastAsia="zh-CN"/>
        </w:rPr>
        <w:t>14：00</w:t>
      </w:r>
      <w:r>
        <w:rPr>
          <w:rFonts w:hint="eastAsia" w:asciiTheme="minorEastAsia" w:hAnsiTheme="minorEastAsia" w:eastAsiaTheme="minorEastAsia" w:cstheme="minorEastAsia"/>
          <w:color w:val="auto"/>
          <w:sz w:val="24"/>
          <w:szCs w:val="24"/>
          <w:highlight w:val="none"/>
        </w:rPr>
        <w:t>，下午</w:t>
      </w:r>
      <w:r>
        <w:rPr>
          <w:rFonts w:hint="eastAsia" w:asciiTheme="minorEastAsia" w:hAnsiTheme="minorEastAsia" w:eastAsiaTheme="minorEastAsia" w:cstheme="minorEastAsia"/>
          <w:color w:val="auto"/>
          <w:sz w:val="24"/>
          <w:szCs w:val="24"/>
          <w:highlight w:val="none"/>
          <w:u w:val="single"/>
          <w:lang w:val="en-US" w:eastAsia="zh-CN"/>
        </w:rPr>
        <w:t>16：00</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val="en-US" w:eastAsia="zh-CN"/>
        </w:rPr>
        <w:t>20：00</w:t>
      </w:r>
      <w:r>
        <w:rPr>
          <w:rFonts w:hint="eastAsia" w:asciiTheme="minorEastAsia" w:hAnsiTheme="minorEastAsia" w:eastAsiaTheme="minorEastAsia" w:cstheme="minorEastAsia"/>
          <w:color w:val="auto"/>
          <w:sz w:val="24"/>
          <w:szCs w:val="24"/>
          <w:highlight w:val="none"/>
        </w:rPr>
        <w:t>（北京时间，法定节假日除外）</w:t>
      </w:r>
      <w:r>
        <w:rPr>
          <w:rFonts w:hint="eastAsia" w:asciiTheme="minorEastAsia" w:hAnsiTheme="minorEastAsia" w:eastAsiaTheme="minorEastAsia" w:cstheme="minorEastAsia"/>
          <w:color w:val="auto"/>
          <w:sz w:val="24"/>
          <w:szCs w:val="24"/>
          <w:highlight w:val="none"/>
          <w:lang w:eastAsia="zh-CN"/>
        </w:rPr>
        <w:t>。</w:t>
      </w:r>
    </w:p>
    <w:p w14:paraId="4159D220">
      <w:pPr>
        <w:pStyle w:val="39"/>
        <w:keepNext w:val="0"/>
        <w:keepLines w:val="0"/>
        <w:pageBreakBefore w:val="0"/>
        <w:kinsoku/>
        <w:wordWrap/>
        <w:overflowPunct/>
        <w:topLinePunct w:val="0"/>
        <w:autoSpaceDE/>
        <w:autoSpaceDN/>
        <w:bidi w:val="0"/>
        <w:spacing w:line="380" w:lineRule="exact"/>
        <w:ind w:firstLine="480" w:firstLineChars="2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地点：政采云平台（www.zcygov.cn）线上获取</w:t>
      </w:r>
    </w:p>
    <w:p w14:paraId="210C8D5D">
      <w:pPr>
        <w:keepNext w:val="0"/>
        <w:keepLines w:val="0"/>
        <w:pageBreakBefore w:val="0"/>
        <w:kinsoku/>
        <w:wordWrap/>
        <w:overflowPunct/>
        <w:topLinePunct w:val="0"/>
        <w:autoSpaceDE/>
        <w:autoSpaceDN/>
        <w:bidi w:val="0"/>
        <w:snapToGrid/>
        <w:spacing w:line="380" w:lineRule="exact"/>
        <w:ind w:left="0" w:leftChars="0" w:firstLine="547" w:firstLineChars="228"/>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方式：线上下载（</w:t>
      </w:r>
      <w:r>
        <w:rPr>
          <w:rFonts w:hint="eastAsia" w:asciiTheme="minorEastAsia" w:hAnsiTheme="minorEastAsia" w:eastAsiaTheme="minorEastAsia" w:cstheme="minorEastAsia"/>
          <w:color w:val="auto"/>
          <w:sz w:val="24"/>
          <w:szCs w:val="24"/>
          <w:highlight w:val="none"/>
          <w:u w:val="none"/>
          <w:lang w:eastAsia="zh-CN"/>
        </w:rPr>
        <w:t>供应商登陆政采云平台→ 项目采购 → 获取磋商文件，通过后可下载磋商文件</w:t>
      </w:r>
      <w:r>
        <w:rPr>
          <w:rFonts w:hint="eastAsia" w:asciiTheme="minorEastAsia" w:hAnsiTheme="minorEastAsia" w:eastAsiaTheme="minorEastAsia" w:cstheme="minorEastAsia"/>
          <w:color w:val="auto"/>
          <w:sz w:val="24"/>
          <w:szCs w:val="24"/>
          <w:highlight w:val="none"/>
          <w:lang w:val="en-US" w:eastAsia="zh-CN"/>
        </w:rPr>
        <w:t>）</w:t>
      </w:r>
    </w:p>
    <w:p w14:paraId="4D98B43F">
      <w:pPr>
        <w:keepNext w:val="0"/>
        <w:keepLines w:val="0"/>
        <w:pageBreakBefore w:val="0"/>
        <w:kinsoku/>
        <w:wordWrap/>
        <w:overflowPunct/>
        <w:topLinePunct w:val="0"/>
        <w:autoSpaceDE/>
        <w:autoSpaceDN/>
        <w:bidi w:val="0"/>
        <w:snapToGrid/>
        <w:spacing w:line="380" w:lineRule="exact"/>
        <w:ind w:left="0" w:leftChars="0" w:firstLine="547" w:firstLineChars="228"/>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售价：0.00元</w:t>
      </w:r>
    </w:p>
    <w:p w14:paraId="20709475">
      <w:pPr>
        <w:keepNext w:val="0"/>
        <w:keepLines w:val="0"/>
        <w:pageBreakBefore w:val="0"/>
        <w:numPr>
          <w:ilvl w:val="0"/>
          <w:numId w:val="17"/>
        </w:numPr>
        <w:kinsoku/>
        <w:wordWrap/>
        <w:overflowPunct/>
        <w:topLinePunct w:val="0"/>
        <w:autoSpaceDE/>
        <w:autoSpaceDN/>
        <w:bidi w:val="0"/>
        <w:spacing w:line="380" w:lineRule="exact"/>
        <w:jc w:val="left"/>
        <w:textAlignment w:val="auto"/>
        <w:outlineLvl w:val="9"/>
        <w:rPr>
          <w:rFonts w:hint="eastAsia" w:asciiTheme="minorEastAsia" w:hAnsiTheme="minorEastAsia" w:eastAsiaTheme="minorEastAsia" w:cstheme="minorEastAsia"/>
          <w:bCs/>
          <w:color w:val="auto"/>
          <w:sz w:val="24"/>
          <w:szCs w:val="24"/>
          <w:highlight w:val="none"/>
          <w:u w:val="single"/>
        </w:rPr>
      </w:pPr>
      <w:bookmarkStart w:id="343" w:name="_Toc8210"/>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提交</w:t>
      </w:r>
      <w:bookmarkEnd w:id="343"/>
    </w:p>
    <w:p w14:paraId="3CDC914E">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outlineLvl w:val="9"/>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u w:val="none"/>
          <w:lang w:val="en-US" w:eastAsia="zh-CN"/>
        </w:rPr>
        <w:t>截止时间：2025年7月14日11：00分</w:t>
      </w:r>
      <w:r>
        <w:rPr>
          <w:rFonts w:hint="eastAsia" w:asciiTheme="minorEastAsia" w:hAnsiTheme="minorEastAsia" w:eastAsiaTheme="minorEastAsia" w:cstheme="minorEastAsia"/>
          <w:bCs/>
          <w:color w:val="auto"/>
          <w:sz w:val="24"/>
          <w:szCs w:val="24"/>
          <w:highlight w:val="none"/>
          <w:u w:val="none"/>
        </w:rPr>
        <w:t>（北京时间）</w:t>
      </w:r>
    </w:p>
    <w:p w14:paraId="0F8ED672">
      <w:pPr>
        <w:keepNext w:val="0"/>
        <w:keepLines w:val="0"/>
        <w:pageBreakBefore w:val="0"/>
        <w:kinsoku/>
        <w:wordWrap/>
        <w:overflowPunct/>
        <w:topLinePunct w:val="0"/>
        <w:autoSpaceDE/>
        <w:autoSpaceDN/>
        <w:bidi w:val="0"/>
        <w:snapToGrid/>
        <w:spacing w:line="380" w:lineRule="exact"/>
        <w:ind w:firstLine="480" w:firstLineChars="2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地点：</w:t>
      </w:r>
      <w:r>
        <w:rPr>
          <w:rFonts w:hint="eastAsia" w:asciiTheme="minorEastAsia" w:hAnsiTheme="minorEastAsia" w:eastAsiaTheme="minorEastAsia" w:cstheme="minorEastAsia"/>
          <w:bCs/>
          <w:color w:val="auto"/>
          <w:sz w:val="24"/>
          <w:szCs w:val="24"/>
          <w:highlight w:val="none"/>
          <w:u w:val="none"/>
          <w:lang w:val="en-US" w:eastAsia="zh-CN"/>
        </w:rPr>
        <w:t>供应商登录政采云平台https://www.zcygov.cn/在线提交</w:t>
      </w:r>
    </w:p>
    <w:p w14:paraId="6E3F8731">
      <w:pPr>
        <w:pStyle w:val="7"/>
        <w:numPr>
          <w:ilvl w:val="0"/>
          <w:numId w:val="17"/>
        </w:numPr>
        <w:ind w:left="0" w:leftChars="0" w:firstLine="0" w:firstLineChars="0"/>
        <w:outlineLvl w:val="9"/>
        <w:rPr>
          <w:rFonts w:hint="eastAsia" w:asciiTheme="minorEastAsia" w:hAnsiTheme="minorEastAsia" w:eastAsiaTheme="minorEastAsia" w:cstheme="minorEastAsia"/>
          <w:color w:val="auto"/>
          <w:sz w:val="24"/>
          <w:szCs w:val="24"/>
          <w:highlight w:val="none"/>
          <w:lang w:val="en-US" w:eastAsia="zh-CN"/>
        </w:rPr>
      </w:pPr>
      <w:bookmarkStart w:id="344" w:name="_Toc19426"/>
      <w:r>
        <w:rPr>
          <w:rFonts w:hint="eastAsia" w:asciiTheme="minorEastAsia" w:hAnsiTheme="minorEastAsia" w:eastAsiaTheme="minorEastAsia" w:cstheme="minorEastAsia"/>
          <w:color w:val="auto"/>
          <w:sz w:val="24"/>
          <w:szCs w:val="24"/>
          <w:highlight w:val="none"/>
          <w:lang w:val="en-US" w:eastAsia="zh-CN"/>
        </w:rPr>
        <w:t>响应文件开启</w:t>
      </w:r>
      <w:bookmarkEnd w:id="344"/>
    </w:p>
    <w:p w14:paraId="4C5D2B4D">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outlineLvl w:val="9"/>
        <w:rPr>
          <w:rFonts w:hint="eastAsia" w:asciiTheme="minorEastAsia" w:hAnsiTheme="minorEastAsia" w:eastAsiaTheme="minorEastAsia" w:cstheme="minorEastAsia"/>
          <w:bCs/>
          <w:color w:val="auto"/>
          <w:sz w:val="24"/>
          <w:szCs w:val="24"/>
          <w:highlight w:val="none"/>
          <w:u w:val="single"/>
        </w:rPr>
      </w:pPr>
      <w:bookmarkStart w:id="345" w:name="_Toc11835"/>
      <w:r>
        <w:rPr>
          <w:rFonts w:hint="eastAsia" w:asciiTheme="minorEastAsia" w:hAnsiTheme="minorEastAsia" w:eastAsiaTheme="minorEastAsia" w:cstheme="minorEastAsia"/>
          <w:bCs/>
          <w:color w:val="auto"/>
          <w:sz w:val="24"/>
          <w:szCs w:val="24"/>
          <w:highlight w:val="none"/>
          <w:u w:val="none"/>
          <w:lang w:val="en-US" w:eastAsia="zh-CN"/>
        </w:rPr>
        <w:t>截止时间：2025年7月14日11：00分</w:t>
      </w:r>
      <w:r>
        <w:rPr>
          <w:rFonts w:hint="eastAsia" w:asciiTheme="minorEastAsia" w:hAnsiTheme="minorEastAsia" w:eastAsiaTheme="minorEastAsia" w:cstheme="minorEastAsia"/>
          <w:bCs/>
          <w:color w:val="auto"/>
          <w:sz w:val="24"/>
          <w:szCs w:val="24"/>
          <w:highlight w:val="none"/>
          <w:u w:val="none"/>
        </w:rPr>
        <w:t>（北京时间）</w:t>
      </w:r>
    </w:p>
    <w:p w14:paraId="3CBCFF5E">
      <w:pPr>
        <w:keepNext w:val="0"/>
        <w:keepLines w:val="0"/>
        <w:pageBreakBefore w:val="0"/>
        <w:kinsoku/>
        <w:wordWrap/>
        <w:overflowPunct/>
        <w:topLinePunct w:val="0"/>
        <w:autoSpaceDE/>
        <w:autoSpaceDN/>
        <w:bidi w:val="0"/>
        <w:snapToGrid/>
        <w:spacing w:line="380" w:lineRule="exact"/>
        <w:ind w:firstLine="480" w:firstLineChars="2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地点：https://www.zcygov.cn不见面开标</w:t>
      </w:r>
    </w:p>
    <w:p w14:paraId="1D4A3C33">
      <w:pPr>
        <w:keepNext w:val="0"/>
        <w:keepLines w:val="0"/>
        <w:pageBreakBefore w:val="0"/>
        <w:kinsoku/>
        <w:wordWrap/>
        <w:overflowPunct/>
        <w:topLinePunct w:val="0"/>
        <w:autoSpaceDE/>
        <w:autoSpaceDN/>
        <w:bidi w:val="0"/>
        <w:spacing w:line="38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公告期限</w:t>
      </w:r>
      <w:bookmarkEnd w:id="345"/>
    </w:p>
    <w:p w14:paraId="44ED98CB">
      <w:pPr>
        <w:keepNext w:val="0"/>
        <w:keepLines w:val="0"/>
        <w:pageBreakBefore w:val="0"/>
        <w:kinsoku/>
        <w:wordWrap/>
        <w:overflowPunct/>
        <w:topLinePunct w:val="0"/>
        <w:autoSpaceDE/>
        <w:autoSpaceDN/>
        <w:bidi w:val="0"/>
        <w:spacing w:line="38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自本公告发布之日起</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w:t>
      </w:r>
    </w:p>
    <w:p w14:paraId="0F27B1A6">
      <w:pPr>
        <w:keepNext w:val="0"/>
        <w:keepLines w:val="0"/>
        <w:pageBreakBefore w:val="0"/>
        <w:kinsoku/>
        <w:wordWrap/>
        <w:overflowPunct/>
        <w:topLinePunct w:val="0"/>
        <w:autoSpaceDE/>
        <w:autoSpaceDN/>
        <w:bidi w:val="0"/>
        <w:spacing w:line="380" w:lineRule="exact"/>
        <w:jc w:val="left"/>
        <w:textAlignment w:val="auto"/>
        <w:outlineLvl w:val="9"/>
        <w:rPr>
          <w:rFonts w:hint="eastAsia" w:asciiTheme="minorEastAsia" w:hAnsiTheme="minorEastAsia" w:eastAsiaTheme="minorEastAsia" w:cstheme="minorEastAsia"/>
          <w:color w:val="auto"/>
          <w:sz w:val="24"/>
          <w:szCs w:val="24"/>
          <w:highlight w:val="none"/>
        </w:rPr>
      </w:pPr>
      <w:bookmarkStart w:id="346" w:name="_Toc25481"/>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、其他补充事宜</w:t>
      </w:r>
      <w:bookmarkEnd w:id="346"/>
    </w:p>
    <w:p w14:paraId="7EFD9EC0">
      <w:pPr>
        <w:keepNext w:val="0"/>
        <w:keepLines w:val="0"/>
        <w:pageBreakBefore w:val="0"/>
        <w:kinsoku/>
        <w:wordWrap/>
        <w:overflowPunct/>
        <w:topLinePunct w:val="0"/>
        <w:autoSpaceDE/>
        <w:autoSpaceDN/>
        <w:bidi w:val="0"/>
        <w:spacing w:line="380" w:lineRule="exact"/>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1.本项目实行网上磋商，采用电子磋商文件(供应商须使用CA加密设备通过新疆政采云电子磋商客户端制作磋商文件)。若供应商参与磋商，自行承担磋商一切费用。</w:t>
      </w:r>
    </w:p>
    <w:p w14:paraId="141D72A4">
      <w:pPr>
        <w:keepNext w:val="0"/>
        <w:keepLines w:val="0"/>
        <w:pageBreakBefore w:val="0"/>
        <w:kinsoku/>
        <w:wordWrap/>
        <w:overflowPunct/>
        <w:topLinePunct w:val="0"/>
        <w:autoSpaceDE/>
        <w:autoSpaceDN/>
        <w:bidi w:val="0"/>
        <w:spacing w:line="380" w:lineRule="exact"/>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2.各供应商应在开标前应确保成为新疆政府采购网正式注册入库供应商，并完成CA数字证书申领。因未注册入库、未办理CA数字证书等原因造成无法磋商或磋商失败等后果由供应商自行承担。</w:t>
      </w:r>
    </w:p>
    <w:p w14:paraId="1E3F75A9">
      <w:pPr>
        <w:keepNext w:val="0"/>
        <w:keepLines w:val="0"/>
        <w:pageBreakBefore w:val="0"/>
        <w:kinsoku/>
        <w:wordWrap/>
        <w:overflowPunct/>
        <w:topLinePunct w:val="0"/>
        <w:autoSpaceDE/>
        <w:autoSpaceDN/>
        <w:bidi w:val="0"/>
        <w:spacing w:line="380" w:lineRule="exact"/>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3.供应商将政采云电子交易客户端下载、安装完成后，可通过账号密码或CA登录客户端进行磋商文件制作。在使用新疆政采云磋商客户端时，建议使用WIN7+64位及以上操作系统。</w:t>
      </w:r>
    </w:p>
    <w:p w14:paraId="07DAAC9B">
      <w:pPr>
        <w:keepNext w:val="0"/>
        <w:keepLines w:val="0"/>
        <w:pageBreakBefore w:val="0"/>
        <w:kinsoku/>
        <w:wordWrap/>
        <w:overflowPunct/>
        <w:topLinePunct w:val="0"/>
        <w:autoSpaceDE/>
        <w:autoSpaceDN/>
        <w:bidi w:val="0"/>
        <w:spacing w:line="380" w:lineRule="exact"/>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4.供应商在开标时须使用制作加密电子磋商文件所使用的CA锁及电脑，电脑须提前配置好浏览器（建议使用360浏览器兼容版或谷歌浏览器），以便开标时解锁。</w:t>
      </w:r>
    </w:p>
    <w:p w14:paraId="6353E448">
      <w:pPr>
        <w:keepNext w:val="0"/>
        <w:keepLines w:val="0"/>
        <w:pageBreakBefore w:val="0"/>
        <w:kinsoku/>
        <w:wordWrap/>
        <w:overflowPunct/>
        <w:topLinePunct w:val="0"/>
        <w:autoSpaceDE/>
        <w:autoSpaceDN/>
        <w:bidi w:val="0"/>
        <w:spacing w:line="380" w:lineRule="exact"/>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供应商对不见面开评标系统的技术操作咨询，可通过https://edu.zcygov.cn/luban/xinjiang-e-biding自助查询，也可在政采云帮助中心常见问题解答和操作流程讲解视频中自助查询，网址为：https://service.zcygov.cn/，“项目采购”—“操作流程-电子招磋商”—“政府采购项目电子交易管理操作指南-供应商”版面获取操作指南，同时对自助查询无法解决的问题可通过钉钉群及政采云在线客服获取服务支持。供应商钉钉群号：政采云新疆供应商服务十群：33132402、十一群：30213207（如已加入1-9群，无需重复加入，十一个群联动直播），钉钉工具软件具有回放功能，直播培训结束后可在钉钉群中回放观看学习。</w:t>
      </w:r>
    </w:p>
    <w:p w14:paraId="11F64559">
      <w:pPr>
        <w:keepNext w:val="0"/>
        <w:keepLines w:val="0"/>
        <w:pageBreakBefore w:val="0"/>
        <w:kinsoku/>
        <w:wordWrap/>
        <w:overflowPunct/>
        <w:topLinePunct w:val="0"/>
        <w:autoSpaceDE/>
        <w:autoSpaceDN/>
        <w:bidi w:val="0"/>
        <w:spacing w:line="380" w:lineRule="exact"/>
        <w:jc w:val="left"/>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特别提示：</w:t>
      </w:r>
    </w:p>
    <w:p w14:paraId="62E89ABD">
      <w:pPr>
        <w:keepNext w:val="0"/>
        <w:keepLines w:val="0"/>
        <w:pageBreakBefore w:val="0"/>
        <w:kinsoku/>
        <w:wordWrap/>
        <w:overflowPunct/>
        <w:topLinePunct w:val="0"/>
        <w:autoSpaceDE/>
        <w:autoSpaceDN/>
        <w:bidi w:val="0"/>
        <w:spacing w:line="380" w:lineRule="exact"/>
        <w:jc w:val="left"/>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对于未预留份额专门面向中小企业的采购项目，以及预留份额项目中的非预留部分采购包，采购人、采购代理机构应当对符合规定的小微企业报价给予10%~20%（工程项目为6%~10%）的扣除，用扣除后的价格参加评审。适用招标磋商法的政府采购工程建设项目，采用综合评估法但未采用低价优先法计算价格分的，评标时应当在采用原报价进行评分的基础上增加其价格得分的6%~10%作为其价格分。</w:t>
      </w:r>
    </w:p>
    <w:p w14:paraId="24CEE34D">
      <w:pPr>
        <w:keepNext w:val="0"/>
        <w:keepLines w:val="0"/>
        <w:pageBreakBefore w:val="0"/>
        <w:kinsoku/>
        <w:wordWrap/>
        <w:overflowPunct/>
        <w:topLinePunct w:val="0"/>
        <w:autoSpaceDE/>
        <w:autoSpaceDN/>
        <w:bidi w:val="0"/>
        <w:spacing w:line="380" w:lineRule="exact"/>
        <w:jc w:val="left"/>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磋商法的政府采购工程建设项目，采用综合评估法但未采用低价优先法计算价格分的，评标时应当在采用原报价进行评分的基础上增加其价格得分的2%~4%作为其价格分。</w:t>
      </w:r>
    </w:p>
    <w:p w14:paraId="6DA07FDA">
      <w:pPr>
        <w:keepNext w:val="0"/>
        <w:keepLines w:val="0"/>
        <w:pageBreakBefore w:val="0"/>
        <w:kinsoku/>
        <w:wordWrap/>
        <w:overflowPunct/>
        <w:topLinePunct w:val="0"/>
        <w:autoSpaceDE/>
        <w:autoSpaceDN/>
        <w:bidi w:val="0"/>
        <w:spacing w:line="380" w:lineRule="exact"/>
        <w:jc w:val="left"/>
        <w:textAlignment w:val="auto"/>
        <w:outlineLvl w:val="9"/>
        <w:rPr>
          <w:rFonts w:hint="eastAsia" w:asciiTheme="minorEastAsia" w:hAnsiTheme="minorEastAsia" w:eastAsiaTheme="minorEastAsia" w:cstheme="minorEastAsia"/>
          <w:color w:val="auto"/>
          <w:sz w:val="24"/>
          <w:szCs w:val="24"/>
          <w:highlight w:val="none"/>
        </w:rPr>
      </w:pPr>
      <w:bookmarkStart w:id="347" w:name="_Toc17795"/>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、对本次招标提出询问，请按以下方式联系。</w:t>
      </w:r>
      <w:bookmarkEnd w:id="347"/>
      <w:r>
        <w:rPr>
          <w:rFonts w:hint="eastAsia" w:asciiTheme="minorEastAsia" w:hAnsiTheme="minorEastAsia" w:eastAsiaTheme="minorEastAsia" w:cstheme="minorEastAsia"/>
          <w:color w:val="auto"/>
          <w:sz w:val="24"/>
          <w:szCs w:val="24"/>
          <w:highlight w:val="none"/>
        </w:rPr>
        <w:t>　　　　　　　　　　　　</w:t>
      </w:r>
    </w:p>
    <w:p w14:paraId="19854A6A">
      <w:pPr>
        <w:pStyle w:val="21"/>
        <w:keepNext w:val="0"/>
        <w:keepLines w:val="0"/>
        <w:pageBreakBefore w:val="0"/>
        <w:overflowPunct/>
        <w:topLinePunct w:val="0"/>
        <w:bidi w:val="0"/>
        <w:spacing w:before="75" w:beforeAutospacing="0" w:after="75" w:afterAutospacing="0" w:line="340" w:lineRule="exact"/>
        <w:outlineLvl w:val="9"/>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1.采购人信息名</w:t>
      </w:r>
      <w:r>
        <w:rPr>
          <w:rFonts w:hint="eastAsia" w:asciiTheme="minorEastAsia" w:hAnsiTheme="minorEastAsia" w:eastAsiaTheme="minorEastAsia" w:cstheme="minorEastAsia"/>
          <w:highlight w:val="none"/>
          <w:lang w:eastAsia="zh-CN"/>
        </w:rPr>
        <w:t>称：疏勒县良种繁育场 </w:t>
      </w:r>
      <w:r>
        <w:rPr>
          <w:rFonts w:hint="eastAsia" w:asciiTheme="minorEastAsia" w:hAnsiTheme="minorEastAsia" w:eastAsiaTheme="minorEastAsia" w:cstheme="minorEastAsia"/>
          <w:highlight w:val="none"/>
          <w:lang w:val="en-US" w:eastAsia="zh-CN"/>
        </w:rPr>
        <w:t xml:space="preserve">             </w:t>
      </w:r>
    </w:p>
    <w:p w14:paraId="255B51D5">
      <w:pPr>
        <w:pStyle w:val="21"/>
        <w:keepNext w:val="0"/>
        <w:keepLines w:val="0"/>
        <w:pageBreakBefore w:val="0"/>
        <w:overflowPunct/>
        <w:topLinePunct w:val="0"/>
        <w:bidi w:val="0"/>
        <w:spacing w:before="75" w:beforeAutospacing="0" w:after="75" w:afterAutospacing="0" w:line="340" w:lineRule="exact"/>
        <w:outlineLvl w:val="9"/>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地    址：疏勒县</w:t>
      </w:r>
    </w:p>
    <w:p w14:paraId="71303E44">
      <w:pPr>
        <w:pStyle w:val="21"/>
        <w:keepNext w:val="0"/>
        <w:keepLines w:val="0"/>
        <w:pageBreakBefore w:val="0"/>
        <w:overflowPunct/>
        <w:topLinePunct w:val="0"/>
        <w:bidi w:val="0"/>
        <w:spacing w:before="75" w:beforeAutospacing="0" w:after="75" w:afterAutospacing="0" w:line="340" w:lineRule="exact"/>
        <w:outlineLvl w:val="9"/>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eastAsia="zh-CN"/>
        </w:rPr>
        <w:t>联 系 人：</w:t>
      </w:r>
      <w:r>
        <w:rPr>
          <w:rFonts w:hint="eastAsia" w:asciiTheme="minorEastAsia" w:hAnsiTheme="minorEastAsia" w:eastAsiaTheme="minorEastAsia" w:cstheme="minorEastAsia"/>
          <w:highlight w:val="none"/>
          <w:lang w:val="en-US" w:eastAsia="zh-CN"/>
        </w:rPr>
        <w:t>张蕉</w:t>
      </w:r>
    </w:p>
    <w:p w14:paraId="53EC26EB">
      <w:pPr>
        <w:pStyle w:val="21"/>
        <w:keepNext w:val="0"/>
        <w:keepLines w:val="0"/>
        <w:pageBreakBefore w:val="0"/>
        <w:overflowPunct/>
        <w:topLinePunct w:val="0"/>
        <w:bidi w:val="0"/>
        <w:spacing w:before="75" w:beforeAutospacing="0" w:after="75" w:afterAutospacing="0" w:line="340" w:lineRule="exact"/>
        <w:outlineLvl w:val="9"/>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联系电话：</w:t>
      </w:r>
      <w:bookmarkStart w:id="348" w:name="_Toc28359009"/>
      <w:bookmarkStart w:id="349" w:name="_Toc28359086"/>
      <w:r>
        <w:rPr>
          <w:rFonts w:hint="eastAsia" w:asciiTheme="minorEastAsia" w:hAnsiTheme="minorEastAsia" w:eastAsiaTheme="minorEastAsia" w:cstheme="minorEastAsia"/>
          <w:highlight w:val="none"/>
          <w:lang w:val="en-US" w:eastAsia="zh-CN"/>
        </w:rPr>
        <w:t>17599466788</w:t>
      </w:r>
    </w:p>
    <w:p w14:paraId="6FAA91A2">
      <w:pPr>
        <w:pStyle w:val="21"/>
        <w:keepNext w:val="0"/>
        <w:keepLines w:val="0"/>
        <w:pageBreakBefore w:val="0"/>
        <w:overflowPunct/>
        <w:topLinePunct w:val="0"/>
        <w:bidi w:val="0"/>
        <w:spacing w:before="75" w:beforeAutospacing="0" w:after="75" w:afterAutospacing="0" w:line="340" w:lineRule="exact"/>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2.采购代理机构信息</w:t>
      </w:r>
      <w:bookmarkEnd w:id="348"/>
      <w:bookmarkEnd w:id="349"/>
    </w:p>
    <w:p w14:paraId="185D4A83">
      <w:pPr>
        <w:pStyle w:val="21"/>
        <w:keepNext w:val="0"/>
        <w:keepLines w:val="0"/>
        <w:pageBreakBefore w:val="0"/>
        <w:overflowPunct/>
        <w:topLinePunct w:val="0"/>
        <w:bidi w:val="0"/>
        <w:spacing w:before="75" w:beforeAutospacing="0" w:after="75" w:afterAutospacing="0" w:line="340" w:lineRule="exact"/>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名</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称：</w:t>
      </w:r>
      <w:r>
        <w:rPr>
          <w:rFonts w:hint="eastAsia" w:asciiTheme="minorEastAsia" w:hAnsiTheme="minorEastAsia" w:eastAsiaTheme="minorEastAsia" w:cstheme="minorEastAsia"/>
          <w:highlight w:val="none"/>
          <w:lang w:val="en-US" w:eastAsia="zh-CN"/>
        </w:rPr>
        <w:t>新疆禾正工程项目管理有限公司</w:t>
      </w:r>
      <w:r>
        <w:rPr>
          <w:rFonts w:hint="eastAsia" w:asciiTheme="minorEastAsia" w:hAnsiTheme="minorEastAsia" w:eastAsiaTheme="minorEastAsia" w:cstheme="minorEastAsia"/>
          <w:highlight w:val="none"/>
        </w:rPr>
        <w:t>　　　　　　　</w:t>
      </w:r>
    </w:p>
    <w:p w14:paraId="20E21964">
      <w:pPr>
        <w:pStyle w:val="21"/>
        <w:keepNext w:val="0"/>
        <w:keepLines w:val="0"/>
        <w:pageBreakBefore w:val="0"/>
        <w:overflowPunct/>
        <w:topLinePunct w:val="0"/>
        <w:bidi w:val="0"/>
        <w:spacing w:before="75" w:beforeAutospacing="0" w:after="75" w:afterAutospacing="0" w:line="340" w:lineRule="exact"/>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 xml:space="preserve">址：新疆喀什地区喀什市经济开发区深喀大道总部经济区陕西大厦20层2005-5/2006-5号房 </w:t>
      </w:r>
    </w:p>
    <w:p w14:paraId="1C51A1D0">
      <w:pPr>
        <w:pStyle w:val="21"/>
        <w:keepNext w:val="0"/>
        <w:keepLines w:val="0"/>
        <w:pageBreakBefore w:val="0"/>
        <w:overflowPunct/>
        <w:topLinePunct w:val="0"/>
        <w:bidi w:val="0"/>
        <w:spacing w:before="75" w:beforeAutospacing="0" w:after="75" w:afterAutospacing="0" w:line="340" w:lineRule="exact"/>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项目联系人：</w:t>
      </w:r>
      <w:r>
        <w:rPr>
          <w:rFonts w:hint="eastAsia" w:asciiTheme="minorEastAsia" w:hAnsiTheme="minorEastAsia" w:eastAsiaTheme="minorEastAsia" w:cstheme="minorEastAsia"/>
          <w:highlight w:val="none"/>
          <w:lang w:val="en-US" w:eastAsia="zh-CN"/>
        </w:rPr>
        <w:t>户 玉</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   　　　　　　　　　　　</w:t>
      </w:r>
    </w:p>
    <w:p w14:paraId="0C2E2E7C">
      <w:pPr>
        <w:pStyle w:val="21"/>
        <w:keepNext w:val="0"/>
        <w:keepLines w:val="0"/>
        <w:pageBreakBefore w:val="0"/>
        <w:overflowPunct/>
        <w:topLinePunct w:val="0"/>
        <w:bidi w:val="0"/>
        <w:spacing w:before="75" w:beforeAutospacing="0" w:after="75" w:afterAutospacing="0" w:line="340" w:lineRule="exact"/>
        <w:outlineLvl w:val="9"/>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项目联系方式：</w:t>
      </w:r>
      <w:r>
        <w:rPr>
          <w:rFonts w:hint="eastAsia" w:asciiTheme="minorEastAsia" w:hAnsiTheme="minorEastAsia" w:eastAsiaTheme="minorEastAsia" w:cstheme="minorEastAsia"/>
          <w:highlight w:val="none"/>
          <w:lang w:val="en-US" w:eastAsia="zh-CN"/>
        </w:rPr>
        <w:t>17399277881</w:t>
      </w:r>
    </w:p>
    <w:p w14:paraId="2615DCAD">
      <w:pPr>
        <w:keepNext w:val="0"/>
        <w:keepLines w:val="0"/>
        <w:pageBreakBefore w:val="0"/>
        <w:kinsoku/>
        <w:wordWrap/>
        <w:overflowPunct/>
        <w:topLinePunct w:val="0"/>
        <w:autoSpaceDE/>
        <w:autoSpaceDN/>
        <w:bidi w:val="0"/>
        <w:spacing w:line="380" w:lineRule="exact"/>
        <w:textAlignment w:val="auto"/>
        <w:outlineLvl w:val="9"/>
        <w:rPr>
          <w:rFonts w:hint="eastAsia" w:asciiTheme="minorEastAsia" w:hAnsiTheme="minorEastAsia" w:eastAsiaTheme="minorEastAsia" w:cstheme="minorEastAsia"/>
          <w:color w:val="auto"/>
          <w:sz w:val="24"/>
          <w:highlight w:val="none"/>
          <w:lang w:val="en-US" w:eastAsia="zh-CN"/>
        </w:rPr>
      </w:pPr>
    </w:p>
    <w:p w14:paraId="63900B9F">
      <w:pPr>
        <w:pStyle w:val="7"/>
        <w:rPr>
          <w:rFonts w:hint="eastAsia" w:asciiTheme="minorEastAsia" w:hAnsiTheme="minorEastAsia" w:eastAsiaTheme="minorEastAsia" w:cstheme="minorEastAsia"/>
          <w:color w:val="auto"/>
          <w:sz w:val="24"/>
          <w:highlight w:val="none"/>
          <w:lang w:val="en-US" w:eastAsia="zh-CN"/>
        </w:rPr>
      </w:pPr>
    </w:p>
    <w:p w14:paraId="4C6FDFF6">
      <w:pPr>
        <w:pStyle w:val="8"/>
        <w:rPr>
          <w:rFonts w:hint="eastAsia" w:asciiTheme="minorEastAsia" w:hAnsiTheme="minorEastAsia" w:eastAsiaTheme="minorEastAsia" w:cstheme="minorEastAsia"/>
          <w:color w:val="auto"/>
          <w:sz w:val="24"/>
          <w:highlight w:val="none"/>
          <w:lang w:val="en-US" w:eastAsia="zh-CN"/>
        </w:rPr>
      </w:pPr>
    </w:p>
    <w:p w14:paraId="541A4261">
      <w:pPr>
        <w:rPr>
          <w:rFonts w:hint="eastAsia" w:asciiTheme="minorEastAsia" w:hAnsiTheme="minorEastAsia" w:eastAsiaTheme="minorEastAsia" w:cstheme="minorEastAsia"/>
          <w:color w:val="auto"/>
          <w:sz w:val="24"/>
          <w:highlight w:val="none"/>
          <w:lang w:val="en-US" w:eastAsia="zh-CN"/>
        </w:rPr>
      </w:pPr>
    </w:p>
    <w:p w14:paraId="511529FD">
      <w:pPr>
        <w:rPr>
          <w:rFonts w:hint="eastAsia" w:asciiTheme="minorEastAsia" w:hAnsiTheme="minorEastAsia" w:eastAsiaTheme="minorEastAsia" w:cstheme="minorEastAsia"/>
          <w:color w:val="auto"/>
          <w:sz w:val="24"/>
          <w:highlight w:val="none"/>
          <w:lang w:val="en-US" w:eastAsia="zh-CN"/>
        </w:rPr>
      </w:pPr>
    </w:p>
    <w:p w14:paraId="6FDF90D8">
      <w:pPr>
        <w:rPr>
          <w:rFonts w:hint="eastAsia" w:asciiTheme="minorEastAsia" w:hAnsiTheme="minorEastAsia" w:eastAsiaTheme="minorEastAsia" w:cstheme="minorEastAsia"/>
          <w:color w:val="auto"/>
          <w:sz w:val="24"/>
          <w:highlight w:val="none"/>
          <w:lang w:val="en-US" w:eastAsia="zh-CN"/>
        </w:rPr>
      </w:pPr>
    </w:p>
    <w:p w14:paraId="12AD44D8">
      <w:pPr>
        <w:rPr>
          <w:rFonts w:hint="eastAsia" w:asciiTheme="minorEastAsia" w:hAnsiTheme="minorEastAsia" w:eastAsiaTheme="minorEastAsia" w:cstheme="minorEastAsia"/>
          <w:color w:val="auto"/>
          <w:sz w:val="24"/>
          <w:highlight w:val="none"/>
          <w:lang w:val="en-US" w:eastAsia="zh-CN"/>
        </w:rPr>
      </w:pPr>
    </w:p>
    <w:p w14:paraId="4CC066F0">
      <w:pPr>
        <w:rPr>
          <w:rFonts w:hint="eastAsia" w:asciiTheme="minorEastAsia" w:hAnsiTheme="minorEastAsia" w:eastAsiaTheme="minorEastAsia" w:cstheme="minorEastAsia"/>
          <w:color w:val="auto"/>
          <w:sz w:val="24"/>
          <w:highlight w:val="none"/>
          <w:lang w:val="en-US" w:eastAsia="zh-CN"/>
        </w:rPr>
      </w:pPr>
    </w:p>
    <w:p w14:paraId="652B3B4D">
      <w:pPr>
        <w:rPr>
          <w:rFonts w:hint="eastAsia" w:asciiTheme="minorEastAsia" w:hAnsiTheme="minorEastAsia" w:eastAsiaTheme="minorEastAsia" w:cstheme="minorEastAsia"/>
          <w:color w:val="auto"/>
          <w:sz w:val="24"/>
          <w:highlight w:val="none"/>
          <w:lang w:val="en-US" w:eastAsia="zh-CN"/>
        </w:rPr>
      </w:pPr>
    </w:p>
    <w:p w14:paraId="39466D2B">
      <w:pPr>
        <w:rPr>
          <w:rFonts w:hint="eastAsia" w:asciiTheme="minorEastAsia" w:hAnsiTheme="minorEastAsia" w:eastAsiaTheme="minorEastAsia" w:cstheme="minorEastAsia"/>
          <w:color w:val="auto"/>
          <w:sz w:val="24"/>
          <w:highlight w:val="none"/>
          <w:lang w:val="en-US" w:eastAsia="zh-CN"/>
        </w:rPr>
      </w:pPr>
    </w:p>
    <w:p w14:paraId="521AC52A">
      <w:pPr>
        <w:rPr>
          <w:rFonts w:hint="eastAsia" w:asciiTheme="minorEastAsia" w:hAnsiTheme="minorEastAsia" w:eastAsiaTheme="minorEastAsia" w:cstheme="minorEastAsia"/>
          <w:color w:val="auto"/>
          <w:sz w:val="24"/>
          <w:highlight w:val="none"/>
          <w:lang w:val="en-US" w:eastAsia="zh-CN"/>
        </w:rPr>
      </w:pPr>
    </w:p>
    <w:p w14:paraId="2CF601C7">
      <w:pPr>
        <w:rPr>
          <w:rFonts w:hint="eastAsia" w:asciiTheme="minorEastAsia" w:hAnsiTheme="minorEastAsia" w:eastAsiaTheme="minorEastAsia" w:cstheme="minorEastAsia"/>
          <w:color w:val="auto"/>
          <w:sz w:val="24"/>
          <w:highlight w:val="none"/>
          <w:lang w:val="en-US" w:eastAsia="zh-CN"/>
        </w:rPr>
      </w:pPr>
    </w:p>
    <w:p w14:paraId="321B08BD">
      <w:pPr>
        <w:rPr>
          <w:rFonts w:hint="eastAsia" w:asciiTheme="minorEastAsia" w:hAnsiTheme="minorEastAsia" w:eastAsiaTheme="minorEastAsia" w:cstheme="minorEastAsia"/>
          <w:color w:val="auto"/>
          <w:sz w:val="24"/>
          <w:highlight w:val="none"/>
          <w:lang w:val="en-US" w:eastAsia="zh-CN"/>
        </w:rPr>
      </w:pPr>
    </w:p>
    <w:p w14:paraId="3369D8B4">
      <w:pPr>
        <w:rPr>
          <w:rFonts w:hint="eastAsia" w:asciiTheme="minorEastAsia" w:hAnsiTheme="minorEastAsia" w:eastAsiaTheme="minorEastAsia" w:cstheme="minorEastAsia"/>
          <w:color w:val="auto"/>
          <w:sz w:val="24"/>
          <w:highlight w:val="none"/>
          <w:lang w:val="en-US" w:eastAsia="zh-CN"/>
        </w:rPr>
      </w:pPr>
    </w:p>
    <w:p w14:paraId="1276B299">
      <w:pPr>
        <w:rPr>
          <w:rFonts w:hint="eastAsia" w:asciiTheme="minorEastAsia" w:hAnsiTheme="minorEastAsia" w:eastAsiaTheme="minorEastAsia" w:cstheme="minorEastAsia"/>
          <w:color w:val="auto"/>
          <w:sz w:val="24"/>
          <w:highlight w:val="none"/>
          <w:lang w:val="en-US" w:eastAsia="zh-CN"/>
        </w:rPr>
      </w:pPr>
    </w:p>
    <w:p w14:paraId="65EDACB6">
      <w:pPr>
        <w:rPr>
          <w:rFonts w:hint="eastAsia" w:asciiTheme="minorEastAsia" w:hAnsiTheme="minorEastAsia" w:eastAsiaTheme="minorEastAsia" w:cstheme="minorEastAsia"/>
          <w:color w:val="auto"/>
          <w:sz w:val="24"/>
          <w:highlight w:val="none"/>
          <w:lang w:val="en-US" w:eastAsia="zh-CN"/>
        </w:rPr>
      </w:pPr>
    </w:p>
    <w:p w14:paraId="029E9C57">
      <w:pPr>
        <w:rPr>
          <w:rFonts w:hint="eastAsia" w:asciiTheme="minorEastAsia" w:hAnsiTheme="minorEastAsia" w:eastAsiaTheme="minorEastAsia" w:cstheme="minorEastAsia"/>
          <w:color w:val="auto"/>
          <w:sz w:val="24"/>
          <w:highlight w:val="none"/>
          <w:lang w:val="en-US" w:eastAsia="zh-CN"/>
        </w:rPr>
      </w:pPr>
    </w:p>
    <w:p w14:paraId="4B23DAC3">
      <w:pPr>
        <w:rPr>
          <w:rFonts w:hint="eastAsia" w:asciiTheme="minorEastAsia" w:hAnsiTheme="minorEastAsia" w:eastAsiaTheme="minorEastAsia" w:cstheme="minorEastAsia"/>
          <w:color w:val="auto"/>
          <w:sz w:val="24"/>
          <w:highlight w:val="none"/>
          <w:lang w:val="en-US" w:eastAsia="zh-CN"/>
        </w:rPr>
      </w:pPr>
    </w:p>
    <w:p w14:paraId="55A966AE">
      <w:pPr>
        <w:rPr>
          <w:rFonts w:hint="eastAsia" w:asciiTheme="minorEastAsia" w:hAnsiTheme="minorEastAsia" w:eastAsiaTheme="minorEastAsia" w:cstheme="minorEastAsia"/>
          <w:color w:val="auto"/>
          <w:sz w:val="24"/>
          <w:highlight w:val="none"/>
          <w:lang w:val="en-US" w:eastAsia="zh-CN"/>
        </w:rPr>
      </w:pPr>
    </w:p>
    <w:p w14:paraId="24E5519B">
      <w:pPr>
        <w:rPr>
          <w:rFonts w:hint="eastAsia" w:asciiTheme="minorEastAsia" w:hAnsiTheme="minorEastAsia" w:eastAsiaTheme="minorEastAsia" w:cstheme="minorEastAsia"/>
          <w:color w:val="auto"/>
          <w:sz w:val="24"/>
          <w:highlight w:val="none"/>
          <w:lang w:val="en-US" w:eastAsia="zh-CN"/>
        </w:rPr>
      </w:pPr>
    </w:p>
    <w:p w14:paraId="0B7D89A3">
      <w:pPr>
        <w:rPr>
          <w:rFonts w:hint="eastAsia"/>
          <w:highlight w:val="none"/>
          <w:lang w:val="en-US" w:eastAsia="zh-CN"/>
        </w:rPr>
      </w:pPr>
    </w:p>
    <w:p w14:paraId="1FB41436">
      <w:pPr>
        <w:rPr>
          <w:rFonts w:hint="eastAsia"/>
          <w:highlight w:val="none"/>
          <w:lang w:val="en-US" w:eastAsia="zh-CN"/>
        </w:rPr>
      </w:pPr>
    </w:p>
    <w:p w14:paraId="5A1592B4">
      <w:pPr>
        <w:rPr>
          <w:rFonts w:hint="eastAsia" w:asciiTheme="minorEastAsia" w:hAnsiTheme="minorEastAsia" w:eastAsiaTheme="minorEastAsia" w:cstheme="minorEastAsia"/>
          <w:color w:val="auto"/>
          <w:sz w:val="24"/>
          <w:highlight w:val="none"/>
          <w:lang w:val="en-US" w:eastAsia="zh-CN"/>
        </w:rPr>
      </w:pPr>
    </w:p>
    <w:p w14:paraId="3016F908">
      <w:pPr>
        <w:pStyle w:val="2"/>
        <w:numPr>
          <w:ilvl w:val="0"/>
          <w:numId w:val="0"/>
        </w:numPr>
        <w:tabs>
          <w:tab w:val="left" w:pos="0"/>
        </w:tabs>
        <w:spacing w:before="0" w:after="0" w:line="240" w:lineRule="atLeast"/>
        <w:ind w:leftChars="0"/>
        <w:jc w:val="center"/>
        <w:rPr>
          <w:rFonts w:hint="eastAsia" w:asciiTheme="minorEastAsia" w:hAnsiTheme="minorEastAsia" w:eastAsiaTheme="minorEastAsia" w:cstheme="minorEastAsia"/>
          <w:b w:val="0"/>
          <w:color w:val="auto"/>
          <w:szCs w:val="32"/>
          <w:highlight w:val="none"/>
        </w:rPr>
      </w:pPr>
      <w:bookmarkStart w:id="350" w:name="_Toc24606"/>
      <w:bookmarkStart w:id="351" w:name="_Toc14410"/>
      <w:bookmarkStart w:id="352" w:name="_Toc16269"/>
      <w:bookmarkStart w:id="353" w:name="_Toc26554"/>
      <w:r>
        <w:rPr>
          <w:rFonts w:hint="eastAsia" w:asciiTheme="minorEastAsia" w:hAnsiTheme="minorEastAsia" w:eastAsiaTheme="minorEastAsia" w:cstheme="minorEastAsia"/>
          <w:color w:val="auto"/>
          <w:highlight w:val="none"/>
          <w:lang w:eastAsia="zh-CN"/>
        </w:rPr>
        <w:t>第</w:t>
      </w:r>
      <w:r>
        <w:rPr>
          <w:rFonts w:hint="eastAsia" w:asciiTheme="minorEastAsia" w:hAnsiTheme="minorEastAsia" w:eastAsiaTheme="minorEastAsia" w:cstheme="minorEastAsia"/>
          <w:color w:val="auto"/>
          <w:highlight w:val="none"/>
          <w:lang w:val="en-US" w:eastAsia="zh-CN"/>
        </w:rPr>
        <w:t xml:space="preserve">4章 </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须知资料表</w:t>
      </w:r>
      <w:bookmarkEnd w:id="350"/>
      <w:bookmarkEnd w:id="351"/>
      <w:bookmarkEnd w:id="352"/>
      <w:bookmarkEnd w:id="353"/>
    </w:p>
    <w:p w14:paraId="622E0244">
      <w:pPr>
        <w:spacing w:line="240" w:lineRule="atLeast"/>
        <w:ind w:left="1080" w:leftChars="257" w:hanging="540"/>
        <w:rPr>
          <w:rFonts w:hint="eastAsia" w:asciiTheme="minorEastAsia" w:hAnsiTheme="minorEastAsia" w:eastAsiaTheme="minorEastAsia" w:cstheme="minorEastAsia"/>
          <w:color w:val="auto"/>
          <w:sz w:val="24"/>
          <w:highlight w:val="none"/>
        </w:rPr>
      </w:pPr>
    </w:p>
    <w:p w14:paraId="24E243A6">
      <w:pPr>
        <w:spacing w:line="240" w:lineRule="atLeast"/>
        <w:ind w:firstLine="360" w:firstLineChars="15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本表是本招标项目的具体资料，是对</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须知的具体补充和修改，如有矛盾，应</w:t>
      </w:r>
      <w:r>
        <w:rPr>
          <w:rFonts w:hint="eastAsia" w:asciiTheme="minorEastAsia" w:hAnsiTheme="minorEastAsia" w:eastAsiaTheme="minorEastAsia" w:cstheme="minorEastAsia"/>
          <w:b/>
          <w:color w:val="auto"/>
          <w:sz w:val="24"/>
          <w:highlight w:val="none"/>
        </w:rPr>
        <w:t>以本资料表为准</w:t>
      </w:r>
      <w:r>
        <w:rPr>
          <w:rFonts w:hint="eastAsia" w:asciiTheme="minorEastAsia" w:hAnsiTheme="minorEastAsia" w:eastAsiaTheme="minorEastAsia" w:cstheme="minorEastAsia"/>
          <w:color w:val="auto"/>
          <w:sz w:val="24"/>
          <w:highlight w:val="none"/>
        </w:rPr>
        <w:t>。</w:t>
      </w:r>
    </w:p>
    <w:tbl>
      <w:tblPr>
        <w:tblStyle w:val="25"/>
        <w:tblW w:w="97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31"/>
        <w:gridCol w:w="8375"/>
      </w:tblGrid>
      <w:tr w14:paraId="7FEBA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0" w:hRule="atLeast"/>
          <w:jc w:val="center"/>
        </w:trPr>
        <w:tc>
          <w:tcPr>
            <w:tcW w:w="1331" w:type="dxa"/>
            <w:noWrap w:val="0"/>
            <w:vAlign w:val="center"/>
          </w:tcPr>
          <w:p w14:paraId="5F788D34">
            <w:pPr>
              <w:spacing w:line="24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条款号</w:t>
            </w:r>
          </w:p>
        </w:tc>
        <w:tc>
          <w:tcPr>
            <w:tcW w:w="8375" w:type="dxa"/>
            <w:noWrap w:val="0"/>
            <w:vAlign w:val="center"/>
          </w:tcPr>
          <w:p w14:paraId="57C46A4F">
            <w:pPr>
              <w:spacing w:line="240" w:lineRule="atLeast"/>
              <w:jc w:val="center"/>
              <w:outlineLvl w:val="9"/>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内      容</w:t>
            </w:r>
          </w:p>
        </w:tc>
      </w:tr>
      <w:tr w14:paraId="6A51B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5" w:hRule="atLeast"/>
          <w:jc w:val="center"/>
        </w:trPr>
        <w:tc>
          <w:tcPr>
            <w:tcW w:w="1331" w:type="dxa"/>
            <w:noWrap w:val="0"/>
            <w:vAlign w:val="center"/>
          </w:tcPr>
          <w:p w14:paraId="117BC92E">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8375" w:type="dxa"/>
            <w:noWrap w:val="0"/>
            <w:vAlign w:val="center"/>
          </w:tcPr>
          <w:p w14:paraId="1362FF77">
            <w:pPr>
              <w:spacing w:line="360" w:lineRule="auto"/>
              <w:outlineLvl w:val="9"/>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 xml:space="preserve">采购人：疏勒县良种繁育场   　　　　 </w:t>
            </w:r>
          </w:p>
          <w:p w14:paraId="1EB6C09D">
            <w:pPr>
              <w:pStyle w:val="21"/>
              <w:keepNext w:val="0"/>
              <w:keepLines w:val="0"/>
              <w:pageBreakBefore w:val="0"/>
              <w:overflowPunct/>
              <w:topLinePunct w:val="0"/>
              <w:bidi w:val="0"/>
              <w:spacing w:before="75" w:beforeAutospacing="0" w:after="75" w:afterAutospacing="0" w:line="340" w:lineRule="exact"/>
              <w:outlineLvl w:val="9"/>
              <w:rPr>
                <w:rFonts w:hint="default"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联系人：张蕉</w:t>
            </w:r>
          </w:p>
          <w:p w14:paraId="7D74334B">
            <w:pPr>
              <w:pStyle w:val="21"/>
              <w:keepNext w:val="0"/>
              <w:keepLines w:val="0"/>
              <w:pageBreakBefore w:val="0"/>
              <w:overflowPunct/>
              <w:topLinePunct w:val="0"/>
              <w:bidi w:val="0"/>
              <w:spacing w:before="75" w:beforeAutospacing="0" w:after="75" w:afterAutospacing="0" w:line="340" w:lineRule="exact"/>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联系电话：</w:t>
            </w:r>
            <w:r>
              <w:rPr>
                <w:rFonts w:hint="eastAsia" w:asciiTheme="minorEastAsia" w:hAnsiTheme="minorEastAsia" w:eastAsiaTheme="minorEastAsia" w:cstheme="minorEastAsia"/>
                <w:highlight w:val="none"/>
                <w:lang w:val="en-US" w:eastAsia="zh-CN"/>
              </w:rPr>
              <w:t>17599466788</w:t>
            </w:r>
          </w:p>
        </w:tc>
      </w:tr>
      <w:tr w14:paraId="4720F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331" w:type="dxa"/>
            <w:noWrap w:val="0"/>
            <w:vAlign w:val="center"/>
          </w:tcPr>
          <w:p w14:paraId="2C63EF27">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8375" w:type="dxa"/>
            <w:noWrap w:val="0"/>
            <w:vAlign w:val="center"/>
          </w:tcPr>
          <w:p w14:paraId="7EE32818">
            <w:pPr>
              <w:pStyle w:val="21"/>
              <w:keepNext w:val="0"/>
              <w:keepLines w:val="0"/>
              <w:pageBreakBefore w:val="0"/>
              <w:overflowPunct/>
              <w:topLinePunct w:val="0"/>
              <w:bidi w:val="0"/>
              <w:spacing w:before="75" w:beforeAutospacing="0" w:after="75" w:afterAutospacing="0" w:line="340" w:lineRule="exact"/>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名</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称：</w:t>
            </w:r>
            <w:r>
              <w:rPr>
                <w:rFonts w:hint="eastAsia" w:asciiTheme="minorEastAsia" w:hAnsiTheme="minorEastAsia" w:eastAsiaTheme="minorEastAsia" w:cstheme="minorEastAsia"/>
                <w:highlight w:val="none"/>
                <w:lang w:val="en-US" w:eastAsia="zh-CN"/>
              </w:rPr>
              <w:t>新疆禾正工程项目管理有限公司</w:t>
            </w:r>
            <w:r>
              <w:rPr>
                <w:rFonts w:hint="eastAsia" w:asciiTheme="minorEastAsia" w:hAnsiTheme="minorEastAsia" w:eastAsiaTheme="minorEastAsia" w:cstheme="minorEastAsia"/>
                <w:highlight w:val="none"/>
              </w:rPr>
              <w:t>　　　　　　　</w:t>
            </w:r>
          </w:p>
          <w:p w14:paraId="2C96AA8E">
            <w:pPr>
              <w:pStyle w:val="21"/>
              <w:keepNext w:val="0"/>
              <w:keepLines w:val="0"/>
              <w:pageBreakBefore w:val="0"/>
              <w:overflowPunct/>
              <w:topLinePunct w:val="0"/>
              <w:bidi w:val="0"/>
              <w:spacing w:before="75" w:beforeAutospacing="0" w:after="75" w:afterAutospacing="0" w:line="340" w:lineRule="exact"/>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 xml:space="preserve">址：新疆喀什地区喀什市经济开发区深喀大道总部经济区陕西大厦20层2005-5/2006-5号房 </w:t>
            </w:r>
          </w:p>
          <w:p w14:paraId="7CBDDD1C">
            <w:pPr>
              <w:pStyle w:val="21"/>
              <w:keepNext w:val="0"/>
              <w:keepLines w:val="0"/>
              <w:pageBreakBefore w:val="0"/>
              <w:overflowPunct/>
              <w:topLinePunct w:val="0"/>
              <w:bidi w:val="0"/>
              <w:spacing w:before="75" w:beforeAutospacing="0" w:after="75" w:afterAutospacing="0" w:line="340" w:lineRule="exact"/>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项目联系人：</w:t>
            </w:r>
            <w:r>
              <w:rPr>
                <w:rFonts w:hint="eastAsia" w:asciiTheme="minorEastAsia" w:hAnsiTheme="minorEastAsia" w:eastAsiaTheme="minorEastAsia" w:cstheme="minorEastAsia"/>
                <w:highlight w:val="none"/>
                <w:lang w:val="en-US" w:eastAsia="zh-CN"/>
              </w:rPr>
              <w:t>户 玉</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   　　　　　　　　　　　</w:t>
            </w:r>
          </w:p>
          <w:p w14:paraId="21E3284A">
            <w:pPr>
              <w:pStyle w:val="21"/>
              <w:keepNext w:val="0"/>
              <w:keepLines w:val="0"/>
              <w:pageBreakBefore w:val="0"/>
              <w:overflowPunct/>
              <w:topLinePunct w:val="0"/>
              <w:bidi w:val="0"/>
              <w:spacing w:before="75" w:beforeAutospacing="0" w:after="75" w:afterAutospacing="0" w:line="340" w:lineRule="exact"/>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highlight w:val="none"/>
              </w:rPr>
              <w:t>联系方式：</w:t>
            </w:r>
            <w:r>
              <w:rPr>
                <w:rFonts w:hint="eastAsia" w:asciiTheme="minorEastAsia" w:hAnsiTheme="minorEastAsia" w:eastAsiaTheme="minorEastAsia" w:cstheme="minorEastAsia"/>
                <w:highlight w:val="none"/>
                <w:lang w:val="en-US" w:eastAsia="zh-CN"/>
              </w:rPr>
              <w:t>17399277881</w:t>
            </w:r>
            <w:r>
              <w:rPr>
                <w:rFonts w:hint="eastAsia" w:asciiTheme="minorEastAsia" w:hAnsiTheme="minorEastAsia" w:eastAsiaTheme="minorEastAsia" w:cstheme="minorEastAsia"/>
                <w:sz w:val="24"/>
                <w:szCs w:val="24"/>
                <w:highlight w:val="none"/>
                <w:lang w:val="en-US" w:eastAsia="zh-CN"/>
              </w:rPr>
              <w:t>　</w:t>
            </w:r>
          </w:p>
        </w:tc>
      </w:tr>
      <w:tr w14:paraId="523BB4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1" w:type="dxa"/>
            <w:noWrap w:val="0"/>
            <w:vAlign w:val="center"/>
          </w:tcPr>
          <w:p w14:paraId="71FFB71E">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1.3.4</w:t>
            </w:r>
          </w:p>
        </w:tc>
        <w:tc>
          <w:tcPr>
            <w:tcW w:w="8375" w:type="dxa"/>
            <w:noWrap w:val="0"/>
            <w:vAlign w:val="center"/>
          </w:tcPr>
          <w:p w14:paraId="762047B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outlineLvl w:val="9"/>
              <w:rPr>
                <w:rFonts w:hint="eastAsia" w:asciiTheme="minorEastAsia" w:hAnsiTheme="minorEastAsia" w:eastAsiaTheme="minorEastAsia" w:cstheme="minorEastAsia"/>
                <w:color w:val="auto"/>
                <w:spacing w:val="0"/>
                <w:w w:val="100"/>
                <w:position w:val="0"/>
                <w:sz w:val="24"/>
                <w:szCs w:val="24"/>
                <w:highlight w:val="none"/>
              </w:rPr>
            </w:pPr>
            <w:r>
              <w:rPr>
                <w:rFonts w:hint="eastAsia" w:asciiTheme="minorEastAsia" w:hAnsiTheme="minorEastAsia" w:eastAsiaTheme="minorEastAsia" w:cstheme="minorEastAsia"/>
                <w:color w:val="auto"/>
                <w:sz w:val="24"/>
                <w:highlight w:val="none"/>
              </w:rPr>
              <w:t>合格</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的其他资格要求：</w:t>
            </w:r>
            <w:r>
              <w:rPr>
                <w:rFonts w:hint="eastAsia" w:asciiTheme="minorEastAsia" w:hAnsiTheme="minorEastAsia" w:eastAsiaTheme="minorEastAsia" w:cstheme="minorEastAsia"/>
                <w:color w:val="auto"/>
                <w:spacing w:val="0"/>
                <w:w w:val="100"/>
                <w:kern w:val="0"/>
                <w:position w:val="0"/>
                <w:sz w:val="24"/>
                <w:szCs w:val="24"/>
                <w:highlight w:val="none"/>
                <w:lang w:val="en-US" w:eastAsia="zh-CN" w:bidi="ar"/>
              </w:rPr>
              <w:t xml:space="preserve"> </w:t>
            </w:r>
          </w:p>
          <w:p w14:paraId="764EC374">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0" w:firstLineChars="0"/>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（1）具有有效的营业执照副本；</w:t>
            </w:r>
          </w:p>
          <w:p w14:paraId="34D3A28F">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（2）法定代表人投标的需提供法定代表人身份证；被授权委托人需提供法人授权委托书及被授权委托人身份证和在本单位缴纳的近三个月中任意一个月社保缴纳证明；</w:t>
            </w:r>
          </w:p>
          <w:p w14:paraId="7A11F344">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0" w:firstLineChars="0"/>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（3）投标单位须具备【公路工程施工总承包三级】（含）以上资质等级且具备有效的安全生产许可证；项目负责人具备[公路工程专业二级]（含）以上注册建造师执业资格且具有有效的安全生产考核证书；</w:t>
            </w:r>
          </w:p>
          <w:p w14:paraId="517E4665">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0" w:firstLineChars="0"/>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（4）提供近三个月任意一个月税务局开具的完税证明；（完税证明或税务部门出具的其他证明，非社会保险类）；</w:t>
            </w:r>
          </w:p>
          <w:p w14:paraId="5F18B8AC">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0" w:firstLineChars="0"/>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（5）供应商针对本次项目《反商业贿赂承诺书》；</w:t>
            </w:r>
          </w:p>
          <w:p w14:paraId="4AE5773C">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0" w:firstLineChars="0"/>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（6）参加政府采购活动前3年内在经营活动中没有重大违法记录的书面声明。</w:t>
            </w:r>
          </w:p>
          <w:p w14:paraId="15FC52CC">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0" w:firstLineChars="0"/>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（7）提供2023年或2024年度的财务审计报告（注册成立未满一年新公司提供银行资信证明）；</w:t>
            </w:r>
          </w:p>
          <w:p w14:paraId="0CDE238E">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0" w:firstLineChars="0"/>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（8）根据《财政部关于在政府采购活动中查询及使用信用记录有关问题的通知》（财库﹝2016﹞125号）的要求，凡拟参加本次招标项目的供应商，如在“信用中国”网站（ www.creditchina.gov.cn） 被列入失信被执行人、重大税收违法失信主体(信用中国-信息公示-重大税收违法失信主体查询-搜索栏输入单位全称-截图)、中国政府采购网（http://www.ccgp.gov.cn/search/cr/）政府采购严重违法失信行为记录名单的（尚在处罚期内的），将拒绝其参加本次招标活动；（提供查询结果网页截图并加盖供应商公章）；</w:t>
            </w:r>
          </w:p>
          <w:p w14:paraId="51AB8E02">
            <w:pPr>
              <w:spacing w:line="240" w:lineRule="atLeast"/>
              <w:ind w:left="710" w:leftChars="-23" w:hanging="758" w:hangingChars="316"/>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（9）磋商保证金缴纳有效凭证；</w:t>
            </w:r>
          </w:p>
          <w:p w14:paraId="50AC1747">
            <w:pPr>
              <w:spacing w:line="240" w:lineRule="atLeast"/>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(10)本项目不接受联合体投标。</w:t>
            </w:r>
          </w:p>
          <w:p w14:paraId="15A07E3C">
            <w:pPr>
              <w:pStyle w:val="24"/>
              <w:ind w:left="0" w:leftChars="0" w:firstLine="0" w:firstLineChars="0"/>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default"/>
                <w:highlight w:val="none"/>
                <w:lang w:val="en-US" w:eastAsia="zh-CN"/>
              </w:rPr>
              <w:t>提示：上述资质开标现场能够通过官方网络查证的，均视为合格供应商。</w:t>
            </w:r>
          </w:p>
        </w:tc>
      </w:tr>
      <w:tr w14:paraId="29E00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331" w:type="dxa"/>
            <w:noWrap w:val="0"/>
            <w:vAlign w:val="center"/>
          </w:tcPr>
          <w:p w14:paraId="544AA854">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w:t>
            </w:r>
          </w:p>
        </w:tc>
        <w:tc>
          <w:tcPr>
            <w:tcW w:w="8375" w:type="dxa"/>
            <w:noWrap w:val="0"/>
            <w:vAlign w:val="center"/>
          </w:tcPr>
          <w:p w14:paraId="6241B714">
            <w:pPr>
              <w:spacing w:line="240" w:lineRule="atLeast"/>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是否允许采购进口产品：</w:t>
            </w:r>
            <w:r>
              <w:rPr>
                <w:rFonts w:hint="eastAsia" w:asciiTheme="minorEastAsia" w:hAnsiTheme="minorEastAsia" w:eastAsiaTheme="minorEastAsia" w:cstheme="minorEastAsia"/>
                <w:color w:val="auto"/>
                <w:sz w:val="24"/>
                <w:highlight w:val="none"/>
                <w:lang w:val="en-US" w:eastAsia="zh-CN"/>
              </w:rPr>
              <w:t>否</w:t>
            </w:r>
            <w:r>
              <w:rPr>
                <w:rFonts w:hint="eastAsia" w:asciiTheme="minorEastAsia" w:hAnsiTheme="minorEastAsia" w:eastAsiaTheme="minorEastAsia" w:cstheme="minorEastAsia"/>
                <w:color w:val="auto"/>
                <w:sz w:val="24"/>
                <w:highlight w:val="none"/>
              </w:rPr>
              <w:t>（是、否）</w:t>
            </w:r>
          </w:p>
        </w:tc>
      </w:tr>
      <w:tr w14:paraId="3E0F7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331" w:type="dxa"/>
            <w:noWrap w:val="0"/>
            <w:vAlign w:val="center"/>
          </w:tcPr>
          <w:p w14:paraId="111A075E">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1.3.6</w:t>
            </w:r>
          </w:p>
        </w:tc>
        <w:tc>
          <w:tcPr>
            <w:tcW w:w="8375" w:type="dxa"/>
            <w:noWrap w:val="0"/>
            <w:vAlign w:val="center"/>
          </w:tcPr>
          <w:p w14:paraId="2661C374">
            <w:pPr>
              <w:spacing w:line="240" w:lineRule="atLeast"/>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是否为专门面向中小企业采购：是（是、否）</w:t>
            </w:r>
          </w:p>
          <w:p w14:paraId="102C05A7">
            <w:pPr>
              <w:pStyle w:val="7"/>
              <w:ind w:left="0" w:leftChars="0" w:firstLine="0" w:firstLineChars="0"/>
              <w:outlineLvl w:val="9"/>
              <w:rPr>
                <w:rFonts w:hint="eastAsia" w:eastAsiaTheme="minorEastAsia"/>
                <w:highlight w:val="none"/>
                <w:lang w:eastAsia="zh-CN"/>
              </w:rPr>
            </w:pPr>
            <w:r>
              <w:rPr>
                <w:rFonts w:hint="eastAsia" w:asciiTheme="minorEastAsia" w:hAnsiTheme="minorEastAsia" w:eastAsiaTheme="minorEastAsia" w:cstheme="minorEastAsia"/>
                <w:color w:val="auto"/>
                <w:sz w:val="24"/>
                <w:highlight w:val="none"/>
                <w:lang w:eastAsia="zh-CN"/>
              </w:rPr>
              <w:t>所属行业：建筑业</w:t>
            </w:r>
          </w:p>
        </w:tc>
      </w:tr>
      <w:tr w14:paraId="055D6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331" w:type="dxa"/>
            <w:noWrap w:val="0"/>
            <w:vAlign w:val="center"/>
          </w:tcPr>
          <w:p w14:paraId="6BA3AC36">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8375" w:type="dxa"/>
            <w:noWrap w:val="0"/>
            <w:vAlign w:val="center"/>
          </w:tcPr>
          <w:p w14:paraId="430511E5">
            <w:pPr>
              <w:spacing w:line="240" w:lineRule="atLeast"/>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是否允许联合体</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否</w:t>
            </w:r>
            <w:r>
              <w:rPr>
                <w:rFonts w:hint="eastAsia" w:asciiTheme="minorEastAsia" w:hAnsiTheme="minorEastAsia" w:eastAsiaTheme="minorEastAsia" w:cstheme="minorEastAsia"/>
                <w:color w:val="auto"/>
                <w:sz w:val="24"/>
                <w:highlight w:val="none"/>
              </w:rPr>
              <w:t>（是、否）</w:t>
            </w:r>
          </w:p>
        </w:tc>
      </w:tr>
      <w:tr w14:paraId="083A7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1331" w:type="dxa"/>
            <w:noWrap w:val="0"/>
            <w:vAlign w:val="center"/>
          </w:tcPr>
          <w:p w14:paraId="1EF58EA8">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1.4.8</w:t>
            </w:r>
          </w:p>
        </w:tc>
        <w:tc>
          <w:tcPr>
            <w:tcW w:w="8375" w:type="dxa"/>
            <w:noWrap w:val="0"/>
            <w:vAlign w:val="center"/>
          </w:tcPr>
          <w:p w14:paraId="1A4ECD80">
            <w:pPr>
              <w:spacing w:line="240" w:lineRule="atLeast"/>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联合体的其他资格要求：</w:t>
            </w:r>
            <w:r>
              <w:rPr>
                <w:rFonts w:hint="eastAsia" w:asciiTheme="minorEastAsia" w:hAnsiTheme="minorEastAsia" w:eastAsiaTheme="minorEastAsia" w:cstheme="minorEastAsia"/>
                <w:color w:val="auto"/>
                <w:sz w:val="24"/>
                <w:highlight w:val="none"/>
                <w:lang w:val="en-US" w:eastAsia="zh-CN"/>
              </w:rPr>
              <w:t>无</w:t>
            </w:r>
          </w:p>
        </w:tc>
      </w:tr>
      <w:tr w14:paraId="1D9D2A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1331" w:type="dxa"/>
            <w:noWrap w:val="0"/>
            <w:vAlign w:val="center"/>
          </w:tcPr>
          <w:p w14:paraId="47F0AEAA">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w:t>
            </w:r>
          </w:p>
        </w:tc>
        <w:tc>
          <w:tcPr>
            <w:tcW w:w="8375" w:type="dxa"/>
            <w:noWrap w:val="0"/>
            <w:vAlign w:val="center"/>
          </w:tcPr>
          <w:p w14:paraId="1AA4B0F9">
            <w:pPr>
              <w:spacing w:line="240" w:lineRule="atLeast"/>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w:t>
            </w:r>
            <w:r>
              <w:rPr>
                <w:rFonts w:hint="eastAsia" w:asciiTheme="minorEastAsia" w:hAnsiTheme="minorEastAsia" w:eastAsiaTheme="minorEastAsia" w:cstheme="minorEastAsia"/>
                <w:color w:val="auto"/>
                <w:sz w:val="24"/>
                <w:highlight w:val="none"/>
                <w:lang w:val="en-US" w:eastAsia="zh-CN"/>
              </w:rPr>
              <w:t>最高限价</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szCs w:val="24"/>
                <w:highlight w:val="none"/>
                <w:lang w:val="en-US" w:eastAsia="zh-CN"/>
              </w:rPr>
              <w:t>976206.00</w:t>
            </w:r>
            <w:r>
              <w:rPr>
                <w:rFonts w:hint="eastAsia" w:asciiTheme="minorEastAsia" w:hAnsiTheme="minorEastAsia" w:eastAsiaTheme="minorEastAsia" w:cstheme="minorEastAsia"/>
                <w:color w:val="auto"/>
                <w:sz w:val="24"/>
                <w:highlight w:val="none"/>
              </w:rPr>
              <w:t>元</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玖拾柒万陆仟贰佰零陆元整</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超过最高限价，投标报价为无投标。</w:t>
            </w:r>
          </w:p>
        </w:tc>
      </w:tr>
      <w:tr w14:paraId="2CDDE9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1331" w:type="dxa"/>
            <w:noWrap w:val="0"/>
            <w:vAlign w:val="center"/>
          </w:tcPr>
          <w:p w14:paraId="5BD99833">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8.1</w:t>
            </w:r>
          </w:p>
        </w:tc>
        <w:tc>
          <w:tcPr>
            <w:tcW w:w="8375" w:type="dxa"/>
            <w:noWrap w:val="0"/>
            <w:vAlign w:val="center"/>
          </w:tcPr>
          <w:p w14:paraId="5C87966F">
            <w:pPr>
              <w:spacing w:line="240" w:lineRule="atLeast"/>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如</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商对多个分包进行</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，可以中标</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包</w:t>
            </w:r>
            <w:r>
              <w:rPr>
                <w:rFonts w:hint="eastAsia" w:asciiTheme="minorEastAsia" w:hAnsiTheme="minorEastAsia" w:eastAsiaTheme="minorEastAsia" w:cstheme="minorEastAsia"/>
                <w:color w:val="auto"/>
                <w:sz w:val="24"/>
                <w:highlight w:val="none"/>
                <w:lang w:eastAsia="zh-CN"/>
              </w:rPr>
              <w:t>。</w:t>
            </w:r>
          </w:p>
        </w:tc>
      </w:tr>
      <w:tr w14:paraId="7390A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331" w:type="dxa"/>
            <w:noWrap w:val="0"/>
            <w:vAlign w:val="center"/>
          </w:tcPr>
          <w:p w14:paraId="4769AAC7">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outlineLvl w:val="9"/>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rPr>
              <w:t>12</w:t>
            </w:r>
          </w:p>
        </w:tc>
        <w:tc>
          <w:tcPr>
            <w:tcW w:w="8375" w:type="dxa"/>
            <w:noWrap w:val="0"/>
            <w:vAlign w:val="center"/>
          </w:tcPr>
          <w:p w14:paraId="33CB5807">
            <w:pPr>
              <w:spacing w:line="240" w:lineRule="auto"/>
              <w:outlineLvl w:val="9"/>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color w:val="auto"/>
                <w:sz w:val="24"/>
                <w:highlight w:val="none"/>
                <w:lang w:val="en-US" w:eastAsia="zh-CN"/>
              </w:rPr>
              <w:t>磋商</w:t>
            </w:r>
            <w:r>
              <w:rPr>
                <w:rFonts w:hint="eastAsia" w:asciiTheme="minorEastAsia" w:hAnsiTheme="minorEastAsia" w:eastAsiaTheme="minorEastAsia" w:cstheme="minorEastAsia"/>
                <w:b w:val="0"/>
                <w:bCs w:val="0"/>
                <w:color w:val="auto"/>
                <w:sz w:val="24"/>
                <w:highlight w:val="none"/>
              </w:rPr>
              <w:t>保证金形式：</w:t>
            </w:r>
            <w:r>
              <w:rPr>
                <w:rFonts w:hint="eastAsia" w:asciiTheme="minorEastAsia" w:hAnsiTheme="minorEastAsia" w:eastAsiaTheme="minorEastAsia" w:cstheme="minorEastAsia"/>
                <w:b w:val="0"/>
                <w:bCs w:val="0"/>
                <w:color w:val="auto"/>
                <w:sz w:val="24"/>
                <w:highlight w:val="none"/>
                <w:lang w:eastAsia="zh-CN"/>
              </w:rPr>
              <w:t>☑</w:t>
            </w:r>
            <w:r>
              <w:rPr>
                <w:rFonts w:hint="eastAsia" w:asciiTheme="minorEastAsia" w:hAnsiTheme="minorEastAsia" w:eastAsiaTheme="minorEastAsia" w:cstheme="minorEastAsia"/>
                <w:b w:val="0"/>
                <w:bCs w:val="0"/>
                <w:color w:val="auto"/>
                <w:sz w:val="24"/>
                <w:highlight w:val="none"/>
              </w:rPr>
              <w:t>保函</w:t>
            </w:r>
            <w:r>
              <w:rPr>
                <w:rFonts w:hint="eastAsia" w:asciiTheme="minorEastAsia" w:hAnsiTheme="minorEastAsia" w:eastAsiaTheme="minorEastAsia" w:cstheme="minorEastAsia"/>
                <w:b w:val="0"/>
                <w:bCs w:val="0"/>
                <w:color w:val="auto"/>
                <w:sz w:val="24"/>
                <w:highlight w:val="none"/>
                <w:lang w:eastAsia="zh-CN"/>
              </w:rPr>
              <w:t>☑</w:t>
            </w:r>
            <w:r>
              <w:rPr>
                <w:rFonts w:hint="eastAsia" w:asciiTheme="minorEastAsia" w:hAnsiTheme="minorEastAsia" w:eastAsiaTheme="minorEastAsia" w:cstheme="minorEastAsia"/>
                <w:b w:val="0"/>
                <w:bCs w:val="0"/>
                <w:color w:val="auto"/>
                <w:sz w:val="24"/>
                <w:highlight w:val="none"/>
              </w:rPr>
              <w:t>电汇</w:t>
            </w:r>
            <w:r>
              <w:rPr>
                <w:rFonts w:hint="eastAsia" w:asciiTheme="minorEastAsia" w:hAnsiTheme="minorEastAsia" w:eastAsiaTheme="minorEastAsia" w:cstheme="minorEastAsia"/>
                <w:b w:val="0"/>
                <w:bCs w:val="0"/>
                <w:color w:val="auto"/>
                <w:sz w:val="24"/>
                <w:highlight w:val="none"/>
                <w:lang w:eastAsia="zh-CN"/>
              </w:rPr>
              <w:t>□</w:t>
            </w:r>
            <w:r>
              <w:rPr>
                <w:rFonts w:hint="eastAsia" w:asciiTheme="minorEastAsia" w:hAnsiTheme="minorEastAsia" w:eastAsiaTheme="minorEastAsia" w:cstheme="minorEastAsia"/>
                <w:b w:val="0"/>
                <w:bCs w:val="0"/>
                <w:color w:val="auto"/>
                <w:sz w:val="24"/>
                <w:highlight w:val="none"/>
                <w:lang w:val="en-US" w:eastAsia="zh-CN"/>
              </w:rPr>
              <w:t>支</w:t>
            </w:r>
            <w:r>
              <w:rPr>
                <w:rFonts w:hint="eastAsia" w:asciiTheme="minorEastAsia" w:hAnsiTheme="minorEastAsia" w:eastAsiaTheme="minorEastAsia" w:cstheme="minorEastAsia"/>
                <w:b w:val="0"/>
                <w:bCs w:val="0"/>
                <w:color w:val="auto"/>
                <w:sz w:val="24"/>
                <w:highlight w:val="none"/>
              </w:rPr>
              <w:t>票</w:t>
            </w:r>
            <w:r>
              <w:rPr>
                <w:rFonts w:hint="eastAsia" w:asciiTheme="minorEastAsia" w:hAnsiTheme="minorEastAsia" w:eastAsiaTheme="minorEastAsia" w:cstheme="minorEastAsia"/>
                <w:b w:val="0"/>
                <w:bCs w:val="0"/>
                <w:color w:val="auto"/>
                <w:sz w:val="24"/>
                <w:highlight w:val="none"/>
                <w:lang w:eastAsia="zh-CN"/>
              </w:rPr>
              <w:t>☑</w:t>
            </w:r>
            <w:r>
              <w:rPr>
                <w:rFonts w:hint="eastAsia" w:asciiTheme="minorEastAsia" w:hAnsiTheme="minorEastAsia" w:eastAsiaTheme="minorEastAsia" w:cstheme="minorEastAsia"/>
                <w:b w:val="0"/>
                <w:bCs w:val="0"/>
                <w:color w:val="auto"/>
                <w:sz w:val="24"/>
                <w:highlight w:val="none"/>
                <w:lang w:val="en-US" w:eastAsia="zh-CN"/>
              </w:rPr>
              <w:t>对公转账</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企业</w:t>
            </w:r>
            <w:r>
              <w:rPr>
                <w:rFonts w:hint="eastAsia" w:asciiTheme="minorEastAsia" w:hAnsiTheme="minorEastAsia" w:eastAsiaTheme="minorEastAsia" w:cstheme="minorEastAsia"/>
                <w:b w:val="0"/>
                <w:bCs w:val="0"/>
                <w:sz w:val="24"/>
                <w:szCs w:val="24"/>
                <w:highlight w:val="none"/>
                <w:lang w:eastAsia="zh-CN"/>
              </w:rPr>
              <w:t>基本</w:t>
            </w:r>
            <w:r>
              <w:rPr>
                <w:rFonts w:hint="eastAsia" w:asciiTheme="minorEastAsia" w:hAnsiTheme="minorEastAsia" w:eastAsiaTheme="minorEastAsia" w:cstheme="minorEastAsia"/>
                <w:b w:val="0"/>
                <w:bCs w:val="0"/>
                <w:sz w:val="24"/>
                <w:szCs w:val="24"/>
                <w:highlight w:val="none"/>
              </w:rPr>
              <w:t>帐户</w:t>
            </w:r>
            <w:r>
              <w:rPr>
                <w:rFonts w:hint="eastAsia" w:asciiTheme="minorEastAsia" w:hAnsiTheme="minorEastAsia" w:eastAsiaTheme="minorEastAsia" w:cstheme="minorEastAsia"/>
                <w:b w:val="0"/>
                <w:bCs w:val="0"/>
                <w:sz w:val="24"/>
                <w:szCs w:val="24"/>
                <w:highlight w:val="none"/>
                <w:lang w:eastAsia="zh-CN"/>
              </w:rPr>
              <w:t>操作）</w:t>
            </w:r>
          </w:p>
          <w:p w14:paraId="0DD7A3B6">
            <w:pPr>
              <w:spacing w:line="240" w:lineRule="auto"/>
              <w:outlineLvl w:val="9"/>
              <w:rPr>
                <w:rFonts w:hint="default"/>
                <w:b w:val="0"/>
                <w:bCs w:val="0"/>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磋商</w:t>
            </w:r>
            <w:r>
              <w:rPr>
                <w:rFonts w:hint="eastAsia" w:asciiTheme="minorEastAsia" w:hAnsiTheme="minorEastAsia" w:eastAsiaTheme="minorEastAsia" w:cstheme="minorEastAsia"/>
                <w:b w:val="0"/>
                <w:bCs w:val="0"/>
                <w:color w:val="auto"/>
                <w:sz w:val="24"/>
                <w:highlight w:val="none"/>
              </w:rPr>
              <w:t>保证金数额：</w:t>
            </w:r>
            <w:r>
              <w:rPr>
                <w:rFonts w:hint="eastAsia" w:asciiTheme="minorEastAsia" w:hAnsiTheme="minorEastAsia" w:eastAsiaTheme="minorEastAsia" w:cstheme="minorEastAsia"/>
                <w:b w:val="0"/>
                <w:bCs w:val="0"/>
                <w:color w:val="auto"/>
                <w:sz w:val="24"/>
                <w:highlight w:val="none"/>
                <w:lang w:val="en-US" w:eastAsia="zh-CN"/>
              </w:rPr>
              <w:t>15000.00</w:t>
            </w:r>
            <w:r>
              <w:rPr>
                <w:rFonts w:hint="eastAsia" w:asciiTheme="minorEastAsia" w:hAnsiTheme="minorEastAsia" w:eastAsiaTheme="minorEastAsia" w:cstheme="minorEastAsia"/>
                <w:b w:val="0"/>
                <w:bCs w:val="0"/>
                <w:color w:val="auto"/>
                <w:sz w:val="24"/>
                <w:highlight w:val="none"/>
              </w:rPr>
              <w:t>元   大写：</w:t>
            </w:r>
            <w:r>
              <w:rPr>
                <w:rFonts w:hint="eastAsia" w:asciiTheme="minorEastAsia" w:hAnsiTheme="minorEastAsia" w:eastAsiaTheme="minorEastAsia" w:cstheme="minorEastAsia"/>
                <w:b w:val="0"/>
                <w:bCs w:val="0"/>
                <w:color w:val="auto"/>
                <w:sz w:val="24"/>
                <w:highlight w:val="none"/>
                <w:lang w:val="en-US" w:eastAsia="zh-CN"/>
              </w:rPr>
              <w:t>壹万伍仟元整</w:t>
            </w:r>
          </w:p>
          <w:p w14:paraId="4C2F1265">
            <w:pPr>
              <w:pStyle w:val="57"/>
              <w:spacing w:before="24" w:line="240" w:lineRule="auto"/>
              <w:ind w:left="126"/>
              <w:outlineLvl w:val="9"/>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投标保证金收款人：</w:t>
            </w:r>
            <w:r>
              <w:rPr>
                <w:rFonts w:hint="eastAsia" w:ascii="宋体" w:hAnsi="宋体" w:eastAsia="宋体" w:cs="宋体"/>
                <w:color w:val="000000" w:themeColor="text1"/>
                <w:sz w:val="24"/>
                <w:szCs w:val="24"/>
                <w:highlight w:val="none"/>
                <w14:textFill>
                  <w14:solidFill>
                    <w14:schemeClr w14:val="tx1"/>
                  </w14:solidFill>
                </w14:textFill>
              </w:rPr>
              <w:t>新疆禾正工程项目管理有限公司</w:t>
            </w:r>
            <w:r>
              <w:rPr>
                <w:rFonts w:hint="eastAsia" w:asciiTheme="minorEastAsia" w:hAnsiTheme="minorEastAsia" w:eastAsiaTheme="minorEastAsia" w:cstheme="minorEastAsia"/>
                <w:spacing w:val="-1"/>
                <w:sz w:val="24"/>
                <w:szCs w:val="24"/>
                <w:highlight w:val="none"/>
              </w:rPr>
              <w:t xml:space="preserve">         </w:t>
            </w:r>
          </w:p>
          <w:p w14:paraId="49DA7317">
            <w:pPr>
              <w:pStyle w:val="57"/>
              <w:spacing w:before="24" w:line="240" w:lineRule="auto"/>
              <w:ind w:left="126"/>
              <w:outlineLvl w:val="9"/>
              <w:rPr>
                <w:rFonts w:hint="eastAsia"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1"/>
                <w:sz w:val="24"/>
                <w:szCs w:val="24"/>
                <w:highlight w:val="none"/>
              </w:rPr>
              <w:t>开户行：</w:t>
            </w:r>
            <w:r>
              <w:rPr>
                <w:rFonts w:hint="eastAsia" w:asciiTheme="minorEastAsia" w:hAnsiTheme="minorEastAsia" w:eastAsiaTheme="minorEastAsia" w:cstheme="minorEastAsia"/>
                <w:spacing w:val="-1"/>
                <w:sz w:val="24"/>
                <w:szCs w:val="24"/>
                <w:highlight w:val="none"/>
                <w:lang w:eastAsia="zh-CN"/>
              </w:rPr>
              <w:t>工行喀什解放南路支行</w:t>
            </w:r>
          </w:p>
          <w:p w14:paraId="62EB661A">
            <w:pPr>
              <w:pStyle w:val="57"/>
              <w:spacing w:before="24" w:line="240" w:lineRule="auto"/>
              <w:ind w:left="126"/>
              <w:outlineLvl w:val="9"/>
              <w:rPr>
                <w:rFonts w:hint="default"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rPr>
              <w:t>银行账号：</w:t>
            </w:r>
            <w:r>
              <w:rPr>
                <w:rFonts w:hint="eastAsia" w:asciiTheme="minorEastAsia" w:hAnsiTheme="minorEastAsia" w:eastAsiaTheme="minorEastAsia" w:cstheme="minorEastAsia"/>
                <w:spacing w:val="-1"/>
                <w:sz w:val="24"/>
                <w:szCs w:val="24"/>
                <w:highlight w:val="none"/>
                <w:lang w:val="en-US" w:eastAsia="zh-CN"/>
              </w:rPr>
              <w:t>3012341519200136322</w:t>
            </w:r>
          </w:p>
          <w:p w14:paraId="4F63855B">
            <w:pPr>
              <w:spacing w:line="240" w:lineRule="auto"/>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其它信息：</w:t>
            </w:r>
          </w:p>
          <w:p w14:paraId="7FE26DE2">
            <w:pPr>
              <w:numPr>
                <w:ilvl w:val="0"/>
                <w:numId w:val="18"/>
              </w:numPr>
              <w:spacing w:line="240" w:lineRule="auto"/>
              <w:jc w:val="left"/>
              <w:outlineLvl w:val="9"/>
              <w:rPr>
                <w:rFonts w:hint="eastAsia" w:asciiTheme="minorEastAsia" w:hAnsiTheme="minorEastAsia" w:eastAsiaTheme="minorEastAsia" w:cstheme="minorEastAsia"/>
                <w:b w:val="0"/>
                <w:bCs w:val="0"/>
                <w:color w:val="auto"/>
                <w:sz w:val="24"/>
                <w:highlight w:val="none"/>
              </w:rPr>
            </w:pPr>
            <w:r>
              <w:rPr>
                <w:rFonts w:hint="eastAsia" w:ascii="宋体" w:hAnsi="宋体" w:eastAsia="宋体" w:cs="宋体"/>
                <w:b w:val="0"/>
                <w:bCs w:val="0"/>
                <w:color w:val="auto"/>
                <w:sz w:val="24"/>
                <w:szCs w:val="24"/>
                <w:highlight w:val="none"/>
                <w:lang w:val="en-US" w:eastAsia="zh-CN"/>
              </w:rPr>
              <w:t>若采用电</w:t>
            </w:r>
            <w:r>
              <w:rPr>
                <w:rFonts w:hint="eastAsia" w:asciiTheme="minorEastAsia" w:hAnsiTheme="minorEastAsia" w:eastAsiaTheme="minorEastAsia" w:cstheme="minorEastAsia"/>
                <w:b w:val="0"/>
                <w:bCs w:val="0"/>
                <w:color w:val="auto"/>
                <w:sz w:val="24"/>
                <w:highlight w:val="none"/>
                <w:lang w:val="en-US" w:eastAsia="zh-CN"/>
              </w:rPr>
              <w:t>汇或转账方式缴纳时，</w:t>
            </w:r>
            <w:r>
              <w:rPr>
                <w:rFonts w:hint="eastAsia" w:asciiTheme="minorEastAsia" w:hAnsiTheme="minorEastAsia" w:eastAsiaTheme="minorEastAsia" w:cstheme="minorEastAsia"/>
                <w:b w:val="0"/>
                <w:bCs w:val="0"/>
                <w:color w:val="auto"/>
                <w:sz w:val="24"/>
                <w:highlight w:val="none"/>
              </w:rPr>
              <w:t>注明</w:t>
            </w:r>
            <w:r>
              <w:rPr>
                <w:rFonts w:hint="eastAsia" w:asciiTheme="minorEastAsia" w:hAnsiTheme="minorEastAsia" w:eastAsiaTheme="minorEastAsia" w:cstheme="minorEastAsia"/>
                <w:b w:val="0"/>
                <w:bCs w:val="0"/>
                <w:color w:val="auto"/>
                <w:sz w:val="24"/>
                <w:highlight w:val="none"/>
                <w:lang w:eastAsia="zh-CN"/>
              </w:rPr>
              <w:t>磋商保证金</w:t>
            </w:r>
            <w:r>
              <w:rPr>
                <w:rFonts w:hint="eastAsia" w:asciiTheme="minorEastAsia" w:hAnsiTheme="minorEastAsia" w:eastAsiaTheme="minorEastAsia" w:cstheme="minorEastAsia"/>
                <w:b w:val="0"/>
                <w:bCs w:val="0"/>
                <w:color w:val="auto"/>
                <w:sz w:val="24"/>
                <w:highlight w:val="none"/>
              </w:rPr>
              <w:t>项目名称</w:t>
            </w:r>
            <w:r>
              <w:rPr>
                <w:rFonts w:hint="eastAsia" w:asciiTheme="minorEastAsia" w:hAnsiTheme="minorEastAsia" w:eastAsiaTheme="minorEastAsia" w:cstheme="minorEastAsia"/>
                <w:b w:val="0"/>
                <w:bCs w:val="0"/>
                <w:color w:val="auto"/>
                <w:sz w:val="24"/>
                <w:highlight w:val="none"/>
                <w:lang w:eastAsia="zh-CN"/>
              </w:rPr>
              <w:t>（可简写）</w:t>
            </w:r>
            <w:r>
              <w:rPr>
                <w:rFonts w:hint="eastAsia" w:asciiTheme="minorEastAsia" w:hAnsiTheme="minorEastAsia" w:eastAsiaTheme="minorEastAsia" w:cstheme="minorEastAsia"/>
                <w:b w:val="0"/>
                <w:bCs w:val="0"/>
                <w:color w:val="auto"/>
                <w:sz w:val="24"/>
                <w:highlight w:val="none"/>
              </w:rPr>
              <w:t>。</w:t>
            </w:r>
            <w:r>
              <w:rPr>
                <w:rFonts w:hint="eastAsia" w:asciiTheme="minorEastAsia" w:hAnsiTheme="minorEastAsia" w:eastAsiaTheme="minorEastAsia" w:cstheme="minorEastAsia"/>
                <w:b w:val="0"/>
                <w:bCs w:val="0"/>
                <w:color w:val="auto"/>
                <w:sz w:val="24"/>
                <w:highlight w:val="none"/>
                <w:lang w:eastAsia="zh-CN"/>
              </w:rPr>
              <w:t>磋商保证金</w:t>
            </w:r>
            <w:r>
              <w:rPr>
                <w:rFonts w:hint="eastAsia" w:asciiTheme="minorEastAsia" w:hAnsiTheme="minorEastAsia" w:eastAsiaTheme="minorEastAsia" w:cstheme="minorEastAsia"/>
                <w:b w:val="0"/>
                <w:bCs w:val="0"/>
                <w:color w:val="auto"/>
                <w:sz w:val="24"/>
                <w:highlight w:val="none"/>
              </w:rPr>
              <w:t>转入</w:t>
            </w:r>
            <w:r>
              <w:rPr>
                <w:rFonts w:hint="eastAsia" w:asciiTheme="minorEastAsia" w:hAnsiTheme="minorEastAsia" w:eastAsiaTheme="minorEastAsia" w:cstheme="minorEastAsia"/>
                <w:b w:val="0"/>
                <w:bCs w:val="0"/>
                <w:sz w:val="24"/>
                <w:szCs w:val="24"/>
                <w:highlight w:val="none"/>
                <w:lang w:eastAsia="zh-CN"/>
              </w:rPr>
              <w:t>以上</w:t>
            </w:r>
            <w:r>
              <w:rPr>
                <w:rFonts w:hint="eastAsia" w:asciiTheme="minorEastAsia" w:hAnsiTheme="minorEastAsia" w:eastAsiaTheme="minorEastAsia" w:cstheme="minorEastAsia"/>
                <w:b w:val="0"/>
                <w:bCs w:val="0"/>
                <w:color w:val="auto"/>
                <w:sz w:val="24"/>
                <w:highlight w:val="none"/>
              </w:rPr>
              <w:t>账户</w:t>
            </w:r>
            <w:r>
              <w:rPr>
                <w:rFonts w:hint="eastAsia" w:asciiTheme="minorEastAsia" w:hAnsiTheme="minorEastAsia" w:eastAsiaTheme="minorEastAsia" w:cstheme="minorEastAsia"/>
                <w:b w:val="0"/>
                <w:bCs w:val="0"/>
                <w:color w:val="auto"/>
                <w:sz w:val="24"/>
                <w:highlight w:val="none"/>
                <w:lang w:val="zh-CN"/>
              </w:rPr>
              <w:t>。</w:t>
            </w:r>
            <w:r>
              <w:rPr>
                <w:rFonts w:hint="eastAsia" w:asciiTheme="minorEastAsia" w:hAnsiTheme="minorEastAsia" w:eastAsiaTheme="minorEastAsia" w:cstheme="minorEastAsia"/>
                <w:b w:val="0"/>
                <w:bCs w:val="0"/>
                <w:sz w:val="24"/>
                <w:szCs w:val="24"/>
                <w:highlight w:val="none"/>
                <w:lang w:eastAsia="zh-CN"/>
              </w:rPr>
              <w:t>本项目不需要换取收据。</w:t>
            </w:r>
          </w:p>
          <w:p w14:paraId="0E50EB5C">
            <w:pPr>
              <w:numPr>
                <w:ilvl w:val="0"/>
                <w:numId w:val="0"/>
              </w:numPr>
              <w:spacing w:line="240" w:lineRule="auto"/>
              <w:outlineLvl w:val="9"/>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rPr>
              <w:t>2、</w:t>
            </w:r>
            <w:r>
              <w:rPr>
                <w:rFonts w:hint="eastAsia" w:asciiTheme="minorEastAsia" w:hAnsiTheme="minorEastAsia" w:eastAsiaTheme="minorEastAsia" w:cstheme="minorEastAsia"/>
                <w:b w:val="0"/>
                <w:bCs w:val="0"/>
                <w:color w:val="auto"/>
                <w:sz w:val="24"/>
                <w:highlight w:val="none"/>
                <w:lang w:val="en-US" w:eastAsia="zh-CN"/>
              </w:rPr>
              <w:t>若采用</w:t>
            </w:r>
            <w:r>
              <w:rPr>
                <w:rFonts w:hint="eastAsia" w:asciiTheme="minorEastAsia" w:hAnsiTheme="minorEastAsia" w:eastAsiaTheme="minorEastAsia" w:cstheme="minorEastAsia"/>
                <w:b w:val="0"/>
                <w:bCs w:val="0"/>
                <w:color w:val="auto"/>
                <w:sz w:val="24"/>
                <w:highlight w:val="none"/>
                <w:lang w:eastAsia="zh-CN"/>
              </w:rPr>
              <w:t>保函</w:t>
            </w:r>
            <w:r>
              <w:rPr>
                <w:rFonts w:hint="eastAsia" w:asciiTheme="minorEastAsia" w:hAnsiTheme="minorEastAsia" w:eastAsiaTheme="minorEastAsia" w:cstheme="minorEastAsia"/>
                <w:b w:val="0"/>
                <w:bCs w:val="0"/>
                <w:color w:val="auto"/>
                <w:sz w:val="24"/>
                <w:highlight w:val="none"/>
                <w:lang w:val="en-US" w:eastAsia="zh-CN"/>
              </w:rPr>
              <w:t>方式缴纳时，</w:t>
            </w:r>
            <w:r>
              <w:rPr>
                <w:rFonts w:hint="eastAsia" w:asciiTheme="minorEastAsia" w:hAnsiTheme="minorEastAsia" w:eastAsiaTheme="minorEastAsia" w:cstheme="minorEastAsia"/>
                <w:b w:val="0"/>
                <w:bCs w:val="0"/>
                <w:color w:val="auto"/>
                <w:sz w:val="24"/>
                <w:highlight w:val="none"/>
              </w:rPr>
              <w:t>注明所投项目名称</w:t>
            </w:r>
            <w:r>
              <w:rPr>
                <w:rFonts w:hint="eastAsia" w:asciiTheme="minorEastAsia" w:hAnsiTheme="minorEastAsia" w:eastAsiaTheme="minorEastAsia" w:cstheme="minorEastAsia"/>
                <w:b w:val="0"/>
                <w:bCs w:val="0"/>
                <w:color w:val="auto"/>
                <w:sz w:val="24"/>
                <w:highlight w:val="none"/>
                <w:lang w:eastAsia="zh-CN"/>
              </w:rPr>
              <w:t>（可简写），</w:t>
            </w:r>
            <w:r>
              <w:rPr>
                <w:rFonts w:hint="eastAsia" w:asciiTheme="minorEastAsia" w:hAnsiTheme="minorEastAsia" w:eastAsiaTheme="minorEastAsia" w:cstheme="minorEastAsia"/>
                <w:b w:val="0"/>
                <w:bCs w:val="0"/>
                <w:color w:val="auto"/>
                <w:sz w:val="24"/>
                <w:highlight w:val="none"/>
                <w:lang w:val="en-US" w:eastAsia="zh-CN"/>
              </w:rPr>
              <w:t>保函有效期不得低于磋商有效期。</w:t>
            </w:r>
          </w:p>
          <w:p w14:paraId="1627EE14">
            <w:pPr>
              <w:keepNext w:val="0"/>
              <w:keepLines w:val="0"/>
              <w:widowControl/>
              <w:suppressLineNumbers w:val="0"/>
              <w:spacing w:line="240" w:lineRule="auto"/>
              <w:jc w:val="left"/>
              <w:outlineLvl w:val="9"/>
              <w:rPr>
                <w:rFonts w:hint="eastAsia" w:asciiTheme="minorEastAsia" w:hAnsiTheme="minorEastAsia" w:eastAsiaTheme="minorEastAsia" w:cstheme="minorEastAsia"/>
                <w:b w:val="0"/>
                <w:bCs w:val="0"/>
                <w:i/>
                <w:color w:val="auto"/>
                <w:sz w:val="24"/>
                <w:highlight w:val="none"/>
              </w:rPr>
            </w:pPr>
            <w:r>
              <w:rPr>
                <w:rFonts w:hint="eastAsia" w:asciiTheme="minorEastAsia" w:hAnsiTheme="minorEastAsia" w:eastAsiaTheme="minorEastAsia" w:cstheme="minorEastAsia"/>
                <w:b w:val="0"/>
                <w:bCs w:val="0"/>
                <w:color w:val="auto"/>
                <w:sz w:val="24"/>
                <w:highlight w:val="none"/>
                <w:lang w:val="en-US" w:eastAsia="zh-CN"/>
              </w:rPr>
              <w:t>注：磋商保证金缴纳</w:t>
            </w:r>
            <w:r>
              <w:rPr>
                <w:rFonts w:hint="eastAsia" w:asciiTheme="minorEastAsia" w:hAnsiTheme="minorEastAsia" w:eastAsiaTheme="minorEastAsia" w:cstheme="minorEastAsia"/>
                <w:b w:val="0"/>
                <w:bCs w:val="0"/>
                <w:color w:val="auto"/>
                <w:sz w:val="24"/>
                <w:highlight w:val="none"/>
              </w:rPr>
              <w:t>截止时间：</w:t>
            </w:r>
            <w:r>
              <w:rPr>
                <w:rFonts w:hint="eastAsia" w:asciiTheme="minorEastAsia" w:hAnsiTheme="minorEastAsia" w:eastAsiaTheme="minorEastAsia" w:cstheme="minorEastAsia"/>
                <w:b w:val="0"/>
                <w:bCs w:val="0"/>
                <w:color w:val="auto"/>
                <w:sz w:val="24"/>
                <w:highlight w:val="none"/>
                <w:lang w:val="en-US" w:eastAsia="zh-CN"/>
              </w:rPr>
              <w:t>开标截止时间前</w:t>
            </w:r>
            <w:r>
              <w:rPr>
                <w:rFonts w:hint="eastAsia" w:asciiTheme="minorEastAsia" w:hAnsiTheme="minorEastAsia" w:eastAsiaTheme="minorEastAsia" w:cstheme="minorEastAsia"/>
                <w:b w:val="0"/>
                <w:bCs w:val="0"/>
                <w:color w:val="auto"/>
                <w:sz w:val="24"/>
                <w:highlight w:val="none"/>
                <w:lang w:val="zh-CN"/>
              </w:rPr>
              <w:t>，以银行到账时间为准。</w:t>
            </w:r>
            <w:r>
              <w:rPr>
                <w:rFonts w:hint="eastAsia" w:asciiTheme="minorEastAsia" w:hAnsiTheme="minorEastAsia" w:eastAsiaTheme="minorEastAsia" w:cstheme="minorEastAsia"/>
                <w:b w:val="0"/>
                <w:bCs w:val="0"/>
                <w:color w:val="auto"/>
                <w:sz w:val="24"/>
                <w:highlight w:val="none"/>
                <w:lang w:val="en-US" w:eastAsia="zh-CN"/>
              </w:rPr>
              <w:t>未按上述规定缴纳磋商保证金，做废标处理。</w:t>
            </w:r>
          </w:p>
        </w:tc>
      </w:tr>
      <w:tr w14:paraId="55F16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jc w:val="center"/>
        </w:trPr>
        <w:tc>
          <w:tcPr>
            <w:tcW w:w="1331" w:type="dxa"/>
            <w:noWrap w:val="0"/>
            <w:vAlign w:val="center"/>
          </w:tcPr>
          <w:p w14:paraId="40388A79">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13.1</w:t>
            </w:r>
          </w:p>
        </w:tc>
        <w:tc>
          <w:tcPr>
            <w:tcW w:w="8375" w:type="dxa"/>
            <w:noWrap w:val="0"/>
            <w:vAlign w:val="center"/>
          </w:tcPr>
          <w:p w14:paraId="00ED559D">
            <w:pPr>
              <w:spacing w:line="240" w:lineRule="atLeast"/>
              <w:outlineLvl w:val="9"/>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有效期：</w:t>
            </w:r>
            <w:r>
              <w:rPr>
                <w:rFonts w:hint="eastAsia" w:asciiTheme="minorEastAsia" w:hAnsiTheme="minorEastAsia" w:eastAsiaTheme="minorEastAsia" w:cstheme="minorEastAsia"/>
                <w:color w:val="auto"/>
                <w:sz w:val="24"/>
                <w:highlight w:val="none"/>
                <w:u w:val="single"/>
                <w:lang w:val="en-US" w:eastAsia="zh-CN"/>
              </w:rPr>
              <w:t>90</w:t>
            </w:r>
            <w:r>
              <w:rPr>
                <w:rFonts w:hint="eastAsia" w:asciiTheme="minorEastAsia" w:hAnsiTheme="minorEastAsia" w:eastAsiaTheme="minorEastAsia" w:cstheme="minorEastAsia"/>
                <w:color w:val="auto"/>
                <w:sz w:val="24"/>
                <w:highlight w:val="none"/>
              </w:rPr>
              <w:t>日历日</w:t>
            </w:r>
          </w:p>
        </w:tc>
      </w:tr>
      <w:tr w14:paraId="799E9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1331" w:type="dxa"/>
            <w:noWrap w:val="0"/>
            <w:vAlign w:val="center"/>
          </w:tcPr>
          <w:p w14:paraId="37E4E090">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14.1</w:t>
            </w:r>
          </w:p>
        </w:tc>
        <w:tc>
          <w:tcPr>
            <w:tcW w:w="8375" w:type="dxa"/>
            <w:noWrap w:val="0"/>
            <w:vAlign w:val="center"/>
          </w:tcPr>
          <w:p w14:paraId="2911AD0F">
            <w:pPr>
              <w:keepNext w:val="0"/>
              <w:keepLines w:val="0"/>
              <w:widowControl/>
              <w:numPr>
                <w:ilvl w:val="0"/>
                <w:numId w:val="0"/>
              </w:numPr>
              <w:suppressLineNumbers w:val="0"/>
              <w:ind w:leftChars="0" w:right="0" w:rightChars="0"/>
              <w:jc w:val="left"/>
              <w:outlineLvl w:val="9"/>
              <w:rPr>
                <w:rFonts w:hint="eastAsia" w:asciiTheme="minorEastAsia" w:hAnsiTheme="minorEastAsia" w:eastAsiaTheme="minorEastAsia" w:cstheme="minorEastAsia"/>
                <w:color w:val="auto"/>
                <w:spacing w:val="0"/>
                <w:w w:val="100"/>
                <w:kern w:val="0"/>
                <w:position w:val="0"/>
                <w:sz w:val="24"/>
                <w:szCs w:val="24"/>
                <w:highlight w:val="none"/>
                <w:lang w:val="en-US" w:eastAsia="zh-CN" w:bidi="ar"/>
              </w:rPr>
            </w:pPr>
            <w:r>
              <w:rPr>
                <w:rFonts w:hint="eastAsia" w:asciiTheme="minorEastAsia" w:hAnsiTheme="minorEastAsia" w:eastAsiaTheme="minorEastAsia" w:cstheme="minorEastAsia"/>
                <w:color w:val="auto"/>
                <w:spacing w:val="0"/>
                <w:w w:val="100"/>
                <w:kern w:val="0"/>
                <w:position w:val="0"/>
                <w:sz w:val="24"/>
                <w:szCs w:val="24"/>
                <w:highlight w:val="none"/>
                <w:lang w:val="en-US" w:eastAsia="zh-CN" w:bidi="ar"/>
              </w:rPr>
              <w:t>供应商须在响应文件递交截止时间前完成在系统上递交电子响应文件。供应商的电子响应文件是经过CA证书加密后上传提交的，任何单位或个人均无法在响应文件递交截止(即开标时间)之前查看或篡改，不存在泄密风险。（严格按照政采云电子磋商流程制作并上传电子响应文件）</w:t>
            </w:r>
          </w:p>
          <w:p w14:paraId="0FE8D1DE">
            <w:pPr>
              <w:keepNext w:val="0"/>
              <w:keepLines w:val="0"/>
              <w:widowControl/>
              <w:numPr>
                <w:ilvl w:val="0"/>
                <w:numId w:val="0"/>
              </w:numPr>
              <w:suppressLineNumbers w:val="0"/>
              <w:ind w:leftChars="0" w:right="0" w:rightChars="0"/>
              <w:jc w:val="left"/>
              <w:outlineLvl w:val="9"/>
              <w:rPr>
                <w:rFonts w:hint="eastAsia" w:asciiTheme="minorEastAsia" w:hAnsiTheme="minorEastAsia" w:eastAsiaTheme="minorEastAsia" w:cstheme="minorEastAsia"/>
                <w:color w:val="auto"/>
                <w:spacing w:val="0"/>
                <w:w w:val="100"/>
                <w:kern w:val="0"/>
                <w:position w:val="0"/>
                <w:sz w:val="24"/>
                <w:szCs w:val="24"/>
                <w:highlight w:val="none"/>
                <w:lang w:val="en-US" w:eastAsia="zh-CN" w:bidi="ar"/>
              </w:rPr>
            </w:pPr>
            <w:r>
              <w:rPr>
                <w:rFonts w:hint="eastAsia" w:asciiTheme="minorEastAsia" w:hAnsiTheme="minorEastAsia" w:eastAsiaTheme="minorEastAsia" w:cstheme="minorEastAsia"/>
                <w:color w:val="auto"/>
                <w:spacing w:val="0"/>
                <w:w w:val="100"/>
                <w:kern w:val="0"/>
                <w:position w:val="0"/>
                <w:sz w:val="24"/>
                <w:szCs w:val="24"/>
                <w:highlight w:val="none"/>
                <w:lang w:val="en-US" w:eastAsia="zh-CN" w:bidi="ar"/>
              </w:rPr>
              <w:t>本项目实行全流程电子化“不见面”网上开标，请各潜在供应商自行下载学习（新疆政府采购网下载专区）注：磋商截止时间前按要求在政采云上传电子版磋商文件。</w:t>
            </w:r>
          </w:p>
          <w:p w14:paraId="6A586047">
            <w:pPr>
              <w:keepNext w:val="0"/>
              <w:keepLines w:val="0"/>
              <w:widowControl/>
              <w:numPr>
                <w:ilvl w:val="0"/>
                <w:numId w:val="0"/>
              </w:numPr>
              <w:suppressLineNumbers w:val="0"/>
              <w:ind w:leftChars="0" w:right="0" w:rightChars="0"/>
              <w:jc w:val="left"/>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w w:val="100"/>
                <w:kern w:val="0"/>
                <w:position w:val="0"/>
                <w:sz w:val="24"/>
                <w:szCs w:val="24"/>
                <w:highlight w:val="none"/>
                <w:lang w:val="en-US" w:eastAsia="zh-CN" w:bidi="ar"/>
              </w:rPr>
              <w:t>注：成交人在领取成交通知书时须递交纸质磋商（响应）文件（按采购人要求提供），按政采云电子响应文件格式顺序打印胶装；格式为PDF的电子磋商（响应）文件优质U盘一份。</w:t>
            </w:r>
          </w:p>
        </w:tc>
      </w:tr>
      <w:tr w14:paraId="64932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1331" w:type="dxa"/>
            <w:noWrap w:val="0"/>
            <w:vAlign w:val="center"/>
          </w:tcPr>
          <w:p w14:paraId="4FDFBBEB">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w:t>
            </w:r>
          </w:p>
        </w:tc>
        <w:tc>
          <w:tcPr>
            <w:tcW w:w="8375" w:type="dxa"/>
            <w:noWrap w:val="0"/>
            <w:vAlign w:val="center"/>
          </w:tcPr>
          <w:p w14:paraId="2463F8F7">
            <w:pPr>
              <w:spacing w:line="240" w:lineRule="atLeast"/>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截止时间：</w:t>
            </w: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日1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0（北京时间）</w:t>
            </w:r>
          </w:p>
        </w:tc>
      </w:tr>
      <w:tr w14:paraId="4B6D7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1331" w:type="dxa"/>
            <w:noWrap w:val="0"/>
            <w:vAlign w:val="center"/>
          </w:tcPr>
          <w:p w14:paraId="01EFBAFA">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w:t>
            </w:r>
          </w:p>
        </w:tc>
        <w:tc>
          <w:tcPr>
            <w:tcW w:w="8375" w:type="dxa"/>
            <w:noWrap w:val="0"/>
            <w:vAlign w:val="center"/>
          </w:tcPr>
          <w:p w14:paraId="013165C4">
            <w:pPr>
              <w:spacing w:line="240" w:lineRule="atLeast"/>
              <w:outlineLvl w:val="9"/>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开标时间：</w:t>
            </w:r>
            <w:r>
              <w:rPr>
                <w:rFonts w:hint="eastAsia" w:asciiTheme="minorEastAsia" w:hAnsiTheme="minorEastAsia" w:eastAsiaTheme="minorEastAsia" w:cstheme="minorEastAsia"/>
                <w:color w:val="auto"/>
                <w:sz w:val="24"/>
                <w:szCs w:val="24"/>
                <w:highlight w:val="none"/>
                <w:lang w:val="en-US" w:eastAsia="zh-CN"/>
              </w:rPr>
              <w:t>同磋商截止时间</w:t>
            </w:r>
          </w:p>
          <w:p w14:paraId="41484ADA">
            <w:pPr>
              <w:spacing w:line="240" w:lineRule="atLeast"/>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开标地</w:t>
            </w:r>
            <w:r>
              <w:rPr>
                <w:rFonts w:hint="eastAsia" w:asciiTheme="minorEastAsia" w:hAnsiTheme="minorEastAsia" w:eastAsiaTheme="minorEastAsia" w:cstheme="minorEastAsia"/>
                <w:color w:val="auto"/>
                <w:sz w:val="24"/>
                <w:szCs w:val="24"/>
                <w:highlight w:val="none"/>
                <w:lang w:val="en-US" w:eastAsia="zh-CN"/>
              </w:rPr>
              <w:t>点：</w:t>
            </w:r>
            <w:r>
              <w:rPr>
                <w:rStyle w:val="33"/>
                <w:rFonts w:hint="eastAsia" w:asciiTheme="minorEastAsia" w:hAnsiTheme="minorEastAsia" w:eastAsiaTheme="minorEastAsia" w:cstheme="minorEastAsia"/>
                <w:kern w:val="0"/>
                <w:sz w:val="24"/>
                <w:szCs w:val="24"/>
                <w:highlight w:val="none"/>
              </w:rPr>
              <w:t>政采云平台</w:t>
            </w:r>
            <w:r>
              <w:rPr>
                <w:rFonts w:hint="eastAsia" w:asciiTheme="minorEastAsia" w:hAnsiTheme="minorEastAsia" w:eastAsiaTheme="minorEastAsia" w:cstheme="minorEastAsia"/>
                <w:color w:val="auto"/>
                <w:sz w:val="24"/>
                <w:szCs w:val="24"/>
                <w:highlight w:val="none"/>
                <w:lang w:val="en-US" w:eastAsia="zh-CN"/>
              </w:rPr>
              <w:t>https://www.zcygov.cn</w:t>
            </w:r>
          </w:p>
        </w:tc>
      </w:tr>
      <w:tr w14:paraId="34764A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1331" w:type="dxa"/>
            <w:noWrap w:val="0"/>
            <w:vAlign w:val="center"/>
          </w:tcPr>
          <w:p w14:paraId="5C4C9657">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w:t>
            </w:r>
          </w:p>
        </w:tc>
        <w:tc>
          <w:tcPr>
            <w:tcW w:w="8375" w:type="dxa"/>
            <w:noWrap w:val="0"/>
            <w:vAlign w:val="center"/>
          </w:tcPr>
          <w:p w14:paraId="7E0F477C">
            <w:pPr>
              <w:spacing w:line="240" w:lineRule="atLeast"/>
              <w:outlineLvl w:val="9"/>
              <w:rPr>
                <w:rFonts w:hint="eastAsia" w:asciiTheme="minorEastAsia" w:hAnsiTheme="minorEastAsia" w:eastAsiaTheme="minorEastAsia" w:cstheme="minorEastAsia"/>
                <w:i/>
                <w:color w:val="auto"/>
                <w:sz w:val="24"/>
                <w:highlight w:val="none"/>
              </w:rPr>
            </w:pPr>
            <w:r>
              <w:rPr>
                <w:rFonts w:hint="eastAsia" w:asciiTheme="minorEastAsia" w:hAnsiTheme="minorEastAsia" w:eastAsiaTheme="minorEastAsia" w:cstheme="minorEastAsia"/>
                <w:color w:val="auto"/>
                <w:sz w:val="24"/>
                <w:highlight w:val="none"/>
              </w:rPr>
              <w:t>评标方法：</w:t>
            </w:r>
            <w:r>
              <w:rPr>
                <w:rFonts w:hint="eastAsia" w:asciiTheme="minorEastAsia" w:hAnsiTheme="minorEastAsia" w:eastAsiaTheme="minorEastAsia" w:cstheme="minorEastAsia"/>
                <w:b/>
                <w:bCs/>
                <w:color w:val="auto"/>
                <w:sz w:val="24"/>
                <w:highlight w:val="none"/>
              </w:rPr>
              <w:t>竞争性磋商</w:t>
            </w:r>
            <w:r>
              <w:rPr>
                <w:rFonts w:hint="eastAsia" w:asciiTheme="minorEastAsia" w:hAnsiTheme="minorEastAsia" w:eastAsiaTheme="minorEastAsia" w:cstheme="minorEastAsia"/>
                <w:b/>
                <w:bCs/>
                <w:color w:val="auto"/>
                <w:sz w:val="24"/>
                <w:highlight w:val="none"/>
                <w:lang w:eastAsia="zh-CN"/>
              </w:rPr>
              <w:t>：综合评分法</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szCs w:val="24"/>
                <w:highlight w:val="none"/>
                <w:lang w:eastAsia="zh-CN"/>
              </w:rPr>
              <w:t>本项目采用两次报价且第二</w:t>
            </w:r>
            <w:r>
              <w:rPr>
                <w:rFonts w:hint="eastAsia" w:asciiTheme="minorEastAsia" w:hAnsiTheme="minorEastAsia" w:eastAsiaTheme="minorEastAsia" w:cstheme="minorEastAsia"/>
                <w:color w:val="auto"/>
                <w:kern w:val="0"/>
                <w:sz w:val="24"/>
                <w:szCs w:val="24"/>
                <w:highlight w:val="none"/>
                <w:lang w:val="en-US" w:eastAsia="zh-CN"/>
              </w:rPr>
              <w:t>次</w:t>
            </w:r>
            <w:r>
              <w:rPr>
                <w:rFonts w:hint="eastAsia" w:asciiTheme="minorEastAsia" w:hAnsiTheme="minorEastAsia" w:eastAsiaTheme="minorEastAsia" w:cstheme="minorEastAsia"/>
                <w:color w:val="auto"/>
                <w:kern w:val="0"/>
                <w:sz w:val="24"/>
                <w:szCs w:val="24"/>
                <w:highlight w:val="none"/>
                <w:lang w:eastAsia="zh-CN"/>
              </w:rPr>
              <w:t>报价不得高于第一</w:t>
            </w:r>
            <w:r>
              <w:rPr>
                <w:rFonts w:hint="eastAsia" w:asciiTheme="minorEastAsia" w:hAnsiTheme="minorEastAsia" w:eastAsiaTheme="minorEastAsia" w:cstheme="minorEastAsia"/>
                <w:color w:val="auto"/>
                <w:kern w:val="0"/>
                <w:sz w:val="24"/>
                <w:szCs w:val="24"/>
                <w:highlight w:val="none"/>
                <w:lang w:val="en-US" w:eastAsia="zh-CN"/>
              </w:rPr>
              <w:t>次</w:t>
            </w:r>
            <w:r>
              <w:rPr>
                <w:rFonts w:hint="eastAsia" w:asciiTheme="minorEastAsia" w:hAnsiTheme="minorEastAsia" w:eastAsiaTheme="minorEastAsia" w:cstheme="minorEastAsia"/>
                <w:color w:val="auto"/>
                <w:kern w:val="0"/>
                <w:sz w:val="24"/>
                <w:szCs w:val="24"/>
                <w:highlight w:val="none"/>
                <w:lang w:eastAsia="zh-CN"/>
              </w:rPr>
              <w:t>报价</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提交</w:t>
            </w:r>
            <w:r>
              <w:rPr>
                <w:rFonts w:hint="eastAsia" w:asciiTheme="minorEastAsia" w:hAnsiTheme="minorEastAsia" w:eastAsiaTheme="minorEastAsia" w:cstheme="minorEastAsia"/>
                <w:color w:val="auto"/>
                <w:sz w:val="24"/>
                <w:highlight w:val="none"/>
                <w:lang w:val="en-US" w:eastAsia="zh-CN"/>
              </w:rPr>
              <w:t>最后的</w:t>
            </w:r>
            <w:r>
              <w:rPr>
                <w:rFonts w:hint="eastAsia" w:asciiTheme="minorEastAsia" w:hAnsiTheme="minorEastAsia" w:eastAsiaTheme="minorEastAsia" w:cstheme="minorEastAsia"/>
                <w:color w:val="auto"/>
                <w:sz w:val="24"/>
                <w:highlight w:val="none"/>
              </w:rPr>
              <w:t>报价后，磋商小组对所有满足实质性要求</w:t>
            </w:r>
            <w:r>
              <w:rPr>
                <w:rFonts w:hint="eastAsia" w:asciiTheme="minorEastAsia" w:hAnsiTheme="minorEastAsia" w:eastAsiaTheme="minorEastAsia" w:cstheme="minorEastAsia"/>
                <w:color w:val="auto"/>
                <w:sz w:val="24"/>
                <w:highlight w:val="none"/>
                <w:lang w:val="en-US" w:eastAsia="zh-CN"/>
              </w:rPr>
              <w:t>且</w:t>
            </w:r>
            <w:r>
              <w:rPr>
                <w:rFonts w:hint="eastAsia" w:asciiTheme="minorEastAsia" w:hAnsiTheme="minorEastAsia" w:eastAsiaTheme="minorEastAsia" w:cstheme="minorEastAsia"/>
                <w:color w:val="auto"/>
                <w:sz w:val="24"/>
                <w:highlight w:val="none"/>
              </w:rPr>
              <w:t>提交最后报价的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的响应文件按评审因素评审得分，最终汇总得分由高到低排序推荐第一、第二、第三中标候选人）　　　　　</w:t>
            </w:r>
          </w:p>
        </w:tc>
      </w:tr>
      <w:tr w14:paraId="5D4C0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7" w:hRule="atLeast"/>
          <w:jc w:val="center"/>
        </w:trPr>
        <w:tc>
          <w:tcPr>
            <w:tcW w:w="1331" w:type="dxa"/>
            <w:noWrap w:val="0"/>
            <w:vAlign w:val="center"/>
          </w:tcPr>
          <w:p w14:paraId="3ECF3C97">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w:t>
            </w:r>
          </w:p>
        </w:tc>
        <w:tc>
          <w:tcPr>
            <w:tcW w:w="8375" w:type="dxa"/>
            <w:noWrap w:val="0"/>
            <w:vAlign w:val="center"/>
          </w:tcPr>
          <w:p w14:paraId="4D0E5BF1">
            <w:pPr>
              <w:spacing w:line="240" w:lineRule="atLeast"/>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推荐中标候选供应商的数量：</w:t>
            </w:r>
            <w:r>
              <w:rPr>
                <w:rFonts w:hint="eastAsia" w:asciiTheme="minorEastAsia" w:hAnsiTheme="minorEastAsia" w:eastAsiaTheme="minorEastAsia" w:cstheme="minorEastAsia"/>
                <w:color w:val="auto"/>
                <w:sz w:val="24"/>
                <w:szCs w:val="24"/>
                <w:highlight w:val="none"/>
              </w:rPr>
              <w:t>3名</w:t>
            </w:r>
          </w:p>
        </w:tc>
      </w:tr>
      <w:tr w14:paraId="2BB02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1331" w:type="dxa"/>
            <w:noWrap w:val="0"/>
            <w:vAlign w:val="center"/>
          </w:tcPr>
          <w:p w14:paraId="45CA5607">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w:t>
            </w:r>
          </w:p>
        </w:tc>
        <w:tc>
          <w:tcPr>
            <w:tcW w:w="8375" w:type="dxa"/>
            <w:noWrap w:val="0"/>
            <w:vAlign w:val="center"/>
          </w:tcPr>
          <w:p w14:paraId="377AB61D">
            <w:pPr>
              <w:spacing w:line="240" w:lineRule="atLeast"/>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采购</w:t>
            </w:r>
            <w:r>
              <w:rPr>
                <w:rFonts w:hint="eastAsia" w:asciiTheme="minorEastAsia" w:hAnsiTheme="minorEastAsia" w:eastAsiaTheme="minorEastAsia" w:cstheme="minorEastAsia"/>
                <w:color w:val="auto"/>
                <w:sz w:val="24"/>
                <w:highlight w:val="none"/>
              </w:rPr>
              <w:t>人是否委托磋商小组直接确定中标人：</w:t>
            </w:r>
            <w:r>
              <w:rPr>
                <w:rFonts w:hint="eastAsia" w:asciiTheme="minorEastAsia" w:hAnsiTheme="minorEastAsia" w:eastAsiaTheme="minorEastAsia" w:cstheme="minorEastAsia"/>
                <w:color w:val="auto"/>
                <w:sz w:val="24"/>
                <w:highlight w:val="none"/>
                <w:lang w:val="en-US" w:eastAsia="zh-CN"/>
              </w:rPr>
              <w:t>否</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i/>
                <w:color w:val="auto"/>
                <w:sz w:val="24"/>
                <w:highlight w:val="none"/>
              </w:rPr>
              <w:t>（是、否）</w:t>
            </w:r>
          </w:p>
        </w:tc>
      </w:tr>
      <w:tr w14:paraId="5E893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7" w:hRule="atLeast"/>
          <w:jc w:val="center"/>
        </w:trPr>
        <w:tc>
          <w:tcPr>
            <w:tcW w:w="1331" w:type="dxa"/>
            <w:noWrap w:val="0"/>
            <w:vAlign w:val="center"/>
          </w:tcPr>
          <w:p w14:paraId="56456D0D">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31.1</w:t>
            </w:r>
          </w:p>
        </w:tc>
        <w:tc>
          <w:tcPr>
            <w:tcW w:w="8375" w:type="dxa"/>
            <w:noWrap w:val="0"/>
            <w:vAlign w:val="center"/>
          </w:tcPr>
          <w:p w14:paraId="612B25BD">
            <w:pPr>
              <w:spacing w:line="240" w:lineRule="atLeast"/>
              <w:outlineLvl w:val="9"/>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color w:val="auto"/>
                <w:sz w:val="24"/>
                <w:highlight w:val="none"/>
              </w:rPr>
              <w:t>履约保证金金额</w:t>
            </w:r>
            <w:r>
              <w:rPr>
                <w:rFonts w:hint="eastAsia" w:asciiTheme="minorEastAsia" w:hAnsiTheme="minorEastAsia" w:eastAsiaTheme="minorEastAsia" w:cstheme="minorEastAsia"/>
                <w:i w:val="0"/>
                <w:iCs w:val="0"/>
                <w:color w:val="auto"/>
                <w:sz w:val="24"/>
                <w:highlight w:val="none"/>
              </w:rPr>
              <w:t>：合同总价的</w:t>
            </w:r>
            <w:r>
              <w:rPr>
                <w:rFonts w:hint="eastAsia" w:asciiTheme="minorEastAsia" w:hAnsiTheme="minorEastAsia" w:eastAsiaTheme="minorEastAsia" w:cstheme="minorEastAsia"/>
                <w:i w:val="0"/>
                <w:iCs w:val="0"/>
                <w:color w:val="auto"/>
                <w:sz w:val="24"/>
                <w:highlight w:val="none"/>
                <w:u w:val="single"/>
                <w:lang w:val="en-US" w:eastAsia="zh-CN"/>
              </w:rPr>
              <w:t>5%</w:t>
            </w:r>
            <w:r>
              <w:rPr>
                <w:rFonts w:hint="eastAsia" w:asciiTheme="minorEastAsia" w:hAnsiTheme="minorEastAsia" w:eastAsiaTheme="minorEastAsia" w:cstheme="minorEastAsia"/>
                <w:i w:val="0"/>
                <w:iCs w:val="0"/>
                <w:color w:val="auto"/>
                <w:sz w:val="24"/>
                <w:highlight w:val="none"/>
              </w:rPr>
              <w:t>（不得超过政府采购合同金额的10%）</w:t>
            </w:r>
          </w:p>
          <w:p w14:paraId="7759ACE5">
            <w:pPr>
              <w:spacing w:line="240" w:lineRule="atLeast"/>
              <w:outlineLvl w:val="9"/>
              <w:rPr>
                <w:rFonts w:hint="eastAsia" w:asciiTheme="minorEastAsia" w:hAnsiTheme="minorEastAsia" w:eastAsiaTheme="minorEastAsia" w:cstheme="minorEastAsia"/>
                <w:i w:val="0"/>
                <w:iCs w:val="0"/>
                <w:color w:val="auto"/>
                <w:sz w:val="24"/>
                <w:highlight w:val="none"/>
                <w:u w:val="single"/>
                <w:lang w:val="en-US" w:eastAsia="zh-CN"/>
              </w:rPr>
            </w:pPr>
            <w:r>
              <w:rPr>
                <w:rFonts w:hint="eastAsia" w:asciiTheme="minorEastAsia" w:hAnsiTheme="minorEastAsia" w:eastAsiaTheme="minorEastAsia" w:cstheme="minorEastAsia"/>
                <w:i w:val="0"/>
                <w:iCs w:val="0"/>
                <w:color w:val="auto"/>
                <w:sz w:val="24"/>
                <w:highlight w:val="none"/>
              </w:rPr>
              <w:t>履约保证金形式：</w:t>
            </w:r>
            <w:r>
              <w:rPr>
                <w:rFonts w:hint="eastAsia" w:asciiTheme="minorEastAsia" w:hAnsiTheme="minorEastAsia" w:eastAsiaTheme="minorEastAsia" w:cstheme="minorEastAsia"/>
                <w:i w:val="0"/>
                <w:iCs w:val="0"/>
                <w:color w:val="auto"/>
                <w:sz w:val="24"/>
                <w:szCs w:val="24"/>
                <w:highlight w:val="none"/>
                <w:lang w:eastAsia="zh-CN"/>
              </w:rPr>
              <w:t>转账</w:t>
            </w:r>
            <w:r>
              <w:rPr>
                <w:rFonts w:hint="eastAsia" w:asciiTheme="minorEastAsia" w:hAnsiTheme="minorEastAsia" w:eastAsiaTheme="minorEastAsia" w:cstheme="minorEastAsia"/>
                <w:i w:val="0"/>
                <w:iCs w:val="0"/>
                <w:color w:val="auto"/>
                <w:sz w:val="24"/>
                <w:szCs w:val="24"/>
                <w:highlight w:val="none"/>
              </w:rPr>
              <w:t>或</w:t>
            </w:r>
            <w:r>
              <w:rPr>
                <w:rFonts w:hint="eastAsia" w:asciiTheme="minorEastAsia" w:hAnsiTheme="minorEastAsia" w:eastAsiaTheme="minorEastAsia" w:cstheme="minorEastAsia"/>
                <w:i w:val="0"/>
                <w:iCs w:val="0"/>
                <w:color w:val="auto"/>
                <w:sz w:val="24"/>
                <w:szCs w:val="24"/>
                <w:highlight w:val="none"/>
                <w:lang w:val="en-US" w:eastAsia="zh-CN"/>
              </w:rPr>
              <w:t>电汇或保函（基本账户转出或出具）</w:t>
            </w:r>
          </w:p>
          <w:p w14:paraId="30EE8193">
            <w:pPr>
              <w:spacing w:line="240" w:lineRule="atLeast"/>
              <w:outlineLvl w:val="9"/>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i w:val="0"/>
                <w:iCs w:val="0"/>
                <w:color w:val="auto"/>
                <w:sz w:val="24"/>
                <w:highlight w:val="none"/>
              </w:rPr>
              <w:t>提交履约保证金的时间：签订合同前 5 日历日。</w:t>
            </w:r>
          </w:p>
        </w:tc>
      </w:tr>
      <w:tr w14:paraId="31EFC6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31" w:type="dxa"/>
            <w:noWrap w:val="0"/>
            <w:vAlign w:val="center"/>
          </w:tcPr>
          <w:p w14:paraId="177EA07C">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w:t>
            </w:r>
          </w:p>
        </w:tc>
        <w:tc>
          <w:tcPr>
            <w:tcW w:w="8375" w:type="dxa"/>
            <w:noWrap w:val="0"/>
            <w:vAlign w:val="center"/>
          </w:tcPr>
          <w:p w14:paraId="588C9DC8">
            <w:pPr>
              <w:spacing w:line="240" w:lineRule="atLeast"/>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中标服务费：</w:t>
            </w:r>
            <w:r>
              <w:rPr>
                <w:rFonts w:hint="eastAsia" w:asciiTheme="minorEastAsia" w:hAnsiTheme="minorEastAsia" w:eastAsiaTheme="minorEastAsia" w:cstheme="minorEastAsia"/>
                <w:color w:val="auto"/>
                <w:sz w:val="24"/>
                <w:highlight w:val="none"/>
                <w:lang w:eastAsia="zh-CN"/>
              </w:rPr>
              <w:t>由采购人支付，招标代理服务费支付金额收费标准按发改价格（2015）299号文计取，</w:t>
            </w:r>
            <w:r>
              <w:rPr>
                <w:rFonts w:hint="eastAsia" w:asciiTheme="minorEastAsia" w:hAnsiTheme="minorEastAsia" w:eastAsiaTheme="minorEastAsia" w:cstheme="minorEastAsia"/>
                <w:color w:val="auto"/>
                <w:spacing w:val="0"/>
                <w:w w:val="100"/>
                <w:kern w:val="0"/>
                <w:position w:val="0"/>
                <w:sz w:val="24"/>
                <w:szCs w:val="24"/>
                <w:highlight w:val="none"/>
                <w:lang w:val="en-US" w:eastAsia="zh-CN" w:bidi="ar"/>
              </w:rPr>
              <w:t>工程量清单编制费造价咨询费</w:t>
            </w:r>
            <w:r>
              <w:rPr>
                <w:rFonts w:hint="eastAsia" w:asciiTheme="minorEastAsia" w:hAnsiTheme="minorEastAsia" w:eastAsiaTheme="minorEastAsia" w:cstheme="minorEastAsia"/>
                <w:color w:val="auto"/>
                <w:sz w:val="24"/>
                <w:highlight w:val="none"/>
                <w:lang w:val="en-US" w:eastAsia="zh-CN"/>
              </w:rPr>
              <w:t>及中价协（2013）35号文件计取。 </w:t>
            </w:r>
          </w:p>
        </w:tc>
      </w:tr>
      <w:tr w14:paraId="4DFF4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1" w:type="dxa"/>
            <w:noWrap w:val="0"/>
            <w:vAlign w:val="center"/>
          </w:tcPr>
          <w:p w14:paraId="0F40948B">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w:t>
            </w:r>
          </w:p>
        </w:tc>
        <w:tc>
          <w:tcPr>
            <w:tcW w:w="8375" w:type="dxa"/>
            <w:noWrap w:val="0"/>
            <w:vAlign w:val="center"/>
          </w:tcPr>
          <w:p w14:paraId="4CEC2B88">
            <w:pPr>
              <w:spacing w:line="240" w:lineRule="atLeast"/>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本项目是否属于信用担保试点范围：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否</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 xml:space="preserve"> （是、否）</w:t>
            </w:r>
          </w:p>
        </w:tc>
      </w:tr>
      <w:tr w14:paraId="60CC4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31" w:type="dxa"/>
            <w:noWrap w:val="0"/>
            <w:vAlign w:val="center"/>
          </w:tcPr>
          <w:p w14:paraId="7BF73A05">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33.2</w:t>
            </w:r>
          </w:p>
        </w:tc>
        <w:tc>
          <w:tcPr>
            <w:tcW w:w="8375" w:type="dxa"/>
            <w:noWrap w:val="0"/>
            <w:vAlign w:val="center"/>
          </w:tcPr>
          <w:p w14:paraId="1805EB0B">
            <w:pPr>
              <w:spacing w:line="240" w:lineRule="atLeast"/>
              <w:ind w:left="-48" w:leftChars="-23" w:firstLine="48" w:firstLineChars="20"/>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政府采购信用担保机构：</w:t>
            </w:r>
            <w:r>
              <w:rPr>
                <w:rFonts w:hint="eastAsia" w:asciiTheme="minorEastAsia" w:hAnsiTheme="minorEastAsia" w:eastAsiaTheme="minorEastAsia" w:cstheme="minorEastAsia"/>
                <w:color w:val="auto"/>
                <w:sz w:val="24"/>
                <w:highlight w:val="none"/>
                <w:lang w:val="en-US" w:eastAsia="zh-CN"/>
              </w:rPr>
              <w:t>无</w:t>
            </w:r>
          </w:p>
        </w:tc>
      </w:tr>
      <w:tr w14:paraId="72DAC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31" w:type="dxa"/>
            <w:noWrap w:val="0"/>
            <w:vAlign w:val="center"/>
          </w:tcPr>
          <w:p w14:paraId="2F9EB6A2">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34.3</w:t>
            </w:r>
          </w:p>
        </w:tc>
        <w:tc>
          <w:tcPr>
            <w:tcW w:w="8375" w:type="dxa"/>
            <w:noWrap w:val="0"/>
            <w:vAlign w:val="center"/>
          </w:tcPr>
          <w:p w14:paraId="5AFDCFC1">
            <w:pPr>
              <w:spacing w:line="240" w:lineRule="atLeast"/>
              <w:ind w:left="710" w:leftChars="-23" w:hanging="758" w:hangingChars="316"/>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反腐倡廉监督电话/邮箱：</w:t>
            </w:r>
            <w:r>
              <w:rPr>
                <w:rFonts w:hint="eastAsia" w:asciiTheme="minorEastAsia" w:hAnsiTheme="minorEastAsia" w:eastAsiaTheme="minorEastAsia" w:cstheme="minorEastAsia"/>
                <w:color w:val="auto"/>
                <w:sz w:val="24"/>
                <w:highlight w:val="none"/>
                <w:lang w:val="en-US" w:eastAsia="zh-CN"/>
              </w:rPr>
              <w:t>/</w:t>
            </w:r>
          </w:p>
        </w:tc>
      </w:tr>
      <w:tr w14:paraId="5B693F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31" w:type="dxa"/>
            <w:noWrap w:val="0"/>
            <w:vAlign w:val="center"/>
          </w:tcPr>
          <w:p w14:paraId="40ACB082">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35            </w:t>
            </w:r>
          </w:p>
        </w:tc>
        <w:tc>
          <w:tcPr>
            <w:tcW w:w="8375" w:type="dxa"/>
            <w:noWrap w:val="0"/>
            <w:vAlign w:val="center"/>
          </w:tcPr>
          <w:p w14:paraId="7029F88D">
            <w:pPr>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次招标需要落实的政府采购政策：（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5E4FBB7F">
            <w:pPr>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6F3A527C">
            <w:pPr>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（3）财政部、工业和信息化部文件关于印发《政府采购促进中小企业发展管理办法》（财库[2020]46号文）、关于进一步加大政府采购支持中小企业力度的通知（财库〔2022〕19号）；</w:t>
            </w:r>
          </w:p>
          <w:p w14:paraId="0921B02C">
            <w:pPr>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（4）财政部、司法部《关于政府采购支持监狱企业发展有关问题的通知》（财库〔2014〕68 号）；</w:t>
            </w:r>
          </w:p>
          <w:p w14:paraId="4B13F061">
            <w:pPr>
              <w:outlineLvl w:val="9"/>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财政部、民政部、中国残疾人联合会文件《关于促进残疾人就业政府采购政策的通知》（财库[2017]141号）；监狱企业、残疾人福利性单位视同小型、微型企业,享受小型、微型企业评审中价格扣除的政府采购政策。</w:t>
            </w:r>
          </w:p>
        </w:tc>
      </w:tr>
      <w:tr w14:paraId="4EA08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4" w:hRule="atLeast"/>
          <w:jc w:val="center"/>
        </w:trPr>
        <w:tc>
          <w:tcPr>
            <w:tcW w:w="1331" w:type="dxa"/>
            <w:noWrap w:val="0"/>
            <w:vAlign w:val="center"/>
          </w:tcPr>
          <w:p w14:paraId="21A43281">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36.3</w:t>
            </w:r>
          </w:p>
        </w:tc>
        <w:tc>
          <w:tcPr>
            <w:tcW w:w="8375" w:type="dxa"/>
            <w:noWrap w:val="0"/>
            <w:vAlign w:val="center"/>
          </w:tcPr>
          <w:p w14:paraId="03AECDF2">
            <w:pPr>
              <w:pStyle w:val="21"/>
              <w:keepNext w:val="0"/>
              <w:keepLines w:val="0"/>
              <w:pageBreakBefore w:val="0"/>
              <w:overflowPunct/>
              <w:topLinePunct w:val="0"/>
              <w:bidi w:val="0"/>
              <w:spacing w:before="75" w:beforeAutospacing="0" w:after="75" w:afterAutospacing="0" w:line="340" w:lineRule="exact"/>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名</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称：</w:t>
            </w:r>
            <w:r>
              <w:rPr>
                <w:rFonts w:hint="eastAsia" w:asciiTheme="minorEastAsia" w:hAnsiTheme="minorEastAsia" w:eastAsiaTheme="minorEastAsia" w:cstheme="minorEastAsia"/>
                <w:highlight w:val="none"/>
                <w:lang w:val="en-US" w:eastAsia="zh-CN"/>
              </w:rPr>
              <w:t>新疆禾正工程项目管理有限公司</w:t>
            </w:r>
            <w:r>
              <w:rPr>
                <w:rFonts w:hint="eastAsia" w:asciiTheme="minorEastAsia" w:hAnsiTheme="minorEastAsia" w:eastAsiaTheme="minorEastAsia" w:cstheme="minorEastAsia"/>
                <w:highlight w:val="none"/>
              </w:rPr>
              <w:t>　　　　　　　</w:t>
            </w:r>
          </w:p>
          <w:p w14:paraId="1F8D7E69">
            <w:pPr>
              <w:pStyle w:val="21"/>
              <w:keepNext w:val="0"/>
              <w:keepLines w:val="0"/>
              <w:pageBreakBefore w:val="0"/>
              <w:overflowPunct/>
              <w:topLinePunct w:val="0"/>
              <w:bidi w:val="0"/>
              <w:spacing w:before="75" w:beforeAutospacing="0" w:after="75" w:afterAutospacing="0" w:line="340" w:lineRule="exact"/>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 xml:space="preserve">址：新疆喀什地区喀什市经济开发区深喀大道总部经济区陕西大厦20层2005-5/2006-5号房 </w:t>
            </w:r>
          </w:p>
          <w:p w14:paraId="2E1B4B8A">
            <w:pPr>
              <w:spacing w:line="240" w:lineRule="atLeast"/>
              <w:ind w:left="710" w:leftChars="-23" w:hanging="758" w:hangingChars="316"/>
              <w:outlineLvl w:val="9"/>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lang w:val="en-US" w:eastAsia="zh-CN"/>
              </w:rPr>
              <w:t>17399277881</w:t>
            </w:r>
          </w:p>
        </w:tc>
      </w:tr>
      <w:tr w14:paraId="1726B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31" w:type="dxa"/>
            <w:noWrap w:val="0"/>
            <w:vAlign w:val="center"/>
          </w:tcPr>
          <w:p w14:paraId="4A03AF0D">
            <w:pPr>
              <w:spacing w:line="240" w:lineRule="atLeast"/>
              <w:jc w:val="center"/>
              <w:outlineLvl w:val="9"/>
              <w:rPr>
                <w:rFonts w:hint="eastAsia" w:asciiTheme="minorEastAsia" w:hAnsiTheme="minorEastAsia" w:eastAsiaTheme="minorEastAsia" w:cstheme="minorEastAsia"/>
                <w:color w:val="auto"/>
                <w:spacing w:val="0"/>
                <w:w w:val="100"/>
                <w:kern w:val="0"/>
                <w:position w:val="0"/>
                <w:sz w:val="24"/>
                <w:szCs w:val="24"/>
                <w:highlight w:val="none"/>
                <w:lang w:val="en-US" w:eastAsia="zh-CN" w:bidi="ar"/>
              </w:rPr>
            </w:pPr>
            <w:r>
              <w:rPr>
                <w:rFonts w:hint="eastAsia" w:asciiTheme="minorEastAsia" w:hAnsiTheme="minorEastAsia" w:eastAsiaTheme="minorEastAsia" w:cstheme="minorEastAsia"/>
                <w:color w:val="auto"/>
                <w:spacing w:val="0"/>
                <w:w w:val="100"/>
                <w:kern w:val="0"/>
                <w:position w:val="0"/>
                <w:sz w:val="24"/>
                <w:szCs w:val="24"/>
                <w:highlight w:val="none"/>
                <w:lang w:val="en-US" w:eastAsia="zh-CN" w:bidi="ar"/>
              </w:rPr>
              <w:t>其他内容</w:t>
            </w:r>
          </w:p>
        </w:tc>
        <w:tc>
          <w:tcPr>
            <w:tcW w:w="8375" w:type="dxa"/>
            <w:noWrap w:val="0"/>
            <w:vAlign w:val="center"/>
          </w:tcPr>
          <w:p w14:paraId="0D6C7496">
            <w:pPr>
              <w:keepNext w:val="0"/>
              <w:keepLines w:val="0"/>
              <w:widowControl/>
              <w:suppressLineNumbers w:val="0"/>
              <w:jc w:val="left"/>
              <w:outlineLvl w:val="9"/>
              <w:rPr>
                <w:rFonts w:hint="eastAsia" w:asciiTheme="minorEastAsia" w:hAnsiTheme="minorEastAsia" w:eastAsiaTheme="minorEastAsia" w:cstheme="minorEastAsia"/>
                <w:color w:val="auto"/>
                <w:spacing w:val="0"/>
                <w:w w:val="100"/>
                <w:kern w:val="0"/>
                <w:position w:val="0"/>
                <w:sz w:val="24"/>
                <w:szCs w:val="24"/>
                <w:highlight w:val="none"/>
                <w:u w:val="none"/>
                <w:lang w:val="en-US" w:eastAsia="zh-CN" w:bidi="ar"/>
              </w:rPr>
            </w:pPr>
            <w:r>
              <w:rPr>
                <w:rFonts w:hint="eastAsia" w:asciiTheme="minorEastAsia" w:hAnsiTheme="minorEastAsia" w:eastAsiaTheme="minorEastAsia" w:cstheme="minorEastAsia"/>
                <w:color w:val="auto"/>
                <w:spacing w:val="0"/>
                <w:w w:val="100"/>
                <w:kern w:val="0"/>
                <w:position w:val="0"/>
                <w:sz w:val="24"/>
                <w:szCs w:val="24"/>
                <w:highlight w:val="none"/>
                <w:lang w:val="en-US" w:eastAsia="zh-CN" w:bidi="ar"/>
              </w:rPr>
              <w:t>1、本项目的付款方式为：双方签订合同后预</w:t>
            </w:r>
            <w:r>
              <w:rPr>
                <w:rFonts w:hint="eastAsia" w:asciiTheme="minorEastAsia" w:hAnsiTheme="minorEastAsia" w:eastAsiaTheme="minorEastAsia" w:cstheme="minorEastAsia"/>
                <w:color w:val="auto"/>
                <w:spacing w:val="0"/>
                <w:w w:val="100"/>
                <w:kern w:val="0"/>
                <w:position w:val="0"/>
                <w:sz w:val="24"/>
                <w:szCs w:val="24"/>
                <w:highlight w:val="none"/>
                <w:u w:val="none"/>
                <w:lang w:val="en-US" w:eastAsia="zh-CN" w:bidi="ar"/>
              </w:rPr>
              <w:t>付款30%，竣工验收合格后支付80%，审计决算后支付97%，剩余3%作为质保金（具体以双方实际签订合同为准）。</w:t>
            </w:r>
          </w:p>
          <w:p w14:paraId="7A0B907A">
            <w:pPr>
              <w:numPr>
                <w:ilvl w:val="0"/>
                <w:numId w:val="0"/>
              </w:numPr>
              <w:spacing w:line="240" w:lineRule="atLeast"/>
              <w:outlineLvl w:val="9"/>
              <w:rPr>
                <w:rFonts w:hint="eastAsia" w:asciiTheme="minorEastAsia" w:hAnsiTheme="minorEastAsia" w:eastAsiaTheme="minorEastAsia" w:cstheme="minorEastAsia"/>
                <w:color w:val="auto"/>
                <w:spacing w:val="0"/>
                <w:w w:val="100"/>
                <w:kern w:val="0"/>
                <w:position w:val="0"/>
                <w:sz w:val="24"/>
                <w:szCs w:val="24"/>
                <w:highlight w:val="none"/>
                <w:lang w:val="en-US" w:eastAsia="zh-CN" w:bidi="ar"/>
              </w:rPr>
            </w:pPr>
            <w:r>
              <w:rPr>
                <w:rFonts w:hint="eastAsia" w:asciiTheme="minorEastAsia" w:hAnsiTheme="minorEastAsia" w:eastAsiaTheme="minorEastAsia" w:cstheme="minorEastAsia"/>
                <w:color w:val="auto"/>
                <w:spacing w:val="0"/>
                <w:w w:val="100"/>
                <w:kern w:val="0"/>
                <w:position w:val="0"/>
                <w:sz w:val="24"/>
                <w:szCs w:val="24"/>
                <w:highlight w:val="none"/>
                <w:lang w:val="en-US" w:eastAsia="zh-CN" w:bidi="ar"/>
              </w:rPr>
              <w:t>合同方式：</w:t>
            </w:r>
            <w:r>
              <w:rPr>
                <w:rFonts w:hint="eastAsia" w:asciiTheme="minorEastAsia" w:hAnsiTheme="minorEastAsia" w:eastAsiaTheme="minorEastAsia" w:cstheme="minorEastAsia"/>
                <w:color w:val="auto"/>
                <w:spacing w:val="0"/>
                <w:w w:val="100"/>
                <w:kern w:val="0"/>
                <w:position w:val="0"/>
                <w:sz w:val="24"/>
                <w:szCs w:val="24"/>
                <w:highlight w:val="none"/>
                <w:u w:val="none"/>
                <w:lang w:val="en-US" w:eastAsia="zh-CN" w:bidi="ar"/>
              </w:rPr>
              <w:t>固定总价合同。</w:t>
            </w:r>
          </w:p>
          <w:p w14:paraId="48755FF8">
            <w:pPr>
              <w:numPr>
                <w:ilvl w:val="0"/>
                <w:numId w:val="0"/>
              </w:numPr>
              <w:spacing w:line="240" w:lineRule="atLeast"/>
              <w:ind w:leftChars="0"/>
              <w:outlineLvl w:val="9"/>
              <w:rPr>
                <w:rFonts w:hint="eastAsia" w:asciiTheme="minorEastAsia" w:hAnsiTheme="minorEastAsia" w:eastAsiaTheme="minorEastAsia" w:cstheme="minorEastAsia"/>
                <w:color w:val="auto"/>
                <w:spacing w:val="0"/>
                <w:w w:val="100"/>
                <w:kern w:val="0"/>
                <w:position w:val="0"/>
                <w:sz w:val="24"/>
                <w:szCs w:val="24"/>
                <w:highlight w:val="none"/>
                <w:lang w:val="en-US" w:eastAsia="zh-CN" w:bidi="ar"/>
              </w:rPr>
            </w:pPr>
            <w:r>
              <w:rPr>
                <w:rFonts w:hint="eastAsia" w:asciiTheme="minorEastAsia" w:hAnsiTheme="minorEastAsia" w:eastAsiaTheme="minorEastAsia" w:cstheme="minorEastAsia"/>
                <w:color w:val="auto"/>
                <w:spacing w:val="0"/>
                <w:w w:val="100"/>
                <w:kern w:val="0"/>
                <w:position w:val="0"/>
                <w:sz w:val="24"/>
                <w:szCs w:val="24"/>
                <w:highlight w:val="none"/>
                <w:lang w:val="en-US" w:eastAsia="zh-CN" w:bidi="ar"/>
              </w:rPr>
              <w:t>2、项目工期：</w:t>
            </w:r>
            <w:r>
              <w:rPr>
                <w:rFonts w:hint="eastAsia" w:asciiTheme="minorEastAsia" w:hAnsiTheme="minorEastAsia" w:eastAsiaTheme="minorEastAsia" w:cstheme="minorEastAsia"/>
                <w:color w:val="auto"/>
                <w:sz w:val="24"/>
                <w:szCs w:val="24"/>
                <w:highlight w:val="none"/>
              </w:rPr>
              <w:t>合同签订后</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天（日历日）</w:t>
            </w:r>
            <w:r>
              <w:rPr>
                <w:rFonts w:hint="eastAsia" w:asciiTheme="minorEastAsia" w:hAnsiTheme="minorEastAsia" w:eastAsiaTheme="minorEastAsia" w:cstheme="minorEastAsia"/>
                <w:color w:val="auto"/>
                <w:sz w:val="24"/>
                <w:szCs w:val="24"/>
                <w:highlight w:val="none"/>
                <w:lang w:eastAsia="zh-CN"/>
              </w:rPr>
              <w:t>，计划开、竣工：</w:t>
            </w:r>
            <w:r>
              <w:rPr>
                <w:rFonts w:hint="eastAsia" w:asciiTheme="minorEastAsia" w:hAnsiTheme="minorEastAsia" w:eastAsiaTheme="minorEastAsia" w:cstheme="minorEastAsia"/>
                <w:color w:val="auto"/>
                <w:sz w:val="24"/>
                <w:szCs w:val="24"/>
                <w:highlight w:val="none"/>
                <w:lang w:val="en-US" w:eastAsia="zh-CN"/>
              </w:rPr>
              <w:t>2025年7月16日至2025年8月14日</w:t>
            </w:r>
            <w:r>
              <w:rPr>
                <w:rFonts w:hint="eastAsia" w:asciiTheme="minorEastAsia" w:hAnsiTheme="minorEastAsia" w:eastAsiaTheme="minorEastAsia" w:cstheme="minorEastAsia"/>
                <w:color w:val="auto"/>
                <w:spacing w:val="0"/>
                <w:w w:val="100"/>
                <w:kern w:val="0"/>
                <w:position w:val="0"/>
                <w:sz w:val="24"/>
                <w:szCs w:val="24"/>
                <w:highlight w:val="none"/>
                <w:u w:val="none"/>
                <w:lang w:val="en-US" w:eastAsia="zh-CN" w:bidi="ar"/>
              </w:rPr>
              <w:t>（具体以双方实际签订合同为准）。</w:t>
            </w:r>
            <w:r>
              <w:rPr>
                <w:rFonts w:hint="eastAsia" w:asciiTheme="minorEastAsia" w:hAnsiTheme="minorEastAsia" w:eastAsiaTheme="minorEastAsia" w:cstheme="minorEastAsia"/>
                <w:color w:val="auto"/>
                <w:spacing w:val="0"/>
                <w:w w:val="100"/>
                <w:kern w:val="0"/>
                <w:position w:val="0"/>
                <w:sz w:val="24"/>
                <w:szCs w:val="24"/>
                <w:highlight w:val="none"/>
                <w:lang w:val="en-US" w:eastAsia="zh-CN" w:bidi="ar"/>
              </w:rPr>
              <w:t xml:space="preserve">   </w:t>
            </w:r>
            <w:bookmarkStart w:id="424" w:name="_GoBack"/>
            <w:bookmarkEnd w:id="424"/>
            <w:r>
              <w:rPr>
                <w:rFonts w:hint="eastAsia" w:asciiTheme="minorEastAsia" w:hAnsiTheme="minorEastAsia" w:eastAsiaTheme="minorEastAsia" w:cstheme="minorEastAsia"/>
                <w:color w:val="auto"/>
                <w:spacing w:val="0"/>
                <w:w w:val="100"/>
                <w:kern w:val="0"/>
                <w:position w:val="0"/>
                <w:sz w:val="24"/>
                <w:szCs w:val="24"/>
                <w:highlight w:val="none"/>
                <w:lang w:val="en-US" w:eastAsia="zh-CN" w:bidi="ar"/>
              </w:rPr>
              <w:t xml:space="preserve">  </w:t>
            </w:r>
          </w:p>
          <w:p w14:paraId="7D46B0D3">
            <w:pPr>
              <w:spacing w:line="240" w:lineRule="atLeast"/>
              <w:outlineLvl w:val="9"/>
              <w:rPr>
                <w:rFonts w:hint="eastAsia" w:asciiTheme="minorEastAsia" w:hAnsiTheme="minorEastAsia" w:eastAsiaTheme="minorEastAsia" w:cstheme="minorEastAsia"/>
                <w:color w:val="auto"/>
                <w:spacing w:val="0"/>
                <w:w w:val="100"/>
                <w:kern w:val="0"/>
                <w:position w:val="0"/>
                <w:sz w:val="24"/>
                <w:szCs w:val="24"/>
                <w:highlight w:val="none"/>
                <w:lang w:val="en-US" w:eastAsia="zh-CN" w:bidi="ar"/>
              </w:rPr>
            </w:pPr>
            <w:r>
              <w:rPr>
                <w:rFonts w:hint="eastAsia" w:asciiTheme="minorEastAsia" w:hAnsiTheme="minorEastAsia" w:eastAsiaTheme="minorEastAsia" w:cstheme="minorEastAsia"/>
                <w:color w:val="auto"/>
                <w:spacing w:val="0"/>
                <w:w w:val="100"/>
                <w:kern w:val="0"/>
                <w:position w:val="0"/>
                <w:sz w:val="24"/>
                <w:szCs w:val="24"/>
                <w:highlight w:val="none"/>
                <w:lang w:val="en-US" w:eastAsia="zh-CN" w:bidi="ar"/>
              </w:rPr>
              <w:t>项目地点：疏勒县良种繁育场种畜二队</w:t>
            </w:r>
          </w:p>
          <w:p w14:paraId="5614C242">
            <w:pPr>
              <w:spacing w:line="240" w:lineRule="atLeast"/>
              <w:outlineLvl w:val="9"/>
              <w:rPr>
                <w:rFonts w:hint="eastAsia" w:asciiTheme="minorEastAsia" w:hAnsiTheme="minorEastAsia" w:eastAsiaTheme="minorEastAsia" w:cstheme="minorEastAsia"/>
                <w:color w:val="auto"/>
                <w:spacing w:val="0"/>
                <w:w w:val="100"/>
                <w:kern w:val="0"/>
                <w:position w:val="0"/>
                <w:sz w:val="24"/>
                <w:szCs w:val="24"/>
                <w:highlight w:val="none"/>
                <w:lang w:val="en-US" w:eastAsia="zh-CN" w:bidi="ar"/>
              </w:rPr>
            </w:pPr>
            <w:r>
              <w:rPr>
                <w:rFonts w:hint="eastAsia" w:asciiTheme="minorEastAsia" w:hAnsiTheme="minorEastAsia" w:eastAsiaTheme="minorEastAsia" w:cstheme="minorEastAsia"/>
                <w:color w:val="auto"/>
                <w:spacing w:val="0"/>
                <w:w w:val="100"/>
                <w:kern w:val="0"/>
                <w:position w:val="0"/>
                <w:sz w:val="24"/>
                <w:szCs w:val="24"/>
                <w:highlight w:val="none"/>
                <w:lang w:val="en-US" w:eastAsia="zh-CN" w:bidi="ar"/>
              </w:rPr>
              <w:t>项目质量标准：合格。</w:t>
            </w:r>
          </w:p>
          <w:p w14:paraId="0FE63E69">
            <w:pPr>
              <w:spacing w:line="240" w:lineRule="atLeast"/>
              <w:rPr>
                <w:rFonts w:hint="eastAsia" w:ascii="宋体" w:hAnsi="宋体" w:eastAsia="宋体" w:cs="宋体"/>
                <w:color w:val="auto"/>
                <w:spacing w:val="0"/>
                <w:w w:val="100"/>
                <w:kern w:val="0"/>
                <w:position w:val="0"/>
                <w:sz w:val="24"/>
                <w:szCs w:val="24"/>
                <w:highlight w:val="none"/>
                <w:lang w:val="en-US" w:eastAsia="zh-CN" w:bidi="ar"/>
              </w:rPr>
            </w:pPr>
            <w:r>
              <w:rPr>
                <w:rFonts w:hint="eastAsia" w:ascii="宋体" w:hAnsi="宋体" w:eastAsia="宋体" w:cs="宋体"/>
                <w:color w:val="auto"/>
                <w:spacing w:val="0"/>
                <w:w w:val="100"/>
                <w:kern w:val="0"/>
                <w:position w:val="0"/>
                <w:sz w:val="24"/>
                <w:szCs w:val="24"/>
                <w:highlight w:val="none"/>
                <w:lang w:val="en-US" w:eastAsia="zh-CN" w:bidi="ar"/>
              </w:rPr>
              <w:t>3、除不可抗力外，如果乙方没有按照约定的期限、地点和方式完成采购内容，那么甲方可要求乙方支付违约金，违约金按</w:t>
            </w:r>
            <w:r>
              <w:rPr>
                <w:rFonts w:hint="eastAsia" w:ascii="宋体" w:hAnsi="宋体" w:eastAsia="宋体" w:cs="宋体"/>
                <w:color w:val="auto"/>
                <w:spacing w:val="0"/>
                <w:w w:val="100"/>
                <w:kern w:val="0"/>
                <w:position w:val="0"/>
                <w:sz w:val="24"/>
                <w:szCs w:val="24"/>
                <w:highlight w:val="none"/>
                <w:u w:val="single"/>
                <w:lang w:val="en-US" w:eastAsia="zh-CN" w:bidi="ar"/>
              </w:rPr>
              <w:t xml:space="preserve"> 2000元/天 </w:t>
            </w:r>
            <w:r>
              <w:rPr>
                <w:rFonts w:hint="eastAsia" w:ascii="宋体" w:hAnsi="宋体" w:eastAsia="宋体" w:cs="宋体"/>
                <w:color w:val="auto"/>
                <w:spacing w:val="0"/>
                <w:w w:val="100"/>
                <w:kern w:val="0"/>
                <w:position w:val="0"/>
                <w:sz w:val="24"/>
                <w:szCs w:val="24"/>
                <w:highlight w:val="none"/>
                <w:lang w:val="en-US" w:eastAsia="zh-CN" w:bidi="ar"/>
              </w:rPr>
              <w:t>计算，最高限额为本合同总价的</w:t>
            </w:r>
            <w:r>
              <w:rPr>
                <w:rFonts w:hint="eastAsia" w:ascii="宋体" w:hAnsi="宋体" w:eastAsia="宋体" w:cs="宋体"/>
                <w:color w:val="auto"/>
                <w:spacing w:val="0"/>
                <w:w w:val="100"/>
                <w:kern w:val="0"/>
                <w:position w:val="0"/>
                <w:sz w:val="24"/>
                <w:szCs w:val="24"/>
                <w:highlight w:val="none"/>
                <w:u w:val="single"/>
                <w:lang w:val="en-US" w:eastAsia="zh-CN" w:bidi="ar"/>
              </w:rPr>
              <w:t xml:space="preserve"> 10 </w:t>
            </w:r>
            <w:r>
              <w:rPr>
                <w:rFonts w:hint="eastAsia" w:ascii="宋体" w:hAnsi="宋体" w:eastAsia="宋体" w:cs="宋体"/>
                <w:color w:val="auto"/>
                <w:spacing w:val="0"/>
                <w:w w:val="100"/>
                <w:kern w:val="0"/>
                <w:position w:val="0"/>
                <w:sz w:val="24"/>
                <w:szCs w:val="24"/>
                <w:highlight w:val="none"/>
                <w:lang w:val="en-US" w:eastAsia="zh-CN" w:bidi="ar"/>
              </w:rPr>
              <w:t>%；迟延的违约金计算数额达到前述最高限额之日起，甲方有权在要求乙方支付违约金的同时，书面通知乙方解除本合同；</w:t>
            </w:r>
          </w:p>
          <w:p w14:paraId="05685D62">
            <w:pPr>
              <w:spacing w:line="240" w:lineRule="atLeast"/>
              <w:rPr>
                <w:rFonts w:hint="eastAsia" w:ascii="宋体" w:hAnsi="宋体" w:eastAsia="宋体" w:cs="宋体"/>
                <w:color w:val="auto"/>
                <w:spacing w:val="0"/>
                <w:w w:val="100"/>
                <w:kern w:val="0"/>
                <w:position w:val="0"/>
                <w:sz w:val="24"/>
                <w:szCs w:val="24"/>
                <w:highlight w:val="none"/>
                <w:lang w:val="en-US" w:eastAsia="zh-CN" w:bidi="ar"/>
              </w:rPr>
            </w:pPr>
            <w:r>
              <w:rPr>
                <w:rFonts w:hint="eastAsia" w:ascii="宋体" w:hAnsi="宋体" w:eastAsia="宋体" w:cs="宋体"/>
                <w:color w:val="auto"/>
                <w:spacing w:val="0"/>
                <w:w w:val="100"/>
                <w:kern w:val="0"/>
                <w:position w:val="0"/>
                <w:sz w:val="24"/>
                <w:szCs w:val="24"/>
                <w:highlight w:val="none"/>
                <w:lang w:val="en-US" w:eastAsia="zh-CN" w:bidi="ar"/>
              </w:rPr>
              <w:t>4、签订合同前请中标单位向劳动和社会保障局缴纳农民工工资保证金。中标通知书发出之日起30日内签订合同。</w:t>
            </w:r>
          </w:p>
          <w:p w14:paraId="554B63DA">
            <w:pPr>
              <w:spacing w:line="240" w:lineRule="atLeast"/>
              <w:rPr>
                <w:rFonts w:hint="eastAsia" w:ascii="宋体" w:hAnsi="宋体" w:eastAsia="宋体" w:cs="宋体"/>
                <w:color w:val="auto"/>
                <w:spacing w:val="0"/>
                <w:w w:val="100"/>
                <w:kern w:val="0"/>
                <w:position w:val="0"/>
                <w:sz w:val="24"/>
                <w:szCs w:val="24"/>
                <w:highlight w:val="none"/>
                <w:lang w:val="en-US" w:eastAsia="zh-CN" w:bidi="ar"/>
              </w:rPr>
            </w:pPr>
            <w:r>
              <w:rPr>
                <w:rFonts w:hint="eastAsia" w:ascii="宋体" w:hAnsi="宋体" w:eastAsia="宋体" w:cs="宋体"/>
                <w:color w:val="auto"/>
                <w:spacing w:val="0"/>
                <w:w w:val="100"/>
                <w:kern w:val="0"/>
                <w:position w:val="0"/>
                <w:sz w:val="24"/>
                <w:szCs w:val="24"/>
                <w:highlight w:val="none"/>
                <w:lang w:val="en-US" w:eastAsia="zh-CN" w:bidi="ar"/>
              </w:rPr>
              <w:t>承包人在雇用农民工时（普通农民工），优先考虑使用当地农民工。本工程使用本地户籍劳动力就业比例不低于用工总数的70%，其中，普通基础工作岗位使用本地户籍劳动力就业比例不低于普工总数的90%。 中标单位必须购买人员意外保险。</w:t>
            </w:r>
          </w:p>
          <w:p w14:paraId="7185C9BA">
            <w:pPr>
              <w:spacing w:line="240" w:lineRule="atLeast"/>
              <w:rPr>
                <w:rFonts w:hint="eastAsia" w:ascii="宋体" w:hAnsi="宋体" w:eastAsia="宋体" w:cs="宋体"/>
                <w:color w:val="auto"/>
                <w:spacing w:val="0"/>
                <w:w w:val="100"/>
                <w:kern w:val="0"/>
                <w:position w:val="0"/>
                <w:sz w:val="24"/>
                <w:szCs w:val="24"/>
                <w:highlight w:val="none"/>
                <w:lang w:val="en-US" w:eastAsia="zh-CN" w:bidi="ar"/>
              </w:rPr>
            </w:pPr>
            <w:r>
              <w:rPr>
                <w:rFonts w:hint="eastAsia" w:ascii="宋体" w:hAnsi="宋体" w:eastAsia="宋体" w:cs="宋体"/>
                <w:color w:val="auto"/>
                <w:spacing w:val="0"/>
                <w:w w:val="100"/>
                <w:kern w:val="0"/>
                <w:position w:val="0"/>
                <w:sz w:val="24"/>
                <w:szCs w:val="24"/>
                <w:highlight w:val="none"/>
                <w:lang w:val="en-US" w:eastAsia="zh-CN" w:bidi="ar"/>
              </w:rPr>
              <w:t>承包企业实施建筑工人实名制管理条款(新建建[2018]14号《关于推进建筑工人实名制管理工作的通知》</w:t>
            </w:r>
          </w:p>
          <w:p w14:paraId="64CAC4A5">
            <w:pPr>
              <w:spacing w:line="240" w:lineRule="atLeast"/>
              <w:rPr>
                <w:rFonts w:hint="eastAsia" w:ascii="宋体" w:hAnsi="宋体" w:eastAsia="宋体" w:cs="宋体"/>
                <w:color w:val="auto"/>
                <w:spacing w:val="0"/>
                <w:w w:val="100"/>
                <w:kern w:val="0"/>
                <w:position w:val="0"/>
                <w:sz w:val="24"/>
                <w:szCs w:val="24"/>
                <w:highlight w:val="none"/>
                <w:lang w:val="en-US" w:eastAsia="zh-CN" w:bidi="ar"/>
              </w:rPr>
            </w:pPr>
            <w:r>
              <w:rPr>
                <w:rFonts w:hint="eastAsia" w:ascii="宋体" w:hAnsi="宋体" w:eastAsia="宋体" w:cs="宋体"/>
                <w:color w:val="auto"/>
                <w:spacing w:val="0"/>
                <w:w w:val="100"/>
                <w:kern w:val="0"/>
                <w:position w:val="0"/>
                <w:sz w:val="24"/>
                <w:szCs w:val="24"/>
                <w:highlight w:val="none"/>
                <w:lang w:val="en-US" w:eastAsia="zh-CN" w:bidi="ar"/>
              </w:rPr>
              <w:t>建立农民工工资专户：建设工程承包企业（以下简称建筑施工企业）要按照《关于印发&lt;新疆维吾尔自治区预防和制止拖欠建筑企业民工工资的若干规定&gt;的通知》(新政办发[2003]80号)文件要求，在银行建立“农民工工资发放专户”。建设单位按照工程项目在开户银行单独设立人工费支付专户，并根据工程承包企业提供的用工花名册，在人工费支付专户下分设民工工资个人帐户，银行制发工资卡，民工本人凭工资卡按月领取工资，专款专用，银行对专户进行监管，不得挪作它用。</w:t>
            </w:r>
          </w:p>
          <w:p w14:paraId="30545062">
            <w:pPr>
              <w:spacing w:line="240" w:lineRule="atLeast"/>
              <w:ind w:left="480" w:hanging="480" w:hangingChars="200"/>
              <w:outlineLvl w:val="9"/>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color w:val="auto"/>
                <w:spacing w:val="0"/>
                <w:w w:val="100"/>
                <w:kern w:val="0"/>
                <w:position w:val="0"/>
                <w:sz w:val="24"/>
                <w:szCs w:val="24"/>
                <w:highlight w:val="none"/>
                <w:lang w:val="en-US" w:eastAsia="zh-CN" w:bidi="ar"/>
              </w:rPr>
              <w:t>5、</w:t>
            </w:r>
            <w:r>
              <w:rPr>
                <w:rFonts w:hint="eastAsia" w:asciiTheme="minorEastAsia" w:hAnsiTheme="minorEastAsia" w:eastAsiaTheme="minorEastAsia" w:cstheme="minorEastAsia"/>
                <w:b/>
                <w:bCs/>
                <w:color w:val="auto"/>
                <w:sz w:val="24"/>
                <w:highlight w:val="none"/>
              </w:rPr>
              <w:t>磋商文件澄清或修改发出的形式</w:t>
            </w:r>
            <w:r>
              <w:rPr>
                <w:rFonts w:hint="eastAsia" w:asciiTheme="minorEastAsia" w:hAnsiTheme="minorEastAsia" w:eastAsiaTheme="minorEastAsia" w:cstheme="minorEastAsia"/>
                <w:b/>
                <w:bCs/>
                <w:color w:val="auto"/>
                <w:sz w:val="24"/>
                <w:highlight w:val="none"/>
                <w:lang w:eastAsia="zh-CN"/>
              </w:rPr>
              <w:t>：在原公告发布媒体上发布澄清或修改公告，</w:t>
            </w:r>
          </w:p>
          <w:p w14:paraId="58320507">
            <w:pPr>
              <w:spacing w:line="240" w:lineRule="atLeast"/>
              <w:ind w:left="240" w:hanging="241" w:hangingChars="100"/>
              <w:outlineLvl w:val="9"/>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lang w:eastAsia="zh-CN"/>
              </w:rPr>
              <w:t>供应商在提交响应文件截止时间前须自行查看在原公告发布媒体上发布的澄清</w:t>
            </w:r>
          </w:p>
          <w:p w14:paraId="73BE1406">
            <w:pPr>
              <w:spacing w:line="240" w:lineRule="atLeast"/>
              <w:ind w:left="240" w:hanging="241" w:hangingChars="100"/>
              <w:outlineLvl w:val="9"/>
              <w:rPr>
                <w:rFonts w:hint="eastAsia" w:asciiTheme="minorEastAsia" w:hAnsiTheme="minorEastAsia" w:eastAsiaTheme="minorEastAsia" w:cstheme="minorEastAsia"/>
                <w:color w:val="auto"/>
                <w:spacing w:val="0"/>
                <w:w w:val="100"/>
                <w:kern w:val="0"/>
                <w:position w:val="0"/>
                <w:sz w:val="24"/>
                <w:szCs w:val="24"/>
                <w:highlight w:val="none"/>
                <w:lang w:val="en-US" w:eastAsia="zh-CN" w:bidi="ar"/>
              </w:rPr>
            </w:pPr>
            <w:r>
              <w:rPr>
                <w:rFonts w:hint="eastAsia" w:asciiTheme="minorEastAsia" w:hAnsiTheme="minorEastAsia" w:eastAsiaTheme="minorEastAsia" w:cstheme="minorEastAsia"/>
                <w:b/>
                <w:bCs/>
                <w:color w:val="auto"/>
                <w:sz w:val="24"/>
                <w:highlight w:val="none"/>
                <w:lang w:eastAsia="zh-CN"/>
              </w:rPr>
              <w:t>或修改公告，因供应商未及时查看而造成的后果自负。</w:t>
            </w:r>
          </w:p>
        </w:tc>
      </w:tr>
      <w:tr w14:paraId="4F719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2" w:hRule="atLeast"/>
          <w:jc w:val="center"/>
        </w:trPr>
        <w:tc>
          <w:tcPr>
            <w:tcW w:w="1331" w:type="dxa"/>
            <w:noWrap w:val="0"/>
            <w:vAlign w:val="center"/>
          </w:tcPr>
          <w:p w14:paraId="24B821EB">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outlineLvl w:val="9"/>
              <w:rPr>
                <w:rFonts w:hint="eastAsia" w:asciiTheme="minorEastAsia" w:hAnsiTheme="minorEastAsia" w:eastAsiaTheme="minorEastAsia" w:cstheme="minorEastAsia"/>
                <w:color w:val="auto"/>
                <w:sz w:val="24"/>
                <w:highlight w:val="none"/>
              </w:rPr>
            </w:pPr>
          </w:p>
        </w:tc>
        <w:tc>
          <w:tcPr>
            <w:tcW w:w="8375" w:type="dxa"/>
            <w:noWrap w:val="0"/>
            <w:vAlign w:val="center"/>
          </w:tcPr>
          <w:p w14:paraId="53B67F3D">
            <w:pPr>
              <w:spacing w:line="240" w:lineRule="atLeast"/>
              <w:outlineLvl w:val="9"/>
              <w:rPr>
                <w:rFonts w:hint="eastAsia" w:asciiTheme="minorEastAsia" w:hAnsiTheme="minorEastAsia" w:eastAsiaTheme="minorEastAsia" w:cstheme="minorEastAsia"/>
                <w:b/>
                <w:color w:val="auto"/>
                <w:spacing w:val="0"/>
                <w:w w:val="100"/>
                <w:kern w:val="0"/>
                <w:position w:val="0"/>
                <w:sz w:val="24"/>
                <w:szCs w:val="24"/>
                <w:highlight w:val="none"/>
                <w:lang w:val="en-US" w:eastAsia="zh-CN" w:bidi="ar"/>
              </w:rPr>
            </w:pPr>
            <w:r>
              <w:rPr>
                <w:rFonts w:hint="eastAsia" w:asciiTheme="minorEastAsia" w:hAnsiTheme="minorEastAsia" w:eastAsiaTheme="minorEastAsia" w:cstheme="minorEastAsia"/>
                <w:b/>
                <w:bCs/>
                <w:color w:val="auto"/>
                <w:spacing w:val="0"/>
                <w:w w:val="100"/>
                <w:position w:val="0"/>
                <w:sz w:val="24"/>
                <w:szCs w:val="24"/>
                <w:highlight w:val="none"/>
              </w:rPr>
              <w:t>本</w:t>
            </w:r>
            <w:r>
              <w:rPr>
                <w:rFonts w:hint="eastAsia" w:asciiTheme="minorEastAsia" w:hAnsiTheme="minorEastAsia" w:eastAsiaTheme="minorEastAsia" w:cstheme="minorEastAsia"/>
                <w:b/>
                <w:bCs/>
                <w:color w:val="auto"/>
                <w:spacing w:val="0"/>
                <w:w w:val="100"/>
                <w:position w:val="0"/>
                <w:sz w:val="24"/>
                <w:szCs w:val="24"/>
                <w:highlight w:val="none"/>
                <w:lang w:val="en-US" w:eastAsia="zh-CN"/>
              </w:rPr>
              <w:t>磋商</w:t>
            </w:r>
            <w:r>
              <w:rPr>
                <w:rFonts w:hint="eastAsia" w:asciiTheme="minorEastAsia" w:hAnsiTheme="minorEastAsia" w:eastAsiaTheme="minorEastAsia" w:cstheme="minorEastAsia"/>
                <w:b/>
                <w:bCs/>
                <w:color w:val="auto"/>
                <w:spacing w:val="0"/>
                <w:w w:val="100"/>
                <w:position w:val="0"/>
                <w:sz w:val="24"/>
                <w:szCs w:val="24"/>
                <w:highlight w:val="none"/>
              </w:rPr>
              <w:t>文件的解释权属于采购人。</w:t>
            </w:r>
            <w:r>
              <w:rPr>
                <w:rFonts w:hint="eastAsia" w:asciiTheme="minorEastAsia" w:hAnsiTheme="minorEastAsia" w:eastAsiaTheme="minorEastAsia" w:cstheme="minorEastAsia"/>
                <w:b/>
                <w:bCs/>
                <w:color w:val="auto"/>
                <w:sz w:val="24"/>
                <w:szCs w:val="24"/>
                <w:highlight w:val="none"/>
                <w:lang w:val="en-US" w:eastAsia="zh-CN"/>
              </w:rPr>
              <w:t>项目执行过程中，所运用到的规范性文件均以国家或自治区颁布的最新文件为准。</w:t>
            </w:r>
          </w:p>
        </w:tc>
      </w:tr>
    </w:tbl>
    <w:p w14:paraId="469B72B0">
      <w:pPr>
        <w:jc w:val="center"/>
        <w:outlineLvl w:val="9"/>
        <w:rPr>
          <w:rFonts w:hint="eastAsia"/>
          <w:highlight w:val="none"/>
        </w:rPr>
        <w:sectPr>
          <w:footerReference r:id="rId9" w:type="default"/>
          <w:headerReference r:id="rId8" w:type="even"/>
          <w:footerReference r:id="rId10" w:type="even"/>
          <w:pgSz w:w="11906" w:h="16838"/>
          <w:pgMar w:top="1440" w:right="1417" w:bottom="1440" w:left="1417" w:header="851" w:footer="992" w:gutter="0"/>
          <w:pgNumType w:fmt="decimal"/>
          <w:cols w:space="720" w:num="1"/>
          <w:docGrid w:linePitch="312" w:charSpace="0"/>
        </w:sectPr>
      </w:pPr>
    </w:p>
    <w:p w14:paraId="4160BDE9">
      <w:pPr>
        <w:pStyle w:val="2"/>
        <w:numPr>
          <w:ilvl w:val="0"/>
          <w:numId w:val="0"/>
        </w:numPr>
        <w:tabs>
          <w:tab w:val="left" w:pos="0"/>
        </w:tabs>
        <w:spacing w:before="0" w:after="0" w:line="240" w:lineRule="atLeast"/>
        <w:ind w:leftChars="0"/>
        <w:jc w:val="center"/>
        <w:rPr>
          <w:rFonts w:hint="eastAsia" w:asciiTheme="minorEastAsia" w:hAnsiTheme="minorEastAsia" w:eastAsiaTheme="minorEastAsia" w:cstheme="minorEastAsia"/>
          <w:color w:val="auto"/>
          <w:highlight w:val="none"/>
        </w:rPr>
      </w:pPr>
      <w:bookmarkStart w:id="354" w:name="_Toc16938"/>
      <w:bookmarkStart w:id="355" w:name="_Toc4753"/>
      <w:bookmarkStart w:id="356" w:name="_Toc10695"/>
      <w:bookmarkStart w:id="357" w:name="_Toc219175638"/>
      <w:bookmarkStart w:id="358" w:name="_Toc31550"/>
      <w:bookmarkStart w:id="359" w:name="_Toc216582825"/>
      <w:bookmarkStart w:id="360" w:name="_Toc218935354"/>
      <w:bookmarkStart w:id="361" w:name="_Toc518923126"/>
      <w:bookmarkStart w:id="362" w:name="_Toc4879"/>
      <w:bookmarkStart w:id="363" w:name="_Toc507399906"/>
      <w:bookmarkStart w:id="364" w:name="_Toc512937852"/>
      <w:r>
        <w:rPr>
          <w:rFonts w:hint="eastAsia" w:asciiTheme="minorEastAsia" w:hAnsiTheme="minorEastAsia" w:eastAsiaTheme="minorEastAsia" w:cstheme="minorEastAsia"/>
          <w:color w:val="auto"/>
          <w:highlight w:val="none"/>
          <w:lang w:val="en-US" w:eastAsia="zh-CN"/>
        </w:rPr>
        <w:t>第5章   采购</w:t>
      </w:r>
      <w:r>
        <w:rPr>
          <w:rFonts w:hint="eastAsia" w:asciiTheme="minorEastAsia" w:hAnsiTheme="minorEastAsia" w:eastAsiaTheme="minorEastAsia" w:cstheme="minorEastAsia"/>
          <w:color w:val="auto"/>
          <w:highlight w:val="none"/>
        </w:rPr>
        <w:t>需求</w:t>
      </w:r>
      <w:bookmarkEnd w:id="354"/>
      <w:bookmarkEnd w:id="355"/>
      <w:bookmarkEnd w:id="356"/>
      <w:bookmarkEnd w:id="357"/>
      <w:bookmarkEnd w:id="358"/>
      <w:bookmarkEnd w:id="359"/>
      <w:bookmarkEnd w:id="360"/>
      <w:bookmarkEnd w:id="361"/>
      <w:bookmarkEnd w:id="362"/>
      <w:bookmarkEnd w:id="363"/>
    </w:p>
    <w:bookmarkEnd w:id="364"/>
    <w:p w14:paraId="7C9E8AB0">
      <w:pPr>
        <w:rPr>
          <w:rFonts w:hint="eastAsia"/>
          <w:highlight w:val="none"/>
          <w:lang w:val="en-US" w:eastAsia="zh-CN"/>
        </w:rPr>
      </w:pPr>
    </w:p>
    <w:p w14:paraId="3A439A56">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工程概况：</w:t>
      </w:r>
    </w:p>
    <w:p w14:paraId="14237DFB">
      <w:pPr>
        <w:keepNext w:val="0"/>
        <w:keepLines w:val="0"/>
        <w:pageBreakBefore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本工程为</w:t>
      </w:r>
      <w:r>
        <w:rPr>
          <w:rFonts w:hint="eastAsia" w:asciiTheme="minorEastAsia" w:hAnsiTheme="minorEastAsia" w:eastAsiaTheme="minorEastAsia" w:cstheme="minorEastAsia"/>
          <w:color w:val="auto"/>
          <w:sz w:val="24"/>
          <w:szCs w:val="24"/>
          <w:highlight w:val="none"/>
          <w:lang w:eastAsia="zh-CN"/>
        </w:rPr>
        <w:t>疏勒县良种繁育场种畜二队路面便化工程项目，建设内容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改建良种繁育场种畜二队路面硬化面积6335平方米，路面检查井3座，混凝土涵管8米。</w:t>
      </w:r>
      <w:r>
        <w:rPr>
          <w:rFonts w:hint="eastAsia" w:asciiTheme="minorEastAsia" w:hAnsiTheme="minorEastAsia" w:eastAsiaTheme="minorEastAsia" w:cstheme="minorEastAsia"/>
          <w:color w:val="auto"/>
          <w:sz w:val="24"/>
          <w:szCs w:val="24"/>
          <w:highlight w:val="none"/>
          <w:lang w:val="en-US" w:eastAsia="zh-CN"/>
        </w:rPr>
        <w:t>（本工程的工程量清单及施工图纸范围内的全部工作内容）。</w:t>
      </w:r>
    </w:p>
    <w:tbl>
      <w:tblPr>
        <w:tblStyle w:val="25"/>
        <w:tblW w:w="93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0"/>
        <w:gridCol w:w="262"/>
        <w:gridCol w:w="222"/>
        <w:gridCol w:w="1067"/>
        <w:gridCol w:w="222"/>
        <w:gridCol w:w="1672"/>
        <w:gridCol w:w="222"/>
        <w:gridCol w:w="1260"/>
        <w:gridCol w:w="545"/>
        <w:gridCol w:w="453"/>
        <w:gridCol w:w="75"/>
        <w:gridCol w:w="300"/>
        <w:gridCol w:w="1048"/>
        <w:gridCol w:w="109"/>
        <w:gridCol w:w="923"/>
      </w:tblGrid>
      <w:tr w14:paraId="511B1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3" w:type="dxa"/>
          <w:trHeight w:val="675" w:hRule="atLeast"/>
        </w:trPr>
        <w:tc>
          <w:tcPr>
            <w:tcW w:w="8377" w:type="dxa"/>
            <w:gridSpan w:val="14"/>
            <w:tcBorders>
              <w:top w:val="nil"/>
              <w:left w:val="nil"/>
              <w:bottom w:val="nil"/>
              <w:right w:val="nil"/>
            </w:tcBorders>
            <w:shd w:val="clear" w:color="auto" w:fill="auto"/>
            <w:noWrap/>
            <w:vAlign w:val="center"/>
          </w:tcPr>
          <w:p w14:paraId="72F704C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投标报价汇总表(农村公路)</w:t>
            </w:r>
          </w:p>
        </w:tc>
      </w:tr>
      <w:tr w14:paraId="46986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3" w:type="dxa"/>
          <w:trHeight w:val="345" w:hRule="atLeast"/>
        </w:trPr>
        <w:tc>
          <w:tcPr>
            <w:tcW w:w="6392" w:type="dxa"/>
            <w:gridSpan w:val="9"/>
            <w:tcBorders>
              <w:top w:val="nil"/>
              <w:left w:val="nil"/>
              <w:bottom w:val="single" w:color="000000" w:sz="8" w:space="0"/>
              <w:right w:val="nil"/>
            </w:tcBorders>
            <w:shd w:val="clear" w:color="auto" w:fill="auto"/>
            <w:vAlign w:val="center"/>
          </w:tcPr>
          <w:p w14:paraId="07200AD7">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工程名称：疏勒县良种繁育场种畜二队路面便化工程项目</w:t>
            </w:r>
          </w:p>
        </w:tc>
        <w:tc>
          <w:tcPr>
            <w:tcW w:w="1985" w:type="dxa"/>
            <w:gridSpan w:val="5"/>
            <w:tcBorders>
              <w:top w:val="nil"/>
              <w:left w:val="nil"/>
              <w:bottom w:val="single" w:color="000000" w:sz="8" w:space="0"/>
              <w:right w:val="nil"/>
            </w:tcBorders>
            <w:shd w:val="clear" w:color="auto" w:fill="auto"/>
            <w:noWrap/>
            <w:vAlign w:val="center"/>
          </w:tcPr>
          <w:p w14:paraId="1B7F653C">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第1页 共1页</w:t>
            </w:r>
          </w:p>
        </w:tc>
      </w:tr>
      <w:tr w14:paraId="7578E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3" w:type="dxa"/>
          <w:trHeight w:val="694" w:hRule="atLeast"/>
        </w:trPr>
        <w:tc>
          <w:tcPr>
            <w:tcW w:w="92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4EA02EE7">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551"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8D8076F">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章次</w:t>
            </w:r>
          </w:p>
        </w:tc>
        <w:tc>
          <w:tcPr>
            <w:tcW w:w="4374" w:type="dxa"/>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3A216A71">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科目名称</w:t>
            </w:r>
          </w:p>
        </w:tc>
        <w:tc>
          <w:tcPr>
            <w:tcW w:w="1532" w:type="dxa"/>
            <w:gridSpan w:val="4"/>
            <w:tcBorders>
              <w:top w:val="single" w:color="000000" w:sz="8" w:space="0"/>
              <w:left w:val="single" w:color="000000" w:sz="4" w:space="0"/>
              <w:bottom w:val="single" w:color="000000" w:sz="4" w:space="0"/>
              <w:right w:val="single" w:color="000000" w:sz="8" w:space="0"/>
            </w:tcBorders>
            <w:shd w:val="clear" w:color="FFFFFF" w:fill="FFFFFF"/>
            <w:vAlign w:val="center"/>
          </w:tcPr>
          <w:p w14:paraId="135FC5F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w:t>
            </w:r>
          </w:p>
        </w:tc>
      </w:tr>
      <w:tr w14:paraId="15D7E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3" w:type="dxa"/>
          <w:trHeight w:val="355" w:hRule="atLeast"/>
        </w:trPr>
        <w:tc>
          <w:tcPr>
            <w:tcW w:w="9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393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D8D4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3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945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总则</w:t>
            </w:r>
          </w:p>
        </w:tc>
        <w:tc>
          <w:tcPr>
            <w:tcW w:w="153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37212A6C">
            <w:pPr>
              <w:jc w:val="right"/>
              <w:rPr>
                <w:rFonts w:hint="eastAsia" w:ascii="宋体" w:hAnsi="宋体" w:eastAsia="宋体" w:cs="宋体"/>
                <w:i w:val="0"/>
                <w:iCs w:val="0"/>
                <w:color w:val="000000"/>
                <w:sz w:val="21"/>
                <w:szCs w:val="21"/>
                <w:u w:val="none"/>
              </w:rPr>
            </w:pPr>
          </w:p>
        </w:tc>
      </w:tr>
      <w:tr w14:paraId="0BEBC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3" w:type="dxa"/>
          <w:trHeight w:val="340" w:hRule="atLeast"/>
        </w:trPr>
        <w:tc>
          <w:tcPr>
            <w:tcW w:w="9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250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821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43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FAA9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路基土石方</w:t>
            </w:r>
          </w:p>
        </w:tc>
        <w:tc>
          <w:tcPr>
            <w:tcW w:w="153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6A77F022">
            <w:pPr>
              <w:jc w:val="right"/>
              <w:rPr>
                <w:rFonts w:hint="eastAsia" w:ascii="宋体" w:hAnsi="宋体" w:eastAsia="宋体" w:cs="宋体"/>
                <w:i w:val="0"/>
                <w:iCs w:val="0"/>
                <w:color w:val="000000"/>
                <w:sz w:val="21"/>
                <w:szCs w:val="21"/>
                <w:u w:val="none"/>
              </w:rPr>
            </w:pPr>
          </w:p>
        </w:tc>
      </w:tr>
      <w:tr w14:paraId="0AE00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3" w:type="dxa"/>
          <w:trHeight w:val="355" w:hRule="atLeast"/>
        </w:trPr>
        <w:tc>
          <w:tcPr>
            <w:tcW w:w="9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199D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A0A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43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EC7F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路面</w:t>
            </w:r>
          </w:p>
        </w:tc>
        <w:tc>
          <w:tcPr>
            <w:tcW w:w="153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7266466B">
            <w:pPr>
              <w:jc w:val="right"/>
              <w:rPr>
                <w:rFonts w:hint="eastAsia" w:ascii="宋体" w:hAnsi="宋体" w:eastAsia="宋体" w:cs="宋体"/>
                <w:i w:val="0"/>
                <w:iCs w:val="0"/>
                <w:color w:val="000000"/>
                <w:sz w:val="21"/>
                <w:szCs w:val="21"/>
                <w:u w:val="none"/>
              </w:rPr>
            </w:pPr>
          </w:p>
        </w:tc>
      </w:tr>
      <w:tr w14:paraId="6061A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3" w:type="dxa"/>
          <w:trHeight w:val="355" w:hRule="atLeast"/>
        </w:trPr>
        <w:tc>
          <w:tcPr>
            <w:tcW w:w="9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FFC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5D0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43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573D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排水与涵洞</w:t>
            </w:r>
          </w:p>
        </w:tc>
        <w:tc>
          <w:tcPr>
            <w:tcW w:w="153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74E09FEA">
            <w:pPr>
              <w:jc w:val="right"/>
              <w:rPr>
                <w:rFonts w:hint="eastAsia" w:ascii="宋体" w:hAnsi="宋体" w:eastAsia="宋体" w:cs="宋体"/>
                <w:i w:val="0"/>
                <w:iCs w:val="0"/>
                <w:color w:val="000000"/>
                <w:sz w:val="21"/>
                <w:szCs w:val="21"/>
                <w:u w:val="none"/>
              </w:rPr>
            </w:pPr>
          </w:p>
        </w:tc>
      </w:tr>
      <w:tr w14:paraId="15C5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3" w:type="dxa"/>
          <w:trHeight w:val="340" w:hRule="atLeast"/>
        </w:trPr>
        <w:tc>
          <w:tcPr>
            <w:tcW w:w="9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676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FA6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第100章至第700章合计</w:t>
            </w:r>
          </w:p>
        </w:tc>
        <w:tc>
          <w:tcPr>
            <w:tcW w:w="153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65A3C3F2">
            <w:pPr>
              <w:jc w:val="right"/>
              <w:rPr>
                <w:rFonts w:hint="eastAsia" w:ascii="宋体" w:hAnsi="宋体" w:eastAsia="宋体" w:cs="宋体"/>
                <w:i w:val="0"/>
                <w:iCs w:val="0"/>
                <w:color w:val="000000"/>
                <w:sz w:val="21"/>
                <w:szCs w:val="21"/>
                <w:u w:val="none"/>
              </w:rPr>
            </w:pPr>
          </w:p>
        </w:tc>
      </w:tr>
      <w:tr w14:paraId="2E1A0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3" w:type="dxa"/>
          <w:trHeight w:val="355" w:hRule="atLeast"/>
        </w:trPr>
        <w:tc>
          <w:tcPr>
            <w:tcW w:w="9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C50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F31D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暂列金额(按清单合价金额的0%计列)</w:t>
            </w:r>
          </w:p>
        </w:tc>
        <w:tc>
          <w:tcPr>
            <w:tcW w:w="153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2B60E1D1">
            <w:pPr>
              <w:jc w:val="right"/>
              <w:rPr>
                <w:rFonts w:hint="eastAsia" w:ascii="宋体" w:hAnsi="宋体" w:eastAsia="宋体" w:cs="宋体"/>
                <w:i w:val="0"/>
                <w:iCs w:val="0"/>
                <w:color w:val="000000"/>
                <w:sz w:val="21"/>
                <w:szCs w:val="21"/>
                <w:u w:val="none"/>
              </w:rPr>
            </w:pPr>
          </w:p>
        </w:tc>
      </w:tr>
      <w:tr w14:paraId="46727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3" w:type="dxa"/>
          <w:trHeight w:val="340" w:hRule="atLeast"/>
        </w:trPr>
        <w:tc>
          <w:tcPr>
            <w:tcW w:w="9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6327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9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89C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投标报价</w:t>
            </w:r>
          </w:p>
        </w:tc>
        <w:tc>
          <w:tcPr>
            <w:tcW w:w="153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028ABF01">
            <w:pPr>
              <w:jc w:val="right"/>
              <w:rPr>
                <w:rFonts w:hint="eastAsia" w:ascii="宋体" w:hAnsi="宋体" w:eastAsia="宋体" w:cs="宋体"/>
                <w:i w:val="0"/>
                <w:iCs w:val="0"/>
                <w:color w:val="000000"/>
                <w:sz w:val="21"/>
                <w:szCs w:val="21"/>
                <w:u w:val="none"/>
              </w:rPr>
            </w:pPr>
          </w:p>
        </w:tc>
      </w:tr>
      <w:tr w14:paraId="1A8A7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3" w:type="dxa"/>
          <w:trHeight w:val="355" w:hRule="atLeast"/>
        </w:trPr>
        <w:tc>
          <w:tcPr>
            <w:tcW w:w="9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FB8D56">
            <w:pPr>
              <w:jc w:val="center"/>
              <w:rPr>
                <w:rFonts w:hint="eastAsia" w:ascii="宋体" w:hAnsi="宋体" w:eastAsia="宋体" w:cs="宋体"/>
                <w:i w:val="0"/>
                <w:iCs w:val="0"/>
                <w:color w:val="000000"/>
                <w:sz w:val="21"/>
                <w:szCs w:val="21"/>
                <w:u w:val="none"/>
              </w:rPr>
            </w:pPr>
          </w:p>
        </w:tc>
        <w:tc>
          <w:tcPr>
            <w:tcW w:w="1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562DA">
            <w:pPr>
              <w:jc w:val="center"/>
              <w:rPr>
                <w:rFonts w:hint="eastAsia" w:ascii="宋体" w:hAnsi="宋体" w:eastAsia="宋体" w:cs="宋体"/>
                <w:i w:val="0"/>
                <w:iCs w:val="0"/>
                <w:color w:val="000000"/>
                <w:sz w:val="21"/>
                <w:szCs w:val="21"/>
                <w:u w:val="none"/>
              </w:rPr>
            </w:pPr>
          </w:p>
        </w:tc>
        <w:tc>
          <w:tcPr>
            <w:tcW w:w="43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A8773B">
            <w:pPr>
              <w:jc w:val="center"/>
              <w:rPr>
                <w:rFonts w:hint="eastAsia" w:ascii="宋体" w:hAnsi="宋体" w:eastAsia="宋体" w:cs="宋体"/>
                <w:i w:val="0"/>
                <w:iCs w:val="0"/>
                <w:color w:val="000000"/>
                <w:sz w:val="21"/>
                <w:szCs w:val="21"/>
                <w:u w:val="none"/>
              </w:rPr>
            </w:pPr>
          </w:p>
        </w:tc>
        <w:tc>
          <w:tcPr>
            <w:tcW w:w="153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1ED6D438">
            <w:pPr>
              <w:jc w:val="right"/>
              <w:rPr>
                <w:rFonts w:hint="eastAsia" w:ascii="宋体" w:hAnsi="宋体" w:eastAsia="宋体" w:cs="宋体"/>
                <w:i w:val="0"/>
                <w:iCs w:val="0"/>
                <w:color w:val="000000"/>
                <w:sz w:val="21"/>
                <w:szCs w:val="21"/>
                <w:u w:val="none"/>
              </w:rPr>
            </w:pPr>
          </w:p>
        </w:tc>
      </w:tr>
      <w:tr w14:paraId="7FB2A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3" w:type="dxa"/>
          <w:trHeight w:val="340" w:hRule="atLeast"/>
        </w:trPr>
        <w:tc>
          <w:tcPr>
            <w:tcW w:w="9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9B5E0C">
            <w:pPr>
              <w:jc w:val="center"/>
              <w:rPr>
                <w:rFonts w:hint="eastAsia" w:ascii="宋体" w:hAnsi="宋体" w:eastAsia="宋体" w:cs="宋体"/>
                <w:i w:val="0"/>
                <w:iCs w:val="0"/>
                <w:color w:val="000000"/>
                <w:sz w:val="21"/>
                <w:szCs w:val="21"/>
                <w:u w:val="none"/>
              </w:rPr>
            </w:pPr>
          </w:p>
        </w:tc>
        <w:tc>
          <w:tcPr>
            <w:tcW w:w="1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2EF92">
            <w:pPr>
              <w:jc w:val="center"/>
              <w:rPr>
                <w:rFonts w:hint="eastAsia" w:ascii="宋体" w:hAnsi="宋体" w:eastAsia="宋体" w:cs="宋体"/>
                <w:i w:val="0"/>
                <w:iCs w:val="0"/>
                <w:color w:val="000000"/>
                <w:sz w:val="21"/>
                <w:szCs w:val="21"/>
                <w:u w:val="none"/>
              </w:rPr>
            </w:pPr>
          </w:p>
        </w:tc>
        <w:tc>
          <w:tcPr>
            <w:tcW w:w="43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F046EC">
            <w:pPr>
              <w:jc w:val="center"/>
              <w:rPr>
                <w:rFonts w:hint="eastAsia" w:ascii="宋体" w:hAnsi="宋体" w:eastAsia="宋体" w:cs="宋体"/>
                <w:i w:val="0"/>
                <w:iCs w:val="0"/>
                <w:color w:val="000000"/>
                <w:sz w:val="21"/>
                <w:szCs w:val="21"/>
                <w:u w:val="none"/>
              </w:rPr>
            </w:pPr>
          </w:p>
        </w:tc>
        <w:tc>
          <w:tcPr>
            <w:tcW w:w="153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0D012F9A">
            <w:pPr>
              <w:jc w:val="right"/>
              <w:rPr>
                <w:rFonts w:hint="eastAsia" w:ascii="宋体" w:hAnsi="宋体" w:eastAsia="宋体" w:cs="宋体"/>
                <w:i w:val="0"/>
                <w:iCs w:val="0"/>
                <w:color w:val="000000"/>
                <w:sz w:val="21"/>
                <w:szCs w:val="21"/>
                <w:u w:val="none"/>
              </w:rPr>
            </w:pPr>
          </w:p>
        </w:tc>
      </w:tr>
      <w:tr w14:paraId="51F9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3" w:type="dxa"/>
          <w:trHeight w:val="355" w:hRule="atLeast"/>
        </w:trPr>
        <w:tc>
          <w:tcPr>
            <w:tcW w:w="9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6C66FF">
            <w:pPr>
              <w:jc w:val="center"/>
              <w:rPr>
                <w:rFonts w:hint="eastAsia" w:ascii="宋体" w:hAnsi="宋体" w:eastAsia="宋体" w:cs="宋体"/>
                <w:i w:val="0"/>
                <w:iCs w:val="0"/>
                <w:color w:val="000000"/>
                <w:sz w:val="21"/>
                <w:szCs w:val="21"/>
                <w:u w:val="none"/>
              </w:rPr>
            </w:pPr>
          </w:p>
        </w:tc>
        <w:tc>
          <w:tcPr>
            <w:tcW w:w="1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215C3">
            <w:pPr>
              <w:jc w:val="center"/>
              <w:rPr>
                <w:rFonts w:hint="eastAsia" w:ascii="宋体" w:hAnsi="宋体" w:eastAsia="宋体" w:cs="宋体"/>
                <w:i w:val="0"/>
                <w:iCs w:val="0"/>
                <w:color w:val="000000"/>
                <w:sz w:val="21"/>
                <w:szCs w:val="21"/>
                <w:u w:val="none"/>
              </w:rPr>
            </w:pPr>
          </w:p>
        </w:tc>
        <w:tc>
          <w:tcPr>
            <w:tcW w:w="43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A0F313">
            <w:pPr>
              <w:jc w:val="center"/>
              <w:rPr>
                <w:rFonts w:hint="eastAsia" w:ascii="宋体" w:hAnsi="宋体" w:eastAsia="宋体" w:cs="宋体"/>
                <w:i w:val="0"/>
                <w:iCs w:val="0"/>
                <w:color w:val="000000"/>
                <w:sz w:val="21"/>
                <w:szCs w:val="21"/>
                <w:u w:val="none"/>
              </w:rPr>
            </w:pPr>
          </w:p>
        </w:tc>
        <w:tc>
          <w:tcPr>
            <w:tcW w:w="153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055EDDFE">
            <w:pPr>
              <w:jc w:val="right"/>
              <w:rPr>
                <w:rFonts w:hint="eastAsia" w:ascii="宋体" w:hAnsi="宋体" w:eastAsia="宋体" w:cs="宋体"/>
                <w:i w:val="0"/>
                <w:iCs w:val="0"/>
                <w:color w:val="000000"/>
                <w:sz w:val="21"/>
                <w:szCs w:val="21"/>
                <w:u w:val="none"/>
              </w:rPr>
            </w:pPr>
          </w:p>
        </w:tc>
      </w:tr>
      <w:tr w14:paraId="41FA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3" w:type="dxa"/>
          <w:trHeight w:val="355" w:hRule="atLeast"/>
        </w:trPr>
        <w:tc>
          <w:tcPr>
            <w:tcW w:w="9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C98202">
            <w:pPr>
              <w:jc w:val="center"/>
              <w:rPr>
                <w:rFonts w:hint="eastAsia" w:ascii="宋体" w:hAnsi="宋体" w:eastAsia="宋体" w:cs="宋体"/>
                <w:i w:val="0"/>
                <w:iCs w:val="0"/>
                <w:color w:val="000000"/>
                <w:sz w:val="21"/>
                <w:szCs w:val="21"/>
                <w:u w:val="none"/>
              </w:rPr>
            </w:pPr>
          </w:p>
        </w:tc>
        <w:tc>
          <w:tcPr>
            <w:tcW w:w="1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EDCE7E">
            <w:pPr>
              <w:jc w:val="center"/>
              <w:rPr>
                <w:rFonts w:hint="eastAsia" w:ascii="宋体" w:hAnsi="宋体" w:eastAsia="宋体" w:cs="宋体"/>
                <w:i w:val="0"/>
                <w:iCs w:val="0"/>
                <w:color w:val="000000"/>
                <w:sz w:val="21"/>
                <w:szCs w:val="21"/>
                <w:u w:val="none"/>
              </w:rPr>
            </w:pPr>
          </w:p>
        </w:tc>
        <w:tc>
          <w:tcPr>
            <w:tcW w:w="43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CFF032">
            <w:pPr>
              <w:jc w:val="center"/>
              <w:rPr>
                <w:rFonts w:hint="eastAsia" w:ascii="宋体" w:hAnsi="宋体" w:eastAsia="宋体" w:cs="宋体"/>
                <w:i w:val="0"/>
                <w:iCs w:val="0"/>
                <w:color w:val="000000"/>
                <w:sz w:val="21"/>
                <w:szCs w:val="21"/>
                <w:u w:val="none"/>
              </w:rPr>
            </w:pPr>
          </w:p>
        </w:tc>
        <w:tc>
          <w:tcPr>
            <w:tcW w:w="153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4B77FC0A">
            <w:pPr>
              <w:jc w:val="right"/>
              <w:rPr>
                <w:rFonts w:hint="eastAsia" w:ascii="宋体" w:hAnsi="宋体" w:eastAsia="宋体" w:cs="宋体"/>
                <w:i w:val="0"/>
                <w:iCs w:val="0"/>
                <w:color w:val="000000"/>
                <w:sz w:val="21"/>
                <w:szCs w:val="21"/>
                <w:u w:val="none"/>
              </w:rPr>
            </w:pPr>
          </w:p>
        </w:tc>
      </w:tr>
      <w:tr w14:paraId="4D738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3" w:type="dxa"/>
          <w:trHeight w:val="355" w:hRule="atLeast"/>
        </w:trPr>
        <w:tc>
          <w:tcPr>
            <w:tcW w:w="9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089B06">
            <w:pPr>
              <w:jc w:val="center"/>
              <w:rPr>
                <w:rFonts w:hint="eastAsia" w:ascii="宋体" w:hAnsi="宋体" w:eastAsia="宋体" w:cs="宋体"/>
                <w:i w:val="0"/>
                <w:iCs w:val="0"/>
                <w:color w:val="000000"/>
                <w:sz w:val="21"/>
                <w:szCs w:val="21"/>
                <w:u w:val="none"/>
              </w:rPr>
            </w:pPr>
          </w:p>
        </w:tc>
        <w:tc>
          <w:tcPr>
            <w:tcW w:w="1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BB360">
            <w:pPr>
              <w:jc w:val="center"/>
              <w:rPr>
                <w:rFonts w:hint="eastAsia" w:ascii="宋体" w:hAnsi="宋体" w:eastAsia="宋体" w:cs="宋体"/>
                <w:i w:val="0"/>
                <w:iCs w:val="0"/>
                <w:color w:val="000000"/>
                <w:sz w:val="21"/>
                <w:szCs w:val="21"/>
                <w:u w:val="none"/>
              </w:rPr>
            </w:pPr>
          </w:p>
        </w:tc>
        <w:tc>
          <w:tcPr>
            <w:tcW w:w="43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8D44DB">
            <w:pPr>
              <w:jc w:val="center"/>
              <w:rPr>
                <w:rFonts w:hint="eastAsia" w:ascii="宋体" w:hAnsi="宋体" w:eastAsia="宋体" w:cs="宋体"/>
                <w:i w:val="0"/>
                <w:iCs w:val="0"/>
                <w:color w:val="000000"/>
                <w:sz w:val="21"/>
                <w:szCs w:val="21"/>
                <w:u w:val="none"/>
              </w:rPr>
            </w:pPr>
          </w:p>
        </w:tc>
        <w:tc>
          <w:tcPr>
            <w:tcW w:w="153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1694816C">
            <w:pPr>
              <w:jc w:val="right"/>
              <w:rPr>
                <w:rFonts w:hint="eastAsia" w:ascii="宋体" w:hAnsi="宋体" w:eastAsia="宋体" w:cs="宋体"/>
                <w:i w:val="0"/>
                <w:iCs w:val="0"/>
                <w:color w:val="000000"/>
                <w:sz w:val="21"/>
                <w:szCs w:val="21"/>
                <w:u w:val="none"/>
              </w:rPr>
            </w:pPr>
          </w:p>
        </w:tc>
      </w:tr>
      <w:tr w14:paraId="70875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3" w:type="dxa"/>
          <w:trHeight w:val="340" w:hRule="atLeast"/>
        </w:trPr>
        <w:tc>
          <w:tcPr>
            <w:tcW w:w="9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0562CF">
            <w:pPr>
              <w:jc w:val="center"/>
              <w:rPr>
                <w:rFonts w:hint="eastAsia" w:ascii="宋体" w:hAnsi="宋体" w:eastAsia="宋体" w:cs="宋体"/>
                <w:i w:val="0"/>
                <w:iCs w:val="0"/>
                <w:color w:val="000000"/>
                <w:sz w:val="21"/>
                <w:szCs w:val="21"/>
                <w:u w:val="none"/>
              </w:rPr>
            </w:pPr>
          </w:p>
        </w:tc>
        <w:tc>
          <w:tcPr>
            <w:tcW w:w="1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7FFCB1">
            <w:pPr>
              <w:jc w:val="center"/>
              <w:rPr>
                <w:rFonts w:hint="eastAsia" w:ascii="宋体" w:hAnsi="宋体" w:eastAsia="宋体" w:cs="宋体"/>
                <w:i w:val="0"/>
                <w:iCs w:val="0"/>
                <w:color w:val="000000"/>
                <w:sz w:val="21"/>
                <w:szCs w:val="21"/>
                <w:u w:val="none"/>
              </w:rPr>
            </w:pPr>
          </w:p>
        </w:tc>
        <w:tc>
          <w:tcPr>
            <w:tcW w:w="43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5030A1">
            <w:pPr>
              <w:jc w:val="center"/>
              <w:rPr>
                <w:rFonts w:hint="eastAsia" w:ascii="宋体" w:hAnsi="宋体" w:eastAsia="宋体" w:cs="宋体"/>
                <w:i w:val="0"/>
                <w:iCs w:val="0"/>
                <w:color w:val="000000"/>
                <w:sz w:val="21"/>
                <w:szCs w:val="21"/>
                <w:u w:val="none"/>
              </w:rPr>
            </w:pPr>
          </w:p>
        </w:tc>
        <w:tc>
          <w:tcPr>
            <w:tcW w:w="153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2A14D863">
            <w:pPr>
              <w:jc w:val="right"/>
              <w:rPr>
                <w:rFonts w:hint="eastAsia" w:ascii="宋体" w:hAnsi="宋体" w:eastAsia="宋体" w:cs="宋体"/>
                <w:i w:val="0"/>
                <w:iCs w:val="0"/>
                <w:color w:val="000000"/>
                <w:sz w:val="21"/>
                <w:szCs w:val="21"/>
                <w:u w:val="none"/>
              </w:rPr>
            </w:pPr>
          </w:p>
        </w:tc>
      </w:tr>
      <w:tr w14:paraId="18E5D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3" w:type="dxa"/>
          <w:trHeight w:val="355" w:hRule="atLeast"/>
        </w:trPr>
        <w:tc>
          <w:tcPr>
            <w:tcW w:w="9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24F708">
            <w:pPr>
              <w:jc w:val="center"/>
              <w:rPr>
                <w:rFonts w:hint="eastAsia" w:ascii="宋体" w:hAnsi="宋体" w:eastAsia="宋体" w:cs="宋体"/>
                <w:i w:val="0"/>
                <w:iCs w:val="0"/>
                <w:color w:val="000000"/>
                <w:sz w:val="21"/>
                <w:szCs w:val="21"/>
                <w:u w:val="none"/>
              </w:rPr>
            </w:pPr>
          </w:p>
        </w:tc>
        <w:tc>
          <w:tcPr>
            <w:tcW w:w="1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CC8DD">
            <w:pPr>
              <w:jc w:val="center"/>
              <w:rPr>
                <w:rFonts w:hint="eastAsia" w:ascii="宋体" w:hAnsi="宋体" w:eastAsia="宋体" w:cs="宋体"/>
                <w:i w:val="0"/>
                <w:iCs w:val="0"/>
                <w:color w:val="000000"/>
                <w:sz w:val="21"/>
                <w:szCs w:val="21"/>
                <w:u w:val="none"/>
              </w:rPr>
            </w:pPr>
          </w:p>
        </w:tc>
        <w:tc>
          <w:tcPr>
            <w:tcW w:w="43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E9CEAF">
            <w:pPr>
              <w:jc w:val="center"/>
              <w:rPr>
                <w:rFonts w:hint="eastAsia" w:ascii="宋体" w:hAnsi="宋体" w:eastAsia="宋体" w:cs="宋体"/>
                <w:i w:val="0"/>
                <w:iCs w:val="0"/>
                <w:color w:val="000000"/>
                <w:sz w:val="21"/>
                <w:szCs w:val="21"/>
                <w:u w:val="none"/>
              </w:rPr>
            </w:pPr>
          </w:p>
        </w:tc>
        <w:tc>
          <w:tcPr>
            <w:tcW w:w="153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56A59E99">
            <w:pPr>
              <w:jc w:val="right"/>
              <w:rPr>
                <w:rFonts w:hint="eastAsia" w:ascii="宋体" w:hAnsi="宋体" w:eastAsia="宋体" w:cs="宋体"/>
                <w:i w:val="0"/>
                <w:iCs w:val="0"/>
                <w:color w:val="000000"/>
                <w:sz w:val="21"/>
                <w:szCs w:val="21"/>
                <w:u w:val="none"/>
              </w:rPr>
            </w:pPr>
          </w:p>
        </w:tc>
      </w:tr>
      <w:tr w14:paraId="797A0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3" w:type="dxa"/>
          <w:trHeight w:val="340" w:hRule="atLeast"/>
        </w:trPr>
        <w:tc>
          <w:tcPr>
            <w:tcW w:w="9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32FC09">
            <w:pPr>
              <w:jc w:val="center"/>
              <w:rPr>
                <w:rFonts w:hint="eastAsia" w:ascii="宋体" w:hAnsi="宋体" w:eastAsia="宋体" w:cs="宋体"/>
                <w:i w:val="0"/>
                <w:iCs w:val="0"/>
                <w:color w:val="000000"/>
                <w:sz w:val="21"/>
                <w:szCs w:val="21"/>
                <w:u w:val="none"/>
              </w:rPr>
            </w:pPr>
          </w:p>
        </w:tc>
        <w:tc>
          <w:tcPr>
            <w:tcW w:w="1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825704">
            <w:pPr>
              <w:jc w:val="center"/>
              <w:rPr>
                <w:rFonts w:hint="eastAsia" w:ascii="宋体" w:hAnsi="宋体" w:eastAsia="宋体" w:cs="宋体"/>
                <w:i w:val="0"/>
                <w:iCs w:val="0"/>
                <w:color w:val="000000"/>
                <w:sz w:val="21"/>
                <w:szCs w:val="21"/>
                <w:u w:val="none"/>
              </w:rPr>
            </w:pPr>
          </w:p>
        </w:tc>
        <w:tc>
          <w:tcPr>
            <w:tcW w:w="43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3A4291">
            <w:pPr>
              <w:jc w:val="center"/>
              <w:rPr>
                <w:rFonts w:hint="eastAsia" w:ascii="宋体" w:hAnsi="宋体" w:eastAsia="宋体" w:cs="宋体"/>
                <w:i w:val="0"/>
                <w:iCs w:val="0"/>
                <w:color w:val="000000"/>
                <w:sz w:val="21"/>
                <w:szCs w:val="21"/>
                <w:u w:val="none"/>
              </w:rPr>
            </w:pPr>
          </w:p>
        </w:tc>
        <w:tc>
          <w:tcPr>
            <w:tcW w:w="153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3240889B">
            <w:pPr>
              <w:jc w:val="right"/>
              <w:rPr>
                <w:rFonts w:hint="eastAsia" w:ascii="宋体" w:hAnsi="宋体" w:eastAsia="宋体" w:cs="宋体"/>
                <w:i w:val="0"/>
                <w:iCs w:val="0"/>
                <w:color w:val="000000"/>
                <w:sz w:val="21"/>
                <w:szCs w:val="21"/>
                <w:u w:val="none"/>
              </w:rPr>
            </w:pPr>
          </w:p>
        </w:tc>
      </w:tr>
      <w:tr w14:paraId="026ED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3" w:type="dxa"/>
          <w:trHeight w:val="355" w:hRule="atLeast"/>
        </w:trPr>
        <w:tc>
          <w:tcPr>
            <w:tcW w:w="9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E42079">
            <w:pPr>
              <w:jc w:val="center"/>
              <w:rPr>
                <w:rFonts w:hint="eastAsia" w:ascii="宋体" w:hAnsi="宋体" w:eastAsia="宋体" w:cs="宋体"/>
                <w:i w:val="0"/>
                <w:iCs w:val="0"/>
                <w:color w:val="000000"/>
                <w:sz w:val="21"/>
                <w:szCs w:val="21"/>
                <w:u w:val="none"/>
              </w:rPr>
            </w:pPr>
          </w:p>
        </w:tc>
        <w:tc>
          <w:tcPr>
            <w:tcW w:w="1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72686">
            <w:pPr>
              <w:jc w:val="center"/>
              <w:rPr>
                <w:rFonts w:hint="eastAsia" w:ascii="宋体" w:hAnsi="宋体" w:eastAsia="宋体" w:cs="宋体"/>
                <w:i w:val="0"/>
                <w:iCs w:val="0"/>
                <w:color w:val="000000"/>
                <w:sz w:val="21"/>
                <w:szCs w:val="21"/>
                <w:u w:val="none"/>
              </w:rPr>
            </w:pPr>
          </w:p>
        </w:tc>
        <w:tc>
          <w:tcPr>
            <w:tcW w:w="43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C7BFAF">
            <w:pPr>
              <w:jc w:val="center"/>
              <w:rPr>
                <w:rFonts w:hint="eastAsia" w:ascii="宋体" w:hAnsi="宋体" w:eastAsia="宋体" w:cs="宋体"/>
                <w:i w:val="0"/>
                <w:iCs w:val="0"/>
                <w:color w:val="000000"/>
                <w:sz w:val="21"/>
                <w:szCs w:val="21"/>
                <w:u w:val="none"/>
              </w:rPr>
            </w:pPr>
          </w:p>
        </w:tc>
        <w:tc>
          <w:tcPr>
            <w:tcW w:w="153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555BE754">
            <w:pPr>
              <w:jc w:val="right"/>
              <w:rPr>
                <w:rFonts w:hint="eastAsia" w:ascii="宋体" w:hAnsi="宋体" w:eastAsia="宋体" w:cs="宋体"/>
                <w:i w:val="0"/>
                <w:iCs w:val="0"/>
                <w:color w:val="000000"/>
                <w:sz w:val="21"/>
                <w:szCs w:val="21"/>
                <w:u w:val="none"/>
              </w:rPr>
            </w:pPr>
          </w:p>
        </w:tc>
      </w:tr>
      <w:tr w14:paraId="0134C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3" w:type="dxa"/>
          <w:trHeight w:val="355" w:hRule="atLeast"/>
        </w:trPr>
        <w:tc>
          <w:tcPr>
            <w:tcW w:w="9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751887">
            <w:pPr>
              <w:jc w:val="center"/>
              <w:rPr>
                <w:rFonts w:hint="eastAsia" w:ascii="宋体" w:hAnsi="宋体" w:eastAsia="宋体" w:cs="宋体"/>
                <w:i w:val="0"/>
                <w:iCs w:val="0"/>
                <w:color w:val="000000"/>
                <w:sz w:val="21"/>
                <w:szCs w:val="21"/>
                <w:u w:val="none"/>
              </w:rPr>
            </w:pPr>
          </w:p>
        </w:tc>
        <w:tc>
          <w:tcPr>
            <w:tcW w:w="1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D19C81">
            <w:pPr>
              <w:jc w:val="center"/>
              <w:rPr>
                <w:rFonts w:hint="eastAsia" w:ascii="宋体" w:hAnsi="宋体" w:eastAsia="宋体" w:cs="宋体"/>
                <w:i w:val="0"/>
                <w:iCs w:val="0"/>
                <w:color w:val="000000"/>
                <w:sz w:val="21"/>
                <w:szCs w:val="21"/>
                <w:u w:val="none"/>
              </w:rPr>
            </w:pPr>
          </w:p>
        </w:tc>
        <w:tc>
          <w:tcPr>
            <w:tcW w:w="43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88ADFA">
            <w:pPr>
              <w:jc w:val="center"/>
              <w:rPr>
                <w:rFonts w:hint="eastAsia" w:ascii="宋体" w:hAnsi="宋体" w:eastAsia="宋体" w:cs="宋体"/>
                <w:i w:val="0"/>
                <w:iCs w:val="0"/>
                <w:color w:val="000000"/>
                <w:sz w:val="21"/>
                <w:szCs w:val="21"/>
                <w:u w:val="none"/>
              </w:rPr>
            </w:pPr>
          </w:p>
        </w:tc>
        <w:tc>
          <w:tcPr>
            <w:tcW w:w="153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750525AD">
            <w:pPr>
              <w:jc w:val="right"/>
              <w:rPr>
                <w:rFonts w:hint="eastAsia" w:ascii="宋体" w:hAnsi="宋体" w:eastAsia="宋体" w:cs="宋体"/>
                <w:i w:val="0"/>
                <w:iCs w:val="0"/>
                <w:color w:val="000000"/>
                <w:sz w:val="21"/>
                <w:szCs w:val="21"/>
                <w:u w:val="none"/>
              </w:rPr>
            </w:pPr>
          </w:p>
        </w:tc>
      </w:tr>
      <w:tr w14:paraId="41F1B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3" w:type="dxa"/>
          <w:trHeight w:val="340" w:hRule="atLeast"/>
        </w:trPr>
        <w:tc>
          <w:tcPr>
            <w:tcW w:w="9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85BB24">
            <w:pPr>
              <w:jc w:val="center"/>
              <w:rPr>
                <w:rFonts w:hint="eastAsia" w:ascii="宋体" w:hAnsi="宋体" w:eastAsia="宋体" w:cs="宋体"/>
                <w:i w:val="0"/>
                <w:iCs w:val="0"/>
                <w:color w:val="000000"/>
                <w:sz w:val="21"/>
                <w:szCs w:val="21"/>
                <w:u w:val="none"/>
              </w:rPr>
            </w:pPr>
          </w:p>
        </w:tc>
        <w:tc>
          <w:tcPr>
            <w:tcW w:w="1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6B621">
            <w:pPr>
              <w:jc w:val="center"/>
              <w:rPr>
                <w:rFonts w:hint="eastAsia" w:ascii="宋体" w:hAnsi="宋体" w:eastAsia="宋体" w:cs="宋体"/>
                <w:i w:val="0"/>
                <w:iCs w:val="0"/>
                <w:color w:val="000000"/>
                <w:sz w:val="21"/>
                <w:szCs w:val="21"/>
                <w:u w:val="none"/>
              </w:rPr>
            </w:pPr>
          </w:p>
        </w:tc>
        <w:tc>
          <w:tcPr>
            <w:tcW w:w="43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23BADA">
            <w:pPr>
              <w:jc w:val="center"/>
              <w:rPr>
                <w:rFonts w:hint="eastAsia" w:ascii="宋体" w:hAnsi="宋体" w:eastAsia="宋体" w:cs="宋体"/>
                <w:i w:val="0"/>
                <w:iCs w:val="0"/>
                <w:color w:val="000000"/>
                <w:sz w:val="21"/>
                <w:szCs w:val="21"/>
                <w:u w:val="none"/>
              </w:rPr>
            </w:pPr>
          </w:p>
        </w:tc>
        <w:tc>
          <w:tcPr>
            <w:tcW w:w="153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3D68DEC5">
            <w:pPr>
              <w:jc w:val="right"/>
              <w:rPr>
                <w:rFonts w:hint="eastAsia" w:ascii="宋体" w:hAnsi="宋体" w:eastAsia="宋体" w:cs="宋体"/>
                <w:i w:val="0"/>
                <w:iCs w:val="0"/>
                <w:color w:val="000000"/>
                <w:sz w:val="21"/>
                <w:szCs w:val="21"/>
                <w:u w:val="none"/>
              </w:rPr>
            </w:pPr>
          </w:p>
        </w:tc>
      </w:tr>
      <w:tr w14:paraId="153DE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3" w:type="dxa"/>
          <w:trHeight w:val="355" w:hRule="atLeast"/>
        </w:trPr>
        <w:tc>
          <w:tcPr>
            <w:tcW w:w="9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4A4F65">
            <w:pPr>
              <w:jc w:val="center"/>
              <w:rPr>
                <w:rFonts w:hint="eastAsia" w:ascii="宋体" w:hAnsi="宋体" w:eastAsia="宋体" w:cs="宋体"/>
                <w:i w:val="0"/>
                <w:iCs w:val="0"/>
                <w:color w:val="000000"/>
                <w:sz w:val="21"/>
                <w:szCs w:val="21"/>
                <w:u w:val="none"/>
              </w:rPr>
            </w:pPr>
          </w:p>
        </w:tc>
        <w:tc>
          <w:tcPr>
            <w:tcW w:w="1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006C67">
            <w:pPr>
              <w:jc w:val="center"/>
              <w:rPr>
                <w:rFonts w:hint="eastAsia" w:ascii="宋体" w:hAnsi="宋体" w:eastAsia="宋体" w:cs="宋体"/>
                <w:i w:val="0"/>
                <w:iCs w:val="0"/>
                <w:color w:val="000000"/>
                <w:sz w:val="21"/>
                <w:szCs w:val="21"/>
                <w:u w:val="none"/>
              </w:rPr>
            </w:pPr>
          </w:p>
        </w:tc>
        <w:tc>
          <w:tcPr>
            <w:tcW w:w="43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2F2DA1">
            <w:pPr>
              <w:jc w:val="center"/>
              <w:rPr>
                <w:rFonts w:hint="eastAsia" w:ascii="宋体" w:hAnsi="宋体" w:eastAsia="宋体" w:cs="宋体"/>
                <w:i w:val="0"/>
                <w:iCs w:val="0"/>
                <w:color w:val="000000"/>
                <w:sz w:val="21"/>
                <w:szCs w:val="21"/>
                <w:u w:val="none"/>
              </w:rPr>
            </w:pPr>
          </w:p>
        </w:tc>
        <w:tc>
          <w:tcPr>
            <w:tcW w:w="153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0DC85C93">
            <w:pPr>
              <w:jc w:val="right"/>
              <w:rPr>
                <w:rFonts w:hint="eastAsia" w:ascii="宋体" w:hAnsi="宋体" w:eastAsia="宋体" w:cs="宋体"/>
                <w:i w:val="0"/>
                <w:iCs w:val="0"/>
                <w:color w:val="000000"/>
                <w:sz w:val="21"/>
                <w:szCs w:val="21"/>
                <w:u w:val="none"/>
              </w:rPr>
            </w:pPr>
          </w:p>
        </w:tc>
      </w:tr>
      <w:tr w14:paraId="0D323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3" w:type="dxa"/>
          <w:trHeight w:val="355" w:hRule="atLeast"/>
        </w:trPr>
        <w:tc>
          <w:tcPr>
            <w:tcW w:w="9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7FC1E9">
            <w:pPr>
              <w:jc w:val="center"/>
              <w:rPr>
                <w:rFonts w:hint="eastAsia" w:ascii="宋体" w:hAnsi="宋体" w:eastAsia="宋体" w:cs="宋体"/>
                <w:i w:val="0"/>
                <w:iCs w:val="0"/>
                <w:color w:val="000000"/>
                <w:sz w:val="21"/>
                <w:szCs w:val="21"/>
                <w:u w:val="none"/>
              </w:rPr>
            </w:pPr>
          </w:p>
        </w:tc>
        <w:tc>
          <w:tcPr>
            <w:tcW w:w="1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E4B6E">
            <w:pPr>
              <w:jc w:val="center"/>
              <w:rPr>
                <w:rFonts w:hint="eastAsia" w:ascii="宋体" w:hAnsi="宋体" w:eastAsia="宋体" w:cs="宋体"/>
                <w:i w:val="0"/>
                <w:iCs w:val="0"/>
                <w:color w:val="000000"/>
                <w:sz w:val="21"/>
                <w:szCs w:val="21"/>
                <w:u w:val="none"/>
              </w:rPr>
            </w:pPr>
          </w:p>
        </w:tc>
        <w:tc>
          <w:tcPr>
            <w:tcW w:w="43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769B8D">
            <w:pPr>
              <w:jc w:val="center"/>
              <w:rPr>
                <w:rFonts w:hint="eastAsia" w:ascii="宋体" w:hAnsi="宋体" w:eastAsia="宋体" w:cs="宋体"/>
                <w:i w:val="0"/>
                <w:iCs w:val="0"/>
                <w:color w:val="000000"/>
                <w:sz w:val="21"/>
                <w:szCs w:val="21"/>
                <w:u w:val="none"/>
              </w:rPr>
            </w:pPr>
          </w:p>
        </w:tc>
        <w:tc>
          <w:tcPr>
            <w:tcW w:w="153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6AD16DFD">
            <w:pPr>
              <w:jc w:val="right"/>
              <w:rPr>
                <w:rFonts w:hint="eastAsia" w:ascii="宋体" w:hAnsi="宋体" w:eastAsia="宋体" w:cs="宋体"/>
                <w:i w:val="0"/>
                <w:iCs w:val="0"/>
                <w:color w:val="000000"/>
                <w:sz w:val="21"/>
                <w:szCs w:val="21"/>
                <w:u w:val="none"/>
              </w:rPr>
            </w:pPr>
          </w:p>
        </w:tc>
      </w:tr>
      <w:tr w14:paraId="36A28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3" w:type="dxa"/>
          <w:trHeight w:val="340" w:hRule="atLeast"/>
        </w:trPr>
        <w:tc>
          <w:tcPr>
            <w:tcW w:w="9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FBF102">
            <w:pPr>
              <w:jc w:val="center"/>
              <w:rPr>
                <w:rFonts w:hint="eastAsia" w:ascii="宋体" w:hAnsi="宋体" w:eastAsia="宋体" w:cs="宋体"/>
                <w:i w:val="0"/>
                <w:iCs w:val="0"/>
                <w:color w:val="000000"/>
                <w:sz w:val="21"/>
                <w:szCs w:val="21"/>
                <w:u w:val="none"/>
              </w:rPr>
            </w:pPr>
          </w:p>
        </w:tc>
        <w:tc>
          <w:tcPr>
            <w:tcW w:w="1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4B4FD4">
            <w:pPr>
              <w:jc w:val="center"/>
              <w:rPr>
                <w:rFonts w:hint="eastAsia" w:ascii="宋体" w:hAnsi="宋体" w:eastAsia="宋体" w:cs="宋体"/>
                <w:i w:val="0"/>
                <w:iCs w:val="0"/>
                <w:color w:val="000000"/>
                <w:sz w:val="21"/>
                <w:szCs w:val="21"/>
                <w:u w:val="none"/>
              </w:rPr>
            </w:pPr>
          </w:p>
        </w:tc>
        <w:tc>
          <w:tcPr>
            <w:tcW w:w="43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FB78C9">
            <w:pPr>
              <w:jc w:val="center"/>
              <w:rPr>
                <w:rFonts w:hint="eastAsia" w:ascii="宋体" w:hAnsi="宋体" w:eastAsia="宋体" w:cs="宋体"/>
                <w:i w:val="0"/>
                <w:iCs w:val="0"/>
                <w:color w:val="000000"/>
                <w:sz w:val="21"/>
                <w:szCs w:val="21"/>
                <w:u w:val="none"/>
              </w:rPr>
            </w:pPr>
          </w:p>
        </w:tc>
        <w:tc>
          <w:tcPr>
            <w:tcW w:w="153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2D5AB1E6">
            <w:pPr>
              <w:jc w:val="right"/>
              <w:rPr>
                <w:rFonts w:hint="eastAsia" w:ascii="宋体" w:hAnsi="宋体" w:eastAsia="宋体" w:cs="宋体"/>
                <w:i w:val="0"/>
                <w:iCs w:val="0"/>
                <w:color w:val="000000"/>
                <w:sz w:val="21"/>
                <w:szCs w:val="21"/>
                <w:u w:val="none"/>
              </w:rPr>
            </w:pPr>
          </w:p>
        </w:tc>
      </w:tr>
      <w:tr w14:paraId="2EF71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923" w:type="dxa"/>
          <w:trHeight w:val="355" w:hRule="atLeast"/>
        </w:trPr>
        <w:tc>
          <w:tcPr>
            <w:tcW w:w="9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F0B007">
            <w:pPr>
              <w:jc w:val="center"/>
              <w:rPr>
                <w:rFonts w:hint="eastAsia" w:ascii="宋体" w:hAnsi="宋体" w:eastAsia="宋体" w:cs="宋体"/>
                <w:i w:val="0"/>
                <w:iCs w:val="0"/>
                <w:color w:val="000000"/>
                <w:sz w:val="21"/>
                <w:szCs w:val="21"/>
                <w:u w:val="none"/>
              </w:rPr>
            </w:pPr>
          </w:p>
        </w:tc>
        <w:tc>
          <w:tcPr>
            <w:tcW w:w="1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D6C4D8">
            <w:pPr>
              <w:jc w:val="center"/>
              <w:rPr>
                <w:rFonts w:hint="eastAsia" w:ascii="宋体" w:hAnsi="宋体" w:eastAsia="宋体" w:cs="宋体"/>
                <w:i w:val="0"/>
                <w:iCs w:val="0"/>
                <w:color w:val="000000"/>
                <w:sz w:val="21"/>
                <w:szCs w:val="21"/>
                <w:u w:val="none"/>
              </w:rPr>
            </w:pPr>
          </w:p>
        </w:tc>
        <w:tc>
          <w:tcPr>
            <w:tcW w:w="43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CD6B5A">
            <w:pPr>
              <w:jc w:val="center"/>
              <w:rPr>
                <w:rFonts w:hint="eastAsia" w:ascii="宋体" w:hAnsi="宋体" w:eastAsia="宋体" w:cs="宋体"/>
                <w:i w:val="0"/>
                <w:iCs w:val="0"/>
                <w:color w:val="000000"/>
                <w:sz w:val="21"/>
                <w:szCs w:val="21"/>
                <w:u w:val="none"/>
              </w:rPr>
            </w:pPr>
          </w:p>
        </w:tc>
        <w:tc>
          <w:tcPr>
            <w:tcW w:w="153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20A83CD0">
            <w:pPr>
              <w:jc w:val="right"/>
              <w:rPr>
                <w:rFonts w:hint="eastAsia" w:ascii="宋体" w:hAnsi="宋体" w:eastAsia="宋体" w:cs="宋体"/>
                <w:i w:val="0"/>
                <w:iCs w:val="0"/>
                <w:color w:val="000000"/>
                <w:sz w:val="21"/>
                <w:szCs w:val="21"/>
                <w:u w:val="none"/>
              </w:rPr>
            </w:pPr>
          </w:p>
        </w:tc>
      </w:tr>
      <w:tr w14:paraId="16C1F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3" w:type="dxa"/>
          <w:trHeight w:val="340" w:hRule="atLeast"/>
        </w:trPr>
        <w:tc>
          <w:tcPr>
            <w:tcW w:w="9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5BAFCB">
            <w:pPr>
              <w:jc w:val="center"/>
              <w:rPr>
                <w:rFonts w:hint="eastAsia" w:ascii="宋体" w:hAnsi="宋体" w:eastAsia="宋体" w:cs="宋体"/>
                <w:i w:val="0"/>
                <w:iCs w:val="0"/>
                <w:color w:val="000000"/>
                <w:sz w:val="21"/>
                <w:szCs w:val="21"/>
                <w:u w:val="none"/>
              </w:rPr>
            </w:pPr>
          </w:p>
        </w:tc>
        <w:tc>
          <w:tcPr>
            <w:tcW w:w="1551"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14:paraId="5EB8C7AF">
            <w:pPr>
              <w:jc w:val="center"/>
              <w:rPr>
                <w:rFonts w:hint="eastAsia" w:ascii="宋体" w:hAnsi="宋体" w:eastAsia="宋体" w:cs="宋体"/>
                <w:i w:val="0"/>
                <w:iCs w:val="0"/>
                <w:color w:val="000000"/>
                <w:sz w:val="21"/>
                <w:szCs w:val="21"/>
                <w:u w:val="none"/>
              </w:rPr>
            </w:pPr>
          </w:p>
        </w:tc>
        <w:tc>
          <w:tcPr>
            <w:tcW w:w="4374"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14:paraId="46654C61">
            <w:pPr>
              <w:jc w:val="center"/>
              <w:rPr>
                <w:rFonts w:hint="eastAsia" w:ascii="宋体" w:hAnsi="宋体" w:eastAsia="宋体" w:cs="宋体"/>
                <w:i w:val="0"/>
                <w:iCs w:val="0"/>
                <w:color w:val="000000"/>
                <w:sz w:val="21"/>
                <w:szCs w:val="21"/>
                <w:u w:val="none"/>
              </w:rPr>
            </w:pPr>
          </w:p>
        </w:tc>
        <w:tc>
          <w:tcPr>
            <w:tcW w:w="1532" w:type="dxa"/>
            <w:gridSpan w:val="4"/>
            <w:tcBorders>
              <w:top w:val="single" w:color="000000" w:sz="4" w:space="0"/>
              <w:left w:val="single" w:color="000000" w:sz="4" w:space="0"/>
              <w:bottom w:val="single" w:color="000000" w:sz="8" w:space="0"/>
              <w:right w:val="single" w:color="000000" w:sz="8" w:space="0"/>
            </w:tcBorders>
            <w:shd w:val="clear" w:color="auto" w:fill="auto"/>
            <w:vAlign w:val="center"/>
          </w:tcPr>
          <w:p w14:paraId="5F6ABB6F">
            <w:pPr>
              <w:jc w:val="right"/>
              <w:rPr>
                <w:rFonts w:hint="eastAsia" w:ascii="宋体" w:hAnsi="宋体" w:eastAsia="宋体" w:cs="宋体"/>
                <w:i w:val="0"/>
                <w:iCs w:val="0"/>
                <w:color w:val="000000"/>
                <w:sz w:val="21"/>
                <w:szCs w:val="21"/>
                <w:u w:val="none"/>
              </w:rPr>
            </w:pPr>
          </w:p>
        </w:tc>
      </w:tr>
      <w:tr w14:paraId="0965D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3" w:type="dxa"/>
          <w:trHeight w:val="325" w:hRule="atLeast"/>
        </w:trPr>
        <w:tc>
          <w:tcPr>
            <w:tcW w:w="8377" w:type="dxa"/>
            <w:gridSpan w:val="14"/>
            <w:tcBorders>
              <w:top w:val="single" w:color="000000" w:sz="4" w:space="0"/>
              <w:left w:val="nil"/>
              <w:bottom w:val="nil"/>
              <w:right w:val="nil"/>
            </w:tcBorders>
            <w:shd w:val="clear" w:color="auto" w:fill="auto"/>
            <w:noWrap/>
            <w:vAlign w:val="top"/>
          </w:tcPr>
          <w:p w14:paraId="0F97C427">
            <w:pPr>
              <w:jc w:val="left"/>
              <w:rPr>
                <w:rFonts w:hint="eastAsia" w:ascii="Arial" w:hAnsi="Arial" w:cs="Arial"/>
                <w:i w:val="0"/>
                <w:iCs w:val="0"/>
                <w:color w:val="000000"/>
                <w:sz w:val="16"/>
                <w:szCs w:val="16"/>
                <w:u w:val="none"/>
              </w:rPr>
            </w:pPr>
          </w:p>
        </w:tc>
      </w:tr>
      <w:tr w14:paraId="76468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3" w:type="dxa"/>
          <w:trHeight w:val="305" w:hRule="atLeast"/>
        </w:trPr>
        <w:tc>
          <w:tcPr>
            <w:tcW w:w="920" w:type="dxa"/>
            <w:tcBorders>
              <w:top w:val="nil"/>
              <w:left w:val="nil"/>
              <w:bottom w:val="nil"/>
              <w:right w:val="nil"/>
            </w:tcBorders>
            <w:shd w:val="clear" w:color="auto" w:fill="auto"/>
            <w:noWrap/>
            <w:vAlign w:val="bottom"/>
          </w:tcPr>
          <w:p w14:paraId="52F2389D">
            <w:pPr>
              <w:rPr>
                <w:rFonts w:hint="default" w:ascii="Arial" w:hAnsi="Arial" w:cs="Arial"/>
                <w:i w:val="0"/>
                <w:iCs w:val="0"/>
                <w:color w:val="000000"/>
                <w:sz w:val="20"/>
                <w:szCs w:val="20"/>
                <w:u w:val="none"/>
              </w:rPr>
            </w:pPr>
          </w:p>
        </w:tc>
        <w:tc>
          <w:tcPr>
            <w:tcW w:w="1551" w:type="dxa"/>
            <w:gridSpan w:val="3"/>
            <w:tcBorders>
              <w:top w:val="nil"/>
              <w:left w:val="nil"/>
              <w:bottom w:val="nil"/>
              <w:right w:val="nil"/>
            </w:tcBorders>
            <w:shd w:val="clear" w:color="auto" w:fill="auto"/>
            <w:noWrap/>
            <w:vAlign w:val="bottom"/>
          </w:tcPr>
          <w:p w14:paraId="40938335">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4AA762E4">
            <w:pPr>
              <w:rPr>
                <w:rFonts w:hint="default" w:ascii="Arial" w:hAnsi="Arial" w:cs="Arial"/>
                <w:i w:val="0"/>
                <w:iCs w:val="0"/>
                <w:color w:val="000000"/>
                <w:sz w:val="20"/>
                <w:szCs w:val="20"/>
                <w:u w:val="none"/>
              </w:rPr>
            </w:pPr>
          </w:p>
        </w:tc>
        <w:tc>
          <w:tcPr>
            <w:tcW w:w="3699" w:type="dxa"/>
            <w:gridSpan w:val="4"/>
            <w:tcBorders>
              <w:top w:val="nil"/>
              <w:left w:val="nil"/>
              <w:bottom w:val="nil"/>
              <w:right w:val="nil"/>
            </w:tcBorders>
            <w:shd w:val="clear" w:color="auto" w:fill="auto"/>
            <w:noWrap/>
            <w:vAlign w:val="bottom"/>
          </w:tcPr>
          <w:p w14:paraId="7FBEFCE8">
            <w:pPr>
              <w:rPr>
                <w:rFonts w:hint="default" w:ascii="Arial" w:hAnsi="Arial" w:cs="Arial"/>
                <w:i w:val="0"/>
                <w:iCs w:val="0"/>
                <w:color w:val="000000"/>
                <w:sz w:val="20"/>
                <w:szCs w:val="20"/>
                <w:u w:val="none"/>
              </w:rPr>
            </w:pPr>
          </w:p>
        </w:tc>
        <w:tc>
          <w:tcPr>
            <w:tcW w:w="453" w:type="dxa"/>
            <w:tcBorders>
              <w:top w:val="nil"/>
              <w:left w:val="nil"/>
              <w:bottom w:val="nil"/>
              <w:right w:val="nil"/>
            </w:tcBorders>
            <w:shd w:val="clear" w:color="auto" w:fill="auto"/>
            <w:noWrap/>
            <w:vAlign w:val="bottom"/>
          </w:tcPr>
          <w:p w14:paraId="12D6B6B5">
            <w:pPr>
              <w:rPr>
                <w:rFonts w:hint="default" w:ascii="Arial" w:hAnsi="Arial" w:cs="Arial"/>
                <w:i w:val="0"/>
                <w:iCs w:val="0"/>
                <w:color w:val="000000"/>
                <w:sz w:val="20"/>
                <w:szCs w:val="20"/>
                <w:u w:val="none"/>
              </w:rPr>
            </w:pPr>
          </w:p>
        </w:tc>
        <w:tc>
          <w:tcPr>
            <w:tcW w:w="1532" w:type="dxa"/>
            <w:gridSpan w:val="4"/>
            <w:tcBorders>
              <w:top w:val="nil"/>
              <w:left w:val="nil"/>
              <w:bottom w:val="nil"/>
              <w:right w:val="nil"/>
            </w:tcBorders>
            <w:shd w:val="clear" w:color="auto" w:fill="auto"/>
            <w:noWrap/>
            <w:vAlign w:val="bottom"/>
          </w:tcPr>
          <w:p w14:paraId="24370744">
            <w:pPr>
              <w:rPr>
                <w:rFonts w:hint="default" w:ascii="Arial" w:hAnsi="Arial" w:cs="Arial"/>
                <w:i w:val="0"/>
                <w:iCs w:val="0"/>
                <w:color w:val="000000"/>
                <w:sz w:val="20"/>
                <w:szCs w:val="20"/>
                <w:u w:val="none"/>
              </w:rPr>
            </w:pPr>
          </w:p>
        </w:tc>
      </w:tr>
      <w:tr w14:paraId="5F985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923" w:type="dxa"/>
          <w:trHeight w:val="459" w:hRule="atLeast"/>
        </w:trPr>
        <w:tc>
          <w:tcPr>
            <w:tcW w:w="920" w:type="dxa"/>
            <w:tcBorders>
              <w:top w:val="nil"/>
              <w:left w:val="nil"/>
              <w:bottom w:val="nil"/>
              <w:right w:val="nil"/>
            </w:tcBorders>
            <w:shd w:val="clear" w:color="auto" w:fill="auto"/>
            <w:noWrap/>
            <w:vAlign w:val="bottom"/>
          </w:tcPr>
          <w:p w14:paraId="39D3AFF0">
            <w:pPr>
              <w:rPr>
                <w:rFonts w:hint="default" w:ascii="Arial" w:hAnsi="Arial" w:cs="Arial"/>
                <w:i w:val="0"/>
                <w:iCs w:val="0"/>
                <w:color w:val="000000"/>
                <w:sz w:val="20"/>
                <w:szCs w:val="20"/>
                <w:u w:val="none"/>
              </w:rPr>
            </w:pPr>
          </w:p>
        </w:tc>
        <w:tc>
          <w:tcPr>
            <w:tcW w:w="1551" w:type="dxa"/>
            <w:gridSpan w:val="3"/>
            <w:tcBorders>
              <w:top w:val="nil"/>
              <w:left w:val="nil"/>
              <w:bottom w:val="nil"/>
              <w:right w:val="nil"/>
            </w:tcBorders>
            <w:shd w:val="clear" w:color="auto" w:fill="auto"/>
            <w:noWrap/>
            <w:vAlign w:val="bottom"/>
          </w:tcPr>
          <w:p w14:paraId="286D48BE">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770BDB20">
            <w:pPr>
              <w:rPr>
                <w:rFonts w:hint="default" w:ascii="Arial" w:hAnsi="Arial" w:cs="Arial"/>
                <w:i w:val="0"/>
                <w:iCs w:val="0"/>
                <w:color w:val="000000"/>
                <w:sz w:val="20"/>
                <w:szCs w:val="20"/>
                <w:u w:val="none"/>
              </w:rPr>
            </w:pPr>
          </w:p>
        </w:tc>
        <w:tc>
          <w:tcPr>
            <w:tcW w:w="5684" w:type="dxa"/>
            <w:gridSpan w:val="9"/>
            <w:tcBorders>
              <w:top w:val="nil"/>
              <w:left w:val="nil"/>
              <w:bottom w:val="nil"/>
              <w:right w:val="nil"/>
            </w:tcBorders>
            <w:shd w:val="clear" w:color="auto" w:fill="auto"/>
            <w:vAlign w:val="top"/>
          </w:tcPr>
          <w:p w14:paraId="0EEA6D4B">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【新点2013公路造价新疆版 V10.4.6】</w:t>
            </w:r>
          </w:p>
        </w:tc>
      </w:tr>
      <w:tr w14:paraId="5C5E2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300" w:type="dxa"/>
            <w:gridSpan w:val="15"/>
            <w:tcBorders>
              <w:top w:val="nil"/>
              <w:left w:val="nil"/>
              <w:bottom w:val="nil"/>
              <w:right w:val="nil"/>
            </w:tcBorders>
            <w:shd w:val="clear" w:color="auto" w:fill="auto"/>
            <w:noWrap/>
            <w:vAlign w:val="center"/>
          </w:tcPr>
          <w:p w14:paraId="08CC0C26">
            <w:pPr>
              <w:keepNext w:val="0"/>
              <w:keepLines w:val="0"/>
              <w:widowControl/>
              <w:suppressLineNumbers w:val="0"/>
              <w:jc w:val="center"/>
              <w:textAlignment w:val="center"/>
              <w:rPr>
                <w:rFonts w:hint="eastAsia" w:ascii="宋体" w:hAnsi="宋体" w:eastAsia="宋体" w:cs="宋体"/>
                <w:b/>
                <w:bCs/>
                <w:i w:val="0"/>
                <w:iCs w:val="0"/>
                <w:color w:val="000000"/>
                <w:sz w:val="31"/>
                <w:szCs w:val="31"/>
                <w:u w:val="none"/>
              </w:rPr>
            </w:pPr>
            <w:r>
              <w:rPr>
                <w:rFonts w:hint="eastAsia" w:ascii="宋体" w:hAnsi="宋体" w:eastAsia="宋体" w:cs="宋体"/>
                <w:b/>
                <w:bCs/>
                <w:i w:val="0"/>
                <w:iCs w:val="0"/>
                <w:color w:val="000000"/>
                <w:kern w:val="0"/>
                <w:sz w:val="31"/>
                <w:szCs w:val="31"/>
                <w:u w:val="none"/>
                <w:lang w:val="en-US" w:eastAsia="zh-CN" w:bidi="ar"/>
              </w:rPr>
              <w:t>工程量清单表</w:t>
            </w:r>
          </w:p>
        </w:tc>
      </w:tr>
      <w:tr w14:paraId="175BB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920" w:type="dxa"/>
            <w:gridSpan w:val="11"/>
            <w:tcBorders>
              <w:top w:val="nil"/>
              <w:left w:val="nil"/>
              <w:bottom w:val="single" w:color="000000" w:sz="8" w:space="0"/>
              <w:right w:val="nil"/>
            </w:tcBorders>
            <w:shd w:val="clear" w:color="auto" w:fill="auto"/>
            <w:vAlign w:val="center"/>
          </w:tcPr>
          <w:p w14:paraId="452E2FBD">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项目名称：疏勒县良种繁育场种畜二队路面便化工程项目</w:t>
            </w:r>
          </w:p>
        </w:tc>
        <w:tc>
          <w:tcPr>
            <w:tcW w:w="2380" w:type="dxa"/>
            <w:gridSpan w:val="4"/>
            <w:tcBorders>
              <w:top w:val="nil"/>
              <w:left w:val="nil"/>
              <w:bottom w:val="single" w:color="000000" w:sz="8" w:space="0"/>
              <w:right w:val="nil"/>
            </w:tcBorders>
            <w:shd w:val="clear" w:color="auto" w:fill="auto"/>
            <w:noWrap/>
            <w:vAlign w:val="center"/>
          </w:tcPr>
          <w:p w14:paraId="12CEA6B4">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第1页 共4页</w:t>
            </w:r>
          </w:p>
        </w:tc>
      </w:tr>
      <w:tr w14:paraId="02B4A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300" w:type="dxa"/>
            <w:gridSpan w:val="15"/>
            <w:tcBorders>
              <w:top w:val="single" w:color="000000" w:sz="8" w:space="0"/>
              <w:left w:val="single" w:color="000000" w:sz="8" w:space="0"/>
              <w:bottom w:val="single" w:color="000000" w:sz="4" w:space="0"/>
              <w:right w:val="single" w:color="000000" w:sz="8" w:space="0"/>
            </w:tcBorders>
            <w:shd w:val="clear" w:color="auto" w:fill="auto"/>
            <w:noWrap/>
            <w:vAlign w:val="center"/>
          </w:tcPr>
          <w:p w14:paraId="3DCD7D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总则</w:t>
            </w:r>
          </w:p>
        </w:tc>
      </w:tr>
      <w:tr w14:paraId="460C3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5B1B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细目号</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18D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细目名称</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00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942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0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E328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r>
      <w:tr w14:paraId="1375B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AB8B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6F1C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竣工文件</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14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050AD0">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7E94">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9C8D85D">
            <w:pPr>
              <w:jc w:val="right"/>
              <w:rPr>
                <w:rFonts w:hint="eastAsia" w:ascii="宋体" w:hAnsi="宋体" w:eastAsia="宋体" w:cs="宋体"/>
                <w:i w:val="0"/>
                <w:iCs w:val="0"/>
                <w:color w:val="000000"/>
                <w:sz w:val="18"/>
                <w:szCs w:val="18"/>
                <w:u w:val="none"/>
              </w:rPr>
            </w:pPr>
          </w:p>
        </w:tc>
      </w:tr>
      <w:tr w14:paraId="2A57D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F1C5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B76B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施工环保费</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10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C6705B">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9180">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D2DDD38">
            <w:pPr>
              <w:jc w:val="right"/>
              <w:rPr>
                <w:rFonts w:hint="eastAsia" w:ascii="宋体" w:hAnsi="宋体" w:eastAsia="宋体" w:cs="宋体"/>
                <w:i w:val="0"/>
                <w:iCs w:val="0"/>
                <w:color w:val="000000"/>
                <w:sz w:val="18"/>
                <w:szCs w:val="18"/>
                <w:u w:val="none"/>
              </w:rPr>
            </w:pPr>
          </w:p>
        </w:tc>
      </w:tr>
      <w:tr w14:paraId="54F5F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3039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103-1</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4C69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临时道路修建、养护与拆除（包括原道路的养护）</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A5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88B897">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939D">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B488337">
            <w:pPr>
              <w:jc w:val="right"/>
              <w:rPr>
                <w:rFonts w:hint="eastAsia" w:ascii="宋体" w:hAnsi="宋体" w:eastAsia="宋体" w:cs="宋体"/>
                <w:i w:val="0"/>
                <w:iCs w:val="0"/>
                <w:color w:val="000000"/>
                <w:sz w:val="18"/>
                <w:szCs w:val="18"/>
                <w:u w:val="none"/>
              </w:rPr>
            </w:pPr>
          </w:p>
        </w:tc>
      </w:tr>
      <w:tr w14:paraId="51E6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E9EC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103-2</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0860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临时工程用地</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6A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207212">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AC74">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BC577F6">
            <w:pPr>
              <w:jc w:val="right"/>
              <w:rPr>
                <w:rFonts w:hint="eastAsia" w:ascii="宋体" w:hAnsi="宋体" w:eastAsia="宋体" w:cs="宋体"/>
                <w:i w:val="0"/>
                <w:iCs w:val="0"/>
                <w:color w:val="000000"/>
                <w:sz w:val="18"/>
                <w:szCs w:val="18"/>
                <w:u w:val="none"/>
              </w:rPr>
            </w:pPr>
          </w:p>
        </w:tc>
      </w:tr>
      <w:tr w14:paraId="58E25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3A4D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103-3</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8981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临时供电设施架设、维护与拆除</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A2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78AB7A">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C078">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FCD30DF">
            <w:pPr>
              <w:jc w:val="right"/>
              <w:rPr>
                <w:rFonts w:hint="eastAsia" w:ascii="宋体" w:hAnsi="宋体" w:eastAsia="宋体" w:cs="宋体"/>
                <w:i w:val="0"/>
                <w:iCs w:val="0"/>
                <w:color w:val="000000"/>
                <w:sz w:val="18"/>
                <w:szCs w:val="18"/>
                <w:u w:val="none"/>
              </w:rPr>
            </w:pPr>
          </w:p>
        </w:tc>
      </w:tr>
      <w:tr w14:paraId="6BCD8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8968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7033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电信设施的提供、维修与拆除</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2D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74F76D">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79DD">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11F12D5">
            <w:pPr>
              <w:jc w:val="right"/>
              <w:rPr>
                <w:rFonts w:hint="eastAsia" w:ascii="宋体" w:hAnsi="宋体" w:eastAsia="宋体" w:cs="宋体"/>
                <w:i w:val="0"/>
                <w:iCs w:val="0"/>
                <w:color w:val="000000"/>
                <w:sz w:val="18"/>
                <w:szCs w:val="18"/>
                <w:u w:val="none"/>
              </w:rPr>
            </w:pPr>
          </w:p>
        </w:tc>
      </w:tr>
      <w:tr w14:paraId="4A4B7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78F9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103-5</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0EEC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临时供水与排污设施</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CB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BF18BE">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C6B9">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527CB96">
            <w:pPr>
              <w:jc w:val="right"/>
              <w:rPr>
                <w:rFonts w:hint="eastAsia" w:ascii="宋体" w:hAnsi="宋体" w:eastAsia="宋体" w:cs="宋体"/>
                <w:i w:val="0"/>
                <w:iCs w:val="0"/>
                <w:color w:val="000000"/>
                <w:sz w:val="18"/>
                <w:szCs w:val="18"/>
                <w:u w:val="none"/>
              </w:rPr>
            </w:pPr>
          </w:p>
        </w:tc>
      </w:tr>
      <w:tr w14:paraId="15BC1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9C03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104-1</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B0D4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承包人驻地建设</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06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36A4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C151">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66B35D6">
            <w:pPr>
              <w:jc w:val="right"/>
              <w:rPr>
                <w:rFonts w:hint="eastAsia" w:ascii="宋体" w:hAnsi="宋体" w:eastAsia="宋体" w:cs="宋体"/>
                <w:i w:val="0"/>
                <w:iCs w:val="0"/>
                <w:color w:val="000000"/>
                <w:sz w:val="18"/>
                <w:szCs w:val="18"/>
                <w:u w:val="none"/>
              </w:rPr>
            </w:pPr>
          </w:p>
        </w:tc>
      </w:tr>
      <w:tr w14:paraId="597BA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2C10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105-1</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B6ED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A7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431A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CFCC">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C00EF55">
            <w:pPr>
              <w:jc w:val="right"/>
              <w:rPr>
                <w:rFonts w:hint="eastAsia" w:ascii="宋体" w:hAnsi="宋体" w:eastAsia="宋体" w:cs="宋体"/>
                <w:i w:val="0"/>
                <w:iCs w:val="0"/>
                <w:color w:val="000000"/>
                <w:sz w:val="18"/>
                <w:szCs w:val="18"/>
                <w:u w:val="none"/>
              </w:rPr>
            </w:pPr>
          </w:p>
        </w:tc>
      </w:tr>
      <w:tr w14:paraId="0904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73B6E6D">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8E8BB9">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9F298">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63D787">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DB09">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91D716C">
            <w:pPr>
              <w:jc w:val="right"/>
              <w:rPr>
                <w:rFonts w:hint="eastAsia" w:ascii="宋体" w:hAnsi="宋体" w:eastAsia="宋体" w:cs="宋体"/>
                <w:i w:val="0"/>
                <w:iCs w:val="0"/>
                <w:color w:val="000000"/>
                <w:sz w:val="18"/>
                <w:szCs w:val="18"/>
                <w:u w:val="none"/>
              </w:rPr>
            </w:pPr>
          </w:p>
        </w:tc>
      </w:tr>
      <w:tr w14:paraId="67616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B408743">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2BBBCA">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BA6D8">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255003">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BEBF">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44BBA68">
            <w:pPr>
              <w:jc w:val="right"/>
              <w:rPr>
                <w:rFonts w:hint="eastAsia" w:ascii="宋体" w:hAnsi="宋体" w:eastAsia="宋体" w:cs="宋体"/>
                <w:i w:val="0"/>
                <w:iCs w:val="0"/>
                <w:color w:val="000000"/>
                <w:sz w:val="18"/>
                <w:szCs w:val="18"/>
                <w:u w:val="none"/>
              </w:rPr>
            </w:pPr>
          </w:p>
        </w:tc>
      </w:tr>
      <w:tr w14:paraId="2CBC4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FC97478">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8B7FA8">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E5D4C">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7A2AC7">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0FF6">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D581994">
            <w:pPr>
              <w:jc w:val="right"/>
              <w:rPr>
                <w:rFonts w:hint="eastAsia" w:ascii="宋体" w:hAnsi="宋体" w:eastAsia="宋体" w:cs="宋体"/>
                <w:i w:val="0"/>
                <w:iCs w:val="0"/>
                <w:color w:val="000000"/>
                <w:sz w:val="18"/>
                <w:szCs w:val="18"/>
                <w:u w:val="none"/>
              </w:rPr>
            </w:pPr>
          </w:p>
        </w:tc>
      </w:tr>
      <w:tr w14:paraId="3138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DEF7245">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1F6732">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A59B5">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28D565">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8904">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372D73A">
            <w:pPr>
              <w:jc w:val="right"/>
              <w:rPr>
                <w:rFonts w:hint="eastAsia" w:ascii="宋体" w:hAnsi="宋体" w:eastAsia="宋体" w:cs="宋体"/>
                <w:i w:val="0"/>
                <w:iCs w:val="0"/>
                <w:color w:val="000000"/>
                <w:sz w:val="18"/>
                <w:szCs w:val="18"/>
                <w:u w:val="none"/>
              </w:rPr>
            </w:pPr>
          </w:p>
        </w:tc>
      </w:tr>
      <w:tr w14:paraId="49CC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54E2D29">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EA0E66">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CB771">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39B40D">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3270">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65B35C1">
            <w:pPr>
              <w:jc w:val="right"/>
              <w:rPr>
                <w:rFonts w:hint="eastAsia" w:ascii="宋体" w:hAnsi="宋体" w:eastAsia="宋体" w:cs="宋体"/>
                <w:i w:val="0"/>
                <w:iCs w:val="0"/>
                <w:color w:val="000000"/>
                <w:sz w:val="18"/>
                <w:szCs w:val="18"/>
                <w:u w:val="none"/>
              </w:rPr>
            </w:pPr>
          </w:p>
        </w:tc>
      </w:tr>
      <w:tr w14:paraId="0B4C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40FC0DA">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714933">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A801D">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D98FD5">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EC1B">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982DC7E">
            <w:pPr>
              <w:jc w:val="right"/>
              <w:rPr>
                <w:rFonts w:hint="eastAsia" w:ascii="宋体" w:hAnsi="宋体" w:eastAsia="宋体" w:cs="宋体"/>
                <w:i w:val="0"/>
                <w:iCs w:val="0"/>
                <w:color w:val="000000"/>
                <w:sz w:val="18"/>
                <w:szCs w:val="18"/>
                <w:u w:val="none"/>
              </w:rPr>
            </w:pPr>
          </w:p>
        </w:tc>
      </w:tr>
      <w:tr w14:paraId="5E0FE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33D292D">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8B5AB2">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C1390">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32CFC6">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E13B">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CB98A07">
            <w:pPr>
              <w:jc w:val="right"/>
              <w:rPr>
                <w:rFonts w:hint="eastAsia" w:ascii="宋体" w:hAnsi="宋体" w:eastAsia="宋体" w:cs="宋体"/>
                <w:i w:val="0"/>
                <w:iCs w:val="0"/>
                <w:color w:val="000000"/>
                <w:sz w:val="18"/>
                <w:szCs w:val="18"/>
                <w:u w:val="none"/>
              </w:rPr>
            </w:pPr>
          </w:p>
        </w:tc>
      </w:tr>
      <w:tr w14:paraId="17137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FA5FFEB">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037896">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65288">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A76BE3">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D748">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4BA9D4D">
            <w:pPr>
              <w:jc w:val="right"/>
              <w:rPr>
                <w:rFonts w:hint="eastAsia" w:ascii="宋体" w:hAnsi="宋体" w:eastAsia="宋体" w:cs="宋体"/>
                <w:i w:val="0"/>
                <w:iCs w:val="0"/>
                <w:color w:val="000000"/>
                <w:sz w:val="18"/>
                <w:szCs w:val="18"/>
                <w:u w:val="none"/>
              </w:rPr>
            </w:pPr>
          </w:p>
        </w:tc>
      </w:tr>
      <w:tr w14:paraId="7E911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C3CC97E">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E34AFC">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91824">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313123">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CD2F">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51A681C">
            <w:pPr>
              <w:jc w:val="right"/>
              <w:rPr>
                <w:rFonts w:hint="eastAsia" w:ascii="宋体" w:hAnsi="宋体" w:eastAsia="宋体" w:cs="宋体"/>
                <w:i w:val="0"/>
                <w:iCs w:val="0"/>
                <w:color w:val="000000"/>
                <w:sz w:val="18"/>
                <w:szCs w:val="18"/>
                <w:u w:val="none"/>
              </w:rPr>
            </w:pPr>
          </w:p>
        </w:tc>
      </w:tr>
      <w:tr w14:paraId="2051A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44E33B8">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499CFA">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459EA">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0BAF95">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0D2D">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0F42D37">
            <w:pPr>
              <w:jc w:val="right"/>
              <w:rPr>
                <w:rFonts w:hint="eastAsia" w:ascii="宋体" w:hAnsi="宋体" w:eastAsia="宋体" w:cs="宋体"/>
                <w:i w:val="0"/>
                <w:iCs w:val="0"/>
                <w:color w:val="000000"/>
                <w:sz w:val="18"/>
                <w:szCs w:val="18"/>
                <w:u w:val="none"/>
              </w:rPr>
            </w:pPr>
          </w:p>
        </w:tc>
      </w:tr>
      <w:tr w14:paraId="13C99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6A2562A">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E717FB">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7377A">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F3CBD5">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1535">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99225ED">
            <w:pPr>
              <w:jc w:val="right"/>
              <w:rPr>
                <w:rFonts w:hint="eastAsia" w:ascii="宋体" w:hAnsi="宋体" w:eastAsia="宋体" w:cs="宋体"/>
                <w:i w:val="0"/>
                <w:iCs w:val="0"/>
                <w:color w:val="000000"/>
                <w:sz w:val="18"/>
                <w:szCs w:val="18"/>
                <w:u w:val="none"/>
              </w:rPr>
            </w:pPr>
          </w:p>
        </w:tc>
      </w:tr>
      <w:tr w14:paraId="79B7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4ECD903">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E8D02B">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6A5AC">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931601">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5B37">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F268F5E">
            <w:pPr>
              <w:jc w:val="right"/>
              <w:rPr>
                <w:rFonts w:hint="eastAsia" w:ascii="宋体" w:hAnsi="宋体" w:eastAsia="宋体" w:cs="宋体"/>
                <w:i w:val="0"/>
                <w:iCs w:val="0"/>
                <w:color w:val="000000"/>
                <w:sz w:val="18"/>
                <w:szCs w:val="18"/>
                <w:u w:val="none"/>
              </w:rPr>
            </w:pPr>
          </w:p>
        </w:tc>
      </w:tr>
      <w:tr w14:paraId="71BE7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8176022">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203678">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B76FF">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F5724D">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A60D">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ED16463">
            <w:pPr>
              <w:jc w:val="right"/>
              <w:rPr>
                <w:rFonts w:hint="eastAsia" w:ascii="宋体" w:hAnsi="宋体" w:eastAsia="宋体" w:cs="宋体"/>
                <w:i w:val="0"/>
                <w:iCs w:val="0"/>
                <w:color w:val="000000"/>
                <w:sz w:val="18"/>
                <w:szCs w:val="18"/>
                <w:u w:val="none"/>
              </w:rPr>
            </w:pPr>
          </w:p>
        </w:tc>
      </w:tr>
      <w:tr w14:paraId="5FB5D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A774109">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0F935B">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FE1FD">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F37617">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4248">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62DBEA3">
            <w:pPr>
              <w:jc w:val="right"/>
              <w:rPr>
                <w:rFonts w:hint="eastAsia" w:ascii="宋体" w:hAnsi="宋体" w:eastAsia="宋体" w:cs="宋体"/>
                <w:i w:val="0"/>
                <w:iCs w:val="0"/>
                <w:color w:val="000000"/>
                <w:sz w:val="18"/>
                <w:szCs w:val="18"/>
                <w:u w:val="none"/>
              </w:rPr>
            </w:pPr>
          </w:p>
        </w:tc>
      </w:tr>
      <w:tr w14:paraId="5266A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63D94AF">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46DF1C">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44686">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65D8A1">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785D">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C06C9AE">
            <w:pPr>
              <w:jc w:val="right"/>
              <w:rPr>
                <w:rFonts w:hint="eastAsia" w:ascii="宋体" w:hAnsi="宋体" w:eastAsia="宋体" w:cs="宋体"/>
                <w:i w:val="0"/>
                <w:iCs w:val="0"/>
                <w:color w:val="000000"/>
                <w:sz w:val="18"/>
                <w:szCs w:val="18"/>
                <w:u w:val="none"/>
              </w:rPr>
            </w:pPr>
          </w:p>
        </w:tc>
      </w:tr>
      <w:tr w14:paraId="44350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7A55450">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3E595B">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F1ECA">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30383C">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4D7A">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2426861">
            <w:pPr>
              <w:jc w:val="right"/>
              <w:rPr>
                <w:rFonts w:hint="eastAsia" w:ascii="宋体" w:hAnsi="宋体" w:eastAsia="宋体" w:cs="宋体"/>
                <w:i w:val="0"/>
                <w:iCs w:val="0"/>
                <w:color w:val="000000"/>
                <w:sz w:val="18"/>
                <w:szCs w:val="18"/>
                <w:u w:val="none"/>
              </w:rPr>
            </w:pPr>
          </w:p>
        </w:tc>
      </w:tr>
      <w:tr w14:paraId="23E7C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44A1251">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AF9ABE">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A045B">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0B229E">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EBAB">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E64BCDA">
            <w:pPr>
              <w:jc w:val="right"/>
              <w:rPr>
                <w:rFonts w:hint="eastAsia" w:ascii="宋体" w:hAnsi="宋体" w:eastAsia="宋体" w:cs="宋体"/>
                <w:i w:val="0"/>
                <w:iCs w:val="0"/>
                <w:color w:val="000000"/>
                <w:sz w:val="18"/>
                <w:szCs w:val="18"/>
                <w:u w:val="none"/>
              </w:rPr>
            </w:pPr>
          </w:p>
        </w:tc>
      </w:tr>
      <w:tr w14:paraId="0B028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50F5FAD">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5F3ECD">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30C70">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B590B4">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4085">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1FB54C6">
            <w:pPr>
              <w:jc w:val="right"/>
              <w:rPr>
                <w:rFonts w:hint="eastAsia" w:ascii="宋体" w:hAnsi="宋体" w:eastAsia="宋体" w:cs="宋体"/>
                <w:i w:val="0"/>
                <w:iCs w:val="0"/>
                <w:color w:val="000000"/>
                <w:sz w:val="18"/>
                <w:szCs w:val="18"/>
                <w:u w:val="none"/>
              </w:rPr>
            </w:pPr>
          </w:p>
        </w:tc>
      </w:tr>
      <w:tr w14:paraId="66E14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FBD2F99">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99A0A0">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F19D9">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9735C9">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70A2">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6FA2D6C">
            <w:pPr>
              <w:jc w:val="right"/>
              <w:rPr>
                <w:rFonts w:hint="eastAsia" w:ascii="宋体" w:hAnsi="宋体" w:eastAsia="宋体" w:cs="宋体"/>
                <w:i w:val="0"/>
                <w:iCs w:val="0"/>
                <w:color w:val="000000"/>
                <w:sz w:val="18"/>
                <w:szCs w:val="18"/>
                <w:u w:val="none"/>
              </w:rPr>
            </w:pPr>
          </w:p>
        </w:tc>
      </w:tr>
      <w:tr w14:paraId="2C8B1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9300" w:type="dxa"/>
            <w:gridSpan w:val="15"/>
            <w:tcBorders>
              <w:top w:val="single" w:color="000000" w:sz="4" w:space="0"/>
              <w:left w:val="single" w:color="000000" w:sz="8" w:space="0"/>
              <w:bottom w:val="single" w:color="000000" w:sz="8" w:space="0"/>
              <w:right w:val="single" w:color="000000" w:sz="8" w:space="0"/>
            </w:tcBorders>
            <w:shd w:val="clear" w:color="auto" w:fill="auto"/>
            <w:vAlign w:val="center"/>
          </w:tcPr>
          <w:p w14:paraId="5643E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第100章 总则 合计 人民币 0.00 元</w:t>
            </w:r>
          </w:p>
        </w:tc>
      </w:tr>
      <w:tr w14:paraId="051BF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182" w:type="dxa"/>
            <w:gridSpan w:val="2"/>
            <w:tcBorders>
              <w:top w:val="single" w:color="000000" w:sz="8" w:space="0"/>
              <w:left w:val="nil"/>
              <w:bottom w:val="nil"/>
              <w:right w:val="nil"/>
            </w:tcBorders>
            <w:shd w:val="clear" w:color="auto" w:fill="auto"/>
            <w:noWrap/>
            <w:vAlign w:val="top"/>
          </w:tcPr>
          <w:p w14:paraId="4F4C91D0">
            <w:pPr>
              <w:rPr>
                <w:rFonts w:hint="eastAsia" w:ascii="Arial" w:hAnsi="Arial" w:cs="Arial"/>
                <w:i w:val="0"/>
                <w:iCs w:val="0"/>
                <w:color w:val="000000"/>
                <w:sz w:val="20"/>
                <w:szCs w:val="20"/>
                <w:u w:val="none"/>
              </w:rPr>
            </w:pPr>
          </w:p>
        </w:tc>
        <w:tc>
          <w:tcPr>
            <w:tcW w:w="222" w:type="dxa"/>
            <w:tcBorders>
              <w:top w:val="single" w:color="000000" w:sz="8" w:space="0"/>
              <w:left w:val="nil"/>
              <w:bottom w:val="nil"/>
              <w:right w:val="nil"/>
            </w:tcBorders>
            <w:shd w:val="clear" w:color="auto" w:fill="auto"/>
            <w:noWrap/>
            <w:vAlign w:val="top"/>
          </w:tcPr>
          <w:p w14:paraId="064FDCBA">
            <w:pPr>
              <w:rPr>
                <w:rFonts w:hint="default" w:ascii="Arial" w:hAnsi="Arial" w:cs="Arial"/>
                <w:i w:val="0"/>
                <w:iCs w:val="0"/>
                <w:color w:val="000000"/>
                <w:sz w:val="20"/>
                <w:szCs w:val="20"/>
                <w:u w:val="none"/>
              </w:rPr>
            </w:pPr>
          </w:p>
        </w:tc>
        <w:tc>
          <w:tcPr>
            <w:tcW w:w="2961" w:type="dxa"/>
            <w:gridSpan w:val="3"/>
            <w:tcBorders>
              <w:top w:val="single" w:color="000000" w:sz="8" w:space="0"/>
              <w:left w:val="nil"/>
              <w:bottom w:val="nil"/>
              <w:right w:val="nil"/>
            </w:tcBorders>
            <w:shd w:val="clear" w:color="auto" w:fill="auto"/>
            <w:noWrap/>
            <w:vAlign w:val="top"/>
          </w:tcPr>
          <w:p w14:paraId="6581105C">
            <w:pPr>
              <w:rPr>
                <w:rFonts w:hint="default" w:ascii="Arial" w:hAnsi="Arial" w:cs="Arial"/>
                <w:i w:val="0"/>
                <w:iCs w:val="0"/>
                <w:color w:val="000000"/>
                <w:sz w:val="20"/>
                <w:szCs w:val="20"/>
                <w:u w:val="none"/>
              </w:rPr>
            </w:pPr>
          </w:p>
        </w:tc>
        <w:tc>
          <w:tcPr>
            <w:tcW w:w="222" w:type="dxa"/>
            <w:tcBorders>
              <w:top w:val="single" w:color="000000" w:sz="8" w:space="0"/>
              <w:left w:val="nil"/>
              <w:bottom w:val="nil"/>
              <w:right w:val="nil"/>
            </w:tcBorders>
            <w:shd w:val="clear" w:color="auto" w:fill="auto"/>
            <w:noWrap/>
            <w:vAlign w:val="top"/>
          </w:tcPr>
          <w:p w14:paraId="04E81C21">
            <w:pPr>
              <w:rPr>
                <w:rFonts w:hint="default" w:ascii="Arial" w:hAnsi="Arial" w:cs="Arial"/>
                <w:i w:val="0"/>
                <w:iCs w:val="0"/>
                <w:color w:val="000000"/>
                <w:sz w:val="20"/>
                <w:szCs w:val="20"/>
                <w:u w:val="none"/>
              </w:rPr>
            </w:pPr>
          </w:p>
        </w:tc>
        <w:tc>
          <w:tcPr>
            <w:tcW w:w="1260" w:type="dxa"/>
            <w:tcBorders>
              <w:top w:val="single" w:color="000000" w:sz="8" w:space="0"/>
              <w:left w:val="nil"/>
              <w:bottom w:val="nil"/>
              <w:right w:val="nil"/>
            </w:tcBorders>
            <w:shd w:val="clear" w:color="auto" w:fill="auto"/>
            <w:noWrap/>
            <w:vAlign w:val="top"/>
          </w:tcPr>
          <w:p w14:paraId="5E9BD1D3">
            <w:pPr>
              <w:rPr>
                <w:rFonts w:hint="default" w:ascii="Arial" w:hAnsi="Arial" w:cs="Arial"/>
                <w:i w:val="0"/>
                <w:iCs w:val="0"/>
                <w:color w:val="000000"/>
                <w:sz w:val="20"/>
                <w:szCs w:val="20"/>
                <w:u w:val="none"/>
              </w:rPr>
            </w:pPr>
          </w:p>
        </w:tc>
        <w:tc>
          <w:tcPr>
            <w:tcW w:w="1073" w:type="dxa"/>
            <w:gridSpan w:val="3"/>
            <w:tcBorders>
              <w:top w:val="single" w:color="000000" w:sz="8" w:space="0"/>
              <w:left w:val="nil"/>
              <w:bottom w:val="nil"/>
              <w:right w:val="nil"/>
            </w:tcBorders>
            <w:shd w:val="clear" w:color="auto" w:fill="auto"/>
            <w:noWrap/>
            <w:vAlign w:val="top"/>
          </w:tcPr>
          <w:p w14:paraId="49A703E1">
            <w:pPr>
              <w:rPr>
                <w:rFonts w:hint="default" w:ascii="Arial" w:hAnsi="Arial" w:cs="Arial"/>
                <w:i w:val="0"/>
                <w:iCs w:val="0"/>
                <w:color w:val="000000"/>
                <w:sz w:val="20"/>
                <w:szCs w:val="20"/>
                <w:u w:val="none"/>
              </w:rPr>
            </w:pPr>
          </w:p>
        </w:tc>
        <w:tc>
          <w:tcPr>
            <w:tcW w:w="300" w:type="dxa"/>
            <w:tcBorders>
              <w:top w:val="single" w:color="000000" w:sz="8" w:space="0"/>
              <w:left w:val="nil"/>
              <w:bottom w:val="nil"/>
              <w:right w:val="nil"/>
            </w:tcBorders>
            <w:shd w:val="clear" w:color="auto" w:fill="auto"/>
            <w:noWrap/>
            <w:vAlign w:val="top"/>
          </w:tcPr>
          <w:p w14:paraId="67D122CF">
            <w:pPr>
              <w:rPr>
                <w:rFonts w:hint="default" w:ascii="Arial" w:hAnsi="Arial" w:cs="Arial"/>
                <w:i w:val="0"/>
                <w:iCs w:val="0"/>
                <w:color w:val="000000"/>
                <w:sz w:val="20"/>
                <w:szCs w:val="20"/>
                <w:u w:val="none"/>
              </w:rPr>
            </w:pPr>
          </w:p>
        </w:tc>
        <w:tc>
          <w:tcPr>
            <w:tcW w:w="1048" w:type="dxa"/>
            <w:tcBorders>
              <w:top w:val="single" w:color="000000" w:sz="8" w:space="0"/>
              <w:left w:val="nil"/>
              <w:bottom w:val="nil"/>
              <w:right w:val="nil"/>
            </w:tcBorders>
            <w:shd w:val="clear" w:color="auto" w:fill="auto"/>
            <w:noWrap/>
            <w:vAlign w:val="top"/>
          </w:tcPr>
          <w:p w14:paraId="5B8498C7">
            <w:pPr>
              <w:rPr>
                <w:rFonts w:hint="default" w:ascii="Arial" w:hAnsi="Arial" w:cs="Arial"/>
                <w:i w:val="0"/>
                <w:iCs w:val="0"/>
                <w:color w:val="000000"/>
                <w:sz w:val="20"/>
                <w:szCs w:val="20"/>
                <w:u w:val="none"/>
              </w:rPr>
            </w:pPr>
          </w:p>
        </w:tc>
        <w:tc>
          <w:tcPr>
            <w:tcW w:w="1032" w:type="dxa"/>
            <w:gridSpan w:val="2"/>
            <w:tcBorders>
              <w:top w:val="single" w:color="000000" w:sz="8" w:space="0"/>
              <w:left w:val="nil"/>
              <w:bottom w:val="nil"/>
              <w:right w:val="nil"/>
            </w:tcBorders>
            <w:shd w:val="clear" w:color="auto" w:fill="auto"/>
            <w:noWrap/>
            <w:vAlign w:val="top"/>
          </w:tcPr>
          <w:p w14:paraId="05E40985">
            <w:pPr>
              <w:rPr>
                <w:rFonts w:hint="default" w:ascii="Arial" w:hAnsi="Arial" w:cs="Arial"/>
                <w:i w:val="0"/>
                <w:iCs w:val="0"/>
                <w:color w:val="000000"/>
                <w:sz w:val="20"/>
                <w:szCs w:val="20"/>
                <w:u w:val="none"/>
              </w:rPr>
            </w:pPr>
          </w:p>
        </w:tc>
      </w:tr>
      <w:tr w14:paraId="1CADD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82" w:type="dxa"/>
            <w:gridSpan w:val="2"/>
            <w:tcBorders>
              <w:top w:val="nil"/>
              <w:left w:val="nil"/>
              <w:bottom w:val="nil"/>
              <w:right w:val="nil"/>
            </w:tcBorders>
            <w:shd w:val="clear" w:color="auto" w:fill="auto"/>
            <w:noWrap/>
            <w:vAlign w:val="bottom"/>
          </w:tcPr>
          <w:p w14:paraId="14CF4505">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5A9A6152">
            <w:pPr>
              <w:rPr>
                <w:rFonts w:hint="default" w:ascii="Arial" w:hAnsi="Arial" w:cs="Arial"/>
                <w:i w:val="0"/>
                <w:iCs w:val="0"/>
                <w:color w:val="000000"/>
                <w:sz w:val="20"/>
                <w:szCs w:val="20"/>
                <w:u w:val="none"/>
              </w:rPr>
            </w:pPr>
          </w:p>
        </w:tc>
        <w:tc>
          <w:tcPr>
            <w:tcW w:w="2961" w:type="dxa"/>
            <w:gridSpan w:val="3"/>
            <w:tcBorders>
              <w:top w:val="nil"/>
              <w:left w:val="nil"/>
              <w:bottom w:val="nil"/>
              <w:right w:val="nil"/>
            </w:tcBorders>
            <w:shd w:val="clear" w:color="auto" w:fill="auto"/>
            <w:noWrap/>
            <w:vAlign w:val="bottom"/>
          </w:tcPr>
          <w:p w14:paraId="5403E2D6">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5C24AD3F">
            <w:pPr>
              <w:rPr>
                <w:rFonts w:hint="default" w:ascii="Arial" w:hAnsi="Arial" w:cs="Arial"/>
                <w:i w:val="0"/>
                <w:iCs w:val="0"/>
                <w:color w:val="000000"/>
                <w:sz w:val="20"/>
                <w:szCs w:val="20"/>
                <w:u w:val="none"/>
              </w:rPr>
            </w:pPr>
          </w:p>
        </w:tc>
        <w:tc>
          <w:tcPr>
            <w:tcW w:w="4713" w:type="dxa"/>
            <w:gridSpan w:val="8"/>
            <w:tcBorders>
              <w:top w:val="nil"/>
              <w:left w:val="nil"/>
              <w:bottom w:val="nil"/>
              <w:right w:val="nil"/>
            </w:tcBorders>
            <w:shd w:val="clear" w:color="auto" w:fill="auto"/>
            <w:vAlign w:val="center"/>
          </w:tcPr>
          <w:p w14:paraId="7943FC3B">
            <w:pPr>
              <w:keepNext w:val="0"/>
              <w:keepLines w:val="0"/>
              <w:widowControl/>
              <w:suppressLineNumbers w:val="0"/>
              <w:jc w:val="right"/>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【新点2013公路造价新疆版 V10.4.6】</w:t>
            </w:r>
          </w:p>
        </w:tc>
      </w:tr>
      <w:tr w14:paraId="1A66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182" w:type="dxa"/>
            <w:gridSpan w:val="2"/>
            <w:tcBorders>
              <w:top w:val="nil"/>
              <w:left w:val="nil"/>
              <w:bottom w:val="nil"/>
              <w:right w:val="nil"/>
            </w:tcBorders>
            <w:shd w:val="clear" w:color="auto" w:fill="auto"/>
            <w:noWrap/>
            <w:vAlign w:val="bottom"/>
          </w:tcPr>
          <w:p w14:paraId="356FCC92">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3D362574">
            <w:pPr>
              <w:rPr>
                <w:rFonts w:hint="default" w:ascii="Arial" w:hAnsi="Arial" w:cs="Arial"/>
                <w:i w:val="0"/>
                <w:iCs w:val="0"/>
                <w:color w:val="000000"/>
                <w:sz w:val="20"/>
                <w:szCs w:val="20"/>
                <w:u w:val="none"/>
              </w:rPr>
            </w:pPr>
          </w:p>
        </w:tc>
        <w:tc>
          <w:tcPr>
            <w:tcW w:w="2961" w:type="dxa"/>
            <w:gridSpan w:val="3"/>
            <w:tcBorders>
              <w:top w:val="nil"/>
              <w:left w:val="nil"/>
              <w:bottom w:val="nil"/>
              <w:right w:val="nil"/>
            </w:tcBorders>
            <w:shd w:val="clear" w:color="auto" w:fill="auto"/>
            <w:noWrap/>
            <w:vAlign w:val="bottom"/>
          </w:tcPr>
          <w:p w14:paraId="525DAB81">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04E5E0CF">
            <w:pPr>
              <w:rPr>
                <w:rFonts w:hint="default" w:ascii="Arial" w:hAnsi="Arial" w:cs="Arial"/>
                <w:i w:val="0"/>
                <w:iCs w:val="0"/>
                <w:color w:val="000000"/>
                <w:sz w:val="20"/>
                <w:szCs w:val="20"/>
                <w:u w:val="none"/>
              </w:rPr>
            </w:pPr>
          </w:p>
        </w:tc>
        <w:tc>
          <w:tcPr>
            <w:tcW w:w="1260" w:type="dxa"/>
            <w:tcBorders>
              <w:top w:val="nil"/>
              <w:left w:val="nil"/>
              <w:bottom w:val="nil"/>
              <w:right w:val="nil"/>
            </w:tcBorders>
            <w:shd w:val="clear" w:color="auto" w:fill="auto"/>
            <w:noWrap/>
            <w:vAlign w:val="bottom"/>
          </w:tcPr>
          <w:p w14:paraId="7C40A45B">
            <w:pPr>
              <w:rPr>
                <w:rFonts w:hint="default" w:ascii="Arial" w:hAnsi="Arial" w:cs="Arial"/>
                <w:i w:val="0"/>
                <w:iCs w:val="0"/>
                <w:color w:val="000000"/>
                <w:sz w:val="20"/>
                <w:szCs w:val="20"/>
                <w:u w:val="none"/>
              </w:rPr>
            </w:pPr>
          </w:p>
        </w:tc>
        <w:tc>
          <w:tcPr>
            <w:tcW w:w="1073" w:type="dxa"/>
            <w:gridSpan w:val="3"/>
            <w:tcBorders>
              <w:top w:val="nil"/>
              <w:left w:val="nil"/>
              <w:bottom w:val="nil"/>
              <w:right w:val="nil"/>
            </w:tcBorders>
            <w:shd w:val="clear" w:color="auto" w:fill="auto"/>
            <w:noWrap/>
            <w:vAlign w:val="bottom"/>
          </w:tcPr>
          <w:p w14:paraId="45597CAB">
            <w:pPr>
              <w:rPr>
                <w:rFonts w:hint="default" w:ascii="Arial" w:hAnsi="Arial" w:cs="Arial"/>
                <w:i w:val="0"/>
                <w:iCs w:val="0"/>
                <w:color w:val="000000"/>
                <w:sz w:val="20"/>
                <w:szCs w:val="20"/>
                <w:u w:val="none"/>
              </w:rPr>
            </w:pPr>
          </w:p>
        </w:tc>
        <w:tc>
          <w:tcPr>
            <w:tcW w:w="300" w:type="dxa"/>
            <w:tcBorders>
              <w:top w:val="nil"/>
              <w:left w:val="nil"/>
              <w:bottom w:val="nil"/>
              <w:right w:val="nil"/>
            </w:tcBorders>
            <w:shd w:val="clear" w:color="auto" w:fill="auto"/>
            <w:noWrap/>
            <w:vAlign w:val="bottom"/>
          </w:tcPr>
          <w:p w14:paraId="092237E5">
            <w:pPr>
              <w:rPr>
                <w:rFonts w:hint="default" w:ascii="Arial" w:hAnsi="Arial" w:cs="Arial"/>
                <w:i w:val="0"/>
                <w:iCs w:val="0"/>
                <w:color w:val="000000"/>
                <w:sz w:val="20"/>
                <w:szCs w:val="20"/>
                <w:u w:val="none"/>
              </w:rPr>
            </w:pPr>
          </w:p>
        </w:tc>
        <w:tc>
          <w:tcPr>
            <w:tcW w:w="1048" w:type="dxa"/>
            <w:tcBorders>
              <w:top w:val="nil"/>
              <w:left w:val="nil"/>
              <w:bottom w:val="nil"/>
              <w:right w:val="nil"/>
            </w:tcBorders>
            <w:shd w:val="clear" w:color="auto" w:fill="auto"/>
            <w:noWrap/>
            <w:vAlign w:val="bottom"/>
          </w:tcPr>
          <w:p w14:paraId="7661FC54">
            <w:pPr>
              <w:rPr>
                <w:rFonts w:hint="default" w:ascii="Arial" w:hAnsi="Arial" w:cs="Arial"/>
                <w:i w:val="0"/>
                <w:iCs w:val="0"/>
                <w:color w:val="000000"/>
                <w:sz w:val="20"/>
                <w:szCs w:val="20"/>
                <w:u w:val="none"/>
              </w:rPr>
            </w:pPr>
          </w:p>
        </w:tc>
        <w:tc>
          <w:tcPr>
            <w:tcW w:w="1032" w:type="dxa"/>
            <w:gridSpan w:val="2"/>
            <w:tcBorders>
              <w:top w:val="nil"/>
              <w:left w:val="nil"/>
              <w:bottom w:val="nil"/>
              <w:right w:val="nil"/>
            </w:tcBorders>
            <w:shd w:val="clear" w:color="auto" w:fill="auto"/>
            <w:noWrap/>
            <w:vAlign w:val="bottom"/>
          </w:tcPr>
          <w:p w14:paraId="1BF5EE12">
            <w:pPr>
              <w:rPr>
                <w:rFonts w:hint="default" w:ascii="Arial" w:hAnsi="Arial" w:cs="Arial"/>
                <w:i w:val="0"/>
                <w:iCs w:val="0"/>
                <w:color w:val="000000"/>
                <w:sz w:val="20"/>
                <w:szCs w:val="20"/>
                <w:u w:val="none"/>
              </w:rPr>
            </w:pPr>
          </w:p>
        </w:tc>
      </w:tr>
      <w:tr w14:paraId="3B7C1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5" w:hRule="atLeast"/>
        </w:trPr>
        <w:tc>
          <w:tcPr>
            <w:tcW w:w="9300" w:type="dxa"/>
            <w:gridSpan w:val="15"/>
            <w:tcBorders>
              <w:top w:val="nil"/>
              <w:left w:val="nil"/>
              <w:bottom w:val="nil"/>
              <w:right w:val="nil"/>
            </w:tcBorders>
            <w:shd w:val="clear" w:color="auto" w:fill="auto"/>
            <w:noWrap/>
            <w:vAlign w:val="center"/>
          </w:tcPr>
          <w:p w14:paraId="42B8D690">
            <w:pPr>
              <w:keepNext w:val="0"/>
              <w:keepLines w:val="0"/>
              <w:widowControl/>
              <w:suppressLineNumbers w:val="0"/>
              <w:jc w:val="center"/>
              <w:textAlignment w:val="center"/>
              <w:rPr>
                <w:rFonts w:hint="eastAsia" w:ascii="宋体" w:hAnsi="宋体" w:eastAsia="宋体" w:cs="宋体"/>
                <w:b/>
                <w:bCs/>
                <w:i w:val="0"/>
                <w:iCs w:val="0"/>
                <w:color w:val="000000"/>
                <w:sz w:val="31"/>
                <w:szCs w:val="31"/>
                <w:u w:val="none"/>
              </w:rPr>
            </w:pPr>
            <w:r>
              <w:rPr>
                <w:rFonts w:hint="eastAsia" w:ascii="宋体" w:hAnsi="宋体" w:eastAsia="宋体" w:cs="宋体"/>
                <w:b/>
                <w:bCs/>
                <w:i w:val="0"/>
                <w:iCs w:val="0"/>
                <w:color w:val="000000"/>
                <w:kern w:val="0"/>
                <w:sz w:val="31"/>
                <w:szCs w:val="31"/>
                <w:u w:val="none"/>
                <w:lang w:val="en-US" w:eastAsia="zh-CN" w:bidi="ar"/>
              </w:rPr>
              <w:t>工程量清单表</w:t>
            </w:r>
          </w:p>
        </w:tc>
      </w:tr>
      <w:tr w14:paraId="211D4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920" w:type="dxa"/>
            <w:gridSpan w:val="11"/>
            <w:tcBorders>
              <w:top w:val="nil"/>
              <w:left w:val="nil"/>
              <w:bottom w:val="single" w:color="000000" w:sz="8" w:space="0"/>
              <w:right w:val="nil"/>
            </w:tcBorders>
            <w:shd w:val="clear" w:color="auto" w:fill="auto"/>
            <w:vAlign w:val="center"/>
          </w:tcPr>
          <w:p w14:paraId="63D8B8B6">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项目名称：疏勒县良种繁育场种畜二队路面便化工程项目</w:t>
            </w:r>
          </w:p>
        </w:tc>
        <w:tc>
          <w:tcPr>
            <w:tcW w:w="2380" w:type="dxa"/>
            <w:gridSpan w:val="4"/>
            <w:tcBorders>
              <w:top w:val="nil"/>
              <w:left w:val="nil"/>
              <w:bottom w:val="single" w:color="000000" w:sz="8" w:space="0"/>
              <w:right w:val="nil"/>
            </w:tcBorders>
            <w:shd w:val="clear" w:color="auto" w:fill="auto"/>
            <w:noWrap/>
            <w:vAlign w:val="center"/>
          </w:tcPr>
          <w:p w14:paraId="4176DC48">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第2页 共4页</w:t>
            </w:r>
          </w:p>
        </w:tc>
      </w:tr>
      <w:tr w14:paraId="2E41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300" w:type="dxa"/>
            <w:gridSpan w:val="15"/>
            <w:tcBorders>
              <w:top w:val="single" w:color="000000" w:sz="8" w:space="0"/>
              <w:left w:val="single" w:color="000000" w:sz="8" w:space="0"/>
              <w:bottom w:val="single" w:color="000000" w:sz="4" w:space="0"/>
              <w:right w:val="single" w:color="000000" w:sz="8" w:space="0"/>
            </w:tcBorders>
            <w:shd w:val="clear" w:color="auto" w:fill="auto"/>
            <w:noWrap/>
            <w:vAlign w:val="center"/>
          </w:tcPr>
          <w:p w14:paraId="4F49C0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路基土石方</w:t>
            </w:r>
          </w:p>
        </w:tc>
      </w:tr>
      <w:tr w14:paraId="09EAA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E625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细目号</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E5F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细目名称</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AA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355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5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C090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r>
      <w:tr w14:paraId="01612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F4C6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6BF7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拆除结构物</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CE68C">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A54859">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01C7">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8D78A3C">
            <w:pPr>
              <w:jc w:val="right"/>
              <w:rPr>
                <w:rFonts w:hint="eastAsia" w:ascii="宋体" w:hAnsi="宋体" w:eastAsia="宋体" w:cs="宋体"/>
                <w:i w:val="0"/>
                <w:iCs w:val="0"/>
                <w:color w:val="000000"/>
                <w:sz w:val="18"/>
                <w:szCs w:val="18"/>
                <w:u w:val="none"/>
              </w:rPr>
            </w:pPr>
          </w:p>
        </w:tc>
      </w:tr>
      <w:tr w14:paraId="368BD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9284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87DF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混凝土结构</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FE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1243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D96C">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DE13F53">
            <w:pPr>
              <w:jc w:val="right"/>
              <w:rPr>
                <w:rFonts w:hint="eastAsia" w:ascii="宋体" w:hAnsi="宋体" w:eastAsia="宋体" w:cs="宋体"/>
                <w:i w:val="0"/>
                <w:iCs w:val="0"/>
                <w:color w:val="000000"/>
                <w:sz w:val="18"/>
                <w:szCs w:val="18"/>
                <w:u w:val="none"/>
              </w:rPr>
            </w:pPr>
          </w:p>
        </w:tc>
      </w:tr>
      <w:tr w14:paraId="02E8B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54D6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203-1</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C5DB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路基挖方</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48505">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473AFB">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12BE">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5AD1FF9">
            <w:pPr>
              <w:jc w:val="right"/>
              <w:rPr>
                <w:rFonts w:hint="eastAsia" w:ascii="宋体" w:hAnsi="宋体" w:eastAsia="宋体" w:cs="宋体"/>
                <w:i w:val="0"/>
                <w:iCs w:val="0"/>
                <w:color w:val="000000"/>
                <w:sz w:val="18"/>
                <w:szCs w:val="18"/>
                <w:u w:val="none"/>
              </w:rPr>
            </w:pPr>
          </w:p>
        </w:tc>
      </w:tr>
      <w:tr w14:paraId="7F456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4D4E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44E8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挖土方</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66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3B1B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1767.3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C123">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77207A9">
            <w:pPr>
              <w:jc w:val="right"/>
              <w:rPr>
                <w:rFonts w:hint="eastAsia" w:ascii="宋体" w:hAnsi="宋体" w:eastAsia="宋体" w:cs="宋体"/>
                <w:i w:val="0"/>
                <w:iCs w:val="0"/>
                <w:color w:val="000000"/>
                <w:sz w:val="18"/>
                <w:szCs w:val="18"/>
                <w:u w:val="none"/>
              </w:rPr>
            </w:pPr>
          </w:p>
        </w:tc>
      </w:tr>
      <w:tr w14:paraId="4FF35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2AD4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495F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挖除非适用材料（不含淤泥）</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DF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5413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2232">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CC2BA30">
            <w:pPr>
              <w:jc w:val="right"/>
              <w:rPr>
                <w:rFonts w:hint="eastAsia" w:ascii="宋体" w:hAnsi="宋体" w:eastAsia="宋体" w:cs="宋体"/>
                <w:i w:val="0"/>
                <w:iCs w:val="0"/>
                <w:color w:val="000000"/>
                <w:sz w:val="18"/>
                <w:szCs w:val="18"/>
                <w:u w:val="none"/>
              </w:rPr>
            </w:pPr>
          </w:p>
        </w:tc>
      </w:tr>
      <w:tr w14:paraId="5003A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BD0C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204-1</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09F2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路基填筑（包括填前压实）</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B25C9">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42CAEF">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6468">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7447C40">
            <w:pPr>
              <w:jc w:val="right"/>
              <w:rPr>
                <w:rFonts w:hint="eastAsia" w:ascii="宋体" w:hAnsi="宋体" w:eastAsia="宋体" w:cs="宋体"/>
                <w:i w:val="0"/>
                <w:iCs w:val="0"/>
                <w:color w:val="000000"/>
                <w:sz w:val="18"/>
                <w:szCs w:val="18"/>
                <w:u w:val="none"/>
              </w:rPr>
            </w:pPr>
          </w:p>
        </w:tc>
      </w:tr>
      <w:tr w14:paraId="17D93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B9C9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78D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借土填方</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AF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FD4D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209F">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1DFB3FC">
            <w:pPr>
              <w:jc w:val="right"/>
              <w:rPr>
                <w:rFonts w:hint="eastAsia" w:ascii="宋体" w:hAnsi="宋体" w:eastAsia="宋体" w:cs="宋体"/>
                <w:i w:val="0"/>
                <w:iCs w:val="0"/>
                <w:color w:val="000000"/>
                <w:sz w:val="18"/>
                <w:szCs w:val="18"/>
                <w:u w:val="none"/>
              </w:rPr>
            </w:pPr>
          </w:p>
        </w:tc>
      </w:tr>
      <w:tr w14:paraId="22641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E46C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205-1</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34D4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软土地基处理</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B589B">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DDF219">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8542">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C052AFE">
            <w:pPr>
              <w:jc w:val="right"/>
              <w:rPr>
                <w:rFonts w:hint="eastAsia" w:ascii="宋体" w:hAnsi="宋体" w:eastAsia="宋体" w:cs="宋体"/>
                <w:i w:val="0"/>
                <w:iCs w:val="0"/>
                <w:color w:val="000000"/>
                <w:sz w:val="18"/>
                <w:szCs w:val="18"/>
                <w:u w:val="none"/>
              </w:rPr>
            </w:pPr>
          </w:p>
        </w:tc>
      </w:tr>
      <w:tr w14:paraId="0F3C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7F3D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A7B1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8C644">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125429">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2DC1">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C3712BE">
            <w:pPr>
              <w:jc w:val="right"/>
              <w:rPr>
                <w:rFonts w:hint="eastAsia" w:ascii="宋体" w:hAnsi="宋体" w:eastAsia="宋体" w:cs="宋体"/>
                <w:i w:val="0"/>
                <w:iCs w:val="0"/>
                <w:color w:val="000000"/>
                <w:sz w:val="18"/>
                <w:szCs w:val="18"/>
                <w:u w:val="none"/>
              </w:rPr>
            </w:pPr>
          </w:p>
        </w:tc>
      </w:tr>
      <w:tr w14:paraId="628FF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D53F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CDFF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砂砾垫层(换填)</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34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B655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0A9E">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B2567F3">
            <w:pPr>
              <w:jc w:val="right"/>
              <w:rPr>
                <w:rFonts w:hint="eastAsia" w:ascii="宋体" w:hAnsi="宋体" w:eastAsia="宋体" w:cs="宋体"/>
                <w:i w:val="0"/>
                <w:iCs w:val="0"/>
                <w:color w:val="000000"/>
                <w:sz w:val="18"/>
                <w:szCs w:val="18"/>
                <w:u w:val="none"/>
              </w:rPr>
            </w:pPr>
          </w:p>
        </w:tc>
      </w:tr>
      <w:tr w14:paraId="43CF0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9753893">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E953EA">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8F9D2">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1AD740">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B3D3">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3E74DA3">
            <w:pPr>
              <w:jc w:val="right"/>
              <w:rPr>
                <w:rFonts w:hint="eastAsia" w:ascii="宋体" w:hAnsi="宋体" w:eastAsia="宋体" w:cs="宋体"/>
                <w:i w:val="0"/>
                <w:iCs w:val="0"/>
                <w:color w:val="000000"/>
                <w:sz w:val="18"/>
                <w:szCs w:val="18"/>
                <w:u w:val="none"/>
              </w:rPr>
            </w:pPr>
          </w:p>
        </w:tc>
      </w:tr>
      <w:tr w14:paraId="18DE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8E43E2E">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FE1491">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C66B1">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7CB4B8">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E559">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7982AC0">
            <w:pPr>
              <w:jc w:val="right"/>
              <w:rPr>
                <w:rFonts w:hint="eastAsia" w:ascii="宋体" w:hAnsi="宋体" w:eastAsia="宋体" w:cs="宋体"/>
                <w:i w:val="0"/>
                <w:iCs w:val="0"/>
                <w:color w:val="000000"/>
                <w:sz w:val="18"/>
                <w:szCs w:val="18"/>
                <w:u w:val="none"/>
              </w:rPr>
            </w:pPr>
          </w:p>
        </w:tc>
      </w:tr>
      <w:tr w14:paraId="77FA5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BB37F60">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6163A4">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98410">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9D2133">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BDF1">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A5EE6BA">
            <w:pPr>
              <w:jc w:val="right"/>
              <w:rPr>
                <w:rFonts w:hint="eastAsia" w:ascii="宋体" w:hAnsi="宋体" w:eastAsia="宋体" w:cs="宋体"/>
                <w:i w:val="0"/>
                <w:iCs w:val="0"/>
                <w:color w:val="000000"/>
                <w:sz w:val="18"/>
                <w:szCs w:val="18"/>
                <w:u w:val="none"/>
              </w:rPr>
            </w:pPr>
          </w:p>
        </w:tc>
      </w:tr>
      <w:tr w14:paraId="78FFF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9449D67">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9B2B16">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77A80">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20AA89">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85BA">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493F315">
            <w:pPr>
              <w:jc w:val="right"/>
              <w:rPr>
                <w:rFonts w:hint="eastAsia" w:ascii="宋体" w:hAnsi="宋体" w:eastAsia="宋体" w:cs="宋体"/>
                <w:i w:val="0"/>
                <w:iCs w:val="0"/>
                <w:color w:val="000000"/>
                <w:sz w:val="18"/>
                <w:szCs w:val="18"/>
                <w:u w:val="none"/>
              </w:rPr>
            </w:pPr>
          </w:p>
        </w:tc>
      </w:tr>
      <w:tr w14:paraId="5D3AE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156F21B">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289CC5">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99C78">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E4669A">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D155">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B0C8A23">
            <w:pPr>
              <w:jc w:val="right"/>
              <w:rPr>
                <w:rFonts w:hint="eastAsia" w:ascii="宋体" w:hAnsi="宋体" w:eastAsia="宋体" w:cs="宋体"/>
                <w:i w:val="0"/>
                <w:iCs w:val="0"/>
                <w:color w:val="000000"/>
                <w:sz w:val="18"/>
                <w:szCs w:val="18"/>
                <w:u w:val="none"/>
              </w:rPr>
            </w:pPr>
          </w:p>
        </w:tc>
      </w:tr>
      <w:tr w14:paraId="3801E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C892F21">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EAEC86">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F64CE">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B32193">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B1AC">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D83E70F">
            <w:pPr>
              <w:jc w:val="right"/>
              <w:rPr>
                <w:rFonts w:hint="eastAsia" w:ascii="宋体" w:hAnsi="宋体" w:eastAsia="宋体" w:cs="宋体"/>
                <w:i w:val="0"/>
                <w:iCs w:val="0"/>
                <w:color w:val="000000"/>
                <w:sz w:val="18"/>
                <w:szCs w:val="18"/>
                <w:u w:val="none"/>
              </w:rPr>
            </w:pPr>
          </w:p>
        </w:tc>
      </w:tr>
      <w:tr w14:paraId="7ED14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27C93A9">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B5F24A">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82C1D">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42A05F">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15EE">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D9876A7">
            <w:pPr>
              <w:jc w:val="right"/>
              <w:rPr>
                <w:rFonts w:hint="eastAsia" w:ascii="宋体" w:hAnsi="宋体" w:eastAsia="宋体" w:cs="宋体"/>
                <w:i w:val="0"/>
                <w:iCs w:val="0"/>
                <w:color w:val="000000"/>
                <w:sz w:val="18"/>
                <w:szCs w:val="18"/>
                <w:u w:val="none"/>
              </w:rPr>
            </w:pPr>
          </w:p>
        </w:tc>
      </w:tr>
      <w:tr w14:paraId="058FE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B067BB4">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B463A9">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41303">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AD7D2A">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56ED">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5894F1E">
            <w:pPr>
              <w:jc w:val="right"/>
              <w:rPr>
                <w:rFonts w:hint="eastAsia" w:ascii="宋体" w:hAnsi="宋体" w:eastAsia="宋体" w:cs="宋体"/>
                <w:i w:val="0"/>
                <w:iCs w:val="0"/>
                <w:color w:val="000000"/>
                <w:sz w:val="18"/>
                <w:szCs w:val="18"/>
                <w:u w:val="none"/>
              </w:rPr>
            </w:pPr>
          </w:p>
        </w:tc>
      </w:tr>
      <w:tr w14:paraId="7B47B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EEBBB9D">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267C58">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F0319">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3FB3C5">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BDDC">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582844A">
            <w:pPr>
              <w:jc w:val="right"/>
              <w:rPr>
                <w:rFonts w:hint="eastAsia" w:ascii="宋体" w:hAnsi="宋体" w:eastAsia="宋体" w:cs="宋体"/>
                <w:i w:val="0"/>
                <w:iCs w:val="0"/>
                <w:color w:val="000000"/>
                <w:sz w:val="18"/>
                <w:szCs w:val="18"/>
                <w:u w:val="none"/>
              </w:rPr>
            </w:pPr>
          </w:p>
        </w:tc>
      </w:tr>
      <w:tr w14:paraId="0A675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62663F2">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8BD16D">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AB4DD">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56A530">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4938">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B28C164">
            <w:pPr>
              <w:jc w:val="right"/>
              <w:rPr>
                <w:rFonts w:hint="eastAsia" w:ascii="宋体" w:hAnsi="宋体" w:eastAsia="宋体" w:cs="宋体"/>
                <w:i w:val="0"/>
                <w:iCs w:val="0"/>
                <w:color w:val="000000"/>
                <w:sz w:val="18"/>
                <w:szCs w:val="18"/>
                <w:u w:val="none"/>
              </w:rPr>
            </w:pPr>
          </w:p>
        </w:tc>
      </w:tr>
      <w:tr w14:paraId="024CD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C470778">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3BBF75">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7B71B">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BA4FCE">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33DC">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73D5F77">
            <w:pPr>
              <w:jc w:val="right"/>
              <w:rPr>
                <w:rFonts w:hint="eastAsia" w:ascii="宋体" w:hAnsi="宋体" w:eastAsia="宋体" w:cs="宋体"/>
                <w:i w:val="0"/>
                <w:iCs w:val="0"/>
                <w:color w:val="000000"/>
                <w:sz w:val="18"/>
                <w:szCs w:val="18"/>
                <w:u w:val="none"/>
              </w:rPr>
            </w:pPr>
          </w:p>
        </w:tc>
      </w:tr>
      <w:tr w14:paraId="2CDA3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80021BD">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E72C58">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3A2E5">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6723D5">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3638">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D4F1500">
            <w:pPr>
              <w:jc w:val="right"/>
              <w:rPr>
                <w:rFonts w:hint="eastAsia" w:ascii="宋体" w:hAnsi="宋体" w:eastAsia="宋体" w:cs="宋体"/>
                <w:i w:val="0"/>
                <w:iCs w:val="0"/>
                <w:color w:val="000000"/>
                <w:sz w:val="18"/>
                <w:szCs w:val="18"/>
                <w:u w:val="none"/>
              </w:rPr>
            </w:pPr>
          </w:p>
        </w:tc>
      </w:tr>
      <w:tr w14:paraId="4FF97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09C78AB">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E0880D">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B344C">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6D84A6">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D493">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AFBFAB8">
            <w:pPr>
              <w:jc w:val="right"/>
              <w:rPr>
                <w:rFonts w:hint="eastAsia" w:ascii="宋体" w:hAnsi="宋体" w:eastAsia="宋体" w:cs="宋体"/>
                <w:i w:val="0"/>
                <w:iCs w:val="0"/>
                <w:color w:val="000000"/>
                <w:sz w:val="18"/>
                <w:szCs w:val="18"/>
                <w:u w:val="none"/>
              </w:rPr>
            </w:pPr>
          </w:p>
        </w:tc>
      </w:tr>
      <w:tr w14:paraId="2CE68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B8EE0A6">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8C4745">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06CA3">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7B98D7">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E1D0">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64C5091">
            <w:pPr>
              <w:jc w:val="right"/>
              <w:rPr>
                <w:rFonts w:hint="eastAsia" w:ascii="宋体" w:hAnsi="宋体" w:eastAsia="宋体" w:cs="宋体"/>
                <w:i w:val="0"/>
                <w:iCs w:val="0"/>
                <w:color w:val="000000"/>
                <w:sz w:val="18"/>
                <w:szCs w:val="18"/>
                <w:u w:val="none"/>
              </w:rPr>
            </w:pPr>
          </w:p>
        </w:tc>
      </w:tr>
      <w:tr w14:paraId="3A17D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C957B12">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78480C">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40A5A">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09527E">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4AB6">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EC3797B">
            <w:pPr>
              <w:jc w:val="right"/>
              <w:rPr>
                <w:rFonts w:hint="eastAsia" w:ascii="宋体" w:hAnsi="宋体" w:eastAsia="宋体" w:cs="宋体"/>
                <w:i w:val="0"/>
                <w:iCs w:val="0"/>
                <w:color w:val="000000"/>
                <w:sz w:val="18"/>
                <w:szCs w:val="18"/>
                <w:u w:val="none"/>
              </w:rPr>
            </w:pPr>
          </w:p>
        </w:tc>
      </w:tr>
      <w:tr w14:paraId="02D28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5F27000">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1E1C26">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61A73">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64D43C">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ED3B">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1458F53">
            <w:pPr>
              <w:jc w:val="right"/>
              <w:rPr>
                <w:rFonts w:hint="eastAsia" w:ascii="宋体" w:hAnsi="宋体" w:eastAsia="宋体" w:cs="宋体"/>
                <w:i w:val="0"/>
                <w:iCs w:val="0"/>
                <w:color w:val="000000"/>
                <w:sz w:val="18"/>
                <w:szCs w:val="18"/>
                <w:u w:val="none"/>
              </w:rPr>
            </w:pPr>
          </w:p>
        </w:tc>
      </w:tr>
      <w:tr w14:paraId="57910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5D2ECBA">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06FBB3">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996BF">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DA69CC">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1DDE">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23E11F2">
            <w:pPr>
              <w:jc w:val="right"/>
              <w:rPr>
                <w:rFonts w:hint="eastAsia" w:ascii="宋体" w:hAnsi="宋体" w:eastAsia="宋体" w:cs="宋体"/>
                <w:i w:val="0"/>
                <w:iCs w:val="0"/>
                <w:color w:val="000000"/>
                <w:sz w:val="18"/>
                <w:szCs w:val="18"/>
                <w:u w:val="none"/>
              </w:rPr>
            </w:pPr>
          </w:p>
        </w:tc>
      </w:tr>
      <w:tr w14:paraId="48EE6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518C13F">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49A554">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07B8C">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A536A5">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E381">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39FA2DE">
            <w:pPr>
              <w:jc w:val="right"/>
              <w:rPr>
                <w:rFonts w:hint="eastAsia" w:ascii="宋体" w:hAnsi="宋体" w:eastAsia="宋体" w:cs="宋体"/>
                <w:i w:val="0"/>
                <w:iCs w:val="0"/>
                <w:color w:val="000000"/>
                <w:sz w:val="18"/>
                <w:szCs w:val="18"/>
                <w:u w:val="none"/>
              </w:rPr>
            </w:pPr>
          </w:p>
        </w:tc>
      </w:tr>
      <w:tr w14:paraId="3830D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CA40B43">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FD3237">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6BA37">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D478FA">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BF28">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F9E9B61">
            <w:pPr>
              <w:jc w:val="right"/>
              <w:rPr>
                <w:rFonts w:hint="eastAsia" w:ascii="宋体" w:hAnsi="宋体" w:eastAsia="宋体" w:cs="宋体"/>
                <w:i w:val="0"/>
                <w:iCs w:val="0"/>
                <w:color w:val="000000"/>
                <w:sz w:val="18"/>
                <w:szCs w:val="18"/>
                <w:u w:val="none"/>
              </w:rPr>
            </w:pPr>
          </w:p>
        </w:tc>
      </w:tr>
      <w:tr w14:paraId="45650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9300" w:type="dxa"/>
            <w:gridSpan w:val="15"/>
            <w:tcBorders>
              <w:top w:val="single" w:color="000000" w:sz="4" w:space="0"/>
              <w:left w:val="single" w:color="000000" w:sz="8" w:space="0"/>
              <w:bottom w:val="single" w:color="000000" w:sz="8" w:space="0"/>
              <w:right w:val="single" w:color="000000" w:sz="8" w:space="0"/>
            </w:tcBorders>
            <w:shd w:val="clear" w:color="auto" w:fill="auto"/>
            <w:vAlign w:val="center"/>
          </w:tcPr>
          <w:p w14:paraId="0B13E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第200章 路基土石方 合计 人民币 0.00 元</w:t>
            </w:r>
          </w:p>
        </w:tc>
      </w:tr>
      <w:tr w14:paraId="1E99F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182" w:type="dxa"/>
            <w:gridSpan w:val="2"/>
            <w:tcBorders>
              <w:top w:val="single" w:color="000000" w:sz="8" w:space="0"/>
              <w:left w:val="nil"/>
              <w:bottom w:val="nil"/>
              <w:right w:val="nil"/>
            </w:tcBorders>
            <w:shd w:val="clear" w:color="auto" w:fill="auto"/>
            <w:noWrap/>
            <w:vAlign w:val="top"/>
          </w:tcPr>
          <w:p w14:paraId="17220589">
            <w:pPr>
              <w:rPr>
                <w:rFonts w:hint="default" w:ascii="Arial" w:hAnsi="Arial" w:cs="Arial"/>
                <w:i w:val="0"/>
                <w:iCs w:val="0"/>
                <w:color w:val="000000"/>
                <w:sz w:val="20"/>
                <w:szCs w:val="20"/>
                <w:u w:val="none"/>
              </w:rPr>
            </w:pPr>
          </w:p>
        </w:tc>
        <w:tc>
          <w:tcPr>
            <w:tcW w:w="222" w:type="dxa"/>
            <w:tcBorders>
              <w:top w:val="single" w:color="000000" w:sz="8" w:space="0"/>
              <w:left w:val="nil"/>
              <w:bottom w:val="nil"/>
              <w:right w:val="nil"/>
            </w:tcBorders>
            <w:shd w:val="clear" w:color="auto" w:fill="auto"/>
            <w:noWrap/>
            <w:vAlign w:val="top"/>
          </w:tcPr>
          <w:p w14:paraId="5D6F3634">
            <w:pPr>
              <w:rPr>
                <w:rFonts w:hint="default" w:ascii="Arial" w:hAnsi="Arial" w:cs="Arial"/>
                <w:i w:val="0"/>
                <w:iCs w:val="0"/>
                <w:color w:val="000000"/>
                <w:sz w:val="20"/>
                <w:szCs w:val="20"/>
                <w:u w:val="none"/>
              </w:rPr>
            </w:pPr>
          </w:p>
        </w:tc>
        <w:tc>
          <w:tcPr>
            <w:tcW w:w="2961" w:type="dxa"/>
            <w:gridSpan w:val="3"/>
            <w:tcBorders>
              <w:top w:val="single" w:color="000000" w:sz="8" w:space="0"/>
              <w:left w:val="nil"/>
              <w:bottom w:val="nil"/>
              <w:right w:val="nil"/>
            </w:tcBorders>
            <w:shd w:val="clear" w:color="auto" w:fill="auto"/>
            <w:noWrap/>
            <w:vAlign w:val="top"/>
          </w:tcPr>
          <w:p w14:paraId="6C0242B6">
            <w:pPr>
              <w:rPr>
                <w:rFonts w:hint="default" w:ascii="Arial" w:hAnsi="Arial" w:cs="Arial"/>
                <w:i w:val="0"/>
                <w:iCs w:val="0"/>
                <w:color w:val="000000"/>
                <w:sz w:val="20"/>
                <w:szCs w:val="20"/>
                <w:u w:val="none"/>
              </w:rPr>
            </w:pPr>
          </w:p>
        </w:tc>
        <w:tc>
          <w:tcPr>
            <w:tcW w:w="222" w:type="dxa"/>
            <w:tcBorders>
              <w:top w:val="single" w:color="000000" w:sz="8" w:space="0"/>
              <w:left w:val="nil"/>
              <w:bottom w:val="nil"/>
              <w:right w:val="nil"/>
            </w:tcBorders>
            <w:shd w:val="clear" w:color="auto" w:fill="auto"/>
            <w:noWrap/>
            <w:vAlign w:val="top"/>
          </w:tcPr>
          <w:p w14:paraId="18326636">
            <w:pPr>
              <w:rPr>
                <w:rFonts w:hint="default" w:ascii="Arial" w:hAnsi="Arial" w:cs="Arial"/>
                <w:i w:val="0"/>
                <w:iCs w:val="0"/>
                <w:color w:val="000000"/>
                <w:sz w:val="20"/>
                <w:szCs w:val="20"/>
                <w:u w:val="none"/>
              </w:rPr>
            </w:pPr>
          </w:p>
        </w:tc>
        <w:tc>
          <w:tcPr>
            <w:tcW w:w="1260" w:type="dxa"/>
            <w:tcBorders>
              <w:top w:val="single" w:color="000000" w:sz="8" w:space="0"/>
              <w:left w:val="nil"/>
              <w:bottom w:val="nil"/>
              <w:right w:val="nil"/>
            </w:tcBorders>
            <w:shd w:val="clear" w:color="auto" w:fill="auto"/>
            <w:noWrap/>
            <w:vAlign w:val="top"/>
          </w:tcPr>
          <w:p w14:paraId="7925ABEA">
            <w:pPr>
              <w:rPr>
                <w:rFonts w:hint="default" w:ascii="Arial" w:hAnsi="Arial" w:cs="Arial"/>
                <w:i w:val="0"/>
                <w:iCs w:val="0"/>
                <w:color w:val="000000"/>
                <w:sz w:val="20"/>
                <w:szCs w:val="20"/>
                <w:u w:val="none"/>
              </w:rPr>
            </w:pPr>
          </w:p>
        </w:tc>
        <w:tc>
          <w:tcPr>
            <w:tcW w:w="1073" w:type="dxa"/>
            <w:gridSpan w:val="3"/>
            <w:tcBorders>
              <w:top w:val="single" w:color="000000" w:sz="8" w:space="0"/>
              <w:left w:val="nil"/>
              <w:bottom w:val="nil"/>
              <w:right w:val="nil"/>
            </w:tcBorders>
            <w:shd w:val="clear" w:color="auto" w:fill="auto"/>
            <w:noWrap/>
            <w:vAlign w:val="top"/>
          </w:tcPr>
          <w:p w14:paraId="633BF1E0">
            <w:pPr>
              <w:rPr>
                <w:rFonts w:hint="default" w:ascii="Arial" w:hAnsi="Arial" w:cs="Arial"/>
                <w:i w:val="0"/>
                <w:iCs w:val="0"/>
                <w:color w:val="000000"/>
                <w:sz w:val="20"/>
                <w:szCs w:val="20"/>
                <w:u w:val="none"/>
              </w:rPr>
            </w:pPr>
          </w:p>
        </w:tc>
        <w:tc>
          <w:tcPr>
            <w:tcW w:w="300" w:type="dxa"/>
            <w:tcBorders>
              <w:top w:val="single" w:color="000000" w:sz="8" w:space="0"/>
              <w:left w:val="nil"/>
              <w:bottom w:val="nil"/>
              <w:right w:val="nil"/>
            </w:tcBorders>
            <w:shd w:val="clear" w:color="auto" w:fill="auto"/>
            <w:noWrap/>
            <w:vAlign w:val="top"/>
          </w:tcPr>
          <w:p w14:paraId="3CBE6E16">
            <w:pPr>
              <w:rPr>
                <w:rFonts w:hint="default" w:ascii="Arial" w:hAnsi="Arial" w:cs="Arial"/>
                <w:i w:val="0"/>
                <w:iCs w:val="0"/>
                <w:color w:val="000000"/>
                <w:sz w:val="20"/>
                <w:szCs w:val="20"/>
                <w:u w:val="none"/>
              </w:rPr>
            </w:pPr>
          </w:p>
        </w:tc>
        <w:tc>
          <w:tcPr>
            <w:tcW w:w="1048" w:type="dxa"/>
            <w:tcBorders>
              <w:top w:val="single" w:color="000000" w:sz="8" w:space="0"/>
              <w:left w:val="nil"/>
              <w:bottom w:val="nil"/>
              <w:right w:val="nil"/>
            </w:tcBorders>
            <w:shd w:val="clear" w:color="auto" w:fill="auto"/>
            <w:noWrap/>
            <w:vAlign w:val="top"/>
          </w:tcPr>
          <w:p w14:paraId="7C995594">
            <w:pPr>
              <w:rPr>
                <w:rFonts w:hint="default" w:ascii="Arial" w:hAnsi="Arial" w:cs="Arial"/>
                <w:i w:val="0"/>
                <w:iCs w:val="0"/>
                <w:color w:val="000000"/>
                <w:sz w:val="20"/>
                <w:szCs w:val="20"/>
                <w:u w:val="none"/>
              </w:rPr>
            </w:pPr>
          </w:p>
        </w:tc>
        <w:tc>
          <w:tcPr>
            <w:tcW w:w="1032" w:type="dxa"/>
            <w:gridSpan w:val="2"/>
            <w:tcBorders>
              <w:top w:val="single" w:color="000000" w:sz="8" w:space="0"/>
              <w:left w:val="nil"/>
              <w:bottom w:val="nil"/>
              <w:right w:val="nil"/>
            </w:tcBorders>
            <w:shd w:val="clear" w:color="auto" w:fill="auto"/>
            <w:noWrap/>
            <w:vAlign w:val="top"/>
          </w:tcPr>
          <w:p w14:paraId="7F43DF7E">
            <w:pPr>
              <w:rPr>
                <w:rFonts w:hint="default" w:ascii="Arial" w:hAnsi="Arial" w:cs="Arial"/>
                <w:i w:val="0"/>
                <w:iCs w:val="0"/>
                <w:color w:val="000000"/>
                <w:sz w:val="20"/>
                <w:szCs w:val="20"/>
                <w:u w:val="none"/>
              </w:rPr>
            </w:pPr>
          </w:p>
        </w:tc>
      </w:tr>
      <w:tr w14:paraId="4D257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82" w:type="dxa"/>
            <w:gridSpan w:val="2"/>
            <w:tcBorders>
              <w:top w:val="nil"/>
              <w:left w:val="nil"/>
              <w:bottom w:val="nil"/>
              <w:right w:val="nil"/>
            </w:tcBorders>
            <w:shd w:val="clear" w:color="auto" w:fill="auto"/>
            <w:noWrap/>
            <w:vAlign w:val="bottom"/>
          </w:tcPr>
          <w:p w14:paraId="6FE31953">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516FFC1B">
            <w:pPr>
              <w:rPr>
                <w:rFonts w:hint="default" w:ascii="Arial" w:hAnsi="Arial" w:cs="Arial"/>
                <w:i w:val="0"/>
                <w:iCs w:val="0"/>
                <w:color w:val="000000"/>
                <w:sz w:val="20"/>
                <w:szCs w:val="20"/>
                <w:u w:val="none"/>
              </w:rPr>
            </w:pPr>
          </w:p>
        </w:tc>
        <w:tc>
          <w:tcPr>
            <w:tcW w:w="2961" w:type="dxa"/>
            <w:gridSpan w:val="3"/>
            <w:tcBorders>
              <w:top w:val="nil"/>
              <w:left w:val="nil"/>
              <w:bottom w:val="nil"/>
              <w:right w:val="nil"/>
            </w:tcBorders>
            <w:shd w:val="clear" w:color="auto" w:fill="auto"/>
            <w:noWrap/>
            <w:vAlign w:val="bottom"/>
          </w:tcPr>
          <w:p w14:paraId="593E7653">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5C3633BE">
            <w:pPr>
              <w:rPr>
                <w:rFonts w:hint="default" w:ascii="Arial" w:hAnsi="Arial" w:cs="Arial"/>
                <w:i w:val="0"/>
                <w:iCs w:val="0"/>
                <w:color w:val="000000"/>
                <w:sz w:val="20"/>
                <w:szCs w:val="20"/>
                <w:u w:val="none"/>
              </w:rPr>
            </w:pPr>
          </w:p>
        </w:tc>
        <w:tc>
          <w:tcPr>
            <w:tcW w:w="4713" w:type="dxa"/>
            <w:gridSpan w:val="8"/>
            <w:tcBorders>
              <w:top w:val="nil"/>
              <w:left w:val="nil"/>
              <w:bottom w:val="nil"/>
              <w:right w:val="nil"/>
            </w:tcBorders>
            <w:shd w:val="clear" w:color="auto" w:fill="auto"/>
            <w:vAlign w:val="center"/>
          </w:tcPr>
          <w:p w14:paraId="679D75E0">
            <w:pPr>
              <w:keepNext w:val="0"/>
              <w:keepLines w:val="0"/>
              <w:widowControl/>
              <w:suppressLineNumbers w:val="0"/>
              <w:jc w:val="right"/>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【新点2013公路造价新疆版 V10.4.6】</w:t>
            </w:r>
          </w:p>
        </w:tc>
      </w:tr>
      <w:tr w14:paraId="757F6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82" w:type="dxa"/>
            <w:gridSpan w:val="2"/>
            <w:tcBorders>
              <w:top w:val="nil"/>
              <w:left w:val="nil"/>
              <w:bottom w:val="nil"/>
              <w:right w:val="nil"/>
            </w:tcBorders>
            <w:shd w:val="clear" w:color="auto" w:fill="auto"/>
            <w:noWrap/>
            <w:vAlign w:val="bottom"/>
          </w:tcPr>
          <w:p w14:paraId="2BE45DC6">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7FC7A2C9">
            <w:pPr>
              <w:rPr>
                <w:rFonts w:hint="default" w:ascii="Arial" w:hAnsi="Arial" w:cs="Arial"/>
                <w:i w:val="0"/>
                <w:iCs w:val="0"/>
                <w:color w:val="000000"/>
                <w:sz w:val="20"/>
                <w:szCs w:val="20"/>
                <w:u w:val="none"/>
              </w:rPr>
            </w:pPr>
          </w:p>
        </w:tc>
        <w:tc>
          <w:tcPr>
            <w:tcW w:w="2961" w:type="dxa"/>
            <w:gridSpan w:val="3"/>
            <w:tcBorders>
              <w:top w:val="nil"/>
              <w:left w:val="nil"/>
              <w:bottom w:val="nil"/>
              <w:right w:val="nil"/>
            </w:tcBorders>
            <w:shd w:val="clear" w:color="auto" w:fill="auto"/>
            <w:noWrap/>
            <w:vAlign w:val="bottom"/>
          </w:tcPr>
          <w:p w14:paraId="3B6E6570">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08B1C9F6">
            <w:pPr>
              <w:rPr>
                <w:rFonts w:hint="default" w:ascii="Arial" w:hAnsi="Arial" w:cs="Arial"/>
                <w:i w:val="0"/>
                <w:iCs w:val="0"/>
                <w:color w:val="000000"/>
                <w:sz w:val="20"/>
                <w:szCs w:val="20"/>
                <w:u w:val="none"/>
              </w:rPr>
            </w:pPr>
          </w:p>
        </w:tc>
        <w:tc>
          <w:tcPr>
            <w:tcW w:w="1260" w:type="dxa"/>
            <w:tcBorders>
              <w:top w:val="nil"/>
              <w:left w:val="nil"/>
              <w:bottom w:val="nil"/>
              <w:right w:val="nil"/>
            </w:tcBorders>
            <w:shd w:val="clear" w:color="auto" w:fill="auto"/>
            <w:noWrap/>
            <w:vAlign w:val="bottom"/>
          </w:tcPr>
          <w:p w14:paraId="76298719">
            <w:pPr>
              <w:rPr>
                <w:rFonts w:hint="default" w:ascii="Arial" w:hAnsi="Arial" w:cs="Arial"/>
                <w:i w:val="0"/>
                <w:iCs w:val="0"/>
                <w:color w:val="000000"/>
                <w:sz w:val="20"/>
                <w:szCs w:val="20"/>
                <w:u w:val="none"/>
              </w:rPr>
            </w:pPr>
          </w:p>
        </w:tc>
        <w:tc>
          <w:tcPr>
            <w:tcW w:w="1073" w:type="dxa"/>
            <w:gridSpan w:val="3"/>
            <w:tcBorders>
              <w:top w:val="nil"/>
              <w:left w:val="nil"/>
              <w:bottom w:val="nil"/>
              <w:right w:val="nil"/>
            </w:tcBorders>
            <w:shd w:val="clear" w:color="auto" w:fill="auto"/>
            <w:noWrap/>
            <w:vAlign w:val="bottom"/>
          </w:tcPr>
          <w:p w14:paraId="50BC7782">
            <w:pPr>
              <w:rPr>
                <w:rFonts w:hint="default" w:ascii="Arial" w:hAnsi="Arial" w:cs="Arial"/>
                <w:i w:val="0"/>
                <w:iCs w:val="0"/>
                <w:color w:val="000000"/>
                <w:sz w:val="20"/>
                <w:szCs w:val="20"/>
                <w:u w:val="none"/>
              </w:rPr>
            </w:pPr>
          </w:p>
        </w:tc>
        <w:tc>
          <w:tcPr>
            <w:tcW w:w="300" w:type="dxa"/>
            <w:tcBorders>
              <w:top w:val="nil"/>
              <w:left w:val="nil"/>
              <w:bottom w:val="nil"/>
              <w:right w:val="nil"/>
            </w:tcBorders>
            <w:shd w:val="clear" w:color="auto" w:fill="auto"/>
            <w:noWrap/>
            <w:vAlign w:val="bottom"/>
          </w:tcPr>
          <w:p w14:paraId="381810FA">
            <w:pPr>
              <w:rPr>
                <w:rFonts w:hint="default" w:ascii="Arial" w:hAnsi="Arial" w:cs="Arial"/>
                <w:i w:val="0"/>
                <w:iCs w:val="0"/>
                <w:color w:val="000000"/>
                <w:sz w:val="20"/>
                <w:szCs w:val="20"/>
                <w:u w:val="none"/>
              </w:rPr>
            </w:pPr>
          </w:p>
        </w:tc>
        <w:tc>
          <w:tcPr>
            <w:tcW w:w="1048" w:type="dxa"/>
            <w:tcBorders>
              <w:top w:val="nil"/>
              <w:left w:val="nil"/>
              <w:bottom w:val="nil"/>
              <w:right w:val="nil"/>
            </w:tcBorders>
            <w:shd w:val="clear" w:color="auto" w:fill="auto"/>
            <w:noWrap/>
            <w:vAlign w:val="bottom"/>
          </w:tcPr>
          <w:p w14:paraId="3442AB6D">
            <w:pPr>
              <w:rPr>
                <w:rFonts w:hint="default" w:ascii="Arial" w:hAnsi="Arial" w:cs="Arial"/>
                <w:i w:val="0"/>
                <w:iCs w:val="0"/>
                <w:color w:val="000000"/>
                <w:sz w:val="20"/>
                <w:szCs w:val="20"/>
                <w:u w:val="none"/>
              </w:rPr>
            </w:pPr>
          </w:p>
        </w:tc>
        <w:tc>
          <w:tcPr>
            <w:tcW w:w="1032" w:type="dxa"/>
            <w:gridSpan w:val="2"/>
            <w:tcBorders>
              <w:top w:val="nil"/>
              <w:left w:val="nil"/>
              <w:bottom w:val="nil"/>
              <w:right w:val="nil"/>
            </w:tcBorders>
            <w:shd w:val="clear" w:color="auto" w:fill="auto"/>
            <w:noWrap/>
            <w:vAlign w:val="bottom"/>
          </w:tcPr>
          <w:p w14:paraId="156F5F0E">
            <w:pPr>
              <w:rPr>
                <w:rFonts w:hint="default" w:ascii="Arial" w:hAnsi="Arial" w:cs="Arial"/>
                <w:i w:val="0"/>
                <w:iCs w:val="0"/>
                <w:color w:val="000000"/>
                <w:sz w:val="20"/>
                <w:szCs w:val="20"/>
                <w:u w:val="none"/>
              </w:rPr>
            </w:pPr>
          </w:p>
        </w:tc>
      </w:tr>
      <w:tr w14:paraId="6DBA1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300" w:type="dxa"/>
            <w:gridSpan w:val="15"/>
            <w:tcBorders>
              <w:top w:val="nil"/>
              <w:left w:val="nil"/>
              <w:bottom w:val="nil"/>
              <w:right w:val="nil"/>
            </w:tcBorders>
            <w:shd w:val="clear" w:color="auto" w:fill="auto"/>
            <w:noWrap/>
            <w:vAlign w:val="center"/>
          </w:tcPr>
          <w:p w14:paraId="119EB316">
            <w:pPr>
              <w:keepNext w:val="0"/>
              <w:keepLines w:val="0"/>
              <w:widowControl/>
              <w:suppressLineNumbers w:val="0"/>
              <w:jc w:val="center"/>
              <w:textAlignment w:val="center"/>
              <w:rPr>
                <w:rFonts w:hint="eastAsia" w:ascii="宋体" w:hAnsi="宋体" w:eastAsia="宋体" w:cs="宋体"/>
                <w:b/>
                <w:bCs/>
                <w:i w:val="0"/>
                <w:iCs w:val="0"/>
                <w:color w:val="000000"/>
                <w:sz w:val="31"/>
                <w:szCs w:val="31"/>
                <w:u w:val="none"/>
              </w:rPr>
            </w:pPr>
            <w:r>
              <w:rPr>
                <w:rFonts w:hint="eastAsia" w:ascii="宋体" w:hAnsi="宋体" w:eastAsia="宋体" w:cs="宋体"/>
                <w:b/>
                <w:bCs/>
                <w:i w:val="0"/>
                <w:iCs w:val="0"/>
                <w:color w:val="000000"/>
                <w:kern w:val="0"/>
                <w:sz w:val="31"/>
                <w:szCs w:val="31"/>
                <w:u w:val="none"/>
                <w:lang w:val="en-US" w:eastAsia="zh-CN" w:bidi="ar"/>
              </w:rPr>
              <w:t>工程量清单表</w:t>
            </w:r>
          </w:p>
        </w:tc>
      </w:tr>
      <w:tr w14:paraId="71E00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20" w:type="dxa"/>
            <w:gridSpan w:val="11"/>
            <w:tcBorders>
              <w:top w:val="nil"/>
              <w:left w:val="nil"/>
              <w:bottom w:val="single" w:color="000000" w:sz="8" w:space="0"/>
              <w:right w:val="nil"/>
            </w:tcBorders>
            <w:shd w:val="clear" w:color="auto" w:fill="auto"/>
            <w:vAlign w:val="center"/>
          </w:tcPr>
          <w:p w14:paraId="5FD83E25">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项目名称：疏勒县良种繁育场种畜二队路面便化工程项目</w:t>
            </w:r>
          </w:p>
        </w:tc>
        <w:tc>
          <w:tcPr>
            <w:tcW w:w="2380" w:type="dxa"/>
            <w:gridSpan w:val="4"/>
            <w:tcBorders>
              <w:top w:val="nil"/>
              <w:left w:val="nil"/>
              <w:bottom w:val="single" w:color="000000" w:sz="8" w:space="0"/>
              <w:right w:val="nil"/>
            </w:tcBorders>
            <w:shd w:val="clear" w:color="auto" w:fill="auto"/>
            <w:noWrap/>
            <w:vAlign w:val="center"/>
          </w:tcPr>
          <w:p w14:paraId="18D1B92E">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第3页 共4页</w:t>
            </w:r>
          </w:p>
        </w:tc>
      </w:tr>
      <w:tr w14:paraId="07AE3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300" w:type="dxa"/>
            <w:gridSpan w:val="15"/>
            <w:tcBorders>
              <w:top w:val="single" w:color="000000" w:sz="8" w:space="0"/>
              <w:left w:val="single" w:color="000000" w:sz="8" w:space="0"/>
              <w:bottom w:val="single" w:color="000000" w:sz="4" w:space="0"/>
              <w:right w:val="single" w:color="000000" w:sz="8" w:space="0"/>
            </w:tcBorders>
            <w:shd w:val="clear" w:color="auto" w:fill="auto"/>
            <w:noWrap/>
            <w:vAlign w:val="center"/>
          </w:tcPr>
          <w:p w14:paraId="79BB07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路面</w:t>
            </w:r>
          </w:p>
        </w:tc>
      </w:tr>
      <w:tr w14:paraId="1B914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EE9C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细目号</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B15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细目名称</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4C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8D7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D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B671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r>
      <w:tr w14:paraId="57AC8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0818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5274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砂砾垫层（底基层）</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4192E">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4DB138">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6311">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571D32B">
            <w:pPr>
              <w:jc w:val="right"/>
              <w:rPr>
                <w:rFonts w:hint="eastAsia" w:ascii="宋体" w:hAnsi="宋体" w:eastAsia="宋体" w:cs="宋体"/>
                <w:i w:val="0"/>
                <w:iCs w:val="0"/>
                <w:color w:val="000000"/>
                <w:sz w:val="18"/>
                <w:szCs w:val="18"/>
                <w:u w:val="none"/>
              </w:rPr>
            </w:pPr>
          </w:p>
        </w:tc>
      </w:tr>
      <w:tr w14:paraId="0AE1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8B8A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4B6E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厚300mm</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2B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3882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6149.5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A165">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D99C014">
            <w:pPr>
              <w:jc w:val="right"/>
              <w:rPr>
                <w:rFonts w:hint="eastAsia" w:ascii="宋体" w:hAnsi="宋体" w:eastAsia="宋体" w:cs="宋体"/>
                <w:i w:val="0"/>
                <w:iCs w:val="0"/>
                <w:color w:val="000000"/>
                <w:sz w:val="18"/>
                <w:szCs w:val="18"/>
                <w:u w:val="none"/>
              </w:rPr>
            </w:pPr>
          </w:p>
        </w:tc>
      </w:tr>
      <w:tr w14:paraId="1555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F0D4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308-1</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7DA0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6635F">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72BB29">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93B9">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8ED45A0">
            <w:pPr>
              <w:jc w:val="right"/>
              <w:rPr>
                <w:rFonts w:hint="eastAsia" w:ascii="宋体" w:hAnsi="宋体" w:eastAsia="宋体" w:cs="宋体"/>
                <w:i w:val="0"/>
                <w:iCs w:val="0"/>
                <w:color w:val="000000"/>
                <w:sz w:val="18"/>
                <w:szCs w:val="18"/>
                <w:u w:val="none"/>
              </w:rPr>
            </w:pPr>
          </w:p>
        </w:tc>
      </w:tr>
      <w:tr w14:paraId="6F0C9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74F6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C458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5B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5A49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1107.6</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A09F">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0CA9019">
            <w:pPr>
              <w:jc w:val="right"/>
              <w:rPr>
                <w:rFonts w:hint="eastAsia" w:ascii="宋体" w:hAnsi="宋体" w:eastAsia="宋体" w:cs="宋体"/>
                <w:i w:val="0"/>
                <w:iCs w:val="0"/>
                <w:color w:val="000000"/>
                <w:sz w:val="18"/>
                <w:szCs w:val="18"/>
                <w:u w:val="none"/>
              </w:rPr>
            </w:pPr>
          </w:p>
        </w:tc>
      </w:tr>
      <w:tr w14:paraId="64F2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E348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308-2</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2158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6C391">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8277B3">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BEC0">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FFD01BA">
            <w:pPr>
              <w:jc w:val="right"/>
              <w:rPr>
                <w:rFonts w:hint="eastAsia" w:ascii="宋体" w:hAnsi="宋体" w:eastAsia="宋体" w:cs="宋体"/>
                <w:i w:val="0"/>
                <w:iCs w:val="0"/>
                <w:color w:val="000000"/>
                <w:sz w:val="18"/>
                <w:szCs w:val="18"/>
                <w:u w:val="none"/>
              </w:rPr>
            </w:pPr>
          </w:p>
        </w:tc>
      </w:tr>
      <w:tr w14:paraId="5792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3D0B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30A8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光圆钢筋（HPB235、HPB300）</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1B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1D6B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896.2</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930E">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3E4964A">
            <w:pPr>
              <w:jc w:val="right"/>
              <w:rPr>
                <w:rFonts w:hint="eastAsia" w:ascii="宋体" w:hAnsi="宋体" w:eastAsia="宋体" w:cs="宋体"/>
                <w:i w:val="0"/>
                <w:iCs w:val="0"/>
                <w:color w:val="000000"/>
                <w:sz w:val="18"/>
                <w:szCs w:val="18"/>
                <w:u w:val="none"/>
              </w:rPr>
            </w:pPr>
          </w:p>
        </w:tc>
      </w:tr>
      <w:tr w14:paraId="098FF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7DD7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D4DF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带肋钢筋（HRB335、HRB400）</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61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0AA4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905.2</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DBA6">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C642D5A">
            <w:pPr>
              <w:jc w:val="right"/>
              <w:rPr>
                <w:rFonts w:hint="eastAsia" w:ascii="宋体" w:hAnsi="宋体" w:eastAsia="宋体" w:cs="宋体"/>
                <w:i w:val="0"/>
                <w:iCs w:val="0"/>
                <w:color w:val="000000"/>
                <w:sz w:val="18"/>
                <w:szCs w:val="18"/>
                <w:u w:val="none"/>
              </w:rPr>
            </w:pPr>
          </w:p>
        </w:tc>
      </w:tr>
      <w:tr w14:paraId="64C89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E32C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00B1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培路肩</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E5145">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914FFE">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D4D0">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1975B60">
            <w:pPr>
              <w:jc w:val="right"/>
              <w:rPr>
                <w:rFonts w:hint="eastAsia" w:ascii="宋体" w:hAnsi="宋体" w:eastAsia="宋体" w:cs="宋体"/>
                <w:i w:val="0"/>
                <w:iCs w:val="0"/>
                <w:color w:val="000000"/>
                <w:sz w:val="18"/>
                <w:szCs w:val="18"/>
                <w:u w:val="none"/>
              </w:rPr>
            </w:pPr>
          </w:p>
        </w:tc>
      </w:tr>
      <w:tr w14:paraId="488C9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94AE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7005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培路肩</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72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FBCC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5B84">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CDE5005">
            <w:pPr>
              <w:jc w:val="right"/>
              <w:rPr>
                <w:rFonts w:hint="eastAsia" w:ascii="宋体" w:hAnsi="宋体" w:eastAsia="宋体" w:cs="宋体"/>
                <w:i w:val="0"/>
                <w:iCs w:val="0"/>
                <w:color w:val="000000"/>
                <w:sz w:val="18"/>
                <w:szCs w:val="18"/>
                <w:u w:val="none"/>
              </w:rPr>
            </w:pPr>
          </w:p>
        </w:tc>
      </w:tr>
      <w:tr w14:paraId="19C7A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822ABBB">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9DFF45">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4C079">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746594">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AE46">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DF36CD6">
            <w:pPr>
              <w:jc w:val="right"/>
              <w:rPr>
                <w:rFonts w:hint="eastAsia" w:ascii="宋体" w:hAnsi="宋体" w:eastAsia="宋体" w:cs="宋体"/>
                <w:i w:val="0"/>
                <w:iCs w:val="0"/>
                <w:color w:val="000000"/>
                <w:sz w:val="18"/>
                <w:szCs w:val="18"/>
                <w:u w:val="none"/>
              </w:rPr>
            </w:pPr>
          </w:p>
        </w:tc>
      </w:tr>
      <w:tr w14:paraId="57958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2346C5A">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1A86FB">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2460B">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C6EE81">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CFF0">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0EBC91C">
            <w:pPr>
              <w:jc w:val="right"/>
              <w:rPr>
                <w:rFonts w:hint="eastAsia" w:ascii="宋体" w:hAnsi="宋体" w:eastAsia="宋体" w:cs="宋体"/>
                <w:i w:val="0"/>
                <w:iCs w:val="0"/>
                <w:color w:val="000000"/>
                <w:sz w:val="18"/>
                <w:szCs w:val="18"/>
                <w:u w:val="none"/>
              </w:rPr>
            </w:pPr>
          </w:p>
        </w:tc>
      </w:tr>
      <w:tr w14:paraId="1A76D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D045F11">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59BD3B">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0BD3A">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095479">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B51E">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46CC028">
            <w:pPr>
              <w:jc w:val="right"/>
              <w:rPr>
                <w:rFonts w:hint="eastAsia" w:ascii="宋体" w:hAnsi="宋体" w:eastAsia="宋体" w:cs="宋体"/>
                <w:i w:val="0"/>
                <w:iCs w:val="0"/>
                <w:color w:val="000000"/>
                <w:sz w:val="18"/>
                <w:szCs w:val="18"/>
                <w:u w:val="none"/>
              </w:rPr>
            </w:pPr>
          </w:p>
        </w:tc>
      </w:tr>
      <w:tr w14:paraId="0F760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7285DE2">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AA7F09">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5CCB1">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91E57F">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D2F2">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E232DC9">
            <w:pPr>
              <w:jc w:val="right"/>
              <w:rPr>
                <w:rFonts w:hint="eastAsia" w:ascii="宋体" w:hAnsi="宋体" w:eastAsia="宋体" w:cs="宋体"/>
                <w:i w:val="0"/>
                <w:iCs w:val="0"/>
                <w:color w:val="000000"/>
                <w:sz w:val="18"/>
                <w:szCs w:val="18"/>
                <w:u w:val="none"/>
              </w:rPr>
            </w:pPr>
          </w:p>
        </w:tc>
      </w:tr>
      <w:tr w14:paraId="4F41F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E4F37C4">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577911">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0EABB">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785595">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BB9A">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0755F16">
            <w:pPr>
              <w:jc w:val="right"/>
              <w:rPr>
                <w:rFonts w:hint="eastAsia" w:ascii="宋体" w:hAnsi="宋体" w:eastAsia="宋体" w:cs="宋体"/>
                <w:i w:val="0"/>
                <w:iCs w:val="0"/>
                <w:color w:val="000000"/>
                <w:sz w:val="18"/>
                <w:szCs w:val="18"/>
                <w:u w:val="none"/>
              </w:rPr>
            </w:pPr>
          </w:p>
        </w:tc>
      </w:tr>
      <w:tr w14:paraId="4CAD5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90813F6">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B3CA7D">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67E65">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E6A6F6">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2B4E">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7344E45">
            <w:pPr>
              <w:jc w:val="right"/>
              <w:rPr>
                <w:rFonts w:hint="eastAsia" w:ascii="宋体" w:hAnsi="宋体" w:eastAsia="宋体" w:cs="宋体"/>
                <w:i w:val="0"/>
                <w:iCs w:val="0"/>
                <w:color w:val="000000"/>
                <w:sz w:val="18"/>
                <w:szCs w:val="18"/>
                <w:u w:val="none"/>
              </w:rPr>
            </w:pPr>
          </w:p>
        </w:tc>
      </w:tr>
      <w:tr w14:paraId="7592D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3F3CF18">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38E584">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93EBE">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5C3FBE">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EEFB">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3CF3B80">
            <w:pPr>
              <w:jc w:val="right"/>
              <w:rPr>
                <w:rFonts w:hint="eastAsia" w:ascii="宋体" w:hAnsi="宋体" w:eastAsia="宋体" w:cs="宋体"/>
                <w:i w:val="0"/>
                <w:iCs w:val="0"/>
                <w:color w:val="000000"/>
                <w:sz w:val="18"/>
                <w:szCs w:val="18"/>
                <w:u w:val="none"/>
              </w:rPr>
            </w:pPr>
          </w:p>
        </w:tc>
      </w:tr>
      <w:tr w14:paraId="505C1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6C9E175">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5DA6BF">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6C1C0">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AC0337">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1108">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FE64155">
            <w:pPr>
              <w:jc w:val="right"/>
              <w:rPr>
                <w:rFonts w:hint="eastAsia" w:ascii="宋体" w:hAnsi="宋体" w:eastAsia="宋体" w:cs="宋体"/>
                <w:i w:val="0"/>
                <w:iCs w:val="0"/>
                <w:color w:val="000000"/>
                <w:sz w:val="18"/>
                <w:szCs w:val="18"/>
                <w:u w:val="none"/>
              </w:rPr>
            </w:pPr>
          </w:p>
        </w:tc>
      </w:tr>
      <w:tr w14:paraId="7147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DA8198E">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AAEFC6">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F73C0">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44A82F">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3E9D">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18A11BB">
            <w:pPr>
              <w:jc w:val="right"/>
              <w:rPr>
                <w:rFonts w:hint="eastAsia" w:ascii="宋体" w:hAnsi="宋体" w:eastAsia="宋体" w:cs="宋体"/>
                <w:i w:val="0"/>
                <w:iCs w:val="0"/>
                <w:color w:val="000000"/>
                <w:sz w:val="18"/>
                <w:szCs w:val="18"/>
                <w:u w:val="none"/>
              </w:rPr>
            </w:pPr>
          </w:p>
        </w:tc>
      </w:tr>
      <w:tr w14:paraId="5629B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180B6BC">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694FF5">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F24BE">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F08C31">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3AED">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E523F8C">
            <w:pPr>
              <w:jc w:val="right"/>
              <w:rPr>
                <w:rFonts w:hint="eastAsia" w:ascii="宋体" w:hAnsi="宋体" w:eastAsia="宋体" w:cs="宋体"/>
                <w:i w:val="0"/>
                <w:iCs w:val="0"/>
                <w:color w:val="000000"/>
                <w:sz w:val="18"/>
                <w:szCs w:val="18"/>
                <w:u w:val="none"/>
              </w:rPr>
            </w:pPr>
          </w:p>
        </w:tc>
      </w:tr>
      <w:tr w14:paraId="2C377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C702B41">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72DA31">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5783C">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1A5A71">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5C15">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C33509C">
            <w:pPr>
              <w:jc w:val="right"/>
              <w:rPr>
                <w:rFonts w:hint="eastAsia" w:ascii="宋体" w:hAnsi="宋体" w:eastAsia="宋体" w:cs="宋体"/>
                <w:i w:val="0"/>
                <w:iCs w:val="0"/>
                <w:color w:val="000000"/>
                <w:sz w:val="18"/>
                <w:szCs w:val="18"/>
                <w:u w:val="none"/>
              </w:rPr>
            </w:pPr>
          </w:p>
        </w:tc>
      </w:tr>
      <w:tr w14:paraId="24826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7CC168C">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E8D77F">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083D5">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8774B9">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E85E">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58EB141">
            <w:pPr>
              <w:jc w:val="right"/>
              <w:rPr>
                <w:rFonts w:hint="eastAsia" w:ascii="宋体" w:hAnsi="宋体" w:eastAsia="宋体" w:cs="宋体"/>
                <w:i w:val="0"/>
                <w:iCs w:val="0"/>
                <w:color w:val="000000"/>
                <w:sz w:val="18"/>
                <w:szCs w:val="18"/>
                <w:u w:val="none"/>
              </w:rPr>
            </w:pPr>
          </w:p>
        </w:tc>
      </w:tr>
      <w:tr w14:paraId="1B8FA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90C42F2">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9F2B71">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302B4">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ADD77F">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0006">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86AFF46">
            <w:pPr>
              <w:jc w:val="right"/>
              <w:rPr>
                <w:rFonts w:hint="eastAsia" w:ascii="宋体" w:hAnsi="宋体" w:eastAsia="宋体" w:cs="宋体"/>
                <w:i w:val="0"/>
                <w:iCs w:val="0"/>
                <w:color w:val="000000"/>
                <w:sz w:val="18"/>
                <w:szCs w:val="18"/>
                <w:u w:val="none"/>
              </w:rPr>
            </w:pPr>
          </w:p>
        </w:tc>
      </w:tr>
      <w:tr w14:paraId="2DF2F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B729D63">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D883D2">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6E5DF">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E213D4">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F7F9">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DEBCA51">
            <w:pPr>
              <w:jc w:val="right"/>
              <w:rPr>
                <w:rFonts w:hint="eastAsia" w:ascii="宋体" w:hAnsi="宋体" w:eastAsia="宋体" w:cs="宋体"/>
                <w:i w:val="0"/>
                <w:iCs w:val="0"/>
                <w:color w:val="000000"/>
                <w:sz w:val="18"/>
                <w:szCs w:val="18"/>
                <w:u w:val="none"/>
              </w:rPr>
            </w:pPr>
          </w:p>
        </w:tc>
      </w:tr>
      <w:tr w14:paraId="31C49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4E7B5F3">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990E73">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527BA">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7A8753">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756C">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3748374">
            <w:pPr>
              <w:jc w:val="right"/>
              <w:rPr>
                <w:rFonts w:hint="eastAsia" w:ascii="宋体" w:hAnsi="宋体" w:eastAsia="宋体" w:cs="宋体"/>
                <w:i w:val="0"/>
                <w:iCs w:val="0"/>
                <w:color w:val="000000"/>
                <w:sz w:val="18"/>
                <w:szCs w:val="18"/>
                <w:u w:val="none"/>
              </w:rPr>
            </w:pPr>
          </w:p>
        </w:tc>
      </w:tr>
      <w:tr w14:paraId="6EBFB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664C2DF">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B4A781">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8D2F3">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ADD8B5">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EFA4">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B49FBD7">
            <w:pPr>
              <w:jc w:val="right"/>
              <w:rPr>
                <w:rFonts w:hint="eastAsia" w:ascii="宋体" w:hAnsi="宋体" w:eastAsia="宋体" w:cs="宋体"/>
                <w:i w:val="0"/>
                <w:iCs w:val="0"/>
                <w:color w:val="000000"/>
                <w:sz w:val="18"/>
                <w:szCs w:val="18"/>
                <w:u w:val="none"/>
              </w:rPr>
            </w:pPr>
          </w:p>
        </w:tc>
      </w:tr>
      <w:tr w14:paraId="15AAC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CF7782C">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735B03">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D1ECE">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C91E7E">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AD92">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3499D44">
            <w:pPr>
              <w:jc w:val="right"/>
              <w:rPr>
                <w:rFonts w:hint="eastAsia" w:ascii="宋体" w:hAnsi="宋体" w:eastAsia="宋体" w:cs="宋体"/>
                <w:i w:val="0"/>
                <w:iCs w:val="0"/>
                <w:color w:val="000000"/>
                <w:sz w:val="18"/>
                <w:szCs w:val="18"/>
                <w:u w:val="none"/>
              </w:rPr>
            </w:pPr>
          </w:p>
        </w:tc>
      </w:tr>
      <w:tr w14:paraId="4036D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CE24252">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4BC78C">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E6E11">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F040F4">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0229">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32BE715">
            <w:pPr>
              <w:jc w:val="right"/>
              <w:rPr>
                <w:rFonts w:hint="eastAsia" w:ascii="宋体" w:hAnsi="宋体" w:eastAsia="宋体" w:cs="宋体"/>
                <w:i w:val="0"/>
                <w:iCs w:val="0"/>
                <w:color w:val="000000"/>
                <w:sz w:val="18"/>
                <w:szCs w:val="18"/>
                <w:u w:val="none"/>
              </w:rPr>
            </w:pPr>
          </w:p>
        </w:tc>
      </w:tr>
      <w:tr w14:paraId="49525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4B2C18D">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A89883">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A5F14">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331B32">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EDA9">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BBF3848">
            <w:pPr>
              <w:jc w:val="right"/>
              <w:rPr>
                <w:rFonts w:hint="eastAsia" w:ascii="宋体" w:hAnsi="宋体" w:eastAsia="宋体" w:cs="宋体"/>
                <w:i w:val="0"/>
                <w:iCs w:val="0"/>
                <w:color w:val="000000"/>
                <w:sz w:val="18"/>
                <w:szCs w:val="18"/>
                <w:u w:val="none"/>
              </w:rPr>
            </w:pPr>
          </w:p>
        </w:tc>
      </w:tr>
      <w:tr w14:paraId="4F517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398917A">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25B3D4">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16C35">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E1FE5D">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0952">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30EFC07">
            <w:pPr>
              <w:jc w:val="right"/>
              <w:rPr>
                <w:rFonts w:hint="eastAsia" w:ascii="宋体" w:hAnsi="宋体" w:eastAsia="宋体" w:cs="宋体"/>
                <w:i w:val="0"/>
                <w:iCs w:val="0"/>
                <w:color w:val="000000"/>
                <w:sz w:val="18"/>
                <w:szCs w:val="18"/>
                <w:u w:val="none"/>
              </w:rPr>
            </w:pPr>
          </w:p>
        </w:tc>
      </w:tr>
      <w:tr w14:paraId="7D282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9300" w:type="dxa"/>
            <w:gridSpan w:val="15"/>
            <w:tcBorders>
              <w:top w:val="single" w:color="000000" w:sz="4" w:space="0"/>
              <w:left w:val="single" w:color="000000" w:sz="8" w:space="0"/>
              <w:bottom w:val="single" w:color="000000" w:sz="8" w:space="0"/>
              <w:right w:val="single" w:color="000000" w:sz="8" w:space="0"/>
            </w:tcBorders>
            <w:shd w:val="clear" w:color="auto" w:fill="auto"/>
            <w:vAlign w:val="center"/>
          </w:tcPr>
          <w:p w14:paraId="01D40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第300章 路面 合计 人民币 0.00 元</w:t>
            </w:r>
          </w:p>
        </w:tc>
      </w:tr>
      <w:tr w14:paraId="6497C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182" w:type="dxa"/>
            <w:gridSpan w:val="2"/>
            <w:tcBorders>
              <w:top w:val="single" w:color="000000" w:sz="8" w:space="0"/>
              <w:left w:val="nil"/>
              <w:bottom w:val="nil"/>
              <w:right w:val="nil"/>
            </w:tcBorders>
            <w:shd w:val="clear" w:color="auto" w:fill="auto"/>
            <w:noWrap/>
            <w:vAlign w:val="top"/>
          </w:tcPr>
          <w:p w14:paraId="74E60AD9">
            <w:pPr>
              <w:rPr>
                <w:rFonts w:hint="default" w:ascii="Arial" w:hAnsi="Arial" w:cs="Arial"/>
                <w:i w:val="0"/>
                <w:iCs w:val="0"/>
                <w:color w:val="000000"/>
                <w:sz w:val="20"/>
                <w:szCs w:val="20"/>
                <w:u w:val="none"/>
              </w:rPr>
            </w:pPr>
          </w:p>
        </w:tc>
        <w:tc>
          <w:tcPr>
            <w:tcW w:w="222" w:type="dxa"/>
            <w:tcBorders>
              <w:top w:val="single" w:color="000000" w:sz="8" w:space="0"/>
              <w:left w:val="nil"/>
              <w:bottom w:val="nil"/>
              <w:right w:val="nil"/>
            </w:tcBorders>
            <w:shd w:val="clear" w:color="auto" w:fill="auto"/>
            <w:noWrap/>
            <w:vAlign w:val="top"/>
          </w:tcPr>
          <w:p w14:paraId="3B7C0E23">
            <w:pPr>
              <w:rPr>
                <w:rFonts w:hint="default" w:ascii="Arial" w:hAnsi="Arial" w:cs="Arial"/>
                <w:i w:val="0"/>
                <w:iCs w:val="0"/>
                <w:color w:val="000000"/>
                <w:sz w:val="20"/>
                <w:szCs w:val="20"/>
                <w:u w:val="none"/>
              </w:rPr>
            </w:pPr>
          </w:p>
        </w:tc>
        <w:tc>
          <w:tcPr>
            <w:tcW w:w="2961" w:type="dxa"/>
            <w:gridSpan w:val="3"/>
            <w:tcBorders>
              <w:top w:val="single" w:color="000000" w:sz="8" w:space="0"/>
              <w:left w:val="nil"/>
              <w:bottom w:val="nil"/>
              <w:right w:val="nil"/>
            </w:tcBorders>
            <w:shd w:val="clear" w:color="auto" w:fill="auto"/>
            <w:noWrap/>
            <w:vAlign w:val="top"/>
          </w:tcPr>
          <w:p w14:paraId="050FAE9D">
            <w:pPr>
              <w:rPr>
                <w:rFonts w:hint="default" w:ascii="Arial" w:hAnsi="Arial" w:cs="Arial"/>
                <w:i w:val="0"/>
                <w:iCs w:val="0"/>
                <w:color w:val="000000"/>
                <w:sz w:val="20"/>
                <w:szCs w:val="20"/>
                <w:u w:val="none"/>
              </w:rPr>
            </w:pPr>
          </w:p>
        </w:tc>
        <w:tc>
          <w:tcPr>
            <w:tcW w:w="222" w:type="dxa"/>
            <w:tcBorders>
              <w:top w:val="single" w:color="000000" w:sz="8" w:space="0"/>
              <w:left w:val="nil"/>
              <w:bottom w:val="nil"/>
              <w:right w:val="nil"/>
            </w:tcBorders>
            <w:shd w:val="clear" w:color="auto" w:fill="auto"/>
            <w:noWrap/>
            <w:vAlign w:val="top"/>
          </w:tcPr>
          <w:p w14:paraId="7EEADCD3">
            <w:pPr>
              <w:rPr>
                <w:rFonts w:hint="default" w:ascii="Arial" w:hAnsi="Arial" w:cs="Arial"/>
                <w:i w:val="0"/>
                <w:iCs w:val="0"/>
                <w:color w:val="000000"/>
                <w:sz w:val="20"/>
                <w:szCs w:val="20"/>
                <w:u w:val="none"/>
              </w:rPr>
            </w:pPr>
          </w:p>
        </w:tc>
        <w:tc>
          <w:tcPr>
            <w:tcW w:w="1260" w:type="dxa"/>
            <w:tcBorders>
              <w:top w:val="single" w:color="000000" w:sz="8" w:space="0"/>
              <w:left w:val="nil"/>
              <w:bottom w:val="nil"/>
              <w:right w:val="nil"/>
            </w:tcBorders>
            <w:shd w:val="clear" w:color="auto" w:fill="auto"/>
            <w:noWrap/>
            <w:vAlign w:val="top"/>
          </w:tcPr>
          <w:p w14:paraId="52024268">
            <w:pPr>
              <w:rPr>
                <w:rFonts w:hint="default" w:ascii="Arial" w:hAnsi="Arial" w:cs="Arial"/>
                <w:i w:val="0"/>
                <w:iCs w:val="0"/>
                <w:color w:val="000000"/>
                <w:sz w:val="20"/>
                <w:szCs w:val="20"/>
                <w:u w:val="none"/>
              </w:rPr>
            </w:pPr>
          </w:p>
        </w:tc>
        <w:tc>
          <w:tcPr>
            <w:tcW w:w="1073" w:type="dxa"/>
            <w:gridSpan w:val="3"/>
            <w:tcBorders>
              <w:top w:val="single" w:color="000000" w:sz="8" w:space="0"/>
              <w:left w:val="nil"/>
              <w:bottom w:val="nil"/>
              <w:right w:val="nil"/>
            </w:tcBorders>
            <w:shd w:val="clear" w:color="auto" w:fill="auto"/>
            <w:noWrap/>
            <w:vAlign w:val="top"/>
          </w:tcPr>
          <w:p w14:paraId="7D0B9277">
            <w:pPr>
              <w:rPr>
                <w:rFonts w:hint="default" w:ascii="Arial" w:hAnsi="Arial" w:cs="Arial"/>
                <w:i w:val="0"/>
                <w:iCs w:val="0"/>
                <w:color w:val="000000"/>
                <w:sz w:val="20"/>
                <w:szCs w:val="20"/>
                <w:u w:val="none"/>
              </w:rPr>
            </w:pPr>
          </w:p>
        </w:tc>
        <w:tc>
          <w:tcPr>
            <w:tcW w:w="300" w:type="dxa"/>
            <w:tcBorders>
              <w:top w:val="single" w:color="000000" w:sz="8" w:space="0"/>
              <w:left w:val="nil"/>
              <w:bottom w:val="nil"/>
              <w:right w:val="nil"/>
            </w:tcBorders>
            <w:shd w:val="clear" w:color="auto" w:fill="auto"/>
            <w:noWrap/>
            <w:vAlign w:val="top"/>
          </w:tcPr>
          <w:p w14:paraId="396204A8">
            <w:pPr>
              <w:rPr>
                <w:rFonts w:hint="default" w:ascii="Arial" w:hAnsi="Arial" w:cs="Arial"/>
                <w:i w:val="0"/>
                <w:iCs w:val="0"/>
                <w:color w:val="000000"/>
                <w:sz w:val="20"/>
                <w:szCs w:val="20"/>
                <w:u w:val="none"/>
              </w:rPr>
            </w:pPr>
          </w:p>
        </w:tc>
        <w:tc>
          <w:tcPr>
            <w:tcW w:w="1048" w:type="dxa"/>
            <w:tcBorders>
              <w:top w:val="single" w:color="000000" w:sz="8" w:space="0"/>
              <w:left w:val="nil"/>
              <w:bottom w:val="nil"/>
              <w:right w:val="nil"/>
            </w:tcBorders>
            <w:shd w:val="clear" w:color="auto" w:fill="auto"/>
            <w:noWrap/>
            <w:vAlign w:val="top"/>
          </w:tcPr>
          <w:p w14:paraId="1E6BFD41">
            <w:pPr>
              <w:rPr>
                <w:rFonts w:hint="default" w:ascii="Arial" w:hAnsi="Arial" w:cs="Arial"/>
                <w:i w:val="0"/>
                <w:iCs w:val="0"/>
                <w:color w:val="000000"/>
                <w:sz w:val="20"/>
                <w:szCs w:val="20"/>
                <w:u w:val="none"/>
              </w:rPr>
            </w:pPr>
          </w:p>
        </w:tc>
        <w:tc>
          <w:tcPr>
            <w:tcW w:w="1032" w:type="dxa"/>
            <w:gridSpan w:val="2"/>
            <w:tcBorders>
              <w:top w:val="single" w:color="000000" w:sz="8" w:space="0"/>
              <w:left w:val="nil"/>
              <w:bottom w:val="nil"/>
              <w:right w:val="nil"/>
            </w:tcBorders>
            <w:shd w:val="clear" w:color="auto" w:fill="auto"/>
            <w:noWrap/>
            <w:vAlign w:val="top"/>
          </w:tcPr>
          <w:p w14:paraId="17B672A6">
            <w:pPr>
              <w:rPr>
                <w:rFonts w:hint="default" w:ascii="Arial" w:hAnsi="Arial" w:cs="Arial"/>
                <w:i w:val="0"/>
                <w:iCs w:val="0"/>
                <w:color w:val="000000"/>
                <w:sz w:val="20"/>
                <w:szCs w:val="20"/>
                <w:u w:val="none"/>
              </w:rPr>
            </w:pPr>
          </w:p>
        </w:tc>
      </w:tr>
      <w:tr w14:paraId="172D6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82" w:type="dxa"/>
            <w:gridSpan w:val="2"/>
            <w:tcBorders>
              <w:top w:val="nil"/>
              <w:left w:val="nil"/>
              <w:bottom w:val="nil"/>
              <w:right w:val="nil"/>
            </w:tcBorders>
            <w:shd w:val="clear" w:color="auto" w:fill="auto"/>
            <w:noWrap/>
            <w:vAlign w:val="bottom"/>
          </w:tcPr>
          <w:p w14:paraId="2AEA532D">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6D9F928A">
            <w:pPr>
              <w:rPr>
                <w:rFonts w:hint="default" w:ascii="Arial" w:hAnsi="Arial" w:cs="Arial"/>
                <w:i w:val="0"/>
                <w:iCs w:val="0"/>
                <w:color w:val="000000"/>
                <w:sz w:val="20"/>
                <w:szCs w:val="20"/>
                <w:u w:val="none"/>
              </w:rPr>
            </w:pPr>
          </w:p>
        </w:tc>
        <w:tc>
          <w:tcPr>
            <w:tcW w:w="2961" w:type="dxa"/>
            <w:gridSpan w:val="3"/>
            <w:tcBorders>
              <w:top w:val="nil"/>
              <w:left w:val="nil"/>
              <w:bottom w:val="nil"/>
              <w:right w:val="nil"/>
            </w:tcBorders>
            <w:shd w:val="clear" w:color="auto" w:fill="auto"/>
            <w:noWrap/>
            <w:vAlign w:val="bottom"/>
          </w:tcPr>
          <w:p w14:paraId="7C7F1077">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5CE3FA01">
            <w:pPr>
              <w:rPr>
                <w:rFonts w:hint="default" w:ascii="Arial" w:hAnsi="Arial" w:cs="Arial"/>
                <w:i w:val="0"/>
                <w:iCs w:val="0"/>
                <w:color w:val="000000"/>
                <w:sz w:val="20"/>
                <w:szCs w:val="20"/>
                <w:u w:val="none"/>
              </w:rPr>
            </w:pPr>
          </w:p>
        </w:tc>
        <w:tc>
          <w:tcPr>
            <w:tcW w:w="4713" w:type="dxa"/>
            <w:gridSpan w:val="8"/>
            <w:tcBorders>
              <w:top w:val="nil"/>
              <w:left w:val="nil"/>
              <w:bottom w:val="nil"/>
              <w:right w:val="nil"/>
            </w:tcBorders>
            <w:shd w:val="clear" w:color="auto" w:fill="auto"/>
            <w:vAlign w:val="center"/>
          </w:tcPr>
          <w:p w14:paraId="31AD99E4">
            <w:pPr>
              <w:keepNext w:val="0"/>
              <w:keepLines w:val="0"/>
              <w:widowControl/>
              <w:suppressLineNumbers w:val="0"/>
              <w:jc w:val="right"/>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【新点2013公路造价新疆版 V10.4.6】</w:t>
            </w:r>
          </w:p>
        </w:tc>
      </w:tr>
      <w:tr w14:paraId="788E2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82" w:type="dxa"/>
            <w:gridSpan w:val="2"/>
            <w:tcBorders>
              <w:top w:val="nil"/>
              <w:left w:val="nil"/>
              <w:bottom w:val="nil"/>
              <w:right w:val="nil"/>
            </w:tcBorders>
            <w:shd w:val="clear" w:color="auto" w:fill="auto"/>
            <w:noWrap/>
            <w:vAlign w:val="bottom"/>
          </w:tcPr>
          <w:p w14:paraId="6B219325">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361A263C">
            <w:pPr>
              <w:rPr>
                <w:rFonts w:hint="default" w:ascii="Arial" w:hAnsi="Arial" w:cs="Arial"/>
                <w:i w:val="0"/>
                <w:iCs w:val="0"/>
                <w:color w:val="000000"/>
                <w:sz w:val="20"/>
                <w:szCs w:val="20"/>
                <w:u w:val="none"/>
              </w:rPr>
            </w:pPr>
          </w:p>
        </w:tc>
        <w:tc>
          <w:tcPr>
            <w:tcW w:w="2961" w:type="dxa"/>
            <w:gridSpan w:val="3"/>
            <w:tcBorders>
              <w:top w:val="nil"/>
              <w:left w:val="nil"/>
              <w:bottom w:val="nil"/>
              <w:right w:val="nil"/>
            </w:tcBorders>
            <w:shd w:val="clear" w:color="auto" w:fill="auto"/>
            <w:noWrap/>
            <w:vAlign w:val="bottom"/>
          </w:tcPr>
          <w:p w14:paraId="5EF4049E">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317D81F1">
            <w:pPr>
              <w:rPr>
                <w:rFonts w:hint="default" w:ascii="Arial" w:hAnsi="Arial" w:cs="Arial"/>
                <w:i w:val="0"/>
                <w:iCs w:val="0"/>
                <w:color w:val="000000"/>
                <w:sz w:val="20"/>
                <w:szCs w:val="20"/>
                <w:u w:val="none"/>
              </w:rPr>
            </w:pPr>
          </w:p>
        </w:tc>
        <w:tc>
          <w:tcPr>
            <w:tcW w:w="1260" w:type="dxa"/>
            <w:tcBorders>
              <w:top w:val="nil"/>
              <w:left w:val="nil"/>
              <w:bottom w:val="nil"/>
              <w:right w:val="nil"/>
            </w:tcBorders>
            <w:shd w:val="clear" w:color="auto" w:fill="auto"/>
            <w:noWrap/>
            <w:vAlign w:val="bottom"/>
          </w:tcPr>
          <w:p w14:paraId="4E59BB9B">
            <w:pPr>
              <w:rPr>
                <w:rFonts w:hint="default" w:ascii="Arial" w:hAnsi="Arial" w:cs="Arial"/>
                <w:i w:val="0"/>
                <w:iCs w:val="0"/>
                <w:color w:val="000000"/>
                <w:sz w:val="20"/>
                <w:szCs w:val="20"/>
                <w:u w:val="none"/>
              </w:rPr>
            </w:pPr>
          </w:p>
        </w:tc>
        <w:tc>
          <w:tcPr>
            <w:tcW w:w="1073" w:type="dxa"/>
            <w:gridSpan w:val="3"/>
            <w:tcBorders>
              <w:top w:val="nil"/>
              <w:left w:val="nil"/>
              <w:bottom w:val="nil"/>
              <w:right w:val="nil"/>
            </w:tcBorders>
            <w:shd w:val="clear" w:color="auto" w:fill="auto"/>
            <w:noWrap/>
            <w:vAlign w:val="bottom"/>
          </w:tcPr>
          <w:p w14:paraId="1AC4DC3F">
            <w:pPr>
              <w:rPr>
                <w:rFonts w:hint="default" w:ascii="Arial" w:hAnsi="Arial" w:cs="Arial"/>
                <w:i w:val="0"/>
                <w:iCs w:val="0"/>
                <w:color w:val="000000"/>
                <w:sz w:val="20"/>
                <w:szCs w:val="20"/>
                <w:u w:val="none"/>
              </w:rPr>
            </w:pPr>
          </w:p>
        </w:tc>
        <w:tc>
          <w:tcPr>
            <w:tcW w:w="300" w:type="dxa"/>
            <w:tcBorders>
              <w:top w:val="nil"/>
              <w:left w:val="nil"/>
              <w:bottom w:val="nil"/>
              <w:right w:val="nil"/>
            </w:tcBorders>
            <w:shd w:val="clear" w:color="auto" w:fill="auto"/>
            <w:noWrap/>
            <w:vAlign w:val="bottom"/>
          </w:tcPr>
          <w:p w14:paraId="176D3EAF">
            <w:pPr>
              <w:rPr>
                <w:rFonts w:hint="default" w:ascii="Arial" w:hAnsi="Arial" w:cs="Arial"/>
                <w:i w:val="0"/>
                <w:iCs w:val="0"/>
                <w:color w:val="000000"/>
                <w:sz w:val="20"/>
                <w:szCs w:val="20"/>
                <w:u w:val="none"/>
              </w:rPr>
            </w:pPr>
          </w:p>
        </w:tc>
        <w:tc>
          <w:tcPr>
            <w:tcW w:w="1048" w:type="dxa"/>
            <w:tcBorders>
              <w:top w:val="nil"/>
              <w:left w:val="nil"/>
              <w:bottom w:val="nil"/>
              <w:right w:val="nil"/>
            </w:tcBorders>
            <w:shd w:val="clear" w:color="auto" w:fill="auto"/>
            <w:noWrap/>
            <w:vAlign w:val="bottom"/>
          </w:tcPr>
          <w:p w14:paraId="20C99BFE">
            <w:pPr>
              <w:rPr>
                <w:rFonts w:hint="default" w:ascii="Arial" w:hAnsi="Arial" w:cs="Arial"/>
                <w:i w:val="0"/>
                <w:iCs w:val="0"/>
                <w:color w:val="000000"/>
                <w:sz w:val="20"/>
                <w:szCs w:val="20"/>
                <w:u w:val="none"/>
              </w:rPr>
            </w:pPr>
          </w:p>
        </w:tc>
        <w:tc>
          <w:tcPr>
            <w:tcW w:w="1032" w:type="dxa"/>
            <w:gridSpan w:val="2"/>
            <w:tcBorders>
              <w:top w:val="nil"/>
              <w:left w:val="nil"/>
              <w:bottom w:val="nil"/>
              <w:right w:val="nil"/>
            </w:tcBorders>
            <w:shd w:val="clear" w:color="auto" w:fill="auto"/>
            <w:noWrap/>
            <w:vAlign w:val="bottom"/>
          </w:tcPr>
          <w:p w14:paraId="53A80DBE">
            <w:pPr>
              <w:rPr>
                <w:rFonts w:hint="default" w:ascii="Arial" w:hAnsi="Arial" w:cs="Arial"/>
                <w:i w:val="0"/>
                <w:iCs w:val="0"/>
                <w:color w:val="000000"/>
                <w:sz w:val="20"/>
                <w:szCs w:val="20"/>
                <w:u w:val="none"/>
              </w:rPr>
            </w:pPr>
          </w:p>
        </w:tc>
      </w:tr>
      <w:tr w14:paraId="5D09C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300" w:type="dxa"/>
            <w:gridSpan w:val="15"/>
            <w:tcBorders>
              <w:top w:val="nil"/>
              <w:left w:val="nil"/>
              <w:bottom w:val="nil"/>
              <w:right w:val="nil"/>
            </w:tcBorders>
            <w:shd w:val="clear" w:color="auto" w:fill="auto"/>
            <w:noWrap/>
            <w:vAlign w:val="center"/>
          </w:tcPr>
          <w:p w14:paraId="49F4C19E">
            <w:pPr>
              <w:keepNext w:val="0"/>
              <w:keepLines w:val="0"/>
              <w:widowControl/>
              <w:suppressLineNumbers w:val="0"/>
              <w:jc w:val="center"/>
              <w:textAlignment w:val="center"/>
              <w:rPr>
                <w:rFonts w:hint="eastAsia" w:ascii="宋体" w:hAnsi="宋体" w:eastAsia="宋体" w:cs="宋体"/>
                <w:b/>
                <w:bCs/>
                <w:i w:val="0"/>
                <w:iCs w:val="0"/>
                <w:color w:val="000000"/>
                <w:sz w:val="31"/>
                <w:szCs w:val="31"/>
                <w:u w:val="none"/>
              </w:rPr>
            </w:pPr>
            <w:r>
              <w:rPr>
                <w:rFonts w:hint="eastAsia" w:ascii="宋体" w:hAnsi="宋体" w:eastAsia="宋体" w:cs="宋体"/>
                <w:b/>
                <w:bCs/>
                <w:i w:val="0"/>
                <w:iCs w:val="0"/>
                <w:color w:val="000000"/>
                <w:kern w:val="0"/>
                <w:sz w:val="31"/>
                <w:szCs w:val="31"/>
                <w:u w:val="none"/>
                <w:lang w:val="en-US" w:eastAsia="zh-CN" w:bidi="ar"/>
              </w:rPr>
              <w:t>工程量清单表</w:t>
            </w:r>
          </w:p>
        </w:tc>
      </w:tr>
      <w:tr w14:paraId="51CC4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920" w:type="dxa"/>
            <w:gridSpan w:val="11"/>
            <w:tcBorders>
              <w:top w:val="nil"/>
              <w:left w:val="nil"/>
              <w:bottom w:val="single" w:color="000000" w:sz="8" w:space="0"/>
              <w:right w:val="nil"/>
            </w:tcBorders>
            <w:shd w:val="clear" w:color="auto" w:fill="auto"/>
            <w:vAlign w:val="center"/>
          </w:tcPr>
          <w:p w14:paraId="18AA9B41">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项目名称：疏勒县良种繁育场种畜二队路面便化工程项目</w:t>
            </w:r>
          </w:p>
        </w:tc>
        <w:tc>
          <w:tcPr>
            <w:tcW w:w="2380" w:type="dxa"/>
            <w:gridSpan w:val="4"/>
            <w:tcBorders>
              <w:top w:val="nil"/>
              <w:left w:val="nil"/>
              <w:bottom w:val="single" w:color="000000" w:sz="8" w:space="0"/>
              <w:right w:val="nil"/>
            </w:tcBorders>
            <w:shd w:val="clear" w:color="auto" w:fill="auto"/>
            <w:noWrap/>
            <w:vAlign w:val="center"/>
          </w:tcPr>
          <w:p w14:paraId="446B3AE0">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第4页 共4页</w:t>
            </w:r>
          </w:p>
        </w:tc>
      </w:tr>
      <w:tr w14:paraId="59724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300" w:type="dxa"/>
            <w:gridSpan w:val="15"/>
            <w:tcBorders>
              <w:top w:val="single" w:color="000000" w:sz="8" w:space="0"/>
              <w:left w:val="single" w:color="000000" w:sz="8" w:space="0"/>
              <w:bottom w:val="single" w:color="000000" w:sz="4" w:space="0"/>
              <w:right w:val="single" w:color="000000" w:sz="8" w:space="0"/>
            </w:tcBorders>
            <w:shd w:val="clear" w:color="auto" w:fill="auto"/>
            <w:noWrap/>
            <w:vAlign w:val="center"/>
          </w:tcPr>
          <w:p w14:paraId="41BAEF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第500章 排水与涵洞</w:t>
            </w:r>
          </w:p>
        </w:tc>
      </w:tr>
      <w:tr w14:paraId="0BCF5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F03B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细目号</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E2F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细目名称</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8D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E5B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4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C2D6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r>
      <w:tr w14:paraId="1AEA4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602A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504-2</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1AA0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钢管涵</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60E5A">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37C6FB">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DA42">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17FCF70">
            <w:pPr>
              <w:jc w:val="right"/>
              <w:rPr>
                <w:rFonts w:hint="eastAsia" w:ascii="宋体" w:hAnsi="宋体" w:eastAsia="宋体" w:cs="宋体"/>
                <w:i w:val="0"/>
                <w:iCs w:val="0"/>
                <w:color w:val="000000"/>
                <w:sz w:val="18"/>
                <w:szCs w:val="18"/>
                <w:u w:val="none"/>
              </w:rPr>
            </w:pPr>
          </w:p>
        </w:tc>
      </w:tr>
      <w:tr w14:paraId="1BA6D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0F0E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A06A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2-0.50m钢管涵</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44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CB0E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A7AC">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045E24B">
            <w:pPr>
              <w:jc w:val="right"/>
              <w:rPr>
                <w:rFonts w:hint="eastAsia" w:ascii="宋体" w:hAnsi="宋体" w:eastAsia="宋体" w:cs="宋体"/>
                <w:i w:val="0"/>
                <w:iCs w:val="0"/>
                <w:color w:val="000000"/>
                <w:sz w:val="18"/>
                <w:szCs w:val="18"/>
                <w:u w:val="none"/>
              </w:rPr>
            </w:pPr>
          </w:p>
        </w:tc>
      </w:tr>
      <w:tr w14:paraId="4F97D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AFFDC5D">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2F2C74">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B7179">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301637">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A57C">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8A9E788">
            <w:pPr>
              <w:jc w:val="right"/>
              <w:rPr>
                <w:rFonts w:hint="eastAsia" w:ascii="宋体" w:hAnsi="宋体" w:eastAsia="宋体" w:cs="宋体"/>
                <w:i w:val="0"/>
                <w:iCs w:val="0"/>
                <w:color w:val="000000"/>
                <w:sz w:val="18"/>
                <w:szCs w:val="18"/>
                <w:u w:val="none"/>
              </w:rPr>
            </w:pPr>
          </w:p>
        </w:tc>
      </w:tr>
      <w:tr w14:paraId="6ED9F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3D1461E">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D68282">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ECD9F">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74D538">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388B">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B9FBAFB">
            <w:pPr>
              <w:jc w:val="right"/>
              <w:rPr>
                <w:rFonts w:hint="eastAsia" w:ascii="宋体" w:hAnsi="宋体" w:eastAsia="宋体" w:cs="宋体"/>
                <w:i w:val="0"/>
                <w:iCs w:val="0"/>
                <w:color w:val="000000"/>
                <w:sz w:val="18"/>
                <w:szCs w:val="18"/>
                <w:u w:val="none"/>
              </w:rPr>
            </w:pPr>
          </w:p>
        </w:tc>
      </w:tr>
      <w:tr w14:paraId="4C692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649A3E1">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58F5E0">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794D4">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29D9E6">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B7B8">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455241E">
            <w:pPr>
              <w:jc w:val="right"/>
              <w:rPr>
                <w:rFonts w:hint="eastAsia" w:ascii="宋体" w:hAnsi="宋体" w:eastAsia="宋体" w:cs="宋体"/>
                <w:i w:val="0"/>
                <w:iCs w:val="0"/>
                <w:color w:val="000000"/>
                <w:sz w:val="18"/>
                <w:szCs w:val="18"/>
                <w:u w:val="none"/>
              </w:rPr>
            </w:pPr>
          </w:p>
        </w:tc>
      </w:tr>
      <w:tr w14:paraId="7022C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61DDB10">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2447D6">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FF27B">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5A1BF7">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5827">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F43926F">
            <w:pPr>
              <w:jc w:val="right"/>
              <w:rPr>
                <w:rFonts w:hint="eastAsia" w:ascii="宋体" w:hAnsi="宋体" w:eastAsia="宋体" w:cs="宋体"/>
                <w:i w:val="0"/>
                <w:iCs w:val="0"/>
                <w:color w:val="000000"/>
                <w:sz w:val="18"/>
                <w:szCs w:val="18"/>
                <w:u w:val="none"/>
              </w:rPr>
            </w:pPr>
          </w:p>
        </w:tc>
      </w:tr>
      <w:tr w14:paraId="5C040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EA8C564">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F6A4BD">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31357">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703590">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78B0">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99FA36A">
            <w:pPr>
              <w:jc w:val="right"/>
              <w:rPr>
                <w:rFonts w:hint="eastAsia" w:ascii="宋体" w:hAnsi="宋体" w:eastAsia="宋体" w:cs="宋体"/>
                <w:i w:val="0"/>
                <w:iCs w:val="0"/>
                <w:color w:val="000000"/>
                <w:sz w:val="18"/>
                <w:szCs w:val="18"/>
                <w:u w:val="none"/>
              </w:rPr>
            </w:pPr>
          </w:p>
        </w:tc>
      </w:tr>
      <w:tr w14:paraId="1A79B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6911DF4">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5EF898">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069C9">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1767FE">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068B">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B409FE4">
            <w:pPr>
              <w:jc w:val="right"/>
              <w:rPr>
                <w:rFonts w:hint="eastAsia" w:ascii="宋体" w:hAnsi="宋体" w:eastAsia="宋体" w:cs="宋体"/>
                <w:i w:val="0"/>
                <w:iCs w:val="0"/>
                <w:color w:val="000000"/>
                <w:sz w:val="18"/>
                <w:szCs w:val="18"/>
                <w:u w:val="none"/>
              </w:rPr>
            </w:pPr>
          </w:p>
        </w:tc>
      </w:tr>
      <w:tr w14:paraId="6AF8B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5DA1568">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A9B809">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9896E">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02D672">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EA1C">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3A558C3">
            <w:pPr>
              <w:jc w:val="right"/>
              <w:rPr>
                <w:rFonts w:hint="eastAsia" w:ascii="宋体" w:hAnsi="宋体" w:eastAsia="宋体" w:cs="宋体"/>
                <w:i w:val="0"/>
                <w:iCs w:val="0"/>
                <w:color w:val="000000"/>
                <w:sz w:val="18"/>
                <w:szCs w:val="18"/>
                <w:u w:val="none"/>
              </w:rPr>
            </w:pPr>
          </w:p>
        </w:tc>
      </w:tr>
      <w:tr w14:paraId="15749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39F0B10">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42B53E">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ECD63">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B0F718">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A38D">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4F8765D">
            <w:pPr>
              <w:jc w:val="right"/>
              <w:rPr>
                <w:rFonts w:hint="eastAsia" w:ascii="宋体" w:hAnsi="宋体" w:eastAsia="宋体" w:cs="宋体"/>
                <w:i w:val="0"/>
                <w:iCs w:val="0"/>
                <w:color w:val="000000"/>
                <w:sz w:val="18"/>
                <w:szCs w:val="18"/>
                <w:u w:val="none"/>
              </w:rPr>
            </w:pPr>
          </w:p>
        </w:tc>
      </w:tr>
      <w:tr w14:paraId="3FD1B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317CD4C">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F9A35F">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BBEE7">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093DBE">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9B25">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64D9EE1">
            <w:pPr>
              <w:jc w:val="right"/>
              <w:rPr>
                <w:rFonts w:hint="eastAsia" w:ascii="宋体" w:hAnsi="宋体" w:eastAsia="宋体" w:cs="宋体"/>
                <w:i w:val="0"/>
                <w:iCs w:val="0"/>
                <w:color w:val="000000"/>
                <w:sz w:val="18"/>
                <w:szCs w:val="18"/>
                <w:u w:val="none"/>
              </w:rPr>
            </w:pPr>
          </w:p>
        </w:tc>
      </w:tr>
      <w:tr w14:paraId="5B92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A9FBED2">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F941B2">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35DCF">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453448">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15D1">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7D32C89">
            <w:pPr>
              <w:jc w:val="right"/>
              <w:rPr>
                <w:rFonts w:hint="eastAsia" w:ascii="宋体" w:hAnsi="宋体" w:eastAsia="宋体" w:cs="宋体"/>
                <w:i w:val="0"/>
                <w:iCs w:val="0"/>
                <w:color w:val="000000"/>
                <w:sz w:val="18"/>
                <w:szCs w:val="18"/>
                <w:u w:val="none"/>
              </w:rPr>
            </w:pPr>
          </w:p>
        </w:tc>
      </w:tr>
      <w:tr w14:paraId="37B45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2AB8EB2">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EDA1C9">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97E4D">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644D05">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70AC">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6808B90">
            <w:pPr>
              <w:jc w:val="right"/>
              <w:rPr>
                <w:rFonts w:hint="eastAsia" w:ascii="宋体" w:hAnsi="宋体" w:eastAsia="宋体" w:cs="宋体"/>
                <w:i w:val="0"/>
                <w:iCs w:val="0"/>
                <w:color w:val="000000"/>
                <w:sz w:val="18"/>
                <w:szCs w:val="18"/>
                <w:u w:val="none"/>
              </w:rPr>
            </w:pPr>
          </w:p>
        </w:tc>
      </w:tr>
      <w:tr w14:paraId="1FB9C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86C1E59">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0C25F8">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73870">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FC5B73">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0A7B">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17D49BE">
            <w:pPr>
              <w:jc w:val="right"/>
              <w:rPr>
                <w:rFonts w:hint="eastAsia" w:ascii="宋体" w:hAnsi="宋体" w:eastAsia="宋体" w:cs="宋体"/>
                <w:i w:val="0"/>
                <w:iCs w:val="0"/>
                <w:color w:val="000000"/>
                <w:sz w:val="18"/>
                <w:szCs w:val="18"/>
                <w:u w:val="none"/>
              </w:rPr>
            </w:pPr>
          </w:p>
        </w:tc>
      </w:tr>
      <w:tr w14:paraId="09E9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774DD8D">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6FC222">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B909F">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FBE31C">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3C6F">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5C5C583">
            <w:pPr>
              <w:jc w:val="right"/>
              <w:rPr>
                <w:rFonts w:hint="eastAsia" w:ascii="宋体" w:hAnsi="宋体" w:eastAsia="宋体" w:cs="宋体"/>
                <w:i w:val="0"/>
                <w:iCs w:val="0"/>
                <w:color w:val="000000"/>
                <w:sz w:val="18"/>
                <w:szCs w:val="18"/>
                <w:u w:val="none"/>
              </w:rPr>
            </w:pPr>
          </w:p>
        </w:tc>
      </w:tr>
      <w:tr w14:paraId="01418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3C78653">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1BA59E">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4BD50">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B72BF1">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C22D">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EEDE699">
            <w:pPr>
              <w:jc w:val="right"/>
              <w:rPr>
                <w:rFonts w:hint="eastAsia" w:ascii="宋体" w:hAnsi="宋体" w:eastAsia="宋体" w:cs="宋体"/>
                <w:i w:val="0"/>
                <w:iCs w:val="0"/>
                <w:color w:val="000000"/>
                <w:sz w:val="18"/>
                <w:szCs w:val="18"/>
                <w:u w:val="none"/>
              </w:rPr>
            </w:pPr>
          </w:p>
        </w:tc>
      </w:tr>
      <w:tr w14:paraId="69BAB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A4B0EEC">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B7468E">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ECB6B">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6C7973">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408A">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9C3BE26">
            <w:pPr>
              <w:jc w:val="right"/>
              <w:rPr>
                <w:rFonts w:hint="eastAsia" w:ascii="宋体" w:hAnsi="宋体" w:eastAsia="宋体" w:cs="宋体"/>
                <w:i w:val="0"/>
                <w:iCs w:val="0"/>
                <w:color w:val="000000"/>
                <w:sz w:val="18"/>
                <w:szCs w:val="18"/>
                <w:u w:val="none"/>
              </w:rPr>
            </w:pPr>
          </w:p>
        </w:tc>
      </w:tr>
      <w:tr w14:paraId="163DA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156410A">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04B032">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2994A">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3975D2">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3641">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41D731C">
            <w:pPr>
              <w:jc w:val="right"/>
              <w:rPr>
                <w:rFonts w:hint="eastAsia" w:ascii="宋体" w:hAnsi="宋体" w:eastAsia="宋体" w:cs="宋体"/>
                <w:i w:val="0"/>
                <w:iCs w:val="0"/>
                <w:color w:val="000000"/>
                <w:sz w:val="18"/>
                <w:szCs w:val="18"/>
                <w:u w:val="none"/>
              </w:rPr>
            </w:pPr>
          </w:p>
        </w:tc>
      </w:tr>
      <w:tr w14:paraId="65E3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924F2B8">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CA11A2">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B53A7">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FC8484">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D523">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34B823D">
            <w:pPr>
              <w:jc w:val="right"/>
              <w:rPr>
                <w:rFonts w:hint="eastAsia" w:ascii="宋体" w:hAnsi="宋体" w:eastAsia="宋体" w:cs="宋体"/>
                <w:i w:val="0"/>
                <w:iCs w:val="0"/>
                <w:color w:val="000000"/>
                <w:sz w:val="18"/>
                <w:szCs w:val="18"/>
                <w:u w:val="none"/>
              </w:rPr>
            </w:pPr>
          </w:p>
        </w:tc>
      </w:tr>
      <w:tr w14:paraId="679D4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5D7FBC3">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B47729">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6347C">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A8CB2D">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ACC9">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9E1DABE">
            <w:pPr>
              <w:jc w:val="right"/>
              <w:rPr>
                <w:rFonts w:hint="eastAsia" w:ascii="宋体" w:hAnsi="宋体" w:eastAsia="宋体" w:cs="宋体"/>
                <w:i w:val="0"/>
                <w:iCs w:val="0"/>
                <w:color w:val="000000"/>
                <w:sz w:val="18"/>
                <w:szCs w:val="18"/>
                <w:u w:val="none"/>
              </w:rPr>
            </w:pPr>
          </w:p>
        </w:tc>
      </w:tr>
      <w:tr w14:paraId="55770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88A8579">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C69804">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1E1D6">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2DE32C">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A62B">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7BEE9F1">
            <w:pPr>
              <w:jc w:val="right"/>
              <w:rPr>
                <w:rFonts w:hint="eastAsia" w:ascii="宋体" w:hAnsi="宋体" w:eastAsia="宋体" w:cs="宋体"/>
                <w:i w:val="0"/>
                <w:iCs w:val="0"/>
                <w:color w:val="000000"/>
                <w:sz w:val="18"/>
                <w:szCs w:val="18"/>
                <w:u w:val="none"/>
              </w:rPr>
            </w:pPr>
          </w:p>
        </w:tc>
      </w:tr>
      <w:tr w14:paraId="5CBAF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1E2B8D4">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D97004">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E64E5">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B6D320">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34B2">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4665BA1">
            <w:pPr>
              <w:jc w:val="right"/>
              <w:rPr>
                <w:rFonts w:hint="eastAsia" w:ascii="宋体" w:hAnsi="宋体" w:eastAsia="宋体" w:cs="宋体"/>
                <w:i w:val="0"/>
                <w:iCs w:val="0"/>
                <w:color w:val="000000"/>
                <w:sz w:val="18"/>
                <w:szCs w:val="18"/>
                <w:u w:val="none"/>
              </w:rPr>
            </w:pPr>
          </w:p>
        </w:tc>
      </w:tr>
      <w:tr w14:paraId="03C7F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7DEB295">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D36F8C">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72143">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AAF155">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69C1">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80FC519">
            <w:pPr>
              <w:jc w:val="right"/>
              <w:rPr>
                <w:rFonts w:hint="eastAsia" w:ascii="宋体" w:hAnsi="宋体" w:eastAsia="宋体" w:cs="宋体"/>
                <w:i w:val="0"/>
                <w:iCs w:val="0"/>
                <w:color w:val="000000"/>
                <w:sz w:val="18"/>
                <w:szCs w:val="18"/>
                <w:u w:val="none"/>
              </w:rPr>
            </w:pPr>
          </w:p>
        </w:tc>
      </w:tr>
      <w:tr w14:paraId="2A85F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EB92F66">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168BE6">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F3CB6">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23B3F7">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6979">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9DD186B">
            <w:pPr>
              <w:jc w:val="right"/>
              <w:rPr>
                <w:rFonts w:hint="eastAsia" w:ascii="宋体" w:hAnsi="宋体" w:eastAsia="宋体" w:cs="宋体"/>
                <w:i w:val="0"/>
                <w:iCs w:val="0"/>
                <w:color w:val="000000"/>
                <w:sz w:val="18"/>
                <w:szCs w:val="18"/>
                <w:u w:val="none"/>
              </w:rPr>
            </w:pPr>
          </w:p>
        </w:tc>
      </w:tr>
      <w:tr w14:paraId="6571E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B929953">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A3B206">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DB659">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B88D53">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68CA">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CDE217C">
            <w:pPr>
              <w:jc w:val="right"/>
              <w:rPr>
                <w:rFonts w:hint="eastAsia" w:ascii="宋体" w:hAnsi="宋体" w:eastAsia="宋体" w:cs="宋体"/>
                <w:i w:val="0"/>
                <w:iCs w:val="0"/>
                <w:color w:val="000000"/>
                <w:sz w:val="18"/>
                <w:szCs w:val="18"/>
                <w:u w:val="none"/>
              </w:rPr>
            </w:pPr>
          </w:p>
        </w:tc>
      </w:tr>
      <w:tr w14:paraId="0CD52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9752EB2">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93F406">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60C33">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625394">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7F98">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41FF1EC">
            <w:pPr>
              <w:jc w:val="right"/>
              <w:rPr>
                <w:rFonts w:hint="eastAsia" w:ascii="宋体" w:hAnsi="宋体" w:eastAsia="宋体" w:cs="宋体"/>
                <w:i w:val="0"/>
                <w:iCs w:val="0"/>
                <w:color w:val="000000"/>
                <w:sz w:val="18"/>
                <w:szCs w:val="18"/>
                <w:u w:val="none"/>
              </w:rPr>
            </w:pPr>
          </w:p>
        </w:tc>
      </w:tr>
      <w:tr w14:paraId="6FDB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4DA5EAF">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DD0642">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E242E">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DAC160">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0143">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52BD3A4">
            <w:pPr>
              <w:jc w:val="right"/>
              <w:rPr>
                <w:rFonts w:hint="eastAsia" w:ascii="宋体" w:hAnsi="宋体" w:eastAsia="宋体" w:cs="宋体"/>
                <w:i w:val="0"/>
                <w:iCs w:val="0"/>
                <w:color w:val="000000"/>
                <w:sz w:val="18"/>
                <w:szCs w:val="18"/>
                <w:u w:val="none"/>
              </w:rPr>
            </w:pPr>
          </w:p>
        </w:tc>
      </w:tr>
      <w:tr w14:paraId="61095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60CA95C">
            <w:pPr>
              <w:jc w:val="center"/>
              <w:rPr>
                <w:rFonts w:hint="eastAsia" w:ascii="宋体" w:hAnsi="宋体" w:eastAsia="宋体" w:cs="宋体"/>
                <w:i w:val="0"/>
                <w:iCs w:val="0"/>
                <w:color w:val="000000"/>
                <w:sz w:val="18"/>
                <w:szCs w:val="18"/>
                <w:u w:val="none"/>
              </w:rPr>
            </w:pPr>
          </w:p>
        </w:tc>
        <w:tc>
          <w:tcPr>
            <w:tcW w:w="3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17BDD2">
            <w:pPr>
              <w:jc w:val="left"/>
              <w:rPr>
                <w:rFonts w:hint="eastAsia" w:ascii="宋体" w:hAnsi="宋体" w:eastAsia="宋体" w:cs="宋体"/>
                <w:i w:val="0"/>
                <w:iCs w:val="0"/>
                <w:color w:val="000000"/>
                <w:sz w:val="18"/>
                <w:szCs w:val="18"/>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398C5">
            <w:pPr>
              <w:jc w:val="center"/>
              <w:rPr>
                <w:rFonts w:hint="eastAsia" w:ascii="宋体" w:hAnsi="宋体" w:eastAsia="宋体" w:cs="宋体"/>
                <w:i w:val="0"/>
                <w:iCs w:val="0"/>
                <w:color w:val="000000"/>
                <w:sz w:val="18"/>
                <w:szCs w:val="18"/>
                <w:u w:val="none"/>
              </w:rPr>
            </w:pP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9AFD9B">
            <w:pPr>
              <w:jc w:val="righ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8B55">
            <w:pPr>
              <w:jc w:val="right"/>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CD7C44A">
            <w:pPr>
              <w:jc w:val="right"/>
              <w:rPr>
                <w:rFonts w:hint="eastAsia" w:ascii="宋体" w:hAnsi="宋体" w:eastAsia="宋体" w:cs="宋体"/>
                <w:i w:val="0"/>
                <w:iCs w:val="0"/>
                <w:color w:val="000000"/>
                <w:sz w:val="18"/>
                <w:szCs w:val="18"/>
                <w:u w:val="none"/>
              </w:rPr>
            </w:pPr>
          </w:p>
        </w:tc>
      </w:tr>
      <w:tr w14:paraId="06BAD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5" w:hRule="atLeast"/>
        </w:trPr>
        <w:tc>
          <w:tcPr>
            <w:tcW w:w="9300" w:type="dxa"/>
            <w:gridSpan w:val="15"/>
            <w:tcBorders>
              <w:top w:val="single" w:color="000000" w:sz="4" w:space="0"/>
              <w:left w:val="single" w:color="000000" w:sz="8" w:space="0"/>
              <w:bottom w:val="single" w:color="000000" w:sz="8" w:space="0"/>
              <w:right w:val="single" w:color="000000" w:sz="8" w:space="0"/>
            </w:tcBorders>
            <w:shd w:val="clear" w:color="auto" w:fill="auto"/>
            <w:vAlign w:val="center"/>
          </w:tcPr>
          <w:p w14:paraId="45F30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第500章 排水与涵洞 合计 人民币 0.00 元</w:t>
            </w:r>
          </w:p>
        </w:tc>
      </w:tr>
      <w:tr w14:paraId="6B91B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182" w:type="dxa"/>
            <w:gridSpan w:val="2"/>
            <w:tcBorders>
              <w:top w:val="single" w:color="000000" w:sz="8" w:space="0"/>
              <w:left w:val="nil"/>
              <w:bottom w:val="nil"/>
              <w:right w:val="nil"/>
            </w:tcBorders>
            <w:shd w:val="clear" w:color="auto" w:fill="auto"/>
            <w:noWrap/>
            <w:vAlign w:val="top"/>
          </w:tcPr>
          <w:p w14:paraId="1652DE21">
            <w:pPr>
              <w:rPr>
                <w:rFonts w:hint="default" w:ascii="Arial" w:hAnsi="Arial" w:cs="Arial"/>
                <w:i w:val="0"/>
                <w:iCs w:val="0"/>
                <w:color w:val="000000"/>
                <w:sz w:val="20"/>
                <w:szCs w:val="20"/>
                <w:u w:val="none"/>
              </w:rPr>
            </w:pPr>
          </w:p>
        </w:tc>
        <w:tc>
          <w:tcPr>
            <w:tcW w:w="222" w:type="dxa"/>
            <w:tcBorders>
              <w:top w:val="single" w:color="000000" w:sz="8" w:space="0"/>
              <w:left w:val="nil"/>
              <w:bottom w:val="nil"/>
              <w:right w:val="nil"/>
            </w:tcBorders>
            <w:shd w:val="clear" w:color="auto" w:fill="auto"/>
            <w:noWrap/>
            <w:vAlign w:val="top"/>
          </w:tcPr>
          <w:p w14:paraId="68C657E0">
            <w:pPr>
              <w:rPr>
                <w:rFonts w:hint="default" w:ascii="Arial" w:hAnsi="Arial" w:cs="Arial"/>
                <w:i w:val="0"/>
                <w:iCs w:val="0"/>
                <w:color w:val="000000"/>
                <w:sz w:val="20"/>
                <w:szCs w:val="20"/>
                <w:u w:val="none"/>
              </w:rPr>
            </w:pPr>
          </w:p>
        </w:tc>
        <w:tc>
          <w:tcPr>
            <w:tcW w:w="2961" w:type="dxa"/>
            <w:gridSpan w:val="3"/>
            <w:tcBorders>
              <w:top w:val="single" w:color="000000" w:sz="8" w:space="0"/>
              <w:left w:val="nil"/>
              <w:bottom w:val="nil"/>
              <w:right w:val="nil"/>
            </w:tcBorders>
            <w:shd w:val="clear" w:color="auto" w:fill="auto"/>
            <w:noWrap/>
            <w:vAlign w:val="top"/>
          </w:tcPr>
          <w:p w14:paraId="3C45473B">
            <w:pPr>
              <w:rPr>
                <w:rFonts w:hint="default" w:ascii="Arial" w:hAnsi="Arial" w:cs="Arial"/>
                <w:i w:val="0"/>
                <w:iCs w:val="0"/>
                <w:color w:val="000000"/>
                <w:sz w:val="20"/>
                <w:szCs w:val="20"/>
                <w:u w:val="none"/>
              </w:rPr>
            </w:pPr>
          </w:p>
        </w:tc>
        <w:tc>
          <w:tcPr>
            <w:tcW w:w="222" w:type="dxa"/>
            <w:tcBorders>
              <w:top w:val="single" w:color="000000" w:sz="8" w:space="0"/>
              <w:left w:val="nil"/>
              <w:bottom w:val="nil"/>
              <w:right w:val="nil"/>
            </w:tcBorders>
            <w:shd w:val="clear" w:color="auto" w:fill="auto"/>
            <w:noWrap/>
            <w:vAlign w:val="top"/>
          </w:tcPr>
          <w:p w14:paraId="0239EFA6">
            <w:pPr>
              <w:rPr>
                <w:rFonts w:hint="default" w:ascii="Arial" w:hAnsi="Arial" w:cs="Arial"/>
                <w:i w:val="0"/>
                <w:iCs w:val="0"/>
                <w:color w:val="000000"/>
                <w:sz w:val="20"/>
                <w:szCs w:val="20"/>
                <w:u w:val="none"/>
              </w:rPr>
            </w:pPr>
          </w:p>
        </w:tc>
        <w:tc>
          <w:tcPr>
            <w:tcW w:w="1260" w:type="dxa"/>
            <w:tcBorders>
              <w:top w:val="single" w:color="000000" w:sz="8" w:space="0"/>
              <w:left w:val="nil"/>
              <w:bottom w:val="nil"/>
              <w:right w:val="nil"/>
            </w:tcBorders>
            <w:shd w:val="clear" w:color="auto" w:fill="auto"/>
            <w:noWrap/>
            <w:vAlign w:val="top"/>
          </w:tcPr>
          <w:p w14:paraId="34B03DA7">
            <w:pPr>
              <w:rPr>
                <w:rFonts w:hint="default" w:ascii="Arial" w:hAnsi="Arial" w:cs="Arial"/>
                <w:i w:val="0"/>
                <w:iCs w:val="0"/>
                <w:color w:val="000000"/>
                <w:sz w:val="20"/>
                <w:szCs w:val="20"/>
                <w:u w:val="none"/>
              </w:rPr>
            </w:pPr>
          </w:p>
        </w:tc>
        <w:tc>
          <w:tcPr>
            <w:tcW w:w="1073" w:type="dxa"/>
            <w:gridSpan w:val="3"/>
            <w:tcBorders>
              <w:top w:val="single" w:color="000000" w:sz="8" w:space="0"/>
              <w:left w:val="nil"/>
              <w:bottom w:val="nil"/>
              <w:right w:val="nil"/>
            </w:tcBorders>
            <w:shd w:val="clear" w:color="auto" w:fill="auto"/>
            <w:noWrap/>
            <w:vAlign w:val="top"/>
          </w:tcPr>
          <w:p w14:paraId="5556F608">
            <w:pPr>
              <w:rPr>
                <w:rFonts w:hint="default" w:ascii="Arial" w:hAnsi="Arial" w:cs="Arial"/>
                <w:i w:val="0"/>
                <w:iCs w:val="0"/>
                <w:color w:val="000000"/>
                <w:sz w:val="20"/>
                <w:szCs w:val="20"/>
                <w:u w:val="none"/>
              </w:rPr>
            </w:pPr>
          </w:p>
        </w:tc>
        <w:tc>
          <w:tcPr>
            <w:tcW w:w="300" w:type="dxa"/>
            <w:tcBorders>
              <w:top w:val="single" w:color="000000" w:sz="8" w:space="0"/>
              <w:left w:val="nil"/>
              <w:bottom w:val="nil"/>
              <w:right w:val="nil"/>
            </w:tcBorders>
            <w:shd w:val="clear" w:color="auto" w:fill="auto"/>
            <w:noWrap/>
            <w:vAlign w:val="top"/>
          </w:tcPr>
          <w:p w14:paraId="67E956B0">
            <w:pPr>
              <w:rPr>
                <w:rFonts w:hint="default" w:ascii="Arial" w:hAnsi="Arial" w:cs="Arial"/>
                <w:i w:val="0"/>
                <w:iCs w:val="0"/>
                <w:color w:val="000000"/>
                <w:sz w:val="20"/>
                <w:szCs w:val="20"/>
                <w:u w:val="none"/>
              </w:rPr>
            </w:pPr>
          </w:p>
        </w:tc>
        <w:tc>
          <w:tcPr>
            <w:tcW w:w="1048" w:type="dxa"/>
            <w:tcBorders>
              <w:top w:val="single" w:color="000000" w:sz="8" w:space="0"/>
              <w:left w:val="nil"/>
              <w:bottom w:val="nil"/>
              <w:right w:val="nil"/>
            </w:tcBorders>
            <w:shd w:val="clear" w:color="auto" w:fill="auto"/>
            <w:noWrap/>
            <w:vAlign w:val="top"/>
          </w:tcPr>
          <w:p w14:paraId="2AF2E8E4">
            <w:pPr>
              <w:rPr>
                <w:rFonts w:hint="default" w:ascii="Arial" w:hAnsi="Arial" w:cs="Arial"/>
                <w:i w:val="0"/>
                <w:iCs w:val="0"/>
                <w:color w:val="000000"/>
                <w:sz w:val="20"/>
                <w:szCs w:val="20"/>
                <w:u w:val="none"/>
              </w:rPr>
            </w:pPr>
          </w:p>
        </w:tc>
        <w:tc>
          <w:tcPr>
            <w:tcW w:w="1032" w:type="dxa"/>
            <w:gridSpan w:val="2"/>
            <w:tcBorders>
              <w:top w:val="single" w:color="000000" w:sz="8" w:space="0"/>
              <w:left w:val="nil"/>
              <w:bottom w:val="nil"/>
              <w:right w:val="nil"/>
            </w:tcBorders>
            <w:shd w:val="clear" w:color="auto" w:fill="auto"/>
            <w:noWrap/>
            <w:vAlign w:val="top"/>
          </w:tcPr>
          <w:p w14:paraId="6CF6B954">
            <w:pPr>
              <w:rPr>
                <w:rFonts w:hint="default" w:ascii="Arial" w:hAnsi="Arial" w:cs="Arial"/>
                <w:i w:val="0"/>
                <w:iCs w:val="0"/>
                <w:color w:val="000000"/>
                <w:sz w:val="20"/>
                <w:szCs w:val="20"/>
                <w:u w:val="none"/>
              </w:rPr>
            </w:pPr>
          </w:p>
        </w:tc>
      </w:tr>
      <w:tr w14:paraId="18272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82" w:type="dxa"/>
            <w:gridSpan w:val="2"/>
            <w:tcBorders>
              <w:top w:val="nil"/>
              <w:left w:val="nil"/>
              <w:bottom w:val="nil"/>
              <w:right w:val="nil"/>
            </w:tcBorders>
            <w:shd w:val="clear" w:color="auto" w:fill="auto"/>
            <w:noWrap/>
            <w:vAlign w:val="bottom"/>
          </w:tcPr>
          <w:p w14:paraId="2E8C9B36">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430B63B8">
            <w:pPr>
              <w:rPr>
                <w:rFonts w:hint="default" w:ascii="Arial" w:hAnsi="Arial" w:cs="Arial"/>
                <w:i w:val="0"/>
                <w:iCs w:val="0"/>
                <w:color w:val="000000"/>
                <w:sz w:val="20"/>
                <w:szCs w:val="20"/>
                <w:u w:val="none"/>
              </w:rPr>
            </w:pPr>
          </w:p>
        </w:tc>
        <w:tc>
          <w:tcPr>
            <w:tcW w:w="2961" w:type="dxa"/>
            <w:gridSpan w:val="3"/>
            <w:tcBorders>
              <w:top w:val="nil"/>
              <w:left w:val="nil"/>
              <w:bottom w:val="nil"/>
              <w:right w:val="nil"/>
            </w:tcBorders>
            <w:shd w:val="clear" w:color="auto" w:fill="auto"/>
            <w:noWrap/>
            <w:vAlign w:val="bottom"/>
          </w:tcPr>
          <w:p w14:paraId="3CC17E8B">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0EB380F3">
            <w:pPr>
              <w:rPr>
                <w:rFonts w:hint="default" w:ascii="Arial" w:hAnsi="Arial" w:cs="Arial"/>
                <w:i w:val="0"/>
                <w:iCs w:val="0"/>
                <w:color w:val="000000"/>
                <w:sz w:val="20"/>
                <w:szCs w:val="20"/>
                <w:u w:val="none"/>
              </w:rPr>
            </w:pPr>
          </w:p>
        </w:tc>
        <w:tc>
          <w:tcPr>
            <w:tcW w:w="4713" w:type="dxa"/>
            <w:gridSpan w:val="8"/>
            <w:tcBorders>
              <w:top w:val="nil"/>
              <w:left w:val="nil"/>
              <w:bottom w:val="nil"/>
              <w:right w:val="nil"/>
            </w:tcBorders>
            <w:shd w:val="clear" w:color="auto" w:fill="auto"/>
            <w:vAlign w:val="center"/>
          </w:tcPr>
          <w:p w14:paraId="2B2C77EC">
            <w:pPr>
              <w:keepNext w:val="0"/>
              <w:keepLines w:val="0"/>
              <w:widowControl/>
              <w:suppressLineNumbers w:val="0"/>
              <w:jc w:val="right"/>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【新点2013公路造价新疆版 V10.4.6】</w:t>
            </w:r>
          </w:p>
        </w:tc>
      </w:tr>
    </w:tbl>
    <w:p w14:paraId="2D0EBC90">
      <w:pPr>
        <w:numPr>
          <w:ilvl w:val="0"/>
          <w:numId w:val="0"/>
        </w:numPr>
        <w:tabs>
          <w:tab w:val="left" w:pos="0"/>
        </w:tabs>
        <w:spacing w:before="0" w:after="0" w:line="240" w:lineRule="atLeast"/>
        <w:ind w:left="-15" w:leftChars="0"/>
        <w:jc w:val="both"/>
        <w:outlineLvl w:val="9"/>
        <w:rPr>
          <w:rFonts w:hint="eastAsia" w:asciiTheme="minorEastAsia" w:hAnsiTheme="minorEastAsia" w:eastAsiaTheme="minorEastAsia" w:cstheme="minorEastAsia"/>
          <w:b/>
          <w:color w:val="auto"/>
          <w:sz w:val="24"/>
          <w:szCs w:val="24"/>
          <w:highlight w:val="none"/>
        </w:rPr>
        <w:sectPr>
          <w:footerReference r:id="rId13" w:type="first"/>
          <w:headerReference r:id="rId11" w:type="default"/>
          <w:footerReference r:id="rId12" w:type="default"/>
          <w:pgSz w:w="11906" w:h="16838"/>
          <w:pgMar w:top="1440" w:right="1803" w:bottom="1440" w:left="1803" w:header="720" w:footer="998" w:gutter="0"/>
          <w:pgNumType w:fmt="decimal"/>
          <w:cols w:space="0" w:num="1"/>
          <w:titlePg/>
          <w:rtlGutter w:val="0"/>
          <w:docGrid w:linePitch="312" w:charSpace="0"/>
        </w:sectPr>
      </w:pPr>
    </w:p>
    <w:tbl>
      <w:tblPr>
        <w:tblStyle w:val="25"/>
        <w:tblW w:w="150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2"/>
        <w:gridCol w:w="1048"/>
        <w:gridCol w:w="1560"/>
        <w:gridCol w:w="792"/>
        <w:gridCol w:w="802"/>
        <w:gridCol w:w="792"/>
        <w:gridCol w:w="802"/>
        <w:gridCol w:w="792"/>
        <w:gridCol w:w="802"/>
        <w:gridCol w:w="802"/>
        <w:gridCol w:w="792"/>
        <w:gridCol w:w="802"/>
        <w:gridCol w:w="426"/>
        <w:gridCol w:w="802"/>
        <w:gridCol w:w="792"/>
        <w:gridCol w:w="802"/>
        <w:gridCol w:w="792"/>
        <w:gridCol w:w="803"/>
      </w:tblGrid>
      <w:tr w14:paraId="19F4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15005" w:type="dxa"/>
            <w:gridSpan w:val="18"/>
            <w:tcBorders>
              <w:top w:val="nil"/>
              <w:left w:val="nil"/>
              <w:bottom w:val="nil"/>
              <w:right w:val="nil"/>
            </w:tcBorders>
            <w:shd w:val="clear" w:color="auto" w:fill="auto"/>
            <w:noWrap/>
            <w:vAlign w:val="center"/>
          </w:tcPr>
          <w:p w14:paraId="6FC50B8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工程量清单单价分析表</w:t>
            </w:r>
          </w:p>
        </w:tc>
      </w:tr>
      <w:tr w14:paraId="6289D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588" w:type="dxa"/>
            <w:gridSpan w:val="12"/>
            <w:tcBorders>
              <w:top w:val="nil"/>
              <w:left w:val="nil"/>
              <w:bottom w:val="single" w:color="000000" w:sz="8" w:space="0"/>
              <w:right w:val="nil"/>
            </w:tcBorders>
            <w:shd w:val="clear" w:color="auto" w:fill="auto"/>
            <w:vAlign w:val="center"/>
          </w:tcPr>
          <w:p w14:paraId="06076794">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项目名称：疏勒县良种繁育场种畜二队路面便化工程项目</w:t>
            </w:r>
          </w:p>
        </w:tc>
        <w:tc>
          <w:tcPr>
            <w:tcW w:w="0" w:type="auto"/>
            <w:gridSpan w:val="6"/>
            <w:tcBorders>
              <w:top w:val="nil"/>
              <w:left w:val="nil"/>
              <w:bottom w:val="single" w:color="000000" w:sz="8" w:space="0"/>
              <w:right w:val="nil"/>
            </w:tcBorders>
            <w:shd w:val="clear" w:color="auto" w:fill="auto"/>
            <w:noWrap/>
            <w:vAlign w:val="center"/>
          </w:tcPr>
          <w:p w14:paraId="7E255FD8">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第1页 共1页</w:t>
            </w:r>
          </w:p>
        </w:tc>
      </w:tr>
      <w:tr w14:paraId="1361E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0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DFC1EBE">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04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7ECE29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编码</w:t>
            </w:r>
          </w:p>
        </w:tc>
        <w:tc>
          <w:tcPr>
            <w:tcW w:w="15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810B8A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子目名称</w:t>
            </w:r>
          </w:p>
        </w:tc>
        <w:tc>
          <w:tcPr>
            <w:tcW w:w="2386"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BF25EE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4792" w:type="dxa"/>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06C5465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4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32DF4B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机械使用费</w:t>
            </w:r>
          </w:p>
        </w:tc>
        <w:tc>
          <w:tcPr>
            <w:tcW w:w="80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A223C97">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w:t>
            </w:r>
          </w:p>
        </w:tc>
        <w:tc>
          <w:tcPr>
            <w:tcW w:w="79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38E33C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管理费</w:t>
            </w:r>
          </w:p>
        </w:tc>
        <w:tc>
          <w:tcPr>
            <w:tcW w:w="80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B0CF17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税费</w:t>
            </w:r>
          </w:p>
        </w:tc>
        <w:tc>
          <w:tcPr>
            <w:tcW w:w="79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340125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利润</w:t>
            </w:r>
          </w:p>
        </w:tc>
        <w:tc>
          <w:tcPr>
            <w:tcW w:w="803"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6786598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r>
      <w:tr w14:paraId="0729E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0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228D5F6">
            <w:pPr>
              <w:jc w:val="center"/>
              <w:rPr>
                <w:rFonts w:hint="eastAsia" w:ascii="黑体" w:hAnsi="宋体" w:eastAsia="黑体" w:cs="黑体"/>
                <w:i w:val="0"/>
                <w:iCs w:val="0"/>
                <w:color w:val="000000"/>
                <w:sz w:val="21"/>
                <w:szCs w:val="21"/>
                <w:u w:val="none"/>
              </w:rPr>
            </w:pPr>
          </w:p>
        </w:tc>
        <w:tc>
          <w:tcPr>
            <w:tcW w:w="104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AD71572">
            <w:pPr>
              <w:jc w:val="center"/>
              <w:rPr>
                <w:rFonts w:hint="eastAsia" w:ascii="黑体" w:hAnsi="宋体" w:eastAsia="黑体" w:cs="黑体"/>
                <w:i w:val="0"/>
                <w:iCs w:val="0"/>
                <w:color w:val="000000"/>
                <w:sz w:val="21"/>
                <w:szCs w:val="21"/>
                <w:u w:val="none"/>
              </w:rPr>
            </w:pPr>
          </w:p>
        </w:tc>
        <w:tc>
          <w:tcPr>
            <w:tcW w:w="15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D84DA3">
            <w:pPr>
              <w:jc w:val="center"/>
              <w:rPr>
                <w:rFonts w:hint="eastAsia" w:ascii="黑体" w:hAnsi="宋体" w:eastAsia="黑体" w:cs="黑体"/>
                <w:i w:val="0"/>
                <w:iCs w:val="0"/>
                <w:color w:val="000000"/>
                <w:sz w:val="21"/>
                <w:szCs w:val="21"/>
                <w:u w:val="none"/>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F78721">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工日</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91E5F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单价</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09EBC4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w:t>
            </w:r>
          </w:p>
        </w:tc>
        <w:tc>
          <w:tcPr>
            <w:tcW w:w="319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1D98EF1">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主材</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C0E56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辅材费</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38AF7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w:t>
            </w:r>
          </w:p>
        </w:tc>
        <w:tc>
          <w:tcPr>
            <w:tcW w:w="4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8BC7ECF">
            <w:pPr>
              <w:jc w:val="center"/>
              <w:rPr>
                <w:rFonts w:hint="eastAsia" w:ascii="黑体" w:hAnsi="宋体" w:eastAsia="黑体" w:cs="黑体"/>
                <w:i w:val="0"/>
                <w:iCs w:val="0"/>
                <w:color w:val="000000"/>
                <w:sz w:val="21"/>
                <w:szCs w:val="21"/>
                <w:u w:val="none"/>
              </w:rPr>
            </w:pPr>
          </w:p>
        </w:tc>
        <w:tc>
          <w:tcPr>
            <w:tcW w:w="80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47C4333">
            <w:pPr>
              <w:jc w:val="center"/>
              <w:rPr>
                <w:rFonts w:hint="eastAsia" w:ascii="黑体" w:hAnsi="宋体" w:eastAsia="黑体" w:cs="黑体"/>
                <w:i w:val="0"/>
                <w:iCs w:val="0"/>
                <w:color w:val="000000"/>
                <w:sz w:val="21"/>
                <w:szCs w:val="21"/>
                <w:u w:val="none"/>
              </w:rPr>
            </w:pPr>
          </w:p>
        </w:tc>
        <w:tc>
          <w:tcPr>
            <w:tcW w:w="79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6487B66">
            <w:pPr>
              <w:jc w:val="center"/>
              <w:rPr>
                <w:rFonts w:hint="eastAsia" w:ascii="黑体" w:hAnsi="宋体" w:eastAsia="黑体" w:cs="黑体"/>
                <w:i w:val="0"/>
                <w:iCs w:val="0"/>
                <w:color w:val="000000"/>
                <w:sz w:val="21"/>
                <w:szCs w:val="21"/>
                <w:u w:val="none"/>
              </w:rPr>
            </w:pPr>
          </w:p>
        </w:tc>
        <w:tc>
          <w:tcPr>
            <w:tcW w:w="80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A815FFB">
            <w:pPr>
              <w:jc w:val="center"/>
              <w:rPr>
                <w:rFonts w:hint="eastAsia" w:ascii="黑体" w:hAnsi="宋体" w:eastAsia="黑体" w:cs="黑体"/>
                <w:i w:val="0"/>
                <w:iCs w:val="0"/>
                <w:color w:val="000000"/>
                <w:sz w:val="21"/>
                <w:szCs w:val="21"/>
                <w:u w:val="none"/>
              </w:rPr>
            </w:pPr>
          </w:p>
        </w:tc>
        <w:tc>
          <w:tcPr>
            <w:tcW w:w="79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C68B6EF">
            <w:pPr>
              <w:jc w:val="center"/>
              <w:rPr>
                <w:rFonts w:hint="eastAsia" w:ascii="黑体" w:hAnsi="宋体" w:eastAsia="黑体" w:cs="黑体"/>
                <w:i w:val="0"/>
                <w:iCs w:val="0"/>
                <w:color w:val="000000"/>
                <w:sz w:val="21"/>
                <w:szCs w:val="21"/>
                <w:u w:val="none"/>
              </w:rPr>
            </w:pPr>
          </w:p>
        </w:tc>
        <w:tc>
          <w:tcPr>
            <w:tcW w:w="803"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39DB60C4">
            <w:pPr>
              <w:jc w:val="center"/>
              <w:rPr>
                <w:rFonts w:hint="eastAsia" w:ascii="黑体" w:hAnsi="宋体" w:eastAsia="黑体" w:cs="黑体"/>
                <w:i w:val="0"/>
                <w:iCs w:val="0"/>
                <w:color w:val="000000"/>
                <w:sz w:val="21"/>
                <w:szCs w:val="21"/>
                <w:u w:val="none"/>
              </w:rPr>
            </w:pPr>
          </w:p>
        </w:tc>
      </w:tr>
      <w:tr w14:paraId="31E54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005B14E">
            <w:pPr>
              <w:jc w:val="center"/>
              <w:rPr>
                <w:rFonts w:hint="eastAsia" w:ascii="黑体" w:hAnsi="宋体" w:eastAsia="黑体" w:cs="黑体"/>
                <w:i w:val="0"/>
                <w:iCs w:val="0"/>
                <w:color w:val="000000"/>
                <w:sz w:val="21"/>
                <w:szCs w:val="21"/>
                <w:u w:val="none"/>
              </w:rPr>
            </w:pPr>
          </w:p>
        </w:tc>
        <w:tc>
          <w:tcPr>
            <w:tcW w:w="104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EFAC2DE">
            <w:pPr>
              <w:jc w:val="center"/>
              <w:rPr>
                <w:rFonts w:hint="eastAsia" w:ascii="黑体" w:hAnsi="宋体" w:eastAsia="黑体" w:cs="黑体"/>
                <w:i w:val="0"/>
                <w:iCs w:val="0"/>
                <w:color w:val="000000"/>
                <w:sz w:val="21"/>
                <w:szCs w:val="21"/>
                <w:u w:val="none"/>
              </w:rPr>
            </w:pPr>
          </w:p>
        </w:tc>
        <w:tc>
          <w:tcPr>
            <w:tcW w:w="15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5E04F3F">
            <w:pPr>
              <w:jc w:val="center"/>
              <w:rPr>
                <w:rFonts w:hint="eastAsia" w:ascii="黑体" w:hAnsi="宋体" w:eastAsia="黑体" w:cs="黑体"/>
                <w:i w:val="0"/>
                <w:iCs w:val="0"/>
                <w:color w:val="000000"/>
                <w:sz w:val="21"/>
                <w:szCs w:val="21"/>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777C50">
            <w:pPr>
              <w:jc w:val="center"/>
              <w:rPr>
                <w:rFonts w:hint="eastAsia" w:ascii="黑体" w:hAnsi="宋体" w:eastAsia="黑体" w:cs="黑体"/>
                <w:i w:val="0"/>
                <w:iCs w:val="0"/>
                <w:color w:val="000000"/>
                <w:sz w:val="21"/>
                <w:szCs w:val="21"/>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804765">
            <w:pPr>
              <w:jc w:val="center"/>
              <w:rPr>
                <w:rFonts w:hint="eastAsia" w:ascii="黑体" w:hAnsi="宋体" w:eastAsia="黑体" w:cs="黑体"/>
                <w:i w:val="0"/>
                <w:iCs w:val="0"/>
                <w:color w:val="000000"/>
                <w:sz w:val="21"/>
                <w:szCs w:val="21"/>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62D45E">
            <w:pPr>
              <w:jc w:val="center"/>
              <w:rPr>
                <w:rFonts w:hint="eastAsia" w:ascii="黑体" w:hAnsi="宋体" w:eastAsia="黑体" w:cs="黑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C5EB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主材耗量</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1203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E98BE">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单价</w:t>
            </w:r>
          </w:p>
        </w:tc>
        <w:tc>
          <w:tcPr>
            <w:tcW w:w="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3EF9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主材费</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1621E3">
            <w:pPr>
              <w:jc w:val="center"/>
              <w:rPr>
                <w:rFonts w:hint="eastAsia" w:ascii="黑体" w:hAnsi="宋体" w:eastAsia="黑体" w:cs="黑体"/>
                <w:i w:val="0"/>
                <w:iCs w:val="0"/>
                <w:color w:val="000000"/>
                <w:sz w:val="21"/>
                <w:szCs w:val="21"/>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1284CE">
            <w:pPr>
              <w:jc w:val="center"/>
              <w:rPr>
                <w:rFonts w:hint="eastAsia" w:ascii="黑体" w:hAnsi="宋体" w:eastAsia="黑体" w:cs="黑体"/>
                <w:i w:val="0"/>
                <w:iCs w:val="0"/>
                <w:color w:val="000000"/>
                <w:sz w:val="21"/>
                <w:szCs w:val="21"/>
                <w:u w:val="none"/>
              </w:rPr>
            </w:pPr>
          </w:p>
        </w:tc>
        <w:tc>
          <w:tcPr>
            <w:tcW w:w="4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6E4C02D">
            <w:pPr>
              <w:jc w:val="center"/>
              <w:rPr>
                <w:rFonts w:hint="eastAsia" w:ascii="黑体" w:hAnsi="宋体" w:eastAsia="黑体" w:cs="黑体"/>
                <w:i w:val="0"/>
                <w:iCs w:val="0"/>
                <w:color w:val="000000"/>
                <w:sz w:val="21"/>
                <w:szCs w:val="21"/>
                <w:u w:val="none"/>
              </w:rPr>
            </w:pPr>
          </w:p>
        </w:tc>
        <w:tc>
          <w:tcPr>
            <w:tcW w:w="80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EAD4E97">
            <w:pPr>
              <w:jc w:val="center"/>
              <w:rPr>
                <w:rFonts w:hint="eastAsia" w:ascii="黑体" w:hAnsi="宋体" w:eastAsia="黑体" w:cs="黑体"/>
                <w:i w:val="0"/>
                <w:iCs w:val="0"/>
                <w:color w:val="000000"/>
                <w:sz w:val="21"/>
                <w:szCs w:val="21"/>
                <w:u w:val="none"/>
              </w:rPr>
            </w:pPr>
          </w:p>
        </w:tc>
        <w:tc>
          <w:tcPr>
            <w:tcW w:w="79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A96EE17">
            <w:pPr>
              <w:jc w:val="center"/>
              <w:rPr>
                <w:rFonts w:hint="eastAsia" w:ascii="黑体" w:hAnsi="宋体" w:eastAsia="黑体" w:cs="黑体"/>
                <w:i w:val="0"/>
                <w:iCs w:val="0"/>
                <w:color w:val="000000"/>
                <w:sz w:val="21"/>
                <w:szCs w:val="21"/>
                <w:u w:val="none"/>
              </w:rPr>
            </w:pPr>
          </w:p>
        </w:tc>
        <w:tc>
          <w:tcPr>
            <w:tcW w:w="80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AD71CD9">
            <w:pPr>
              <w:jc w:val="center"/>
              <w:rPr>
                <w:rFonts w:hint="eastAsia" w:ascii="黑体" w:hAnsi="宋体" w:eastAsia="黑体" w:cs="黑体"/>
                <w:i w:val="0"/>
                <w:iCs w:val="0"/>
                <w:color w:val="000000"/>
                <w:sz w:val="21"/>
                <w:szCs w:val="21"/>
                <w:u w:val="none"/>
              </w:rPr>
            </w:pPr>
          </w:p>
        </w:tc>
        <w:tc>
          <w:tcPr>
            <w:tcW w:w="79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56EEBE6">
            <w:pPr>
              <w:jc w:val="center"/>
              <w:rPr>
                <w:rFonts w:hint="eastAsia" w:ascii="黑体" w:hAnsi="宋体" w:eastAsia="黑体" w:cs="黑体"/>
                <w:i w:val="0"/>
                <w:iCs w:val="0"/>
                <w:color w:val="000000"/>
                <w:sz w:val="21"/>
                <w:szCs w:val="21"/>
                <w:u w:val="none"/>
              </w:rPr>
            </w:pPr>
          </w:p>
        </w:tc>
        <w:tc>
          <w:tcPr>
            <w:tcW w:w="803"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58C41684">
            <w:pPr>
              <w:jc w:val="center"/>
              <w:rPr>
                <w:rFonts w:hint="eastAsia" w:ascii="黑体" w:hAnsi="宋体" w:eastAsia="黑体" w:cs="黑体"/>
                <w:i w:val="0"/>
                <w:iCs w:val="0"/>
                <w:color w:val="000000"/>
                <w:sz w:val="21"/>
                <w:szCs w:val="21"/>
                <w:u w:val="none"/>
              </w:rPr>
            </w:pPr>
          </w:p>
        </w:tc>
      </w:tr>
      <w:tr w14:paraId="3B4B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80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56BFAF">
            <w:pPr>
              <w:jc w:val="center"/>
              <w:rPr>
                <w:rFonts w:hint="eastAsia" w:ascii="宋体" w:hAnsi="宋体" w:eastAsia="宋体" w:cs="宋体"/>
                <w:i w:val="0"/>
                <w:iCs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F500">
            <w:pPr>
              <w:jc w:val="center"/>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D537">
            <w:pPr>
              <w:jc w:val="lef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57A5">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BC8E">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6C9C">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E65D">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6DB5">
            <w:pPr>
              <w:jc w:val="center"/>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1A9D">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0979">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E144">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F332">
            <w:pPr>
              <w:jc w:val="right"/>
              <w:rPr>
                <w:rFonts w:hint="eastAsia" w:ascii="宋体" w:hAnsi="宋体" w:eastAsia="宋体" w:cs="宋体"/>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89AD">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71DD">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3A79">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AC60">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AE74">
            <w:pPr>
              <w:jc w:val="right"/>
              <w:rPr>
                <w:rFonts w:hint="eastAsia" w:ascii="宋体" w:hAnsi="宋体" w:eastAsia="宋体" w:cs="宋体"/>
                <w:i w:val="0"/>
                <w:iCs w:val="0"/>
                <w:color w:val="000000"/>
                <w:sz w:val="21"/>
                <w:szCs w:val="21"/>
                <w:u w:val="none"/>
              </w:rPr>
            </w:pPr>
          </w:p>
        </w:tc>
        <w:tc>
          <w:tcPr>
            <w:tcW w:w="80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99033D">
            <w:pPr>
              <w:jc w:val="right"/>
              <w:rPr>
                <w:rFonts w:hint="eastAsia" w:ascii="宋体" w:hAnsi="宋体" w:eastAsia="宋体" w:cs="宋体"/>
                <w:i w:val="0"/>
                <w:iCs w:val="0"/>
                <w:color w:val="000000"/>
                <w:sz w:val="21"/>
                <w:szCs w:val="21"/>
                <w:u w:val="none"/>
              </w:rPr>
            </w:pPr>
          </w:p>
        </w:tc>
      </w:tr>
      <w:tr w14:paraId="13F1E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80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13DFDB">
            <w:pPr>
              <w:jc w:val="center"/>
              <w:rPr>
                <w:rFonts w:hint="eastAsia" w:ascii="宋体" w:hAnsi="宋体" w:eastAsia="宋体" w:cs="宋体"/>
                <w:i w:val="0"/>
                <w:iCs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07F5">
            <w:pPr>
              <w:jc w:val="center"/>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5B83">
            <w:pPr>
              <w:jc w:val="lef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EFD7">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E2FF">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4896">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F766">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5421">
            <w:pPr>
              <w:jc w:val="center"/>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4A7B">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675E">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6057">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7B13">
            <w:pPr>
              <w:jc w:val="right"/>
              <w:rPr>
                <w:rFonts w:hint="eastAsia" w:ascii="宋体" w:hAnsi="宋体" w:eastAsia="宋体" w:cs="宋体"/>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E73E">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BC15">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D5F3">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82F6">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1070">
            <w:pPr>
              <w:jc w:val="right"/>
              <w:rPr>
                <w:rFonts w:hint="eastAsia" w:ascii="宋体" w:hAnsi="宋体" w:eastAsia="宋体" w:cs="宋体"/>
                <w:i w:val="0"/>
                <w:iCs w:val="0"/>
                <w:color w:val="000000"/>
                <w:sz w:val="21"/>
                <w:szCs w:val="21"/>
                <w:u w:val="none"/>
              </w:rPr>
            </w:pPr>
          </w:p>
        </w:tc>
        <w:tc>
          <w:tcPr>
            <w:tcW w:w="80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1F6BCC">
            <w:pPr>
              <w:jc w:val="right"/>
              <w:rPr>
                <w:rFonts w:hint="eastAsia" w:ascii="宋体" w:hAnsi="宋体" w:eastAsia="宋体" w:cs="宋体"/>
                <w:i w:val="0"/>
                <w:iCs w:val="0"/>
                <w:color w:val="000000"/>
                <w:sz w:val="21"/>
                <w:szCs w:val="21"/>
                <w:u w:val="none"/>
              </w:rPr>
            </w:pPr>
          </w:p>
        </w:tc>
      </w:tr>
      <w:tr w14:paraId="56AFE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0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570246">
            <w:pPr>
              <w:jc w:val="center"/>
              <w:rPr>
                <w:rFonts w:hint="eastAsia" w:ascii="宋体" w:hAnsi="宋体" w:eastAsia="宋体" w:cs="宋体"/>
                <w:i w:val="0"/>
                <w:iCs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3E43">
            <w:pPr>
              <w:jc w:val="center"/>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E7A1">
            <w:pPr>
              <w:jc w:val="lef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0860">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8F7E">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2C5D">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64EC">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72BD">
            <w:pPr>
              <w:jc w:val="center"/>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BE09">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1144">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C61D">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9B86">
            <w:pPr>
              <w:jc w:val="right"/>
              <w:rPr>
                <w:rFonts w:hint="eastAsia" w:ascii="宋体" w:hAnsi="宋体" w:eastAsia="宋体" w:cs="宋体"/>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31BE">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6B7C">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3A4E">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2856">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150A">
            <w:pPr>
              <w:jc w:val="right"/>
              <w:rPr>
                <w:rFonts w:hint="eastAsia" w:ascii="宋体" w:hAnsi="宋体" w:eastAsia="宋体" w:cs="宋体"/>
                <w:i w:val="0"/>
                <w:iCs w:val="0"/>
                <w:color w:val="000000"/>
                <w:sz w:val="21"/>
                <w:szCs w:val="21"/>
                <w:u w:val="none"/>
              </w:rPr>
            </w:pPr>
          </w:p>
        </w:tc>
        <w:tc>
          <w:tcPr>
            <w:tcW w:w="80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C32F72">
            <w:pPr>
              <w:jc w:val="right"/>
              <w:rPr>
                <w:rFonts w:hint="eastAsia" w:ascii="宋体" w:hAnsi="宋体" w:eastAsia="宋体" w:cs="宋体"/>
                <w:i w:val="0"/>
                <w:iCs w:val="0"/>
                <w:color w:val="000000"/>
                <w:sz w:val="21"/>
                <w:szCs w:val="21"/>
                <w:u w:val="none"/>
              </w:rPr>
            </w:pPr>
          </w:p>
        </w:tc>
      </w:tr>
      <w:tr w14:paraId="09DD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80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CFE581">
            <w:pPr>
              <w:jc w:val="center"/>
              <w:rPr>
                <w:rFonts w:hint="eastAsia" w:ascii="宋体" w:hAnsi="宋体" w:eastAsia="宋体" w:cs="宋体"/>
                <w:i w:val="0"/>
                <w:iCs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083F">
            <w:pPr>
              <w:jc w:val="center"/>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FFD3">
            <w:pPr>
              <w:jc w:val="lef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3EEC">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D786">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C8B6">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77F7">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AF61">
            <w:pPr>
              <w:jc w:val="center"/>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9FBF">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CFC6">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6CAA">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93EF">
            <w:pPr>
              <w:jc w:val="right"/>
              <w:rPr>
                <w:rFonts w:hint="eastAsia" w:ascii="宋体" w:hAnsi="宋体" w:eastAsia="宋体" w:cs="宋体"/>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F956">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CB5E">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7992">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92B4">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7E8E">
            <w:pPr>
              <w:jc w:val="right"/>
              <w:rPr>
                <w:rFonts w:hint="eastAsia" w:ascii="宋体" w:hAnsi="宋体" w:eastAsia="宋体" w:cs="宋体"/>
                <w:i w:val="0"/>
                <w:iCs w:val="0"/>
                <w:color w:val="000000"/>
                <w:sz w:val="21"/>
                <w:szCs w:val="21"/>
                <w:u w:val="none"/>
              </w:rPr>
            </w:pPr>
          </w:p>
        </w:tc>
        <w:tc>
          <w:tcPr>
            <w:tcW w:w="80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67663D">
            <w:pPr>
              <w:jc w:val="right"/>
              <w:rPr>
                <w:rFonts w:hint="eastAsia" w:ascii="宋体" w:hAnsi="宋体" w:eastAsia="宋体" w:cs="宋体"/>
                <w:i w:val="0"/>
                <w:iCs w:val="0"/>
                <w:color w:val="000000"/>
                <w:sz w:val="21"/>
                <w:szCs w:val="21"/>
                <w:u w:val="none"/>
              </w:rPr>
            </w:pPr>
          </w:p>
        </w:tc>
      </w:tr>
      <w:tr w14:paraId="65DAF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0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D34981">
            <w:pPr>
              <w:jc w:val="center"/>
              <w:rPr>
                <w:rFonts w:hint="eastAsia" w:ascii="宋体" w:hAnsi="宋体" w:eastAsia="宋体" w:cs="宋体"/>
                <w:i w:val="0"/>
                <w:iCs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D42B">
            <w:pPr>
              <w:jc w:val="center"/>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DECB">
            <w:pPr>
              <w:jc w:val="lef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E495">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F159">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B70E">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0D60">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7C18">
            <w:pPr>
              <w:jc w:val="center"/>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10E6">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7B77">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F2AD">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8AB5">
            <w:pPr>
              <w:jc w:val="right"/>
              <w:rPr>
                <w:rFonts w:hint="eastAsia" w:ascii="宋体" w:hAnsi="宋体" w:eastAsia="宋体" w:cs="宋体"/>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7FFF">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2F70">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2D02">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92F6">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D4EF">
            <w:pPr>
              <w:jc w:val="right"/>
              <w:rPr>
                <w:rFonts w:hint="eastAsia" w:ascii="宋体" w:hAnsi="宋体" w:eastAsia="宋体" w:cs="宋体"/>
                <w:i w:val="0"/>
                <w:iCs w:val="0"/>
                <w:color w:val="000000"/>
                <w:sz w:val="21"/>
                <w:szCs w:val="21"/>
                <w:u w:val="none"/>
              </w:rPr>
            </w:pPr>
          </w:p>
        </w:tc>
        <w:tc>
          <w:tcPr>
            <w:tcW w:w="80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161EAC">
            <w:pPr>
              <w:jc w:val="right"/>
              <w:rPr>
                <w:rFonts w:hint="eastAsia" w:ascii="宋体" w:hAnsi="宋体" w:eastAsia="宋体" w:cs="宋体"/>
                <w:i w:val="0"/>
                <w:iCs w:val="0"/>
                <w:color w:val="000000"/>
                <w:sz w:val="21"/>
                <w:szCs w:val="21"/>
                <w:u w:val="none"/>
              </w:rPr>
            </w:pPr>
          </w:p>
        </w:tc>
      </w:tr>
      <w:tr w14:paraId="695A5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80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A19555">
            <w:pPr>
              <w:jc w:val="center"/>
              <w:rPr>
                <w:rFonts w:hint="eastAsia" w:ascii="宋体" w:hAnsi="宋体" w:eastAsia="宋体" w:cs="宋体"/>
                <w:i w:val="0"/>
                <w:iCs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F41A">
            <w:pPr>
              <w:jc w:val="center"/>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04B1">
            <w:pPr>
              <w:jc w:val="lef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ADD7">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C096">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527A">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5030">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0FDB">
            <w:pPr>
              <w:jc w:val="center"/>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BFE1">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9763">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2042">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83A9">
            <w:pPr>
              <w:jc w:val="right"/>
              <w:rPr>
                <w:rFonts w:hint="eastAsia" w:ascii="宋体" w:hAnsi="宋体" w:eastAsia="宋体" w:cs="宋体"/>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6594">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CA64">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D13B">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CAFC">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3882">
            <w:pPr>
              <w:jc w:val="right"/>
              <w:rPr>
                <w:rFonts w:hint="eastAsia" w:ascii="宋体" w:hAnsi="宋体" w:eastAsia="宋体" w:cs="宋体"/>
                <w:i w:val="0"/>
                <w:iCs w:val="0"/>
                <w:color w:val="000000"/>
                <w:sz w:val="21"/>
                <w:szCs w:val="21"/>
                <w:u w:val="none"/>
              </w:rPr>
            </w:pPr>
          </w:p>
        </w:tc>
        <w:tc>
          <w:tcPr>
            <w:tcW w:w="80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A2D0AB">
            <w:pPr>
              <w:jc w:val="right"/>
              <w:rPr>
                <w:rFonts w:hint="eastAsia" w:ascii="宋体" w:hAnsi="宋体" w:eastAsia="宋体" w:cs="宋体"/>
                <w:i w:val="0"/>
                <w:iCs w:val="0"/>
                <w:color w:val="000000"/>
                <w:sz w:val="21"/>
                <w:szCs w:val="21"/>
                <w:u w:val="none"/>
              </w:rPr>
            </w:pPr>
          </w:p>
        </w:tc>
      </w:tr>
      <w:tr w14:paraId="265B8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80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AC318B">
            <w:pPr>
              <w:jc w:val="center"/>
              <w:rPr>
                <w:rFonts w:hint="eastAsia" w:ascii="宋体" w:hAnsi="宋体" w:eastAsia="宋体" w:cs="宋体"/>
                <w:i w:val="0"/>
                <w:iCs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5866">
            <w:pPr>
              <w:jc w:val="center"/>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68BD">
            <w:pPr>
              <w:jc w:val="lef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90D6">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76D6">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7276">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56FB">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B0D4">
            <w:pPr>
              <w:jc w:val="center"/>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B7BF">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A5DB">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7D90">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4D36">
            <w:pPr>
              <w:jc w:val="right"/>
              <w:rPr>
                <w:rFonts w:hint="eastAsia" w:ascii="宋体" w:hAnsi="宋体" w:eastAsia="宋体" w:cs="宋体"/>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30F2">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2F32">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BE27">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CEEA">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BEE4">
            <w:pPr>
              <w:jc w:val="right"/>
              <w:rPr>
                <w:rFonts w:hint="eastAsia" w:ascii="宋体" w:hAnsi="宋体" w:eastAsia="宋体" w:cs="宋体"/>
                <w:i w:val="0"/>
                <w:iCs w:val="0"/>
                <w:color w:val="000000"/>
                <w:sz w:val="21"/>
                <w:szCs w:val="21"/>
                <w:u w:val="none"/>
              </w:rPr>
            </w:pPr>
          </w:p>
        </w:tc>
        <w:tc>
          <w:tcPr>
            <w:tcW w:w="80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65C8B2">
            <w:pPr>
              <w:jc w:val="right"/>
              <w:rPr>
                <w:rFonts w:hint="eastAsia" w:ascii="宋体" w:hAnsi="宋体" w:eastAsia="宋体" w:cs="宋体"/>
                <w:i w:val="0"/>
                <w:iCs w:val="0"/>
                <w:color w:val="000000"/>
                <w:sz w:val="21"/>
                <w:szCs w:val="21"/>
                <w:u w:val="none"/>
              </w:rPr>
            </w:pPr>
          </w:p>
        </w:tc>
      </w:tr>
      <w:tr w14:paraId="3702C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0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61435D">
            <w:pPr>
              <w:jc w:val="center"/>
              <w:rPr>
                <w:rFonts w:hint="eastAsia" w:ascii="宋体" w:hAnsi="宋体" w:eastAsia="宋体" w:cs="宋体"/>
                <w:i w:val="0"/>
                <w:iCs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86C6">
            <w:pPr>
              <w:jc w:val="center"/>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A242">
            <w:pPr>
              <w:jc w:val="lef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98C4">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B908">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3691">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BD60">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6B3B">
            <w:pPr>
              <w:jc w:val="center"/>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D0C7">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FB1B">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892F">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C223">
            <w:pPr>
              <w:jc w:val="right"/>
              <w:rPr>
                <w:rFonts w:hint="eastAsia" w:ascii="宋体" w:hAnsi="宋体" w:eastAsia="宋体" w:cs="宋体"/>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CE6F">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9AB2">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6997">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3868">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D6BF">
            <w:pPr>
              <w:jc w:val="right"/>
              <w:rPr>
                <w:rFonts w:hint="eastAsia" w:ascii="宋体" w:hAnsi="宋体" w:eastAsia="宋体" w:cs="宋体"/>
                <w:i w:val="0"/>
                <w:iCs w:val="0"/>
                <w:color w:val="000000"/>
                <w:sz w:val="21"/>
                <w:szCs w:val="21"/>
                <w:u w:val="none"/>
              </w:rPr>
            </w:pPr>
          </w:p>
        </w:tc>
        <w:tc>
          <w:tcPr>
            <w:tcW w:w="80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23EF19">
            <w:pPr>
              <w:jc w:val="right"/>
              <w:rPr>
                <w:rFonts w:hint="eastAsia" w:ascii="宋体" w:hAnsi="宋体" w:eastAsia="宋体" w:cs="宋体"/>
                <w:i w:val="0"/>
                <w:iCs w:val="0"/>
                <w:color w:val="000000"/>
                <w:sz w:val="21"/>
                <w:szCs w:val="21"/>
                <w:u w:val="none"/>
              </w:rPr>
            </w:pPr>
          </w:p>
        </w:tc>
      </w:tr>
      <w:tr w14:paraId="6A77D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80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645632">
            <w:pPr>
              <w:jc w:val="center"/>
              <w:rPr>
                <w:rFonts w:hint="eastAsia" w:ascii="宋体" w:hAnsi="宋体" w:eastAsia="宋体" w:cs="宋体"/>
                <w:i w:val="0"/>
                <w:iCs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E412">
            <w:pPr>
              <w:jc w:val="center"/>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6C8B">
            <w:pPr>
              <w:jc w:val="lef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BB4B">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3842">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D799">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81CB">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6398">
            <w:pPr>
              <w:jc w:val="center"/>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DCE2">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FD56">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E312">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56FF">
            <w:pPr>
              <w:jc w:val="right"/>
              <w:rPr>
                <w:rFonts w:hint="eastAsia" w:ascii="宋体" w:hAnsi="宋体" w:eastAsia="宋体" w:cs="宋体"/>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9FE6">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8C03">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7BF4">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839F">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908E">
            <w:pPr>
              <w:jc w:val="right"/>
              <w:rPr>
                <w:rFonts w:hint="eastAsia" w:ascii="宋体" w:hAnsi="宋体" w:eastAsia="宋体" w:cs="宋体"/>
                <w:i w:val="0"/>
                <w:iCs w:val="0"/>
                <w:color w:val="000000"/>
                <w:sz w:val="21"/>
                <w:szCs w:val="21"/>
                <w:u w:val="none"/>
              </w:rPr>
            </w:pPr>
          </w:p>
        </w:tc>
        <w:tc>
          <w:tcPr>
            <w:tcW w:w="80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8205D9">
            <w:pPr>
              <w:jc w:val="right"/>
              <w:rPr>
                <w:rFonts w:hint="eastAsia" w:ascii="宋体" w:hAnsi="宋体" w:eastAsia="宋体" w:cs="宋体"/>
                <w:i w:val="0"/>
                <w:iCs w:val="0"/>
                <w:color w:val="000000"/>
                <w:sz w:val="21"/>
                <w:szCs w:val="21"/>
                <w:u w:val="none"/>
              </w:rPr>
            </w:pPr>
          </w:p>
        </w:tc>
      </w:tr>
      <w:tr w14:paraId="16476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80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91F815">
            <w:pPr>
              <w:jc w:val="center"/>
              <w:rPr>
                <w:rFonts w:hint="eastAsia" w:ascii="宋体" w:hAnsi="宋体" w:eastAsia="宋体" w:cs="宋体"/>
                <w:i w:val="0"/>
                <w:iCs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E2A2">
            <w:pPr>
              <w:jc w:val="center"/>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A046">
            <w:pPr>
              <w:jc w:val="lef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43A7">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8D17">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8525">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264A">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B48B">
            <w:pPr>
              <w:jc w:val="center"/>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31EB">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87FD">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8D69">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C55F">
            <w:pPr>
              <w:jc w:val="right"/>
              <w:rPr>
                <w:rFonts w:hint="eastAsia" w:ascii="宋体" w:hAnsi="宋体" w:eastAsia="宋体" w:cs="宋体"/>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3F1C">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268C">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B8B6">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6480">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87DE">
            <w:pPr>
              <w:jc w:val="right"/>
              <w:rPr>
                <w:rFonts w:hint="eastAsia" w:ascii="宋体" w:hAnsi="宋体" w:eastAsia="宋体" w:cs="宋体"/>
                <w:i w:val="0"/>
                <w:iCs w:val="0"/>
                <w:color w:val="000000"/>
                <w:sz w:val="21"/>
                <w:szCs w:val="21"/>
                <w:u w:val="none"/>
              </w:rPr>
            </w:pPr>
          </w:p>
        </w:tc>
        <w:tc>
          <w:tcPr>
            <w:tcW w:w="80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F90BB9">
            <w:pPr>
              <w:jc w:val="right"/>
              <w:rPr>
                <w:rFonts w:hint="eastAsia" w:ascii="宋体" w:hAnsi="宋体" w:eastAsia="宋体" w:cs="宋体"/>
                <w:i w:val="0"/>
                <w:iCs w:val="0"/>
                <w:color w:val="000000"/>
                <w:sz w:val="21"/>
                <w:szCs w:val="21"/>
                <w:u w:val="none"/>
              </w:rPr>
            </w:pPr>
          </w:p>
        </w:tc>
      </w:tr>
      <w:tr w14:paraId="0247F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0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0BB9EB">
            <w:pPr>
              <w:jc w:val="center"/>
              <w:rPr>
                <w:rFonts w:hint="eastAsia" w:ascii="宋体" w:hAnsi="宋体" w:eastAsia="宋体" w:cs="宋体"/>
                <w:i w:val="0"/>
                <w:iCs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B866">
            <w:pPr>
              <w:jc w:val="center"/>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F6F6">
            <w:pPr>
              <w:jc w:val="lef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79C9">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767D">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05D4">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E130">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264B">
            <w:pPr>
              <w:jc w:val="center"/>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73F5">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FF73">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B0AC">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B491">
            <w:pPr>
              <w:jc w:val="right"/>
              <w:rPr>
                <w:rFonts w:hint="eastAsia" w:ascii="宋体" w:hAnsi="宋体" w:eastAsia="宋体" w:cs="宋体"/>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B0AF">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D8AC">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21AC">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C1C8">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E8A5">
            <w:pPr>
              <w:jc w:val="right"/>
              <w:rPr>
                <w:rFonts w:hint="eastAsia" w:ascii="宋体" w:hAnsi="宋体" w:eastAsia="宋体" w:cs="宋体"/>
                <w:i w:val="0"/>
                <w:iCs w:val="0"/>
                <w:color w:val="000000"/>
                <w:sz w:val="21"/>
                <w:szCs w:val="21"/>
                <w:u w:val="none"/>
              </w:rPr>
            </w:pPr>
          </w:p>
        </w:tc>
        <w:tc>
          <w:tcPr>
            <w:tcW w:w="80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A31EE4">
            <w:pPr>
              <w:jc w:val="right"/>
              <w:rPr>
                <w:rFonts w:hint="eastAsia" w:ascii="宋体" w:hAnsi="宋体" w:eastAsia="宋体" w:cs="宋体"/>
                <w:i w:val="0"/>
                <w:iCs w:val="0"/>
                <w:color w:val="000000"/>
                <w:sz w:val="21"/>
                <w:szCs w:val="21"/>
                <w:u w:val="none"/>
              </w:rPr>
            </w:pPr>
          </w:p>
        </w:tc>
      </w:tr>
      <w:tr w14:paraId="1F4F6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80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9CE999">
            <w:pPr>
              <w:jc w:val="center"/>
              <w:rPr>
                <w:rFonts w:hint="eastAsia" w:ascii="宋体" w:hAnsi="宋体" w:eastAsia="宋体" w:cs="宋体"/>
                <w:i w:val="0"/>
                <w:iCs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5C41">
            <w:pPr>
              <w:jc w:val="center"/>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DB1D">
            <w:pPr>
              <w:jc w:val="lef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7593">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92B4">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A822">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490B">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BDAE">
            <w:pPr>
              <w:jc w:val="center"/>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81A5">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3D87">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8201">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C215">
            <w:pPr>
              <w:jc w:val="right"/>
              <w:rPr>
                <w:rFonts w:hint="eastAsia" w:ascii="宋体" w:hAnsi="宋体" w:eastAsia="宋体" w:cs="宋体"/>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19C0">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B6F9">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3793">
            <w:pPr>
              <w:jc w:val="right"/>
              <w:rPr>
                <w:rFonts w:hint="eastAsia" w:ascii="宋体" w:hAnsi="宋体" w:eastAsia="宋体" w:cs="宋体"/>
                <w:i w:val="0"/>
                <w:iCs w:val="0"/>
                <w:color w:val="00000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65FE">
            <w:pPr>
              <w:jc w:val="right"/>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57A1">
            <w:pPr>
              <w:jc w:val="right"/>
              <w:rPr>
                <w:rFonts w:hint="eastAsia" w:ascii="宋体" w:hAnsi="宋体" w:eastAsia="宋体" w:cs="宋体"/>
                <w:i w:val="0"/>
                <w:iCs w:val="0"/>
                <w:color w:val="000000"/>
                <w:sz w:val="21"/>
                <w:szCs w:val="21"/>
                <w:u w:val="none"/>
              </w:rPr>
            </w:pPr>
          </w:p>
        </w:tc>
        <w:tc>
          <w:tcPr>
            <w:tcW w:w="80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275E6D">
            <w:pPr>
              <w:jc w:val="right"/>
              <w:rPr>
                <w:rFonts w:hint="eastAsia" w:ascii="宋体" w:hAnsi="宋体" w:eastAsia="宋体" w:cs="宋体"/>
                <w:i w:val="0"/>
                <w:iCs w:val="0"/>
                <w:color w:val="000000"/>
                <w:sz w:val="21"/>
                <w:szCs w:val="21"/>
                <w:u w:val="none"/>
              </w:rPr>
            </w:pPr>
          </w:p>
        </w:tc>
      </w:tr>
      <w:tr w14:paraId="2A6E4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gridSpan w:val="18"/>
            <w:tcBorders>
              <w:top w:val="single" w:color="000000" w:sz="4" w:space="0"/>
              <w:left w:val="nil"/>
              <w:bottom w:val="nil"/>
              <w:right w:val="nil"/>
            </w:tcBorders>
            <w:shd w:val="clear" w:color="auto" w:fill="auto"/>
            <w:noWrap/>
            <w:vAlign w:val="top"/>
          </w:tcPr>
          <w:p w14:paraId="7F1EA169">
            <w:pPr>
              <w:jc w:val="left"/>
              <w:rPr>
                <w:rFonts w:hint="eastAsia" w:ascii="Arial" w:hAnsi="Arial" w:cs="Arial"/>
                <w:i w:val="0"/>
                <w:iCs w:val="0"/>
                <w:color w:val="000000"/>
                <w:sz w:val="16"/>
                <w:szCs w:val="16"/>
                <w:u w:val="none"/>
              </w:rPr>
            </w:pPr>
          </w:p>
        </w:tc>
      </w:tr>
      <w:tr w14:paraId="1EACB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nil"/>
              <w:left w:val="nil"/>
              <w:bottom w:val="nil"/>
              <w:right w:val="nil"/>
            </w:tcBorders>
            <w:shd w:val="clear" w:color="auto" w:fill="auto"/>
            <w:noWrap/>
            <w:vAlign w:val="bottom"/>
          </w:tcPr>
          <w:p w14:paraId="0D72AA1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A4A4F1A">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A64529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0FCA7D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9C1D518">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449691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073399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6A694C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7728B6C">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7AD70AB">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5DAF25A">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8C04A2C">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B556842">
            <w:pPr>
              <w:rPr>
                <w:rFonts w:hint="default" w:ascii="Arial" w:hAnsi="Arial" w:cs="Arial"/>
                <w:i w:val="0"/>
                <w:iCs w:val="0"/>
                <w:color w:val="000000"/>
                <w:sz w:val="20"/>
                <w:szCs w:val="20"/>
                <w:u w:val="none"/>
              </w:rPr>
            </w:pPr>
          </w:p>
        </w:tc>
        <w:tc>
          <w:tcPr>
            <w:tcW w:w="3991" w:type="dxa"/>
            <w:gridSpan w:val="5"/>
            <w:tcBorders>
              <w:top w:val="nil"/>
              <w:left w:val="nil"/>
              <w:bottom w:val="nil"/>
              <w:right w:val="nil"/>
            </w:tcBorders>
            <w:shd w:val="clear" w:color="auto" w:fill="auto"/>
            <w:vAlign w:val="top"/>
          </w:tcPr>
          <w:p w14:paraId="26800CB9">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【新点2013公路造价新疆版 V10.4.6】</w:t>
            </w:r>
          </w:p>
        </w:tc>
      </w:tr>
    </w:tbl>
    <w:p w14:paraId="57F05BD9">
      <w:pPr>
        <w:numPr>
          <w:ilvl w:val="0"/>
          <w:numId w:val="0"/>
        </w:numPr>
        <w:tabs>
          <w:tab w:val="left" w:pos="0"/>
        </w:tabs>
        <w:spacing w:before="0" w:after="0" w:line="240" w:lineRule="atLeast"/>
        <w:ind w:left="-15" w:leftChars="0"/>
        <w:jc w:val="both"/>
        <w:outlineLvl w:val="9"/>
        <w:rPr>
          <w:rFonts w:hint="eastAsia" w:asciiTheme="minorEastAsia" w:hAnsiTheme="minorEastAsia" w:eastAsiaTheme="minorEastAsia" w:cstheme="minorEastAsia"/>
          <w:b/>
          <w:color w:val="auto"/>
          <w:sz w:val="24"/>
          <w:szCs w:val="24"/>
          <w:highlight w:val="none"/>
        </w:rPr>
      </w:pPr>
    </w:p>
    <w:p w14:paraId="5D53CD38">
      <w:pPr>
        <w:numPr>
          <w:ilvl w:val="0"/>
          <w:numId w:val="0"/>
        </w:numPr>
        <w:tabs>
          <w:tab w:val="left" w:pos="0"/>
        </w:tabs>
        <w:spacing w:before="0" w:after="0" w:line="240" w:lineRule="atLeast"/>
        <w:ind w:left="-15" w:leftChars="0"/>
        <w:jc w:val="both"/>
        <w:outlineLvl w:val="9"/>
        <w:rPr>
          <w:rFonts w:hint="eastAsia" w:asciiTheme="minorEastAsia" w:hAnsiTheme="minorEastAsia" w:eastAsiaTheme="minorEastAsia" w:cstheme="minorEastAsia"/>
          <w:b/>
          <w:color w:val="auto"/>
          <w:sz w:val="24"/>
          <w:szCs w:val="24"/>
          <w:highlight w:val="none"/>
        </w:rPr>
      </w:pPr>
    </w:p>
    <w:p w14:paraId="06FFF6BD">
      <w:pPr>
        <w:numPr>
          <w:ilvl w:val="0"/>
          <w:numId w:val="0"/>
        </w:numPr>
        <w:tabs>
          <w:tab w:val="left" w:pos="0"/>
        </w:tabs>
        <w:spacing w:before="0" w:after="0" w:line="240" w:lineRule="atLeast"/>
        <w:ind w:left="-15" w:leftChars="0"/>
        <w:jc w:val="both"/>
        <w:outlineLvl w:val="9"/>
        <w:rPr>
          <w:rFonts w:hint="eastAsia" w:asciiTheme="minorEastAsia" w:hAnsiTheme="minorEastAsia" w:eastAsiaTheme="minorEastAsia" w:cstheme="minorEastAsia"/>
          <w:b/>
          <w:color w:val="auto"/>
          <w:sz w:val="24"/>
          <w:szCs w:val="24"/>
          <w:highlight w:val="none"/>
        </w:rPr>
        <w:sectPr>
          <w:pgSz w:w="16838" w:h="11906" w:orient="landscape"/>
          <w:pgMar w:top="1803" w:right="1440" w:bottom="1803" w:left="1440" w:header="720" w:footer="998" w:gutter="0"/>
          <w:pgNumType w:fmt="decimal"/>
          <w:cols w:space="0" w:num="1"/>
          <w:titlePg/>
          <w:rtlGutter w:val="0"/>
          <w:docGrid w:linePitch="312" w:charSpace="0"/>
        </w:sectPr>
      </w:pPr>
    </w:p>
    <w:p w14:paraId="73F2D822">
      <w:pPr>
        <w:numPr>
          <w:ilvl w:val="0"/>
          <w:numId w:val="0"/>
        </w:numPr>
        <w:tabs>
          <w:tab w:val="left" w:pos="0"/>
        </w:tabs>
        <w:spacing w:before="0" w:after="0" w:line="240" w:lineRule="atLeast"/>
        <w:ind w:left="-15" w:leftChars="0"/>
        <w:jc w:val="center"/>
        <w:outlineLvl w:val="9"/>
        <w:rPr>
          <w:rFonts w:hint="eastAsia" w:asciiTheme="minorEastAsia" w:hAnsiTheme="minorEastAsia" w:eastAsiaTheme="minorEastAsia" w:cstheme="minorEastAsia"/>
          <w:color w:val="auto"/>
          <w:sz w:val="28"/>
          <w:szCs w:val="28"/>
          <w:highlight w:val="none"/>
        </w:rPr>
      </w:pPr>
      <w:bookmarkStart w:id="365" w:name="_Toc10220"/>
      <w:r>
        <w:rPr>
          <w:rFonts w:hint="eastAsia" w:asciiTheme="minorEastAsia" w:hAnsiTheme="minorEastAsia" w:eastAsiaTheme="minorEastAsia" w:cstheme="minorEastAsia"/>
          <w:b/>
          <w:color w:val="auto"/>
          <w:sz w:val="28"/>
          <w:szCs w:val="28"/>
          <w:highlight w:val="none"/>
          <w:lang w:eastAsia="zh-CN"/>
        </w:rPr>
        <w:t>第</w:t>
      </w:r>
      <w:r>
        <w:rPr>
          <w:rFonts w:hint="eastAsia" w:asciiTheme="minorEastAsia" w:hAnsiTheme="minorEastAsia" w:eastAsiaTheme="minorEastAsia" w:cstheme="minorEastAsia"/>
          <w:b/>
          <w:color w:val="auto"/>
          <w:sz w:val="28"/>
          <w:szCs w:val="28"/>
          <w:highlight w:val="none"/>
          <w:lang w:val="en-US" w:eastAsia="zh-CN"/>
        </w:rPr>
        <w:t xml:space="preserve">6章 </w:t>
      </w:r>
      <w:r>
        <w:rPr>
          <w:rFonts w:hint="eastAsia" w:asciiTheme="minorEastAsia" w:hAnsiTheme="minorEastAsia" w:eastAsiaTheme="minorEastAsia" w:cstheme="minorEastAsia"/>
          <w:b/>
          <w:color w:val="auto"/>
          <w:sz w:val="28"/>
          <w:szCs w:val="28"/>
          <w:highlight w:val="none"/>
        </w:rPr>
        <w:t>评标方法和标准</w:t>
      </w:r>
      <w:bookmarkEnd w:id="365"/>
    </w:p>
    <w:p w14:paraId="07B11932">
      <w:pPr>
        <w:pStyle w:val="10"/>
        <w:tabs>
          <w:tab w:val="clear" w:pos="567"/>
        </w:tabs>
        <w:spacing w:before="0" w:line="240" w:lineRule="atLeast"/>
        <w:ind w:firstLine="540" w:firstLineChars="225"/>
        <w:rPr>
          <w:rFonts w:hint="eastAsia" w:asciiTheme="minorEastAsia" w:hAnsiTheme="minorEastAsia" w:eastAsiaTheme="minorEastAsia" w:cstheme="minorEastAsia"/>
          <w:color w:val="auto"/>
          <w:highlight w:val="none"/>
        </w:rPr>
      </w:pPr>
    </w:p>
    <w:p w14:paraId="73525A1C">
      <w:pPr>
        <w:bidi w:val="0"/>
        <w:jc w:val="center"/>
        <w:outlineLvl w:val="9"/>
        <w:rPr>
          <w:rFonts w:hint="eastAsia" w:asciiTheme="minorEastAsia" w:hAnsiTheme="minorEastAsia" w:eastAsiaTheme="minorEastAsia" w:cstheme="minorEastAsia"/>
          <w:color w:val="auto"/>
          <w:sz w:val="28"/>
          <w:szCs w:val="28"/>
          <w:highlight w:val="none"/>
        </w:rPr>
      </w:pPr>
      <w:bookmarkStart w:id="366" w:name="_Toc7491"/>
      <w:bookmarkStart w:id="367" w:name="_Toc15630"/>
      <w:bookmarkStart w:id="368" w:name="_Toc11102"/>
      <w:bookmarkStart w:id="369" w:name="_Toc21668"/>
      <w:bookmarkStart w:id="370" w:name="_Toc20045"/>
      <w:bookmarkStart w:id="371" w:name="_Toc13054"/>
      <w:bookmarkStart w:id="372" w:name="_Toc11679"/>
      <w:r>
        <w:rPr>
          <w:rFonts w:hint="eastAsia" w:asciiTheme="minorEastAsia" w:hAnsiTheme="minorEastAsia" w:eastAsiaTheme="minorEastAsia" w:cstheme="minorEastAsia"/>
          <w:color w:val="auto"/>
          <w:sz w:val="28"/>
          <w:szCs w:val="28"/>
          <w:highlight w:val="none"/>
        </w:rPr>
        <w:t>一、评标方法</w:t>
      </w:r>
      <w:bookmarkEnd w:id="366"/>
      <w:bookmarkEnd w:id="367"/>
      <w:bookmarkEnd w:id="368"/>
      <w:bookmarkEnd w:id="369"/>
      <w:bookmarkEnd w:id="370"/>
      <w:bookmarkEnd w:id="371"/>
      <w:bookmarkEnd w:id="372"/>
    </w:p>
    <w:p w14:paraId="668CC9E0">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hint="eastAsia" w:asciiTheme="minorEastAsia" w:hAnsiTheme="minorEastAsia" w:eastAsiaTheme="minorEastAsia" w:cstheme="minorEastAsia"/>
          <w:b/>
          <w:color w:val="auto"/>
          <w:kern w:val="0"/>
          <w:sz w:val="22"/>
          <w:szCs w:val="22"/>
          <w:highlight w:val="none"/>
        </w:rPr>
      </w:pPr>
      <w:r>
        <w:rPr>
          <w:rFonts w:hint="eastAsia" w:asciiTheme="minorEastAsia" w:hAnsiTheme="minorEastAsia" w:eastAsiaTheme="minorEastAsia" w:cstheme="minorEastAsia"/>
          <w:b/>
          <w:color w:val="auto"/>
          <w:kern w:val="0"/>
          <w:sz w:val="22"/>
          <w:szCs w:val="22"/>
          <w:highlight w:val="none"/>
          <w:lang w:eastAsia="zh-CN"/>
        </w:rPr>
        <w:t>（</w:t>
      </w:r>
      <w:r>
        <w:rPr>
          <w:rFonts w:hint="eastAsia" w:asciiTheme="minorEastAsia" w:hAnsiTheme="minorEastAsia" w:eastAsiaTheme="minorEastAsia" w:cstheme="minorEastAsia"/>
          <w:b/>
          <w:color w:val="auto"/>
          <w:kern w:val="0"/>
          <w:sz w:val="22"/>
          <w:szCs w:val="22"/>
          <w:highlight w:val="none"/>
          <w:lang w:val="en-US" w:eastAsia="zh-CN"/>
        </w:rPr>
        <w:t>一</w:t>
      </w:r>
      <w:r>
        <w:rPr>
          <w:rFonts w:hint="eastAsia" w:asciiTheme="minorEastAsia" w:hAnsiTheme="minorEastAsia" w:eastAsiaTheme="minorEastAsia" w:cstheme="minorEastAsia"/>
          <w:b/>
          <w:color w:val="auto"/>
          <w:kern w:val="0"/>
          <w:sz w:val="22"/>
          <w:szCs w:val="22"/>
          <w:highlight w:val="none"/>
          <w:lang w:eastAsia="zh-CN"/>
        </w:rPr>
        <w:t>）</w:t>
      </w:r>
      <w:r>
        <w:rPr>
          <w:rFonts w:hint="eastAsia" w:asciiTheme="minorEastAsia" w:hAnsiTheme="minorEastAsia" w:eastAsiaTheme="minorEastAsia" w:cstheme="minorEastAsia"/>
          <w:b/>
          <w:color w:val="auto"/>
          <w:kern w:val="0"/>
          <w:sz w:val="22"/>
          <w:szCs w:val="22"/>
          <w:highlight w:val="none"/>
        </w:rPr>
        <w:t>总则</w:t>
      </w:r>
    </w:p>
    <w:p w14:paraId="75E81590">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hint="eastAsia" w:asciiTheme="minorEastAsia" w:hAnsiTheme="minorEastAsia" w:eastAsiaTheme="minorEastAsia" w:cstheme="minorEastAsia"/>
          <w:b/>
          <w:color w:val="auto"/>
          <w:kern w:val="0"/>
          <w:sz w:val="22"/>
          <w:szCs w:val="22"/>
          <w:highlight w:val="none"/>
        </w:rPr>
      </w:pPr>
      <w:r>
        <w:rPr>
          <w:rFonts w:hint="eastAsia" w:asciiTheme="minorEastAsia" w:hAnsiTheme="minorEastAsia" w:eastAsiaTheme="minorEastAsia" w:cstheme="minorEastAsia"/>
          <w:b/>
          <w:color w:val="auto"/>
          <w:kern w:val="0"/>
          <w:sz w:val="22"/>
          <w:szCs w:val="22"/>
          <w:highlight w:val="none"/>
        </w:rPr>
        <w:t>1.磋商小组</w:t>
      </w:r>
    </w:p>
    <w:p w14:paraId="0F7C2843">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1.1评标由依法组建的磋商小组成员负责。</w:t>
      </w:r>
    </w:p>
    <w:p w14:paraId="71D622D7">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磋商小组构成</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lang w:val="en-US" w:eastAsia="zh-CN"/>
        </w:rPr>
        <w:t>5</w:t>
      </w:r>
      <w:r>
        <w:rPr>
          <w:rFonts w:hint="eastAsia" w:asciiTheme="minorEastAsia" w:hAnsiTheme="minorEastAsia" w:eastAsiaTheme="minorEastAsia" w:cstheme="minorEastAsia"/>
          <w:color w:val="auto"/>
          <w:kern w:val="0"/>
          <w:sz w:val="22"/>
          <w:szCs w:val="22"/>
          <w:highlight w:val="none"/>
        </w:rPr>
        <w:t>人</w:t>
      </w:r>
      <w:r>
        <w:rPr>
          <w:rFonts w:hint="eastAsia" w:asciiTheme="minorEastAsia" w:hAnsiTheme="minorEastAsia" w:eastAsiaTheme="minorEastAsia" w:cstheme="minorEastAsia"/>
          <w:color w:val="auto"/>
          <w:kern w:val="0"/>
          <w:sz w:val="22"/>
          <w:szCs w:val="22"/>
          <w:highlight w:val="none"/>
          <w:lang w:eastAsia="zh-CN"/>
        </w:rPr>
        <w:t>。</w:t>
      </w:r>
    </w:p>
    <w:p w14:paraId="2BD323EC">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评标专家确定方式：</w:t>
      </w:r>
      <w:r>
        <w:rPr>
          <w:rFonts w:hint="eastAsia" w:asciiTheme="minorEastAsia" w:hAnsiTheme="minorEastAsia" w:eastAsiaTheme="minorEastAsia" w:cstheme="minorEastAsia"/>
          <w:color w:val="auto"/>
          <w:kern w:val="0"/>
          <w:sz w:val="22"/>
          <w:szCs w:val="22"/>
          <w:highlight w:val="none"/>
          <w:lang w:val="en-US" w:eastAsia="zh-CN"/>
        </w:rPr>
        <w:t>政采云专家库</w:t>
      </w:r>
      <w:r>
        <w:rPr>
          <w:rFonts w:hint="eastAsia" w:asciiTheme="minorEastAsia" w:hAnsiTheme="minorEastAsia" w:eastAsiaTheme="minorEastAsia" w:cstheme="minorEastAsia"/>
          <w:color w:val="auto"/>
          <w:kern w:val="0"/>
          <w:sz w:val="22"/>
          <w:szCs w:val="22"/>
          <w:highlight w:val="none"/>
        </w:rPr>
        <w:t>随机抽取。</w:t>
      </w:r>
    </w:p>
    <w:p w14:paraId="08ACB1A3">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hint="eastAsia" w:asciiTheme="minorEastAsia" w:hAnsiTheme="minorEastAsia" w:eastAsiaTheme="minorEastAsia" w:cstheme="minorEastAsia"/>
          <w:b/>
          <w:color w:val="auto"/>
          <w:kern w:val="0"/>
          <w:sz w:val="22"/>
          <w:szCs w:val="22"/>
          <w:highlight w:val="none"/>
        </w:rPr>
      </w:pPr>
      <w:r>
        <w:rPr>
          <w:rFonts w:hint="eastAsia" w:asciiTheme="minorEastAsia" w:hAnsiTheme="minorEastAsia" w:eastAsiaTheme="minorEastAsia" w:cstheme="minorEastAsia"/>
          <w:b/>
          <w:color w:val="auto"/>
          <w:kern w:val="0"/>
          <w:sz w:val="22"/>
          <w:szCs w:val="22"/>
          <w:highlight w:val="none"/>
        </w:rPr>
        <w:t>2.评标方法</w:t>
      </w:r>
    </w:p>
    <w:p w14:paraId="7C3F82CC">
      <w:pPr>
        <w:keepNext w:val="0"/>
        <w:keepLines w:val="0"/>
        <w:pageBreakBefore w:val="0"/>
        <w:widowControl w:val="0"/>
        <w:kinsoku/>
        <w:wordWrap/>
        <w:overflowPunct/>
        <w:topLinePunct w:val="0"/>
        <w:autoSpaceDE/>
        <w:autoSpaceDN/>
        <w:bidi w:val="0"/>
        <w:adjustRightInd w:val="0"/>
        <w:snapToGrid w:val="0"/>
        <w:spacing w:line="280" w:lineRule="exact"/>
        <w:ind w:firstLine="442" w:firstLineChars="200"/>
        <w:textAlignment w:val="auto"/>
        <w:outlineLvl w:val="9"/>
        <w:rPr>
          <w:rFonts w:hint="eastAsia" w:asciiTheme="minorEastAsia" w:hAnsiTheme="minorEastAsia" w:eastAsiaTheme="minorEastAsia" w:cstheme="minorEastAsia"/>
          <w:b/>
          <w:color w:val="auto"/>
          <w:kern w:val="0"/>
          <w:sz w:val="22"/>
          <w:szCs w:val="22"/>
          <w:highlight w:val="none"/>
        </w:rPr>
      </w:pPr>
      <w:r>
        <w:rPr>
          <w:rFonts w:hint="eastAsia" w:asciiTheme="minorEastAsia" w:hAnsiTheme="minorEastAsia" w:eastAsiaTheme="minorEastAsia" w:cstheme="minorEastAsia"/>
          <w:b/>
          <w:color w:val="auto"/>
          <w:kern w:val="0"/>
          <w:sz w:val="22"/>
          <w:szCs w:val="22"/>
          <w:highlight w:val="none"/>
        </w:rPr>
        <w:t>2.1本项目评标方法为：</w:t>
      </w:r>
      <w:r>
        <w:rPr>
          <w:rFonts w:hint="eastAsia" w:asciiTheme="minorEastAsia" w:hAnsiTheme="minorEastAsia" w:eastAsiaTheme="minorEastAsia" w:cstheme="minorEastAsia"/>
          <w:b/>
          <w:bCs/>
          <w:color w:val="auto"/>
          <w:sz w:val="22"/>
          <w:szCs w:val="22"/>
          <w:highlight w:val="none"/>
        </w:rPr>
        <w:t>竞争性磋商</w:t>
      </w:r>
      <w:r>
        <w:rPr>
          <w:rFonts w:hint="eastAsia" w:asciiTheme="minorEastAsia" w:hAnsiTheme="minorEastAsia" w:eastAsiaTheme="minorEastAsia" w:cstheme="minorEastAsia"/>
          <w:b/>
          <w:bCs/>
          <w:color w:val="auto"/>
          <w:sz w:val="22"/>
          <w:szCs w:val="22"/>
          <w:highlight w:val="none"/>
          <w:lang w:eastAsia="zh-CN"/>
        </w:rPr>
        <w:t>（综合评分法）</w:t>
      </w:r>
      <w:r>
        <w:rPr>
          <w:rFonts w:hint="eastAsia" w:asciiTheme="minorEastAsia" w:hAnsiTheme="minorEastAsia" w:eastAsiaTheme="minorEastAsia" w:cstheme="minorEastAsia"/>
          <w:b/>
          <w:color w:val="auto"/>
          <w:kern w:val="0"/>
          <w:sz w:val="22"/>
          <w:szCs w:val="22"/>
          <w:highlight w:val="none"/>
        </w:rPr>
        <w:t>。</w:t>
      </w:r>
    </w:p>
    <w:p w14:paraId="4AEA1E3F">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2.1.1综合评分法（</w:t>
      </w:r>
      <w:r>
        <w:rPr>
          <w:rFonts w:hint="eastAsia" w:asciiTheme="minorEastAsia" w:hAnsiTheme="minorEastAsia" w:eastAsiaTheme="minorEastAsia" w:cstheme="minorEastAsia"/>
          <w:color w:val="auto"/>
          <w:kern w:val="0"/>
          <w:sz w:val="22"/>
          <w:szCs w:val="22"/>
          <w:highlight w:val="none"/>
          <w:lang w:eastAsia="zh-CN"/>
        </w:rPr>
        <w:t>本项目采用两次报价且第二</w:t>
      </w:r>
      <w:r>
        <w:rPr>
          <w:rFonts w:hint="eastAsia" w:asciiTheme="minorEastAsia" w:hAnsiTheme="minorEastAsia" w:eastAsiaTheme="minorEastAsia" w:cstheme="minorEastAsia"/>
          <w:color w:val="auto"/>
          <w:kern w:val="0"/>
          <w:sz w:val="22"/>
          <w:szCs w:val="22"/>
          <w:highlight w:val="none"/>
          <w:lang w:val="en-US" w:eastAsia="zh-CN"/>
        </w:rPr>
        <w:t>次</w:t>
      </w:r>
      <w:r>
        <w:rPr>
          <w:rFonts w:hint="eastAsia" w:asciiTheme="minorEastAsia" w:hAnsiTheme="minorEastAsia" w:eastAsiaTheme="minorEastAsia" w:cstheme="minorEastAsia"/>
          <w:color w:val="auto"/>
          <w:kern w:val="0"/>
          <w:sz w:val="22"/>
          <w:szCs w:val="22"/>
          <w:highlight w:val="none"/>
          <w:lang w:eastAsia="zh-CN"/>
        </w:rPr>
        <w:t>报价不得高于第一</w:t>
      </w:r>
      <w:r>
        <w:rPr>
          <w:rFonts w:hint="eastAsia" w:asciiTheme="minorEastAsia" w:hAnsiTheme="minorEastAsia" w:eastAsiaTheme="minorEastAsia" w:cstheme="minorEastAsia"/>
          <w:color w:val="auto"/>
          <w:kern w:val="0"/>
          <w:sz w:val="22"/>
          <w:szCs w:val="22"/>
          <w:highlight w:val="none"/>
          <w:lang w:val="en-US" w:eastAsia="zh-CN"/>
        </w:rPr>
        <w:t>次</w:t>
      </w:r>
      <w:r>
        <w:rPr>
          <w:rFonts w:hint="eastAsia" w:asciiTheme="minorEastAsia" w:hAnsiTheme="minorEastAsia" w:eastAsiaTheme="minorEastAsia" w:cstheme="minorEastAsia"/>
          <w:color w:val="auto"/>
          <w:kern w:val="0"/>
          <w:sz w:val="22"/>
          <w:szCs w:val="22"/>
          <w:highlight w:val="none"/>
          <w:lang w:eastAsia="zh-CN"/>
        </w:rPr>
        <w:t>报价</w:t>
      </w:r>
      <w:r>
        <w:rPr>
          <w:rFonts w:hint="eastAsia" w:asciiTheme="minorEastAsia" w:hAnsiTheme="minorEastAsia" w:eastAsiaTheme="minorEastAsia" w:cstheme="minorEastAsia"/>
          <w:color w:val="auto"/>
          <w:kern w:val="0"/>
          <w:sz w:val="22"/>
          <w:szCs w:val="22"/>
          <w:highlight w:val="none"/>
        </w:rPr>
        <w:t>，</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提交最后的报价后，磋商小组对所有满足实质性要求且提交最后报价的</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的响应文件按评审因素评审得分，最终汇总得分由高到低排序推荐第一、第二、第三中标候选人）。</w:t>
      </w:r>
    </w:p>
    <w:p w14:paraId="3A76B942">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评标因素的设定包括</w:t>
      </w:r>
      <w:r>
        <w:rPr>
          <w:rFonts w:hint="eastAsia" w:asciiTheme="minorEastAsia" w:hAnsiTheme="minorEastAsia" w:eastAsiaTheme="minorEastAsia" w:cstheme="minorEastAsia"/>
          <w:color w:val="auto"/>
          <w:kern w:val="0"/>
          <w:sz w:val="22"/>
          <w:szCs w:val="22"/>
          <w:highlight w:val="none"/>
          <w:lang w:eastAsia="zh-CN"/>
        </w:rPr>
        <w:t>投标</w:t>
      </w:r>
      <w:r>
        <w:rPr>
          <w:rFonts w:hint="eastAsia" w:asciiTheme="minorEastAsia" w:hAnsiTheme="minorEastAsia" w:eastAsiaTheme="minorEastAsia" w:cstheme="minorEastAsia"/>
          <w:color w:val="auto"/>
          <w:kern w:val="0"/>
          <w:sz w:val="22"/>
          <w:szCs w:val="22"/>
          <w:highlight w:val="none"/>
        </w:rPr>
        <w:t>报价、技术水平等</w:t>
      </w:r>
      <w:r>
        <w:rPr>
          <w:rFonts w:hint="eastAsia" w:asciiTheme="minorEastAsia" w:hAnsiTheme="minorEastAsia" w:eastAsiaTheme="minorEastAsia" w:cstheme="minorEastAsia"/>
          <w:color w:val="auto"/>
          <w:kern w:val="0"/>
          <w:sz w:val="22"/>
          <w:szCs w:val="22"/>
          <w:highlight w:val="none"/>
          <w:lang w:val="en-US" w:eastAsia="zh-CN"/>
        </w:rPr>
        <w:t>有关内容</w:t>
      </w:r>
      <w:r>
        <w:rPr>
          <w:rFonts w:hint="eastAsia" w:asciiTheme="minorEastAsia" w:hAnsiTheme="minorEastAsia" w:eastAsiaTheme="minorEastAsia" w:cstheme="minorEastAsia"/>
          <w:color w:val="auto"/>
          <w:kern w:val="0"/>
          <w:sz w:val="22"/>
          <w:szCs w:val="22"/>
          <w:highlight w:val="none"/>
        </w:rPr>
        <w:t>。资格条件不得作为评标因素。最低</w:t>
      </w:r>
      <w:r>
        <w:rPr>
          <w:rFonts w:hint="eastAsia" w:asciiTheme="minorEastAsia" w:hAnsiTheme="minorEastAsia" w:eastAsiaTheme="minorEastAsia" w:cstheme="minorEastAsia"/>
          <w:color w:val="auto"/>
          <w:kern w:val="0"/>
          <w:sz w:val="22"/>
          <w:szCs w:val="22"/>
          <w:highlight w:val="none"/>
          <w:lang w:eastAsia="zh-CN"/>
        </w:rPr>
        <w:t>投标</w:t>
      </w:r>
      <w:r>
        <w:rPr>
          <w:rFonts w:hint="eastAsia" w:asciiTheme="minorEastAsia" w:hAnsiTheme="minorEastAsia" w:eastAsiaTheme="minorEastAsia" w:cstheme="minorEastAsia"/>
          <w:color w:val="auto"/>
          <w:kern w:val="0"/>
          <w:sz w:val="22"/>
          <w:szCs w:val="22"/>
          <w:highlight w:val="none"/>
        </w:rPr>
        <w:t>报价不是确定中标候选人的唯一标准，磋商小组根据</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企业实力、实施方案、</w:t>
      </w:r>
      <w:r>
        <w:rPr>
          <w:rFonts w:hint="eastAsia" w:asciiTheme="minorEastAsia" w:hAnsiTheme="minorEastAsia" w:eastAsiaTheme="minorEastAsia" w:cstheme="minorEastAsia"/>
          <w:color w:val="auto"/>
          <w:kern w:val="0"/>
          <w:sz w:val="22"/>
          <w:szCs w:val="22"/>
          <w:highlight w:val="none"/>
          <w:lang w:eastAsia="zh-CN"/>
        </w:rPr>
        <w:t>投标</w:t>
      </w:r>
      <w:r>
        <w:rPr>
          <w:rFonts w:hint="eastAsia" w:asciiTheme="minorEastAsia" w:hAnsiTheme="minorEastAsia" w:eastAsiaTheme="minorEastAsia" w:cstheme="minorEastAsia"/>
          <w:color w:val="auto"/>
          <w:kern w:val="0"/>
          <w:sz w:val="22"/>
          <w:szCs w:val="22"/>
          <w:highlight w:val="none"/>
        </w:rPr>
        <w:t>报价等综合因素标准确定中标候选人</w:t>
      </w:r>
      <w:r>
        <w:rPr>
          <w:rFonts w:hint="eastAsia" w:asciiTheme="minorEastAsia" w:hAnsiTheme="minorEastAsia" w:eastAsiaTheme="minorEastAsia" w:cstheme="minorEastAsia"/>
          <w:color w:val="auto"/>
          <w:kern w:val="0"/>
          <w:sz w:val="22"/>
          <w:szCs w:val="22"/>
          <w:highlight w:val="none"/>
          <w:lang w:eastAsia="zh-CN"/>
        </w:rPr>
        <w:t>。</w:t>
      </w:r>
    </w:p>
    <w:p w14:paraId="36AF57C8">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2.1.2评标时，磋商小组各成员应当独立对每个</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的</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进行评价，并汇总每个</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的得分。</w:t>
      </w:r>
    </w:p>
    <w:p w14:paraId="6E4CDFA5">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2.1.3评标过程中，不得去掉报价中的最高报价和最低报价。</w:t>
      </w:r>
    </w:p>
    <w:p w14:paraId="288FDC64">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2.1.4因落实政府采购政策进行价格</w:t>
      </w:r>
      <w:r>
        <w:rPr>
          <w:rFonts w:hint="eastAsia" w:asciiTheme="minorEastAsia" w:hAnsiTheme="minorEastAsia" w:eastAsiaTheme="minorEastAsia" w:cstheme="minorEastAsia"/>
          <w:color w:val="auto"/>
          <w:kern w:val="0"/>
          <w:sz w:val="22"/>
          <w:szCs w:val="22"/>
          <w:highlight w:val="none"/>
          <w:lang w:val="en-US" w:eastAsia="zh-CN"/>
        </w:rPr>
        <w:t>或投标报价得分</w:t>
      </w:r>
      <w:r>
        <w:rPr>
          <w:rFonts w:hint="eastAsia" w:asciiTheme="minorEastAsia" w:hAnsiTheme="minorEastAsia" w:eastAsiaTheme="minorEastAsia" w:cstheme="minorEastAsia"/>
          <w:color w:val="auto"/>
          <w:kern w:val="0"/>
          <w:sz w:val="22"/>
          <w:szCs w:val="22"/>
          <w:highlight w:val="none"/>
        </w:rPr>
        <w:t>调整的，</w:t>
      </w:r>
      <w:r>
        <w:rPr>
          <w:rFonts w:hint="eastAsia" w:asciiTheme="minorEastAsia" w:hAnsiTheme="minorEastAsia" w:eastAsiaTheme="minorEastAsia" w:cstheme="minorEastAsia"/>
          <w:color w:val="auto"/>
          <w:kern w:val="0"/>
          <w:sz w:val="22"/>
          <w:szCs w:val="22"/>
          <w:highlight w:val="none"/>
          <w:lang w:val="en-US" w:eastAsia="zh-CN"/>
        </w:rPr>
        <w:t>按法律法规规定内容进行调整</w:t>
      </w:r>
      <w:r>
        <w:rPr>
          <w:rFonts w:hint="eastAsia" w:asciiTheme="minorEastAsia" w:hAnsiTheme="minorEastAsia" w:eastAsiaTheme="minorEastAsia" w:cstheme="minorEastAsia"/>
          <w:color w:val="auto"/>
          <w:kern w:val="0"/>
          <w:sz w:val="22"/>
          <w:szCs w:val="22"/>
          <w:highlight w:val="none"/>
        </w:rPr>
        <w:t>。</w:t>
      </w:r>
    </w:p>
    <w:p w14:paraId="1068DAC3">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2.2评标结果按评标后得分由高到低顺序排列，得分相同的，按</w:t>
      </w:r>
      <w:r>
        <w:rPr>
          <w:rFonts w:hint="eastAsia" w:asciiTheme="minorEastAsia" w:hAnsiTheme="minorEastAsia" w:eastAsiaTheme="minorEastAsia" w:cstheme="minorEastAsia"/>
          <w:color w:val="auto"/>
          <w:kern w:val="0"/>
          <w:sz w:val="22"/>
          <w:szCs w:val="22"/>
          <w:highlight w:val="none"/>
          <w:lang w:val="en-US" w:eastAsia="zh-CN"/>
        </w:rPr>
        <w:t>投标</w:t>
      </w:r>
      <w:r>
        <w:rPr>
          <w:rFonts w:hint="eastAsia" w:asciiTheme="minorEastAsia" w:hAnsiTheme="minorEastAsia" w:eastAsiaTheme="minorEastAsia" w:cstheme="minorEastAsia"/>
          <w:color w:val="auto"/>
          <w:kern w:val="0"/>
          <w:sz w:val="22"/>
          <w:szCs w:val="22"/>
          <w:highlight w:val="none"/>
        </w:rPr>
        <w:t>报价由低到高顺序排列。得分且</w:t>
      </w:r>
      <w:r>
        <w:rPr>
          <w:rFonts w:hint="eastAsia" w:asciiTheme="minorEastAsia" w:hAnsiTheme="minorEastAsia" w:eastAsiaTheme="minorEastAsia" w:cstheme="minorEastAsia"/>
          <w:color w:val="auto"/>
          <w:kern w:val="0"/>
          <w:sz w:val="22"/>
          <w:szCs w:val="22"/>
          <w:highlight w:val="none"/>
          <w:lang w:val="en-US" w:eastAsia="zh-CN"/>
        </w:rPr>
        <w:t>投标</w:t>
      </w:r>
      <w:r>
        <w:rPr>
          <w:rFonts w:hint="eastAsia" w:asciiTheme="minorEastAsia" w:hAnsiTheme="minorEastAsia" w:eastAsiaTheme="minorEastAsia" w:cstheme="minorEastAsia"/>
          <w:color w:val="auto"/>
          <w:kern w:val="0"/>
          <w:sz w:val="22"/>
          <w:szCs w:val="22"/>
          <w:highlight w:val="none"/>
        </w:rPr>
        <w:t>报价相同的并列。</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满足</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文件全部实质性要求，且按照评标因素的量化指标评标得分最高的</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为排名第一的中标候选人。</w:t>
      </w:r>
    </w:p>
    <w:p w14:paraId="5FE5820B">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hint="eastAsia" w:asciiTheme="minorEastAsia" w:hAnsiTheme="minorEastAsia" w:eastAsiaTheme="minorEastAsia" w:cstheme="minorEastAsia"/>
          <w:b/>
          <w:color w:val="auto"/>
          <w:kern w:val="0"/>
          <w:sz w:val="22"/>
          <w:szCs w:val="22"/>
          <w:highlight w:val="none"/>
        </w:rPr>
      </w:pPr>
      <w:r>
        <w:rPr>
          <w:rFonts w:hint="eastAsia" w:asciiTheme="minorEastAsia" w:hAnsiTheme="minorEastAsia" w:eastAsiaTheme="minorEastAsia" w:cstheme="minorEastAsia"/>
          <w:b/>
          <w:color w:val="auto"/>
          <w:kern w:val="0"/>
          <w:sz w:val="22"/>
          <w:szCs w:val="22"/>
          <w:highlight w:val="none"/>
        </w:rPr>
        <w:t>3.评标原则和评标纪律</w:t>
      </w:r>
    </w:p>
    <w:p w14:paraId="5030C98E">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3.1磋商小组成员应当按照客观、公正、</w:t>
      </w:r>
      <w:r>
        <w:rPr>
          <w:rFonts w:hint="eastAsia" w:asciiTheme="minorEastAsia" w:hAnsiTheme="minorEastAsia" w:eastAsiaTheme="minorEastAsia" w:cstheme="minorEastAsia"/>
          <w:color w:val="auto"/>
          <w:kern w:val="0"/>
          <w:sz w:val="22"/>
          <w:szCs w:val="22"/>
          <w:highlight w:val="none"/>
          <w:lang w:val="en-US" w:eastAsia="zh-CN"/>
        </w:rPr>
        <w:t>公平</w:t>
      </w:r>
      <w:r>
        <w:rPr>
          <w:rFonts w:hint="eastAsia" w:asciiTheme="minorEastAsia" w:hAnsiTheme="minorEastAsia" w:eastAsiaTheme="minorEastAsia" w:cstheme="minorEastAsia"/>
          <w:color w:val="auto"/>
          <w:kern w:val="0"/>
          <w:sz w:val="22"/>
          <w:szCs w:val="22"/>
          <w:highlight w:val="none"/>
        </w:rPr>
        <w:t>的原则，根据</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文件规定的评标程序、评标方法和评标标准进行独立评标。磋商小组成员发现</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文件存在歧义、重大缺陷导致评标工作无法进行，或者</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文件内容违反国家有关强制性规定的，应当停止评标工作，与采购人或者采购代理机构沟通并作书面记录。采购人或者采购代理机构确认后，应当修改</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文件，重新组织采购活动。</w:t>
      </w:r>
    </w:p>
    <w:p w14:paraId="6C18EB03">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评标委员会成员应当在评标报告上签字，对自己的评标意见承担法律责任。评标委员会成员对需要共同认定的事项存在争议的，应当按照少数服从多数的原则作出结论。持不同意见的评标委员会成员应当在评标报告上签署不同意见及理由，否则视为同意评标报告。</w:t>
      </w:r>
    </w:p>
    <w:p w14:paraId="1ADEB89D">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3.3评标纪律</w:t>
      </w:r>
    </w:p>
    <w:p w14:paraId="2CBEF6DF">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3.3.1采购人委派代表参加评标委员会的，应当向采购代理机构出具授权函。除授权代表外，采购人可以委派纪检监察等相关人员进入评标现场，对评标工作实施监督，但不得超过２人。采购人需要在评标前介绍项目背景和技术需求的，应当事先提交书面介绍材料，介绍内容不得存在歧视性、倾向性意见，不得超出采购文件所述范围，书面介绍材料作为采购项目文件随其他文件一并存档。</w:t>
      </w:r>
      <w:r>
        <w:rPr>
          <w:rFonts w:hint="eastAsia" w:asciiTheme="minorEastAsia" w:hAnsiTheme="minorEastAsia" w:eastAsiaTheme="minorEastAsia" w:cstheme="minorEastAsia"/>
          <w:b/>
          <w:color w:val="auto"/>
          <w:kern w:val="0"/>
          <w:sz w:val="22"/>
          <w:szCs w:val="22"/>
          <w:highlight w:val="none"/>
        </w:rPr>
        <w:t>评标委员会应当推选组长，但采购人代表不得担任组长</w:t>
      </w:r>
      <w:r>
        <w:rPr>
          <w:rFonts w:hint="eastAsia" w:asciiTheme="minorEastAsia" w:hAnsiTheme="minorEastAsia" w:eastAsiaTheme="minorEastAsia" w:cstheme="minorEastAsia"/>
          <w:color w:val="auto"/>
          <w:kern w:val="0"/>
          <w:sz w:val="22"/>
          <w:szCs w:val="22"/>
          <w:highlight w:val="none"/>
        </w:rPr>
        <w:t>。</w:t>
      </w:r>
    </w:p>
    <w:p w14:paraId="43C06FD8">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3.3.2评标委员会成员要严格遵守评标时间，主动出具身份证明，遵守评标工作纪律和评标回避的相关规定。在评标工作开始前，将手机等通讯工具或相关电子设备交由采购人或采购代理机构统一保管，拒不上交的，采购人或采购代理机构可以拒绝其参加评标工作并向财政部门报告。</w:t>
      </w:r>
    </w:p>
    <w:p w14:paraId="5FFD72C1">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3.3.3评标委员会成员和评标工作有关人员不得干预或者影响正常评标工作，不得明示或者暗示其倾向性、引导性意见，不得修改或细化采购文件确定的评标程序、评标方法、评标因素和评标标准，不得接受</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主动提出的澄清和解释，不得征询采购人代表的倾向性意见，不得协商评分，不得记录、复制或带走任何评标资料。评标结果汇总完成后，采购人、采购代理机构和评标委员会均不得修改评标结果或者要求重新评标，但资格性检查认定错误、分值汇总计算错误、分项评分超出评分标准范围、客观分评分不一致、经评标委员会一致认定评分畸高、畸低的情形除外。出现上述除外情形的，评标委员会应当现场修改评标结果，并在评标报告中明确记载。</w:t>
      </w:r>
    </w:p>
    <w:p w14:paraId="3A74E73D">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3.3.4评标委员会成员不得私自泄露评标内容。评标过程应严格遵守保密制度。开标后,直到授予中标人合同止，凡是属于审查、澄清、评价和比较的有关资料以及授标建议等均不得向</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或其他无关的人员透露。</w:t>
      </w:r>
    </w:p>
    <w:p w14:paraId="1D1EBC69">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3.3.5采购人、采购代理机构要加强评标现场管理，与评标工作无关的人员不得进入评标现场。各级财政部门对评标活动相关各方违反评标工作纪律及要求的行为，将依法严肃处理。</w:t>
      </w:r>
    </w:p>
    <w:p w14:paraId="69D00C4E">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3.4评标委员会成员应当履行的义务</w:t>
      </w:r>
    </w:p>
    <w:p w14:paraId="112037D8">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3.4.1评标委员会成员应根据政府采购法律法规和采购文件所载明的评标方法、标准进行评标，遵纪守法，客观、公正、廉洁地履行职责。</w:t>
      </w:r>
    </w:p>
    <w:p w14:paraId="6F100418">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3.4.2评标委员会成员应熟悉和理解采购文件，认真阅读所有</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的</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，对所有</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逐一进行资格性、符合性检查，按采购文件规定的评标方法和标准，进行比较和评价；</w:t>
      </w:r>
    </w:p>
    <w:p w14:paraId="352B13C5">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3.4.3对</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的价格分等客观评分项的评分应当一致，对其他需要借助专业知识评判的主观评分项，应当严格按照评分细则公正评分。</w:t>
      </w:r>
    </w:p>
    <w:p w14:paraId="0F870933">
      <w:pPr>
        <w:pStyle w:val="24"/>
        <w:keepNext w:val="0"/>
        <w:keepLines w:val="0"/>
        <w:pageBreakBefore w:val="0"/>
        <w:widowControl w:val="0"/>
        <w:kinsoku/>
        <w:wordWrap/>
        <w:overflowPunct/>
        <w:topLinePunct w:val="0"/>
        <w:autoSpaceDE/>
        <w:autoSpaceDN/>
        <w:bidi w:val="0"/>
        <w:spacing w:line="280" w:lineRule="exact"/>
        <w:textAlignment w:val="auto"/>
        <w:outlineLvl w:val="9"/>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已提交响应文件的供应商，在提交最后报价之前，可以根据磋商情况退出磋商。采购人、采购代理机构应当退还退出磋商的供应商的磋商保证金。</w:t>
      </w:r>
    </w:p>
    <w:p w14:paraId="681B48F5">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3.4.4评标委员会如需要</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对</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有关事项作出澄清的，应当给予</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必要的反馈时间，但澄清事项不得超出</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的范围，不得实质性改变</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的内容，不得通过澄清等方式对</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实行差别对待。</w:t>
      </w:r>
    </w:p>
    <w:p w14:paraId="7B52C483">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3.4.5评标委员会应对评分汇总情况进行复核，特别是对排名第一的、报价最低的</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或相应文件被认定为无效的情形进行重点复核，并根据评标结果推荐中标候选人，或者根据采购人委托协议规定直接确定中标人，起草并签署评标报告。</w:t>
      </w:r>
    </w:p>
    <w:p w14:paraId="67577295">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3.4.6评标委员会应在采购项目招标失败时，出具</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文件是否存在不合理条款的论证意见，并协助采购人、采购代理机构、财政部门答复质疑或处理投诉事项。</w:t>
      </w:r>
    </w:p>
    <w:p w14:paraId="552072B9">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3.4.7评标委员会应对评标过程和结果以及</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的商业秘密保密。</w:t>
      </w:r>
    </w:p>
    <w:p w14:paraId="6399EEDD">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hint="eastAsia" w:asciiTheme="minorEastAsia" w:hAnsiTheme="minorEastAsia" w:eastAsiaTheme="minorEastAsia" w:cstheme="minorEastAsia"/>
          <w:b/>
          <w:color w:val="auto"/>
          <w:kern w:val="0"/>
          <w:sz w:val="22"/>
          <w:szCs w:val="22"/>
          <w:highlight w:val="none"/>
          <w:lang w:eastAsia="zh-CN"/>
        </w:rPr>
      </w:pPr>
      <w:r>
        <w:rPr>
          <w:rFonts w:hint="eastAsia" w:asciiTheme="minorEastAsia" w:hAnsiTheme="minorEastAsia" w:eastAsiaTheme="minorEastAsia" w:cstheme="minorEastAsia"/>
          <w:b/>
          <w:color w:val="auto"/>
          <w:kern w:val="0"/>
          <w:sz w:val="22"/>
          <w:szCs w:val="22"/>
          <w:highlight w:val="none"/>
          <w:lang w:eastAsia="zh-CN"/>
        </w:rPr>
        <w:t>（</w:t>
      </w:r>
      <w:r>
        <w:rPr>
          <w:rFonts w:hint="eastAsia" w:asciiTheme="minorEastAsia" w:hAnsiTheme="minorEastAsia" w:eastAsiaTheme="minorEastAsia" w:cstheme="minorEastAsia"/>
          <w:b/>
          <w:color w:val="auto"/>
          <w:kern w:val="0"/>
          <w:sz w:val="22"/>
          <w:szCs w:val="22"/>
          <w:highlight w:val="none"/>
          <w:lang w:val="en-US" w:eastAsia="zh-CN"/>
        </w:rPr>
        <w:t>二</w:t>
      </w:r>
      <w:r>
        <w:rPr>
          <w:rFonts w:hint="eastAsia" w:asciiTheme="minorEastAsia" w:hAnsiTheme="minorEastAsia" w:eastAsiaTheme="minorEastAsia" w:cstheme="minorEastAsia"/>
          <w:b/>
          <w:color w:val="auto"/>
          <w:kern w:val="0"/>
          <w:sz w:val="22"/>
          <w:szCs w:val="22"/>
          <w:highlight w:val="none"/>
          <w:lang w:eastAsia="zh-CN"/>
        </w:rPr>
        <w:t>）评标程序</w:t>
      </w:r>
    </w:p>
    <w:p w14:paraId="22DC5441">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hint="eastAsia" w:asciiTheme="minorEastAsia" w:hAnsiTheme="minorEastAsia" w:eastAsiaTheme="minorEastAsia" w:cstheme="minorEastAsia"/>
          <w:b/>
          <w:color w:val="auto"/>
          <w:kern w:val="0"/>
          <w:sz w:val="22"/>
          <w:szCs w:val="22"/>
          <w:highlight w:val="none"/>
        </w:rPr>
      </w:pPr>
      <w:r>
        <w:rPr>
          <w:rFonts w:hint="eastAsia" w:asciiTheme="minorEastAsia" w:hAnsiTheme="minorEastAsia" w:eastAsiaTheme="minorEastAsia" w:cstheme="minorEastAsia"/>
          <w:b/>
          <w:color w:val="auto"/>
          <w:kern w:val="0"/>
          <w:sz w:val="22"/>
          <w:szCs w:val="22"/>
          <w:highlight w:val="none"/>
        </w:rPr>
        <w:t>4．</w:t>
      </w:r>
      <w:r>
        <w:rPr>
          <w:rFonts w:hint="eastAsia" w:asciiTheme="minorEastAsia" w:hAnsiTheme="minorEastAsia" w:eastAsiaTheme="minorEastAsia" w:cstheme="minorEastAsia"/>
          <w:b/>
          <w:color w:val="auto"/>
          <w:kern w:val="0"/>
          <w:sz w:val="22"/>
          <w:szCs w:val="22"/>
          <w:highlight w:val="none"/>
          <w:lang w:eastAsia="zh-CN"/>
        </w:rPr>
        <w:t>响应文件</w:t>
      </w:r>
      <w:r>
        <w:rPr>
          <w:rFonts w:hint="eastAsia" w:asciiTheme="minorEastAsia" w:hAnsiTheme="minorEastAsia" w:eastAsiaTheme="minorEastAsia" w:cstheme="minorEastAsia"/>
          <w:b/>
          <w:color w:val="auto"/>
          <w:kern w:val="0"/>
          <w:sz w:val="22"/>
          <w:szCs w:val="22"/>
          <w:highlight w:val="none"/>
        </w:rPr>
        <w:t>的初步评标</w:t>
      </w:r>
    </w:p>
    <w:p w14:paraId="0BB53F75">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4.1初步评标分为资格性检查和符合性检查。</w:t>
      </w:r>
    </w:p>
    <w:p w14:paraId="23A46269">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4.1.1资格性检查</w:t>
      </w:r>
    </w:p>
    <w:p w14:paraId="75713B61">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根据法律法规和</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文件的规定，对</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中的资格证明文件、</w:t>
      </w:r>
      <w:r>
        <w:rPr>
          <w:rFonts w:hint="eastAsia" w:asciiTheme="minorEastAsia" w:hAnsiTheme="minorEastAsia" w:eastAsiaTheme="minorEastAsia" w:cstheme="minorEastAsia"/>
          <w:color w:val="auto"/>
          <w:kern w:val="0"/>
          <w:sz w:val="22"/>
          <w:szCs w:val="22"/>
          <w:highlight w:val="none"/>
          <w:lang w:eastAsia="zh-CN"/>
        </w:rPr>
        <w:t>磋商保证金</w:t>
      </w:r>
      <w:r>
        <w:rPr>
          <w:rFonts w:hint="eastAsia" w:asciiTheme="minorEastAsia" w:hAnsiTheme="minorEastAsia" w:eastAsiaTheme="minorEastAsia" w:cstheme="minorEastAsia"/>
          <w:color w:val="auto"/>
          <w:kern w:val="0"/>
          <w:sz w:val="22"/>
          <w:szCs w:val="22"/>
          <w:highlight w:val="none"/>
        </w:rPr>
        <w:t>等进行审查，以确定</w:t>
      </w:r>
      <w:r>
        <w:rPr>
          <w:rFonts w:hint="eastAsia" w:asciiTheme="minorEastAsia" w:hAnsiTheme="minorEastAsia" w:eastAsiaTheme="minorEastAsia" w:cstheme="minorEastAsia"/>
          <w:color w:val="auto"/>
          <w:kern w:val="0"/>
          <w:sz w:val="22"/>
          <w:szCs w:val="22"/>
          <w:highlight w:val="none"/>
          <w:lang w:eastAsia="zh-CN"/>
        </w:rPr>
        <w:t>磋商供应商</w:t>
      </w:r>
      <w:r>
        <w:rPr>
          <w:rFonts w:hint="eastAsia" w:asciiTheme="minorEastAsia" w:hAnsiTheme="minorEastAsia" w:eastAsiaTheme="minorEastAsia" w:cstheme="minorEastAsia"/>
          <w:color w:val="auto"/>
          <w:kern w:val="0"/>
          <w:sz w:val="22"/>
          <w:szCs w:val="22"/>
          <w:highlight w:val="none"/>
        </w:rPr>
        <w:t>是否具备</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资格。审查事项如下：</w:t>
      </w:r>
    </w:p>
    <w:p w14:paraId="669E5F33">
      <w:pPr>
        <w:adjustRightInd w:val="0"/>
        <w:snapToGrid w:val="0"/>
        <w:spacing w:line="360" w:lineRule="auto"/>
        <w:jc w:val="center"/>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br w:type="page"/>
      </w:r>
      <w:r>
        <w:rPr>
          <w:rFonts w:hint="eastAsia" w:asciiTheme="minorEastAsia" w:hAnsiTheme="minorEastAsia" w:eastAsiaTheme="minorEastAsia" w:cstheme="minorEastAsia"/>
          <w:b/>
          <w:bCs/>
          <w:color w:val="auto"/>
          <w:kern w:val="0"/>
          <w:sz w:val="24"/>
          <w:szCs w:val="24"/>
          <w:highlight w:val="none"/>
        </w:rPr>
        <w:t>资格</w:t>
      </w:r>
      <w:r>
        <w:rPr>
          <w:rFonts w:hint="eastAsia" w:asciiTheme="minorEastAsia" w:hAnsiTheme="minorEastAsia" w:eastAsiaTheme="minorEastAsia" w:cstheme="minorEastAsia"/>
          <w:b/>
          <w:bCs/>
          <w:color w:val="auto"/>
          <w:kern w:val="0"/>
          <w:sz w:val="24"/>
          <w:szCs w:val="24"/>
          <w:highlight w:val="none"/>
          <w:lang w:eastAsia="zh-CN"/>
        </w:rPr>
        <w:t>审</w:t>
      </w:r>
      <w:r>
        <w:rPr>
          <w:rFonts w:hint="eastAsia" w:asciiTheme="minorEastAsia" w:hAnsiTheme="minorEastAsia" w:eastAsiaTheme="minorEastAsia" w:cstheme="minorEastAsia"/>
          <w:b/>
          <w:bCs/>
          <w:color w:val="auto"/>
          <w:kern w:val="0"/>
          <w:sz w:val="24"/>
          <w:szCs w:val="24"/>
          <w:highlight w:val="none"/>
        </w:rPr>
        <w:t>查</w:t>
      </w:r>
      <w:r>
        <w:rPr>
          <w:rFonts w:hint="eastAsia" w:asciiTheme="minorEastAsia" w:hAnsiTheme="minorEastAsia" w:eastAsiaTheme="minorEastAsia" w:cstheme="minorEastAsia"/>
          <w:b/>
          <w:bCs/>
          <w:color w:val="auto"/>
          <w:kern w:val="0"/>
          <w:sz w:val="24"/>
          <w:szCs w:val="24"/>
          <w:highlight w:val="none"/>
          <w:lang w:val="en-US" w:eastAsia="zh-CN"/>
        </w:rPr>
        <w:t>表</w:t>
      </w:r>
    </w:p>
    <w:tbl>
      <w:tblPr>
        <w:tblStyle w:val="25"/>
        <w:tblW w:w="93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7296"/>
        <w:gridCol w:w="583"/>
        <w:gridCol w:w="778"/>
      </w:tblGrid>
      <w:tr w14:paraId="4E62A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09" w:type="dxa"/>
            <w:vMerge w:val="restart"/>
            <w:noWrap w:val="0"/>
            <w:vAlign w:val="center"/>
          </w:tcPr>
          <w:p w14:paraId="6C9F4158">
            <w:pPr>
              <w:jc w:val="center"/>
              <w:outlineLvl w:val="9"/>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lang w:val="en-US" w:eastAsia="zh-CN"/>
              </w:rPr>
              <w:t>序号</w:t>
            </w:r>
          </w:p>
        </w:tc>
        <w:tc>
          <w:tcPr>
            <w:tcW w:w="7296" w:type="dxa"/>
            <w:vMerge w:val="restart"/>
            <w:noWrap w:val="0"/>
            <w:vAlign w:val="center"/>
          </w:tcPr>
          <w:p w14:paraId="51E826F3">
            <w:pPr>
              <w:jc w:val="center"/>
              <w:outlineLvl w:val="9"/>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评审内容</w:t>
            </w:r>
          </w:p>
        </w:tc>
        <w:tc>
          <w:tcPr>
            <w:tcW w:w="1361" w:type="dxa"/>
            <w:gridSpan w:val="2"/>
            <w:noWrap w:val="0"/>
            <w:vAlign w:val="center"/>
          </w:tcPr>
          <w:p w14:paraId="2D179B22">
            <w:pPr>
              <w:jc w:val="center"/>
              <w:outlineLvl w:val="9"/>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评审</w:t>
            </w:r>
          </w:p>
          <w:p w14:paraId="5891AE04">
            <w:pPr>
              <w:jc w:val="center"/>
              <w:outlineLvl w:val="9"/>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意见</w:t>
            </w:r>
          </w:p>
        </w:tc>
      </w:tr>
      <w:tr w14:paraId="1D8AF6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09" w:type="dxa"/>
            <w:vMerge w:val="continue"/>
            <w:noWrap w:val="0"/>
            <w:vAlign w:val="top"/>
          </w:tcPr>
          <w:p w14:paraId="036EF01A">
            <w:pPr>
              <w:outlineLvl w:val="9"/>
              <w:rPr>
                <w:rFonts w:hint="eastAsia" w:asciiTheme="minorEastAsia" w:hAnsiTheme="minorEastAsia" w:eastAsiaTheme="minorEastAsia" w:cstheme="minorEastAsia"/>
                <w:b/>
                <w:color w:val="auto"/>
                <w:sz w:val="22"/>
                <w:szCs w:val="22"/>
                <w:highlight w:val="none"/>
              </w:rPr>
            </w:pPr>
          </w:p>
        </w:tc>
        <w:tc>
          <w:tcPr>
            <w:tcW w:w="7296" w:type="dxa"/>
            <w:vMerge w:val="continue"/>
            <w:noWrap w:val="0"/>
            <w:vAlign w:val="top"/>
          </w:tcPr>
          <w:p w14:paraId="72DB87D2">
            <w:pPr>
              <w:outlineLvl w:val="9"/>
              <w:rPr>
                <w:rFonts w:hint="eastAsia" w:asciiTheme="minorEastAsia" w:hAnsiTheme="minorEastAsia" w:eastAsiaTheme="minorEastAsia" w:cstheme="minorEastAsia"/>
                <w:b/>
                <w:color w:val="auto"/>
                <w:sz w:val="22"/>
                <w:szCs w:val="22"/>
                <w:highlight w:val="none"/>
              </w:rPr>
            </w:pPr>
          </w:p>
        </w:tc>
        <w:tc>
          <w:tcPr>
            <w:tcW w:w="583" w:type="dxa"/>
            <w:noWrap w:val="0"/>
            <w:vAlign w:val="center"/>
          </w:tcPr>
          <w:p w14:paraId="6252A0E1">
            <w:pPr>
              <w:jc w:val="center"/>
              <w:outlineLvl w:val="9"/>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是</w:t>
            </w:r>
          </w:p>
        </w:tc>
        <w:tc>
          <w:tcPr>
            <w:tcW w:w="778" w:type="dxa"/>
            <w:noWrap w:val="0"/>
            <w:vAlign w:val="center"/>
          </w:tcPr>
          <w:p w14:paraId="261514BD">
            <w:pPr>
              <w:jc w:val="center"/>
              <w:outlineLvl w:val="9"/>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否</w:t>
            </w:r>
          </w:p>
        </w:tc>
      </w:tr>
      <w:tr w14:paraId="6DDCE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709" w:type="dxa"/>
            <w:noWrap w:val="0"/>
            <w:vAlign w:val="center"/>
          </w:tcPr>
          <w:p w14:paraId="53119441">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7296" w:type="dxa"/>
            <w:noWrap w:val="0"/>
            <w:vAlign w:val="center"/>
          </w:tcPr>
          <w:p w14:paraId="1A984D6D">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具有有效的营业执照副本；</w:t>
            </w:r>
          </w:p>
        </w:tc>
        <w:tc>
          <w:tcPr>
            <w:tcW w:w="583" w:type="dxa"/>
            <w:noWrap w:val="0"/>
            <w:vAlign w:val="top"/>
          </w:tcPr>
          <w:p w14:paraId="7FBBDDD5">
            <w:pPr>
              <w:outlineLvl w:val="9"/>
              <w:rPr>
                <w:rFonts w:hint="eastAsia" w:asciiTheme="minorEastAsia" w:hAnsiTheme="minorEastAsia" w:eastAsiaTheme="minorEastAsia" w:cstheme="minorEastAsia"/>
                <w:color w:val="auto"/>
                <w:sz w:val="22"/>
                <w:szCs w:val="22"/>
                <w:highlight w:val="none"/>
              </w:rPr>
            </w:pPr>
          </w:p>
        </w:tc>
        <w:tc>
          <w:tcPr>
            <w:tcW w:w="778" w:type="dxa"/>
            <w:noWrap w:val="0"/>
            <w:vAlign w:val="top"/>
          </w:tcPr>
          <w:p w14:paraId="6B028BF9">
            <w:pPr>
              <w:outlineLvl w:val="9"/>
              <w:rPr>
                <w:rFonts w:hint="eastAsia" w:asciiTheme="minorEastAsia" w:hAnsiTheme="minorEastAsia" w:eastAsiaTheme="minorEastAsia" w:cstheme="minorEastAsia"/>
                <w:color w:val="auto"/>
                <w:sz w:val="22"/>
                <w:szCs w:val="22"/>
                <w:highlight w:val="none"/>
              </w:rPr>
            </w:pPr>
          </w:p>
        </w:tc>
      </w:tr>
      <w:tr w14:paraId="683E5E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709" w:type="dxa"/>
            <w:noWrap w:val="0"/>
            <w:vAlign w:val="center"/>
          </w:tcPr>
          <w:p w14:paraId="1965371D">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7296" w:type="dxa"/>
            <w:noWrap w:val="0"/>
            <w:vAlign w:val="center"/>
          </w:tcPr>
          <w:p w14:paraId="59C9156C">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法定代表人投标的需提供法定代表人身份证；被授权委托人需提供法人授权委托书及被授权委托人身份证和在本单位缴纳的近三个月中任意一个月社保缴纳证明；</w:t>
            </w:r>
          </w:p>
        </w:tc>
        <w:tc>
          <w:tcPr>
            <w:tcW w:w="583" w:type="dxa"/>
            <w:noWrap w:val="0"/>
            <w:vAlign w:val="top"/>
          </w:tcPr>
          <w:p w14:paraId="799F5929">
            <w:pPr>
              <w:outlineLvl w:val="9"/>
              <w:rPr>
                <w:rFonts w:hint="eastAsia" w:asciiTheme="minorEastAsia" w:hAnsiTheme="minorEastAsia" w:eastAsiaTheme="minorEastAsia" w:cstheme="minorEastAsia"/>
                <w:color w:val="auto"/>
                <w:sz w:val="22"/>
                <w:szCs w:val="22"/>
                <w:highlight w:val="none"/>
              </w:rPr>
            </w:pPr>
          </w:p>
        </w:tc>
        <w:tc>
          <w:tcPr>
            <w:tcW w:w="778" w:type="dxa"/>
            <w:noWrap w:val="0"/>
            <w:vAlign w:val="top"/>
          </w:tcPr>
          <w:p w14:paraId="0D879A7D">
            <w:pPr>
              <w:outlineLvl w:val="9"/>
              <w:rPr>
                <w:rFonts w:hint="eastAsia" w:asciiTheme="minorEastAsia" w:hAnsiTheme="minorEastAsia" w:eastAsiaTheme="minorEastAsia" w:cstheme="minorEastAsia"/>
                <w:color w:val="auto"/>
                <w:sz w:val="22"/>
                <w:szCs w:val="22"/>
                <w:highlight w:val="none"/>
              </w:rPr>
            </w:pPr>
          </w:p>
        </w:tc>
      </w:tr>
      <w:tr w14:paraId="48E88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709" w:type="dxa"/>
            <w:noWrap w:val="0"/>
            <w:vAlign w:val="center"/>
          </w:tcPr>
          <w:p w14:paraId="0A28592D">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7296" w:type="dxa"/>
            <w:noWrap w:val="0"/>
            <w:vAlign w:val="center"/>
          </w:tcPr>
          <w:p w14:paraId="2BDF9F71">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投标单位须具备【公路工程施工总承包三级】（含）以上资质等级且具备有效的安全生产许可证；项目负责人具备[公路工程专业二级]（含）以上注册建造师执业资格且具有有效的安全生产考核证书；</w:t>
            </w:r>
          </w:p>
        </w:tc>
        <w:tc>
          <w:tcPr>
            <w:tcW w:w="583" w:type="dxa"/>
            <w:noWrap w:val="0"/>
            <w:vAlign w:val="top"/>
          </w:tcPr>
          <w:p w14:paraId="230FA5FE">
            <w:pPr>
              <w:outlineLvl w:val="9"/>
              <w:rPr>
                <w:rFonts w:hint="eastAsia" w:asciiTheme="minorEastAsia" w:hAnsiTheme="minorEastAsia" w:eastAsiaTheme="minorEastAsia" w:cstheme="minorEastAsia"/>
                <w:color w:val="auto"/>
                <w:sz w:val="22"/>
                <w:szCs w:val="22"/>
                <w:highlight w:val="none"/>
              </w:rPr>
            </w:pPr>
          </w:p>
        </w:tc>
        <w:tc>
          <w:tcPr>
            <w:tcW w:w="778" w:type="dxa"/>
            <w:noWrap w:val="0"/>
            <w:vAlign w:val="top"/>
          </w:tcPr>
          <w:p w14:paraId="5B0BE39A">
            <w:pPr>
              <w:outlineLvl w:val="9"/>
              <w:rPr>
                <w:rFonts w:hint="eastAsia" w:asciiTheme="minorEastAsia" w:hAnsiTheme="minorEastAsia" w:eastAsiaTheme="minorEastAsia" w:cstheme="minorEastAsia"/>
                <w:color w:val="auto"/>
                <w:sz w:val="22"/>
                <w:szCs w:val="22"/>
                <w:highlight w:val="none"/>
              </w:rPr>
            </w:pPr>
          </w:p>
        </w:tc>
      </w:tr>
      <w:tr w14:paraId="5D985B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709" w:type="dxa"/>
            <w:noWrap w:val="0"/>
            <w:vAlign w:val="center"/>
          </w:tcPr>
          <w:p w14:paraId="39F21319">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7296" w:type="dxa"/>
            <w:noWrap w:val="0"/>
            <w:vAlign w:val="center"/>
          </w:tcPr>
          <w:p w14:paraId="43239392">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提供近三个月任意一个月税务局开具的完税证明；（完税证明或税务部门出具的其他证明，非社会保险类）；</w:t>
            </w:r>
          </w:p>
        </w:tc>
        <w:tc>
          <w:tcPr>
            <w:tcW w:w="583" w:type="dxa"/>
            <w:noWrap w:val="0"/>
            <w:vAlign w:val="top"/>
          </w:tcPr>
          <w:p w14:paraId="4381333D">
            <w:pPr>
              <w:outlineLvl w:val="9"/>
              <w:rPr>
                <w:rFonts w:hint="eastAsia" w:asciiTheme="minorEastAsia" w:hAnsiTheme="minorEastAsia" w:eastAsiaTheme="minorEastAsia" w:cstheme="minorEastAsia"/>
                <w:color w:val="auto"/>
                <w:sz w:val="22"/>
                <w:szCs w:val="22"/>
                <w:highlight w:val="none"/>
              </w:rPr>
            </w:pPr>
          </w:p>
        </w:tc>
        <w:tc>
          <w:tcPr>
            <w:tcW w:w="778" w:type="dxa"/>
            <w:noWrap w:val="0"/>
            <w:vAlign w:val="top"/>
          </w:tcPr>
          <w:p w14:paraId="1E39C7A1">
            <w:pPr>
              <w:outlineLvl w:val="9"/>
              <w:rPr>
                <w:rFonts w:hint="eastAsia" w:asciiTheme="minorEastAsia" w:hAnsiTheme="minorEastAsia" w:eastAsiaTheme="minorEastAsia" w:cstheme="minorEastAsia"/>
                <w:color w:val="auto"/>
                <w:sz w:val="22"/>
                <w:szCs w:val="22"/>
                <w:highlight w:val="none"/>
              </w:rPr>
            </w:pPr>
          </w:p>
        </w:tc>
      </w:tr>
      <w:tr w14:paraId="338E6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709" w:type="dxa"/>
            <w:noWrap w:val="0"/>
            <w:vAlign w:val="center"/>
          </w:tcPr>
          <w:p w14:paraId="43D42227">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7296" w:type="dxa"/>
            <w:noWrap w:val="0"/>
            <w:vAlign w:val="center"/>
          </w:tcPr>
          <w:p w14:paraId="554AFE2E">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供应商针对本次项目《反商业贿赂承诺书》；</w:t>
            </w:r>
          </w:p>
        </w:tc>
        <w:tc>
          <w:tcPr>
            <w:tcW w:w="583" w:type="dxa"/>
            <w:noWrap w:val="0"/>
            <w:vAlign w:val="top"/>
          </w:tcPr>
          <w:p w14:paraId="1CA88396">
            <w:pPr>
              <w:outlineLvl w:val="9"/>
              <w:rPr>
                <w:rFonts w:hint="eastAsia" w:asciiTheme="minorEastAsia" w:hAnsiTheme="minorEastAsia" w:eastAsiaTheme="minorEastAsia" w:cstheme="minorEastAsia"/>
                <w:color w:val="auto"/>
                <w:sz w:val="22"/>
                <w:szCs w:val="22"/>
                <w:highlight w:val="none"/>
              </w:rPr>
            </w:pPr>
          </w:p>
        </w:tc>
        <w:tc>
          <w:tcPr>
            <w:tcW w:w="778" w:type="dxa"/>
            <w:noWrap w:val="0"/>
            <w:vAlign w:val="top"/>
          </w:tcPr>
          <w:p w14:paraId="4A47BCE6">
            <w:pPr>
              <w:outlineLvl w:val="9"/>
              <w:rPr>
                <w:rFonts w:hint="eastAsia" w:asciiTheme="minorEastAsia" w:hAnsiTheme="minorEastAsia" w:eastAsiaTheme="minorEastAsia" w:cstheme="minorEastAsia"/>
                <w:color w:val="auto"/>
                <w:sz w:val="22"/>
                <w:szCs w:val="22"/>
                <w:highlight w:val="none"/>
              </w:rPr>
            </w:pPr>
          </w:p>
        </w:tc>
      </w:tr>
      <w:tr w14:paraId="7983B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709" w:type="dxa"/>
            <w:noWrap w:val="0"/>
            <w:vAlign w:val="center"/>
          </w:tcPr>
          <w:p w14:paraId="693B642B">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7296" w:type="dxa"/>
            <w:noWrap w:val="0"/>
            <w:vAlign w:val="center"/>
          </w:tcPr>
          <w:p w14:paraId="48C2D716">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参加政府采购活动前3年内在经营活动中没有重大违法记录的书面声明；</w:t>
            </w:r>
          </w:p>
        </w:tc>
        <w:tc>
          <w:tcPr>
            <w:tcW w:w="583" w:type="dxa"/>
            <w:noWrap w:val="0"/>
            <w:vAlign w:val="top"/>
          </w:tcPr>
          <w:p w14:paraId="00F2C405">
            <w:pPr>
              <w:outlineLvl w:val="9"/>
              <w:rPr>
                <w:rFonts w:hint="eastAsia" w:asciiTheme="minorEastAsia" w:hAnsiTheme="minorEastAsia" w:eastAsiaTheme="minorEastAsia" w:cstheme="minorEastAsia"/>
                <w:color w:val="auto"/>
                <w:sz w:val="22"/>
                <w:szCs w:val="22"/>
                <w:highlight w:val="none"/>
              </w:rPr>
            </w:pPr>
          </w:p>
        </w:tc>
        <w:tc>
          <w:tcPr>
            <w:tcW w:w="778" w:type="dxa"/>
            <w:noWrap w:val="0"/>
            <w:vAlign w:val="top"/>
          </w:tcPr>
          <w:p w14:paraId="3C4E84D3">
            <w:pPr>
              <w:outlineLvl w:val="9"/>
              <w:rPr>
                <w:rFonts w:hint="eastAsia" w:asciiTheme="minorEastAsia" w:hAnsiTheme="minorEastAsia" w:eastAsiaTheme="minorEastAsia" w:cstheme="minorEastAsia"/>
                <w:color w:val="auto"/>
                <w:sz w:val="22"/>
                <w:szCs w:val="22"/>
                <w:highlight w:val="none"/>
              </w:rPr>
            </w:pPr>
          </w:p>
        </w:tc>
      </w:tr>
      <w:tr w14:paraId="68BB7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709" w:type="dxa"/>
            <w:noWrap w:val="0"/>
            <w:vAlign w:val="center"/>
          </w:tcPr>
          <w:p w14:paraId="1BCCFBF0">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7296" w:type="dxa"/>
            <w:noWrap w:val="0"/>
            <w:vAlign w:val="center"/>
          </w:tcPr>
          <w:p w14:paraId="7B8344A7">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提供2023年或2024年度的财务审计报告（注册成立未满一年新公司提供银行资信证明）；</w:t>
            </w:r>
          </w:p>
        </w:tc>
        <w:tc>
          <w:tcPr>
            <w:tcW w:w="583" w:type="dxa"/>
            <w:noWrap w:val="0"/>
            <w:vAlign w:val="top"/>
          </w:tcPr>
          <w:p w14:paraId="38CB1FFC">
            <w:pPr>
              <w:outlineLvl w:val="9"/>
              <w:rPr>
                <w:rFonts w:hint="eastAsia" w:asciiTheme="minorEastAsia" w:hAnsiTheme="minorEastAsia" w:eastAsiaTheme="minorEastAsia" w:cstheme="minorEastAsia"/>
                <w:color w:val="auto"/>
                <w:sz w:val="22"/>
                <w:szCs w:val="22"/>
                <w:highlight w:val="none"/>
              </w:rPr>
            </w:pPr>
          </w:p>
        </w:tc>
        <w:tc>
          <w:tcPr>
            <w:tcW w:w="778" w:type="dxa"/>
            <w:noWrap w:val="0"/>
            <w:vAlign w:val="top"/>
          </w:tcPr>
          <w:p w14:paraId="200C29E7">
            <w:pPr>
              <w:outlineLvl w:val="9"/>
              <w:rPr>
                <w:rFonts w:hint="eastAsia" w:asciiTheme="minorEastAsia" w:hAnsiTheme="minorEastAsia" w:eastAsiaTheme="minorEastAsia" w:cstheme="minorEastAsia"/>
                <w:color w:val="auto"/>
                <w:sz w:val="22"/>
                <w:szCs w:val="22"/>
                <w:highlight w:val="none"/>
              </w:rPr>
            </w:pPr>
          </w:p>
        </w:tc>
      </w:tr>
      <w:tr w14:paraId="72778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09" w:type="dxa"/>
            <w:noWrap w:val="0"/>
            <w:vAlign w:val="center"/>
          </w:tcPr>
          <w:p w14:paraId="135AC4C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7296" w:type="dxa"/>
            <w:noWrap w:val="0"/>
            <w:vAlign w:val="center"/>
          </w:tcPr>
          <w:p w14:paraId="15A264A4">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0" w:firstLineChars="0"/>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根据《财政部关于在政府采购活动中查询及使用信用记录有关问题的通知》（财库﹝2016﹞125号）的要求，凡拟参加本次招标项目的供应商，如在“信用中国”网站（ www.creditchina.gov.cn） 被列入失信被执行人、重大税收违法失信主体(信用中国-信息公示-重大税收违法失信主体查询-搜索栏输入单位全称-截图)、中国政府采购网（http://www.ccgp.gov.cn/search/cr/）政府采购严重违法失信行为记录名单的（尚在处罚期内的），将拒绝其参加本次招标活动；（提供查询结果网页截图并加盖供应商公章）；</w:t>
            </w:r>
          </w:p>
        </w:tc>
        <w:tc>
          <w:tcPr>
            <w:tcW w:w="583" w:type="dxa"/>
            <w:noWrap w:val="0"/>
            <w:vAlign w:val="top"/>
          </w:tcPr>
          <w:p w14:paraId="6C966837">
            <w:pPr>
              <w:outlineLvl w:val="9"/>
              <w:rPr>
                <w:rFonts w:hint="eastAsia" w:asciiTheme="minorEastAsia" w:hAnsiTheme="minorEastAsia" w:eastAsiaTheme="minorEastAsia" w:cstheme="minorEastAsia"/>
                <w:color w:val="auto"/>
                <w:sz w:val="22"/>
                <w:szCs w:val="22"/>
                <w:highlight w:val="none"/>
              </w:rPr>
            </w:pPr>
          </w:p>
        </w:tc>
        <w:tc>
          <w:tcPr>
            <w:tcW w:w="778" w:type="dxa"/>
            <w:noWrap w:val="0"/>
            <w:vAlign w:val="top"/>
          </w:tcPr>
          <w:p w14:paraId="7A91E265">
            <w:pPr>
              <w:outlineLvl w:val="9"/>
              <w:rPr>
                <w:rFonts w:hint="eastAsia" w:asciiTheme="minorEastAsia" w:hAnsiTheme="minorEastAsia" w:eastAsiaTheme="minorEastAsia" w:cstheme="minorEastAsia"/>
                <w:color w:val="auto"/>
                <w:sz w:val="22"/>
                <w:szCs w:val="22"/>
                <w:highlight w:val="none"/>
              </w:rPr>
            </w:pPr>
          </w:p>
        </w:tc>
      </w:tr>
      <w:tr w14:paraId="5AD40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709" w:type="dxa"/>
            <w:noWrap w:val="0"/>
            <w:vAlign w:val="center"/>
          </w:tcPr>
          <w:p w14:paraId="53E91F32">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7296" w:type="dxa"/>
            <w:noWrap w:val="0"/>
            <w:vAlign w:val="center"/>
          </w:tcPr>
          <w:p w14:paraId="208023AA">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磋商保证金缴纳有效凭证。</w:t>
            </w:r>
          </w:p>
        </w:tc>
        <w:tc>
          <w:tcPr>
            <w:tcW w:w="583" w:type="dxa"/>
            <w:tcBorders>
              <w:right w:val="single" w:color="auto" w:sz="4" w:space="0"/>
            </w:tcBorders>
            <w:noWrap w:val="0"/>
            <w:vAlign w:val="top"/>
          </w:tcPr>
          <w:p w14:paraId="7D840F05">
            <w:pPr>
              <w:outlineLvl w:val="9"/>
              <w:rPr>
                <w:rFonts w:hint="eastAsia" w:asciiTheme="minorEastAsia" w:hAnsiTheme="minorEastAsia" w:eastAsiaTheme="minorEastAsia" w:cstheme="minorEastAsia"/>
                <w:color w:val="auto"/>
                <w:sz w:val="22"/>
                <w:szCs w:val="22"/>
                <w:highlight w:val="none"/>
              </w:rPr>
            </w:pPr>
          </w:p>
        </w:tc>
        <w:tc>
          <w:tcPr>
            <w:tcW w:w="778" w:type="dxa"/>
            <w:tcBorders>
              <w:left w:val="single" w:color="auto" w:sz="4" w:space="0"/>
            </w:tcBorders>
            <w:noWrap w:val="0"/>
            <w:vAlign w:val="top"/>
          </w:tcPr>
          <w:p w14:paraId="266F1193">
            <w:pPr>
              <w:outlineLvl w:val="9"/>
              <w:rPr>
                <w:rFonts w:hint="eastAsia" w:asciiTheme="minorEastAsia" w:hAnsiTheme="minorEastAsia" w:eastAsiaTheme="minorEastAsia" w:cstheme="minorEastAsia"/>
                <w:color w:val="auto"/>
                <w:sz w:val="22"/>
                <w:szCs w:val="22"/>
                <w:highlight w:val="none"/>
              </w:rPr>
            </w:pPr>
          </w:p>
        </w:tc>
      </w:tr>
      <w:tr w14:paraId="2EC37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709" w:type="dxa"/>
            <w:noWrap w:val="0"/>
            <w:vAlign w:val="center"/>
          </w:tcPr>
          <w:p w14:paraId="1C0B8725">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7296" w:type="dxa"/>
            <w:noWrap w:val="0"/>
            <w:vAlign w:val="center"/>
          </w:tcPr>
          <w:p w14:paraId="5BF81B37">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color w:val="000000"/>
                <w:sz w:val="24"/>
                <w:szCs w:val="24"/>
                <w:highlight w:val="none"/>
                <w:lang w:val="en-US" w:eastAsia="zh-CN"/>
              </w:rPr>
              <w:t>中小企业声明函。</w:t>
            </w:r>
          </w:p>
        </w:tc>
        <w:tc>
          <w:tcPr>
            <w:tcW w:w="583" w:type="dxa"/>
            <w:tcBorders>
              <w:right w:val="single" w:color="auto" w:sz="4" w:space="0"/>
            </w:tcBorders>
            <w:noWrap w:val="0"/>
            <w:vAlign w:val="top"/>
          </w:tcPr>
          <w:p w14:paraId="74716770">
            <w:pPr>
              <w:outlineLvl w:val="9"/>
              <w:rPr>
                <w:rFonts w:hint="eastAsia" w:asciiTheme="minorEastAsia" w:hAnsiTheme="minorEastAsia" w:eastAsiaTheme="minorEastAsia" w:cstheme="minorEastAsia"/>
                <w:color w:val="auto"/>
                <w:sz w:val="22"/>
                <w:szCs w:val="22"/>
                <w:highlight w:val="none"/>
              </w:rPr>
            </w:pPr>
          </w:p>
        </w:tc>
        <w:tc>
          <w:tcPr>
            <w:tcW w:w="778" w:type="dxa"/>
            <w:tcBorders>
              <w:left w:val="single" w:color="auto" w:sz="4" w:space="0"/>
            </w:tcBorders>
            <w:noWrap w:val="0"/>
            <w:vAlign w:val="top"/>
          </w:tcPr>
          <w:p w14:paraId="40B7A14F">
            <w:pPr>
              <w:outlineLvl w:val="9"/>
              <w:rPr>
                <w:rFonts w:hint="eastAsia" w:asciiTheme="minorEastAsia" w:hAnsiTheme="minorEastAsia" w:eastAsiaTheme="minorEastAsia" w:cstheme="minorEastAsia"/>
                <w:color w:val="auto"/>
                <w:sz w:val="22"/>
                <w:szCs w:val="22"/>
                <w:highlight w:val="none"/>
              </w:rPr>
            </w:pPr>
          </w:p>
        </w:tc>
      </w:tr>
      <w:tr w14:paraId="0A73F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8005" w:type="dxa"/>
            <w:gridSpan w:val="2"/>
            <w:noWrap w:val="0"/>
            <w:vAlign w:val="top"/>
          </w:tcPr>
          <w:p w14:paraId="71C65597">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结论：是否通过评审</w:t>
            </w:r>
          </w:p>
        </w:tc>
        <w:tc>
          <w:tcPr>
            <w:tcW w:w="583" w:type="dxa"/>
            <w:noWrap w:val="0"/>
            <w:vAlign w:val="top"/>
          </w:tcPr>
          <w:p w14:paraId="7155C004">
            <w:pPr>
              <w:outlineLvl w:val="9"/>
              <w:rPr>
                <w:rFonts w:hint="eastAsia" w:asciiTheme="minorEastAsia" w:hAnsiTheme="minorEastAsia" w:eastAsiaTheme="minorEastAsia" w:cstheme="minorEastAsia"/>
                <w:color w:val="auto"/>
                <w:sz w:val="22"/>
                <w:szCs w:val="22"/>
                <w:highlight w:val="none"/>
              </w:rPr>
            </w:pPr>
          </w:p>
        </w:tc>
        <w:tc>
          <w:tcPr>
            <w:tcW w:w="778" w:type="dxa"/>
            <w:noWrap w:val="0"/>
            <w:vAlign w:val="top"/>
          </w:tcPr>
          <w:p w14:paraId="7C3E6AB5">
            <w:pPr>
              <w:outlineLvl w:val="9"/>
              <w:rPr>
                <w:rFonts w:hint="eastAsia" w:asciiTheme="minorEastAsia" w:hAnsiTheme="minorEastAsia" w:eastAsiaTheme="minorEastAsia" w:cstheme="minorEastAsia"/>
                <w:color w:val="auto"/>
                <w:sz w:val="22"/>
                <w:szCs w:val="22"/>
                <w:highlight w:val="none"/>
              </w:rPr>
            </w:pPr>
          </w:p>
        </w:tc>
      </w:tr>
    </w:tbl>
    <w:p w14:paraId="5004CF9C">
      <w:pPr>
        <w:adjustRightInd w:val="0"/>
        <w:snapToGrid w:val="0"/>
        <w:spacing w:line="360" w:lineRule="auto"/>
        <w:ind w:firstLine="440" w:firstLineChars="200"/>
        <w:outlineLvl w:val="9"/>
        <w:rPr>
          <w:rFonts w:hint="eastAsia" w:asciiTheme="minorEastAsia" w:hAnsiTheme="minorEastAsia" w:eastAsiaTheme="minorEastAsia" w:cstheme="minorEastAsia"/>
          <w:color w:val="auto"/>
          <w:kern w:val="0"/>
          <w:sz w:val="22"/>
          <w:szCs w:val="22"/>
          <w:highlight w:val="none"/>
        </w:rPr>
      </w:pPr>
    </w:p>
    <w:p w14:paraId="360F9E60">
      <w:pPr>
        <w:adjustRightInd w:val="0"/>
        <w:snapToGrid w:val="0"/>
        <w:spacing w:line="360" w:lineRule="auto"/>
        <w:ind w:firstLine="440" w:firstLineChars="200"/>
        <w:outlineLvl w:val="9"/>
        <w:rPr>
          <w:rFonts w:hint="eastAsia" w:asciiTheme="minorEastAsia" w:hAnsiTheme="minorEastAsia" w:eastAsiaTheme="minorEastAsia" w:cstheme="minorEastAsia"/>
          <w:color w:val="auto"/>
          <w:kern w:val="0"/>
          <w:sz w:val="22"/>
          <w:szCs w:val="22"/>
          <w:highlight w:val="none"/>
        </w:rPr>
      </w:pPr>
    </w:p>
    <w:p w14:paraId="5312E9F0">
      <w:pPr>
        <w:adjustRightInd w:val="0"/>
        <w:snapToGrid w:val="0"/>
        <w:spacing w:line="360" w:lineRule="auto"/>
        <w:ind w:firstLine="440" w:firstLineChars="200"/>
        <w:outlineLvl w:val="9"/>
        <w:rPr>
          <w:rFonts w:hint="eastAsia" w:asciiTheme="minorEastAsia" w:hAnsiTheme="minorEastAsia" w:eastAsiaTheme="minorEastAsia" w:cstheme="minorEastAsia"/>
          <w:color w:val="auto"/>
          <w:kern w:val="0"/>
          <w:sz w:val="22"/>
          <w:szCs w:val="22"/>
          <w:highlight w:val="none"/>
        </w:rPr>
      </w:pPr>
    </w:p>
    <w:p w14:paraId="60CFF2C2">
      <w:pPr>
        <w:adjustRightInd w:val="0"/>
        <w:snapToGrid w:val="0"/>
        <w:spacing w:line="360" w:lineRule="auto"/>
        <w:ind w:firstLine="440" w:firstLineChars="200"/>
        <w:outlineLvl w:val="9"/>
        <w:rPr>
          <w:rFonts w:hint="eastAsia" w:asciiTheme="minorEastAsia" w:hAnsiTheme="minorEastAsia" w:eastAsiaTheme="minorEastAsia" w:cstheme="minorEastAsia"/>
          <w:color w:val="auto"/>
          <w:kern w:val="0"/>
          <w:sz w:val="22"/>
          <w:szCs w:val="22"/>
          <w:highlight w:val="none"/>
        </w:rPr>
      </w:pPr>
    </w:p>
    <w:p w14:paraId="492281EC">
      <w:pPr>
        <w:adjustRightInd w:val="0"/>
        <w:snapToGrid w:val="0"/>
        <w:spacing w:line="360" w:lineRule="auto"/>
        <w:ind w:firstLine="440" w:firstLineChars="200"/>
        <w:outlineLvl w:val="9"/>
        <w:rPr>
          <w:rFonts w:hint="eastAsia" w:asciiTheme="minorEastAsia" w:hAnsiTheme="minorEastAsia" w:eastAsiaTheme="minorEastAsia" w:cstheme="minorEastAsia"/>
          <w:color w:val="auto"/>
          <w:kern w:val="0"/>
          <w:sz w:val="22"/>
          <w:szCs w:val="22"/>
          <w:highlight w:val="none"/>
        </w:rPr>
      </w:pPr>
    </w:p>
    <w:p w14:paraId="21D82AEE">
      <w:pPr>
        <w:adjustRightInd w:val="0"/>
        <w:snapToGrid w:val="0"/>
        <w:spacing w:line="360" w:lineRule="auto"/>
        <w:ind w:firstLine="440" w:firstLineChars="200"/>
        <w:outlineLvl w:val="9"/>
        <w:rPr>
          <w:rFonts w:hint="eastAsia" w:asciiTheme="minorEastAsia" w:hAnsiTheme="minorEastAsia" w:eastAsiaTheme="minorEastAsia" w:cstheme="minorEastAsia"/>
          <w:color w:val="auto"/>
          <w:kern w:val="0"/>
          <w:sz w:val="22"/>
          <w:szCs w:val="22"/>
          <w:highlight w:val="none"/>
        </w:rPr>
      </w:pPr>
    </w:p>
    <w:p w14:paraId="26B6DCBE">
      <w:pPr>
        <w:snapToGrid w:val="0"/>
        <w:spacing w:line="500" w:lineRule="exact"/>
        <w:jc w:val="center"/>
        <w:outlineLvl w:val="9"/>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符合性检查表</w:t>
      </w:r>
    </w:p>
    <w:p w14:paraId="37BCE630">
      <w:pPr>
        <w:adjustRightInd w:val="0"/>
        <w:snapToGrid w:val="0"/>
        <w:spacing w:line="360" w:lineRule="auto"/>
        <w:ind w:firstLine="440" w:firstLineChars="200"/>
        <w:outlineLvl w:val="9"/>
        <w:rPr>
          <w:rFonts w:hint="eastAsia" w:asciiTheme="minorEastAsia" w:hAnsiTheme="minorEastAsia" w:eastAsiaTheme="minorEastAsia" w:cstheme="minorEastAsia"/>
          <w:color w:val="auto"/>
          <w:kern w:val="0"/>
          <w:sz w:val="22"/>
          <w:szCs w:val="22"/>
          <w:highlight w:val="none"/>
        </w:rPr>
      </w:pPr>
    </w:p>
    <w:p w14:paraId="5CEEDA9C">
      <w:pPr>
        <w:adjustRightInd w:val="0"/>
        <w:snapToGrid w:val="0"/>
        <w:spacing w:line="360" w:lineRule="auto"/>
        <w:ind w:firstLine="440" w:firstLineChars="200"/>
        <w:outlineLvl w:val="9"/>
        <w:rPr>
          <w:rFonts w:hint="eastAsia" w:asciiTheme="minorEastAsia" w:hAnsiTheme="minorEastAsia" w:eastAsiaTheme="minorEastAsia" w:cstheme="minorEastAsia"/>
          <w:color w:val="auto"/>
          <w:kern w:val="0"/>
          <w:sz w:val="22"/>
          <w:szCs w:val="22"/>
          <w:highlight w:val="none"/>
        </w:rPr>
      </w:pPr>
    </w:p>
    <w:tbl>
      <w:tblPr>
        <w:tblStyle w:val="25"/>
        <w:tblpPr w:leftFromText="180" w:rightFromText="180" w:vertAnchor="text" w:horzAnchor="page" w:tblpX="2030" w:tblpY="-250"/>
        <w:tblW w:w="904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3"/>
        <w:gridCol w:w="492"/>
        <w:gridCol w:w="5976"/>
        <w:gridCol w:w="996"/>
        <w:gridCol w:w="852"/>
      </w:tblGrid>
      <w:tr w14:paraId="65824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33" w:type="dxa"/>
            <w:vMerge w:val="restart"/>
            <w:noWrap w:val="0"/>
            <w:vAlign w:val="center"/>
          </w:tcPr>
          <w:p w14:paraId="19182302">
            <w:pPr>
              <w:jc w:val="center"/>
              <w:outlineLvl w:val="9"/>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项目</w:t>
            </w:r>
          </w:p>
        </w:tc>
        <w:tc>
          <w:tcPr>
            <w:tcW w:w="6468" w:type="dxa"/>
            <w:gridSpan w:val="2"/>
            <w:vMerge w:val="restart"/>
            <w:noWrap w:val="0"/>
            <w:vAlign w:val="center"/>
          </w:tcPr>
          <w:p w14:paraId="6FE6DD24">
            <w:pPr>
              <w:jc w:val="center"/>
              <w:outlineLvl w:val="9"/>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评审内容</w:t>
            </w:r>
          </w:p>
        </w:tc>
        <w:tc>
          <w:tcPr>
            <w:tcW w:w="1848" w:type="dxa"/>
            <w:gridSpan w:val="2"/>
            <w:noWrap w:val="0"/>
            <w:vAlign w:val="center"/>
          </w:tcPr>
          <w:p w14:paraId="4747AADE">
            <w:pPr>
              <w:jc w:val="center"/>
              <w:outlineLvl w:val="9"/>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评审</w:t>
            </w:r>
          </w:p>
          <w:p w14:paraId="3B913F21">
            <w:pPr>
              <w:jc w:val="center"/>
              <w:outlineLvl w:val="9"/>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意见</w:t>
            </w:r>
          </w:p>
        </w:tc>
      </w:tr>
      <w:tr w14:paraId="5B041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33" w:type="dxa"/>
            <w:vMerge w:val="continue"/>
            <w:tcBorders>
              <w:bottom w:val="single" w:color="auto" w:sz="4" w:space="0"/>
            </w:tcBorders>
            <w:noWrap w:val="0"/>
            <w:vAlign w:val="center"/>
          </w:tcPr>
          <w:p w14:paraId="4826BCE6">
            <w:pPr>
              <w:jc w:val="center"/>
              <w:outlineLvl w:val="9"/>
              <w:rPr>
                <w:rFonts w:hint="eastAsia" w:asciiTheme="minorEastAsia" w:hAnsiTheme="minorEastAsia" w:eastAsiaTheme="minorEastAsia" w:cstheme="minorEastAsia"/>
                <w:b/>
                <w:color w:val="auto"/>
                <w:sz w:val="22"/>
                <w:szCs w:val="22"/>
                <w:highlight w:val="none"/>
              </w:rPr>
            </w:pPr>
          </w:p>
        </w:tc>
        <w:tc>
          <w:tcPr>
            <w:tcW w:w="6468" w:type="dxa"/>
            <w:gridSpan w:val="2"/>
            <w:vMerge w:val="continue"/>
            <w:tcBorders>
              <w:bottom w:val="single" w:color="auto" w:sz="4" w:space="0"/>
            </w:tcBorders>
            <w:noWrap w:val="0"/>
            <w:vAlign w:val="top"/>
          </w:tcPr>
          <w:p w14:paraId="5C225DCD">
            <w:pPr>
              <w:outlineLvl w:val="9"/>
              <w:rPr>
                <w:rFonts w:hint="eastAsia" w:asciiTheme="minorEastAsia" w:hAnsiTheme="minorEastAsia" w:eastAsiaTheme="minorEastAsia" w:cstheme="minorEastAsia"/>
                <w:b/>
                <w:color w:val="auto"/>
                <w:sz w:val="22"/>
                <w:szCs w:val="22"/>
                <w:highlight w:val="none"/>
              </w:rPr>
            </w:pPr>
          </w:p>
        </w:tc>
        <w:tc>
          <w:tcPr>
            <w:tcW w:w="996" w:type="dxa"/>
            <w:noWrap w:val="0"/>
            <w:vAlign w:val="center"/>
          </w:tcPr>
          <w:p w14:paraId="30207619">
            <w:pPr>
              <w:jc w:val="center"/>
              <w:outlineLvl w:val="9"/>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是</w:t>
            </w:r>
          </w:p>
        </w:tc>
        <w:tc>
          <w:tcPr>
            <w:tcW w:w="852" w:type="dxa"/>
            <w:noWrap w:val="0"/>
            <w:vAlign w:val="center"/>
          </w:tcPr>
          <w:p w14:paraId="3A120CC5">
            <w:pPr>
              <w:jc w:val="center"/>
              <w:outlineLvl w:val="9"/>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否</w:t>
            </w:r>
          </w:p>
        </w:tc>
      </w:tr>
      <w:tr w14:paraId="54000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33" w:type="dxa"/>
            <w:vMerge w:val="restart"/>
            <w:tcBorders>
              <w:top w:val="single" w:color="auto" w:sz="4" w:space="0"/>
            </w:tcBorders>
            <w:noWrap w:val="0"/>
            <w:vAlign w:val="center"/>
          </w:tcPr>
          <w:p w14:paraId="59BF33F7">
            <w:pPr>
              <w:jc w:val="center"/>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审</w:t>
            </w:r>
          </w:p>
          <w:p w14:paraId="7381FF97">
            <w:pPr>
              <w:jc w:val="center"/>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查</w:t>
            </w:r>
          </w:p>
          <w:p w14:paraId="696CD948">
            <w:pPr>
              <w:jc w:val="center"/>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标</w:t>
            </w:r>
          </w:p>
          <w:p w14:paraId="75050B2A">
            <w:pPr>
              <w:jc w:val="center"/>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准</w:t>
            </w:r>
          </w:p>
        </w:tc>
        <w:tc>
          <w:tcPr>
            <w:tcW w:w="492" w:type="dxa"/>
            <w:tcBorders>
              <w:top w:val="single" w:color="auto" w:sz="4" w:space="0"/>
              <w:right w:val="single" w:color="auto" w:sz="4" w:space="0"/>
            </w:tcBorders>
            <w:shd w:val="clear" w:color="auto" w:fill="auto"/>
            <w:noWrap w:val="0"/>
            <w:vAlign w:val="center"/>
          </w:tcPr>
          <w:p w14:paraId="4F7752E1">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center"/>
              <w:rPr>
                <w:rFonts w:hint="eastAsia" w:ascii="宋体" w:hAnsi="宋体" w:eastAsia="宋体" w:cs="宋体"/>
                <w:i w:val="0"/>
                <w:iCs w:val="0"/>
                <w:color w:val="000000"/>
                <w:kern w:val="2"/>
                <w:sz w:val="21"/>
                <w:szCs w:val="21"/>
                <w:highlight w:val="none"/>
                <w:lang w:val="en-US" w:eastAsia="zh-CN" w:bidi="ar-SA"/>
              </w:rPr>
            </w:pPr>
            <w:r>
              <w:rPr>
                <w:rFonts w:hint="eastAsia" w:ascii="宋体" w:hAnsi="宋体" w:eastAsia="宋体" w:cs="宋体"/>
                <w:i w:val="0"/>
                <w:iCs w:val="0"/>
                <w:color w:val="000000"/>
                <w:sz w:val="21"/>
                <w:szCs w:val="21"/>
                <w:highlight w:val="none"/>
                <w:lang w:val="en-US" w:eastAsia="zh-CN"/>
              </w:rPr>
              <w:t>1</w:t>
            </w:r>
          </w:p>
        </w:tc>
        <w:tc>
          <w:tcPr>
            <w:tcW w:w="5976" w:type="dxa"/>
            <w:tcBorders>
              <w:left w:val="single" w:color="auto" w:sz="4" w:space="0"/>
              <w:right w:val="single" w:color="auto" w:sz="4" w:space="0"/>
            </w:tcBorders>
            <w:shd w:val="clear" w:color="auto" w:fill="auto"/>
            <w:noWrap w:val="0"/>
            <w:vAlign w:val="top"/>
          </w:tcPr>
          <w:p w14:paraId="5FCFDBA3">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同一投标人未提交两个以上不同的投标文件，但招标文件要求 提交备选投标的除外</w:t>
            </w:r>
            <w:r>
              <w:rPr>
                <w:rFonts w:hint="eastAsia" w:ascii="宋体" w:hAnsi="宋体" w:cs="宋体"/>
                <w:color w:val="auto"/>
                <w:sz w:val="21"/>
                <w:szCs w:val="21"/>
                <w:highlight w:val="none"/>
                <w:lang w:eastAsia="zh-CN"/>
              </w:rPr>
              <w:t>；</w:t>
            </w:r>
          </w:p>
        </w:tc>
        <w:tc>
          <w:tcPr>
            <w:tcW w:w="996" w:type="dxa"/>
            <w:tcBorders>
              <w:left w:val="single" w:color="auto" w:sz="4" w:space="0"/>
              <w:right w:val="single" w:color="auto" w:sz="4" w:space="0"/>
            </w:tcBorders>
            <w:noWrap w:val="0"/>
            <w:vAlign w:val="top"/>
          </w:tcPr>
          <w:p w14:paraId="0199A7EF">
            <w:pPr>
              <w:jc w:val="center"/>
              <w:outlineLvl w:val="9"/>
              <w:rPr>
                <w:rFonts w:hint="eastAsia" w:asciiTheme="minorEastAsia" w:hAnsiTheme="minorEastAsia" w:eastAsiaTheme="minorEastAsia" w:cstheme="minorEastAsia"/>
                <w:b/>
                <w:color w:val="auto"/>
                <w:sz w:val="22"/>
                <w:szCs w:val="22"/>
                <w:highlight w:val="none"/>
              </w:rPr>
            </w:pPr>
          </w:p>
        </w:tc>
        <w:tc>
          <w:tcPr>
            <w:tcW w:w="852" w:type="dxa"/>
            <w:tcBorders>
              <w:left w:val="single" w:color="auto" w:sz="4" w:space="0"/>
            </w:tcBorders>
            <w:noWrap w:val="0"/>
            <w:vAlign w:val="top"/>
          </w:tcPr>
          <w:p w14:paraId="2DF6F7A0">
            <w:pPr>
              <w:jc w:val="center"/>
              <w:outlineLvl w:val="9"/>
              <w:rPr>
                <w:rFonts w:hint="eastAsia" w:asciiTheme="minorEastAsia" w:hAnsiTheme="minorEastAsia" w:eastAsiaTheme="minorEastAsia" w:cstheme="minorEastAsia"/>
                <w:b/>
                <w:color w:val="auto"/>
                <w:sz w:val="22"/>
                <w:szCs w:val="22"/>
                <w:highlight w:val="none"/>
              </w:rPr>
            </w:pPr>
          </w:p>
        </w:tc>
      </w:tr>
      <w:tr w14:paraId="0F084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33" w:type="dxa"/>
            <w:vMerge w:val="continue"/>
            <w:noWrap w:val="0"/>
            <w:vAlign w:val="center"/>
          </w:tcPr>
          <w:p w14:paraId="4AFA4DC4">
            <w:pPr>
              <w:jc w:val="center"/>
              <w:outlineLvl w:val="9"/>
              <w:rPr>
                <w:rFonts w:hint="eastAsia" w:asciiTheme="minorEastAsia" w:hAnsiTheme="minorEastAsia" w:eastAsiaTheme="minorEastAsia" w:cstheme="minorEastAsia"/>
                <w:color w:val="auto"/>
                <w:sz w:val="22"/>
                <w:szCs w:val="22"/>
                <w:highlight w:val="none"/>
              </w:rPr>
            </w:pPr>
          </w:p>
        </w:tc>
        <w:tc>
          <w:tcPr>
            <w:tcW w:w="492" w:type="dxa"/>
            <w:tcBorders>
              <w:top w:val="single" w:color="auto" w:sz="4" w:space="0"/>
              <w:right w:val="single" w:color="auto" w:sz="4" w:space="0"/>
            </w:tcBorders>
            <w:shd w:val="clear" w:color="auto" w:fill="auto"/>
            <w:noWrap w:val="0"/>
            <w:vAlign w:val="center"/>
          </w:tcPr>
          <w:p w14:paraId="6A19FB5E">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center"/>
              <w:rPr>
                <w:rFonts w:hint="eastAsia" w:ascii="宋体" w:hAnsi="宋体" w:eastAsia="宋体" w:cs="宋体"/>
                <w:i w:val="0"/>
                <w:iCs w:val="0"/>
                <w:color w:val="000000"/>
                <w:kern w:val="2"/>
                <w:sz w:val="21"/>
                <w:szCs w:val="21"/>
                <w:highlight w:val="none"/>
                <w:lang w:val="en-US" w:eastAsia="zh-CN" w:bidi="ar-SA"/>
              </w:rPr>
            </w:pPr>
            <w:r>
              <w:rPr>
                <w:rFonts w:hint="eastAsia" w:ascii="宋体" w:hAnsi="宋体" w:eastAsia="宋体" w:cs="宋体"/>
                <w:i w:val="0"/>
                <w:iCs w:val="0"/>
                <w:color w:val="000000"/>
                <w:sz w:val="21"/>
                <w:szCs w:val="21"/>
                <w:highlight w:val="none"/>
                <w:lang w:val="en-US" w:eastAsia="zh-CN"/>
              </w:rPr>
              <w:t>2</w:t>
            </w:r>
          </w:p>
        </w:tc>
        <w:tc>
          <w:tcPr>
            <w:tcW w:w="5976" w:type="dxa"/>
            <w:tcBorders>
              <w:left w:val="single" w:color="auto" w:sz="4" w:space="0"/>
              <w:right w:val="single" w:color="auto" w:sz="4" w:space="0"/>
            </w:tcBorders>
            <w:shd w:val="clear" w:color="auto" w:fill="auto"/>
            <w:noWrap w:val="0"/>
            <w:vAlign w:val="top"/>
          </w:tcPr>
          <w:p w14:paraId="17ED5568">
            <w:pP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rPr>
              <w:t>投标文件载明的招标项目完成期限未超过招标文件规定的时限</w:t>
            </w:r>
            <w:r>
              <w:rPr>
                <w:rFonts w:hint="eastAsia" w:ascii="宋体" w:hAnsi="宋体" w:cs="宋体"/>
                <w:color w:val="auto"/>
                <w:sz w:val="21"/>
                <w:szCs w:val="21"/>
                <w:highlight w:val="none"/>
                <w:lang w:eastAsia="zh-CN"/>
              </w:rPr>
              <w:t>；</w:t>
            </w:r>
          </w:p>
        </w:tc>
        <w:tc>
          <w:tcPr>
            <w:tcW w:w="996" w:type="dxa"/>
            <w:tcBorders>
              <w:left w:val="single" w:color="auto" w:sz="4" w:space="0"/>
              <w:right w:val="single" w:color="auto" w:sz="4" w:space="0"/>
            </w:tcBorders>
            <w:noWrap w:val="0"/>
            <w:vAlign w:val="top"/>
          </w:tcPr>
          <w:p w14:paraId="74824013">
            <w:pPr>
              <w:jc w:val="center"/>
              <w:outlineLvl w:val="9"/>
              <w:rPr>
                <w:rFonts w:hint="eastAsia" w:asciiTheme="minorEastAsia" w:hAnsiTheme="minorEastAsia" w:eastAsiaTheme="minorEastAsia" w:cstheme="minorEastAsia"/>
                <w:b/>
                <w:color w:val="auto"/>
                <w:sz w:val="22"/>
                <w:szCs w:val="22"/>
                <w:highlight w:val="none"/>
              </w:rPr>
            </w:pPr>
          </w:p>
        </w:tc>
        <w:tc>
          <w:tcPr>
            <w:tcW w:w="852" w:type="dxa"/>
            <w:tcBorders>
              <w:left w:val="single" w:color="auto" w:sz="4" w:space="0"/>
            </w:tcBorders>
            <w:noWrap w:val="0"/>
            <w:vAlign w:val="top"/>
          </w:tcPr>
          <w:p w14:paraId="5335B7EE">
            <w:pPr>
              <w:jc w:val="center"/>
              <w:outlineLvl w:val="9"/>
              <w:rPr>
                <w:rFonts w:hint="eastAsia" w:asciiTheme="minorEastAsia" w:hAnsiTheme="minorEastAsia" w:eastAsiaTheme="minorEastAsia" w:cstheme="minorEastAsia"/>
                <w:b/>
                <w:color w:val="auto"/>
                <w:sz w:val="22"/>
                <w:szCs w:val="22"/>
                <w:highlight w:val="none"/>
              </w:rPr>
            </w:pPr>
          </w:p>
        </w:tc>
      </w:tr>
      <w:tr w14:paraId="3A850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33" w:type="dxa"/>
            <w:vMerge w:val="continue"/>
            <w:noWrap w:val="0"/>
            <w:vAlign w:val="center"/>
          </w:tcPr>
          <w:p w14:paraId="41DD6C74">
            <w:pPr>
              <w:jc w:val="center"/>
              <w:outlineLvl w:val="9"/>
              <w:rPr>
                <w:rFonts w:hint="eastAsia" w:asciiTheme="minorEastAsia" w:hAnsiTheme="minorEastAsia" w:eastAsiaTheme="minorEastAsia" w:cstheme="minorEastAsia"/>
                <w:color w:val="auto"/>
                <w:sz w:val="22"/>
                <w:szCs w:val="22"/>
                <w:highlight w:val="none"/>
              </w:rPr>
            </w:pPr>
          </w:p>
        </w:tc>
        <w:tc>
          <w:tcPr>
            <w:tcW w:w="492" w:type="dxa"/>
            <w:shd w:val="clear" w:color="auto" w:fill="auto"/>
            <w:noWrap w:val="0"/>
            <w:vAlign w:val="center"/>
          </w:tcPr>
          <w:p w14:paraId="2BE5C31D">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center"/>
              <w:rPr>
                <w:rFonts w:hint="eastAsia" w:ascii="宋体" w:hAnsi="宋体" w:eastAsia="宋体" w:cs="宋体"/>
                <w:i w:val="0"/>
                <w:iCs w:val="0"/>
                <w:color w:val="000000"/>
                <w:kern w:val="2"/>
                <w:sz w:val="21"/>
                <w:szCs w:val="21"/>
                <w:highlight w:val="none"/>
                <w:lang w:val="en-US" w:eastAsia="zh-CN" w:bidi="ar-SA"/>
              </w:rPr>
            </w:pPr>
            <w:r>
              <w:rPr>
                <w:rFonts w:hint="eastAsia" w:ascii="宋体" w:hAnsi="宋体" w:eastAsia="宋体" w:cs="宋体"/>
                <w:i w:val="0"/>
                <w:iCs w:val="0"/>
                <w:color w:val="000000"/>
                <w:sz w:val="21"/>
                <w:szCs w:val="21"/>
                <w:highlight w:val="none"/>
                <w:lang w:val="en-US" w:eastAsia="zh-CN"/>
              </w:rPr>
              <w:t>3</w:t>
            </w:r>
          </w:p>
        </w:tc>
        <w:tc>
          <w:tcPr>
            <w:tcW w:w="5976" w:type="dxa"/>
            <w:shd w:val="clear" w:color="auto" w:fill="auto"/>
            <w:noWrap w:val="0"/>
            <w:vAlign w:val="top"/>
          </w:tcPr>
          <w:p w14:paraId="44159930">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投标文件上法定代表人或其委托代理人的签字、投标人的单位 章盖章齐全，符 合招标文件规定</w:t>
            </w:r>
            <w:r>
              <w:rPr>
                <w:rFonts w:hint="eastAsia" w:ascii="宋体" w:hAnsi="宋体" w:cs="宋体"/>
                <w:color w:val="auto"/>
                <w:sz w:val="21"/>
                <w:szCs w:val="21"/>
                <w:highlight w:val="none"/>
                <w:lang w:eastAsia="zh-CN"/>
              </w:rPr>
              <w:t>；</w:t>
            </w:r>
          </w:p>
        </w:tc>
        <w:tc>
          <w:tcPr>
            <w:tcW w:w="996" w:type="dxa"/>
            <w:tcBorders>
              <w:right w:val="single" w:color="auto" w:sz="4" w:space="0"/>
            </w:tcBorders>
            <w:noWrap w:val="0"/>
            <w:vAlign w:val="top"/>
          </w:tcPr>
          <w:p w14:paraId="4ED97549">
            <w:pPr>
              <w:outlineLvl w:val="9"/>
              <w:rPr>
                <w:rFonts w:hint="eastAsia" w:asciiTheme="minorEastAsia" w:hAnsiTheme="minorEastAsia" w:eastAsiaTheme="minorEastAsia" w:cstheme="minorEastAsia"/>
                <w:color w:val="auto"/>
                <w:sz w:val="22"/>
                <w:szCs w:val="22"/>
                <w:highlight w:val="none"/>
              </w:rPr>
            </w:pPr>
          </w:p>
        </w:tc>
        <w:tc>
          <w:tcPr>
            <w:tcW w:w="852" w:type="dxa"/>
            <w:tcBorders>
              <w:left w:val="single" w:color="auto" w:sz="4" w:space="0"/>
            </w:tcBorders>
            <w:noWrap w:val="0"/>
            <w:vAlign w:val="top"/>
          </w:tcPr>
          <w:p w14:paraId="757A147F">
            <w:pPr>
              <w:outlineLvl w:val="9"/>
              <w:rPr>
                <w:rFonts w:hint="eastAsia" w:asciiTheme="minorEastAsia" w:hAnsiTheme="minorEastAsia" w:eastAsiaTheme="minorEastAsia" w:cstheme="minorEastAsia"/>
                <w:color w:val="auto"/>
                <w:sz w:val="22"/>
                <w:szCs w:val="22"/>
                <w:highlight w:val="none"/>
              </w:rPr>
            </w:pPr>
          </w:p>
        </w:tc>
      </w:tr>
      <w:tr w14:paraId="6ACB1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33" w:type="dxa"/>
            <w:vMerge w:val="continue"/>
            <w:noWrap w:val="0"/>
            <w:vAlign w:val="center"/>
          </w:tcPr>
          <w:p w14:paraId="2E40BEBA">
            <w:pPr>
              <w:jc w:val="center"/>
              <w:outlineLvl w:val="9"/>
              <w:rPr>
                <w:rFonts w:hint="eastAsia" w:asciiTheme="minorEastAsia" w:hAnsiTheme="minorEastAsia" w:eastAsiaTheme="minorEastAsia" w:cstheme="minorEastAsia"/>
                <w:color w:val="auto"/>
                <w:sz w:val="22"/>
                <w:szCs w:val="22"/>
                <w:highlight w:val="none"/>
              </w:rPr>
            </w:pPr>
          </w:p>
        </w:tc>
        <w:tc>
          <w:tcPr>
            <w:tcW w:w="492" w:type="dxa"/>
            <w:tcBorders>
              <w:top w:val="nil"/>
            </w:tcBorders>
            <w:shd w:val="clear" w:color="auto" w:fill="auto"/>
            <w:noWrap w:val="0"/>
            <w:vAlign w:val="center"/>
          </w:tcPr>
          <w:p w14:paraId="52FA7514">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center"/>
              <w:rPr>
                <w:rFonts w:hint="eastAsia" w:ascii="宋体" w:hAnsi="宋体" w:eastAsia="宋体" w:cs="宋体"/>
                <w:i w:val="0"/>
                <w:iCs w:val="0"/>
                <w:color w:val="000000"/>
                <w:kern w:val="2"/>
                <w:sz w:val="21"/>
                <w:szCs w:val="21"/>
                <w:highlight w:val="none"/>
                <w:lang w:val="en-US" w:eastAsia="zh-CN" w:bidi="ar-SA"/>
              </w:rPr>
            </w:pPr>
            <w:r>
              <w:rPr>
                <w:rFonts w:hint="eastAsia" w:ascii="宋体" w:hAnsi="宋体" w:eastAsia="宋体" w:cs="宋体"/>
                <w:i w:val="0"/>
                <w:iCs w:val="0"/>
                <w:color w:val="000000"/>
                <w:sz w:val="21"/>
                <w:szCs w:val="21"/>
                <w:highlight w:val="none"/>
                <w:lang w:val="en-US" w:eastAsia="zh-CN"/>
              </w:rPr>
              <w:t>4</w:t>
            </w:r>
          </w:p>
        </w:tc>
        <w:tc>
          <w:tcPr>
            <w:tcW w:w="5976" w:type="dxa"/>
            <w:tcBorders>
              <w:top w:val="nil"/>
            </w:tcBorders>
            <w:shd w:val="clear" w:color="auto" w:fill="auto"/>
            <w:noWrap w:val="0"/>
            <w:vAlign w:val="top"/>
          </w:tcPr>
          <w:p w14:paraId="538DF590">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投标报价未超过招标文件设定的最高投标限价；</w:t>
            </w:r>
          </w:p>
        </w:tc>
        <w:tc>
          <w:tcPr>
            <w:tcW w:w="996" w:type="dxa"/>
            <w:noWrap w:val="0"/>
            <w:vAlign w:val="top"/>
          </w:tcPr>
          <w:p w14:paraId="6E5FEE1C">
            <w:pPr>
              <w:outlineLvl w:val="9"/>
              <w:rPr>
                <w:rFonts w:hint="eastAsia" w:asciiTheme="minorEastAsia" w:hAnsiTheme="minorEastAsia" w:eastAsiaTheme="minorEastAsia" w:cstheme="minorEastAsia"/>
                <w:color w:val="auto"/>
                <w:sz w:val="22"/>
                <w:szCs w:val="22"/>
                <w:highlight w:val="none"/>
              </w:rPr>
            </w:pPr>
          </w:p>
        </w:tc>
        <w:tc>
          <w:tcPr>
            <w:tcW w:w="852" w:type="dxa"/>
            <w:noWrap w:val="0"/>
            <w:vAlign w:val="top"/>
          </w:tcPr>
          <w:p w14:paraId="78D470A7">
            <w:pPr>
              <w:outlineLvl w:val="9"/>
              <w:rPr>
                <w:rFonts w:hint="eastAsia" w:asciiTheme="minorEastAsia" w:hAnsiTheme="minorEastAsia" w:eastAsiaTheme="minorEastAsia" w:cstheme="minorEastAsia"/>
                <w:color w:val="auto"/>
                <w:sz w:val="22"/>
                <w:szCs w:val="22"/>
                <w:highlight w:val="none"/>
              </w:rPr>
            </w:pPr>
          </w:p>
        </w:tc>
      </w:tr>
      <w:tr w14:paraId="4E98F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33" w:type="dxa"/>
            <w:vMerge w:val="continue"/>
            <w:noWrap w:val="0"/>
            <w:vAlign w:val="center"/>
          </w:tcPr>
          <w:p w14:paraId="501058D1">
            <w:pPr>
              <w:jc w:val="center"/>
              <w:outlineLvl w:val="9"/>
              <w:rPr>
                <w:rFonts w:hint="eastAsia" w:asciiTheme="minorEastAsia" w:hAnsiTheme="minorEastAsia" w:eastAsiaTheme="minorEastAsia" w:cstheme="minorEastAsia"/>
                <w:color w:val="auto"/>
                <w:sz w:val="22"/>
                <w:szCs w:val="22"/>
                <w:highlight w:val="none"/>
              </w:rPr>
            </w:pPr>
          </w:p>
        </w:tc>
        <w:tc>
          <w:tcPr>
            <w:tcW w:w="492" w:type="dxa"/>
            <w:shd w:val="clear" w:color="auto" w:fill="auto"/>
            <w:noWrap w:val="0"/>
            <w:vAlign w:val="center"/>
          </w:tcPr>
          <w:p w14:paraId="3E03B680">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center"/>
              <w:rPr>
                <w:rFonts w:hint="eastAsia" w:ascii="宋体" w:hAnsi="宋体" w:eastAsia="宋体" w:cs="宋体"/>
                <w:i w:val="0"/>
                <w:iCs w:val="0"/>
                <w:color w:val="000000"/>
                <w:kern w:val="2"/>
                <w:sz w:val="21"/>
                <w:szCs w:val="21"/>
                <w:highlight w:val="none"/>
                <w:lang w:val="en-US" w:eastAsia="zh-CN" w:bidi="ar-SA"/>
              </w:rPr>
            </w:pPr>
            <w:r>
              <w:rPr>
                <w:rFonts w:hint="eastAsia" w:ascii="宋体" w:hAnsi="宋体" w:eastAsia="宋体" w:cs="宋体"/>
                <w:i w:val="0"/>
                <w:iCs w:val="0"/>
                <w:color w:val="000000"/>
                <w:sz w:val="21"/>
                <w:szCs w:val="21"/>
                <w:highlight w:val="none"/>
                <w:lang w:val="en-US" w:eastAsia="zh-CN"/>
              </w:rPr>
              <w:t>5</w:t>
            </w:r>
          </w:p>
        </w:tc>
        <w:tc>
          <w:tcPr>
            <w:tcW w:w="5976" w:type="dxa"/>
            <w:shd w:val="clear" w:color="auto" w:fill="auto"/>
            <w:noWrap w:val="0"/>
            <w:vAlign w:val="top"/>
          </w:tcPr>
          <w:p w14:paraId="49B941F5">
            <w:pPr>
              <w:pStyle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其他不满足磋商文件要求的情形</w:t>
            </w:r>
            <w:r>
              <w:rPr>
                <w:rFonts w:hint="eastAsia" w:ascii="宋体" w:hAnsi="宋体" w:cs="宋体"/>
                <w:color w:val="auto"/>
                <w:sz w:val="21"/>
                <w:szCs w:val="21"/>
                <w:highlight w:val="none"/>
                <w:lang w:eastAsia="zh-CN"/>
              </w:rPr>
              <w:t>。</w:t>
            </w:r>
          </w:p>
        </w:tc>
        <w:tc>
          <w:tcPr>
            <w:tcW w:w="996" w:type="dxa"/>
            <w:noWrap w:val="0"/>
            <w:vAlign w:val="top"/>
          </w:tcPr>
          <w:p w14:paraId="7E9F2CE0">
            <w:pPr>
              <w:outlineLvl w:val="9"/>
              <w:rPr>
                <w:rFonts w:hint="eastAsia" w:asciiTheme="minorEastAsia" w:hAnsiTheme="minorEastAsia" w:eastAsiaTheme="minorEastAsia" w:cstheme="minorEastAsia"/>
                <w:color w:val="auto"/>
                <w:sz w:val="22"/>
                <w:szCs w:val="22"/>
                <w:highlight w:val="none"/>
              </w:rPr>
            </w:pPr>
          </w:p>
        </w:tc>
        <w:tc>
          <w:tcPr>
            <w:tcW w:w="852" w:type="dxa"/>
            <w:noWrap w:val="0"/>
            <w:vAlign w:val="top"/>
          </w:tcPr>
          <w:p w14:paraId="04C15D02">
            <w:pPr>
              <w:outlineLvl w:val="9"/>
              <w:rPr>
                <w:rFonts w:hint="eastAsia" w:asciiTheme="minorEastAsia" w:hAnsiTheme="minorEastAsia" w:eastAsiaTheme="minorEastAsia" w:cstheme="minorEastAsia"/>
                <w:color w:val="auto"/>
                <w:sz w:val="22"/>
                <w:szCs w:val="22"/>
                <w:highlight w:val="none"/>
              </w:rPr>
            </w:pPr>
          </w:p>
        </w:tc>
      </w:tr>
      <w:tr w14:paraId="0A11F5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733" w:type="dxa"/>
            <w:noWrap w:val="0"/>
            <w:vAlign w:val="center"/>
          </w:tcPr>
          <w:p w14:paraId="703FCAAD">
            <w:pPr>
              <w:jc w:val="center"/>
              <w:outlineLvl w:val="9"/>
              <w:rPr>
                <w:rFonts w:hint="eastAsia" w:asciiTheme="minorEastAsia" w:hAnsiTheme="minorEastAsia" w:eastAsiaTheme="minorEastAsia" w:cstheme="minorEastAsia"/>
                <w:color w:val="auto"/>
                <w:sz w:val="22"/>
                <w:szCs w:val="22"/>
                <w:highlight w:val="none"/>
              </w:rPr>
            </w:pPr>
          </w:p>
        </w:tc>
        <w:tc>
          <w:tcPr>
            <w:tcW w:w="6468" w:type="dxa"/>
            <w:gridSpan w:val="2"/>
            <w:noWrap w:val="0"/>
            <w:vAlign w:val="top"/>
          </w:tcPr>
          <w:p w14:paraId="4F5F63B5">
            <w:pPr>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结论：是否通过评审</w:t>
            </w:r>
          </w:p>
        </w:tc>
        <w:tc>
          <w:tcPr>
            <w:tcW w:w="996" w:type="dxa"/>
            <w:noWrap w:val="0"/>
            <w:vAlign w:val="top"/>
          </w:tcPr>
          <w:p w14:paraId="0B4ED3AC">
            <w:pPr>
              <w:outlineLvl w:val="9"/>
              <w:rPr>
                <w:rFonts w:hint="eastAsia" w:asciiTheme="minorEastAsia" w:hAnsiTheme="minorEastAsia" w:eastAsiaTheme="minorEastAsia" w:cstheme="minorEastAsia"/>
                <w:color w:val="auto"/>
                <w:sz w:val="22"/>
                <w:szCs w:val="22"/>
                <w:highlight w:val="none"/>
              </w:rPr>
            </w:pPr>
          </w:p>
        </w:tc>
        <w:tc>
          <w:tcPr>
            <w:tcW w:w="852" w:type="dxa"/>
            <w:noWrap w:val="0"/>
            <w:vAlign w:val="top"/>
          </w:tcPr>
          <w:p w14:paraId="5C4884D2">
            <w:pPr>
              <w:outlineLvl w:val="9"/>
              <w:rPr>
                <w:rFonts w:hint="eastAsia" w:asciiTheme="minorEastAsia" w:hAnsiTheme="minorEastAsia" w:eastAsiaTheme="minorEastAsia" w:cstheme="minorEastAsia"/>
                <w:color w:val="auto"/>
                <w:sz w:val="22"/>
                <w:szCs w:val="22"/>
                <w:highlight w:val="none"/>
              </w:rPr>
            </w:pPr>
          </w:p>
        </w:tc>
      </w:tr>
    </w:tbl>
    <w:p w14:paraId="43B80A0A">
      <w:pPr>
        <w:adjustRightInd w:val="0"/>
        <w:snapToGrid w:val="0"/>
        <w:spacing w:line="360" w:lineRule="auto"/>
        <w:ind w:firstLine="440" w:firstLineChars="200"/>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4.1.2符合性检查</w:t>
      </w:r>
    </w:p>
    <w:p w14:paraId="5686AB8D">
      <w:pPr>
        <w:adjustRightInd w:val="0"/>
        <w:snapToGrid w:val="0"/>
        <w:spacing w:line="360" w:lineRule="auto"/>
        <w:ind w:firstLine="440" w:firstLineChars="200"/>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4.1.2.1依据</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文件的规定，从</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的响应程度进行审查，以确定是否对</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文件的实质性要求作出响应。评标委员会评标</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的响应性只根据</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真实无误的内容，而不依据外部的证据，但</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有不真实、不正确的内容时除外。</w:t>
      </w:r>
    </w:p>
    <w:p w14:paraId="685A02E3">
      <w:pPr>
        <w:adjustRightInd w:val="0"/>
        <w:snapToGrid w:val="0"/>
        <w:spacing w:line="360" w:lineRule="auto"/>
        <w:ind w:firstLine="440" w:firstLineChars="200"/>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4.1.2.2</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不得通过修正或撤销不符合要求的偏离从而使其</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成为实质上响应的</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w:t>
      </w:r>
    </w:p>
    <w:p w14:paraId="52BDE326">
      <w:pPr>
        <w:adjustRightInd w:val="0"/>
        <w:snapToGrid w:val="0"/>
        <w:spacing w:line="360" w:lineRule="auto"/>
        <w:ind w:firstLine="440" w:firstLineChars="200"/>
        <w:outlineLvl w:val="9"/>
        <w:rPr>
          <w:rFonts w:hint="eastAsia" w:asciiTheme="minorEastAsia" w:hAnsiTheme="minorEastAsia" w:eastAsiaTheme="minorEastAsia" w:cstheme="minorEastAsia"/>
          <w:color w:val="auto"/>
          <w:kern w:val="0"/>
          <w:sz w:val="22"/>
          <w:szCs w:val="22"/>
          <w:highlight w:val="none"/>
        </w:rPr>
      </w:pPr>
      <w:bookmarkStart w:id="373" w:name="_bookmark67"/>
      <w:bookmarkEnd w:id="373"/>
      <w:r>
        <w:rPr>
          <w:rFonts w:hint="eastAsia" w:asciiTheme="minorEastAsia" w:hAnsiTheme="minorEastAsia" w:eastAsiaTheme="minorEastAsia" w:cstheme="minorEastAsia"/>
          <w:color w:val="auto"/>
          <w:kern w:val="0"/>
          <w:sz w:val="22"/>
          <w:szCs w:val="22"/>
          <w:highlight w:val="none"/>
        </w:rPr>
        <w:t>4.2有下列情形之一时,评标委员会应予废标,并将理由通知所有</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w:t>
      </w:r>
    </w:p>
    <w:p w14:paraId="758146CB">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(1)符合专业条件的</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或者对</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文件作实质性响应的</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不足三家的；</w:t>
      </w:r>
    </w:p>
    <w:p w14:paraId="6FC3AF89">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(2)出现影响</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公正的违法、违规行为的；</w:t>
      </w:r>
    </w:p>
    <w:p w14:paraId="6883DDDD">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(3)</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的报价均超过了采购预算,采购人不能支付的；</w:t>
      </w:r>
    </w:p>
    <w:p w14:paraId="63FDA0F5">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(4)因重大变故，采购任务取消的。</w:t>
      </w:r>
    </w:p>
    <w:p w14:paraId="2C84B088">
      <w:pPr>
        <w:pStyle w:val="7"/>
        <w:keepNext w:val="0"/>
        <w:keepLines w:val="0"/>
        <w:pageBreakBefore w:val="0"/>
        <w:widowControl w:val="0"/>
        <w:kinsoku/>
        <w:wordWrap/>
        <w:overflowPunct/>
        <w:topLinePunct w:val="0"/>
        <w:bidi w:val="0"/>
        <w:spacing w:line="300" w:lineRule="exact"/>
        <w:textAlignment w:val="auto"/>
        <w:outlineLvl w:val="9"/>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如发现有二份及以上响应文件的相互之间有相同或高度相似之处，且无合理解释的，经评标委员会半数以上成员认定有串通磋商嫌疑的，其响应文件按无效标处理，予以废除，不再对其进行评审，也不影响磋商工作继续评标。</w:t>
      </w:r>
    </w:p>
    <w:p w14:paraId="3790F5BC">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4.3废标后，除采购任务取消情形外，招标采购单位应当重新组织招标。需要采取其他采购方式的，应当在采购活动开始前获得设区的市、自治州以上人民政府财政部门的批准。</w:t>
      </w:r>
    </w:p>
    <w:p w14:paraId="5B7AE7E4">
      <w:pPr>
        <w:keepNext w:val="0"/>
        <w:keepLines w:val="0"/>
        <w:pageBreakBefore w:val="0"/>
        <w:widowControl w:val="0"/>
        <w:kinsoku/>
        <w:wordWrap/>
        <w:overflowPunct/>
        <w:topLinePunct w:val="0"/>
        <w:bidi w:val="0"/>
        <w:adjustRightInd w:val="0"/>
        <w:snapToGrid w:val="0"/>
        <w:spacing w:line="300" w:lineRule="exact"/>
        <w:textAlignment w:val="auto"/>
        <w:outlineLvl w:val="9"/>
        <w:rPr>
          <w:rFonts w:hint="eastAsia" w:asciiTheme="minorEastAsia" w:hAnsiTheme="minorEastAsia" w:eastAsiaTheme="minorEastAsia" w:cstheme="minorEastAsia"/>
          <w:b/>
          <w:color w:val="auto"/>
          <w:kern w:val="0"/>
          <w:sz w:val="22"/>
          <w:szCs w:val="22"/>
          <w:highlight w:val="none"/>
        </w:rPr>
      </w:pPr>
      <w:r>
        <w:rPr>
          <w:rFonts w:hint="eastAsia" w:asciiTheme="minorEastAsia" w:hAnsiTheme="minorEastAsia" w:eastAsiaTheme="minorEastAsia" w:cstheme="minorEastAsia"/>
          <w:b/>
          <w:color w:val="auto"/>
          <w:kern w:val="0"/>
          <w:sz w:val="22"/>
          <w:szCs w:val="22"/>
          <w:highlight w:val="none"/>
        </w:rPr>
        <w:t>5．澄清有关问题</w:t>
      </w:r>
    </w:p>
    <w:p w14:paraId="04E6A7CE">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5.1对于</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中含义不明确、同类问题表述不一致或者有明显文字和计算错误的内容，评标委员会应当以书面形式要求</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作出必要的澄清、说明或者补正。</w:t>
      </w:r>
    </w:p>
    <w:p w14:paraId="69B7FC5E">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的澄清、说明或者补正应当采用书面形式，并加盖公章，或者由法定代表人或其授权的代表签字。</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的澄清、说明或者补正不得超出</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的范围或者改变</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的实质性内容。</w:t>
      </w:r>
    </w:p>
    <w:p w14:paraId="3F66412C">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5.2</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不得对下列内容进行澄清或补充：</w:t>
      </w:r>
    </w:p>
    <w:p w14:paraId="68962B82">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w:t>
      </w:r>
      <w:r>
        <w:rPr>
          <w:rFonts w:hint="eastAsia" w:asciiTheme="minorEastAsia" w:hAnsiTheme="minorEastAsia" w:eastAsiaTheme="minorEastAsia" w:cstheme="minorEastAsia"/>
          <w:color w:val="auto"/>
          <w:kern w:val="0"/>
          <w:sz w:val="22"/>
          <w:szCs w:val="22"/>
          <w:highlight w:val="none"/>
          <w:lang w:val="en-US" w:eastAsia="zh-CN"/>
        </w:rPr>
        <w:t>投标</w:t>
      </w:r>
      <w:r>
        <w:rPr>
          <w:rFonts w:hint="eastAsia" w:asciiTheme="minorEastAsia" w:hAnsiTheme="minorEastAsia" w:eastAsiaTheme="minorEastAsia" w:cstheme="minorEastAsia"/>
          <w:color w:val="auto"/>
          <w:kern w:val="0"/>
          <w:sz w:val="22"/>
          <w:szCs w:val="22"/>
          <w:highlight w:val="none"/>
        </w:rPr>
        <w:t>报价、质量标准、合同履行期限等实质性内容。</w:t>
      </w:r>
    </w:p>
    <w:p w14:paraId="1C5B3781">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(2)不满足</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须知规定的实质性要求的</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内容。</w:t>
      </w:r>
    </w:p>
    <w:p w14:paraId="48C9E1B7">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5.3</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报价出现前后不一致的，除</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文件另有规定外，按照下列规定修正：</w:t>
      </w:r>
    </w:p>
    <w:p w14:paraId="6A309A95">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中开标一览表（报价表）内容与</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中相应内容不一致的，以开标一览表（报价表）为准；</w:t>
      </w:r>
    </w:p>
    <w:p w14:paraId="4E991EE3">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（2）大写金额和小写金额不一致的，以大写金额为准；</w:t>
      </w:r>
    </w:p>
    <w:p w14:paraId="52EDF6ED">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（3）单价金额小数点或者百分比有明显错位的，以开标一览表的总价为准，并修改单价；</w:t>
      </w:r>
    </w:p>
    <w:p w14:paraId="0C2A26A6">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（4）总价金额与按单价汇总金额不一致的，以单价金额计算结果为准。</w:t>
      </w:r>
    </w:p>
    <w:p w14:paraId="6047B045">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同时出现两种以上不一致的，按照前款规定的顺序修正。修正后的报价按照本章5.1款的规定经</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确认后产生约束力，▲</w:t>
      </w:r>
      <w:r>
        <w:rPr>
          <w:rFonts w:hint="eastAsia" w:asciiTheme="minorEastAsia" w:hAnsiTheme="minorEastAsia" w:eastAsiaTheme="minorEastAsia" w:cstheme="minorEastAsia"/>
          <w:b/>
          <w:color w:val="auto"/>
          <w:kern w:val="0"/>
          <w:sz w:val="22"/>
          <w:szCs w:val="22"/>
          <w:highlight w:val="none"/>
          <w:lang w:eastAsia="zh-CN"/>
        </w:rPr>
        <w:t>供应商</w:t>
      </w:r>
      <w:r>
        <w:rPr>
          <w:rFonts w:hint="eastAsia" w:asciiTheme="minorEastAsia" w:hAnsiTheme="minorEastAsia" w:eastAsiaTheme="minorEastAsia" w:cstheme="minorEastAsia"/>
          <w:b/>
          <w:color w:val="auto"/>
          <w:kern w:val="0"/>
          <w:sz w:val="22"/>
          <w:szCs w:val="22"/>
          <w:highlight w:val="none"/>
        </w:rPr>
        <w:t>不确认或拒绝修正的，其</w:t>
      </w:r>
      <w:r>
        <w:rPr>
          <w:rFonts w:hint="eastAsia" w:asciiTheme="minorEastAsia" w:hAnsiTheme="minorEastAsia" w:eastAsiaTheme="minorEastAsia" w:cstheme="minorEastAsia"/>
          <w:b/>
          <w:color w:val="auto"/>
          <w:kern w:val="0"/>
          <w:sz w:val="22"/>
          <w:szCs w:val="22"/>
          <w:highlight w:val="none"/>
          <w:lang w:eastAsia="zh-CN"/>
        </w:rPr>
        <w:t>磋商</w:t>
      </w:r>
      <w:r>
        <w:rPr>
          <w:rFonts w:hint="eastAsia" w:asciiTheme="minorEastAsia" w:hAnsiTheme="minorEastAsia" w:eastAsiaTheme="minorEastAsia" w:cstheme="minorEastAsia"/>
          <w:b/>
          <w:color w:val="auto"/>
          <w:kern w:val="0"/>
          <w:sz w:val="22"/>
          <w:szCs w:val="22"/>
          <w:highlight w:val="none"/>
        </w:rPr>
        <w:t>无效</w:t>
      </w:r>
      <w:r>
        <w:rPr>
          <w:rFonts w:hint="eastAsia" w:asciiTheme="minorEastAsia" w:hAnsiTheme="minorEastAsia" w:eastAsiaTheme="minorEastAsia" w:cstheme="minorEastAsia"/>
          <w:color w:val="auto"/>
          <w:kern w:val="0"/>
          <w:sz w:val="22"/>
          <w:szCs w:val="22"/>
          <w:highlight w:val="none"/>
        </w:rPr>
        <w:t>。</w:t>
      </w:r>
    </w:p>
    <w:p w14:paraId="7EABE6D2">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5.4</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按照评标委员会要求提供的有效书面澄清材料，是</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的补充材料，成为其</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的组成部分。</w:t>
      </w:r>
    </w:p>
    <w:p w14:paraId="21F8C17F">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5.5评标委员会认为</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的报价明显低于其他通过符合性审查</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的报价，有可能影响产品质量或者不能诚信履约的，应当要求其在评标现场合理的时间内提供书面说明，必要时提交相关证明材料；▲</w:t>
      </w:r>
      <w:r>
        <w:rPr>
          <w:rFonts w:hint="eastAsia" w:asciiTheme="minorEastAsia" w:hAnsiTheme="minorEastAsia" w:eastAsiaTheme="minorEastAsia" w:cstheme="minorEastAsia"/>
          <w:b/>
          <w:color w:val="auto"/>
          <w:kern w:val="0"/>
          <w:sz w:val="22"/>
          <w:szCs w:val="22"/>
          <w:highlight w:val="none"/>
          <w:lang w:eastAsia="zh-CN"/>
        </w:rPr>
        <w:t>供应商</w:t>
      </w:r>
      <w:r>
        <w:rPr>
          <w:rFonts w:hint="eastAsia" w:asciiTheme="minorEastAsia" w:hAnsiTheme="minorEastAsia" w:eastAsiaTheme="minorEastAsia" w:cstheme="minorEastAsia"/>
          <w:b/>
          <w:color w:val="auto"/>
          <w:kern w:val="0"/>
          <w:sz w:val="22"/>
          <w:szCs w:val="22"/>
          <w:highlight w:val="none"/>
        </w:rPr>
        <w:t>规定的时间内不能证明其报价合理性的，评标委员会应当将其作为无效</w:t>
      </w:r>
      <w:r>
        <w:rPr>
          <w:rFonts w:hint="eastAsia" w:asciiTheme="minorEastAsia" w:hAnsiTheme="minorEastAsia" w:eastAsiaTheme="minorEastAsia" w:cstheme="minorEastAsia"/>
          <w:b/>
          <w:color w:val="auto"/>
          <w:kern w:val="0"/>
          <w:sz w:val="22"/>
          <w:szCs w:val="22"/>
          <w:highlight w:val="none"/>
          <w:lang w:eastAsia="zh-CN"/>
        </w:rPr>
        <w:t>磋商</w:t>
      </w:r>
      <w:r>
        <w:rPr>
          <w:rFonts w:hint="eastAsia" w:asciiTheme="minorEastAsia" w:hAnsiTheme="minorEastAsia" w:eastAsiaTheme="minorEastAsia" w:cstheme="minorEastAsia"/>
          <w:b/>
          <w:color w:val="auto"/>
          <w:kern w:val="0"/>
          <w:sz w:val="22"/>
          <w:szCs w:val="22"/>
          <w:highlight w:val="none"/>
        </w:rPr>
        <w:t>处理</w:t>
      </w:r>
      <w:r>
        <w:rPr>
          <w:rFonts w:hint="eastAsia" w:asciiTheme="minorEastAsia" w:hAnsiTheme="minorEastAsia" w:eastAsiaTheme="minorEastAsia" w:cstheme="minorEastAsia"/>
          <w:color w:val="auto"/>
          <w:kern w:val="0"/>
          <w:sz w:val="22"/>
          <w:szCs w:val="22"/>
          <w:highlight w:val="none"/>
        </w:rPr>
        <w:t>。</w:t>
      </w:r>
    </w:p>
    <w:p w14:paraId="2AE01DA7">
      <w:pPr>
        <w:keepNext w:val="0"/>
        <w:keepLines w:val="0"/>
        <w:pageBreakBefore w:val="0"/>
        <w:widowControl w:val="0"/>
        <w:kinsoku/>
        <w:wordWrap/>
        <w:overflowPunct/>
        <w:topLinePunct w:val="0"/>
        <w:bidi w:val="0"/>
        <w:adjustRightInd w:val="0"/>
        <w:snapToGrid w:val="0"/>
        <w:spacing w:line="300" w:lineRule="exact"/>
        <w:textAlignment w:val="auto"/>
        <w:outlineLvl w:val="9"/>
        <w:rPr>
          <w:rFonts w:hint="eastAsia" w:asciiTheme="minorEastAsia" w:hAnsiTheme="minorEastAsia" w:eastAsiaTheme="minorEastAsia" w:cstheme="minorEastAsia"/>
          <w:b/>
          <w:color w:val="auto"/>
          <w:kern w:val="0"/>
          <w:sz w:val="22"/>
          <w:szCs w:val="22"/>
          <w:highlight w:val="none"/>
        </w:rPr>
      </w:pPr>
      <w:r>
        <w:rPr>
          <w:rFonts w:hint="eastAsia" w:asciiTheme="minorEastAsia" w:hAnsiTheme="minorEastAsia" w:eastAsiaTheme="minorEastAsia" w:cstheme="minorEastAsia"/>
          <w:b/>
          <w:color w:val="auto"/>
          <w:kern w:val="0"/>
          <w:sz w:val="22"/>
          <w:szCs w:val="22"/>
          <w:highlight w:val="none"/>
        </w:rPr>
        <w:t>6．详细评标</w:t>
      </w:r>
    </w:p>
    <w:p w14:paraId="5FCA6DC9">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6.1评标委员会应按照</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文件中规定的评标方法、标准和评标因素，对资格性检查和符合性检查合格的</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进行商务和技术评估，综合比较与评价。</w:t>
      </w:r>
    </w:p>
    <w:p w14:paraId="7647B6A7">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6.2评标时，评标委员会各成员应当独立对每个</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的</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进行评价、评分，然后汇总每个</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每项评分因素的得分。</w:t>
      </w:r>
    </w:p>
    <w:p w14:paraId="7ED6FE9F">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6.3</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在评标过程中，所进行的试图影响评标结果的不符合招标规则的活动，可能导致其被取消中标资格。</w:t>
      </w:r>
    </w:p>
    <w:p w14:paraId="7F5F388D">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rPr>
        <w:t>6.4评分标准：具体</w:t>
      </w:r>
      <w:r>
        <w:rPr>
          <w:rFonts w:hint="eastAsia" w:asciiTheme="minorEastAsia" w:hAnsiTheme="minorEastAsia" w:eastAsiaTheme="minorEastAsia" w:cstheme="minorEastAsia"/>
          <w:color w:val="auto"/>
          <w:kern w:val="0"/>
          <w:sz w:val="22"/>
          <w:szCs w:val="22"/>
          <w:highlight w:val="none"/>
          <w:lang w:val="en-US" w:eastAsia="zh-CN"/>
        </w:rPr>
        <w:t>见三、评标标准</w:t>
      </w:r>
    </w:p>
    <w:p w14:paraId="577AE3E5">
      <w:pPr>
        <w:keepNext w:val="0"/>
        <w:keepLines w:val="0"/>
        <w:pageBreakBefore w:val="0"/>
        <w:widowControl w:val="0"/>
        <w:kinsoku/>
        <w:wordWrap/>
        <w:overflowPunct/>
        <w:topLinePunct w:val="0"/>
        <w:bidi w:val="0"/>
        <w:adjustRightInd w:val="0"/>
        <w:snapToGrid w:val="0"/>
        <w:spacing w:line="300" w:lineRule="exact"/>
        <w:textAlignment w:val="auto"/>
        <w:outlineLvl w:val="9"/>
        <w:rPr>
          <w:rFonts w:hint="eastAsia" w:asciiTheme="minorEastAsia" w:hAnsiTheme="minorEastAsia" w:eastAsiaTheme="minorEastAsia" w:cstheme="minorEastAsia"/>
          <w:b/>
          <w:color w:val="auto"/>
          <w:kern w:val="0"/>
          <w:sz w:val="22"/>
          <w:szCs w:val="22"/>
          <w:highlight w:val="none"/>
        </w:rPr>
      </w:pPr>
      <w:r>
        <w:rPr>
          <w:rFonts w:hint="eastAsia" w:asciiTheme="minorEastAsia" w:hAnsiTheme="minorEastAsia" w:eastAsiaTheme="minorEastAsia" w:cstheme="minorEastAsia"/>
          <w:b/>
          <w:color w:val="auto"/>
          <w:kern w:val="0"/>
          <w:sz w:val="22"/>
          <w:szCs w:val="22"/>
          <w:highlight w:val="none"/>
        </w:rPr>
        <w:t>7．推荐中标候选人名单</w:t>
      </w:r>
    </w:p>
    <w:p w14:paraId="0C9401A2">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7.1评标结果按评标后得分由高到低顺序排列。得分相同的，按</w:t>
      </w:r>
      <w:r>
        <w:rPr>
          <w:rFonts w:hint="eastAsia" w:asciiTheme="minorEastAsia" w:hAnsiTheme="minorEastAsia" w:eastAsiaTheme="minorEastAsia" w:cstheme="minorEastAsia"/>
          <w:color w:val="auto"/>
          <w:kern w:val="0"/>
          <w:sz w:val="22"/>
          <w:szCs w:val="22"/>
          <w:highlight w:val="none"/>
          <w:lang w:val="en-US" w:eastAsia="zh-CN"/>
        </w:rPr>
        <w:t>投标</w:t>
      </w:r>
      <w:r>
        <w:rPr>
          <w:rFonts w:hint="eastAsia" w:asciiTheme="minorEastAsia" w:hAnsiTheme="minorEastAsia" w:eastAsiaTheme="minorEastAsia" w:cstheme="minorEastAsia"/>
          <w:color w:val="auto"/>
          <w:kern w:val="0"/>
          <w:sz w:val="22"/>
          <w:szCs w:val="22"/>
          <w:highlight w:val="none"/>
        </w:rPr>
        <w:t>报价由低到高顺序排列。得分且</w:t>
      </w:r>
      <w:r>
        <w:rPr>
          <w:rFonts w:hint="eastAsia" w:asciiTheme="minorEastAsia" w:hAnsiTheme="minorEastAsia" w:eastAsiaTheme="minorEastAsia" w:cstheme="minorEastAsia"/>
          <w:color w:val="auto"/>
          <w:kern w:val="0"/>
          <w:sz w:val="22"/>
          <w:szCs w:val="22"/>
          <w:highlight w:val="none"/>
          <w:lang w:val="en-US" w:eastAsia="zh-CN"/>
        </w:rPr>
        <w:t>投标</w:t>
      </w:r>
      <w:r>
        <w:rPr>
          <w:rFonts w:hint="eastAsia" w:asciiTheme="minorEastAsia" w:hAnsiTheme="minorEastAsia" w:eastAsiaTheme="minorEastAsia" w:cstheme="minorEastAsia"/>
          <w:color w:val="auto"/>
          <w:kern w:val="0"/>
          <w:sz w:val="22"/>
          <w:szCs w:val="22"/>
          <w:highlight w:val="none"/>
        </w:rPr>
        <w:t>报价相同的并列。</w:t>
      </w:r>
      <w:r>
        <w:rPr>
          <w:rFonts w:hint="eastAsia" w:asciiTheme="minorEastAsia" w:hAnsiTheme="minorEastAsia" w:eastAsiaTheme="minorEastAsia" w:cstheme="minorEastAsia"/>
          <w:color w:val="auto"/>
          <w:kern w:val="0"/>
          <w:sz w:val="22"/>
          <w:szCs w:val="22"/>
          <w:highlight w:val="none"/>
          <w:lang w:eastAsia="zh-CN"/>
        </w:rPr>
        <w:t>响应文件</w:t>
      </w:r>
      <w:r>
        <w:rPr>
          <w:rFonts w:hint="eastAsia" w:asciiTheme="minorEastAsia" w:hAnsiTheme="minorEastAsia" w:eastAsiaTheme="minorEastAsia" w:cstheme="minorEastAsia"/>
          <w:color w:val="auto"/>
          <w:kern w:val="0"/>
          <w:sz w:val="22"/>
          <w:szCs w:val="22"/>
          <w:highlight w:val="none"/>
        </w:rPr>
        <w:t>满足</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文件全部实质性要求，且按照评标因素的量化指标评标得分最高的</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为排名第一的中标候选人。</w:t>
      </w:r>
    </w:p>
    <w:p w14:paraId="51014C55">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7.2评标结果汇总完成后，除下列情形外，任何人不得修改评标结果：</w:t>
      </w:r>
    </w:p>
    <w:p w14:paraId="5DCCDFBF">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(1)分值汇总计算错误的；</w:t>
      </w:r>
    </w:p>
    <w:p w14:paraId="526D1B5D">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(2)分项评分超出评分标准范围的；</w:t>
      </w:r>
    </w:p>
    <w:p w14:paraId="41FBB24A">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(3)评标委员会成员对客观评标因素评分不一致的；</w:t>
      </w:r>
    </w:p>
    <w:p w14:paraId="21266F99">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(4)经评标委员会认定评分畸高、畸低的。</w:t>
      </w:r>
    </w:p>
    <w:p w14:paraId="14400E49">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标，重新评标改变评标结果的，书面报告本级财政部门。</w:t>
      </w:r>
    </w:p>
    <w:p w14:paraId="5025217E">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对上述(1)～(4)提出质疑的，采购人或者采购代理机构可以组织原评标委员会进行重新评标，重新评标改变评标结果的，应当书面报告本级财政部门。</w:t>
      </w:r>
    </w:p>
    <w:p w14:paraId="380DD454">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7.3评标委员会根据全体评标成员签字的原始评标记录和评标结果编写评标报告。评标报告应当包括以下内容：</w:t>
      </w:r>
    </w:p>
    <w:p w14:paraId="6A829BD4">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公告刊登的媒体名称、开标日期和地点；</w:t>
      </w:r>
    </w:p>
    <w:p w14:paraId="72379DDC">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名单和评标委员会成员名单；</w:t>
      </w:r>
    </w:p>
    <w:p w14:paraId="64E04429">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（3）评标方法和标准；</w:t>
      </w:r>
    </w:p>
    <w:p w14:paraId="35EB4AF5">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（4）开标记录和评标情况及说明，包括无效</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名单及原因；</w:t>
      </w:r>
    </w:p>
    <w:p w14:paraId="223BA25D">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（5）评标结果，确定的中标候选人名单或者经采购人委托直接确定的中标人；</w:t>
      </w:r>
    </w:p>
    <w:p w14:paraId="718202BB">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（6）其他需要说明的情况，包括评标过程中</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根据评标委员会要求进行的澄清、说明或者补正，评标委员会成员的更换等。</w:t>
      </w:r>
    </w:p>
    <w:p w14:paraId="0C56A29B">
      <w:pPr>
        <w:pStyle w:val="24"/>
        <w:keepNext w:val="0"/>
        <w:keepLines w:val="0"/>
        <w:pageBreakBefore w:val="0"/>
        <w:widowControl w:val="0"/>
        <w:kinsoku/>
        <w:wordWrap/>
        <w:overflowPunct/>
        <w:topLinePunct w:val="0"/>
        <w:bidi w:val="0"/>
        <w:spacing w:line="300" w:lineRule="exact"/>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val="en-US" w:eastAsia="zh-CN" w:bidi="ar-S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asciiTheme="minorEastAsia" w:hAnsiTheme="minorEastAsia" w:eastAsiaTheme="minorEastAsia" w:cstheme="minorEastAsia"/>
          <w:color w:val="auto"/>
          <w:sz w:val="22"/>
          <w:szCs w:val="22"/>
          <w:highlight w:val="none"/>
        </w:rPr>
        <w:t>。</w:t>
      </w:r>
    </w:p>
    <w:p w14:paraId="63C33F5A">
      <w:pPr>
        <w:keepNext w:val="0"/>
        <w:keepLines w:val="0"/>
        <w:pageBreakBefore w:val="0"/>
        <w:widowControl w:val="0"/>
        <w:kinsoku/>
        <w:wordWrap/>
        <w:overflowPunct/>
        <w:topLinePunct w:val="0"/>
        <w:bidi w:val="0"/>
        <w:adjustRightInd w:val="0"/>
        <w:snapToGrid w:val="0"/>
        <w:spacing w:line="300" w:lineRule="exact"/>
        <w:ind w:firstLine="440" w:firstLineChars="200"/>
        <w:textAlignment w:val="auto"/>
        <w:outlineLvl w:val="9"/>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7.4本次招标采购推荐的中标候选人数量见</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须知</w:t>
      </w:r>
      <w:r>
        <w:rPr>
          <w:rFonts w:hint="eastAsia" w:asciiTheme="minorEastAsia" w:hAnsiTheme="minorEastAsia" w:eastAsiaTheme="minorEastAsia" w:cstheme="minorEastAsia"/>
          <w:color w:val="auto"/>
          <w:kern w:val="0"/>
          <w:sz w:val="22"/>
          <w:szCs w:val="22"/>
          <w:highlight w:val="none"/>
          <w:lang w:eastAsia="zh-CN"/>
        </w:rPr>
        <w:t>资料表</w:t>
      </w:r>
      <w:r>
        <w:rPr>
          <w:rFonts w:hint="eastAsia" w:asciiTheme="minorEastAsia" w:hAnsiTheme="minorEastAsia" w:eastAsiaTheme="minorEastAsia" w:cstheme="minorEastAsia"/>
          <w:color w:val="auto"/>
          <w:kern w:val="0"/>
          <w:sz w:val="22"/>
          <w:szCs w:val="22"/>
          <w:highlight w:val="none"/>
        </w:rPr>
        <w:t>。</w:t>
      </w:r>
    </w:p>
    <w:p w14:paraId="326F904C">
      <w:pPr>
        <w:numPr>
          <w:ilvl w:val="0"/>
          <w:numId w:val="0"/>
        </w:numPr>
        <w:bidi w:val="0"/>
        <w:ind w:right="124" w:rightChars="0"/>
        <w:jc w:val="center"/>
        <w:outlineLvl w:val="9"/>
        <w:rPr>
          <w:rFonts w:hint="eastAsia" w:asciiTheme="minorEastAsia" w:hAnsiTheme="minorEastAsia" w:eastAsiaTheme="minorEastAsia" w:cstheme="minorEastAsia"/>
          <w:color w:val="auto"/>
          <w:sz w:val="32"/>
          <w:szCs w:val="32"/>
          <w:highlight w:val="none"/>
        </w:rPr>
      </w:pPr>
      <w:bookmarkStart w:id="374" w:name="_Toc873"/>
      <w:bookmarkStart w:id="375" w:name="_Toc23001"/>
      <w:bookmarkStart w:id="376" w:name="_Toc4342"/>
      <w:bookmarkStart w:id="377" w:name="_Toc2177"/>
      <w:bookmarkStart w:id="378" w:name="_Toc19871"/>
      <w:bookmarkStart w:id="379" w:name="_Toc27513"/>
      <w:r>
        <w:rPr>
          <w:rFonts w:hint="eastAsia" w:asciiTheme="minorEastAsia" w:hAnsiTheme="minorEastAsia" w:eastAsiaTheme="minorEastAsia" w:cstheme="minorEastAsia"/>
          <w:color w:val="auto"/>
          <w:sz w:val="32"/>
          <w:szCs w:val="32"/>
          <w:highlight w:val="none"/>
          <w:lang w:val="en-US" w:eastAsia="zh-CN"/>
        </w:rPr>
        <w:br w:type="page"/>
      </w:r>
      <w:bookmarkStart w:id="380" w:name="_Toc18487"/>
      <w:r>
        <w:rPr>
          <w:rFonts w:hint="eastAsia" w:asciiTheme="minorEastAsia" w:hAnsiTheme="minorEastAsia" w:eastAsiaTheme="minorEastAsia" w:cstheme="minorEastAsia"/>
          <w:color w:val="auto"/>
          <w:sz w:val="32"/>
          <w:szCs w:val="32"/>
          <w:highlight w:val="none"/>
          <w:lang w:val="en-US" w:eastAsia="zh-CN"/>
        </w:rPr>
        <w:t>二、</w:t>
      </w:r>
      <w:r>
        <w:rPr>
          <w:rFonts w:hint="eastAsia" w:asciiTheme="minorEastAsia" w:hAnsiTheme="minorEastAsia" w:eastAsiaTheme="minorEastAsia" w:cstheme="minorEastAsia"/>
          <w:color w:val="auto"/>
          <w:sz w:val="32"/>
          <w:szCs w:val="32"/>
          <w:highlight w:val="none"/>
        </w:rPr>
        <w:t>评标中的落实政府采购政策具体办法</w:t>
      </w:r>
      <w:bookmarkEnd w:id="374"/>
      <w:bookmarkEnd w:id="375"/>
      <w:bookmarkEnd w:id="376"/>
      <w:bookmarkEnd w:id="377"/>
      <w:bookmarkEnd w:id="378"/>
      <w:bookmarkEnd w:id="379"/>
      <w:bookmarkEnd w:id="380"/>
    </w:p>
    <w:p w14:paraId="5767764B">
      <w:pPr>
        <w:numPr>
          <w:ilvl w:val="0"/>
          <w:numId w:val="0"/>
        </w:numPr>
        <w:ind w:right="0" w:rightChars="0"/>
        <w:outlineLvl w:val="9"/>
        <w:rPr>
          <w:rFonts w:hint="eastAsia" w:asciiTheme="minorEastAsia" w:hAnsiTheme="minorEastAsia" w:eastAsiaTheme="minorEastAsia" w:cstheme="minorEastAsia"/>
          <w:color w:val="auto"/>
          <w:highlight w:val="none"/>
        </w:rPr>
      </w:pPr>
    </w:p>
    <w:p w14:paraId="0E913C23">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asciiTheme="minorEastAsia" w:hAnsiTheme="minorEastAsia" w:eastAsiaTheme="minorEastAsia" w:cstheme="minorEastAsia"/>
          <w:b w:val="0"/>
          <w:bCs w:val="0"/>
          <w:i w:val="0"/>
          <w:iCs w:val="0"/>
          <w:color w:val="auto"/>
          <w:sz w:val="24"/>
          <w:highlight w:val="none"/>
          <w:lang w:val="en-US" w:eastAsia="zh-CN"/>
        </w:rPr>
      </w:pPr>
      <w:bookmarkStart w:id="381" w:name="_bookmark68"/>
      <w:bookmarkEnd w:id="381"/>
      <w:bookmarkStart w:id="382" w:name="_bookmark70"/>
      <w:bookmarkEnd w:id="382"/>
      <w:bookmarkStart w:id="383" w:name="_Toc1051"/>
      <w:bookmarkStart w:id="384" w:name="_Toc3095"/>
      <w:r>
        <w:rPr>
          <w:rFonts w:hint="eastAsia" w:asciiTheme="minorEastAsia" w:hAnsiTheme="minorEastAsia" w:eastAsiaTheme="minorEastAsia" w:cstheme="minorEastAsia"/>
          <w:b w:val="0"/>
          <w:bCs w:val="0"/>
          <w:i w:val="0"/>
          <w:iCs w:val="0"/>
          <w:color w:val="auto"/>
          <w:sz w:val="24"/>
          <w:highlight w:val="none"/>
        </w:rPr>
        <w:t>1.根据《</w:t>
      </w:r>
      <w:r>
        <w:rPr>
          <w:rFonts w:hint="eastAsia" w:asciiTheme="minorEastAsia" w:hAnsiTheme="minorEastAsia" w:eastAsiaTheme="minorEastAsia" w:cstheme="minorEastAsia"/>
          <w:b w:val="0"/>
          <w:bCs w:val="0"/>
          <w:i w:val="0"/>
          <w:iCs w:val="0"/>
          <w:color w:val="auto"/>
          <w:sz w:val="24"/>
          <w:highlight w:val="none"/>
          <w:lang w:eastAsia="zh-CN"/>
        </w:rPr>
        <w:t>政府采购促进中小企业发展管理办法</w:t>
      </w:r>
      <w:r>
        <w:rPr>
          <w:rFonts w:hint="eastAsia" w:asciiTheme="minorEastAsia" w:hAnsiTheme="minorEastAsia" w:eastAsiaTheme="minorEastAsia" w:cstheme="minorEastAsia"/>
          <w:b w:val="0"/>
          <w:bCs w:val="0"/>
          <w:i w:val="0"/>
          <w:iCs w:val="0"/>
          <w:color w:val="auto"/>
          <w:sz w:val="24"/>
          <w:highlight w:val="none"/>
        </w:rPr>
        <w:t>》（财库[20</w:t>
      </w:r>
      <w:r>
        <w:rPr>
          <w:rFonts w:hint="eastAsia" w:asciiTheme="minorEastAsia" w:hAnsiTheme="minorEastAsia" w:eastAsiaTheme="minorEastAsia" w:cstheme="minorEastAsia"/>
          <w:b w:val="0"/>
          <w:bCs w:val="0"/>
          <w:i w:val="0"/>
          <w:iCs w:val="0"/>
          <w:color w:val="auto"/>
          <w:sz w:val="24"/>
          <w:highlight w:val="none"/>
          <w:lang w:val="en-US" w:eastAsia="zh-CN"/>
        </w:rPr>
        <w:t>20</w:t>
      </w:r>
      <w:r>
        <w:rPr>
          <w:rFonts w:hint="eastAsia" w:asciiTheme="minorEastAsia" w:hAnsiTheme="minorEastAsia" w:eastAsiaTheme="minorEastAsia" w:cstheme="minorEastAsia"/>
          <w:b w:val="0"/>
          <w:bCs w:val="0"/>
          <w:i w:val="0"/>
          <w:iCs w:val="0"/>
          <w:color w:val="auto"/>
          <w:sz w:val="24"/>
          <w:highlight w:val="none"/>
        </w:rPr>
        <w:t>]</w:t>
      </w:r>
      <w:r>
        <w:rPr>
          <w:rFonts w:hint="eastAsia" w:asciiTheme="minorEastAsia" w:hAnsiTheme="minorEastAsia" w:eastAsiaTheme="minorEastAsia" w:cstheme="minorEastAsia"/>
          <w:b w:val="0"/>
          <w:bCs w:val="0"/>
          <w:i w:val="0"/>
          <w:iCs w:val="0"/>
          <w:color w:val="auto"/>
          <w:sz w:val="24"/>
          <w:highlight w:val="none"/>
          <w:lang w:val="en-US" w:eastAsia="zh-CN"/>
        </w:rPr>
        <w:t>46</w:t>
      </w:r>
      <w:r>
        <w:rPr>
          <w:rFonts w:hint="eastAsia" w:asciiTheme="minorEastAsia" w:hAnsiTheme="minorEastAsia" w:eastAsiaTheme="minorEastAsia" w:cstheme="minorEastAsia"/>
          <w:b w:val="0"/>
          <w:bCs w:val="0"/>
          <w:i w:val="0"/>
          <w:iCs w:val="0"/>
          <w:color w:val="auto"/>
          <w:sz w:val="24"/>
          <w:highlight w:val="none"/>
        </w:rPr>
        <w:t>号）、《财政部司法部关于政府采购支持监狱企业发展有关问题的通知》（财库〔2014〕68号）和《三部门联合发布关于促进残疾人就业政府采购政策的通知》（财库〔2017〕141号）的规定，对满足价格扣除条件且在</w:t>
      </w:r>
      <w:r>
        <w:rPr>
          <w:rFonts w:hint="eastAsia" w:asciiTheme="minorEastAsia" w:hAnsiTheme="minorEastAsia" w:eastAsiaTheme="minorEastAsia" w:cstheme="minorEastAsia"/>
          <w:b w:val="0"/>
          <w:bCs w:val="0"/>
          <w:i w:val="0"/>
          <w:iCs w:val="0"/>
          <w:color w:val="auto"/>
          <w:sz w:val="24"/>
          <w:highlight w:val="none"/>
          <w:lang w:eastAsia="zh-CN"/>
        </w:rPr>
        <w:t>响应文件</w:t>
      </w:r>
      <w:r>
        <w:rPr>
          <w:rFonts w:hint="eastAsia" w:asciiTheme="minorEastAsia" w:hAnsiTheme="minorEastAsia" w:eastAsiaTheme="minorEastAsia" w:cstheme="minorEastAsia"/>
          <w:b w:val="0"/>
          <w:bCs w:val="0"/>
          <w:i w:val="0"/>
          <w:iCs w:val="0"/>
          <w:color w:val="auto"/>
          <w:sz w:val="24"/>
          <w:highlight w:val="none"/>
        </w:rPr>
        <w:t>中提交了《</w:t>
      </w:r>
      <w:r>
        <w:rPr>
          <w:rFonts w:hint="eastAsia" w:asciiTheme="minorEastAsia" w:hAnsiTheme="minorEastAsia" w:eastAsiaTheme="minorEastAsia" w:cstheme="minorEastAsia"/>
          <w:b w:val="0"/>
          <w:bCs w:val="0"/>
          <w:i w:val="0"/>
          <w:iCs w:val="0"/>
          <w:color w:val="auto"/>
          <w:sz w:val="24"/>
          <w:highlight w:val="none"/>
          <w:lang w:eastAsia="zh-CN"/>
        </w:rPr>
        <w:t>供应商</w:t>
      </w:r>
      <w:r>
        <w:rPr>
          <w:rFonts w:hint="eastAsia" w:asciiTheme="minorEastAsia" w:hAnsiTheme="minorEastAsia" w:eastAsiaTheme="minorEastAsia" w:cstheme="minorEastAsia"/>
          <w:b w:val="0"/>
          <w:bCs w:val="0"/>
          <w:i w:val="0"/>
          <w:iCs w:val="0"/>
          <w:color w:val="auto"/>
          <w:sz w:val="24"/>
          <w:highlight w:val="none"/>
        </w:rPr>
        <w:t>企业类型声明函》、《残疾人福利性单位声明函》或省级以上监狱管理局、戒毒管理局（含新疆生产建设兵团）出具的属于监狱企业的</w:t>
      </w:r>
      <w:r>
        <w:rPr>
          <w:rFonts w:hint="eastAsia" w:asciiTheme="minorEastAsia" w:hAnsiTheme="minorEastAsia" w:eastAsiaTheme="minorEastAsia" w:cstheme="minorEastAsia"/>
          <w:b w:val="0"/>
          <w:bCs w:val="0"/>
          <w:i w:val="0"/>
          <w:iCs w:val="0"/>
          <w:color w:val="auto"/>
          <w:sz w:val="24"/>
          <w:szCs w:val="24"/>
          <w:highlight w:val="none"/>
          <w:lang w:eastAsia="zh-CN"/>
        </w:rPr>
        <w:t>供应商</w:t>
      </w:r>
      <w:r>
        <w:rPr>
          <w:rFonts w:hint="eastAsia" w:asciiTheme="minorEastAsia" w:hAnsiTheme="minorEastAsia" w:eastAsiaTheme="minorEastAsia" w:cstheme="minorEastAsia"/>
          <w:b w:val="0"/>
          <w:bCs w:val="0"/>
          <w:i w:val="0"/>
          <w:iCs w:val="0"/>
          <w:color w:val="auto"/>
          <w:sz w:val="24"/>
          <w:szCs w:val="24"/>
          <w:highlight w:val="none"/>
        </w:rPr>
        <w:t>，其</w:t>
      </w:r>
      <w:r>
        <w:rPr>
          <w:rFonts w:hint="eastAsia" w:asciiTheme="minorEastAsia" w:hAnsiTheme="minorEastAsia" w:eastAsiaTheme="minorEastAsia" w:cstheme="minorEastAsia"/>
          <w:color w:val="auto"/>
          <w:kern w:val="0"/>
          <w:sz w:val="24"/>
          <w:szCs w:val="24"/>
          <w:highlight w:val="none"/>
          <w:lang w:val="en-US" w:eastAsia="zh-CN"/>
        </w:rPr>
        <w:t>投标</w:t>
      </w:r>
      <w:r>
        <w:rPr>
          <w:rFonts w:hint="eastAsia" w:asciiTheme="minorEastAsia" w:hAnsiTheme="minorEastAsia" w:eastAsiaTheme="minorEastAsia" w:cstheme="minorEastAsia"/>
          <w:b w:val="0"/>
          <w:bCs w:val="0"/>
          <w:i w:val="0"/>
          <w:iCs w:val="0"/>
          <w:color w:val="auto"/>
          <w:sz w:val="24"/>
          <w:szCs w:val="24"/>
          <w:highlight w:val="none"/>
        </w:rPr>
        <w:t>报价扣</w:t>
      </w:r>
      <w:r>
        <w:rPr>
          <w:rFonts w:hint="eastAsia" w:asciiTheme="minorEastAsia" w:hAnsiTheme="minorEastAsia" w:eastAsiaTheme="minorEastAsia" w:cstheme="minorEastAsia"/>
          <w:b w:val="0"/>
          <w:bCs w:val="0"/>
          <w:i w:val="0"/>
          <w:iCs w:val="0"/>
          <w:color w:val="auto"/>
          <w:sz w:val="24"/>
          <w:highlight w:val="none"/>
        </w:rPr>
        <w:t>除</w:t>
      </w:r>
      <w:r>
        <w:rPr>
          <w:rFonts w:hint="eastAsia" w:asciiTheme="minorEastAsia" w:hAnsiTheme="minorEastAsia" w:eastAsiaTheme="minorEastAsia" w:cstheme="minorEastAsia"/>
          <w:b w:val="0"/>
          <w:bCs w:val="0"/>
          <w:i w:val="0"/>
          <w:iCs w:val="0"/>
          <w:color w:val="auto"/>
          <w:sz w:val="24"/>
          <w:highlight w:val="none"/>
          <w:u w:val="single"/>
        </w:rPr>
        <w:t xml:space="preserve"> </w:t>
      </w:r>
      <w:r>
        <w:rPr>
          <w:rFonts w:hint="eastAsia" w:asciiTheme="minorEastAsia" w:hAnsiTheme="minorEastAsia" w:eastAsiaTheme="minorEastAsia" w:cstheme="minorEastAsia"/>
          <w:b w:val="0"/>
          <w:bCs w:val="0"/>
          <w:i w:val="0"/>
          <w:iCs w:val="0"/>
          <w:color w:val="auto"/>
          <w:sz w:val="24"/>
          <w:highlight w:val="none"/>
          <w:u w:val="single"/>
          <w:lang w:val="en-US" w:eastAsia="zh-CN"/>
        </w:rPr>
        <w:t>10</w:t>
      </w:r>
      <w:r>
        <w:rPr>
          <w:rFonts w:hint="eastAsia" w:asciiTheme="minorEastAsia" w:hAnsiTheme="minorEastAsia" w:eastAsiaTheme="minorEastAsia" w:cstheme="minorEastAsia"/>
          <w:b w:val="0"/>
          <w:bCs w:val="0"/>
          <w:i w:val="0"/>
          <w:iCs w:val="0"/>
          <w:color w:val="auto"/>
          <w:sz w:val="24"/>
          <w:highlight w:val="none"/>
          <w:u w:val="single"/>
        </w:rPr>
        <w:t xml:space="preserve"> </w:t>
      </w:r>
      <w:r>
        <w:rPr>
          <w:rFonts w:hint="eastAsia" w:asciiTheme="minorEastAsia" w:hAnsiTheme="minorEastAsia" w:eastAsiaTheme="minorEastAsia" w:cstheme="minorEastAsia"/>
          <w:b w:val="0"/>
          <w:bCs w:val="0"/>
          <w:i w:val="0"/>
          <w:iCs w:val="0"/>
          <w:color w:val="auto"/>
          <w:sz w:val="24"/>
          <w:highlight w:val="none"/>
        </w:rPr>
        <w:t>%后参与评审。对于同时属于小微企业、监狱企业残疾人福利性单位的，不重复进行</w:t>
      </w:r>
      <w:r>
        <w:rPr>
          <w:rFonts w:hint="eastAsia" w:asciiTheme="minorEastAsia" w:hAnsiTheme="minorEastAsia" w:eastAsiaTheme="minorEastAsia" w:cstheme="minorEastAsia"/>
          <w:color w:val="auto"/>
          <w:kern w:val="0"/>
          <w:sz w:val="22"/>
          <w:szCs w:val="22"/>
          <w:highlight w:val="none"/>
          <w:lang w:val="en-US" w:eastAsia="zh-CN"/>
        </w:rPr>
        <w:t>投标</w:t>
      </w:r>
      <w:r>
        <w:rPr>
          <w:rFonts w:hint="eastAsia" w:asciiTheme="minorEastAsia" w:hAnsiTheme="minorEastAsia" w:eastAsiaTheme="minorEastAsia" w:cstheme="minorEastAsia"/>
          <w:b w:val="0"/>
          <w:bCs w:val="0"/>
          <w:i w:val="0"/>
          <w:iCs w:val="0"/>
          <w:color w:val="auto"/>
          <w:sz w:val="24"/>
          <w:highlight w:val="none"/>
        </w:rPr>
        <w:t>报价扣除。</w:t>
      </w:r>
    </w:p>
    <w:p w14:paraId="0423EC54">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2.联合协议中约定，小型、微型企业和监狱企业的协议合同金额占到联合体协议合同总金额</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0%以上的，可给予联合体</w:t>
      </w:r>
      <w:r>
        <w:rPr>
          <w:rFonts w:hint="eastAsia" w:asciiTheme="minorEastAsia" w:hAnsiTheme="minorEastAsia" w:eastAsiaTheme="minorEastAsia" w:cstheme="minorEastAsia"/>
          <w:color w:val="auto"/>
          <w:sz w:val="24"/>
          <w:highlight w:val="none"/>
          <w:u w:val="single"/>
        </w:rPr>
        <w:t xml:space="preserve">  /  </w:t>
      </w:r>
      <w:r>
        <w:rPr>
          <w:rFonts w:hint="eastAsia" w:asciiTheme="minorEastAsia" w:hAnsiTheme="minorEastAsia" w:eastAsiaTheme="minorEastAsia" w:cstheme="minorEastAsia"/>
          <w:color w:val="auto"/>
          <w:sz w:val="24"/>
          <w:highlight w:val="none"/>
        </w:rPr>
        <w:t>%的价格扣除。</w:t>
      </w:r>
    </w:p>
    <w:p w14:paraId="6770E445">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联合体各方均为小型、微型企业和监狱企业的，联合体视同为小型、微型企业和监狱企业。</w:t>
      </w:r>
    </w:p>
    <w:p w14:paraId="40448FE4">
      <w:pPr>
        <w:pStyle w:val="10"/>
        <w:keepNext w:val="0"/>
        <w:keepLines w:val="0"/>
        <w:pageBreakBefore w:val="0"/>
        <w:tabs>
          <w:tab w:val="clear" w:pos="567"/>
        </w:tabs>
        <w:kinsoku/>
        <w:wordWrap/>
        <w:overflowPunct/>
        <w:topLinePunct w:val="0"/>
        <w:autoSpaceDE/>
        <w:autoSpaceDN/>
        <w:bidi w:val="0"/>
        <w:adjustRightInd/>
        <w:snapToGrid/>
        <w:spacing w:before="0" w:line="400" w:lineRule="exact"/>
        <w:ind w:left="0" w:leftChars="0" w:firstLine="480" w:firstLineChars="200"/>
        <w:textAlignment w:val="auto"/>
        <w:outlineLvl w:val="9"/>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所投产品如被列入财政部与国家主管部门颁发的节能产品目录或环境标志产品目录或无线局域网产品目录，应提供相关证明，在评标时予以优先采购，具体优惠措施为</w:t>
      </w:r>
      <w:r>
        <w:rPr>
          <w:rFonts w:hint="eastAsia" w:asciiTheme="minorEastAsia" w:hAnsiTheme="minorEastAsia" w:eastAsiaTheme="minorEastAsia" w:cstheme="minorEastAsia"/>
          <w:color w:val="auto"/>
          <w:highlight w:val="none"/>
          <w:u w:val="single"/>
        </w:rPr>
        <w:t xml:space="preserve">：   无        </w:t>
      </w:r>
    </w:p>
    <w:p w14:paraId="4CA0DBC4">
      <w:pPr>
        <w:pStyle w:val="10"/>
        <w:keepNext w:val="0"/>
        <w:keepLines w:val="0"/>
        <w:pageBreakBefore w:val="0"/>
        <w:tabs>
          <w:tab w:val="clear" w:pos="567"/>
        </w:tabs>
        <w:kinsoku/>
        <w:wordWrap/>
        <w:overflowPunct/>
        <w:topLinePunct w:val="0"/>
        <w:autoSpaceDE/>
        <w:autoSpaceDN/>
        <w:bidi w:val="0"/>
        <w:adjustRightInd/>
        <w:snapToGrid/>
        <w:spacing w:before="0" w:line="400" w:lineRule="exact"/>
        <w:ind w:left="0" w:leftChars="0" w:firstLine="480" w:firstLineChars="200"/>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4.如采购人所采购产品为政府强制采购的节能产品，</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所投产品的品牌及型号必须为清单中有效期内产品并提供证明文件，否则其</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将被认定为</w:t>
      </w:r>
      <w:r>
        <w:rPr>
          <w:rFonts w:hint="eastAsia" w:asciiTheme="minorEastAsia" w:hAnsiTheme="minorEastAsia" w:eastAsiaTheme="minorEastAsia" w:cstheme="minorEastAsia"/>
          <w:b/>
          <w:bCs/>
          <w:color w:val="auto"/>
          <w:highlight w:val="none"/>
          <w:lang w:eastAsia="zh-CN"/>
        </w:rPr>
        <w:t>磋商</w:t>
      </w:r>
      <w:r>
        <w:rPr>
          <w:rFonts w:hint="eastAsia" w:asciiTheme="minorEastAsia" w:hAnsiTheme="minorEastAsia" w:eastAsiaTheme="minorEastAsia" w:cstheme="minorEastAsia"/>
          <w:b/>
          <w:bCs/>
          <w:color w:val="auto"/>
          <w:highlight w:val="none"/>
        </w:rPr>
        <w:t>无效</w:t>
      </w:r>
      <w:r>
        <w:rPr>
          <w:rFonts w:hint="eastAsia" w:asciiTheme="minorEastAsia" w:hAnsiTheme="minorEastAsia" w:eastAsiaTheme="minorEastAsia" w:cstheme="minorEastAsia"/>
          <w:color w:val="auto"/>
          <w:highlight w:val="none"/>
        </w:rPr>
        <w:t>。</w:t>
      </w:r>
    </w:p>
    <w:p w14:paraId="3D264C25">
      <w:pPr>
        <w:pStyle w:val="10"/>
        <w:keepNext w:val="0"/>
        <w:keepLines w:val="0"/>
        <w:pageBreakBefore w:val="0"/>
        <w:tabs>
          <w:tab w:val="clear" w:pos="567"/>
        </w:tabs>
        <w:kinsoku/>
        <w:wordWrap/>
        <w:overflowPunct/>
        <w:topLinePunct w:val="0"/>
        <w:autoSpaceDE/>
        <w:autoSpaceDN/>
        <w:bidi w:val="0"/>
        <w:adjustRightInd/>
        <w:snapToGrid/>
        <w:spacing w:before="0" w:line="400" w:lineRule="exact"/>
        <w:ind w:left="0" w:leftChars="0" w:firstLine="480" w:firstLineChars="200"/>
        <w:textAlignment w:val="auto"/>
        <w:outlineLvl w:val="9"/>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5.对创新产品或创新性企业的优惠措施为</w:t>
      </w:r>
      <w:r>
        <w:rPr>
          <w:rFonts w:hint="eastAsia" w:asciiTheme="minorEastAsia" w:hAnsiTheme="minorEastAsia" w:eastAsiaTheme="minorEastAsia" w:cstheme="minorEastAsia"/>
          <w:color w:val="auto"/>
          <w:highlight w:val="none"/>
          <w:u w:val="single"/>
        </w:rPr>
        <w:t xml:space="preserve">：          无             </w:t>
      </w:r>
    </w:p>
    <w:p w14:paraId="2ADEB38A">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Theme="minorEastAsia" w:hAnsiTheme="minorEastAsia" w:eastAsiaTheme="minorEastAsia" w:cstheme="minorEastAsia"/>
          <w:color w:val="auto"/>
          <w:sz w:val="24"/>
          <w:highlight w:val="none"/>
        </w:rPr>
      </w:pPr>
      <w:bookmarkStart w:id="385" w:name="_Toc25656"/>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.中标候选人并列式时的处理方式：</w:t>
      </w:r>
      <w:bookmarkEnd w:id="385"/>
      <w:r>
        <w:rPr>
          <w:rFonts w:hint="eastAsia" w:asciiTheme="minorEastAsia" w:hAnsiTheme="minorEastAsia" w:eastAsiaTheme="minorEastAsia" w:cstheme="minorEastAsia"/>
          <w:color w:val="auto"/>
          <w:sz w:val="24"/>
          <w:highlight w:val="none"/>
        </w:rPr>
        <w:t xml:space="preserve">   </w:t>
      </w:r>
    </w:p>
    <w:p w14:paraId="59723A6B">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Theme="minorEastAsia" w:hAnsiTheme="minorEastAsia" w:eastAsiaTheme="minorEastAsia" w:cstheme="minorEastAsia"/>
          <w:color w:val="auto"/>
          <w:sz w:val="24"/>
          <w:highlight w:val="none"/>
          <w:lang w:eastAsia="zh-CN"/>
        </w:rPr>
      </w:pPr>
      <w:bookmarkStart w:id="386" w:name="_Toc21818"/>
      <w:r>
        <w:rPr>
          <w:rFonts w:hint="eastAsia" w:asciiTheme="minorEastAsia" w:hAnsiTheme="minorEastAsia" w:eastAsiaTheme="minorEastAsia" w:cstheme="minorEastAsia"/>
          <w:color w:val="auto"/>
          <w:sz w:val="24"/>
          <w:highlight w:val="none"/>
        </w:rPr>
        <w:t>如采用</w:t>
      </w:r>
      <w:r>
        <w:rPr>
          <w:rFonts w:hint="eastAsia" w:asciiTheme="minorEastAsia" w:hAnsiTheme="minorEastAsia" w:eastAsiaTheme="minorEastAsia" w:cstheme="minorEastAsia"/>
          <w:color w:val="auto"/>
          <w:sz w:val="24"/>
          <w:highlight w:val="none"/>
          <w:lang w:val="en-US" w:eastAsia="zh-CN"/>
        </w:rPr>
        <w:t>综合评分法</w:t>
      </w:r>
      <w:r>
        <w:rPr>
          <w:rFonts w:hint="eastAsia" w:asciiTheme="minorEastAsia" w:hAnsiTheme="minorEastAsia" w:eastAsiaTheme="minorEastAsia" w:cstheme="minorEastAsia"/>
          <w:color w:val="auto"/>
          <w:sz w:val="24"/>
          <w:highlight w:val="none"/>
        </w:rPr>
        <w:t>，则：</w:t>
      </w:r>
      <w:r>
        <w:rPr>
          <w:rFonts w:hint="eastAsia" w:asciiTheme="minorEastAsia" w:hAnsiTheme="minorEastAsia" w:eastAsiaTheme="minorEastAsia" w:cstheme="minorEastAsia"/>
          <w:color w:val="auto"/>
          <w:sz w:val="24"/>
          <w:highlight w:val="none"/>
          <w:lang w:val="en-US" w:eastAsia="zh-CN"/>
        </w:rPr>
        <w:t>业主</w:t>
      </w:r>
      <w:r>
        <w:rPr>
          <w:rFonts w:hint="eastAsia" w:asciiTheme="minorEastAsia" w:hAnsiTheme="minorEastAsia" w:eastAsiaTheme="minorEastAsia" w:cstheme="minorEastAsia"/>
          <w:color w:val="auto"/>
          <w:sz w:val="24"/>
          <w:highlight w:val="none"/>
        </w:rPr>
        <w:t>随机抽取决定</w:t>
      </w:r>
      <w:r>
        <w:rPr>
          <w:rFonts w:hint="eastAsia" w:asciiTheme="minorEastAsia" w:hAnsiTheme="minorEastAsia" w:eastAsiaTheme="minorEastAsia" w:cstheme="minorEastAsia"/>
          <w:color w:val="auto"/>
          <w:sz w:val="24"/>
          <w:highlight w:val="none"/>
          <w:lang w:eastAsia="zh-CN"/>
        </w:rPr>
        <w:t>。</w:t>
      </w:r>
      <w:bookmarkEnd w:id="386"/>
    </w:p>
    <w:p w14:paraId="6932388B">
      <w:pPr>
        <w:outlineLvl w:val="9"/>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br w:type="page"/>
      </w:r>
      <w:bookmarkStart w:id="387" w:name="_Toc30609"/>
      <w:bookmarkStart w:id="388" w:name="_Toc1425"/>
      <w:bookmarkStart w:id="389" w:name="_Toc25223"/>
      <w:bookmarkStart w:id="390" w:name="_Toc963"/>
      <w:bookmarkStart w:id="391" w:name="_Toc580"/>
      <w:r>
        <w:rPr>
          <w:rFonts w:hint="eastAsia" w:asciiTheme="minorEastAsia" w:hAnsiTheme="minorEastAsia" w:eastAsiaTheme="minorEastAsia" w:cstheme="minorEastAsia"/>
          <w:color w:val="auto"/>
          <w:sz w:val="32"/>
          <w:szCs w:val="32"/>
          <w:highlight w:val="none"/>
        </w:rPr>
        <w:t>三、评标标准</w:t>
      </w:r>
      <w:bookmarkEnd w:id="383"/>
      <w:bookmarkEnd w:id="384"/>
      <w:bookmarkEnd w:id="387"/>
      <w:bookmarkEnd w:id="388"/>
      <w:bookmarkEnd w:id="389"/>
      <w:bookmarkEnd w:id="390"/>
      <w:bookmarkEnd w:id="391"/>
    </w:p>
    <w:p w14:paraId="0F226F92">
      <w:pPr>
        <w:jc w:val="center"/>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详细评标表（满分100分）</w:t>
      </w:r>
    </w:p>
    <w:tbl>
      <w:tblPr>
        <w:tblStyle w:val="25"/>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30"/>
        <w:gridCol w:w="4113"/>
      </w:tblGrid>
      <w:tr w14:paraId="2E664F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8" w:hRule="atLeast"/>
          <w:jc w:val="center"/>
        </w:trPr>
        <w:tc>
          <w:tcPr>
            <w:tcW w:w="4730" w:type="dxa"/>
            <w:tcBorders>
              <w:bottom w:val="single" w:color="000000" w:sz="6" w:space="0"/>
              <w:right w:val="single" w:color="000000" w:sz="6" w:space="0"/>
            </w:tcBorders>
            <w:noWrap w:val="0"/>
            <w:vAlign w:val="top"/>
          </w:tcPr>
          <w:p w14:paraId="2C2F43D2">
            <w:pPr>
              <w:pStyle w:val="40"/>
              <w:jc w:val="center"/>
              <w:outlineLvl w:val="9"/>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评分因素</w:t>
            </w:r>
          </w:p>
        </w:tc>
        <w:tc>
          <w:tcPr>
            <w:tcW w:w="4113" w:type="dxa"/>
            <w:tcBorders>
              <w:left w:val="single" w:color="000000" w:sz="6" w:space="0"/>
              <w:bottom w:val="single" w:color="000000" w:sz="6" w:space="0"/>
            </w:tcBorders>
            <w:noWrap w:val="0"/>
            <w:vAlign w:val="top"/>
          </w:tcPr>
          <w:p w14:paraId="5BEF782D">
            <w:pPr>
              <w:pStyle w:val="40"/>
              <w:jc w:val="center"/>
              <w:outlineLvl w:val="9"/>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分值</w:t>
            </w:r>
            <w:r>
              <w:rPr>
                <w:rFonts w:hint="eastAsia" w:asciiTheme="minorEastAsia" w:hAnsiTheme="minorEastAsia" w:eastAsiaTheme="minorEastAsia" w:cstheme="minorEastAsia"/>
                <w:b/>
                <w:color w:val="auto"/>
                <w:sz w:val="24"/>
                <w:highlight w:val="none"/>
                <w:lang w:val="en-US"/>
              </w:rPr>
              <w:t>分</w:t>
            </w:r>
            <w:r>
              <w:rPr>
                <w:rFonts w:hint="eastAsia" w:asciiTheme="minorEastAsia" w:hAnsiTheme="minorEastAsia" w:eastAsiaTheme="minorEastAsia" w:cstheme="minorEastAsia"/>
                <w:b/>
                <w:color w:val="auto"/>
                <w:sz w:val="24"/>
                <w:highlight w:val="none"/>
              </w:rPr>
              <w:t>配</w:t>
            </w:r>
          </w:p>
        </w:tc>
      </w:tr>
      <w:tr w14:paraId="664188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7" w:hRule="atLeast"/>
          <w:jc w:val="center"/>
        </w:trPr>
        <w:tc>
          <w:tcPr>
            <w:tcW w:w="4730" w:type="dxa"/>
            <w:tcBorders>
              <w:top w:val="single" w:color="000000" w:sz="6" w:space="0"/>
              <w:bottom w:val="single" w:color="000000" w:sz="6" w:space="0"/>
              <w:right w:val="single" w:color="000000" w:sz="6" w:space="0"/>
            </w:tcBorders>
            <w:noWrap w:val="0"/>
            <w:vAlign w:val="top"/>
          </w:tcPr>
          <w:p w14:paraId="79F0B9AC">
            <w:pPr>
              <w:pStyle w:val="40"/>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2"/>
                <w:szCs w:val="22"/>
                <w:highlight w:val="none"/>
                <w:lang w:val="en-US" w:eastAsia="zh-CN"/>
              </w:rPr>
              <w:t>投标</w:t>
            </w:r>
            <w:r>
              <w:rPr>
                <w:rFonts w:hint="eastAsia" w:asciiTheme="minorEastAsia" w:hAnsiTheme="minorEastAsia" w:eastAsiaTheme="minorEastAsia" w:cstheme="minorEastAsia"/>
                <w:color w:val="auto"/>
                <w:sz w:val="24"/>
                <w:highlight w:val="none"/>
              </w:rPr>
              <w:t>报价</w:t>
            </w:r>
          </w:p>
        </w:tc>
        <w:tc>
          <w:tcPr>
            <w:tcW w:w="4113" w:type="dxa"/>
            <w:tcBorders>
              <w:top w:val="single" w:color="000000" w:sz="6" w:space="0"/>
              <w:left w:val="single" w:color="000000" w:sz="6" w:space="0"/>
              <w:bottom w:val="single" w:color="000000" w:sz="6" w:space="0"/>
            </w:tcBorders>
            <w:noWrap w:val="0"/>
            <w:vAlign w:val="top"/>
          </w:tcPr>
          <w:p w14:paraId="3688DDC1">
            <w:pPr>
              <w:pStyle w:val="40"/>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0 分</w:t>
            </w:r>
          </w:p>
        </w:tc>
      </w:tr>
      <w:tr w14:paraId="4CB4E5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5" w:hRule="atLeast"/>
          <w:jc w:val="center"/>
        </w:trPr>
        <w:tc>
          <w:tcPr>
            <w:tcW w:w="4730" w:type="dxa"/>
            <w:tcBorders>
              <w:top w:val="single" w:color="000000" w:sz="6" w:space="0"/>
              <w:bottom w:val="single" w:color="000000" w:sz="6" w:space="0"/>
              <w:right w:val="single" w:color="000000" w:sz="6" w:space="0"/>
            </w:tcBorders>
            <w:noWrap w:val="0"/>
            <w:vAlign w:val="top"/>
          </w:tcPr>
          <w:p w14:paraId="2F1F16BE">
            <w:pPr>
              <w:pStyle w:val="40"/>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商务部分</w:t>
            </w:r>
          </w:p>
        </w:tc>
        <w:tc>
          <w:tcPr>
            <w:tcW w:w="4113" w:type="dxa"/>
            <w:tcBorders>
              <w:top w:val="single" w:color="000000" w:sz="6" w:space="0"/>
              <w:left w:val="single" w:color="000000" w:sz="6" w:space="0"/>
              <w:bottom w:val="single" w:color="000000" w:sz="6" w:space="0"/>
            </w:tcBorders>
            <w:noWrap w:val="0"/>
            <w:vAlign w:val="top"/>
          </w:tcPr>
          <w:p w14:paraId="5F4C7117">
            <w:pPr>
              <w:pStyle w:val="40"/>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分</w:t>
            </w:r>
          </w:p>
        </w:tc>
      </w:tr>
      <w:tr w14:paraId="656AA4C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5" w:hRule="atLeast"/>
          <w:jc w:val="center"/>
        </w:trPr>
        <w:tc>
          <w:tcPr>
            <w:tcW w:w="4730" w:type="dxa"/>
            <w:tcBorders>
              <w:top w:val="single" w:color="000000" w:sz="6" w:space="0"/>
              <w:bottom w:val="single" w:color="000000" w:sz="6" w:space="0"/>
              <w:right w:val="single" w:color="000000" w:sz="6" w:space="0"/>
            </w:tcBorders>
            <w:noWrap w:val="0"/>
            <w:vAlign w:val="top"/>
          </w:tcPr>
          <w:p w14:paraId="3CA88715">
            <w:pPr>
              <w:pStyle w:val="40"/>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技术</w:t>
            </w:r>
            <w:r>
              <w:rPr>
                <w:rFonts w:hint="eastAsia" w:asciiTheme="minorEastAsia" w:hAnsiTheme="minorEastAsia" w:eastAsiaTheme="minorEastAsia" w:cstheme="minorEastAsia"/>
                <w:color w:val="auto"/>
                <w:sz w:val="24"/>
                <w:highlight w:val="none"/>
              </w:rPr>
              <w:t>部分</w:t>
            </w:r>
          </w:p>
        </w:tc>
        <w:tc>
          <w:tcPr>
            <w:tcW w:w="4113" w:type="dxa"/>
            <w:tcBorders>
              <w:top w:val="single" w:color="000000" w:sz="6" w:space="0"/>
              <w:left w:val="single" w:color="000000" w:sz="6" w:space="0"/>
              <w:bottom w:val="single" w:color="000000" w:sz="6" w:space="0"/>
            </w:tcBorders>
            <w:noWrap w:val="0"/>
            <w:vAlign w:val="top"/>
          </w:tcPr>
          <w:p w14:paraId="3F3231EC">
            <w:pPr>
              <w:pStyle w:val="40"/>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60</w:t>
            </w:r>
            <w:r>
              <w:rPr>
                <w:rFonts w:hint="eastAsia" w:asciiTheme="minorEastAsia" w:hAnsiTheme="minorEastAsia" w:eastAsiaTheme="minorEastAsia" w:cstheme="minorEastAsia"/>
                <w:color w:val="auto"/>
                <w:sz w:val="24"/>
                <w:highlight w:val="none"/>
              </w:rPr>
              <w:t xml:space="preserve"> 分</w:t>
            </w:r>
          </w:p>
        </w:tc>
      </w:tr>
      <w:tr w14:paraId="076424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3" w:hRule="atLeast"/>
          <w:jc w:val="center"/>
        </w:trPr>
        <w:tc>
          <w:tcPr>
            <w:tcW w:w="4730" w:type="dxa"/>
            <w:tcBorders>
              <w:top w:val="single" w:color="000000" w:sz="6" w:space="0"/>
              <w:right w:val="single" w:color="000000" w:sz="6" w:space="0"/>
            </w:tcBorders>
            <w:noWrap w:val="0"/>
            <w:vAlign w:val="top"/>
          </w:tcPr>
          <w:p w14:paraId="29C1D417">
            <w:pPr>
              <w:pStyle w:val="40"/>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合计</w:t>
            </w:r>
          </w:p>
        </w:tc>
        <w:tc>
          <w:tcPr>
            <w:tcW w:w="4113" w:type="dxa"/>
            <w:tcBorders>
              <w:top w:val="single" w:color="000000" w:sz="6" w:space="0"/>
              <w:left w:val="single" w:color="000000" w:sz="6" w:space="0"/>
            </w:tcBorders>
            <w:noWrap w:val="0"/>
            <w:vAlign w:val="top"/>
          </w:tcPr>
          <w:p w14:paraId="42ED3971">
            <w:pPr>
              <w:pStyle w:val="40"/>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100 分</w:t>
            </w:r>
          </w:p>
        </w:tc>
      </w:tr>
    </w:tbl>
    <w:p w14:paraId="57D1134C">
      <w:pPr>
        <w:pStyle w:val="10"/>
        <w:spacing w:before="7"/>
        <w:outlineLvl w:val="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评分细则</w:t>
      </w:r>
    </w:p>
    <w:tbl>
      <w:tblPr>
        <w:tblStyle w:val="26"/>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826"/>
        <w:gridCol w:w="1329"/>
        <w:gridCol w:w="934"/>
        <w:gridCol w:w="5333"/>
      </w:tblGrid>
      <w:tr w14:paraId="1AD4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81" w:type="dxa"/>
            <w:noWrap w:val="0"/>
            <w:vAlign w:val="center"/>
          </w:tcPr>
          <w:p w14:paraId="22DBB4FB">
            <w:pPr>
              <w:pStyle w:val="30"/>
              <w:jc w:val="center"/>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826" w:type="dxa"/>
            <w:noWrap w:val="0"/>
            <w:vAlign w:val="center"/>
          </w:tcPr>
          <w:p w14:paraId="0C37F115">
            <w:pPr>
              <w:pStyle w:val="40"/>
              <w:jc w:val="center"/>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highlight w:val="none"/>
              </w:rPr>
              <w:t>评分因素</w:t>
            </w:r>
          </w:p>
        </w:tc>
        <w:tc>
          <w:tcPr>
            <w:tcW w:w="1329" w:type="dxa"/>
            <w:noWrap w:val="0"/>
            <w:vAlign w:val="center"/>
          </w:tcPr>
          <w:p w14:paraId="57436067">
            <w:pPr>
              <w:pStyle w:val="30"/>
              <w:jc w:val="center"/>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评审内容</w:t>
            </w:r>
          </w:p>
        </w:tc>
        <w:tc>
          <w:tcPr>
            <w:tcW w:w="934" w:type="dxa"/>
            <w:noWrap w:val="0"/>
            <w:vAlign w:val="center"/>
          </w:tcPr>
          <w:p w14:paraId="69065E02">
            <w:pPr>
              <w:pStyle w:val="30"/>
              <w:jc w:val="center"/>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分值</w:t>
            </w:r>
          </w:p>
        </w:tc>
        <w:tc>
          <w:tcPr>
            <w:tcW w:w="5333" w:type="dxa"/>
            <w:noWrap w:val="0"/>
            <w:vAlign w:val="center"/>
          </w:tcPr>
          <w:p w14:paraId="6579A5DB">
            <w:pPr>
              <w:pStyle w:val="30"/>
              <w:jc w:val="center"/>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评审细则</w:t>
            </w:r>
          </w:p>
        </w:tc>
      </w:tr>
      <w:tr w14:paraId="302B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noWrap w:val="0"/>
            <w:vAlign w:val="center"/>
          </w:tcPr>
          <w:p w14:paraId="4FA2FE32">
            <w:pPr>
              <w:pStyle w:val="3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26" w:type="dxa"/>
            <w:noWrap w:val="0"/>
            <w:vAlign w:val="center"/>
          </w:tcPr>
          <w:p w14:paraId="31197951">
            <w:pPr>
              <w:pStyle w:val="3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2"/>
                <w:szCs w:val="22"/>
                <w:highlight w:val="none"/>
                <w:lang w:val="en-US" w:eastAsia="zh-CN"/>
              </w:rPr>
              <w:t>投标</w:t>
            </w:r>
            <w:r>
              <w:rPr>
                <w:rFonts w:hint="eastAsia" w:asciiTheme="minorEastAsia" w:hAnsiTheme="minorEastAsia" w:eastAsiaTheme="minorEastAsia" w:cstheme="minorEastAsia"/>
                <w:color w:val="auto"/>
                <w:sz w:val="24"/>
                <w:szCs w:val="24"/>
                <w:highlight w:val="none"/>
              </w:rPr>
              <w:t>报价部分</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0分</w:t>
            </w:r>
          </w:p>
        </w:tc>
        <w:tc>
          <w:tcPr>
            <w:tcW w:w="1329" w:type="dxa"/>
            <w:noWrap w:val="0"/>
            <w:vAlign w:val="center"/>
          </w:tcPr>
          <w:p w14:paraId="71B8F409">
            <w:pPr>
              <w:pStyle w:val="3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价格</w:t>
            </w:r>
          </w:p>
        </w:tc>
        <w:tc>
          <w:tcPr>
            <w:tcW w:w="934" w:type="dxa"/>
            <w:noWrap w:val="0"/>
            <w:vAlign w:val="center"/>
          </w:tcPr>
          <w:p w14:paraId="4FA8DB45">
            <w:pPr>
              <w:pStyle w:val="3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0分</w:t>
            </w:r>
          </w:p>
        </w:tc>
        <w:tc>
          <w:tcPr>
            <w:tcW w:w="5333" w:type="dxa"/>
            <w:noWrap w:val="0"/>
            <w:vAlign w:val="center"/>
          </w:tcPr>
          <w:p w14:paraId="366A2736">
            <w:pPr>
              <w:pStyle w:val="30"/>
              <w:jc w:val="left"/>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供应商的价格分统一按照下列公式计算：</w:t>
            </w:r>
          </w:p>
          <w:p w14:paraId="7591A845">
            <w:pPr>
              <w:pStyle w:val="30"/>
              <w:jc w:val="left"/>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val="en-US" w:eastAsia="zh-CN"/>
              </w:rPr>
              <w:t>报价得分=（评标基准价／修正后</w:t>
            </w:r>
            <w:r>
              <w:rPr>
                <w:rFonts w:hint="eastAsia" w:asciiTheme="minorEastAsia" w:hAnsiTheme="minorEastAsia" w:eastAsiaTheme="minorEastAsia" w:cstheme="minorEastAsia"/>
                <w:color w:val="auto"/>
                <w:kern w:val="0"/>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val="en-US" w:eastAsia="zh-CN"/>
              </w:rPr>
              <w:t>报价）×30%×100</w:t>
            </w:r>
          </w:p>
          <w:p w14:paraId="7C9E337E">
            <w:pPr>
              <w:pStyle w:val="30"/>
              <w:jc w:val="left"/>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备注：</w:t>
            </w:r>
          </w:p>
          <w:p w14:paraId="6B4D7F15">
            <w:pPr>
              <w:pStyle w:val="30"/>
              <w:jc w:val="left"/>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1.磋商价格评分采用低价优先法计算；</w:t>
            </w:r>
          </w:p>
          <w:p w14:paraId="3D8C5E3F">
            <w:pPr>
              <w:pStyle w:val="30"/>
              <w:jc w:val="left"/>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2.评标基准价：满足磋商文件要求且经修正(如有）、最后轮的</w:t>
            </w:r>
            <w:r>
              <w:rPr>
                <w:rFonts w:hint="eastAsia" w:asciiTheme="minorEastAsia" w:hAnsiTheme="minorEastAsia" w:eastAsiaTheme="minorEastAsia" w:cstheme="minorEastAsia"/>
                <w:color w:val="auto"/>
                <w:kern w:val="0"/>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val="en-US" w:eastAsia="zh-CN"/>
              </w:rPr>
              <w:t>报价后，最低的</w:t>
            </w:r>
            <w:r>
              <w:rPr>
                <w:rFonts w:hint="eastAsia" w:asciiTheme="minorEastAsia" w:hAnsiTheme="minorEastAsia" w:eastAsiaTheme="minorEastAsia" w:cstheme="minorEastAsia"/>
                <w:color w:val="auto"/>
                <w:kern w:val="0"/>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val="en-US" w:eastAsia="zh-CN"/>
              </w:rPr>
              <w:t>报价为评标基准价；</w:t>
            </w:r>
          </w:p>
          <w:p w14:paraId="7F7A3FC3">
            <w:pPr>
              <w:pStyle w:val="30"/>
              <w:jc w:val="left"/>
              <w:outlineLvl w:val="9"/>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评标委员会认为供应商的报价明显低于其他通过符合性检查供应商的报价，有可能影响履约的情况作必要的澄清、说明或补正。供应商澄清、说明或补正应在评标委员会规定的时间内以书面方式进行，并不得超出磋商文件范围或者改变磋商文件的实质性内容，否则视为</w:t>
            </w:r>
            <w:r>
              <w:rPr>
                <w:rFonts w:hint="eastAsia" w:asciiTheme="minorEastAsia" w:hAnsiTheme="minorEastAsia" w:eastAsiaTheme="minorEastAsia" w:cstheme="minorEastAsia"/>
                <w:b/>
                <w:bCs/>
                <w:color w:val="auto"/>
                <w:sz w:val="24"/>
                <w:szCs w:val="24"/>
                <w:highlight w:val="none"/>
                <w:lang w:val="en-US" w:eastAsia="zh-CN"/>
              </w:rPr>
              <w:t>磋商无效。</w:t>
            </w:r>
          </w:p>
        </w:tc>
      </w:tr>
      <w:tr w14:paraId="4EC2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Merge w:val="restart"/>
            <w:noWrap w:val="0"/>
            <w:vAlign w:val="center"/>
          </w:tcPr>
          <w:p w14:paraId="7F4F66F6">
            <w:pPr>
              <w:pStyle w:val="30"/>
              <w:jc w:val="center"/>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826" w:type="dxa"/>
            <w:vMerge w:val="restart"/>
            <w:noWrap w:val="0"/>
            <w:vAlign w:val="center"/>
          </w:tcPr>
          <w:p w14:paraId="291D68F7">
            <w:pPr>
              <w:pStyle w:val="30"/>
              <w:jc w:val="left"/>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商务部分</w:t>
            </w:r>
          </w:p>
          <w:p w14:paraId="566F2960">
            <w:pPr>
              <w:pStyle w:val="30"/>
              <w:jc w:val="left"/>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10分</w:t>
            </w:r>
          </w:p>
        </w:tc>
        <w:tc>
          <w:tcPr>
            <w:tcW w:w="1329" w:type="dxa"/>
            <w:noWrap w:val="0"/>
            <w:vAlign w:val="center"/>
          </w:tcPr>
          <w:p w14:paraId="4B6C1AB2">
            <w:pPr>
              <w:pStyle w:val="30"/>
              <w:jc w:val="left"/>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w:t>
            </w:r>
          </w:p>
        </w:tc>
        <w:tc>
          <w:tcPr>
            <w:tcW w:w="934" w:type="dxa"/>
            <w:noWrap w:val="0"/>
            <w:vAlign w:val="center"/>
          </w:tcPr>
          <w:p w14:paraId="40130DF1">
            <w:pPr>
              <w:pStyle w:val="30"/>
              <w:jc w:val="center"/>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3分</w:t>
            </w:r>
          </w:p>
        </w:tc>
        <w:tc>
          <w:tcPr>
            <w:tcW w:w="5333" w:type="dxa"/>
            <w:noWrap w:val="0"/>
            <w:vAlign w:val="top"/>
          </w:tcPr>
          <w:p w14:paraId="6EC7BB6A">
            <w:pPr>
              <w:pStyle w:val="30"/>
              <w:jc w:val="left"/>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 ：相关专业高级及以上职称 (高级工程师)3 分；相关专业中级职称 (工程师) 2 分；</w:t>
            </w:r>
          </w:p>
          <w:p w14:paraId="3A89F005">
            <w:pPr>
              <w:pStyle w:val="30"/>
              <w:jc w:val="left"/>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相关专业初级职称 (助理工程师) 1 分。</w:t>
            </w:r>
          </w:p>
          <w:p w14:paraId="7F5D6765">
            <w:pPr>
              <w:pStyle w:val="3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须提供相关职称证书扫描件，未提供的此项不得分。</w:t>
            </w:r>
          </w:p>
        </w:tc>
      </w:tr>
      <w:tr w14:paraId="52A8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681" w:type="dxa"/>
            <w:vMerge w:val="continue"/>
            <w:noWrap w:val="0"/>
            <w:vAlign w:val="center"/>
          </w:tcPr>
          <w:p w14:paraId="0822D4A0">
            <w:pPr>
              <w:pStyle w:val="30"/>
              <w:jc w:val="center"/>
              <w:outlineLvl w:val="9"/>
              <w:rPr>
                <w:rFonts w:hint="eastAsia" w:asciiTheme="minorEastAsia" w:hAnsiTheme="minorEastAsia" w:eastAsiaTheme="minorEastAsia" w:cstheme="minorEastAsia"/>
                <w:color w:val="auto"/>
                <w:sz w:val="24"/>
                <w:szCs w:val="24"/>
                <w:highlight w:val="none"/>
                <w:lang w:val="en-US" w:eastAsia="zh-CN"/>
              </w:rPr>
            </w:pPr>
          </w:p>
        </w:tc>
        <w:tc>
          <w:tcPr>
            <w:tcW w:w="826" w:type="dxa"/>
            <w:vMerge w:val="continue"/>
            <w:noWrap w:val="0"/>
            <w:vAlign w:val="center"/>
          </w:tcPr>
          <w:p w14:paraId="33CE43E1">
            <w:pPr>
              <w:pStyle w:val="30"/>
              <w:jc w:val="left"/>
              <w:outlineLvl w:val="9"/>
              <w:rPr>
                <w:rFonts w:hint="eastAsia" w:asciiTheme="minorEastAsia" w:hAnsiTheme="minorEastAsia" w:eastAsiaTheme="minorEastAsia" w:cstheme="minorEastAsia"/>
                <w:color w:val="auto"/>
                <w:sz w:val="24"/>
                <w:szCs w:val="24"/>
                <w:highlight w:val="none"/>
                <w:lang w:val="en-US" w:eastAsia="zh-CN"/>
              </w:rPr>
            </w:pPr>
          </w:p>
        </w:tc>
        <w:tc>
          <w:tcPr>
            <w:tcW w:w="1329" w:type="dxa"/>
            <w:noWrap w:val="0"/>
            <w:vAlign w:val="center"/>
          </w:tcPr>
          <w:p w14:paraId="4D8142D4">
            <w:pPr>
              <w:pStyle w:val="30"/>
              <w:jc w:val="left"/>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企业业绩</w:t>
            </w:r>
          </w:p>
        </w:tc>
        <w:tc>
          <w:tcPr>
            <w:tcW w:w="934" w:type="dxa"/>
            <w:noWrap w:val="0"/>
            <w:vAlign w:val="center"/>
          </w:tcPr>
          <w:p w14:paraId="213094FB">
            <w:pPr>
              <w:pStyle w:val="30"/>
              <w:jc w:val="center"/>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1分</w:t>
            </w:r>
          </w:p>
        </w:tc>
        <w:tc>
          <w:tcPr>
            <w:tcW w:w="5333" w:type="dxa"/>
            <w:noWrap w:val="0"/>
            <w:vAlign w:val="top"/>
          </w:tcPr>
          <w:p w14:paraId="64B37E07">
            <w:pPr>
              <w:pStyle w:val="30"/>
              <w:jc w:val="left"/>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企业业绩：近三年，供应商每提供一项业绩得0.5分，最高得1分（须提供中标通知书及合同复印件）。</w:t>
            </w:r>
          </w:p>
        </w:tc>
      </w:tr>
      <w:tr w14:paraId="1E3B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681" w:type="dxa"/>
            <w:vMerge w:val="continue"/>
            <w:noWrap w:val="0"/>
            <w:vAlign w:val="center"/>
          </w:tcPr>
          <w:p w14:paraId="30180ACC">
            <w:pPr>
              <w:pStyle w:val="30"/>
              <w:jc w:val="center"/>
              <w:outlineLvl w:val="9"/>
              <w:rPr>
                <w:rFonts w:hint="eastAsia" w:asciiTheme="minorEastAsia" w:hAnsiTheme="minorEastAsia" w:eastAsiaTheme="minorEastAsia" w:cstheme="minorEastAsia"/>
                <w:color w:val="auto"/>
                <w:sz w:val="24"/>
                <w:szCs w:val="24"/>
                <w:highlight w:val="none"/>
                <w:lang w:val="en-US" w:eastAsia="zh-CN"/>
              </w:rPr>
            </w:pPr>
          </w:p>
        </w:tc>
        <w:tc>
          <w:tcPr>
            <w:tcW w:w="826" w:type="dxa"/>
            <w:vMerge w:val="continue"/>
            <w:noWrap w:val="0"/>
            <w:vAlign w:val="center"/>
          </w:tcPr>
          <w:p w14:paraId="50DF59F7">
            <w:pPr>
              <w:pStyle w:val="30"/>
              <w:jc w:val="left"/>
              <w:outlineLvl w:val="9"/>
              <w:rPr>
                <w:rFonts w:hint="eastAsia" w:asciiTheme="minorEastAsia" w:hAnsiTheme="minorEastAsia" w:eastAsiaTheme="minorEastAsia" w:cstheme="minorEastAsia"/>
                <w:color w:val="auto"/>
                <w:sz w:val="24"/>
                <w:szCs w:val="24"/>
                <w:highlight w:val="none"/>
                <w:lang w:val="en-US" w:eastAsia="zh-CN"/>
              </w:rPr>
            </w:pPr>
          </w:p>
        </w:tc>
        <w:tc>
          <w:tcPr>
            <w:tcW w:w="1329" w:type="dxa"/>
            <w:noWrap w:val="0"/>
            <w:vAlign w:val="center"/>
          </w:tcPr>
          <w:p w14:paraId="783BFA39">
            <w:pPr>
              <w:pStyle w:val="30"/>
              <w:jc w:val="left"/>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项目管理人员情况</w:t>
            </w:r>
          </w:p>
        </w:tc>
        <w:tc>
          <w:tcPr>
            <w:tcW w:w="934" w:type="dxa"/>
            <w:noWrap w:val="0"/>
            <w:vAlign w:val="center"/>
          </w:tcPr>
          <w:p w14:paraId="6CD72A9B">
            <w:pPr>
              <w:pStyle w:val="30"/>
              <w:jc w:val="center"/>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6分</w:t>
            </w:r>
          </w:p>
        </w:tc>
        <w:tc>
          <w:tcPr>
            <w:tcW w:w="5333" w:type="dxa"/>
            <w:noWrap w:val="0"/>
            <w:vAlign w:val="top"/>
          </w:tcPr>
          <w:p w14:paraId="61C0680D">
            <w:pPr>
              <w:pStyle w:val="30"/>
              <w:jc w:val="left"/>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项目管理人员情况：项目经理、技术负责人、施工员、质检员、安全员、资料员、材料员、预算员等配备情况，满足以上人员要求得4分，少一人扣0.5分，须附有效的人员岗位证书。在满足配备需要的基础上 ，每增加一名岗位人员得 0.5 分 ，本项最多得 6分</w:t>
            </w:r>
          </w:p>
        </w:tc>
      </w:tr>
      <w:tr w14:paraId="6D84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681" w:type="dxa"/>
            <w:vMerge w:val="restart"/>
            <w:noWrap w:val="0"/>
            <w:vAlign w:val="center"/>
          </w:tcPr>
          <w:p w14:paraId="4C00B431">
            <w:pPr>
              <w:pStyle w:val="30"/>
              <w:jc w:val="center"/>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826" w:type="dxa"/>
            <w:vMerge w:val="restart"/>
            <w:noWrap w:val="0"/>
            <w:vAlign w:val="center"/>
          </w:tcPr>
          <w:p w14:paraId="4E148B4A">
            <w:pPr>
              <w:pStyle w:val="30"/>
              <w:jc w:val="left"/>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技术部分60分</w:t>
            </w:r>
          </w:p>
        </w:tc>
        <w:tc>
          <w:tcPr>
            <w:tcW w:w="1329" w:type="dxa"/>
            <w:noWrap w:val="0"/>
            <w:vAlign w:val="center"/>
          </w:tcPr>
          <w:p w14:paraId="55E9E8C4">
            <w:pPr>
              <w:kinsoku w:val="0"/>
              <w:overflowPunct w:val="0"/>
              <w:spacing w:line="240" w:lineRule="auto"/>
              <w:jc w:val="center"/>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工程概况及特点</w:t>
            </w:r>
          </w:p>
        </w:tc>
        <w:tc>
          <w:tcPr>
            <w:tcW w:w="934" w:type="dxa"/>
            <w:noWrap w:val="0"/>
            <w:vAlign w:val="center"/>
          </w:tcPr>
          <w:p w14:paraId="77562C57">
            <w:pPr>
              <w:kinsoku w:val="0"/>
              <w:overflowPunct w:val="0"/>
              <w:spacing w:line="240" w:lineRule="auto"/>
              <w:jc w:val="center"/>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6分</w:t>
            </w:r>
          </w:p>
        </w:tc>
        <w:tc>
          <w:tcPr>
            <w:tcW w:w="5333" w:type="dxa"/>
            <w:noWrap w:val="0"/>
            <w:vAlign w:val="center"/>
          </w:tcPr>
          <w:p w14:paraId="3F77404D">
            <w:pPr>
              <w:kinsoku w:val="0"/>
              <w:overflowPunct w:val="0"/>
              <w:spacing w:line="240" w:lineRule="auto"/>
              <w:jc w:val="left"/>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工程概况及特点叙述正确，符合项目实际情况的得6分；工程概况及特点叙述存在缺漏、不准确的得2分；工程概括及特点不能符合项目实际情况的不得分。</w:t>
            </w:r>
          </w:p>
        </w:tc>
      </w:tr>
      <w:tr w14:paraId="717C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81" w:type="dxa"/>
            <w:vMerge w:val="continue"/>
            <w:noWrap w:val="0"/>
            <w:vAlign w:val="center"/>
          </w:tcPr>
          <w:p w14:paraId="7F398C25">
            <w:pPr>
              <w:pStyle w:val="30"/>
              <w:jc w:val="center"/>
              <w:outlineLvl w:val="9"/>
              <w:rPr>
                <w:rFonts w:hint="eastAsia" w:asciiTheme="minorEastAsia" w:hAnsiTheme="minorEastAsia" w:eastAsiaTheme="minorEastAsia" w:cstheme="minorEastAsia"/>
                <w:color w:val="auto"/>
                <w:sz w:val="24"/>
                <w:szCs w:val="24"/>
                <w:highlight w:val="none"/>
                <w:lang w:val="en-US" w:eastAsia="zh-CN"/>
              </w:rPr>
            </w:pPr>
          </w:p>
        </w:tc>
        <w:tc>
          <w:tcPr>
            <w:tcW w:w="826" w:type="dxa"/>
            <w:vMerge w:val="continue"/>
            <w:noWrap w:val="0"/>
            <w:vAlign w:val="center"/>
          </w:tcPr>
          <w:p w14:paraId="6E7EA9CA">
            <w:pPr>
              <w:pStyle w:val="30"/>
              <w:jc w:val="left"/>
              <w:outlineLvl w:val="9"/>
              <w:rPr>
                <w:rFonts w:hint="eastAsia" w:asciiTheme="minorEastAsia" w:hAnsiTheme="minorEastAsia" w:eastAsiaTheme="minorEastAsia" w:cstheme="minorEastAsia"/>
                <w:color w:val="auto"/>
                <w:sz w:val="24"/>
                <w:szCs w:val="24"/>
                <w:highlight w:val="none"/>
                <w:lang w:val="en-US" w:eastAsia="zh-CN"/>
              </w:rPr>
            </w:pPr>
          </w:p>
        </w:tc>
        <w:tc>
          <w:tcPr>
            <w:tcW w:w="1329" w:type="dxa"/>
            <w:noWrap w:val="0"/>
            <w:vAlign w:val="center"/>
          </w:tcPr>
          <w:p w14:paraId="40FD8E88">
            <w:pPr>
              <w:kinsoku w:val="0"/>
              <w:overflowPunct w:val="0"/>
              <w:spacing w:line="240" w:lineRule="auto"/>
              <w:jc w:val="center"/>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施工方案</w:t>
            </w:r>
          </w:p>
        </w:tc>
        <w:tc>
          <w:tcPr>
            <w:tcW w:w="934" w:type="dxa"/>
            <w:noWrap w:val="0"/>
            <w:vAlign w:val="center"/>
          </w:tcPr>
          <w:p w14:paraId="1E3D3C2D">
            <w:pPr>
              <w:kinsoku w:val="0"/>
              <w:overflowPunct w:val="0"/>
              <w:spacing w:line="240" w:lineRule="auto"/>
              <w:jc w:val="center"/>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1</w:t>
            </w:r>
            <w:r>
              <w:rPr>
                <w:rFonts w:hint="eastAsia" w:asciiTheme="minorEastAsia" w:hAnsiTheme="minorEastAsia" w:eastAsiaTheme="minorEastAsia" w:cstheme="minorEastAsia"/>
                <w:bCs/>
                <w:sz w:val="24"/>
                <w:szCs w:val="24"/>
                <w:highlight w:val="none"/>
                <w:lang w:val="en-US" w:eastAsia="zh-CN"/>
              </w:rPr>
              <w:t>4</w:t>
            </w:r>
            <w:r>
              <w:rPr>
                <w:rFonts w:hint="eastAsia" w:asciiTheme="minorEastAsia" w:hAnsiTheme="minorEastAsia" w:eastAsiaTheme="minorEastAsia" w:cstheme="minorEastAsia"/>
                <w:bCs/>
                <w:sz w:val="24"/>
                <w:szCs w:val="24"/>
                <w:highlight w:val="none"/>
              </w:rPr>
              <w:t>分</w:t>
            </w:r>
          </w:p>
        </w:tc>
        <w:tc>
          <w:tcPr>
            <w:tcW w:w="5333" w:type="dxa"/>
            <w:noWrap w:val="0"/>
            <w:vAlign w:val="center"/>
          </w:tcPr>
          <w:p w14:paraId="7BEBF8FF">
            <w:pPr>
              <w:kinsoku w:val="0"/>
              <w:overflowPunct w:val="0"/>
              <w:spacing w:line="240" w:lineRule="auto"/>
              <w:jc w:val="left"/>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施工方案应能符合工程实际情况，提高生产率、缩短工期、提高质量、降低消耗、减轻劳动强度提高进度提案；施工方法先进、采用新工艺、新技术；执行国家强制性条文；制定了质量通病的防治措施等综合打分。方案完整、可行、准确，完全符合项目实际情况的得</w:t>
            </w:r>
            <w:r>
              <w:rPr>
                <w:rFonts w:hint="eastAsia" w:asciiTheme="minorEastAsia" w:hAnsiTheme="minorEastAsia" w:eastAsiaTheme="minorEastAsia" w:cstheme="minorEastAsia"/>
                <w:bCs/>
                <w:sz w:val="24"/>
                <w:szCs w:val="24"/>
                <w:highlight w:val="none"/>
                <w:lang w:val="en-US" w:eastAsia="zh-CN"/>
              </w:rPr>
              <w:t>14</w:t>
            </w:r>
            <w:r>
              <w:rPr>
                <w:rFonts w:hint="eastAsia" w:asciiTheme="minorEastAsia" w:hAnsiTheme="minorEastAsia" w:eastAsiaTheme="minorEastAsia" w:cstheme="minorEastAsia"/>
                <w:bCs/>
                <w:sz w:val="24"/>
                <w:szCs w:val="24"/>
                <w:highlight w:val="none"/>
              </w:rPr>
              <w:t>分；每存在一处缺漏或不详实、不准确的扣2分，扣完为止。</w:t>
            </w:r>
          </w:p>
        </w:tc>
      </w:tr>
      <w:tr w14:paraId="6A35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681" w:type="dxa"/>
            <w:vMerge w:val="restart"/>
            <w:noWrap w:val="0"/>
            <w:vAlign w:val="center"/>
          </w:tcPr>
          <w:p w14:paraId="3FD645A8">
            <w:pPr>
              <w:pStyle w:val="30"/>
              <w:jc w:val="center"/>
              <w:outlineLvl w:val="9"/>
              <w:rPr>
                <w:rFonts w:hint="eastAsia" w:asciiTheme="minorEastAsia" w:hAnsiTheme="minorEastAsia" w:eastAsiaTheme="minorEastAsia" w:cstheme="minorEastAsia"/>
                <w:color w:val="auto"/>
                <w:sz w:val="24"/>
                <w:szCs w:val="24"/>
                <w:highlight w:val="none"/>
                <w:lang w:val="en-US" w:eastAsia="zh-CN"/>
              </w:rPr>
            </w:pPr>
          </w:p>
        </w:tc>
        <w:tc>
          <w:tcPr>
            <w:tcW w:w="826" w:type="dxa"/>
            <w:vMerge w:val="restart"/>
            <w:noWrap w:val="0"/>
            <w:vAlign w:val="center"/>
          </w:tcPr>
          <w:p w14:paraId="0F5C13EC">
            <w:pPr>
              <w:pStyle w:val="30"/>
              <w:jc w:val="left"/>
              <w:outlineLvl w:val="9"/>
              <w:rPr>
                <w:rFonts w:hint="eastAsia" w:asciiTheme="minorEastAsia" w:hAnsiTheme="minorEastAsia" w:eastAsiaTheme="minorEastAsia" w:cstheme="minorEastAsia"/>
                <w:color w:val="auto"/>
                <w:sz w:val="24"/>
                <w:szCs w:val="24"/>
                <w:highlight w:val="none"/>
                <w:lang w:val="en-US" w:eastAsia="zh-CN"/>
              </w:rPr>
            </w:pPr>
          </w:p>
        </w:tc>
        <w:tc>
          <w:tcPr>
            <w:tcW w:w="1329" w:type="dxa"/>
            <w:noWrap w:val="0"/>
            <w:vAlign w:val="center"/>
          </w:tcPr>
          <w:p w14:paraId="15B1C41D">
            <w:pPr>
              <w:kinsoku w:val="0"/>
              <w:overflowPunct w:val="0"/>
              <w:spacing w:line="240" w:lineRule="auto"/>
              <w:jc w:val="center"/>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施工准备计划</w:t>
            </w:r>
          </w:p>
        </w:tc>
        <w:tc>
          <w:tcPr>
            <w:tcW w:w="934" w:type="dxa"/>
            <w:noWrap w:val="0"/>
            <w:vAlign w:val="center"/>
          </w:tcPr>
          <w:p w14:paraId="306A2D53">
            <w:pPr>
              <w:kinsoku w:val="0"/>
              <w:overflowPunct w:val="0"/>
              <w:spacing w:line="240" w:lineRule="auto"/>
              <w:jc w:val="center"/>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8分</w:t>
            </w:r>
          </w:p>
        </w:tc>
        <w:tc>
          <w:tcPr>
            <w:tcW w:w="5333" w:type="dxa"/>
            <w:noWrap w:val="0"/>
            <w:vAlign w:val="center"/>
          </w:tcPr>
          <w:p w14:paraId="1599DCC5">
            <w:pPr>
              <w:kinsoku w:val="0"/>
              <w:overflowPunct w:val="0"/>
              <w:spacing w:line="240" w:lineRule="auto"/>
              <w:jc w:val="left"/>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施工技术、现场、物资与机械、队伍准备计划应能充分保证工程需要等综合打分。计划内容完整可行、符合项目实际情况的得8分；每存在一处缺漏或不详实的扣2分，扣完为止。</w:t>
            </w:r>
          </w:p>
        </w:tc>
      </w:tr>
      <w:tr w14:paraId="2012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681" w:type="dxa"/>
            <w:vMerge w:val="continue"/>
            <w:noWrap w:val="0"/>
            <w:vAlign w:val="center"/>
          </w:tcPr>
          <w:p w14:paraId="2D28570D">
            <w:pPr>
              <w:pStyle w:val="30"/>
              <w:jc w:val="center"/>
              <w:outlineLvl w:val="9"/>
              <w:rPr>
                <w:rFonts w:hint="eastAsia" w:asciiTheme="minorEastAsia" w:hAnsiTheme="minorEastAsia" w:eastAsiaTheme="minorEastAsia" w:cstheme="minorEastAsia"/>
                <w:color w:val="auto"/>
                <w:sz w:val="24"/>
                <w:szCs w:val="24"/>
                <w:highlight w:val="none"/>
                <w:lang w:val="en-US" w:eastAsia="zh-CN"/>
              </w:rPr>
            </w:pPr>
          </w:p>
        </w:tc>
        <w:tc>
          <w:tcPr>
            <w:tcW w:w="826" w:type="dxa"/>
            <w:vMerge w:val="continue"/>
            <w:noWrap w:val="0"/>
            <w:vAlign w:val="center"/>
          </w:tcPr>
          <w:p w14:paraId="1FEB5FC7">
            <w:pPr>
              <w:pStyle w:val="30"/>
              <w:jc w:val="left"/>
              <w:outlineLvl w:val="9"/>
              <w:rPr>
                <w:rFonts w:hint="eastAsia" w:asciiTheme="minorEastAsia" w:hAnsiTheme="minorEastAsia" w:eastAsiaTheme="minorEastAsia" w:cstheme="minorEastAsia"/>
                <w:color w:val="auto"/>
                <w:sz w:val="24"/>
                <w:szCs w:val="24"/>
                <w:highlight w:val="none"/>
                <w:lang w:val="en-US" w:eastAsia="zh-CN"/>
              </w:rPr>
            </w:pPr>
          </w:p>
        </w:tc>
        <w:tc>
          <w:tcPr>
            <w:tcW w:w="1329" w:type="dxa"/>
            <w:noWrap w:val="0"/>
            <w:vAlign w:val="center"/>
          </w:tcPr>
          <w:p w14:paraId="0EA225E3">
            <w:pPr>
              <w:kinsoku w:val="0"/>
              <w:overflowPunct w:val="0"/>
              <w:spacing w:line="240" w:lineRule="auto"/>
              <w:jc w:val="center"/>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施工进度计划</w:t>
            </w:r>
          </w:p>
        </w:tc>
        <w:tc>
          <w:tcPr>
            <w:tcW w:w="934" w:type="dxa"/>
            <w:noWrap w:val="0"/>
            <w:vAlign w:val="center"/>
          </w:tcPr>
          <w:p w14:paraId="0B231861">
            <w:pPr>
              <w:kinsoku w:val="0"/>
              <w:overflowPunct w:val="0"/>
              <w:spacing w:line="240" w:lineRule="auto"/>
              <w:jc w:val="center"/>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6分</w:t>
            </w:r>
          </w:p>
        </w:tc>
        <w:tc>
          <w:tcPr>
            <w:tcW w:w="5333" w:type="dxa"/>
            <w:noWrap w:val="0"/>
            <w:vAlign w:val="center"/>
          </w:tcPr>
          <w:p w14:paraId="6E141546">
            <w:pPr>
              <w:kinsoku w:val="0"/>
              <w:overflowPunct w:val="0"/>
              <w:spacing w:line="240" w:lineRule="auto"/>
              <w:jc w:val="left"/>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进度计划应在空间和时间上做合理的统筹安排且符合施工的科学规律等综合打分。计划完整、科学、符合项目实际情况的得6分；计划内容完整但空间及时间安排不合理的得2分；计划存在缺漏，不科学、不能符合项目实际情况的得0分。</w:t>
            </w:r>
          </w:p>
        </w:tc>
      </w:tr>
      <w:tr w14:paraId="7E61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681" w:type="dxa"/>
            <w:vMerge w:val="continue"/>
            <w:noWrap w:val="0"/>
            <w:vAlign w:val="center"/>
          </w:tcPr>
          <w:p w14:paraId="4F2A1AC1">
            <w:pPr>
              <w:pStyle w:val="30"/>
              <w:jc w:val="center"/>
              <w:outlineLvl w:val="9"/>
              <w:rPr>
                <w:rFonts w:hint="eastAsia" w:asciiTheme="minorEastAsia" w:hAnsiTheme="minorEastAsia" w:eastAsiaTheme="minorEastAsia" w:cstheme="minorEastAsia"/>
                <w:color w:val="auto"/>
                <w:sz w:val="24"/>
                <w:szCs w:val="24"/>
                <w:highlight w:val="none"/>
                <w:lang w:val="en-US" w:eastAsia="zh-CN"/>
              </w:rPr>
            </w:pPr>
          </w:p>
        </w:tc>
        <w:tc>
          <w:tcPr>
            <w:tcW w:w="826" w:type="dxa"/>
            <w:vMerge w:val="continue"/>
            <w:noWrap w:val="0"/>
            <w:vAlign w:val="center"/>
          </w:tcPr>
          <w:p w14:paraId="5DA8945E">
            <w:pPr>
              <w:pStyle w:val="30"/>
              <w:jc w:val="left"/>
              <w:outlineLvl w:val="9"/>
              <w:rPr>
                <w:rFonts w:hint="eastAsia" w:asciiTheme="minorEastAsia" w:hAnsiTheme="minorEastAsia" w:eastAsiaTheme="minorEastAsia" w:cstheme="minorEastAsia"/>
                <w:color w:val="auto"/>
                <w:sz w:val="24"/>
                <w:szCs w:val="24"/>
                <w:highlight w:val="none"/>
                <w:lang w:val="en-US" w:eastAsia="zh-CN"/>
              </w:rPr>
            </w:pPr>
          </w:p>
        </w:tc>
        <w:tc>
          <w:tcPr>
            <w:tcW w:w="1329" w:type="dxa"/>
            <w:noWrap w:val="0"/>
            <w:vAlign w:val="center"/>
          </w:tcPr>
          <w:p w14:paraId="4951A1CB">
            <w:pPr>
              <w:kinsoku w:val="0"/>
              <w:overflowPunct w:val="0"/>
              <w:spacing w:line="240" w:lineRule="auto"/>
              <w:jc w:val="center"/>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现场文明施工</w:t>
            </w:r>
          </w:p>
        </w:tc>
        <w:tc>
          <w:tcPr>
            <w:tcW w:w="934" w:type="dxa"/>
            <w:noWrap w:val="0"/>
            <w:vAlign w:val="center"/>
          </w:tcPr>
          <w:p w14:paraId="48BC498F">
            <w:pPr>
              <w:kinsoku w:val="0"/>
              <w:overflowPunct w:val="0"/>
              <w:spacing w:line="240" w:lineRule="auto"/>
              <w:jc w:val="center"/>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lang w:val="en-US" w:eastAsia="zh-CN"/>
              </w:rPr>
              <w:t>2</w:t>
            </w:r>
            <w:r>
              <w:rPr>
                <w:rFonts w:hint="eastAsia" w:asciiTheme="minorEastAsia" w:hAnsiTheme="minorEastAsia" w:eastAsiaTheme="minorEastAsia" w:cstheme="minorEastAsia"/>
                <w:bCs/>
                <w:sz w:val="24"/>
                <w:szCs w:val="24"/>
                <w:highlight w:val="none"/>
              </w:rPr>
              <w:t>分</w:t>
            </w:r>
          </w:p>
        </w:tc>
        <w:tc>
          <w:tcPr>
            <w:tcW w:w="5333" w:type="dxa"/>
            <w:noWrap w:val="0"/>
            <w:vAlign w:val="center"/>
          </w:tcPr>
          <w:p w14:paraId="7EE00FF9">
            <w:pPr>
              <w:kinsoku w:val="0"/>
              <w:overflowPunct w:val="0"/>
              <w:spacing w:line="240" w:lineRule="auto"/>
              <w:jc w:val="left"/>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措施应符合工程实际情况，切实可行，提供措施及承诺的得</w:t>
            </w:r>
            <w:r>
              <w:rPr>
                <w:rFonts w:hint="eastAsia" w:asciiTheme="minorEastAsia" w:hAnsiTheme="minorEastAsia" w:eastAsiaTheme="minorEastAsia" w:cstheme="minorEastAsia"/>
                <w:bCs/>
                <w:sz w:val="24"/>
                <w:szCs w:val="24"/>
                <w:highlight w:val="none"/>
                <w:lang w:val="en-US" w:eastAsia="zh-CN"/>
              </w:rPr>
              <w:t>2</w:t>
            </w:r>
            <w:r>
              <w:rPr>
                <w:rFonts w:hint="eastAsia" w:asciiTheme="minorEastAsia" w:hAnsiTheme="minorEastAsia" w:eastAsiaTheme="minorEastAsia" w:cstheme="minorEastAsia"/>
                <w:bCs/>
                <w:sz w:val="24"/>
                <w:szCs w:val="24"/>
                <w:highlight w:val="none"/>
              </w:rPr>
              <w:t>分，未提供不得分。</w:t>
            </w:r>
          </w:p>
        </w:tc>
      </w:tr>
      <w:tr w14:paraId="442B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681" w:type="dxa"/>
            <w:vMerge w:val="continue"/>
            <w:noWrap w:val="0"/>
            <w:vAlign w:val="center"/>
          </w:tcPr>
          <w:p w14:paraId="3A3C9FD5">
            <w:pPr>
              <w:pStyle w:val="30"/>
              <w:jc w:val="center"/>
              <w:outlineLvl w:val="9"/>
              <w:rPr>
                <w:rFonts w:hint="eastAsia" w:asciiTheme="minorEastAsia" w:hAnsiTheme="minorEastAsia" w:eastAsiaTheme="minorEastAsia" w:cstheme="minorEastAsia"/>
                <w:color w:val="auto"/>
                <w:sz w:val="24"/>
                <w:szCs w:val="24"/>
                <w:highlight w:val="none"/>
                <w:lang w:val="en-US" w:eastAsia="zh-CN"/>
              </w:rPr>
            </w:pPr>
          </w:p>
        </w:tc>
        <w:tc>
          <w:tcPr>
            <w:tcW w:w="826" w:type="dxa"/>
            <w:vMerge w:val="continue"/>
            <w:noWrap w:val="0"/>
            <w:vAlign w:val="center"/>
          </w:tcPr>
          <w:p w14:paraId="56D0B2D5">
            <w:pPr>
              <w:pStyle w:val="30"/>
              <w:jc w:val="left"/>
              <w:outlineLvl w:val="9"/>
              <w:rPr>
                <w:rFonts w:hint="eastAsia" w:asciiTheme="minorEastAsia" w:hAnsiTheme="minorEastAsia" w:eastAsiaTheme="minorEastAsia" w:cstheme="minorEastAsia"/>
                <w:color w:val="auto"/>
                <w:sz w:val="24"/>
                <w:szCs w:val="24"/>
                <w:highlight w:val="none"/>
                <w:lang w:val="en-US" w:eastAsia="zh-CN"/>
              </w:rPr>
            </w:pPr>
          </w:p>
        </w:tc>
        <w:tc>
          <w:tcPr>
            <w:tcW w:w="1329" w:type="dxa"/>
            <w:noWrap w:val="0"/>
            <w:vAlign w:val="center"/>
          </w:tcPr>
          <w:p w14:paraId="0AC1F3D7">
            <w:pPr>
              <w:kinsoku w:val="0"/>
              <w:overflowPunct w:val="0"/>
              <w:spacing w:line="240" w:lineRule="auto"/>
              <w:jc w:val="center"/>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劳动力需用量计划</w:t>
            </w:r>
          </w:p>
        </w:tc>
        <w:tc>
          <w:tcPr>
            <w:tcW w:w="934" w:type="dxa"/>
            <w:noWrap w:val="0"/>
            <w:vAlign w:val="center"/>
          </w:tcPr>
          <w:p w14:paraId="6739EC61">
            <w:pPr>
              <w:kinsoku w:val="0"/>
              <w:overflowPunct w:val="0"/>
              <w:spacing w:line="240" w:lineRule="auto"/>
              <w:jc w:val="center"/>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6分</w:t>
            </w:r>
          </w:p>
        </w:tc>
        <w:tc>
          <w:tcPr>
            <w:tcW w:w="5333" w:type="dxa"/>
            <w:noWrap w:val="0"/>
            <w:vAlign w:val="center"/>
          </w:tcPr>
          <w:p w14:paraId="718D0B47">
            <w:pPr>
              <w:kinsoku w:val="0"/>
              <w:overflowPunct w:val="0"/>
              <w:spacing w:line="240" w:lineRule="auto"/>
              <w:jc w:val="left"/>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劳动力需用量计划应是根据工程进度计划的安排计算出的，并与工程进度计划相一致。提供劳动力需用量计划得6分，每存在一处缺漏或不详实的扣2分，扣完为止。</w:t>
            </w:r>
          </w:p>
        </w:tc>
      </w:tr>
      <w:tr w14:paraId="62FD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681" w:type="dxa"/>
            <w:vMerge w:val="continue"/>
            <w:noWrap w:val="0"/>
            <w:vAlign w:val="center"/>
          </w:tcPr>
          <w:p w14:paraId="188C2EDA">
            <w:pPr>
              <w:pStyle w:val="30"/>
              <w:jc w:val="center"/>
              <w:outlineLvl w:val="9"/>
              <w:rPr>
                <w:rFonts w:hint="eastAsia" w:asciiTheme="minorEastAsia" w:hAnsiTheme="minorEastAsia" w:eastAsiaTheme="minorEastAsia" w:cstheme="minorEastAsia"/>
                <w:color w:val="auto"/>
                <w:sz w:val="24"/>
                <w:szCs w:val="24"/>
                <w:highlight w:val="none"/>
                <w:lang w:val="en-US" w:eastAsia="zh-CN"/>
              </w:rPr>
            </w:pPr>
          </w:p>
        </w:tc>
        <w:tc>
          <w:tcPr>
            <w:tcW w:w="826" w:type="dxa"/>
            <w:vMerge w:val="continue"/>
            <w:noWrap w:val="0"/>
            <w:vAlign w:val="center"/>
          </w:tcPr>
          <w:p w14:paraId="68201ACA">
            <w:pPr>
              <w:pStyle w:val="30"/>
              <w:jc w:val="left"/>
              <w:outlineLvl w:val="9"/>
              <w:rPr>
                <w:rFonts w:hint="eastAsia" w:asciiTheme="minorEastAsia" w:hAnsiTheme="minorEastAsia" w:eastAsiaTheme="minorEastAsia" w:cstheme="minorEastAsia"/>
                <w:color w:val="auto"/>
                <w:sz w:val="24"/>
                <w:szCs w:val="24"/>
                <w:highlight w:val="none"/>
                <w:lang w:val="en-US" w:eastAsia="zh-CN"/>
              </w:rPr>
            </w:pPr>
          </w:p>
        </w:tc>
        <w:tc>
          <w:tcPr>
            <w:tcW w:w="1329" w:type="dxa"/>
            <w:noWrap w:val="0"/>
            <w:vAlign w:val="center"/>
          </w:tcPr>
          <w:p w14:paraId="5F02664D">
            <w:pPr>
              <w:kinsoku w:val="0"/>
              <w:overflowPunct w:val="0"/>
              <w:spacing w:line="240" w:lineRule="auto"/>
              <w:jc w:val="center"/>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质量、进度、安全保证措施和体系</w:t>
            </w:r>
          </w:p>
        </w:tc>
        <w:tc>
          <w:tcPr>
            <w:tcW w:w="934" w:type="dxa"/>
            <w:noWrap w:val="0"/>
            <w:vAlign w:val="center"/>
          </w:tcPr>
          <w:p w14:paraId="11691DB2">
            <w:pPr>
              <w:kinsoku w:val="0"/>
              <w:overflowPunct w:val="0"/>
              <w:spacing w:line="240" w:lineRule="auto"/>
              <w:jc w:val="center"/>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8分</w:t>
            </w:r>
          </w:p>
        </w:tc>
        <w:tc>
          <w:tcPr>
            <w:tcW w:w="5333" w:type="dxa"/>
            <w:noWrap w:val="0"/>
            <w:vAlign w:val="center"/>
          </w:tcPr>
          <w:p w14:paraId="6C5603CF">
            <w:pPr>
              <w:kinsoku w:val="0"/>
              <w:overflowPunct w:val="0"/>
              <w:spacing w:line="240" w:lineRule="auto"/>
              <w:jc w:val="left"/>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工程质量、进度、安全保证措施完整、合理、应符合科学的施工规律、国家规定的强制性标准并有针对性，同时要符合项目实际情况，切实可行得8分；每有一项缺失或不详实准确的扣2分，扣完为止。</w:t>
            </w:r>
          </w:p>
        </w:tc>
      </w:tr>
      <w:tr w14:paraId="12FE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681" w:type="dxa"/>
            <w:vMerge w:val="continue"/>
          </w:tcPr>
          <w:p w14:paraId="0D865C16">
            <w:pPr>
              <w:pStyle w:val="30"/>
              <w:jc w:val="center"/>
              <w:outlineLvl w:val="9"/>
              <w:rPr>
                <w:rFonts w:hint="eastAsia" w:asciiTheme="minorEastAsia" w:hAnsiTheme="minorEastAsia" w:eastAsiaTheme="minorEastAsia" w:cstheme="minorEastAsia"/>
                <w:color w:val="auto"/>
                <w:sz w:val="24"/>
                <w:szCs w:val="24"/>
                <w:highlight w:val="none"/>
                <w:lang w:val="en-US" w:eastAsia="zh-CN"/>
              </w:rPr>
            </w:pPr>
          </w:p>
        </w:tc>
        <w:tc>
          <w:tcPr>
            <w:tcW w:w="826" w:type="dxa"/>
            <w:vMerge w:val="continue"/>
          </w:tcPr>
          <w:p w14:paraId="2C22AFFD">
            <w:pPr>
              <w:pStyle w:val="30"/>
              <w:jc w:val="left"/>
              <w:outlineLvl w:val="9"/>
              <w:rPr>
                <w:rFonts w:hint="eastAsia" w:asciiTheme="minorEastAsia" w:hAnsiTheme="minorEastAsia" w:eastAsiaTheme="minorEastAsia" w:cstheme="minorEastAsia"/>
                <w:color w:val="auto"/>
                <w:sz w:val="24"/>
                <w:szCs w:val="24"/>
                <w:highlight w:val="none"/>
                <w:lang w:val="en-US" w:eastAsia="zh-CN"/>
              </w:rPr>
            </w:pPr>
          </w:p>
        </w:tc>
        <w:tc>
          <w:tcPr>
            <w:tcW w:w="0" w:type="auto"/>
            <w:vAlign w:val="center"/>
          </w:tcPr>
          <w:p w14:paraId="3EF60B6D">
            <w:pPr>
              <w:kinsoku w:val="0"/>
              <w:overflowPunct w:val="0"/>
              <w:spacing w:line="240" w:lineRule="auto"/>
              <w:jc w:val="center"/>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售后服务方案</w:t>
            </w:r>
          </w:p>
        </w:tc>
        <w:tc>
          <w:tcPr>
            <w:tcW w:w="0" w:type="auto"/>
            <w:vAlign w:val="center"/>
          </w:tcPr>
          <w:p w14:paraId="2C34BBA3">
            <w:pPr>
              <w:kinsoku w:val="0"/>
              <w:overflowPunct w:val="0"/>
              <w:spacing w:line="240" w:lineRule="auto"/>
              <w:jc w:val="center"/>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10分</w:t>
            </w:r>
          </w:p>
        </w:tc>
        <w:tc>
          <w:tcPr>
            <w:tcW w:w="0" w:type="auto"/>
            <w:vAlign w:val="center"/>
          </w:tcPr>
          <w:p w14:paraId="0EFB7448">
            <w:pPr>
              <w:kinsoku w:val="0"/>
              <w:overflowPunct w:val="0"/>
              <w:spacing w:line="240" w:lineRule="auto"/>
              <w:jc w:val="left"/>
              <w:outlineLvl w:val="9"/>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1、视企业承诺的售后服务方案，方案完整，符合项目实际情况的得5分；方案有缺漏、不完整的不得分。</w:t>
            </w:r>
          </w:p>
          <w:p w14:paraId="46EE4B20">
            <w:pPr>
              <w:kinsoku w:val="0"/>
              <w:overflowPunct w:val="0"/>
              <w:spacing w:line="240" w:lineRule="auto"/>
              <w:jc w:val="left"/>
              <w:outlineLvl w:val="9"/>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2、维修能力证明，提供承诺函的得2分，未提供不得分。</w:t>
            </w:r>
          </w:p>
          <w:p w14:paraId="18365CCD">
            <w:pPr>
              <w:kinsoku w:val="0"/>
              <w:overflowPunct w:val="0"/>
              <w:spacing w:line="240" w:lineRule="auto"/>
              <w:jc w:val="left"/>
              <w:outlineLvl w:val="9"/>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rPr>
              <w:t>3、根据提供的针对客户当地实际情况制定售后服务承诺，提供承诺函得3分，未提供不得分。</w:t>
            </w:r>
          </w:p>
        </w:tc>
      </w:tr>
    </w:tbl>
    <w:p w14:paraId="758B1893">
      <w:pPr>
        <w:pStyle w:val="30"/>
        <w:outlineLvl w:val="9"/>
        <w:rPr>
          <w:rFonts w:hint="eastAsia"/>
          <w:highlight w:val="none"/>
        </w:rPr>
      </w:pPr>
    </w:p>
    <w:p w14:paraId="3F25F4C9">
      <w:pPr>
        <w:widowControl/>
        <w:jc w:val="both"/>
        <w:textAlignment w:val="auto"/>
        <w:outlineLvl w:val="9"/>
        <w:rPr>
          <w:rFonts w:hint="eastAsia" w:asciiTheme="minorEastAsia" w:hAnsiTheme="minorEastAsia" w:eastAsiaTheme="minorEastAsia" w:cstheme="minorEastAsia"/>
          <w:bCs/>
          <w:color w:val="000000"/>
          <w:sz w:val="52"/>
          <w:szCs w:val="52"/>
          <w:highlight w:val="none"/>
          <w:lang w:eastAsia="zh-CN"/>
        </w:rPr>
      </w:pPr>
      <w:bookmarkStart w:id="392" w:name="_Toc507399904"/>
    </w:p>
    <w:p w14:paraId="077584B7">
      <w:pPr>
        <w:pStyle w:val="7"/>
        <w:outlineLvl w:val="9"/>
        <w:rPr>
          <w:rFonts w:hint="eastAsia" w:asciiTheme="minorEastAsia" w:hAnsiTheme="minorEastAsia" w:eastAsiaTheme="minorEastAsia" w:cstheme="minorEastAsia"/>
          <w:bCs/>
          <w:color w:val="000000"/>
          <w:sz w:val="52"/>
          <w:szCs w:val="52"/>
          <w:highlight w:val="none"/>
          <w:lang w:eastAsia="zh-CN"/>
        </w:rPr>
      </w:pPr>
    </w:p>
    <w:p w14:paraId="48B94EFF">
      <w:pPr>
        <w:outlineLvl w:val="9"/>
        <w:rPr>
          <w:rFonts w:hint="eastAsia" w:asciiTheme="minorEastAsia" w:hAnsiTheme="minorEastAsia" w:eastAsiaTheme="minorEastAsia" w:cstheme="minorEastAsia"/>
          <w:bCs/>
          <w:color w:val="000000"/>
          <w:sz w:val="52"/>
          <w:szCs w:val="52"/>
          <w:highlight w:val="none"/>
          <w:lang w:eastAsia="zh-CN"/>
        </w:rPr>
      </w:pPr>
    </w:p>
    <w:p w14:paraId="7F117671">
      <w:pPr>
        <w:pStyle w:val="10"/>
        <w:outlineLvl w:val="9"/>
        <w:rPr>
          <w:rFonts w:hint="eastAsia"/>
          <w:highlight w:val="none"/>
          <w:lang w:eastAsia="zh-CN"/>
        </w:rPr>
      </w:pPr>
    </w:p>
    <w:p w14:paraId="795919A0">
      <w:pPr>
        <w:widowControl/>
        <w:jc w:val="center"/>
        <w:textAlignment w:val="auto"/>
        <w:outlineLvl w:val="9"/>
        <w:rPr>
          <w:rFonts w:hint="eastAsia" w:asciiTheme="minorEastAsia" w:hAnsiTheme="minorEastAsia" w:eastAsiaTheme="minorEastAsia" w:cstheme="minorEastAsia"/>
          <w:bCs/>
          <w:color w:val="000000"/>
          <w:sz w:val="52"/>
          <w:szCs w:val="52"/>
          <w:highlight w:val="none"/>
          <w:lang w:eastAsia="zh-CN"/>
        </w:rPr>
      </w:pPr>
    </w:p>
    <w:p w14:paraId="4C81CD45">
      <w:pPr>
        <w:widowControl/>
        <w:jc w:val="center"/>
        <w:textAlignment w:val="auto"/>
        <w:outlineLvl w:val="9"/>
        <w:rPr>
          <w:rFonts w:hint="eastAsia" w:asciiTheme="minorEastAsia" w:hAnsiTheme="minorEastAsia" w:eastAsiaTheme="minorEastAsia" w:cstheme="minorEastAsia"/>
          <w:bCs/>
          <w:color w:val="000000"/>
          <w:sz w:val="52"/>
          <w:szCs w:val="52"/>
          <w:highlight w:val="none"/>
          <w:lang w:eastAsia="zh-CN"/>
        </w:rPr>
      </w:pPr>
    </w:p>
    <w:p w14:paraId="081FA95E">
      <w:pPr>
        <w:widowControl/>
        <w:jc w:val="center"/>
        <w:textAlignment w:val="auto"/>
        <w:outlineLvl w:val="9"/>
        <w:rPr>
          <w:rFonts w:hint="eastAsia" w:asciiTheme="minorEastAsia" w:hAnsiTheme="minorEastAsia" w:eastAsiaTheme="minorEastAsia" w:cstheme="minorEastAsia"/>
          <w:bCs/>
          <w:color w:val="000000"/>
          <w:sz w:val="52"/>
          <w:szCs w:val="52"/>
          <w:highlight w:val="none"/>
          <w:lang w:eastAsia="zh-CN"/>
        </w:rPr>
      </w:pPr>
      <w:r>
        <w:rPr>
          <w:rFonts w:hint="eastAsia" w:asciiTheme="minorEastAsia" w:hAnsiTheme="minorEastAsia" w:eastAsiaTheme="minorEastAsia" w:cstheme="minorEastAsia"/>
          <w:bCs/>
          <w:color w:val="000000"/>
          <w:sz w:val="52"/>
          <w:szCs w:val="52"/>
          <w:highlight w:val="none"/>
          <w:lang w:eastAsia="zh-CN"/>
        </w:rPr>
        <w:t>疏勒县良种繁育场种畜二队路面便化工程项目竞争性磋商文件</w:t>
      </w:r>
    </w:p>
    <w:p w14:paraId="44D486B1">
      <w:pPr>
        <w:snapToGrid w:val="0"/>
        <w:jc w:val="center"/>
        <w:outlineLvl w:val="9"/>
        <w:rPr>
          <w:rStyle w:val="33"/>
          <w:rFonts w:hint="eastAsia" w:asciiTheme="minorEastAsia" w:hAnsiTheme="minorEastAsia" w:eastAsiaTheme="minorEastAsia" w:cstheme="minorEastAsia"/>
          <w:color w:val="000000"/>
          <w:sz w:val="72"/>
          <w:highlight w:val="none"/>
          <w:lang w:val="en-US" w:eastAsia="zh-CN"/>
        </w:rPr>
      </w:pPr>
      <w:r>
        <w:rPr>
          <w:rStyle w:val="33"/>
          <w:rFonts w:hint="eastAsia" w:asciiTheme="minorEastAsia" w:hAnsiTheme="minorEastAsia" w:eastAsiaTheme="minorEastAsia" w:cstheme="minorEastAsia"/>
          <w:color w:val="000000"/>
          <w:sz w:val="72"/>
          <w:highlight w:val="none"/>
          <w:lang w:val="en-US" w:eastAsia="zh-CN"/>
        </w:rPr>
        <w:t xml:space="preserve"> </w:t>
      </w:r>
    </w:p>
    <w:p w14:paraId="55F3E622">
      <w:pPr>
        <w:snapToGrid w:val="0"/>
        <w:jc w:val="center"/>
        <w:outlineLvl w:val="9"/>
        <w:rPr>
          <w:rStyle w:val="33"/>
          <w:rFonts w:hint="eastAsia" w:asciiTheme="minorEastAsia" w:hAnsiTheme="minorEastAsia" w:eastAsiaTheme="minorEastAsia" w:cstheme="minorEastAsia"/>
          <w:color w:val="000000"/>
          <w:sz w:val="72"/>
          <w:highlight w:val="none"/>
          <w:lang w:val="en-US" w:eastAsia="zh-CN"/>
        </w:rPr>
      </w:pPr>
      <w:r>
        <w:rPr>
          <w:rStyle w:val="33"/>
          <w:rFonts w:hint="eastAsia" w:asciiTheme="minorEastAsia" w:hAnsiTheme="minorEastAsia" w:eastAsiaTheme="minorEastAsia" w:cstheme="minorEastAsia"/>
          <w:color w:val="000000"/>
          <w:sz w:val="72"/>
          <w:highlight w:val="none"/>
          <w:lang w:val="en-US" w:eastAsia="zh-CN"/>
        </w:rPr>
        <w:t xml:space="preserve"> </w:t>
      </w:r>
    </w:p>
    <w:p w14:paraId="51E65903">
      <w:pPr>
        <w:spacing w:line="240" w:lineRule="atLeast"/>
        <w:jc w:val="center"/>
        <w:outlineLvl w:val="9"/>
        <w:rPr>
          <w:rFonts w:hint="eastAsia" w:asciiTheme="minorEastAsia" w:hAnsiTheme="minorEastAsia" w:eastAsiaTheme="minorEastAsia" w:cstheme="minorEastAsia"/>
          <w:kern w:val="0"/>
          <w:sz w:val="32"/>
          <w:szCs w:val="32"/>
          <w:highlight w:val="none"/>
        </w:rPr>
      </w:pPr>
      <w:r>
        <w:rPr>
          <w:rFonts w:hint="eastAsia" w:asciiTheme="minorEastAsia" w:hAnsiTheme="minorEastAsia" w:eastAsiaTheme="minorEastAsia" w:cstheme="minorEastAsia"/>
          <w:kern w:val="0"/>
          <w:sz w:val="32"/>
          <w:szCs w:val="32"/>
          <w:highlight w:val="none"/>
        </w:rPr>
        <w:t>（ 项目编号：</w:t>
      </w:r>
      <w:r>
        <w:rPr>
          <w:rFonts w:hint="eastAsia" w:ascii="宋体" w:hAnsi="宋体" w:cs="宋体"/>
          <w:b/>
          <w:bCs w:val="0"/>
          <w:color w:val="auto"/>
          <w:sz w:val="28"/>
          <w:szCs w:val="28"/>
          <w:highlight w:val="none"/>
          <w:lang w:val="en-US" w:eastAsia="zh-CN"/>
        </w:rPr>
        <w:t> SLXLZFYC（CS）XJHZ2025-9号</w:t>
      </w:r>
      <w:r>
        <w:rPr>
          <w:rFonts w:hint="eastAsia" w:asciiTheme="minorEastAsia" w:hAnsiTheme="minorEastAsia" w:eastAsiaTheme="minorEastAsia" w:cstheme="minorEastAsia"/>
          <w:color w:val="000000" w:themeColor="text1"/>
          <w:kern w:val="0"/>
          <w:sz w:val="32"/>
          <w:szCs w:val="32"/>
          <w:highlight w:val="none"/>
          <w14:textFill>
            <w14:solidFill>
              <w14:schemeClr w14:val="tx1"/>
            </w14:solidFill>
          </w14:textFill>
        </w:rPr>
        <w:t>）</w:t>
      </w:r>
    </w:p>
    <w:p w14:paraId="26313D56">
      <w:pPr>
        <w:spacing w:line="240" w:lineRule="atLeast"/>
        <w:ind w:left="1080" w:leftChars="257" w:hanging="540"/>
        <w:jc w:val="center"/>
        <w:outlineLvl w:val="9"/>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Cs/>
          <w:sz w:val="32"/>
          <w:szCs w:val="32"/>
          <w:highlight w:val="none"/>
        </w:rPr>
        <w:t xml:space="preserve"> </w:t>
      </w:r>
    </w:p>
    <w:p w14:paraId="2D06B3E5">
      <w:pPr>
        <w:spacing w:line="240" w:lineRule="atLeast"/>
        <w:ind w:left="1080" w:leftChars="257" w:hanging="540"/>
        <w:jc w:val="center"/>
        <w:outlineLvl w:val="9"/>
        <w:rPr>
          <w:rFonts w:hint="eastAsia" w:asciiTheme="minorEastAsia" w:hAnsiTheme="minorEastAsia" w:eastAsiaTheme="minorEastAsia" w:cstheme="minorEastAsia"/>
          <w:b/>
          <w:sz w:val="32"/>
          <w:szCs w:val="32"/>
          <w:highlight w:val="none"/>
        </w:rPr>
      </w:pPr>
    </w:p>
    <w:p w14:paraId="076A8C4A">
      <w:pPr>
        <w:spacing w:line="240" w:lineRule="atLeast"/>
        <w:ind w:left="1080" w:leftChars="257" w:hanging="540"/>
        <w:outlineLvl w:val="9"/>
        <w:rPr>
          <w:rFonts w:hint="eastAsia" w:asciiTheme="minorEastAsia" w:hAnsiTheme="minorEastAsia" w:eastAsiaTheme="minorEastAsia" w:cstheme="minorEastAsia"/>
          <w:b/>
          <w:sz w:val="28"/>
          <w:highlight w:val="none"/>
        </w:rPr>
      </w:pPr>
    </w:p>
    <w:p w14:paraId="57942770">
      <w:pPr>
        <w:spacing w:line="240" w:lineRule="atLeast"/>
        <w:ind w:left="1080" w:leftChars="257" w:hanging="540"/>
        <w:jc w:val="center"/>
        <w:outlineLvl w:val="9"/>
        <w:rPr>
          <w:rFonts w:hint="eastAsia" w:asciiTheme="minorEastAsia" w:hAnsiTheme="minorEastAsia" w:eastAsiaTheme="minorEastAsia" w:cstheme="minorEastAsia"/>
          <w:b/>
          <w:sz w:val="48"/>
          <w:szCs w:val="48"/>
          <w:highlight w:val="none"/>
        </w:rPr>
      </w:pPr>
      <w:r>
        <w:rPr>
          <w:rFonts w:hint="eastAsia" w:asciiTheme="minorEastAsia" w:hAnsiTheme="minorEastAsia" w:eastAsiaTheme="minorEastAsia" w:cstheme="minorEastAsia"/>
          <w:b/>
          <w:sz w:val="48"/>
          <w:szCs w:val="48"/>
          <w:highlight w:val="none"/>
        </w:rPr>
        <w:t>第</w:t>
      </w:r>
      <w:r>
        <w:rPr>
          <w:rFonts w:hint="eastAsia" w:asciiTheme="minorEastAsia" w:hAnsiTheme="minorEastAsia" w:eastAsiaTheme="minorEastAsia" w:cstheme="minorEastAsia"/>
          <w:b/>
          <w:sz w:val="48"/>
          <w:szCs w:val="48"/>
          <w:highlight w:val="none"/>
          <w:lang w:eastAsia="zh-CN"/>
        </w:rPr>
        <w:t>三</w:t>
      </w:r>
      <w:r>
        <w:rPr>
          <w:rFonts w:hint="eastAsia" w:asciiTheme="minorEastAsia" w:hAnsiTheme="minorEastAsia" w:eastAsiaTheme="minorEastAsia" w:cstheme="minorEastAsia"/>
          <w:b/>
          <w:sz w:val="48"/>
          <w:szCs w:val="48"/>
          <w:highlight w:val="none"/>
        </w:rPr>
        <w:t>册</w:t>
      </w:r>
    </w:p>
    <w:p w14:paraId="7B908326">
      <w:pPr>
        <w:pStyle w:val="7"/>
        <w:outlineLvl w:val="9"/>
        <w:rPr>
          <w:rFonts w:hint="eastAsia" w:asciiTheme="minorEastAsia" w:hAnsiTheme="minorEastAsia" w:eastAsiaTheme="minorEastAsia" w:cstheme="minorEastAsia"/>
          <w:color w:val="auto"/>
          <w:highlight w:val="none"/>
          <w:lang w:val="en-US" w:eastAsia="zh-CN"/>
        </w:rPr>
      </w:pPr>
      <w:bookmarkStart w:id="393" w:name="_Toc13575"/>
      <w:bookmarkStart w:id="394" w:name="_Toc24271"/>
      <w:bookmarkStart w:id="395" w:name="_Toc518923128"/>
      <w:bookmarkStart w:id="396" w:name="_Toc18368"/>
      <w:bookmarkStart w:id="397" w:name="_Toc18897"/>
    </w:p>
    <w:p w14:paraId="611CA0E5">
      <w:pPr>
        <w:numPr>
          <w:ilvl w:val="0"/>
          <w:numId w:val="0"/>
        </w:numPr>
        <w:tabs>
          <w:tab w:val="left" w:pos="0"/>
        </w:tabs>
        <w:spacing w:before="0" w:after="0" w:line="240" w:lineRule="atLeast"/>
        <w:ind w:left="-15" w:leftChars="0"/>
        <w:jc w:val="center"/>
        <w:outlineLvl w:val="9"/>
        <w:rPr>
          <w:rFonts w:hint="eastAsia" w:asciiTheme="minorEastAsia" w:hAnsiTheme="minorEastAsia" w:eastAsiaTheme="minorEastAsia" w:cstheme="minorEastAsia"/>
          <w:color w:val="auto"/>
          <w:highlight w:val="none"/>
          <w:lang w:val="en-US" w:eastAsia="zh-CN"/>
        </w:rPr>
      </w:pPr>
    </w:p>
    <w:p w14:paraId="0E548CB2">
      <w:pPr>
        <w:outlineLvl w:val="9"/>
        <w:rPr>
          <w:rFonts w:hint="eastAsia" w:asciiTheme="minorEastAsia" w:hAnsiTheme="minorEastAsia" w:eastAsiaTheme="minorEastAsia" w:cstheme="minorEastAsia"/>
          <w:color w:val="auto"/>
          <w:highlight w:val="none"/>
          <w:lang w:val="en-US" w:eastAsia="zh-CN"/>
        </w:rPr>
      </w:pPr>
    </w:p>
    <w:p w14:paraId="3B18F792">
      <w:pPr>
        <w:outlineLvl w:val="9"/>
        <w:rPr>
          <w:rFonts w:hint="eastAsia" w:asciiTheme="minorEastAsia" w:hAnsiTheme="minorEastAsia" w:eastAsiaTheme="minorEastAsia" w:cstheme="minorEastAsia"/>
          <w:color w:val="auto"/>
          <w:highlight w:val="none"/>
          <w:lang w:val="en-US" w:eastAsia="zh-CN"/>
        </w:rPr>
      </w:pPr>
    </w:p>
    <w:p w14:paraId="10BEBC44">
      <w:pPr>
        <w:outlineLvl w:val="9"/>
        <w:rPr>
          <w:rFonts w:hint="eastAsia" w:asciiTheme="minorEastAsia" w:hAnsiTheme="minorEastAsia" w:eastAsiaTheme="minorEastAsia" w:cstheme="minorEastAsia"/>
          <w:color w:val="auto"/>
          <w:highlight w:val="none"/>
          <w:lang w:val="en-US" w:eastAsia="zh-CN"/>
        </w:rPr>
      </w:pPr>
    </w:p>
    <w:p w14:paraId="41FFCFDD">
      <w:pPr>
        <w:outlineLvl w:val="9"/>
        <w:rPr>
          <w:rFonts w:hint="eastAsia" w:asciiTheme="minorEastAsia" w:hAnsiTheme="minorEastAsia" w:eastAsiaTheme="minorEastAsia" w:cstheme="minorEastAsia"/>
          <w:color w:val="auto"/>
          <w:highlight w:val="none"/>
          <w:lang w:val="en-US" w:eastAsia="zh-CN"/>
        </w:rPr>
      </w:pPr>
    </w:p>
    <w:p w14:paraId="468AB91C">
      <w:pPr>
        <w:outlineLvl w:val="9"/>
        <w:rPr>
          <w:rFonts w:hint="eastAsia" w:asciiTheme="minorEastAsia" w:hAnsiTheme="minorEastAsia" w:eastAsiaTheme="minorEastAsia" w:cstheme="minorEastAsia"/>
          <w:color w:val="auto"/>
          <w:highlight w:val="none"/>
          <w:lang w:val="en-US" w:eastAsia="zh-CN"/>
        </w:rPr>
      </w:pPr>
    </w:p>
    <w:p w14:paraId="2F595AFC">
      <w:pPr>
        <w:outlineLvl w:val="9"/>
        <w:rPr>
          <w:rFonts w:hint="eastAsia" w:asciiTheme="minorEastAsia" w:hAnsiTheme="minorEastAsia" w:eastAsiaTheme="minorEastAsia" w:cstheme="minorEastAsia"/>
          <w:color w:val="auto"/>
          <w:highlight w:val="none"/>
          <w:lang w:val="en-US" w:eastAsia="zh-CN"/>
        </w:rPr>
      </w:pPr>
    </w:p>
    <w:p w14:paraId="294F2DB8">
      <w:pPr>
        <w:outlineLvl w:val="9"/>
        <w:rPr>
          <w:rFonts w:hint="eastAsia" w:asciiTheme="minorEastAsia" w:hAnsiTheme="minorEastAsia" w:eastAsiaTheme="minorEastAsia" w:cstheme="minorEastAsia"/>
          <w:color w:val="auto"/>
          <w:highlight w:val="none"/>
          <w:lang w:val="en-US" w:eastAsia="zh-CN"/>
        </w:rPr>
      </w:pPr>
    </w:p>
    <w:p w14:paraId="134D4388">
      <w:pPr>
        <w:pStyle w:val="24"/>
        <w:rPr>
          <w:rFonts w:hint="eastAsia" w:asciiTheme="minorEastAsia" w:hAnsiTheme="minorEastAsia" w:eastAsiaTheme="minorEastAsia" w:cstheme="minorEastAsia"/>
          <w:color w:val="auto"/>
          <w:highlight w:val="none"/>
          <w:lang w:val="en-US" w:eastAsia="zh-CN"/>
        </w:rPr>
      </w:pPr>
    </w:p>
    <w:p w14:paraId="70FAA921">
      <w:pPr>
        <w:pStyle w:val="23"/>
        <w:rPr>
          <w:rFonts w:hint="eastAsia" w:asciiTheme="minorEastAsia" w:hAnsiTheme="minorEastAsia" w:eastAsiaTheme="minorEastAsia" w:cstheme="minorEastAsia"/>
          <w:color w:val="auto"/>
          <w:highlight w:val="none"/>
          <w:lang w:val="en-US" w:eastAsia="zh-CN"/>
        </w:rPr>
      </w:pPr>
    </w:p>
    <w:p w14:paraId="10514A1C">
      <w:pPr>
        <w:pStyle w:val="23"/>
        <w:rPr>
          <w:rFonts w:hint="eastAsia" w:asciiTheme="minorEastAsia" w:hAnsiTheme="minorEastAsia" w:eastAsiaTheme="minorEastAsia" w:cstheme="minorEastAsia"/>
          <w:color w:val="auto"/>
          <w:highlight w:val="none"/>
          <w:lang w:val="en-US" w:eastAsia="zh-CN"/>
        </w:rPr>
      </w:pPr>
    </w:p>
    <w:p w14:paraId="08103EE6">
      <w:pPr>
        <w:pStyle w:val="23"/>
        <w:rPr>
          <w:rFonts w:hint="eastAsia" w:asciiTheme="minorEastAsia" w:hAnsiTheme="minorEastAsia" w:eastAsiaTheme="minorEastAsia" w:cstheme="minorEastAsia"/>
          <w:color w:val="auto"/>
          <w:highlight w:val="none"/>
          <w:lang w:val="en-US" w:eastAsia="zh-CN"/>
        </w:rPr>
      </w:pPr>
    </w:p>
    <w:p w14:paraId="65E026C5">
      <w:pPr>
        <w:pStyle w:val="23"/>
        <w:rPr>
          <w:rFonts w:hint="eastAsia" w:asciiTheme="minorEastAsia" w:hAnsiTheme="minorEastAsia" w:eastAsiaTheme="minorEastAsia" w:cstheme="minorEastAsia"/>
          <w:color w:val="auto"/>
          <w:highlight w:val="none"/>
          <w:lang w:val="en-US" w:eastAsia="zh-CN"/>
        </w:rPr>
      </w:pPr>
    </w:p>
    <w:p w14:paraId="2CFC2461">
      <w:pPr>
        <w:pStyle w:val="23"/>
        <w:rPr>
          <w:rFonts w:hint="eastAsia" w:asciiTheme="minorEastAsia" w:hAnsiTheme="minorEastAsia" w:eastAsiaTheme="minorEastAsia" w:cstheme="minorEastAsia"/>
          <w:color w:val="auto"/>
          <w:highlight w:val="none"/>
          <w:lang w:val="en-US" w:eastAsia="zh-CN"/>
        </w:rPr>
      </w:pPr>
    </w:p>
    <w:p w14:paraId="64DC6071">
      <w:pPr>
        <w:pStyle w:val="23"/>
        <w:rPr>
          <w:rFonts w:hint="eastAsia" w:asciiTheme="minorEastAsia" w:hAnsiTheme="minorEastAsia" w:eastAsiaTheme="minorEastAsia" w:cstheme="minorEastAsia"/>
          <w:color w:val="auto"/>
          <w:highlight w:val="none"/>
          <w:lang w:val="en-US" w:eastAsia="zh-CN"/>
        </w:rPr>
      </w:pPr>
    </w:p>
    <w:p w14:paraId="12D52C2B">
      <w:pPr>
        <w:outlineLvl w:val="9"/>
        <w:rPr>
          <w:rFonts w:hint="eastAsia" w:asciiTheme="minorEastAsia" w:hAnsiTheme="minorEastAsia" w:eastAsiaTheme="minorEastAsia" w:cstheme="minorEastAsia"/>
          <w:color w:val="auto"/>
          <w:highlight w:val="none"/>
          <w:lang w:val="en-US" w:eastAsia="zh-CN"/>
        </w:rPr>
      </w:pPr>
    </w:p>
    <w:p w14:paraId="0A718643">
      <w:pPr>
        <w:pStyle w:val="24"/>
        <w:rPr>
          <w:rFonts w:hint="eastAsia" w:asciiTheme="minorEastAsia" w:hAnsiTheme="minorEastAsia" w:eastAsiaTheme="minorEastAsia" w:cstheme="minorEastAsia"/>
          <w:color w:val="auto"/>
          <w:highlight w:val="none"/>
          <w:lang w:val="en-US" w:eastAsia="zh-CN"/>
        </w:rPr>
      </w:pPr>
    </w:p>
    <w:p w14:paraId="7BAEB886">
      <w:pPr>
        <w:outlineLvl w:val="9"/>
        <w:rPr>
          <w:rFonts w:hint="eastAsia" w:asciiTheme="minorEastAsia" w:hAnsiTheme="minorEastAsia" w:eastAsiaTheme="minorEastAsia" w:cstheme="minorEastAsia"/>
          <w:color w:val="auto"/>
          <w:highlight w:val="none"/>
          <w:lang w:val="en-US" w:eastAsia="zh-CN"/>
        </w:rPr>
      </w:pPr>
    </w:p>
    <w:p w14:paraId="21FAAD2E">
      <w:pPr>
        <w:pStyle w:val="2"/>
        <w:numPr>
          <w:ilvl w:val="0"/>
          <w:numId w:val="0"/>
        </w:numPr>
        <w:tabs>
          <w:tab w:val="left" w:pos="0"/>
        </w:tabs>
        <w:spacing w:before="0" w:after="0" w:line="240" w:lineRule="atLeast"/>
        <w:ind w:left="-15" w:leftChars="0"/>
        <w:jc w:val="center"/>
        <w:rPr>
          <w:rFonts w:hint="eastAsia" w:asciiTheme="minorEastAsia" w:hAnsiTheme="minorEastAsia" w:eastAsiaTheme="minorEastAsia" w:cstheme="minorEastAsia"/>
          <w:color w:val="auto"/>
          <w:highlight w:val="none"/>
          <w:lang w:val="en-US" w:eastAsia="zh-CN"/>
        </w:rPr>
      </w:pPr>
      <w:bookmarkStart w:id="398" w:name="_Toc17141"/>
      <w:r>
        <w:rPr>
          <w:rFonts w:hint="eastAsia" w:asciiTheme="minorEastAsia" w:hAnsiTheme="minorEastAsia" w:eastAsiaTheme="minorEastAsia" w:cstheme="minorEastAsia"/>
          <w:color w:val="auto"/>
          <w:highlight w:val="none"/>
          <w:lang w:val="en-US" w:eastAsia="zh-CN"/>
        </w:rPr>
        <w:t>第7章   合同</w:t>
      </w:r>
      <w:bookmarkEnd w:id="392"/>
      <w:bookmarkEnd w:id="393"/>
      <w:bookmarkEnd w:id="394"/>
      <w:bookmarkEnd w:id="395"/>
      <w:bookmarkEnd w:id="396"/>
      <w:bookmarkEnd w:id="397"/>
      <w:bookmarkEnd w:id="398"/>
      <w:bookmarkStart w:id="399" w:name="_Hlt487972895"/>
      <w:bookmarkEnd w:id="399"/>
    </w:p>
    <w:p w14:paraId="36D0C845">
      <w:pPr>
        <w:pStyle w:val="24"/>
        <w:rPr>
          <w:rFonts w:hint="eastAsia" w:asciiTheme="minorEastAsia" w:hAnsiTheme="minorEastAsia" w:eastAsiaTheme="minorEastAsia" w:cstheme="minorEastAsia"/>
          <w:highlight w:val="none"/>
        </w:rPr>
      </w:pPr>
    </w:p>
    <w:p w14:paraId="51122B54">
      <w:pPr>
        <w:pageBreakBefore w:val="0"/>
        <w:kinsoku/>
        <w:wordWrap/>
        <w:overflowPunct/>
        <w:topLinePunct w:val="0"/>
        <w:autoSpaceDE w:val="0"/>
        <w:autoSpaceDN w:val="0"/>
        <w:bidi w:val="0"/>
        <w:adjustRightInd/>
        <w:snapToGrid/>
        <w:spacing w:before="240" w:after="60" w:line="320" w:lineRule="exact"/>
        <w:jc w:val="left"/>
        <w:textAlignment w:val="auto"/>
        <w:outlineLvl w:val="9"/>
        <w:rPr>
          <w:rFonts w:hint="eastAsia" w:asciiTheme="minorEastAsia" w:hAnsiTheme="minorEastAsia" w:eastAsiaTheme="minorEastAsia" w:cstheme="minorEastAsia"/>
          <w:b/>
          <w:bCs/>
          <w:kern w:val="28"/>
          <w:sz w:val="24"/>
          <w:szCs w:val="24"/>
          <w:highlight w:val="none"/>
          <w:lang w:val="zh-CN" w:bidi="zh-CN"/>
        </w:rPr>
      </w:pPr>
      <w:bookmarkStart w:id="400" w:name="_Toc256000032"/>
      <w:bookmarkStart w:id="401" w:name="EBdb3f35cecacd49cfb86f096dcef4f895"/>
      <w:r>
        <w:rPr>
          <w:rFonts w:hint="eastAsia" w:asciiTheme="minorEastAsia" w:hAnsiTheme="minorEastAsia" w:eastAsiaTheme="minorEastAsia" w:cstheme="minorEastAsia"/>
          <w:b/>
          <w:bCs/>
          <w:kern w:val="28"/>
          <w:sz w:val="24"/>
          <w:szCs w:val="24"/>
          <w:highlight w:val="none"/>
          <w:lang w:val="zh-CN" w:bidi="zh-CN"/>
        </w:rPr>
        <w:t>第一节 通用合同条款</w:t>
      </w:r>
      <w:bookmarkEnd w:id="400"/>
    </w:p>
    <w:p w14:paraId="634C637E">
      <w:pPr>
        <w:keepNext/>
        <w:keepLines/>
        <w:pageBreakBefore w:val="0"/>
        <w:widowControl/>
        <w:kinsoku/>
        <w:wordWrap/>
        <w:overflowPunct/>
        <w:topLinePunct w:val="0"/>
        <w:bidi w:val="0"/>
        <w:adjustRightInd/>
        <w:snapToGrid/>
        <w:spacing w:before="260" w:after="26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bookmarkStart w:id="402" w:name="_Toc256000033"/>
      <w:r>
        <w:rPr>
          <w:rFonts w:hint="eastAsia" w:asciiTheme="minorEastAsia" w:hAnsiTheme="minorEastAsia" w:eastAsiaTheme="minorEastAsia" w:cstheme="minorEastAsia"/>
          <w:b/>
          <w:bCs/>
          <w:kern w:val="0"/>
          <w:sz w:val="24"/>
          <w:szCs w:val="24"/>
          <w:highlight w:val="none"/>
          <w:lang w:val="zh-CN" w:bidi="zh-CN"/>
        </w:rPr>
        <w:t>一、适用条件</w:t>
      </w:r>
      <w:bookmarkEnd w:id="402"/>
    </w:p>
    <w:p w14:paraId="2ED4F8E6">
      <w:pPr>
        <w:keepLines/>
        <w:pageBreakBefore w:val="0"/>
        <w:widowControl/>
        <w:tabs>
          <w:tab w:val="left" w:pos="567"/>
        </w:tabs>
        <w:kinsoku/>
        <w:wordWrap/>
        <w:overflowPunct/>
        <w:topLinePunct w:val="0"/>
        <w:autoSpaceDE w:val="0"/>
        <w:autoSpaceDN w:val="0"/>
        <w:bidi w:val="0"/>
        <w:adjustRightInd/>
        <w:snapToGrid/>
        <w:spacing w:before="120" w:after="120" w:line="320" w:lineRule="exact"/>
        <w:ind w:left="567"/>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1.合同适用条件</w:t>
      </w:r>
    </w:p>
    <w:p w14:paraId="176F9CE9">
      <w:pPr>
        <w:pageBreakBefore w:val="0"/>
        <w:tabs>
          <w:tab w:val="left" w:pos="1403"/>
          <w:tab w:val="left" w:pos="1404"/>
        </w:tabs>
        <w:kinsoku/>
        <w:wordWrap/>
        <w:overflowPunct/>
        <w:topLinePunct w:val="0"/>
        <w:autoSpaceDE w:val="0"/>
        <w:autoSpaceDN w:val="0"/>
        <w:bidi w:val="0"/>
        <w:adjustRightInd/>
        <w:snapToGrid/>
        <w:spacing w:before="1" w:line="320" w:lineRule="exact"/>
        <w:ind w:left="80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1.1本合同适用于喀什农村公路建设项目。</w:t>
      </w:r>
    </w:p>
    <w:p w14:paraId="7A9F2D8D">
      <w:pPr>
        <w:pageBreakBefore w:val="0"/>
        <w:tabs>
          <w:tab w:val="left" w:pos="1403"/>
          <w:tab w:val="left" w:pos="1404"/>
        </w:tabs>
        <w:kinsoku/>
        <w:wordWrap/>
        <w:overflowPunct/>
        <w:topLinePunct w:val="0"/>
        <w:autoSpaceDE w:val="0"/>
        <w:autoSpaceDN w:val="0"/>
        <w:bidi w:val="0"/>
        <w:adjustRightInd/>
        <w:snapToGrid/>
        <w:spacing w:before="83" w:line="320" w:lineRule="exact"/>
        <w:ind w:left="800" w:right="46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3"/>
          <w:kern w:val="0"/>
          <w:sz w:val="24"/>
          <w:szCs w:val="24"/>
          <w:highlight w:val="none"/>
          <w:lang w:val="zh-CN" w:bidi="zh-CN"/>
        </w:rPr>
        <w:t>1.2施工图设计文件经过审查批准，列入建设计划，资金落实到位，征地拆迁工作已经完成。</w:t>
      </w:r>
    </w:p>
    <w:p w14:paraId="5EF3C95B">
      <w:pPr>
        <w:keepLines/>
        <w:pageBreakBefore w:val="0"/>
        <w:widowControl/>
        <w:tabs>
          <w:tab w:val="left" w:pos="567"/>
        </w:tabs>
        <w:kinsoku/>
        <w:wordWrap/>
        <w:overflowPunct/>
        <w:topLinePunct w:val="0"/>
        <w:autoSpaceDE w:val="0"/>
        <w:autoSpaceDN w:val="0"/>
        <w:bidi w:val="0"/>
        <w:adjustRightInd/>
        <w:snapToGrid/>
        <w:spacing w:before="120" w:after="120" w:line="320" w:lineRule="exact"/>
        <w:ind w:left="567"/>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2.合同文件及优先顺序</w:t>
      </w:r>
    </w:p>
    <w:p w14:paraId="536B9076">
      <w:pPr>
        <w:pageBreakBefore w:val="0"/>
        <w:kinsoku/>
        <w:wordWrap/>
        <w:overflowPunct/>
        <w:topLinePunct w:val="0"/>
        <w:autoSpaceDE w:val="0"/>
        <w:autoSpaceDN w:val="0"/>
        <w:bidi w:val="0"/>
        <w:adjustRightInd/>
        <w:snapToGrid/>
        <w:spacing w:line="320" w:lineRule="exact"/>
        <w:ind w:left="384" w:right="26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组成合同的各项文件应互相解释，互为说明。除项目专用合同条款另有约定外， 解释合同文件的优先顺序如下：</w:t>
      </w:r>
    </w:p>
    <w:p w14:paraId="6C496F6A">
      <w:pPr>
        <w:pageBreakBefore w:val="0"/>
        <w:kinsoku/>
        <w:wordWrap/>
        <w:overflowPunct/>
        <w:topLinePunct w:val="0"/>
        <w:autoSpaceDE w:val="0"/>
        <w:autoSpaceDN w:val="0"/>
        <w:bidi w:val="0"/>
        <w:adjustRightInd/>
        <w:snapToGrid/>
        <w:spacing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（1）合同协议书及各种合同附件（含评标期间和合同谈判过程中的澄清文件和补充资料）；</w:t>
      </w:r>
    </w:p>
    <w:p w14:paraId="32B8350C">
      <w:pPr>
        <w:pageBreakBefore w:val="0"/>
        <w:kinsoku/>
        <w:wordWrap/>
        <w:overflowPunct/>
        <w:topLinePunct w:val="0"/>
        <w:autoSpaceDE w:val="0"/>
        <w:autoSpaceDN w:val="0"/>
        <w:bidi w:val="0"/>
        <w:adjustRightInd/>
        <w:snapToGrid/>
        <w:spacing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（2）中标通知书；</w:t>
      </w:r>
    </w:p>
    <w:p w14:paraId="5BA1B379">
      <w:pPr>
        <w:pageBreakBefore w:val="0"/>
        <w:kinsoku/>
        <w:wordWrap/>
        <w:overflowPunct/>
        <w:topLinePunct w:val="0"/>
        <w:autoSpaceDE w:val="0"/>
        <w:autoSpaceDN w:val="0"/>
        <w:bidi w:val="0"/>
        <w:adjustRightInd/>
        <w:snapToGrid/>
        <w:spacing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（3）投标函及投标函附录；</w:t>
      </w:r>
    </w:p>
    <w:p w14:paraId="1180E8F1">
      <w:pPr>
        <w:pageBreakBefore w:val="0"/>
        <w:kinsoku/>
        <w:wordWrap/>
        <w:overflowPunct/>
        <w:topLinePunct w:val="0"/>
        <w:autoSpaceDE w:val="0"/>
        <w:autoSpaceDN w:val="0"/>
        <w:bidi w:val="0"/>
        <w:adjustRightInd/>
        <w:snapToGrid/>
        <w:spacing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（4）专用合同条款；</w:t>
      </w:r>
    </w:p>
    <w:p w14:paraId="4A283ACD">
      <w:pPr>
        <w:pageBreakBefore w:val="0"/>
        <w:kinsoku/>
        <w:wordWrap/>
        <w:overflowPunct/>
        <w:topLinePunct w:val="0"/>
        <w:autoSpaceDE w:val="0"/>
        <w:autoSpaceDN w:val="0"/>
        <w:bidi w:val="0"/>
        <w:adjustRightInd/>
        <w:snapToGrid/>
        <w:spacing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（5）通用合同条款；</w:t>
      </w:r>
    </w:p>
    <w:p w14:paraId="6855128E">
      <w:pPr>
        <w:pageBreakBefore w:val="0"/>
        <w:kinsoku/>
        <w:wordWrap/>
        <w:overflowPunct/>
        <w:topLinePunct w:val="0"/>
        <w:autoSpaceDE w:val="0"/>
        <w:autoSpaceDN w:val="0"/>
        <w:bidi w:val="0"/>
        <w:adjustRightInd/>
        <w:snapToGrid/>
        <w:spacing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（6）工程量清单计量规则；</w:t>
      </w:r>
    </w:p>
    <w:p w14:paraId="6AF73496">
      <w:pPr>
        <w:pageBreakBefore w:val="0"/>
        <w:kinsoku/>
        <w:wordWrap/>
        <w:overflowPunct/>
        <w:topLinePunct w:val="0"/>
        <w:autoSpaceDE w:val="0"/>
        <w:autoSpaceDN w:val="0"/>
        <w:bidi w:val="0"/>
        <w:adjustRightInd/>
        <w:snapToGrid/>
        <w:spacing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（7）技术规范；</w:t>
      </w:r>
    </w:p>
    <w:p w14:paraId="778896A0">
      <w:pPr>
        <w:pageBreakBefore w:val="0"/>
        <w:kinsoku/>
        <w:wordWrap/>
        <w:overflowPunct/>
        <w:topLinePunct w:val="0"/>
        <w:autoSpaceDE w:val="0"/>
        <w:autoSpaceDN w:val="0"/>
        <w:bidi w:val="0"/>
        <w:adjustRightInd/>
        <w:snapToGrid/>
        <w:spacing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（8）图纸；</w:t>
      </w:r>
    </w:p>
    <w:p w14:paraId="5BA1EEC5">
      <w:pPr>
        <w:pageBreakBefore w:val="0"/>
        <w:kinsoku/>
        <w:wordWrap/>
        <w:overflowPunct/>
        <w:topLinePunct w:val="0"/>
        <w:autoSpaceDE w:val="0"/>
        <w:autoSpaceDN w:val="0"/>
        <w:bidi w:val="0"/>
        <w:adjustRightInd/>
        <w:snapToGrid/>
        <w:spacing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（9）已标价工程量清单；</w:t>
      </w:r>
    </w:p>
    <w:p w14:paraId="77992E88">
      <w:pPr>
        <w:pageBreakBefore w:val="0"/>
        <w:kinsoku/>
        <w:wordWrap/>
        <w:overflowPunct/>
        <w:topLinePunct w:val="0"/>
        <w:autoSpaceDE w:val="0"/>
        <w:autoSpaceDN w:val="0"/>
        <w:bidi w:val="0"/>
        <w:adjustRightInd/>
        <w:snapToGrid/>
        <w:spacing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（10）承包人有关人员、设备投入的承诺及投标文件中的施工组织设计；</w:t>
      </w:r>
    </w:p>
    <w:p w14:paraId="3017378B">
      <w:pPr>
        <w:pageBreakBefore w:val="0"/>
        <w:kinsoku/>
        <w:wordWrap/>
        <w:overflowPunct/>
        <w:topLinePunct w:val="0"/>
        <w:autoSpaceDE w:val="0"/>
        <w:autoSpaceDN w:val="0"/>
        <w:bidi w:val="0"/>
        <w:adjustRightInd/>
        <w:snapToGrid/>
        <w:spacing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（11）其他合同文件。</w:t>
      </w:r>
    </w:p>
    <w:p w14:paraId="5ACB8B06">
      <w:pPr>
        <w:keepLines/>
        <w:pageBreakBefore w:val="0"/>
        <w:widowControl/>
        <w:tabs>
          <w:tab w:val="left" w:pos="567"/>
        </w:tabs>
        <w:kinsoku/>
        <w:wordWrap/>
        <w:overflowPunct/>
        <w:topLinePunct w:val="0"/>
        <w:autoSpaceDE w:val="0"/>
        <w:autoSpaceDN w:val="0"/>
        <w:bidi w:val="0"/>
        <w:adjustRightInd/>
        <w:snapToGrid/>
        <w:spacing w:before="120" w:after="120" w:line="320" w:lineRule="exact"/>
        <w:ind w:left="567"/>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3.适用法律及规范</w:t>
      </w:r>
    </w:p>
    <w:p w14:paraId="7A691CF0">
      <w:pPr>
        <w:pageBreakBefore w:val="0"/>
        <w:tabs>
          <w:tab w:val="left" w:pos="1403"/>
          <w:tab w:val="left" w:pos="1404"/>
        </w:tabs>
        <w:kinsoku/>
        <w:wordWrap/>
        <w:overflowPunct/>
        <w:topLinePunct w:val="0"/>
        <w:autoSpaceDE w:val="0"/>
        <w:autoSpaceDN w:val="0"/>
        <w:bidi w:val="0"/>
        <w:adjustRightInd/>
        <w:snapToGrid/>
        <w:spacing w:before="1" w:line="320" w:lineRule="exact"/>
        <w:ind w:left="864"/>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3.1适用法律和法规</w:t>
      </w:r>
    </w:p>
    <w:p w14:paraId="4EDB8654">
      <w:pPr>
        <w:pageBreakBefore w:val="0"/>
        <w:kinsoku/>
        <w:wordWrap/>
        <w:overflowPunct/>
        <w:topLinePunct w:val="0"/>
        <w:autoSpaceDE w:val="0"/>
        <w:autoSpaceDN w:val="0"/>
        <w:bidi w:val="0"/>
        <w:adjustRightInd/>
        <w:snapToGrid/>
        <w:spacing w:before="86" w:line="320" w:lineRule="exact"/>
        <w:ind w:left="384"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本合同服从国家法律和行政法规、部门规章以及喀什地方法规、自治条例、单行条例和地方政府规章。</w:t>
      </w:r>
    </w:p>
    <w:p w14:paraId="6C662EDC">
      <w:pPr>
        <w:pageBreakBefore w:val="0"/>
        <w:tabs>
          <w:tab w:val="left" w:pos="1403"/>
          <w:tab w:val="left" w:pos="1404"/>
        </w:tabs>
        <w:kinsoku/>
        <w:wordWrap/>
        <w:overflowPunct/>
        <w:topLinePunct w:val="0"/>
        <w:autoSpaceDE w:val="0"/>
        <w:autoSpaceDN w:val="0"/>
        <w:bidi w:val="0"/>
        <w:adjustRightInd/>
        <w:snapToGrid/>
        <w:spacing w:before="1" w:line="320" w:lineRule="exact"/>
        <w:ind w:left="384" w:firstLine="48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3.2适用标准、规范</w:t>
      </w:r>
    </w:p>
    <w:p w14:paraId="2A748F67">
      <w:pPr>
        <w:pageBreakBefore w:val="0"/>
        <w:kinsoku/>
        <w:wordWrap/>
        <w:overflowPunct/>
        <w:topLinePunct w:val="0"/>
        <w:autoSpaceDE w:val="0"/>
        <w:autoSpaceDN w:val="0"/>
        <w:bidi w:val="0"/>
        <w:adjustRightInd/>
        <w:snapToGrid/>
        <w:spacing w:before="86" w:line="320" w:lineRule="exact"/>
        <w:ind w:left="384"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现行国家标准、规范；交通运输部行业标准、规范；地方标准、规范适用本合同。发包人及承包人应注意标准、规范及规程的变更，在招投标及项目实施期内出现应采用有效版本的标准、规范及规程，不发生由此引起的费用变更。</w:t>
      </w:r>
    </w:p>
    <w:p w14:paraId="4B63288D">
      <w:pPr>
        <w:pageBreakBefore w:val="0"/>
        <w:kinsoku/>
        <w:wordWrap/>
        <w:overflowPunct/>
        <w:topLinePunct w:val="0"/>
        <w:autoSpaceDE w:val="0"/>
        <w:autoSpaceDN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711D10EE">
      <w:pPr>
        <w:keepLines/>
        <w:pageBreakBefore w:val="0"/>
        <w:widowControl/>
        <w:tabs>
          <w:tab w:val="left" w:pos="567"/>
        </w:tabs>
        <w:kinsoku/>
        <w:wordWrap/>
        <w:overflowPunct/>
        <w:topLinePunct w:val="0"/>
        <w:autoSpaceDE w:val="0"/>
        <w:autoSpaceDN w:val="0"/>
        <w:bidi w:val="0"/>
        <w:adjustRightInd/>
        <w:snapToGrid/>
        <w:spacing w:before="120" w:after="120" w:line="320" w:lineRule="exact"/>
        <w:ind w:left="567"/>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4.图纸和技术资料</w:t>
      </w:r>
    </w:p>
    <w:p w14:paraId="5FA241F4">
      <w:pPr>
        <w:pageBreakBefore w:val="0"/>
        <w:widowControl/>
        <w:kinsoku/>
        <w:wordWrap/>
        <w:overflowPunct/>
        <w:topLinePunct w:val="0"/>
        <w:bidi w:val="0"/>
        <w:adjustRightInd/>
        <w:snapToGrid/>
        <w:spacing w:line="320" w:lineRule="exact"/>
        <w:ind w:firstLine="840" w:firstLineChars="35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4.1合同协议书签定之后，发包人免费向承包人提供施工图纸（相关技术资料） 两份，向承包人进行技术交底。</w:t>
      </w:r>
    </w:p>
    <w:p w14:paraId="6EC88365">
      <w:pPr>
        <w:pageBreakBefore w:val="0"/>
        <w:kinsoku/>
        <w:wordWrap/>
        <w:overflowPunct/>
        <w:topLinePunct w:val="0"/>
        <w:autoSpaceDE w:val="0"/>
        <w:autoSpaceDN w:val="0"/>
        <w:bidi w:val="0"/>
        <w:adjustRightInd/>
        <w:snapToGrid/>
        <w:spacing w:before="86" w:line="320" w:lineRule="exact"/>
        <w:ind w:left="384"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4.2发包人有权通过监理人向承包人发出为满足本合同工程的正确实施和完成及其缺陷修复所需的补充图纸和有关指示，承包人应予执行。</w:t>
      </w:r>
    </w:p>
    <w:p w14:paraId="4AA62E77">
      <w:pPr>
        <w:keepNext/>
        <w:keepLines/>
        <w:pageBreakBefore w:val="0"/>
        <w:widowControl/>
        <w:kinsoku/>
        <w:wordWrap/>
        <w:overflowPunct/>
        <w:topLinePunct w:val="0"/>
        <w:bidi w:val="0"/>
        <w:adjustRightInd/>
        <w:snapToGrid/>
        <w:spacing w:before="260" w:after="26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bookmarkStart w:id="403" w:name="_Toc256000034"/>
      <w:r>
        <w:rPr>
          <w:rFonts w:hint="eastAsia" w:asciiTheme="minorEastAsia" w:hAnsiTheme="minorEastAsia" w:eastAsiaTheme="minorEastAsia" w:cstheme="minorEastAsia"/>
          <w:b/>
          <w:bCs/>
          <w:kern w:val="0"/>
          <w:sz w:val="24"/>
          <w:szCs w:val="24"/>
          <w:highlight w:val="none"/>
          <w:lang w:val="zh-CN" w:bidi="zh-CN"/>
        </w:rPr>
        <w:t>二、双方一般义务和责任</w:t>
      </w:r>
      <w:bookmarkEnd w:id="403"/>
    </w:p>
    <w:p w14:paraId="71A7F782">
      <w:pPr>
        <w:keepLines/>
        <w:pageBreakBefore w:val="0"/>
        <w:widowControl/>
        <w:tabs>
          <w:tab w:val="left" w:pos="567"/>
        </w:tabs>
        <w:kinsoku/>
        <w:wordWrap/>
        <w:overflowPunct/>
        <w:topLinePunct w:val="0"/>
        <w:autoSpaceDE w:val="0"/>
        <w:autoSpaceDN w:val="0"/>
        <w:bidi w:val="0"/>
        <w:adjustRightInd/>
        <w:snapToGrid/>
        <w:spacing w:before="120" w:after="120" w:line="320" w:lineRule="exact"/>
        <w:ind w:left="567"/>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5.发包人一般义务和责任</w:t>
      </w:r>
    </w:p>
    <w:p w14:paraId="31C16C24">
      <w:pPr>
        <w:pageBreakBefore w:val="0"/>
        <w:numPr>
          <w:ilvl w:val="1"/>
          <w:numId w:val="19"/>
        </w:numPr>
        <w:tabs>
          <w:tab w:val="left" w:pos="1404"/>
        </w:tabs>
        <w:kinsoku/>
        <w:wordWrap/>
        <w:overflowPunct/>
        <w:topLinePunct w:val="0"/>
        <w:autoSpaceDE w:val="0"/>
        <w:autoSpaceDN w:val="0"/>
        <w:bidi w:val="0"/>
        <w:adjustRightInd/>
        <w:snapToGrid/>
        <w:spacing w:line="320" w:lineRule="exact"/>
        <w:ind w:right="466" w:firstLine="476"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
          <w:kern w:val="0"/>
          <w:sz w:val="24"/>
          <w:szCs w:val="24"/>
          <w:highlight w:val="none"/>
          <w:lang w:val="zh-CN" w:bidi="zh-CN"/>
        </w:rPr>
        <w:t>发包人应在其组织实施本合同的全部工作中遵守与本合同有关的法律、法规和规章，同时应承担合同条款中规定的一般义务和责任，并应承担由于自身违反上述法律、法规和规章的责任。</w:t>
      </w:r>
    </w:p>
    <w:p w14:paraId="119A9200">
      <w:pPr>
        <w:pageBreakBefore w:val="0"/>
        <w:numPr>
          <w:ilvl w:val="1"/>
          <w:numId w:val="19"/>
        </w:numPr>
        <w:tabs>
          <w:tab w:val="left" w:pos="1404"/>
        </w:tabs>
        <w:kinsoku/>
        <w:wordWrap/>
        <w:overflowPunct/>
        <w:topLinePunct w:val="0"/>
        <w:autoSpaceDE w:val="0"/>
        <w:autoSpaceDN w:val="0"/>
        <w:bidi w:val="0"/>
        <w:adjustRightInd/>
        <w:snapToGrid/>
        <w:spacing w:line="320" w:lineRule="exact"/>
        <w:ind w:right="466" w:firstLine="472"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2"/>
          <w:kern w:val="0"/>
          <w:sz w:val="24"/>
          <w:szCs w:val="24"/>
          <w:highlight w:val="none"/>
          <w:lang w:val="zh-CN" w:bidi="zh-CN"/>
        </w:rPr>
        <w:t>发包人应负责工程用地范围内的征地拆迁工作，并承担相关费用。发包人应协助承包人办理法律规定的有关本项目的施工手续。</w:t>
      </w:r>
    </w:p>
    <w:p w14:paraId="330DE257">
      <w:pPr>
        <w:pageBreakBefore w:val="0"/>
        <w:kinsoku/>
        <w:wordWrap/>
        <w:overflowPunct/>
        <w:topLinePunct w:val="0"/>
        <w:autoSpaceDE w:val="0"/>
        <w:autoSpaceDN w:val="0"/>
        <w:bidi w:val="0"/>
        <w:adjustRightInd/>
        <w:snapToGrid/>
        <w:spacing w:line="320" w:lineRule="exact"/>
        <w:ind w:left="384"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按时向承包人提供施工用地，保证按时开工。由于发包人未能按照本项规定办妥永久占地征用手续及施工用地，影响承包人及时使用永久占地及施工用地造成的费用增加和(或)工期延误应由发包人承担。</w:t>
      </w:r>
    </w:p>
    <w:p w14:paraId="774C3C52">
      <w:pPr>
        <w:pageBreakBefore w:val="0"/>
        <w:numPr>
          <w:ilvl w:val="1"/>
          <w:numId w:val="19"/>
        </w:numPr>
        <w:tabs>
          <w:tab w:val="left" w:pos="1404"/>
        </w:tabs>
        <w:kinsoku/>
        <w:wordWrap/>
        <w:overflowPunct/>
        <w:topLinePunct w:val="0"/>
        <w:autoSpaceDE w:val="0"/>
        <w:autoSpaceDN w:val="0"/>
        <w:bidi w:val="0"/>
        <w:adjustRightInd/>
        <w:snapToGrid/>
        <w:spacing w:line="320" w:lineRule="exact"/>
        <w:ind w:right="466" w:firstLine="468"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3"/>
          <w:kern w:val="0"/>
          <w:sz w:val="24"/>
          <w:szCs w:val="24"/>
          <w:highlight w:val="none"/>
          <w:lang w:val="zh-CN" w:bidi="zh-CN"/>
        </w:rPr>
        <w:t>工程实行社会监理的，发包人将委托的监理人、监理内容及监理权限以书面形式通知承包人。</w:t>
      </w:r>
    </w:p>
    <w:p w14:paraId="5A7E7528">
      <w:pPr>
        <w:pageBreakBefore w:val="0"/>
        <w:numPr>
          <w:ilvl w:val="1"/>
          <w:numId w:val="19"/>
        </w:numPr>
        <w:tabs>
          <w:tab w:val="left" w:pos="1403"/>
          <w:tab w:val="left" w:pos="1404"/>
        </w:tabs>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监理人按合同规定向承包人发出开工通知（应征得发包人同意）。</w:t>
      </w:r>
    </w:p>
    <w:p w14:paraId="4F56EEE5">
      <w:pPr>
        <w:pageBreakBefore w:val="0"/>
        <w:numPr>
          <w:ilvl w:val="1"/>
          <w:numId w:val="19"/>
        </w:numPr>
        <w:tabs>
          <w:tab w:val="left" w:pos="1404"/>
        </w:tabs>
        <w:kinsoku/>
        <w:wordWrap/>
        <w:overflowPunct/>
        <w:topLinePunct w:val="0"/>
        <w:autoSpaceDE w:val="0"/>
        <w:autoSpaceDN w:val="0"/>
        <w:bidi w:val="0"/>
        <w:adjustRightInd/>
        <w:snapToGrid/>
        <w:spacing w:before="99" w:line="320" w:lineRule="exact"/>
        <w:ind w:right="466" w:firstLine="476"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
          <w:kern w:val="0"/>
          <w:sz w:val="24"/>
          <w:szCs w:val="24"/>
          <w:highlight w:val="none"/>
          <w:lang w:val="zh-CN" w:bidi="zh-CN"/>
        </w:rPr>
        <w:t>发包人应及时提供设计图纸及资料</w:t>
      </w:r>
      <w:r>
        <w:rPr>
          <w:rFonts w:hint="eastAsia" w:asciiTheme="minorEastAsia" w:hAnsiTheme="minorEastAsia" w:eastAsiaTheme="minorEastAsia" w:cstheme="minorEastAsia"/>
          <w:kern w:val="0"/>
          <w:sz w:val="24"/>
          <w:szCs w:val="24"/>
          <w:highlight w:val="none"/>
          <w:lang w:val="zh-CN" w:bidi="zh-CN"/>
        </w:rPr>
        <w:t>（包括变更设计</w:t>
      </w:r>
      <w:r>
        <w:rPr>
          <w:rFonts w:hint="eastAsia" w:asciiTheme="minorEastAsia" w:hAnsiTheme="minorEastAsia" w:eastAsiaTheme="minorEastAsia" w:cstheme="minorEastAsia"/>
          <w:spacing w:val="-9"/>
          <w:kern w:val="0"/>
          <w:sz w:val="24"/>
          <w:szCs w:val="24"/>
          <w:highlight w:val="none"/>
          <w:lang w:val="zh-CN" w:bidi="zh-CN"/>
        </w:rPr>
        <w:t>）</w:t>
      </w:r>
      <w:r>
        <w:rPr>
          <w:rFonts w:hint="eastAsia" w:asciiTheme="minorEastAsia" w:hAnsiTheme="minorEastAsia" w:eastAsiaTheme="minorEastAsia" w:cstheme="minorEastAsia"/>
          <w:spacing w:val="-3"/>
          <w:kern w:val="0"/>
          <w:sz w:val="24"/>
          <w:szCs w:val="24"/>
          <w:highlight w:val="none"/>
          <w:lang w:val="zh-CN" w:bidi="zh-CN"/>
        </w:rPr>
        <w:t>，因发包人的原因造成的停工、窝工，除应允许承包人延长相应工期外，还应补偿由此对承包人造成的损失。补偿额由监理人在现场核查后计算其数额，报发包人批准后支付。</w:t>
      </w:r>
    </w:p>
    <w:p w14:paraId="230A196D">
      <w:pPr>
        <w:pageBreakBefore w:val="0"/>
        <w:numPr>
          <w:ilvl w:val="1"/>
          <w:numId w:val="19"/>
        </w:numPr>
        <w:tabs>
          <w:tab w:val="left" w:pos="1403"/>
          <w:tab w:val="left" w:pos="1404"/>
        </w:tabs>
        <w:kinsoku/>
        <w:wordWrap/>
        <w:overflowPunct/>
        <w:topLinePunct w:val="0"/>
        <w:autoSpaceDE w:val="0"/>
        <w:autoSpaceDN w:val="0"/>
        <w:bidi w:val="0"/>
        <w:adjustRightInd/>
        <w:snapToGrid/>
        <w:spacing w:before="1" w:line="320" w:lineRule="exact"/>
        <w:ind w:right="346" w:firstLine="476"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
          <w:kern w:val="0"/>
          <w:sz w:val="24"/>
          <w:szCs w:val="24"/>
          <w:highlight w:val="none"/>
          <w:lang w:val="zh-CN" w:bidi="zh-CN"/>
        </w:rPr>
        <w:t>发包人向承包人支付的预付款金额见合同条款数据表。承包人提交的履约</w:t>
      </w:r>
      <w:r>
        <w:rPr>
          <w:rFonts w:hint="eastAsia" w:asciiTheme="minorEastAsia" w:hAnsiTheme="minorEastAsia" w:eastAsiaTheme="minorEastAsia" w:cstheme="minorEastAsia"/>
          <w:spacing w:val="-6"/>
          <w:kern w:val="0"/>
          <w:sz w:val="24"/>
          <w:szCs w:val="24"/>
          <w:highlight w:val="none"/>
          <w:lang w:val="zh-CN" w:bidi="zh-CN"/>
        </w:rPr>
        <w:t>保证金对预付款的正常使用承担保证责任，承包人无再须向发包人提交预付款保函。</w:t>
      </w:r>
    </w:p>
    <w:p w14:paraId="336D3025">
      <w:pPr>
        <w:pageBreakBefore w:val="0"/>
        <w:numPr>
          <w:ilvl w:val="1"/>
          <w:numId w:val="19"/>
        </w:numPr>
        <w:tabs>
          <w:tab w:val="left" w:pos="1409"/>
        </w:tabs>
        <w:kinsoku/>
        <w:wordWrap/>
        <w:overflowPunct/>
        <w:topLinePunct w:val="0"/>
        <w:autoSpaceDE w:val="0"/>
        <w:autoSpaceDN w:val="0"/>
        <w:bidi w:val="0"/>
        <w:adjustRightInd/>
        <w:snapToGrid/>
        <w:spacing w:line="320" w:lineRule="exact"/>
        <w:ind w:right="466" w:firstLine="472"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2"/>
          <w:kern w:val="0"/>
          <w:sz w:val="24"/>
          <w:szCs w:val="24"/>
          <w:highlight w:val="none"/>
          <w:lang w:val="zh-CN" w:bidi="zh-CN"/>
        </w:rPr>
        <w:t xml:space="preserve">发包人在接到监理人审定的中期支付报告后 </w:t>
      </w:r>
      <w:r>
        <w:rPr>
          <w:rFonts w:hint="eastAsia" w:asciiTheme="minorEastAsia" w:hAnsiTheme="minorEastAsia" w:eastAsiaTheme="minorEastAsia" w:cstheme="minorEastAsia"/>
          <w:kern w:val="0"/>
          <w:sz w:val="24"/>
          <w:szCs w:val="24"/>
          <w:highlight w:val="none"/>
          <w:lang w:val="zh-CN" w:bidi="zh-CN"/>
        </w:rPr>
        <w:t>14</w:t>
      </w:r>
      <w:r>
        <w:rPr>
          <w:rFonts w:hint="eastAsia" w:asciiTheme="minorEastAsia" w:hAnsiTheme="minorEastAsia" w:eastAsiaTheme="minorEastAsia" w:cstheme="minorEastAsia"/>
          <w:spacing w:val="20"/>
          <w:kern w:val="0"/>
          <w:sz w:val="24"/>
          <w:szCs w:val="24"/>
          <w:highlight w:val="none"/>
          <w:lang w:val="zh-CN" w:bidi="zh-CN"/>
        </w:rPr>
        <w:t xml:space="preserve"> </w:t>
      </w:r>
      <w:r>
        <w:rPr>
          <w:rFonts w:hint="eastAsia" w:asciiTheme="minorEastAsia" w:hAnsiTheme="minorEastAsia" w:eastAsiaTheme="minorEastAsia" w:cstheme="minorEastAsia"/>
          <w:kern w:val="0"/>
          <w:sz w:val="24"/>
          <w:szCs w:val="24"/>
          <w:highlight w:val="none"/>
          <w:lang w:val="zh-CN" w:bidi="zh-CN"/>
        </w:rPr>
        <w:t>天内拨付工程进度款。在</w:t>
      </w:r>
      <w:r>
        <w:rPr>
          <w:rFonts w:hint="eastAsia" w:asciiTheme="minorEastAsia" w:hAnsiTheme="minorEastAsia" w:eastAsiaTheme="minorEastAsia" w:cstheme="minorEastAsia"/>
          <w:spacing w:val="-4"/>
          <w:kern w:val="0"/>
          <w:sz w:val="24"/>
          <w:szCs w:val="24"/>
          <w:highlight w:val="none"/>
          <w:lang w:val="zh-CN" w:bidi="zh-CN"/>
        </w:rPr>
        <w:t xml:space="preserve">中期支付中应扣除预付款，预付款的扣回按合同条款 </w:t>
      </w:r>
      <w:r>
        <w:rPr>
          <w:rFonts w:hint="eastAsia" w:asciiTheme="minorEastAsia" w:hAnsiTheme="minorEastAsia" w:eastAsiaTheme="minorEastAsia" w:cstheme="minorEastAsia"/>
          <w:kern w:val="0"/>
          <w:sz w:val="24"/>
          <w:szCs w:val="24"/>
          <w:highlight w:val="none"/>
          <w:lang w:val="zh-CN" w:bidi="zh-CN"/>
        </w:rPr>
        <w:t xml:space="preserve">17.3 </w:t>
      </w:r>
      <w:r>
        <w:rPr>
          <w:rFonts w:hint="eastAsia" w:asciiTheme="minorEastAsia" w:hAnsiTheme="minorEastAsia" w:eastAsiaTheme="minorEastAsia" w:cstheme="minorEastAsia"/>
          <w:spacing w:val="-3"/>
          <w:kern w:val="0"/>
          <w:sz w:val="24"/>
          <w:szCs w:val="24"/>
          <w:highlight w:val="none"/>
          <w:lang w:val="zh-CN" w:bidi="zh-CN"/>
        </w:rPr>
        <w:t>款执行。监理人签发中期</w:t>
      </w:r>
      <w:r>
        <w:rPr>
          <w:rFonts w:hint="eastAsia" w:asciiTheme="minorEastAsia" w:hAnsiTheme="minorEastAsia" w:eastAsiaTheme="minorEastAsia" w:cstheme="minorEastAsia"/>
          <w:spacing w:val="-10"/>
          <w:kern w:val="0"/>
          <w:sz w:val="24"/>
          <w:szCs w:val="24"/>
          <w:highlight w:val="none"/>
          <w:lang w:val="zh-CN" w:bidi="zh-CN"/>
        </w:rPr>
        <w:t xml:space="preserve">支付证书的时限为 </w:t>
      </w:r>
      <w:r>
        <w:rPr>
          <w:rFonts w:hint="eastAsia" w:asciiTheme="minorEastAsia" w:hAnsiTheme="minorEastAsia" w:eastAsiaTheme="minorEastAsia" w:cstheme="minorEastAsia"/>
          <w:kern w:val="0"/>
          <w:sz w:val="24"/>
          <w:szCs w:val="24"/>
          <w:highlight w:val="none"/>
          <w:lang w:val="zh-CN" w:bidi="zh-CN"/>
        </w:rPr>
        <w:t>14 天。</w:t>
      </w:r>
    </w:p>
    <w:p w14:paraId="08A980F5">
      <w:pPr>
        <w:pageBreakBefore w:val="0"/>
        <w:numPr>
          <w:ilvl w:val="1"/>
          <w:numId w:val="19"/>
        </w:numPr>
        <w:tabs>
          <w:tab w:val="left" w:pos="1409"/>
        </w:tabs>
        <w:kinsoku/>
        <w:wordWrap/>
        <w:overflowPunct/>
        <w:topLinePunct w:val="0"/>
        <w:autoSpaceDE w:val="0"/>
        <w:autoSpaceDN w:val="0"/>
        <w:bidi w:val="0"/>
        <w:adjustRightInd/>
        <w:snapToGrid/>
        <w:spacing w:before="1" w:line="320" w:lineRule="exact"/>
        <w:ind w:right="466" w:firstLine="472"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2"/>
          <w:kern w:val="0"/>
          <w:sz w:val="24"/>
          <w:szCs w:val="24"/>
          <w:highlight w:val="none"/>
          <w:lang w:val="zh-CN" w:bidi="zh-CN"/>
        </w:rPr>
        <w:t xml:space="preserve">发包人在接到监理人交工验收报告后在符合交工验收条件的情况下 </w:t>
      </w:r>
      <w:r>
        <w:rPr>
          <w:rFonts w:hint="eastAsia" w:asciiTheme="minorEastAsia" w:hAnsiTheme="minorEastAsia" w:eastAsiaTheme="minorEastAsia" w:cstheme="minorEastAsia"/>
          <w:kern w:val="0"/>
          <w:sz w:val="24"/>
          <w:szCs w:val="24"/>
          <w:highlight w:val="none"/>
          <w:lang w:val="zh-CN" w:bidi="zh-CN"/>
        </w:rPr>
        <w:t>14</w:t>
      </w:r>
      <w:r>
        <w:rPr>
          <w:rFonts w:hint="eastAsia" w:asciiTheme="minorEastAsia" w:hAnsiTheme="minorEastAsia" w:eastAsiaTheme="minorEastAsia" w:cstheme="minorEastAsia"/>
          <w:spacing w:val="23"/>
          <w:kern w:val="0"/>
          <w:sz w:val="24"/>
          <w:szCs w:val="24"/>
          <w:highlight w:val="none"/>
          <w:lang w:val="zh-CN" w:bidi="zh-CN"/>
        </w:rPr>
        <w:t xml:space="preserve"> </w:t>
      </w:r>
      <w:r>
        <w:rPr>
          <w:rFonts w:hint="eastAsia" w:asciiTheme="minorEastAsia" w:hAnsiTheme="minorEastAsia" w:eastAsiaTheme="minorEastAsia" w:cstheme="minorEastAsia"/>
          <w:kern w:val="0"/>
          <w:sz w:val="24"/>
          <w:szCs w:val="24"/>
          <w:highlight w:val="none"/>
          <w:lang w:val="zh-CN" w:bidi="zh-CN"/>
        </w:rPr>
        <w:t>天</w:t>
      </w:r>
      <w:r>
        <w:rPr>
          <w:rFonts w:hint="eastAsia" w:asciiTheme="minorEastAsia" w:hAnsiTheme="minorEastAsia" w:eastAsiaTheme="minorEastAsia" w:cstheme="minorEastAsia"/>
          <w:spacing w:val="-11"/>
          <w:kern w:val="0"/>
          <w:sz w:val="24"/>
          <w:szCs w:val="24"/>
          <w:highlight w:val="none"/>
          <w:lang w:val="zh-CN" w:bidi="zh-CN"/>
        </w:rPr>
        <w:t xml:space="preserve">内组织交工验收，发包人应在收到承包人缴纳的质量保证金后 </w:t>
      </w:r>
      <w:r>
        <w:rPr>
          <w:rFonts w:hint="eastAsia" w:asciiTheme="minorEastAsia" w:hAnsiTheme="minorEastAsia" w:eastAsiaTheme="minorEastAsia" w:cstheme="minorEastAsia"/>
          <w:kern w:val="0"/>
          <w:sz w:val="24"/>
          <w:szCs w:val="24"/>
          <w:highlight w:val="none"/>
          <w:lang w:val="zh-CN" w:bidi="zh-CN"/>
        </w:rPr>
        <w:t>28 天内将履约保证金退还给承包人。</w:t>
      </w:r>
    </w:p>
    <w:p w14:paraId="3CD10B2B">
      <w:pPr>
        <w:pageBreakBefore w:val="0"/>
        <w:kinsoku/>
        <w:wordWrap/>
        <w:overflowPunct/>
        <w:topLinePunct w:val="0"/>
        <w:autoSpaceDE w:val="0"/>
        <w:autoSpaceDN w:val="0"/>
        <w:bidi w:val="0"/>
        <w:adjustRightInd/>
        <w:snapToGrid/>
        <w:spacing w:line="320" w:lineRule="exact"/>
        <w:ind w:left="384"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交工后进入缺陷责任期，缺陷责任期见合同条款数据表。发包人应按合同约定及时组织竣工验收，签发缺陷责任终止证书，退返质量保证金。</w:t>
      </w:r>
    </w:p>
    <w:p w14:paraId="56763BB2">
      <w:pPr>
        <w:keepLines/>
        <w:pageBreakBefore w:val="0"/>
        <w:widowControl/>
        <w:tabs>
          <w:tab w:val="left" w:pos="567"/>
        </w:tabs>
        <w:kinsoku/>
        <w:wordWrap/>
        <w:overflowPunct/>
        <w:topLinePunct w:val="0"/>
        <w:autoSpaceDE w:val="0"/>
        <w:autoSpaceDN w:val="0"/>
        <w:bidi w:val="0"/>
        <w:adjustRightInd/>
        <w:snapToGrid/>
        <w:spacing w:before="120" w:after="120" w:line="320" w:lineRule="exact"/>
        <w:ind w:left="567"/>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6.承包人一般义务和责任</w:t>
      </w:r>
    </w:p>
    <w:p w14:paraId="7534A233">
      <w:pPr>
        <w:pageBreakBefore w:val="0"/>
        <w:widowControl/>
        <w:kinsoku/>
        <w:wordWrap/>
        <w:overflowPunct/>
        <w:topLinePunct w:val="0"/>
        <w:bidi w:val="0"/>
        <w:adjustRightInd/>
        <w:snapToGrid/>
        <w:spacing w:line="320" w:lineRule="exact"/>
        <w:ind w:firstLine="840" w:firstLineChars="35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6.1承包人在执行本工程合同全过程中应遵守与本合同有关的法律、法规和规章，并保证发包人免于承担因承包人违反法律而引起的任何责任。同时应承担合同条款中规定的义务和责任，并承担由于自身违反上述法律、法规和规章的任何责任。</w:t>
      </w:r>
    </w:p>
    <w:p w14:paraId="0365B1A2">
      <w:pPr>
        <w:pageBreakBefore w:val="0"/>
        <w:kinsoku/>
        <w:wordWrap/>
        <w:overflowPunct/>
        <w:topLinePunct w:val="0"/>
        <w:autoSpaceDE w:val="0"/>
        <w:autoSpaceDN w:val="0"/>
        <w:bidi w:val="0"/>
        <w:adjustRightInd/>
        <w:snapToGrid/>
        <w:spacing w:line="320" w:lineRule="exact"/>
        <w:ind w:left="384"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6.2承包人应按合同约定以及监理人根据合同文件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71236BE5">
      <w:pPr>
        <w:pageBreakBefore w:val="0"/>
        <w:kinsoku/>
        <w:wordWrap/>
        <w:overflowPunct/>
        <w:topLinePunct w:val="0"/>
        <w:autoSpaceDE w:val="0"/>
        <w:autoSpaceDN w:val="0"/>
        <w:bidi w:val="0"/>
        <w:adjustRightInd/>
        <w:snapToGrid/>
        <w:spacing w:line="320" w:lineRule="exact"/>
        <w:ind w:left="384"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6.3承包人应仔细核查发包人提供的设计文件，对于存在的错误或疏忽，应及时通知监理人。</w:t>
      </w:r>
    </w:p>
    <w:p w14:paraId="381CBBA0">
      <w:pPr>
        <w:pageBreakBefore w:val="0"/>
        <w:kinsoku/>
        <w:wordWrap/>
        <w:overflowPunct/>
        <w:topLinePunct w:val="0"/>
        <w:autoSpaceDE w:val="0"/>
        <w:autoSpaceDN w:val="0"/>
        <w:bidi w:val="0"/>
        <w:adjustRightInd/>
        <w:snapToGrid/>
        <w:spacing w:line="320" w:lineRule="exact"/>
        <w:ind w:left="384"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6.4承包人应保证其履约保证金在发包人签发交工验收证书且承包人按照合同约定缴纳质量保证金前一直有效。</w:t>
      </w:r>
    </w:p>
    <w:p w14:paraId="71231B4E">
      <w:pPr>
        <w:pageBreakBefore w:val="0"/>
        <w:kinsoku/>
        <w:wordWrap/>
        <w:overflowPunct/>
        <w:topLinePunct w:val="0"/>
        <w:autoSpaceDE w:val="0"/>
        <w:autoSpaceDN w:val="0"/>
        <w:bidi w:val="0"/>
        <w:adjustRightInd/>
        <w:snapToGrid/>
        <w:spacing w:line="320" w:lineRule="exact"/>
        <w:ind w:left="384"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6.5承包人应设立针对该项目的独立银行账户，所有要求用于该项目的资金不得挪作他用，否则发包人有权终止合同，没收履约保证金。</w:t>
      </w:r>
    </w:p>
    <w:p w14:paraId="28A184EF">
      <w:pPr>
        <w:pageBreakBefore w:val="0"/>
        <w:kinsoku/>
        <w:wordWrap/>
        <w:overflowPunct/>
        <w:topLinePunct w:val="0"/>
        <w:autoSpaceDE w:val="0"/>
        <w:autoSpaceDN w:val="0"/>
        <w:bidi w:val="0"/>
        <w:adjustRightInd/>
        <w:snapToGrid/>
        <w:spacing w:line="320" w:lineRule="exact"/>
        <w:ind w:left="384"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6.6承包人应按有关法律规定纳税，其费用包括在合同价格内。</w:t>
      </w:r>
    </w:p>
    <w:p w14:paraId="4903AA5E">
      <w:pPr>
        <w:pageBreakBefore w:val="0"/>
        <w:kinsoku/>
        <w:wordWrap/>
        <w:overflowPunct/>
        <w:topLinePunct w:val="0"/>
        <w:autoSpaceDE w:val="0"/>
        <w:autoSpaceDN w:val="0"/>
        <w:bidi w:val="0"/>
        <w:adjustRightInd/>
        <w:snapToGrid/>
        <w:spacing w:line="320" w:lineRule="exact"/>
        <w:ind w:left="384"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6.7承包人应认真执行监理人发出的与合同有关的任何指令，及时进场施工， 按时完成合同规定的全部承包内容。</w:t>
      </w:r>
    </w:p>
    <w:p w14:paraId="66683159">
      <w:pPr>
        <w:pageBreakBefore w:val="0"/>
        <w:kinsoku/>
        <w:wordWrap/>
        <w:overflowPunct/>
        <w:topLinePunct w:val="0"/>
        <w:autoSpaceDE w:val="0"/>
        <w:autoSpaceDN w:val="0"/>
        <w:bidi w:val="0"/>
        <w:adjustRightInd/>
        <w:snapToGrid/>
        <w:spacing w:line="320" w:lineRule="exact"/>
        <w:ind w:left="384"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6.8承包人应按合同约定指派项目经理、项目总工，并在约定的期限内到职。承包人更换项目经理、项目总工应事先征得发包人同意。进入现场的职工，应能胜任其本职工作。发包人和承包人在合同谈判阶段确定的其他管理和技术人员必须及时进场。承包人应按发包人和承包人在合同谈判阶段确定的主要机械设备和试验检测设备按时到达施工现场。人员、机械、试验仪器设备不得拖延、短缺或任意更换。否则将视为承包人违约。承包人应按有关规定，确保工程及其人员、材料、设备和设施的安全，防止因工程施工造成的人员伤害和财产损失。</w:t>
      </w:r>
    </w:p>
    <w:p w14:paraId="22F39E9B">
      <w:pPr>
        <w:pageBreakBefore w:val="0"/>
        <w:kinsoku/>
        <w:wordWrap/>
        <w:overflowPunct/>
        <w:topLinePunct w:val="0"/>
        <w:autoSpaceDE w:val="0"/>
        <w:autoSpaceDN w:val="0"/>
        <w:bidi w:val="0"/>
        <w:adjustRightInd/>
        <w:snapToGrid/>
        <w:spacing w:line="320" w:lineRule="exact"/>
        <w:ind w:left="384"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6.9承包人应按设计图纸及相关资料和规范要求，精心组织施工，并对现场文明施工、环境保护及作业和施工方法的完备性和可靠性负全部责任。不合格的材料及机械设备不得运入现场。</w:t>
      </w:r>
    </w:p>
    <w:p w14:paraId="3514E183">
      <w:pPr>
        <w:pageBreakBefore w:val="0"/>
        <w:kinsoku/>
        <w:wordWrap/>
        <w:overflowPunct/>
        <w:topLinePunct w:val="0"/>
        <w:autoSpaceDE w:val="0"/>
        <w:autoSpaceDN w:val="0"/>
        <w:bidi w:val="0"/>
        <w:adjustRightInd/>
        <w:snapToGrid/>
        <w:spacing w:line="320" w:lineRule="exact"/>
        <w:ind w:left="384"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6.10承包人不得从为发包人、监理人服务的人员中招聘雇员或工人。雇用员工应订立劳务合同，执行国家有关劳动保障规定，不得无故克扣或拖欠劳务人员的工资。</w:t>
      </w:r>
    </w:p>
    <w:p w14:paraId="359DC016">
      <w:pPr>
        <w:pageBreakBefore w:val="0"/>
        <w:kinsoku/>
        <w:wordWrap/>
        <w:overflowPunct/>
        <w:topLinePunct w:val="0"/>
        <w:autoSpaceDE w:val="0"/>
        <w:autoSpaceDN w:val="0"/>
        <w:bidi w:val="0"/>
        <w:adjustRightInd/>
        <w:snapToGrid/>
        <w:spacing w:line="320" w:lineRule="exact"/>
        <w:ind w:left="384"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6.11承包人应为本合同的施工建立强有力的质量保证体系和质检体系，建立质量责任制、加强质量监控，完备检验手段，对现场施工的可靠性、安全性承担全部责任。</w:t>
      </w:r>
    </w:p>
    <w:p w14:paraId="3F99D65D">
      <w:pPr>
        <w:pageBreakBefore w:val="0"/>
        <w:kinsoku/>
        <w:wordWrap/>
        <w:overflowPunct/>
        <w:topLinePunct w:val="0"/>
        <w:autoSpaceDE w:val="0"/>
        <w:autoSpaceDN w:val="0"/>
        <w:bidi w:val="0"/>
        <w:adjustRightInd/>
        <w:snapToGrid/>
        <w:spacing w:line="320" w:lineRule="exact"/>
        <w:ind w:left="384"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6.12批准的设计文件中要求的所有事项应视为合同条款所要求的，若有争议， 以监理人发出的指令为准。</w:t>
      </w:r>
    </w:p>
    <w:p w14:paraId="735E14CB">
      <w:pPr>
        <w:pageBreakBefore w:val="0"/>
        <w:kinsoku/>
        <w:wordWrap/>
        <w:overflowPunct/>
        <w:topLinePunct w:val="0"/>
        <w:autoSpaceDE w:val="0"/>
        <w:autoSpaceDN w:val="0"/>
        <w:bidi w:val="0"/>
        <w:adjustRightInd/>
        <w:snapToGrid/>
        <w:spacing w:line="320" w:lineRule="exact"/>
        <w:ind w:left="384"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6.13承包人应负责工程移交前的照管和维护工作，确保工程正式移交时不受到损坏。</w:t>
      </w:r>
    </w:p>
    <w:p w14:paraId="314D9136">
      <w:pPr>
        <w:pageBreakBefore w:val="0"/>
        <w:kinsoku/>
        <w:wordWrap/>
        <w:overflowPunct/>
        <w:topLinePunct w:val="0"/>
        <w:autoSpaceDE w:val="0"/>
        <w:autoSpaceDN w:val="0"/>
        <w:bidi w:val="0"/>
        <w:adjustRightInd/>
        <w:snapToGrid/>
        <w:spacing w:line="320" w:lineRule="exact"/>
        <w:ind w:left="384"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6.14承包人应在工程交工验收合格证书签发后 14 天内完成工地清理并撤离人员、设备和剩余材料。未完成缺陷责任而留置的人员、设备、材料除外。</w:t>
      </w:r>
    </w:p>
    <w:p w14:paraId="59D32918">
      <w:pPr>
        <w:pageBreakBefore w:val="0"/>
        <w:kinsoku/>
        <w:wordWrap/>
        <w:overflowPunct/>
        <w:topLinePunct w:val="0"/>
        <w:autoSpaceDE w:val="0"/>
        <w:autoSpaceDN w:val="0"/>
        <w:bidi w:val="0"/>
        <w:adjustRightInd/>
        <w:snapToGrid/>
        <w:spacing w:line="320" w:lineRule="exact"/>
        <w:ind w:left="384"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6.15承包人应按国家有关劳动保护的规定，保障其雇佣人员的合法权益。</w:t>
      </w:r>
    </w:p>
    <w:p w14:paraId="2BC941EC">
      <w:pPr>
        <w:pageBreakBefore w:val="0"/>
        <w:kinsoku/>
        <w:wordWrap/>
        <w:overflowPunct/>
        <w:topLinePunct w:val="0"/>
        <w:autoSpaceDE w:val="0"/>
        <w:autoSpaceDN w:val="0"/>
        <w:bidi w:val="0"/>
        <w:adjustRightInd/>
        <w:snapToGrid/>
        <w:spacing w:before="74" w:line="320" w:lineRule="exact"/>
        <w:ind w:left="384" w:right="466" w:firstLine="368"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28"/>
          <w:kern w:val="0"/>
          <w:sz w:val="24"/>
          <w:szCs w:val="24"/>
          <w:highlight w:val="none"/>
          <w:lang w:val="zh-CN" w:bidi="zh-CN"/>
        </w:rPr>
        <w:t>（1）</w:t>
      </w:r>
      <w:r>
        <w:rPr>
          <w:rFonts w:hint="eastAsia" w:asciiTheme="minorEastAsia" w:hAnsiTheme="minorEastAsia" w:eastAsiaTheme="minorEastAsia" w:cstheme="minorEastAsia"/>
          <w:kern w:val="0"/>
          <w:sz w:val="24"/>
          <w:szCs w:val="24"/>
          <w:highlight w:val="none"/>
          <w:lang w:val="zh-CN" w:bidi="zh-CN"/>
        </w:rPr>
        <w:t>承包人应严格遵守国家及地方政府有关解决拖欠工程款和农民工工资的法律、法规、规章及规范性文件，及时支付工程中的材料、设备货款及农民工工资等费用。对恶意拖欠和拒不按计划支付的，作为不良记录纳入公路建设市场信用信息管理系统；</w:t>
      </w:r>
    </w:p>
    <w:p w14:paraId="27F93754">
      <w:pPr>
        <w:pageBreakBefore w:val="0"/>
        <w:kinsoku/>
        <w:wordWrap/>
        <w:overflowPunct/>
        <w:topLinePunct w:val="0"/>
        <w:autoSpaceDE w:val="0"/>
        <w:autoSpaceDN w:val="0"/>
        <w:bidi w:val="0"/>
        <w:adjustRightInd/>
        <w:snapToGrid/>
        <w:spacing w:before="11" w:line="320" w:lineRule="exact"/>
        <w:ind w:left="384" w:right="466" w:firstLine="42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5"/>
          <w:kern w:val="0"/>
          <w:sz w:val="24"/>
          <w:szCs w:val="24"/>
          <w:highlight w:val="none"/>
          <w:lang w:val="zh-CN" w:bidi="zh-CN"/>
        </w:rPr>
        <w:t>（2）</w:t>
      </w:r>
      <w:r>
        <w:rPr>
          <w:rFonts w:hint="eastAsia" w:asciiTheme="minorEastAsia" w:hAnsiTheme="minorEastAsia" w:eastAsiaTheme="minorEastAsia" w:cstheme="minorEastAsia"/>
          <w:spacing w:val="-2"/>
          <w:kern w:val="0"/>
          <w:sz w:val="24"/>
          <w:szCs w:val="24"/>
          <w:highlight w:val="none"/>
          <w:lang w:val="zh-CN" w:bidi="zh-CN"/>
        </w:rPr>
        <w:t>承包人应当依法与每一名农民工或具有劳务资质的劳务公司签订合同，合同中应当明确约定工作内容、工作要求、工作条件、工作地点、安全生产要求、劳动报酬（包括工日单价或计量单价）、支付时间和支付方式等内容，在签订劳务或劳动合同后，农民工方可进场。承包人临时或短期聘用农民工的，应当签订短期临时合同。</w:t>
      </w:r>
    </w:p>
    <w:p w14:paraId="336B6575">
      <w:pPr>
        <w:pageBreakBefore w:val="0"/>
        <w:kinsoku/>
        <w:wordWrap/>
        <w:overflowPunct/>
        <w:topLinePunct w:val="0"/>
        <w:autoSpaceDE w:val="0"/>
        <w:autoSpaceDN w:val="0"/>
        <w:bidi w:val="0"/>
        <w:adjustRightInd/>
        <w:snapToGrid/>
        <w:spacing w:line="320" w:lineRule="exact"/>
        <w:ind w:left="384" w:right="466" w:firstLine="44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（3）</w:t>
      </w:r>
      <w:r>
        <w:rPr>
          <w:rFonts w:hint="eastAsia" w:asciiTheme="minorEastAsia" w:hAnsiTheme="minorEastAsia" w:eastAsiaTheme="minorEastAsia" w:cstheme="minorEastAsia"/>
          <w:spacing w:val="-3"/>
          <w:kern w:val="0"/>
          <w:sz w:val="24"/>
          <w:szCs w:val="24"/>
          <w:highlight w:val="none"/>
          <w:lang w:val="zh-CN" w:bidi="zh-CN"/>
        </w:rPr>
        <w:t>承包人项目部应当配备劳资专管员，对农民工实行实名制管理，记录施工人员进出场情况和施工现场作业农民工的身份信息、劳动考勤，建立工资结算与支付等管理台账，审核分包人编制的农民工工资支付表，实时掌握施工现场用工及其工资支付情况，不得以包代管。</w:t>
      </w:r>
    </w:p>
    <w:p w14:paraId="0D033114">
      <w:pPr>
        <w:pageBreakBefore w:val="0"/>
        <w:kinsoku/>
        <w:wordWrap/>
        <w:overflowPunct/>
        <w:topLinePunct w:val="0"/>
        <w:autoSpaceDE w:val="0"/>
        <w:autoSpaceDN w:val="0"/>
        <w:bidi w:val="0"/>
        <w:adjustRightInd/>
        <w:snapToGrid/>
        <w:spacing w:line="320" w:lineRule="exact"/>
        <w:ind w:left="384" w:right="466" w:firstLine="448"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8"/>
          <w:kern w:val="0"/>
          <w:sz w:val="24"/>
          <w:szCs w:val="24"/>
          <w:highlight w:val="none"/>
          <w:lang w:val="zh-CN" w:bidi="zh-CN"/>
        </w:rPr>
        <w:t>（4）</w:t>
      </w:r>
      <w:r>
        <w:rPr>
          <w:rFonts w:hint="eastAsia" w:asciiTheme="minorEastAsia" w:hAnsiTheme="minorEastAsia" w:eastAsiaTheme="minorEastAsia" w:cstheme="minorEastAsia"/>
          <w:spacing w:val="-5"/>
          <w:kern w:val="0"/>
          <w:sz w:val="24"/>
          <w:szCs w:val="24"/>
          <w:highlight w:val="none"/>
          <w:lang w:val="zh-CN" w:bidi="zh-CN"/>
        </w:rPr>
        <w:t>农民工工资的发放，应严格按照国家及地方政府有关法律、法规、规章及规范性文件的规定执行。</w:t>
      </w:r>
    </w:p>
    <w:p w14:paraId="162BED34">
      <w:pPr>
        <w:pageBreakBefore w:val="0"/>
        <w:kinsoku/>
        <w:wordWrap/>
        <w:overflowPunct/>
        <w:topLinePunct w:val="0"/>
        <w:autoSpaceDE w:val="0"/>
        <w:autoSpaceDN w:val="0"/>
        <w:bidi w:val="0"/>
        <w:adjustRightInd/>
        <w:snapToGrid/>
        <w:spacing w:line="320" w:lineRule="exact"/>
        <w:ind w:left="384" w:right="26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承包人应分解工程价款中的人工费用，在工程项目所在地银行开设农民工工资（劳务费）专用账户，专项用于支付农民工工资。发包人应按照本合同约定的比例或承包人提供的人工费用数额，足额支付人工费用，将应付工程款中的人工费单独拨付到承包人开设的农民工工资（劳务费）专用账户。农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2E1EB99A">
      <w:pPr>
        <w:pageBreakBefore w:val="0"/>
        <w:kinsoku/>
        <w:wordWrap/>
        <w:overflowPunct/>
        <w:topLinePunct w:val="0"/>
        <w:autoSpaceDE w:val="0"/>
        <w:autoSpaceDN w:val="0"/>
        <w:bidi w:val="0"/>
        <w:adjustRightInd/>
        <w:snapToGrid/>
        <w:spacing w:line="320" w:lineRule="exact"/>
        <w:ind w:left="384" w:right="26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分包人应按月考核农民工工作量并编制工资支付表，经农民工本人签字确认后， 交承包人汇总核定并报发包人。发包人支付工程款中的人工费用后，承包人将核定的分包人工资支付表提交银行，由银行通过专用账户将工资代付到农民工个人银行账户，并向分包人提供代发工资凭证。</w:t>
      </w:r>
    </w:p>
    <w:p w14:paraId="57F0171C">
      <w:pPr>
        <w:pageBreakBefore w:val="0"/>
        <w:kinsoku/>
        <w:wordWrap/>
        <w:overflowPunct/>
        <w:topLinePunct w:val="0"/>
        <w:autoSpaceDE w:val="0"/>
        <w:autoSpaceDN w:val="0"/>
        <w:bidi w:val="0"/>
        <w:adjustRightInd/>
        <w:snapToGrid/>
        <w:spacing w:line="320" w:lineRule="exact"/>
        <w:ind w:left="384" w:right="26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（5）为确保施工过程中农民工工资实时、足额发放到位，承包人应按照项目合同条款约定的时间、金额、形式缴存农民工工资保证金。</w:t>
      </w:r>
    </w:p>
    <w:p w14:paraId="6642B307">
      <w:pPr>
        <w:pageBreakBefore w:val="0"/>
        <w:kinsoku/>
        <w:wordWrap/>
        <w:overflowPunct/>
        <w:topLinePunct w:val="0"/>
        <w:autoSpaceDE w:val="0"/>
        <w:autoSpaceDN w:val="0"/>
        <w:bidi w:val="0"/>
        <w:adjustRightInd/>
        <w:snapToGrid/>
        <w:spacing w:line="320" w:lineRule="exact"/>
        <w:ind w:left="384" w:right="26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农民工工资保证金的缴存时间：承包项目开工前；农民工工资保证金的缴存金额：按《喀什农民工工资保证金管理暂行办法》（新政办发[2007]114 号）的有关规定缴纳；农民工工资保证金的缴存形式：可采用 保函或现金、支票形式。采用 保函时，出具保函的银行须具有相应担保能力，且按照发包人批准的格式出具，所需费用由承包人承担。</w:t>
      </w:r>
    </w:p>
    <w:p w14:paraId="01ABC716">
      <w:pPr>
        <w:pageBreakBefore w:val="0"/>
        <w:kinsoku/>
        <w:wordWrap/>
        <w:overflowPunct/>
        <w:topLinePunct w:val="0"/>
        <w:autoSpaceDE w:val="0"/>
        <w:autoSpaceDN w:val="0"/>
        <w:bidi w:val="0"/>
        <w:adjustRightInd/>
        <w:snapToGrid/>
        <w:spacing w:line="320" w:lineRule="exact"/>
        <w:ind w:left="384" w:right="26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若发生拖欠农民工工资的情况，发包人有权动用此保证金支付被拖欠的农民工工资。此保证金不足以支付拖欠的农民工工资，不足金额在履约保证金金及质量保留金中支付。农民工工资保证金的扣留条件、返还时间按照项目合同条款的约定执行：</w:t>
      </w:r>
    </w:p>
    <w:p w14:paraId="5096EEC6">
      <w:pPr>
        <w:pageBreakBefore w:val="0"/>
        <w:kinsoku/>
        <w:wordWrap/>
        <w:overflowPunct/>
        <w:topLinePunct w:val="0"/>
        <w:autoSpaceDE w:val="0"/>
        <w:autoSpaceDN w:val="0"/>
        <w:bidi w:val="0"/>
        <w:adjustRightInd/>
        <w:snapToGrid/>
        <w:spacing w:line="320" w:lineRule="exact"/>
        <w:ind w:left="384" w:right="26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农民工工资保证金的扣留条件：承包人拖欠工资被责令限期支付逾期未支付时； 农民工工资保证金的返还时间：交工证书签发后两个月内无农民工工资纠纷发生，发包人将保证金全额退还给承包人。</w:t>
      </w:r>
    </w:p>
    <w:p w14:paraId="36D9BFA7">
      <w:pPr>
        <w:pageBreakBefore w:val="0"/>
        <w:kinsoku/>
        <w:wordWrap/>
        <w:overflowPunct/>
        <w:topLinePunct w:val="0"/>
        <w:autoSpaceDE w:val="0"/>
        <w:autoSpaceDN w:val="0"/>
        <w:bidi w:val="0"/>
        <w:adjustRightInd/>
        <w:snapToGrid/>
        <w:spacing w:before="76" w:line="320" w:lineRule="exact"/>
        <w:ind w:left="384" w:right="466" w:firstLine="42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5"/>
          <w:kern w:val="0"/>
          <w:sz w:val="24"/>
          <w:szCs w:val="24"/>
          <w:highlight w:val="none"/>
          <w:lang w:val="zh-CN" w:bidi="zh-CN"/>
        </w:rPr>
        <w:t>（6）</w:t>
      </w:r>
      <w:r>
        <w:rPr>
          <w:rFonts w:hint="eastAsia" w:asciiTheme="minorEastAsia" w:hAnsiTheme="minorEastAsia" w:eastAsiaTheme="minorEastAsia" w:cstheme="minorEastAsia"/>
          <w:spacing w:val="-2"/>
          <w:kern w:val="0"/>
          <w:sz w:val="24"/>
          <w:szCs w:val="24"/>
          <w:highlight w:val="none"/>
          <w:lang w:val="zh-CN" w:bidi="zh-CN"/>
        </w:rPr>
        <w:t>承包人应当在施工现场醒目位置设立维权信息告示牌，按照行政监督部门和发包人的要求进行维权信息公示明示。工程通过交工验收后，承包人对无拖欠农</w:t>
      </w:r>
      <w:r>
        <w:rPr>
          <w:rFonts w:hint="eastAsia" w:asciiTheme="minorEastAsia" w:hAnsiTheme="minorEastAsia" w:eastAsiaTheme="minorEastAsia" w:cstheme="minorEastAsia"/>
          <w:spacing w:val="-7"/>
          <w:kern w:val="0"/>
          <w:sz w:val="24"/>
          <w:szCs w:val="24"/>
          <w:highlight w:val="none"/>
          <w:lang w:val="zh-CN" w:bidi="zh-CN"/>
        </w:rPr>
        <w:t xml:space="preserve">民工工资情况进行不少于 </w:t>
      </w:r>
      <w:r>
        <w:rPr>
          <w:rFonts w:hint="eastAsia" w:asciiTheme="minorEastAsia" w:hAnsiTheme="minorEastAsia" w:eastAsiaTheme="minorEastAsia" w:cstheme="minorEastAsia"/>
          <w:kern w:val="0"/>
          <w:sz w:val="24"/>
          <w:szCs w:val="24"/>
          <w:highlight w:val="none"/>
          <w:lang w:val="zh-CN" w:bidi="zh-CN"/>
        </w:rPr>
        <w:t xml:space="preserve">30 </w:t>
      </w:r>
      <w:r>
        <w:rPr>
          <w:rFonts w:hint="eastAsia" w:asciiTheme="minorEastAsia" w:hAnsiTheme="minorEastAsia" w:eastAsiaTheme="minorEastAsia" w:cstheme="minorEastAsia"/>
          <w:spacing w:val="-10"/>
          <w:kern w:val="0"/>
          <w:sz w:val="24"/>
          <w:szCs w:val="24"/>
          <w:highlight w:val="none"/>
          <w:lang w:val="zh-CN" w:bidi="zh-CN"/>
        </w:rPr>
        <w:t>日的公示，公示期间无举报投诉的，持发包人审核确认意见到开户银行办理农民工工资专用账户撤销手续，账户内余额归承包人所有。</w:t>
      </w:r>
    </w:p>
    <w:p w14:paraId="02FAAE51">
      <w:pPr>
        <w:pageBreakBefore w:val="0"/>
        <w:kinsoku/>
        <w:wordWrap/>
        <w:overflowPunct/>
        <w:topLinePunct w:val="0"/>
        <w:autoSpaceDE w:val="0"/>
        <w:autoSpaceDN w:val="0"/>
        <w:bidi w:val="0"/>
        <w:adjustRightInd/>
        <w:snapToGrid/>
        <w:spacing w:before="11" w:line="320" w:lineRule="exact"/>
        <w:ind w:left="384" w:right="346" w:firstLine="42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5"/>
          <w:kern w:val="0"/>
          <w:sz w:val="24"/>
          <w:szCs w:val="24"/>
          <w:highlight w:val="none"/>
          <w:lang w:val="zh-CN" w:bidi="zh-CN"/>
        </w:rPr>
        <w:t>（7）</w:t>
      </w:r>
      <w:r>
        <w:rPr>
          <w:rFonts w:hint="eastAsia" w:asciiTheme="minorEastAsia" w:hAnsiTheme="minorEastAsia" w:eastAsiaTheme="minorEastAsia" w:cstheme="minorEastAsia"/>
          <w:spacing w:val="-4"/>
          <w:kern w:val="0"/>
          <w:sz w:val="24"/>
          <w:szCs w:val="24"/>
          <w:highlight w:val="none"/>
          <w:lang w:val="zh-CN" w:bidi="zh-CN"/>
        </w:rPr>
        <w:t>为认真贯彻落实自治区党委、人民政府关于使用农民工解决我区农村劳动力了过剩、增加农民收入有关问题的指示精神，承包人应严格按《关于印发自治区固定资产投资项目促进农村劳动力培训就业工作实施方案的通知</w:t>
      </w:r>
      <w:r>
        <w:rPr>
          <w:rFonts w:hint="eastAsia" w:asciiTheme="minorEastAsia" w:hAnsiTheme="minorEastAsia" w:eastAsiaTheme="minorEastAsia" w:cstheme="minorEastAsia"/>
          <w:spacing w:val="-216"/>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w:t>
      </w:r>
      <w:r>
        <w:rPr>
          <w:rFonts w:hint="eastAsia" w:asciiTheme="minorEastAsia" w:hAnsiTheme="minorEastAsia" w:eastAsiaTheme="minorEastAsia" w:cstheme="minorEastAsia"/>
          <w:spacing w:val="-22"/>
          <w:kern w:val="0"/>
          <w:sz w:val="24"/>
          <w:szCs w:val="24"/>
          <w:highlight w:val="none"/>
          <w:lang w:val="zh-CN" w:bidi="zh-CN"/>
        </w:rPr>
        <w:t>新政办发〔</w:t>
      </w:r>
      <w:r>
        <w:rPr>
          <w:rFonts w:hint="eastAsia" w:asciiTheme="minorEastAsia" w:hAnsiTheme="minorEastAsia" w:eastAsiaTheme="minorEastAsia" w:cstheme="minorEastAsia"/>
          <w:kern w:val="0"/>
          <w:sz w:val="24"/>
          <w:szCs w:val="24"/>
          <w:highlight w:val="none"/>
          <w:lang w:val="zh-CN" w:bidi="zh-CN"/>
        </w:rPr>
        <w:t>2017〕62 号</w:t>
      </w:r>
      <w:r>
        <w:rPr>
          <w:rFonts w:hint="eastAsia" w:asciiTheme="minorEastAsia" w:hAnsiTheme="minorEastAsia" w:eastAsiaTheme="minorEastAsia" w:cstheme="minorEastAsia"/>
          <w:spacing w:val="-84"/>
          <w:kern w:val="0"/>
          <w:sz w:val="24"/>
          <w:szCs w:val="24"/>
          <w:highlight w:val="none"/>
          <w:lang w:val="zh-CN" w:bidi="zh-CN"/>
        </w:rPr>
        <w:t>）</w:t>
      </w:r>
      <w:r>
        <w:rPr>
          <w:rFonts w:hint="eastAsia" w:asciiTheme="minorEastAsia" w:hAnsiTheme="minorEastAsia" w:eastAsiaTheme="minorEastAsia" w:cstheme="minorEastAsia"/>
          <w:spacing w:val="-14"/>
          <w:kern w:val="0"/>
          <w:sz w:val="24"/>
          <w:szCs w:val="24"/>
          <w:highlight w:val="none"/>
          <w:lang w:val="zh-CN" w:bidi="zh-CN"/>
        </w:rPr>
        <w:t>、《关于在公路基础设施建设中使用农民工有关意见的通知</w:t>
      </w:r>
      <w:r>
        <w:rPr>
          <w:rFonts w:hint="eastAsia" w:asciiTheme="minorEastAsia" w:hAnsiTheme="minorEastAsia" w:eastAsiaTheme="minorEastAsia" w:cstheme="minorEastAsia"/>
          <w:spacing w:val="-168"/>
          <w:kern w:val="0"/>
          <w:sz w:val="24"/>
          <w:szCs w:val="24"/>
          <w:highlight w:val="none"/>
          <w:lang w:val="zh-CN" w:bidi="zh-CN"/>
        </w:rPr>
        <w:t>》</w:t>
      </w:r>
      <w:r>
        <w:rPr>
          <w:rFonts w:hint="eastAsia" w:asciiTheme="minorEastAsia" w:hAnsiTheme="minorEastAsia" w:eastAsiaTheme="minorEastAsia" w:cstheme="minorEastAsia"/>
          <w:spacing w:val="-3"/>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新交综[2003]42 号文）、《喀什交通厅关于交通建设项目防止拖欠工程款和农民工工资管理暂行办法（试行）》、《喀什公路工程建设农民工用工管理办</w:t>
      </w:r>
      <w:r>
        <w:rPr>
          <w:rFonts w:hint="eastAsia" w:asciiTheme="minorEastAsia" w:hAnsiTheme="minorEastAsia" w:eastAsiaTheme="minorEastAsia" w:cstheme="minorEastAsia"/>
          <w:spacing w:val="-3"/>
          <w:kern w:val="0"/>
          <w:sz w:val="24"/>
          <w:szCs w:val="24"/>
          <w:highlight w:val="none"/>
          <w:lang w:val="zh-CN" w:bidi="zh-CN"/>
        </w:rPr>
        <w:t>法</w:t>
      </w:r>
      <w:r>
        <w:rPr>
          <w:rFonts w:hint="eastAsia" w:asciiTheme="minorEastAsia" w:hAnsiTheme="minorEastAsia" w:eastAsiaTheme="minorEastAsia" w:cstheme="minorEastAsia"/>
          <w:kern w:val="0"/>
          <w:sz w:val="24"/>
          <w:szCs w:val="24"/>
          <w:highlight w:val="none"/>
          <w:lang w:val="zh-CN" w:bidi="zh-CN"/>
        </w:rPr>
        <w:t>（试行</w:t>
      </w:r>
      <w:r>
        <w:rPr>
          <w:rFonts w:hint="eastAsia" w:asciiTheme="minorEastAsia" w:hAnsiTheme="minorEastAsia" w:eastAsiaTheme="minorEastAsia" w:cstheme="minorEastAsia"/>
          <w:spacing w:val="-5"/>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w:t>
      </w:r>
      <w:r>
        <w:rPr>
          <w:rFonts w:hint="eastAsia" w:asciiTheme="minorEastAsia" w:hAnsiTheme="minorEastAsia" w:eastAsiaTheme="minorEastAsia" w:cstheme="minorEastAsia"/>
          <w:spacing w:val="-1"/>
          <w:kern w:val="0"/>
          <w:sz w:val="24"/>
          <w:szCs w:val="24"/>
          <w:highlight w:val="none"/>
          <w:lang w:val="zh-CN" w:bidi="zh-CN"/>
        </w:rPr>
        <w:t>新交工程〔</w:t>
      </w:r>
      <w:r>
        <w:rPr>
          <w:rFonts w:hint="eastAsia" w:asciiTheme="minorEastAsia" w:hAnsiTheme="minorEastAsia" w:eastAsiaTheme="minorEastAsia" w:cstheme="minorEastAsia"/>
          <w:kern w:val="0"/>
          <w:sz w:val="24"/>
          <w:szCs w:val="24"/>
          <w:highlight w:val="none"/>
          <w:lang w:val="zh-CN" w:bidi="zh-CN"/>
        </w:rPr>
        <w:t>2017</w:t>
      </w:r>
      <w:r>
        <w:rPr>
          <w:rFonts w:hint="eastAsia" w:asciiTheme="minorEastAsia" w:hAnsiTheme="minorEastAsia" w:eastAsiaTheme="minorEastAsia" w:cstheme="minorEastAsia"/>
          <w:spacing w:val="-5"/>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16 号</w:t>
      </w:r>
      <w:r>
        <w:rPr>
          <w:rFonts w:hint="eastAsia" w:asciiTheme="minorEastAsia" w:hAnsiTheme="minorEastAsia" w:eastAsiaTheme="minorEastAsia" w:cstheme="minorEastAsia"/>
          <w:spacing w:val="-3"/>
          <w:kern w:val="0"/>
          <w:sz w:val="24"/>
          <w:szCs w:val="24"/>
          <w:highlight w:val="none"/>
          <w:lang w:val="zh-CN" w:bidi="zh-CN"/>
        </w:rPr>
        <w:t>）</w:t>
      </w:r>
      <w:r>
        <w:rPr>
          <w:rFonts w:hint="eastAsia" w:asciiTheme="minorEastAsia" w:hAnsiTheme="minorEastAsia" w:eastAsiaTheme="minorEastAsia" w:cstheme="minorEastAsia"/>
          <w:spacing w:val="-1"/>
          <w:kern w:val="0"/>
          <w:sz w:val="24"/>
          <w:szCs w:val="24"/>
          <w:highlight w:val="none"/>
          <w:lang w:val="zh-CN" w:bidi="zh-CN"/>
        </w:rPr>
        <w:t>等相关规定，在施工中选用除技术工以外</w:t>
      </w:r>
      <w:r>
        <w:rPr>
          <w:rFonts w:hint="eastAsia" w:asciiTheme="minorEastAsia" w:hAnsiTheme="minorEastAsia" w:eastAsiaTheme="minorEastAsia" w:cstheme="minorEastAsia"/>
          <w:spacing w:val="-4"/>
          <w:kern w:val="0"/>
          <w:sz w:val="24"/>
          <w:szCs w:val="24"/>
          <w:highlight w:val="none"/>
          <w:lang w:val="zh-CN" w:bidi="zh-CN"/>
        </w:rPr>
        <w:t xml:space="preserve">的普工时要使用项目沿线或附近的农民工，且数量不得低于普工总数的 </w:t>
      </w:r>
      <w:r>
        <w:rPr>
          <w:rFonts w:hint="eastAsia" w:asciiTheme="minorEastAsia" w:hAnsiTheme="minorEastAsia" w:eastAsiaTheme="minorEastAsia" w:cstheme="minorEastAsia"/>
          <w:spacing w:val="-3"/>
          <w:kern w:val="0"/>
          <w:sz w:val="24"/>
          <w:szCs w:val="24"/>
          <w:highlight w:val="none"/>
          <w:lang w:val="zh-CN" w:bidi="zh-CN"/>
        </w:rPr>
        <w:t>90</w:t>
      </w:r>
      <w:r>
        <w:rPr>
          <w:rFonts w:hint="eastAsia" w:asciiTheme="minorEastAsia" w:hAnsiTheme="minorEastAsia" w:eastAsiaTheme="minorEastAsia" w:cstheme="minorEastAsia"/>
          <w:spacing w:val="-2"/>
          <w:kern w:val="0"/>
          <w:sz w:val="24"/>
          <w:szCs w:val="24"/>
          <w:highlight w:val="none"/>
          <w:lang w:val="zh-CN" w:bidi="zh-CN"/>
        </w:rPr>
        <w:t>％；要制定相应的计划和措施。</w:t>
      </w:r>
    </w:p>
    <w:p w14:paraId="7AA00A71">
      <w:pPr>
        <w:pageBreakBefore w:val="0"/>
        <w:tabs>
          <w:tab w:val="left" w:pos="1523"/>
          <w:tab w:val="left" w:pos="1524"/>
        </w:tabs>
        <w:kinsoku/>
        <w:wordWrap/>
        <w:overflowPunct/>
        <w:topLinePunct w:val="0"/>
        <w:autoSpaceDE w:val="0"/>
        <w:autoSpaceDN w:val="0"/>
        <w:bidi w:val="0"/>
        <w:adjustRightInd/>
        <w:snapToGrid/>
        <w:spacing w:line="320" w:lineRule="exact"/>
        <w:ind w:firstLine="720" w:firstLineChars="3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6.16承包人应负责处理其雇佣人员因工伤亡事故的善后事宜。</w:t>
      </w:r>
    </w:p>
    <w:p w14:paraId="2EB42EF8">
      <w:pPr>
        <w:pageBreakBefore w:val="0"/>
        <w:kinsoku/>
        <w:wordWrap/>
        <w:overflowPunct/>
        <w:topLinePunct w:val="0"/>
        <w:autoSpaceDE w:val="0"/>
        <w:autoSpaceDN w:val="0"/>
        <w:bidi w:val="0"/>
        <w:adjustRightInd/>
        <w:snapToGrid/>
        <w:spacing w:before="11" w:line="320" w:lineRule="exact"/>
        <w:ind w:left="384" w:right="346" w:firstLine="420" w:firstLineChars="200"/>
        <w:textAlignment w:val="auto"/>
        <w:outlineLvl w:val="9"/>
        <w:rPr>
          <w:rFonts w:hint="eastAsia" w:asciiTheme="minorEastAsia" w:hAnsiTheme="minorEastAsia" w:eastAsiaTheme="minorEastAsia" w:cstheme="minorEastAsia"/>
          <w:spacing w:val="-15"/>
          <w:kern w:val="0"/>
          <w:sz w:val="24"/>
          <w:szCs w:val="24"/>
          <w:highlight w:val="none"/>
          <w:lang w:val="zh-CN" w:bidi="zh-CN"/>
        </w:rPr>
      </w:pPr>
      <w:r>
        <w:rPr>
          <w:rFonts w:hint="eastAsia" w:asciiTheme="minorEastAsia" w:hAnsiTheme="minorEastAsia" w:eastAsiaTheme="minorEastAsia" w:cstheme="minorEastAsia"/>
          <w:spacing w:val="-15"/>
          <w:kern w:val="0"/>
          <w:sz w:val="24"/>
          <w:szCs w:val="24"/>
          <w:highlight w:val="none"/>
          <w:lang w:val="zh-CN" w:bidi="zh-CN"/>
        </w:rPr>
        <w:t>6.17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7540F8DB">
      <w:pPr>
        <w:pageBreakBefore w:val="0"/>
        <w:kinsoku/>
        <w:wordWrap/>
        <w:overflowPunct/>
        <w:topLinePunct w:val="0"/>
        <w:autoSpaceDE w:val="0"/>
        <w:autoSpaceDN w:val="0"/>
        <w:bidi w:val="0"/>
        <w:adjustRightInd/>
        <w:snapToGrid/>
        <w:spacing w:before="11" w:line="320" w:lineRule="exact"/>
        <w:ind w:left="384" w:right="346" w:firstLine="420" w:firstLineChars="200"/>
        <w:textAlignment w:val="auto"/>
        <w:outlineLvl w:val="9"/>
        <w:rPr>
          <w:rFonts w:hint="eastAsia" w:asciiTheme="minorEastAsia" w:hAnsiTheme="minorEastAsia" w:eastAsiaTheme="minorEastAsia" w:cstheme="minorEastAsia"/>
          <w:spacing w:val="-15"/>
          <w:kern w:val="0"/>
          <w:sz w:val="24"/>
          <w:szCs w:val="24"/>
          <w:highlight w:val="none"/>
          <w:lang w:val="zh-CN" w:bidi="zh-CN"/>
        </w:rPr>
      </w:pPr>
      <w:r>
        <w:rPr>
          <w:rFonts w:hint="eastAsia" w:asciiTheme="minorEastAsia" w:hAnsiTheme="minorEastAsia" w:eastAsiaTheme="minorEastAsia" w:cstheme="minorEastAsia"/>
          <w:spacing w:val="-15"/>
          <w:kern w:val="0"/>
          <w:sz w:val="24"/>
          <w:szCs w:val="24"/>
          <w:highlight w:val="none"/>
          <w:lang w:val="zh-CN" w:bidi="zh-CN"/>
        </w:rPr>
        <w:t>6.18承包人应为其雇佣人员提供必要的食宿条件，以及符合环境保护和卫生要求的生活环境，在远离城镇的施工场地，还应配备必要的伤病防治和急救的医务人员与医疗设施。</w:t>
      </w:r>
    </w:p>
    <w:p w14:paraId="0E40DDAC">
      <w:pPr>
        <w:pageBreakBefore w:val="0"/>
        <w:kinsoku/>
        <w:wordWrap/>
        <w:overflowPunct/>
        <w:topLinePunct w:val="0"/>
        <w:autoSpaceDE w:val="0"/>
        <w:autoSpaceDN w:val="0"/>
        <w:bidi w:val="0"/>
        <w:adjustRightInd/>
        <w:snapToGrid/>
        <w:spacing w:before="11" w:line="320" w:lineRule="exact"/>
        <w:ind w:left="384" w:right="346" w:firstLine="420" w:firstLineChars="200"/>
        <w:textAlignment w:val="auto"/>
        <w:outlineLvl w:val="9"/>
        <w:rPr>
          <w:rFonts w:hint="eastAsia" w:asciiTheme="minorEastAsia" w:hAnsiTheme="minorEastAsia" w:eastAsiaTheme="minorEastAsia" w:cstheme="minorEastAsia"/>
          <w:spacing w:val="-15"/>
          <w:kern w:val="0"/>
          <w:sz w:val="24"/>
          <w:szCs w:val="24"/>
          <w:highlight w:val="none"/>
          <w:lang w:val="zh-CN" w:bidi="zh-CN"/>
        </w:rPr>
      </w:pPr>
      <w:r>
        <w:rPr>
          <w:rFonts w:hint="eastAsia" w:asciiTheme="minorEastAsia" w:hAnsiTheme="minorEastAsia" w:eastAsiaTheme="minorEastAsia" w:cstheme="minorEastAsia"/>
          <w:spacing w:val="-15"/>
          <w:kern w:val="0"/>
          <w:sz w:val="24"/>
          <w:szCs w:val="24"/>
          <w:highlight w:val="none"/>
          <w:lang w:val="zh-CN" w:bidi="zh-CN"/>
        </w:rPr>
        <w:t>6.19承包人应履行的其他义务</w:t>
      </w:r>
    </w:p>
    <w:p w14:paraId="50F69849">
      <w:pPr>
        <w:pageBreakBefore w:val="0"/>
        <w:kinsoku/>
        <w:wordWrap/>
        <w:overflowPunct/>
        <w:topLinePunct w:val="0"/>
        <w:autoSpaceDE w:val="0"/>
        <w:autoSpaceDN w:val="0"/>
        <w:bidi w:val="0"/>
        <w:adjustRightInd/>
        <w:snapToGrid/>
        <w:spacing w:before="11" w:line="320" w:lineRule="exact"/>
        <w:ind w:left="384" w:right="346" w:firstLine="420" w:firstLineChars="200"/>
        <w:textAlignment w:val="auto"/>
        <w:outlineLvl w:val="9"/>
        <w:rPr>
          <w:rFonts w:hint="eastAsia" w:asciiTheme="minorEastAsia" w:hAnsiTheme="minorEastAsia" w:eastAsiaTheme="minorEastAsia" w:cstheme="minorEastAsia"/>
          <w:spacing w:val="-6"/>
          <w:kern w:val="0"/>
          <w:sz w:val="24"/>
          <w:szCs w:val="24"/>
          <w:highlight w:val="none"/>
          <w:lang w:val="zh-CN" w:bidi="zh-CN"/>
        </w:rPr>
      </w:pPr>
      <w:r>
        <w:rPr>
          <w:rFonts w:hint="eastAsia" w:asciiTheme="minorEastAsia" w:hAnsiTheme="minorEastAsia" w:eastAsiaTheme="minorEastAsia" w:cstheme="minorEastAsia"/>
          <w:spacing w:val="-15"/>
          <w:kern w:val="0"/>
          <w:sz w:val="24"/>
          <w:szCs w:val="24"/>
          <w:highlight w:val="none"/>
          <w:lang w:val="zh-CN" w:bidi="zh-CN"/>
        </w:rPr>
        <w:t>（1）凡是与已建铁路、公路、堤防、通讯及电力缆线、供水、输油、输气管道、居民住宅区等有交叉、干扰的地段，承包人应在不干扰铁路、公路正常营运以及注意保护地下管线、不干扰附近居民的正常生活的前提下合理安排施工组织计划，采取有效措施保证施工安全，在现场设置施工和安全标志，并在必要时疏导现有交通流；凡</w:t>
      </w:r>
      <w:r>
        <w:rPr>
          <w:rFonts w:hint="eastAsia" w:asciiTheme="minorEastAsia" w:hAnsiTheme="minorEastAsia" w:eastAsiaTheme="minorEastAsia" w:cstheme="minorEastAsia"/>
          <w:spacing w:val="-6"/>
          <w:kern w:val="0"/>
          <w:sz w:val="24"/>
          <w:szCs w:val="24"/>
          <w:highlight w:val="none"/>
          <w:lang w:val="zh-CN" w:bidi="zh-CN"/>
        </w:rPr>
        <w:t>是标段内与其他在建工程有互扰的地段，承包人应做好与其他施工单位的协调工作； 凡是标段内地形复杂、存在软土路基、场地狭窄的地段，承包人应按照施工要求制定完善的施工组织计划。承包人应对上述所有工作负责，发包人将根据承包人的要求给予适当协助。承包人应将其采取上述措施而可能发生的全部费用视为已包括在或计入在本合同工程已标价的工程量清单的各相关工程细目的单价或总额价中，发包人将不另行支付。</w:t>
      </w:r>
    </w:p>
    <w:p w14:paraId="7C7E8C48">
      <w:pPr>
        <w:pageBreakBefore w:val="0"/>
        <w:kinsoku/>
        <w:wordWrap/>
        <w:overflowPunct/>
        <w:topLinePunct w:val="0"/>
        <w:autoSpaceDE w:val="0"/>
        <w:autoSpaceDN w:val="0"/>
        <w:bidi w:val="0"/>
        <w:adjustRightInd/>
        <w:snapToGrid/>
        <w:spacing w:line="320" w:lineRule="exact"/>
        <w:ind w:left="384" w:right="346" w:firstLine="456"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6"/>
          <w:kern w:val="0"/>
          <w:sz w:val="24"/>
          <w:szCs w:val="24"/>
          <w:highlight w:val="none"/>
          <w:lang w:val="zh-CN" w:bidi="zh-CN"/>
        </w:rPr>
        <w:t>如因承包人采取的措施不利，影响铁路、公路、通讯及电力缆线、供水、输油、输气管道等正常安全营运、居民的正常生活而给其它部门或个人造成的一切损失， 或由于上述原因造成本工程工期的拖延或施工费用的增加，均由承包人自行负责， 发包人不承担任何责任。</w:t>
      </w:r>
    </w:p>
    <w:p w14:paraId="306C1B56">
      <w:pPr>
        <w:pageBreakBefore w:val="0"/>
        <w:kinsoku/>
        <w:wordWrap/>
        <w:overflowPunct/>
        <w:topLinePunct w:val="0"/>
        <w:autoSpaceDE w:val="0"/>
        <w:autoSpaceDN w:val="0"/>
        <w:bidi w:val="0"/>
        <w:adjustRightInd/>
        <w:snapToGrid/>
        <w:spacing w:line="320" w:lineRule="exact"/>
        <w:ind w:left="384" w:right="466" w:firstLine="44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（2）</w:t>
      </w:r>
      <w:r>
        <w:rPr>
          <w:rFonts w:hint="eastAsia" w:asciiTheme="minorEastAsia" w:hAnsiTheme="minorEastAsia" w:eastAsiaTheme="minorEastAsia" w:cstheme="minorEastAsia"/>
          <w:spacing w:val="-3"/>
          <w:kern w:val="0"/>
          <w:sz w:val="24"/>
          <w:szCs w:val="24"/>
          <w:highlight w:val="none"/>
          <w:lang w:val="zh-CN" w:bidi="zh-CN"/>
        </w:rPr>
        <w:t>承包人在进场前及进场施工后，应充分了解工程所在地的民族习惯、宗教信仰、饮食禁忌等情况，并尊重当地居民的各种习俗，在施工队伍中做好宣传教育工作，否则，因承包人的员工破坏当地风俗习惯造成的恶劣影响及给发包人带来的损失由承包人承担。</w:t>
      </w:r>
    </w:p>
    <w:p w14:paraId="2D16A41A">
      <w:pPr>
        <w:keepNext/>
        <w:keepLines/>
        <w:pageBreakBefore w:val="0"/>
        <w:widowControl/>
        <w:kinsoku/>
        <w:wordWrap/>
        <w:overflowPunct/>
        <w:topLinePunct w:val="0"/>
        <w:bidi w:val="0"/>
        <w:adjustRightInd/>
        <w:snapToGrid/>
        <w:spacing w:before="260" w:after="26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bookmarkStart w:id="404" w:name="_Toc256000035"/>
      <w:r>
        <w:rPr>
          <w:rFonts w:hint="eastAsia" w:asciiTheme="minorEastAsia" w:hAnsiTheme="minorEastAsia" w:eastAsiaTheme="minorEastAsia" w:cstheme="minorEastAsia"/>
          <w:b/>
          <w:bCs/>
          <w:kern w:val="0"/>
          <w:sz w:val="24"/>
          <w:szCs w:val="24"/>
          <w:highlight w:val="none"/>
          <w:lang w:val="zh-CN" w:bidi="zh-CN"/>
        </w:rPr>
        <w:t>三、施工组织计划和工期</w:t>
      </w:r>
      <w:bookmarkEnd w:id="404"/>
    </w:p>
    <w:p w14:paraId="0A0648B5">
      <w:pPr>
        <w:keepLines/>
        <w:pageBreakBefore w:val="0"/>
        <w:widowControl/>
        <w:tabs>
          <w:tab w:val="left" w:pos="567"/>
        </w:tabs>
        <w:kinsoku/>
        <w:wordWrap/>
        <w:overflowPunct/>
        <w:topLinePunct w:val="0"/>
        <w:autoSpaceDE w:val="0"/>
        <w:autoSpaceDN w:val="0"/>
        <w:bidi w:val="0"/>
        <w:adjustRightInd/>
        <w:snapToGrid/>
        <w:spacing w:before="120" w:after="120" w:line="320" w:lineRule="exact"/>
        <w:ind w:left="567"/>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7.进度计划</w:t>
      </w:r>
    </w:p>
    <w:p w14:paraId="29829499">
      <w:pPr>
        <w:pageBreakBefore w:val="0"/>
        <w:kinsoku/>
        <w:wordWrap/>
        <w:overflowPunct/>
        <w:topLinePunct w:val="0"/>
        <w:autoSpaceDE w:val="0"/>
        <w:autoSpaceDN w:val="0"/>
        <w:bidi w:val="0"/>
        <w:adjustRightInd/>
        <w:snapToGrid/>
        <w:spacing w:line="320" w:lineRule="exact"/>
        <w:ind w:left="384" w:right="466" w:firstLine="440" w:firstLineChars="200"/>
        <w:textAlignment w:val="auto"/>
        <w:outlineLvl w:val="9"/>
        <w:rPr>
          <w:rFonts w:hint="eastAsia" w:asciiTheme="minorEastAsia" w:hAnsiTheme="minorEastAsia" w:eastAsiaTheme="minorEastAsia" w:cstheme="minorEastAsia"/>
          <w:spacing w:val="-10"/>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7.1承包人应在签订合同协议书后 14 天内，向监理人提交两份其格式和内容符合规定的施工计划，以及为完成该计划而建议采用的实施性施工安排和施工方案的说明。监理人应在 14 天内对承包人施工进度计划和施工方案说明予以批复或提出修改意见；经监理人审查后报发包人批准。经批准的施工进度计划是控制合同工程进度的依据。</w:t>
      </w:r>
    </w:p>
    <w:p w14:paraId="1CE8A9B6">
      <w:pPr>
        <w:pageBreakBefore w:val="0"/>
        <w:kinsoku/>
        <w:wordWrap/>
        <w:overflowPunct/>
        <w:topLinePunct w:val="0"/>
        <w:autoSpaceDE w:val="0"/>
        <w:autoSpaceDN w:val="0"/>
        <w:bidi w:val="0"/>
        <w:adjustRightInd/>
        <w:snapToGrid/>
        <w:spacing w:line="320" w:lineRule="exact"/>
        <w:ind w:left="384" w:right="466" w:firstLine="440" w:firstLineChars="200"/>
        <w:textAlignment w:val="auto"/>
        <w:outlineLvl w:val="9"/>
        <w:rPr>
          <w:rFonts w:hint="eastAsia" w:asciiTheme="minorEastAsia" w:hAnsiTheme="minorEastAsia" w:eastAsiaTheme="minorEastAsia" w:cstheme="minorEastAsia"/>
          <w:spacing w:val="-10"/>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7.2承包人应在确保合同工期的前提下，每月对进度计划修订一次，并应在每月的 25 日前提交给监理人审查；监理人批复修订合同进度计划的期限：收到修订合同进度计划后 3 天内。</w:t>
      </w:r>
    </w:p>
    <w:p w14:paraId="00F574E7">
      <w:pPr>
        <w:pageBreakBefore w:val="0"/>
        <w:kinsoku/>
        <w:wordWrap/>
        <w:overflowPunct/>
        <w:topLinePunct w:val="0"/>
        <w:autoSpaceDE w:val="0"/>
        <w:autoSpaceDN w:val="0"/>
        <w:bidi w:val="0"/>
        <w:adjustRightInd/>
        <w:snapToGrid/>
        <w:spacing w:line="320" w:lineRule="exact"/>
        <w:ind w:left="384" w:right="466" w:firstLine="440" w:firstLineChars="200"/>
        <w:textAlignment w:val="auto"/>
        <w:outlineLvl w:val="9"/>
        <w:rPr>
          <w:rFonts w:hint="eastAsia" w:asciiTheme="minorEastAsia" w:hAnsiTheme="minorEastAsia" w:eastAsiaTheme="minorEastAsia" w:cstheme="minorEastAsia"/>
          <w:spacing w:val="-10"/>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7.3承包人编制施工方案中要有确保工程顺利实施的保证措施。</w:t>
      </w:r>
    </w:p>
    <w:p w14:paraId="1984BA1F">
      <w:pPr>
        <w:pageBreakBefore w:val="0"/>
        <w:kinsoku/>
        <w:wordWrap/>
        <w:overflowPunct/>
        <w:topLinePunct w:val="0"/>
        <w:autoSpaceDE w:val="0"/>
        <w:autoSpaceDN w:val="0"/>
        <w:bidi w:val="0"/>
        <w:adjustRightInd/>
        <w:snapToGrid/>
        <w:spacing w:line="320" w:lineRule="exact"/>
        <w:ind w:left="384" w:right="466" w:firstLine="440" w:firstLineChars="200"/>
        <w:textAlignment w:val="auto"/>
        <w:outlineLvl w:val="9"/>
        <w:rPr>
          <w:rFonts w:hint="eastAsia" w:asciiTheme="minorEastAsia" w:hAnsiTheme="minorEastAsia" w:eastAsiaTheme="minorEastAsia" w:cstheme="minorEastAsia"/>
          <w:spacing w:val="-10"/>
          <w:kern w:val="0"/>
          <w:sz w:val="24"/>
          <w:szCs w:val="24"/>
          <w:highlight w:val="none"/>
          <w:lang w:val="zh-CN" w:bidi="zh-CN"/>
        </w:rPr>
      </w:pPr>
    </w:p>
    <w:p w14:paraId="6B3305D7">
      <w:pPr>
        <w:keepLines/>
        <w:pageBreakBefore w:val="0"/>
        <w:widowControl/>
        <w:tabs>
          <w:tab w:val="left" w:pos="567"/>
        </w:tabs>
        <w:kinsoku/>
        <w:wordWrap/>
        <w:overflowPunct/>
        <w:topLinePunct w:val="0"/>
        <w:autoSpaceDE w:val="0"/>
        <w:autoSpaceDN w:val="0"/>
        <w:bidi w:val="0"/>
        <w:adjustRightInd/>
        <w:snapToGrid/>
        <w:spacing w:before="120" w:after="120" w:line="320" w:lineRule="exact"/>
        <w:ind w:left="567"/>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8.开工和延误</w:t>
      </w:r>
    </w:p>
    <w:p w14:paraId="75DD3CDC">
      <w:pPr>
        <w:pageBreakBefore w:val="0"/>
        <w:tabs>
          <w:tab w:val="left" w:pos="1403"/>
          <w:tab w:val="left" w:pos="1404"/>
        </w:tabs>
        <w:kinsoku/>
        <w:wordWrap/>
        <w:overflowPunct/>
        <w:topLinePunct w:val="0"/>
        <w:autoSpaceDE w:val="0"/>
        <w:autoSpaceDN w:val="0"/>
        <w:bidi w:val="0"/>
        <w:adjustRightInd/>
        <w:snapToGrid/>
        <w:spacing w:line="320" w:lineRule="exact"/>
        <w:ind w:left="80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8.1工程开工分项目开工和分部工程开工两种：</w:t>
      </w:r>
    </w:p>
    <w:p w14:paraId="50CEF73B">
      <w:pPr>
        <w:pageBreakBefore w:val="0"/>
        <w:kinsoku/>
        <w:wordWrap/>
        <w:overflowPunct/>
        <w:topLinePunct w:val="0"/>
        <w:autoSpaceDE w:val="0"/>
        <w:autoSpaceDN w:val="0"/>
        <w:bidi w:val="0"/>
        <w:adjustRightInd/>
        <w:snapToGrid/>
        <w:spacing w:before="91" w:line="320" w:lineRule="exact"/>
        <w:ind w:left="384" w:right="465" w:firstLine="480" w:firstLineChars="200"/>
        <w:textAlignment w:val="auto"/>
        <w:outlineLvl w:val="9"/>
        <w:rPr>
          <w:rFonts w:hint="eastAsia" w:asciiTheme="minorEastAsia" w:hAnsiTheme="minorEastAsia" w:eastAsiaTheme="minorEastAsia" w:cstheme="minorEastAsia"/>
          <w:spacing w:val="-15"/>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w:t>
      </w:r>
      <w:r>
        <w:rPr>
          <w:rFonts w:hint="eastAsia" w:asciiTheme="minorEastAsia" w:hAnsiTheme="minorEastAsia" w:eastAsiaTheme="minorEastAsia" w:cstheme="minorEastAsia"/>
          <w:spacing w:val="-3"/>
          <w:kern w:val="0"/>
          <w:sz w:val="24"/>
          <w:szCs w:val="24"/>
          <w:highlight w:val="none"/>
          <w:lang w:val="zh-CN" w:bidi="zh-CN"/>
        </w:rPr>
        <w:t xml:space="preserve">项目开工：承包人应在签订合同协议后 </w:t>
      </w:r>
      <w:r>
        <w:rPr>
          <w:rFonts w:hint="eastAsia" w:asciiTheme="minorEastAsia" w:hAnsiTheme="minorEastAsia" w:eastAsiaTheme="minorEastAsia" w:cstheme="minorEastAsia"/>
          <w:kern w:val="0"/>
          <w:sz w:val="24"/>
          <w:szCs w:val="24"/>
          <w:highlight w:val="none"/>
          <w:lang w:val="zh-CN" w:bidi="zh-CN"/>
        </w:rPr>
        <w:t>14</w:t>
      </w:r>
      <w:r>
        <w:rPr>
          <w:rFonts w:hint="eastAsia" w:asciiTheme="minorEastAsia" w:hAnsiTheme="minorEastAsia" w:eastAsiaTheme="minorEastAsia" w:cstheme="minorEastAsia"/>
          <w:spacing w:val="12"/>
          <w:kern w:val="0"/>
          <w:sz w:val="24"/>
          <w:szCs w:val="24"/>
          <w:highlight w:val="none"/>
          <w:lang w:val="zh-CN" w:bidi="zh-CN"/>
        </w:rPr>
        <w:t xml:space="preserve"> </w:t>
      </w:r>
      <w:r>
        <w:rPr>
          <w:rFonts w:hint="eastAsia" w:asciiTheme="minorEastAsia" w:hAnsiTheme="minorEastAsia" w:eastAsiaTheme="minorEastAsia" w:cstheme="minorEastAsia"/>
          <w:kern w:val="0"/>
          <w:sz w:val="24"/>
          <w:szCs w:val="24"/>
          <w:highlight w:val="none"/>
          <w:lang w:val="zh-CN" w:bidi="zh-CN"/>
        </w:rPr>
        <w:t>天内向监理人提交开工报告， 主要内容应包括：施工管理机构的建立，劳务、机械设备、材料的进场情况，临时设施的修建及总体施工组织计划等；</w:t>
      </w:r>
      <w:r>
        <w:rPr>
          <w:rFonts w:hint="eastAsia" w:asciiTheme="minorEastAsia" w:hAnsiTheme="minorEastAsia" w:eastAsiaTheme="minorEastAsia" w:cstheme="minorEastAsia"/>
          <w:spacing w:val="-15"/>
          <w:kern w:val="0"/>
          <w:sz w:val="24"/>
          <w:szCs w:val="24"/>
          <w:highlight w:val="none"/>
          <w:lang w:val="zh-CN" w:bidi="zh-CN"/>
        </w:rPr>
        <w:t xml:space="preserve"> </w:t>
      </w:r>
    </w:p>
    <w:p w14:paraId="40E5911A">
      <w:pPr>
        <w:pageBreakBefore w:val="0"/>
        <w:kinsoku/>
        <w:wordWrap/>
        <w:overflowPunct/>
        <w:topLinePunct w:val="0"/>
        <w:autoSpaceDE w:val="0"/>
        <w:autoSpaceDN w:val="0"/>
        <w:bidi w:val="0"/>
        <w:adjustRightInd/>
        <w:snapToGrid/>
        <w:spacing w:before="74" w:line="320" w:lineRule="exact"/>
        <w:ind w:left="384" w:right="466" w:firstLine="42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5"/>
          <w:kern w:val="0"/>
          <w:sz w:val="24"/>
          <w:szCs w:val="24"/>
          <w:highlight w:val="none"/>
          <w:lang w:val="zh-CN" w:bidi="zh-CN"/>
        </w:rPr>
        <w:t>（2）</w:t>
      </w:r>
      <w:r>
        <w:rPr>
          <w:rFonts w:hint="eastAsia" w:asciiTheme="minorEastAsia" w:hAnsiTheme="minorEastAsia" w:eastAsiaTheme="minorEastAsia" w:cstheme="minorEastAsia"/>
          <w:spacing w:val="-9"/>
          <w:kern w:val="0"/>
          <w:sz w:val="24"/>
          <w:szCs w:val="24"/>
          <w:highlight w:val="none"/>
          <w:lang w:val="zh-CN" w:bidi="zh-CN"/>
        </w:rPr>
        <w:t xml:space="preserve">分部工程开工：承包人应在分部工程开工前 </w:t>
      </w:r>
      <w:r>
        <w:rPr>
          <w:rFonts w:hint="eastAsia" w:asciiTheme="minorEastAsia" w:hAnsiTheme="minorEastAsia" w:eastAsiaTheme="minorEastAsia" w:cstheme="minorEastAsia"/>
          <w:kern w:val="0"/>
          <w:sz w:val="24"/>
          <w:szCs w:val="24"/>
          <w:highlight w:val="none"/>
          <w:lang w:val="zh-CN" w:bidi="zh-CN"/>
        </w:rPr>
        <w:t>7 天向监理人提交分部工程开工报告，若承包人的开工准备、工作计划和质量控制方法是可接受的，经监理人书面同意，分部工程才能开工。</w:t>
      </w:r>
    </w:p>
    <w:p w14:paraId="6B757190">
      <w:pPr>
        <w:pageBreakBefore w:val="0"/>
        <w:tabs>
          <w:tab w:val="left" w:pos="1403"/>
          <w:tab w:val="left" w:pos="1404"/>
        </w:tabs>
        <w:kinsoku/>
        <w:wordWrap/>
        <w:overflowPunct/>
        <w:topLinePunct w:val="0"/>
        <w:autoSpaceDE w:val="0"/>
        <w:autoSpaceDN w:val="0"/>
        <w:bidi w:val="0"/>
        <w:adjustRightInd/>
        <w:snapToGrid/>
        <w:spacing w:before="1" w:line="320" w:lineRule="exact"/>
        <w:ind w:left="802" w:right="46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2"/>
          <w:kern w:val="0"/>
          <w:sz w:val="24"/>
          <w:szCs w:val="24"/>
          <w:highlight w:val="none"/>
          <w:lang w:val="zh-CN" w:bidi="zh-CN"/>
        </w:rPr>
        <w:t>8.2由于下述原因之一而影响施工进度，承包人有权要求延长工期和</w:t>
      </w:r>
      <w:r>
        <w:rPr>
          <w:rFonts w:hint="eastAsia" w:asciiTheme="minorEastAsia" w:hAnsiTheme="minorEastAsia" w:eastAsiaTheme="minorEastAsia" w:cstheme="minorEastAsia"/>
          <w:kern w:val="0"/>
          <w:sz w:val="24"/>
          <w:szCs w:val="24"/>
          <w:highlight w:val="none"/>
          <w:lang w:val="zh-CN" w:bidi="zh-CN"/>
        </w:rPr>
        <w:t>（或</w:t>
      </w:r>
      <w:r>
        <w:rPr>
          <w:rFonts w:hint="eastAsia" w:asciiTheme="minorEastAsia" w:hAnsiTheme="minorEastAsia" w:eastAsiaTheme="minorEastAsia" w:cstheme="minorEastAsia"/>
          <w:spacing w:val="-10"/>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增加费用。</w:t>
      </w:r>
    </w:p>
    <w:p w14:paraId="02DA78B4">
      <w:pPr>
        <w:pageBreakBefore w:val="0"/>
        <w:kinsoku/>
        <w:wordWrap/>
        <w:overflowPunct/>
        <w:topLinePunct w:val="0"/>
        <w:autoSpaceDE w:val="0"/>
        <w:autoSpaceDN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（1）增加合同工作内容；</w:t>
      </w:r>
    </w:p>
    <w:p w14:paraId="51A36CED">
      <w:pPr>
        <w:pageBreakBefore w:val="0"/>
        <w:kinsoku/>
        <w:wordWrap/>
        <w:overflowPunct/>
        <w:topLinePunct w:val="0"/>
        <w:autoSpaceDE w:val="0"/>
        <w:autoSpaceDN w:val="0"/>
        <w:bidi w:val="0"/>
        <w:adjustRightInd/>
        <w:snapToGrid/>
        <w:spacing w:before="93"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（2）改变合同中任何一项工作的质量要求或其他特性；</w:t>
      </w:r>
    </w:p>
    <w:p w14:paraId="1890FEBE">
      <w:pPr>
        <w:pageBreakBefore w:val="0"/>
        <w:kinsoku/>
        <w:wordWrap/>
        <w:overflowPunct/>
        <w:topLinePunct w:val="0"/>
        <w:autoSpaceDE w:val="0"/>
        <w:autoSpaceDN w:val="0"/>
        <w:bidi w:val="0"/>
        <w:adjustRightInd/>
        <w:snapToGrid/>
        <w:spacing w:before="74" w:line="320" w:lineRule="exact"/>
        <w:ind w:right="466"/>
        <w:textAlignment w:val="auto"/>
        <w:outlineLvl w:val="9"/>
        <w:rPr>
          <w:rFonts w:hint="eastAsia" w:asciiTheme="minorEastAsia" w:hAnsiTheme="minorEastAsia" w:eastAsiaTheme="minorEastAsia" w:cstheme="minorEastAsia"/>
          <w:spacing w:val="-15"/>
          <w:kern w:val="0"/>
          <w:sz w:val="24"/>
          <w:szCs w:val="24"/>
          <w:highlight w:val="none"/>
          <w:lang w:val="zh-CN" w:bidi="zh-CN"/>
        </w:rPr>
      </w:pPr>
      <w:r>
        <w:rPr>
          <w:rFonts w:hint="eastAsia" w:asciiTheme="minorEastAsia" w:hAnsiTheme="minorEastAsia" w:eastAsiaTheme="minorEastAsia" w:cstheme="minorEastAsia"/>
          <w:spacing w:val="-15"/>
          <w:kern w:val="0"/>
          <w:sz w:val="24"/>
          <w:szCs w:val="24"/>
          <w:highlight w:val="none"/>
          <w:lang w:val="zh-CN" w:bidi="zh-CN"/>
        </w:rPr>
        <w:t>（3）连续降大雨 3 天以上或特大洪水；连续 7 天 8 级以上的大风；或出现其他异常恶劣的气候条件(是指项目所在地 30 年以上一遇的罕见气候现象，包括温度、降水、降雪、风等)；</w:t>
      </w:r>
    </w:p>
    <w:p w14:paraId="4EF34619">
      <w:pPr>
        <w:pageBreakBefore w:val="0"/>
        <w:kinsoku/>
        <w:wordWrap/>
        <w:overflowPunct/>
        <w:topLinePunct w:val="0"/>
        <w:autoSpaceDE w:val="0"/>
        <w:autoSpaceDN w:val="0"/>
        <w:bidi w:val="0"/>
        <w:adjustRightInd/>
        <w:snapToGrid/>
        <w:spacing w:before="3"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（4）提供图纸延误；</w:t>
      </w:r>
    </w:p>
    <w:p w14:paraId="786B93F9">
      <w:pPr>
        <w:pageBreakBefore w:val="0"/>
        <w:kinsoku/>
        <w:wordWrap/>
        <w:overflowPunct/>
        <w:topLinePunct w:val="0"/>
        <w:autoSpaceDE w:val="0"/>
        <w:autoSpaceDN w:val="0"/>
        <w:bidi w:val="0"/>
        <w:adjustRightInd/>
        <w:snapToGrid/>
        <w:spacing w:before="90"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（5）未按合同约定及时支付预付款、进度款；</w:t>
      </w:r>
    </w:p>
    <w:p w14:paraId="0BF943CD">
      <w:pPr>
        <w:pageBreakBefore w:val="0"/>
        <w:kinsoku/>
        <w:wordWrap/>
        <w:overflowPunct/>
        <w:topLinePunct w:val="0"/>
        <w:autoSpaceDE w:val="0"/>
        <w:autoSpaceDN w:val="0"/>
        <w:bidi w:val="0"/>
        <w:adjustRightInd/>
        <w:snapToGrid/>
        <w:spacing w:before="90"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（6）由于发包人原因导致的暂停施工；</w:t>
      </w:r>
    </w:p>
    <w:p w14:paraId="6FC33517">
      <w:pPr>
        <w:pageBreakBefore w:val="0"/>
        <w:kinsoku/>
        <w:wordWrap/>
        <w:overflowPunct/>
        <w:topLinePunct w:val="0"/>
        <w:autoSpaceDE w:val="0"/>
        <w:autoSpaceDN w:val="0"/>
        <w:bidi w:val="0"/>
        <w:adjustRightInd/>
        <w:snapToGrid/>
        <w:spacing w:before="90"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（7）不是由于承包人的失误或违约而发生的其他特殊情况。</w:t>
      </w:r>
    </w:p>
    <w:p w14:paraId="684C8CF5">
      <w:pPr>
        <w:pageBreakBefore w:val="0"/>
        <w:kinsoku/>
        <w:wordWrap/>
        <w:overflowPunct/>
        <w:topLinePunct w:val="0"/>
        <w:autoSpaceDE w:val="0"/>
        <w:autoSpaceDN w:val="0"/>
        <w:bidi w:val="0"/>
        <w:adjustRightInd/>
        <w:snapToGrid/>
        <w:spacing w:before="74" w:line="320" w:lineRule="exact"/>
        <w:ind w:left="384" w:right="466" w:firstLine="420" w:firstLineChars="200"/>
        <w:textAlignment w:val="auto"/>
        <w:outlineLvl w:val="9"/>
        <w:rPr>
          <w:rFonts w:hint="eastAsia" w:asciiTheme="minorEastAsia" w:hAnsiTheme="minorEastAsia" w:eastAsiaTheme="minorEastAsia" w:cstheme="minorEastAsia"/>
          <w:spacing w:val="-15"/>
          <w:kern w:val="0"/>
          <w:sz w:val="24"/>
          <w:szCs w:val="24"/>
          <w:highlight w:val="none"/>
          <w:lang w:val="zh-CN" w:bidi="zh-CN"/>
        </w:rPr>
      </w:pPr>
      <w:r>
        <w:rPr>
          <w:rFonts w:hint="eastAsia" w:asciiTheme="minorEastAsia" w:hAnsiTheme="minorEastAsia" w:eastAsiaTheme="minorEastAsia" w:cstheme="minorEastAsia"/>
          <w:spacing w:val="-15"/>
          <w:kern w:val="0"/>
          <w:sz w:val="24"/>
          <w:szCs w:val="24"/>
          <w:highlight w:val="none"/>
          <w:lang w:val="zh-CN" w:bidi="zh-CN"/>
        </w:rPr>
        <w:t>8.4承包人应在上述情况发生后 7 天内向监理人发出要求延期的申请，并提交延期的详细情况与缘由，监理人在收到最后详细资料后 7 天内调查核实并经发包人批准后予以答复，逾期不答复也不提出修改意见，则应视为承包人延期请求已获得发包人批准。</w:t>
      </w:r>
    </w:p>
    <w:p w14:paraId="4DC9016D">
      <w:pPr>
        <w:pageBreakBefore w:val="0"/>
        <w:tabs>
          <w:tab w:val="left" w:pos="1409"/>
        </w:tabs>
        <w:kinsoku/>
        <w:wordWrap/>
        <w:overflowPunct/>
        <w:topLinePunct w:val="0"/>
        <w:autoSpaceDE w:val="0"/>
        <w:autoSpaceDN w:val="0"/>
        <w:bidi w:val="0"/>
        <w:adjustRightInd/>
        <w:snapToGrid/>
        <w:spacing w:before="2" w:line="320" w:lineRule="exact"/>
        <w:ind w:left="384" w:right="467" w:firstLine="48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3"/>
          <w:kern w:val="0"/>
          <w:sz w:val="24"/>
          <w:szCs w:val="24"/>
          <w:highlight w:val="none"/>
          <w:lang w:val="zh-CN" w:bidi="zh-CN"/>
        </w:rPr>
        <w:t>由于承包人原因，未能按合同进度计划完成工作，或监理人认为承包人</w:t>
      </w:r>
      <w:r>
        <w:rPr>
          <w:rFonts w:hint="eastAsia" w:asciiTheme="minorEastAsia" w:hAnsiTheme="minorEastAsia" w:eastAsiaTheme="minorEastAsia" w:cstheme="minorEastAsia"/>
          <w:spacing w:val="-6"/>
          <w:kern w:val="0"/>
          <w:sz w:val="24"/>
          <w:szCs w:val="24"/>
          <w:highlight w:val="none"/>
          <w:lang w:val="zh-CN" w:bidi="zh-CN"/>
        </w:rPr>
        <w:t>施工进度不能满足合同工期要求的，承包人应采取措施加快进度，并承担加快进度所增加的费用。由于承包人原因造成工期延误，承包人应支付逾期违约金。逾期交</w:t>
      </w:r>
      <w:r>
        <w:rPr>
          <w:rFonts w:hint="eastAsia" w:asciiTheme="minorEastAsia" w:hAnsiTheme="minorEastAsia" w:eastAsiaTheme="minorEastAsia" w:cstheme="minorEastAsia"/>
          <w:spacing w:val="-5"/>
          <w:kern w:val="0"/>
          <w:sz w:val="24"/>
          <w:szCs w:val="24"/>
          <w:highlight w:val="none"/>
          <w:lang w:val="zh-CN" w:bidi="zh-CN"/>
        </w:rPr>
        <w:t>工违约金的计算方法在合同条款数据表中约定，时间自预定的交工日期起到交工验</w:t>
      </w:r>
      <w:r>
        <w:rPr>
          <w:rFonts w:hint="eastAsia" w:asciiTheme="minorEastAsia" w:hAnsiTheme="minorEastAsia" w:eastAsiaTheme="minorEastAsia" w:cstheme="minorEastAsia"/>
          <w:spacing w:val="-2"/>
          <w:kern w:val="0"/>
          <w:sz w:val="24"/>
          <w:szCs w:val="24"/>
          <w:highlight w:val="none"/>
          <w:lang w:val="zh-CN" w:bidi="zh-CN"/>
        </w:rPr>
        <w:t>收证书中写明的实际交工日期止</w:t>
      </w:r>
      <w:r>
        <w:rPr>
          <w:rFonts w:hint="eastAsia" w:asciiTheme="minorEastAsia" w:hAnsiTheme="minorEastAsia" w:eastAsiaTheme="minorEastAsia" w:cstheme="minorEastAsia"/>
          <w:spacing w:val="4"/>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扣除已批准的延长工期</w:t>
      </w:r>
      <w:r>
        <w:rPr>
          <w:rFonts w:hint="eastAsia" w:asciiTheme="minorEastAsia" w:hAnsiTheme="minorEastAsia" w:eastAsiaTheme="minorEastAsia" w:cstheme="minorEastAsia"/>
          <w:spacing w:val="-23"/>
          <w:kern w:val="0"/>
          <w:sz w:val="24"/>
          <w:szCs w:val="24"/>
          <w:highlight w:val="none"/>
          <w:lang w:val="zh-CN" w:bidi="zh-CN"/>
        </w:rPr>
        <w:t>）</w:t>
      </w:r>
      <w:r>
        <w:rPr>
          <w:rFonts w:hint="eastAsia" w:asciiTheme="minorEastAsia" w:hAnsiTheme="minorEastAsia" w:eastAsiaTheme="minorEastAsia" w:cstheme="minorEastAsia"/>
          <w:spacing w:val="-5"/>
          <w:kern w:val="0"/>
          <w:sz w:val="24"/>
          <w:szCs w:val="24"/>
          <w:highlight w:val="none"/>
          <w:lang w:val="zh-CN" w:bidi="zh-CN"/>
        </w:rPr>
        <w:t>，按天计算。逾期交工违约金累计金额最高不超过合同条款数据表中写明的限额。但不免除承包人完成工</w:t>
      </w:r>
      <w:r>
        <w:rPr>
          <w:rFonts w:hint="eastAsia" w:asciiTheme="minorEastAsia" w:hAnsiTheme="minorEastAsia" w:eastAsiaTheme="minorEastAsia" w:cstheme="minorEastAsia"/>
          <w:kern w:val="0"/>
          <w:sz w:val="24"/>
          <w:szCs w:val="24"/>
          <w:highlight w:val="none"/>
          <w:lang w:val="zh-CN" w:bidi="zh-CN"/>
        </w:rPr>
        <w:t>程及修补缺陷的义务。</w:t>
      </w:r>
    </w:p>
    <w:p w14:paraId="26B4AA25">
      <w:pPr>
        <w:keepLines/>
        <w:pageBreakBefore w:val="0"/>
        <w:widowControl/>
        <w:tabs>
          <w:tab w:val="left" w:pos="567"/>
        </w:tabs>
        <w:kinsoku/>
        <w:wordWrap/>
        <w:overflowPunct/>
        <w:topLinePunct w:val="0"/>
        <w:autoSpaceDE w:val="0"/>
        <w:autoSpaceDN w:val="0"/>
        <w:bidi w:val="0"/>
        <w:adjustRightInd/>
        <w:snapToGrid/>
        <w:spacing w:before="120" w:after="120" w:line="320" w:lineRule="exact"/>
        <w:ind w:left="567"/>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9.工期提前</w:t>
      </w:r>
    </w:p>
    <w:p w14:paraId="564BF970">
      <w:pPr>
        <w:pageBreakBefore w:val="0"/>
        <w:kinsoku/>
        <w:wordWrap/>
        <w:overflowPunct/>
        <w:topLinePunct w:val="0"/>
        <w:autoSpaceDE w:val="0"/>
        <w:autoSpaceDN w:val="0"/>
        <w:bidi w:val="0"/>
        <w:adjustRightInd/>
        <w:snapToGrid/>
        <w:spacing w:line="320" w:lineRule="exact"/>
        <w:ind w:left="384" w:right="26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发包人不得随意要求承包人提前交工，承包人也不得随意提出提前交工的建议。如遇特殊情况，发包人确需将工期提前的，发生的费用由发包人承担，发包人和承包人必须采取有效措施，确保工程质量。</w:t>
      </w:r>
    </w:p>
    <w:p w14:paraId="4EE68709">
      <w:pPr>
        <w:keepLines/>
        <w:pageBreakBefore w:val="0"/>
        <w:widowControl/>
        <w:tabs>
          <w:tab w:val="left" w:pos="567"/>
        </w:tabs>
        <w:kinsoku/>
        <w:wordWrap/>
        <w:overflowPunct/>
        <w:topLinePunct w:val="0"/>
        <w:autoSpaceDE w:val="0"/>
        <w:autoSpaceDN w:val="0"/>
        <w:bidi w:val="0"/>
        <w:adjustRightInd/>
        <w:snapToGrid/>
        <w:spacing w:before="120" w:after="12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10.暂停施工及复工</w:t>
      </w:r>
    </w:p>
    <w:p w14:paraId="35928A4A">
      <w:pPr>
        <w:pageBreakBefore w:val="0"/>
        <w:tabs>
          <w:tab w:val="left" w:pos="1523"/>
          <w:tab w:val="left" w:pos="1524"/>
        </w:tabs>
        <w:kinsoku/>
        <w:wordWrap/>
        <w:overflowPunct/>
        <w:topLinePunct w:val="0"/>
        <w:autoSpaceDE w:val="0"/>
        <w:autoSpaceDN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10.1承包人暂停施工增加的费用和（或）工期延误由承包人承担，包括：</w:t>
      </w:r>
    </w:p>
    <w:p w14:paraId="0132A88C">
      <w:pPr>
        <w:pageBreakBefore w:val="0"/>
        <w:kinsoku/>
        <w:wordWrap/>
        <w:overflowPunct/>
        <w:topLinePunct w:val="0"/>
        <w:autoSpaceDE w:val="0"/>
        <w:autoSpaceDN w:val="0"/>
        <w:bidi w:val="0"/>
        <w:adjustRightInd/>
        <w:snapToGrid/>
        <w:spacing w:before="93"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（1）承包人违约引起的暂停施工；</w:t>
      </w:r>
    </w:p>
    <w:p w14:paraId="7A0CC2A7">
      <w:pPr>
        <w:pageBreakBefore w:val="0"/>
        <w:kinsoku/>
        <w:wordWrap/>
        <w:overflowPunct/>
        <w:topLinePunct w:val="0"/>
        <w:autoSpaceDE w:val="0"/>
        <w:autoSpaceDN w:val="0"/>
        <w:bidi w:val="0"/>
        <w:adjustRightInd/>
        <w:snapToGrid/>
        <w:spacing w:before="74"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（2）由于承包人原因为工程合理施工和安全保障所必需的暂停施工；</w:t>
      </w:r>
    </w:p>
    <w:p w14:paraId="4BF87568">
      <w:pPr>
        <w:pageBreakBefore w:val="0"/>
        <w:kinsoku/>
        <w:wordWrap/>
        <w:overflowPunct/>
        <w:topLinePunct w:val="0"/>
        <w:autoSpaceDE w:val="0"/>
        <w:autoSpaceDN w:val="0"/>
        <w:bidi w:val="0"/>
        <w:adjustRightInd/>
        <w:snapToGrid/>
        <w:spacing w:before="74"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（3）承包人擅自暂停施工；</w:t>
      </w:r>
    </w:p>
    <w:p w14:paraId="4B033898">
      <w:pPr>
        <w:pageBreakBefore w:val="0"/>
        <w:kinsoku/>
        <w:wordWrap/>
        <w:overflowPunct/>
        <w:topLinePunct w:val="0"/>
        <w:autoSpaceDE w:val="0"/>
        <w:autoSpaceDN w:val="0"/>
        <w:bidi w:val="0"/>
        <w:adjustRightInd/>
        <w:snapToGrid/>
        <w:spacing w:before="74"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（4）承包人其他原因引起的暂停施工；</w:t>
      </w:r>
    </w:p>
    <w:p w14:paraId="61B54F58">
      <w:pPr>
        <w:pageBreakBefore w:val="0"/>
        <w:kinsoku/>
        <w:wordWrap/>
        <w:overflowPunct/>
        <w:topLinePunct w:val="0"/>
        <w:autoSpaceDE w:val="0"/>
        <w:autoSpaceDN w:val="0"/>
        <w:bidi w:val="0"/>
        <w:adjustRightInd/>
        <w:snapToGrid/>
        <w:spacing w:before="74"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（5）现场气候条件导致的必要停工（异常恶劣气候条件除外）。</w:t>
      </w:r>
    </w:p>
    <w:p w14:paraId="21AD9F42">
      <w:pPr>
        <w:pageBreakBefore w:val="0"/>
        <w:tabs>
          <w:tab w:val="left" w:pos="1529"/>
        </w:tabs>
        <w:kinsoku/>
        <w:wordWrap/>
        <w:overflowPunct/>
        <w:topLinePunct w:val="0"/>
        <w:autoSpaceDE w:val="0"/>
        <w:autoSpaceDN w:val="0"/>
        <w:bidi w:val="0"/>
        <w:adjustRightInd/>
        <w:snapToGrid/>
        <w:spacing w:line="320" w:lineRule="exact"/>
        <w:ind w:left="384" w:right="466" w:firstLine="48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10.2监理人认为有必要时，可向承包人作出暂停施工的指示，承包人应按监理人指示暂停施工。不论由于何种原因引起的暂停施工，暂停施工期间承包人应负责妥善保护工程并提供安全保障。因发包人或监理人的行为或失误引起的停工，由发包人承担相应的费用补偿，相应工期顺延；由承包人原因造成的停工由承包人承担发生的费用，工期不予顺延。</w:t>
      </w:r>
    </w:p>
    <w:p w14:paraId="2D93E3FA">
      <w:pPr>
        <w:pageBreakBefore w:val="0"/>
        <w:tabs>
          <w:tab w:val="left" w:pos="1529"/>
        </w:tabs>
        <w:kinsoku/>
        <w:wordWrap/>
        <w:overflowPunct/>
        <w:topLinePunct w:val="0"/>
        <w:autoSpaceDE w:val="0"/>
        <w:autoSpaceDN w:val="0"/>
        <w:bidi w:val="0"/>
        <w:adjustRightInd/>
        <w:snapToGrid/>
        <w:spacing w:line="320" w:lineRule="exact"/>
        <w:ind w:left="384" w:right="466" w:firstLine="48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10.3由于发包人原因引起的暂停施工造成工期延误的，承包人有权要求发包人延长工期和(或)</w:t>
      </w:r>
      <w:r>
        <w:rPr>
          <w:rFonts w:hint="eastAsia" w:asciiTheme="minorEastAsia" w:hAnsiTheme="minorEastAsia" w:eastAsiaTheme="minorEastAsia" w:cstheme="minorEastAsia"/>
          <w:spacing w:val="-4"/>
          <w:kern w:val="0"/>
          <w:sz w:val="24"/>
          <w:szCs w:val="24"/>
          <w:highlight w:val="none"/>
          <w:lang w:val="zh-CN" w:bidi="zh-CN"/>
        </w:rPr>
        <w:t xml:space="preserve">增加费用，并支付合理利润。在自暂时停工之日起 </w:t>
      </w:r>
      <w:r>
        <w:rPr>
          <w:rFonts w:hint="eastAsia" w:asciiTheme="minorEastAsia" w:hAnsiTheme="minorEastAsia" w:eastAsiaTheme="minorEastAsia" w:cstheme="minorEastAsia"/>
          <w:kern w:val="0"/>
          <w:sz w:val="24"/>
          <w:szCs w:val="24"/>
          <w:highlight w:val="none"/>
          <w:lang w:val="zh-CN" w:bidi="zh-CN"/>
        </w:rPr>
        <w:t xml:space="preserve">28 </w:t>
      </w:r>
      <w:r>
        <w:rPr>
          <w:rFonts w:hint="eastAsia" w:asciiTheme="minorEastAsia" w:hAnsiTheme="minorEastAsia" w:eastAsiaTheme="minorEastAsia" w:cstheme="minorEastAsia"/>
          <w:spacing w:val="-1"/>
          <w:kern w:val="0"/>
          <w:sz w:val="24"/>
          <w:szCs w:val="24"/>
          <w:highlight w:val="none"/>
          <w:lang w:val="zh-CN" w:bidi="zh-CN"/>
        </w:rPr>
        <w:t>天内，监理</w:t>
      </w:r>
      <w:r>
        <w:rPr>
          <w:rFonts w:hint="eastAsia" w:asciiTheme="minorEastAsia" w:hAnsiTheme="minorEastAsia" w:eastAsiaTheme="minorEastAsia" w:cstheme="minorEastAsia"/>
          <w:spacing w:val="-10"/>
          <w:kern w:val="0"/>
          <w:sz w:val="24"/>
          <w:szCs w:val="24"/>
          <w:highlight w:val="none"/>
          <w:lang w:val="zh-CN" w:bidi="zh-CN"/>
        </w:rPr>
        <w:t xml:space="preserve">人仍未发出复工通知，承包人可向监理人提交书面通知，要求自收到该通知后 </w:t>
      </w:r>
      <w:r>
        <w:rPr>
          <w:rFonts w:hint="eastAsia" w:asciiTheme="minorEastAsia" w:hAnsiTheme="minorEastAsia" w:eastAsiaTheme="minorEastAsia" w:cstheme="minorEastAsia"/>
          <w:kern w:val="0"/>
          <w:sz w:val="24"/>
          <w:szCs w:val="24"/>
          <w:highlight w:val="none"/>
          <w:lang w:val="zh-CN" w:bidi="zh-CN"/>
        </w:rPr>
        <w:t>14 天内准许已经暂停的工程（或其部分工程）继续施工。如果监理人逾期不予批准，则承包人可以（但并非必须）作如下选择：</w:t>
      </w:r>
    </w:p>
    <w:p w14:paraId="42A28D00">
      <w:pPr>
        <w:pageBreakBefore w:val="0"/>
        <w:kinsoku/>
        <w:wordWrap/>
        <w:overflowPunct/>
        <w:topLinePunct w:val="0"/>
        <w:autoSpaceDE w:val="0"/>
        <w:autoSpaceDN w:val="0"/>
        <w:bidi w:val="0"/>
        <w:adjustRightInd/>
        <w:snapToGrid/>
        <w:spacing w:before="1"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（1）如果暂停施工仅涉及本工程的一部分时，则可将该部分工程从本合同中取消，同时将此事通知监理人；</w:t>
      </w:r>
    </w:p>
    <w:p w14:paraId="44063B94">
      <w:pPr>
        <w:pageBreakBefore w:val="0"/>
        <w:kinsoku/>
        <w:wordWrap/>
        <w:overflowPunct/>
        <w:topLinePunct w:val="0"/>
        <w:autoSpaceDE w:val="0"/>
        <w:autoSpaceDN w:val="0"/>
        <w:bidi w:val="0"/>
        <w:adjustRightInd/>
        <w:snapToGrid/>
        <w:spacing w:before="1"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（2）如果暂停施工影响到整个合同工程时，可视为发包人违约，并由发包人承担违约责任。</w:t>
      </w:r>
    </w:p>
    <w:p w14:paraId="3DF38105">
      <w:pPr>
        <w:pageBreakBefore w:val="0"/>
        <w:tabs>
          <w:tab w:val="left" w:pos="1523"/>
          <w:tab w:val="left" w:pos="1524"/>
        </w:tabs>
        <w:kinsoku/>
        <w:wordWrap/>
        <w:overflowPunct/>
        <w:topLinePunct w:val="0"/>
        <w:autoSpaceDE w:val="0"/>
        <w:autoSpaceDN w:val="0"/>
        <w:bidi w:val="0"/>
        <w:adjustRightInd/>
        <w:snapToGrid/>
        <w:spacing w:line="320" w:lineRule="exact"/>
        <w:ind w:left="384" w:firstLine="48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10.4 复工</w:t>
      </w:r>
    </w:p>
    <w:p w14:paraId="2807D196">
      <w:pPr>
        <w:pageBreakBefore w:val="0"/>
        <w:kinsoku/>
        <w:wordWrap/>
        <w:overflowPunct/>
        <w:topLinePunct w:val="0"/>
        <w:autoSpaceDE w:val="0"/>
        <w:autoSpaceDN w:val="0"/>
        <w:bidi w:val="0"/>
        <w:adjustRightInd/>
        <w:snapToGrid/>
        <w:spacing w:before="84" w:line="320" w:lineRule="exact"/>
        <w:ind w:left="384" w:right="346" w:firstLine="448"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8"/>
          <w:kern w:val="0"/>
          <w:sz w:val="24"/>
          <w:szCs w:val="24"/>
          <w:highlight w:val="none"/>
          <w:lang w:val="zh-CN" w:bidi="zh-CN"/>
        </w:rPr>
        <w:t>（1）</w:t>
      </w:r>
      <w:r>
        <w:rPr>
          <w:rFonts w:hint="eastAsia" w:asciiTheme="minorEastAsia" w:hAnsiTheme="minorEastAsia" w:eastAsiaTheme="minorEastAsia" w:cstheme="minorEastAsia"/>
          <w:spacing w:val="-7"/>
          <w:kern w:val="0"/>
          <w:sz w:val="24"/>
          <w:szCs w:val="24"/>
          <w:highlight w:val="none"/>
          <w:lang w:val="zh-CN" w:bidi="zh-CN"/>
        </w:rPr>
        <w:t>暂停施工后，发包人、监理人和承包人应积极协商，采取有效措施积极消</w:t>
      </w:r>
      <w:r>
        <w:rPr>
          <w:rFonts w:hint="eastAsia" w:asciiTheme="minorEastAsia" w:hAnsiTheme="minorEastAsia" w:eastAsiaTheme="minorEastAsia" w:cstheme="minorEastAsia"/>
          <w:spacing w:val="-12"/>
          <w:kern w:val="0"/>
          <w:sz w:val="24"/>
          <w:szCs w:val="24"/>
          <w:highlight w:val="none"/>
          <w:lang w:val="zh-CN" w:bidi="zh-CN"/>
        </w:rPr>
        <w:t>除暂停施工的影响。当工程具备复工条件时，监理人应立即向承包人发出复工通知。承包人收到复工通知后，应在监理人指定的期限内复工；</w:t>
      </w:r>
    </w:p>
    <w:p w14:paraId="1679AD75">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w:t>
      </w:r>
      <w:r>
        <w:rPr>
          <w:rFonts w:hint="eastAsia" w:asciiTheme="minorEastAsia" w:hAnsiTheme="minorEastAsia" w:eastAsiaTheme="minorEastAsia" w:cstheme="minorEastAsia"/>
          <w:spacing w:val="-104"/>
          <w:kern w:val="0"/>
          <w:sz w:val="24"/>
          <w:szCs w:val="24"/>
          <w:highlight w:val="none"/>
          <w:lang w:val="zh-CN" w:bidi="zh-CN"/>
        </w:rPr>
        <w:t>）</w:t>
      </w:r>
      <w:r>
        <w:rPr>
          <w:rFonts w:hint="eastAsia" w:asciiTheme="minorEastAsia" w:hAnsiTheme="minorEastAsia" w:eastAsiaTheme="minorEastAsia" w:cstheme="minorEastAsia"/>
          <w:spacing w:val="-8"/>
          <w:kern w:val="0"/>
          <w:sz w:val="24"/>
          <w:szCs w:val="24"/>
          <w:highlight w:val="none"/>
          <w:lang w:val="zh-CN" w:bidi="zh-CN"/>
        </w:rPr>
        <w:t>承包人无故拖延和拒绝复工的，由此增加的费用和工期延误由承包人承担；</w:t>
      </w:r>
      <w:r>
        <w:rPr>
          <w:rFonts w:hint="eastAsia" w:asciiTheme="minorEastAsia" w:hAnsiTheme="minorEastAsia" w:eastAsiaTheme="minorEastAsia" w:cstheme="minorEastAsia"/>
          <w:spacing w:val="-1"/>
          <w:kern w:val="0"/>
          <w:sz w:val="24"/>
          <w:szCs w:val="24"/>
          <w:highlight w:val="none"/>
          <w:lang w:val="zh-CN" w:bidi="zh-CN"/>
        </w:rPr>
        <w:t>因发包人原因无法按时复工的，承包人有权要求发包人延长工期和</w:t>
      </w:r>
      <w:r>
        <w:rPr>
          <w:rFonts w:hint="eastAsia" w:asciiTheme="minorEastAsia" w:hAnsiTheme="minorEastAsia" w:eastAsiaTheme="minorEastAsia" w:cstheme="minorEastAsia"/>
          <w:spacing w:val="4"/>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或</w:t>
      </w:r>
      <w:r>
        <w:rPr>
          <w:rFonts w:hint="eastAsia" w:asciiTheme="minorEastAsia" w:hAnsiTheme="minorEastAsia" w:eastAsiaTheme="minorEastAsia" w:cstheme="minorEastAsia"/>
          <w:spacing w:val="4"/>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增加费用， 并支付合理利润。</w:t>
      </w:r>
    </w:p>
    <w:p w14:paraId="1D49D57B">
      <w:pPr>
        <w:keepLines/>
        <w:pageBreakBefore w:val="0"/>
        <w:widowControl/>
        <w:tabs>
          <w:tab w:val="left" w:pos="567"/>
        </w:tabs>
        <w:kinsoku/>
        <w:wordWrap/>
        <w:overflowPunct/>
        <w:topLinePunct w:val="0"/>
        <w:autoSpaceDE w:val="0"/>
        <w:autoSpaceDN w:val="0"/>
        <w:bidi w:val="0"/>
        <w:adjustRightInd/>
        <w:snapToGrid/>
        <w:spacing w:before="120" w:after="120" w:line="320" w:lineRule="exact"/>
        <w:ind w:left="567"/>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11.工程竣（交）工</w:t>
      </w:r>
    </w:p>
    <w:p w14:paraId="79164F4C">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11.1工程完工，通过交工验收质量达到合格，并已按《喀什重要农村公路竣（交）工验收办法（试行）》的规定和地方交通主管部门的规定编制了竣工图表和竣工资料后，承包人可就此向监理人申请交工验收，同时抄送发包人。监理人在收到该申请后，应在 7 天内审核并报发包人，发包人在收到申请后 14 天内应组织交工验收，并写出交工验收报告报上级主管部门备案，同时发包人在交工验收合格后 14 天内，向承包人签发交工证书，各合同段交工验收工作所需费用由承包人承担。并办理合同工程移交管养工作。工程进入缺陷责任期。</w:t>
      </w:r>
    </w:p>
    <w:p w14:paraId="1A0B59AF">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11.2全部工程完工后，在全部工程交工证书签发之前，承包人须向发包人提交 3 套完整、合格的竣工文件与施工文件。在缺陷责任期内应补充的竣工资料应在签发缺陷责任证书之前提交。在承包人实施和完成本合同工程及其缺陷修复的义务后，应由监理人根据合同规定核查缺陷责任修复完成后填写缺陷责任终止证书，报发包人同意后，由发包人在缺陷责任期终止后 21 天之内发出。</w:t>
      </w:r>
    </w:p>
    <w:p w14:paraId="7B97E2BE">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11.3工程全部完工并通过交工验收后，发包人应向上级主管部门申请进行竣工验收。组织办理竣工验收的费用，由发包人承担。</w:t>
      </w:r>
    </w:p>
    <w:p w14:paraId="4F8A3D97">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11.4工程接收证书颁发后，承包人应按要求对施工场地进行清理，直至监理人检验合格为止。竣工清场费用由承包人承担。</w:t>
      </w:r>
    </w:p>
    <w:p w14:paraId="00235904">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11.5施工期运行</w:t>
      </w:r>
    </w:p>
    <w:p w14:paraId="7B13E40E">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11.5.1施工期运行是指合同工程尚未全部竣工，其中某项或某几项单位工程或工程设备安装已竣工，根据专用合同条款约定，需要投入施工期运行的，经发包人按第 11.1 款的约定验收合格，证明能确保安全后，才能在施工期投入运行。</w:t>
      </w:r>
    </w:p>
    <w:p w14:paraId="444B0A47">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11.5.2在施工期运行中发现工程或工程设备损坏或存在缺陷的，由承包人按第21.2 款约定进行修复。</w:t>
      </w:r>
    </w:p>
    <w:p w14:paraId="2B8368BC">
      <w:pPr>
        <w:pageBreakBefore w:val="0"/>
        <w:tabs>
          <w:tab w:val="left" w:pos="1404"/>
        </w:tabs>
        <w:kinsoku/>
        <w:wordWrap/>
        <w:overflowPunct/>
        <w:topLinePunct w:val="0"/>
        <w:autoSpaceDE w:val="0"/>
        <w:autoSpaceDN w:val="0"/>
        <w:bidi w:val="0"/>
        <w:adjustRightInd/>
        <w:snapToGrid/>
        <w:spacing w:before="84" w:line="320" w:lineRule="exact"/>
        <w:ind w:left="384" w:firstLine="48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11.6试运行</w:t>
      </w:r>
    </w:p>
    <w:p w14:paraId="1D8DA729">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11.6.1除专用合同条款另有约定外，承包人应按专用合同条款约定进行工程及工程设备试运行，负责提供试运行所需的人员、器材和必要的条件，并承担全部试运行费用。</w:t>
      </w:r>
    </w:p>
    <w:p w14:paraId="4F5DE41E">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11.6.2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5F541205">
      <w:pPr>
        <w:keepNext/>
        <w:keepLines/>
        <w:pageBreakBefore w:val="0"/>
        <w:widowControl/>
        <w:kinsoku/>
        <w:wordWrap/>
        <w:overflowPunct/>
        <w:topLinePunct w:val="0"/>
        <w:bidi w:val="0"/>
        <w:adjustRightInd/>
        <w:snapToGrid/>
        <w:spacing w:before="260" w:after="26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bookmarkStart w:id="405" w:name="_Toc256000036"/>
      <w:r>
        <w:rPr>
          <w:rFonts w:hint="eastAsia" w:asciiTheme="minorEastAsia" w:hAnsiTheme="minorEastAsia" w:eastAsiaTheme="minorEastAsia" w:cstheme="minorEastAsia"/>
          <w:b/>
          <w:bCs/>
          <w:kern w:val="0"/>
          <w:sz w:val="24"/>
          <w:szCs w:val="24"/>
          <w:highlight w:val="none"/>
          <w:lang w:val="zh-CN" w:bidi="zh-CN"/>
        </w:rPr>
        <w:t>四、质量与检验</w:t>
      </w:r>
      <w:bookmarkEnd w:id="405"/>
    </w:p>
    <w:p w14:paraId="577FE86A">
      <w:pPr>
        <w:keepLines/>
        <w:pageBreakBefore w:val="0"/>
        <w:widowControl/>
        <w:tabs>
          <w:tab w:val="left" w:pos="567"/>
        </w:tabs>
        <w:kinsoku/>
        <w:wordWrap/>
        <w:overflowPunct/>
        <w:topLinePunct w:val="0"/>
        <w:autoSpaceDE w:val="0"/>
        <w:autoSpaceDN w:val="0"/>
        <w:bidi w:val="0"/>
        <w:adjustRightInd/>
        <w:snapToGrid/>
        <w:spacing w:before="120" w:after="120" w:line="320" w:lineRule="exact"/>
        <w:ind w:left="567"/>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12.工程质量与检验</w:t>
      </w:r>
    </w:p>
    <w:p w14:paraId="5E7F8E97">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12.1承包人应保证其实施的工程质量达到约定的质量标准，质量标准的评定以交通运输部及喀什交通运输局有关质量检验评定标准规定为依据。因承包人原因， 工程质量达不到合同约定验收标准的，监理人有权要求承包人返工直至符合合同要求为止，承包人承担由此造成的费用增加和（或）工期延误。</w:t>
      </w:r>
    </w:p>
    <w:p w14:paraId="10B087C6">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因发包人原因造成工程质量达不到合同约定验收标准的，发包人应承担由于承包人返工造成的费用增加和（或）工期延误，并支付承包人合理利润。</w:t>
      </w:r>
    </w:p>
    <w:p w14:paraId="5DC1643C">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12.2承包人的质量管理</w:t>
      </w:r>
    </w:p>
    <w:p w14:paraId="06A531E2">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（1）承包人应在施工场地设置专门的质量检查机构，配备专职质量检查人员， 建立完善的质量检查制度。承包人应在合同约定的期限内，提交工程质量保证措施文件，包括质量检查机构的组织和岗位责任、质检人员的组成、质量检查程序和实施细则等，报送监理人审批；</w:t>
      </w:r>
    </w:p>
    <w:p w14:paraId="633A4C1A">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（2）发包人和承包人应严格遵守交通运输部和喀什交通运输局有关公路工程质量责任制和质量问题责任追究的相关规定，施行质量责任终身制，制定相关质量保证措施；</w:t>
      </w:r>
    </w:p>
    <w:p w14:paraId="2D1C30AD">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（3）用于本工程的材料和设备进场以前，承包人必须向监理人提交生产厂商出具的质量合格证书和承包人检验合格证书，证明材料、设备质量符合技术规范的规定；</w:t>
      </w:r>
    </w:p>
    <w:p w14:paraId="1C1C8DCF">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（4）承包人应随时按监理人的指令在制造、加工或施工现场对材料和设备进行检验；</w:t>
      </w:r>
    </w:p>
    <w:p w14:paraId="5ED6974F">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（5）承包人应为监理人对材料或设备的检验提供一切必要的协助，在材料用于工程之前，应按监理人的要求提供材料样品以供检验；</w:t>
      </w:r>
    </w:p>
    <w:p w14:paraId="004D08E5">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（6）承包人应加强质量监控，确保规范规定的检验、抽检频率，现场质检的原始资料必须真实、准确、可靠，不得追记，接受质量检查时必须出示原始资料；</w:t>
      </w:r>
    </w:p>
    <w:p w14:paraId="5C527C31">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7）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14:paraId="018FEDAF">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（8）所有施工操作工艺应符合本合同的规定以及监理人的指令；</w:t>
      </w:r>
    </w:p>
    <w:p w14:paraId="3D5FB9E0">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（9）对工程质量有争议，监理人可委托独立的工程质量检测机构鉴定，所需费用及因此造成的损失，由责任方承担。双方均有责任的，由双方根据其责任大小分别承担；</w:t>
      </w:r>
    </w:p>
    <w:p w14:paraId="0226116F">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（10）承包人应合理安排施工计划，合理安排工期，尽量避免工程越冬施工。如必须越冬，要采取必要的措施，保证工程质量；所发生的费用，承包人在报价中要充分考虑，发包人不单独支付。</w:t>
      </w:r>
    </w:p>
    <w:p w14:paraId="75E5149D">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12.3监理人根据检查或检验结果可以拒收有缺陷或不符合合同要求的材料或设备，并通知承包人说明拒收的理由；承包人应立即修复所述缺陷或替换被拒收材料或设备使其符合合同规定；如果监理人要求在相同条件下进行被拒收材料或设备的检验，其检验所发生的费用由承包人承担。</w:t>
      </w:r>
    </w:p>
    <w:p w14:paraId="6F7F693D">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12.4监理人有权随时就下述事项发出指令：</w:t>
      </w:r>
    </w:p>
    <w:p w14:paraId="1F13B17C">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（1）责成承包人在规定的时间内，一次或分次将不符合合同规定的材料或设备从现场运走，并用合格适用的材料或设备取代；</w:t>
      </w:r>
    </w:p>
    <w:p w14:paraId="3BE1531C">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（2）不管先前是否已经检验或中期付款，如果监理人认为工程的任何部分由于材料、设备或操作工艺或承包人设计的局部工程不符合合同规定时，由承包人将这些工程拆除并彻底重做；</w:t>
      </w:r>
    </w:p>
    <w:p w14:paraId="2F4E889D">
      <w:pPr>
        <w:pageBreakBefore w:val="0"/>
        <w:kinsoku/>
        <w:wordWrap/>
        <w:overflowPunct/>
        <w:topLinePunct w:val="0"/>
        <w:autoSpaceDE w:val="0"/>
        <w:autoSpaceDN w:val="0"/>
        <w:bidi w:val="0"/>
        <w:adjustRightInd/>
        <w:snapToGrid/>
        <w:spacing w:line="320" w:lineRule="exact"/>
        <w:ind w:left="384" w:right="346" w:firstLine="448"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8"/>
          <w:kern w:val="0"/>
          <w:sz w:val="24"/>
          <w:szCs w:val="24"/>
          <w:highlight w:val="none"/>
          <w:lang w:val="zh-CN" w:bidi="zh-CN"/>
        </w:rPr>
        <w:t>（3）</w:t>
      </w:r>
      <w:r>
        <w:rPr>
          <w:rFonts w:hint="eastAsia" w:asciiTheme="minorEastAsia" w:hAnsiTheme="minorEastAsia" w:eastAsiaTheme="minorEastAsia" w:cstheme="minorEastAsia"/>
          <w:spacing w:val="-5"/>
          <w:kern w:val="0"/>
          <w:sz w:val="24"/>
          <w:szCs w:val="24"/>
          <w:highlight w:val="none"/>
          <w:lang w:val="zh-CN" w:bidi="zh-CN"/>
        </w:rPr>
        <w:t>承包人使用不合格材料、工程设备，或采用不适当的施工工艺，或施工不当，造成工程不合格的，监理人可以随时发出指示，要求承包人立即采取措施进行</w:t>
      </w:r>
      <w:r>
        <w:rPr>
          <w:rFonts w:hint="eastAsia" w:asciiTheme="minorEastAsia" w:hAnsiTheme="minorEastAsia" w:eastAsiaTheme="minorEastAsia" w:cstheme="minorEastAsia"/>
          <w:kern w:val="0"/>
          <w:sz w:val="24"/>
          <w:szCs w:val="24"/>
          <w:highlight w:val="none"/>
          <w:lang w:val="zh-CN" w:bidi="zh-CN"/>
        </w:rPr>
        <w:t>替换、补救或拆除重建，直至达到合同要求的质量标准，由此增加的费用和(或</w:t>
      </w:r>
      <w:r>
        <w:rPr>
          <w:rFonts w:hint="eastAsia" w:asciiTheme="minorEastAsia" w:hAnsiTheme="minorEastAsia" w:eastAsiaTheme="minorEastAsia" w:cstheme="minorEastAsia"/>
          <w:spacing w:val="4"/>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工期延误由承包人承担；</w:t>
      </w:r>
    </w:p>
    <w:p w14:paraId="283FF397">
      <w:pPr>
        <w:pageBreakBefore w:val="0"/>
        <w:kinsoku/>
        <w:wordWrap/>
        <w:overflowPunct/>
        <w:topLinePunct w:val="0"/>
        <w:autoSpaceDE w:val="0"/>
        <w:autoSpaceDN w:val="0"/>
        <w:bidi w:val="0"/>
        <w:adjustRightInd/>
        <w:snapToGrid/>
        <w:spacing w:before="5"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（4</w:t>
      </w:r>
      <w:r>
        <w:rPr>
          <w:rFonts w:hint="eastAsia" w:asciiTheme="minorEastAsia" w:hAnsiTheme="minorEastAsia" w:eastAsiaTheme="minorEastAsia" w:cstheme="minorEastAsia"/>
          <w:spacing w:val="-104"/>
          <w:kern w:val="0"/>
          <w:sz w:val="24"/>
          <w:szCs w:val="24"/>
          <w:highlight w:val="none"/>
          <w:lang w:val="zh-CN" w:bidi="zh-CN"/>
        </w:rPr>
        <w:t>）</w:t>
      </w:r>
      <w:r>
        <w:rPr>
          <w:rFonts w:hint="eastAsia" w:asciiTheme="minorEastAsia" w:hAnsiTheme="minorEastAsia" w:eastAsiaTheme="minorEastAsia" w:cstheme="minorEastAsia"/>
          <w:spacing w:val="-5"/>
          <w:kern w:val="0"/>
          <w:sz w:val="24"/>
          <w:szCs w:val="24"/>
          <w:highlight w:val="none"/>
          <w:lang w:val="zh-CN" w:bidi="zh-CN"/>
        </w:rPr>
        <w:t>如果承包人未在规定时间内执行监理人的指示，发包人有权雇用他人执行，由此增加的费用和(或)工期延误由承包人承担。</w:t>
      </w:r>
    </w:p>
    <w:p w14:paraId="52F65CF3">
      <w:pPr>
        <w:pageBreakBefore w:val="0"/>
        <w:tabs>
          <w:tab w:val="left" w:pos="1523"/>
          <w:tab w:val="left" w:pos="1524"/>
        </w:tabs>
        <w:kinsoku/>
        <w:wordWrap/>
        <w:overflowPunct/>
        <w:topLinePunct w:val="0"/>
        <w:autoSpaceDE w:val="0"/>
        <w:autoSpaceDN w:val="0"/>
        <w:bidi w:val="0"/>
        <w:adjustRightInd/>
        <w:snapToGrid/>
        <w:spacing w:line="320" w:lineRule="exact"/>
        <w:ind w:firstLine="720" w:firstLineChars="3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12.5工程隐蔽部位覆盖前的检查</w:t>
      </w:r>
    </w:p>
    <w:p w14:paraId="1AFC7A19">
      <w:pPr>
        <w:pageBreakBefore w:val="0"/>
        <w:kinsoku/>
        <w:wordWrap/>
        <w:overflowPunct/>
        <w:topLinePunct w:val="0"/>
        <w:autoSpaceDE w:val="0"/>
        <w:autoSpaceDN w:val="0"/>
        <w:bidi w:val="0"/>
        <w:adjustRightInd/>
        <w:snapToGrid/>
        <w:spacing w:before="84" w:line="320" w:lineRule="exact"/>
        <w:ind w:left="384" w:right="466" w:firstLine="44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（1）</w:t>
      </w:r>
      <w:r>
        <w:rPr>
          <w:rFonts w:hint="eastAsia" w:asciiTheme="minorEastAsia" w:hAnsiTheme="minorEastAsia" w:eastAsiaTheme="minorEastAsia" w:cstheme="minorEastAsia"/>
          <w:spacing w:val="-6"/>
          <w:kern w:val="0"/>
          <w:sz w:val="24"/>
          <w:szCs w:val="24"/>
          <w:highlight w:val="none"/>
          <w:lang w:val="zh-CN" w:bidi="zh-CN"/>
        </w:rPr>
        <w:t>没有监理人的批准，任何隐蔽工程均不得覆盖或掩蔽。当任何一部分工程或基础已经或即将为检查做好准备时，承包人应事先通知监理人，并约定检查的时间，监理人则应按时派员参加上述工程或基础的检查和量测；如果监理人认为没有</w:t>
      </w:r>
      <w:r>
        <w:rPr>
          <w:rFonts w:hint="eastAsia" w:asciiTheme="minorEastAsia" w:hAnsiTheme="minorEastAsia" w:eastAsiaTheme="minorEastAsia" w:cstheme="minorEastAsia"/>
          <w:spacing w:val="-8"/>
          <w:kern w:val="0"/>
          <w:sz w:val="24"/>
          <w:szCs w:val="24"/>
          <w:highlight w:val="none"/>
          <w:lang w:val="zh-CN" w:bidi="zh-CN"/>
        </w:rPr>
        <w:t xml:space="preserve">必要参与检查，应就此通知承包人；如果上述约定时间后的 </w:t>
      </w:r>
      <w:r>
        <w:rPr>
          <w:rFonts w:hint="eastAsia" w:asciiTheme="minorEastAsia" w:hAnsiTheme="minorEastAsia" w:eastAsiaTheme="minorEastAsia" w:cstheme="minorEastAsia"/>
          <w:kern w:val="0"/>
          <w:sz w:val="24"/>
          <w:szCs w:val="24"/>
          <w:highlight w:val="none"/>
          <w:lang w:val="zh-CN" w:bidi="zh-CN"/>
        </w:rPr>
        <w:t>6 小时内，监理人或其代表未能到场对上述工程或基础进行检查和量测，承包人即可自行检查，并如实作出自检报告后覆盖或掩蔽，监理人事后应予以认可；</w:t>
      </w:r>
    </w:p>
    <w:p w14:paraId="7B163C82">
      <w:pPr>
        <w:pageBreakBefore w:val="0"/>
        <w:kinsoku/>
        <w:wordWrap/>
        <w:overflowPunct/>
        <w:topLinePunct w:val="0"/>
        <w:autoSpaceDE w:val="0"/>
        <w:autoSpaceDN w:val="0"/>
        <w:bidi w:val="0"/>
        <w:adjustRightInd/>
        <w:snapToGrid/>
        <w:spacing w:line="320" w:lineRule="exact"/>
        <w:ind w:firstLine="858" w:firstLineChars="390"/>
        <w:jc w:val="left"/>
        <w:textAlignment w:val="auto"/>
        <w:outlineLvl w:val="9"/>
        <w:rPr>
          <w:rFonts w:hint="eastAsia" w:asciiTheme="minorEastAsia" w:hAnsiTheme="minorEastAsia" w:eastAsiaTheme="minorEastAsia" w:cstheme="minorEastAsia"/>
          <w:spacing w:val="-10"/>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（2）重新检验</w:t>
      </w:r>
    </w:p>
    <w:p w14:paraId="58DA6409">
      <w:pPr>
        <w:pageBreakBefore w:val="0"/>
        <w:kinsoku/>
        <w:wordWrap/>
        <w:overflowPunct/>
        <w:topLinePunct w:val="0"/>
        <w:autoSpaceDE w:val="0"/>
        <w:autoSpaceDN w:val="0"/>
        <w:bidi w:val="0"/>
        <w:adjustRightInd/>
        <w:snapToGrid/>
        <w:spacing w:before="86" w:line="320" w:lineRule="exact"/>
        <w:ind w:left="384"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承包人应按监理人发出的指示，剥开工程的任何一部分或开孔，并负责使该部分恢复原状。检验符合合同规定，监理人在同发包人和承包人适当协商后，应确定剥开或开孔及恢复原状的费用，由发包人承担由此增加的费用和(或)工期延误，并支付承包人合理利润。如检验不符合合同规定，所发生的相关费用由承包人承担；</w:t>
      </w:r>
    </w:p>
    <w:p w14:paraId="59957441">
      <w:pPr>
        <w:pageBreakBefore w:val="0"/>
        <w:kinsoku/>
        <w:wordWrap/>
        <w:overflowPunct/>
        <w:topLinePunct w:val="0"/>
        <w:autoSpaceDE w:val="0"/>
        <w:autoSpaceDN w:val="0"/>
        <w:bidi w:val="0"/>
        <w:adjustRightInd/>
        <w:snapToGrid/>
        <w:spacing w:before="5" w:line="320" w:lineRule="exact"/>
        <w:ind w:left="384" w:right="466" w:firstLine="44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（3）</w:t>
      </w:r>
      <w:r>
        <w:rPr>
          <w:rFonts w:hint="eastAsia" w:asciiTheme="minorEastAsia" w:hAnsiTheme="minorEastAsia" w:eastAsiaTheme="minorEastAsia" w:cstheme="minorEastAsia"/>
          <w:spacing w:val="-3"/>
          <w:kern w:val="0"/>
          <w:sz w:val="24"/>
          <w:szCs w:val="24"/>
          <w:highlight w:val="none"/>
          <w:lang w:val="zh-CN" w:bidi="zh-CN"/>
        </w:rPr>
        <w:t>承包人未通知监理人到场检查，私自将工程隐蔽部位覆盖的，监理人有权指示承包人钻孔探测或揭开检查，由此增加的费用和(或)工期延误由承包人承担。</w:t>
      </w:r>
    </w:p>
    <w:p w14:paraId="3039FE0B">
      <w:pPr>
        <w:keepNext/>
        <w:keepLines/>
        <w:pageBreakBefore w:val="0"/>
        <w:widowControl/>
        <w:kinsoku/>
        <w:wordWrap/>
        <w:overflowPunct/>
        <w:topLinePunct w:val="0"/>
        <w:bidi w:val="0"/>
        <w:adjustRightInd/>
        <w:snapToGrid/>
        <w:spacing w:before="260" w:after="26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bookmarkStart w:id="406" w:name="_Toc256000037"/>
      <w:r>
        <w:rPr>
          <w:rFonts w:hint="eastAsia" w:asciiTheme="minorEastAsia" w:hAnsiTheme="minorEastAsia" w:eastAsiaTheme="minorEastAsia" w:cstheme="minorEastAsia"/>
          <w:b/>
          <w:bCs/>
          <w:kern w:val="0"/>
          <w:sz w:val="24"/>
          <w:szCs w:val="24"/>
          <w:highlight w:val="none"/>
          <w:lang w:val="zh-CN" w:bidi="zh-CN"/>
        </w:rPr>
        <w:t>五、施工安全、治安保卫与环境保护</w:t>
      </w:r>
      <w:bookmarkEnd w:id="406"/>
    </w:p>
    <w:p w14:paraId="381259D4">
      <w:pPr>
        <w:keepLines/>
        <w:pageBreakBefore w:val="0"/>
        <w:widowControl/>
        <w:tabs>
          <w:tab w:val="left" w:pos="567"/>
        </w:tabs>
        <w:kinsoku/>
        <w:wordWrap/>
        <w:overflowPunct/>
        <w:topLinePunct w:val="0"/>
        <w:autoSpaceDE w:val="0"/>
        <w:autoSpaceDN w:val="0"/>
        <w:bidi w:val="0"/>
        <w:adjustRightInd/>
        <w:snapToGrid/>
        <w:spacing w:before="120" w:after="12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13.施工安全、治安保卫</w:t>
      </w:r>
    </w:p>
    <w:p w14:paraId="3241578A">
      <w:pPr>
        <w:pageBreakBefore w:val="0"/>
        <w:numPr>
          <w:ilvl w:val="1"/>
          <w:numId w:val="0"/>
        </w:numPr>
        <w:tabs>
          <w:tab w:val="left" w:pos="1404"/>
        </w:tabs>
        <w:kinsoku/>
        <w:wordWrap/>
        <w:overflowPunct/>
        <w:topLinePunct w:val="0"/>
        <w:autoSpaceDE w:val="0"/>
        <w:autoSpaceDN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13.1</w:t>
      </w:r>
      <w:r>
        <w:rPr>
          <w:rFonts w:hint="eastAsia" w:asciiTheme="minorEastAsia" w:hAnsiTheme="minorEastAsia" w:eastAsiaTheme="minorEastAsia" w:cstheme="minorEastAsia"/>
          <w:kern w:val="0"/>
          <w:sz w:val="24"/>
          <w:szCs w:val="24"/>
          <w:highlight w:val="none"/>
          <w:lang w:val="zh-CN" w:bidi="zh-CN"/>
        </w:rPr>
        <w:t>发包人的施工安全责任</w:t>
      </w:r>
    </w:p>
    <w:p w14:paraId="59CD1ED1">
      <w:pPr>
        <w:pageBreakBefore w:val="0"/>
        <w:kinsoku/>
        <w:wordWrap/>
        <w:overflowPunct/>
        <w:topLinePunct w:val="0"/>
        <w:autoSpaceDE w:val="0"/>
        <w:autoSpaceDN w:val="0"/>
        <w:bidi w:val="0"/>
        <w:adjustRightInd/>
        <w:snapToGrid/>
        <w:spacing w:before="84"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5"/>
          <w:kern w:val="0"/>
          <w:sz w:val="24"/>
          <w:szCs w:val="24"/>
          <w:highlight w:val="none"/>
          <w:lang w:val="zh-CN" w:bidi="zh-CN"/>
        </w:rPr>
        <w:t>（1）</w:t>
      </w:r>
      <w:r>
        <w:rPr>
          <w:rFonts w:hint="eastAsia" w:asciiTheme="minorEastAsia" w:hAnsiTheme="minorEastAsia" w:eastAsiaTheme="minorEastAsia" w:cstheme="minorEastAsia"/>
          <w:spacing w:val="-3"/>
          <w:kern w:val="0"/>
          <w:sz w:val="24"/>
          <w:szCs w:val="24"/>
          <w:highlight w:val="none"/>
          <w:lang w:val="zh-CN" w:bidi="zh-CN"/>
        </w:rPr>
        <w:t>发包人应按合同约定履行安全职责，授权监理人按合同约定的安全工作内容监督、检查承包人安全工作的实施，组织承包人和有关单位进行安全检查；</w:t>
      </w:r>
    </w:p>
    <w:p w14:paraId="58FCF893">
      <w:pPr>
        <w:pageBreakBefore w:val="0"/>
        <w:kinsoku/>
        <w:wordWrap/>
        <w:overflowPunct/>
        <w:topLinePunct w:val="0"/>
        <w:autoSpaceDE w:val="0"/>
        <w:autoSpaceDN w:val="0"/>
        <w:bidi w:val="0"/>
        <w:adjustRightInd/>
        <w:snapToGrid/>
        <w:spacing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5"/>
          <w:kern w:val="0"/>
          <w:sz w:val="24"/>
          <w:szCs w:val="24"/>
          <w:highlight w:val="none"/>
          <w:lang w:val="zh-CN" w:bidi="zh-CN"/>
        </w:rPr>
        <w:t>（2）</w:t>
      </w:r>
      <w:r>
        <w:rPr>
          <w:rFonts w:hint="eastAsia" w:asciiTheme="minorEastAsia" w:hAnsiTheme="minorEastAsia" w:eastAsiaTheme="minorEastAsia" w:cstheme="minorEastAsia"/>
          <w:spacing w:val="-2"/>
          <w:kern w:val="0"/>
          <w:sz w:val="24"/>
          <w:szCs w:val="24"/>
          <w:highlight w:val="none"/>
          <w:lang w:val="zh-CN" w:bidi="zh-CN"/>
        </w:rPr>
        <w:t>发包人应对其现场机构雇佣的全部人员的工伤事故承担责任，但由于承包人原因造成发包人人员工伤的，应由承包人承担责任；</w:t>
      </w:r>
    </w:p>
    <w:p w14:paraId="5B51476C">
      <w:pPr>
        <w:pageBreakBefore w:val="0"/>
        <w:kinsoku/>
        <w:wordWrap/>
        <w:overflowPunct/>
        <w:topLinePunct w:val="0"/>
        <w:autoSpaceDE w:val="0"/>
        <w:autoSpaceDN w:val="0"/>
        <w:bidi w:val="0"/>
        <w:adjustRightInd/>
        <w:snapToGrid/>
        <w:spacing w:line="320" w:lineRule="exact"/>
        <w:ind w:right="466"/>
        <w:textAlignment w:val="auto"/>
        <w:outlineLvl w:val="9"/>
        <w:rPr>
          <w:rFonts w:hint="eastAsia" w:asciiTheme="minorEastAsia" w:hAnsiTheme="minorEastAsia" w:eastAsiaTheme="minorEastAsia" w:cstheme="minorEastAsia"/>
          <w:spacing w:val="-15"/>
          <w:kern w:val="0"/>
          <w:sz w:val="24"/>
          <w:szCs w:val="24"/>
          <w:highlight w:val="none"/>
          <w:lang w:val="zh-CN" w:bidi="zh-CN"/>
        </w:rPr>
      </w:pPr>
      <w:r>
        <w:rPr>
          <w:rFonts w:hint="eastAsia" w:asciiTheme="minorEastAsia" w:hAnsiTheme="minorEastAsia" w:eastAsiaTheme="minorEastAsia" w:cstheme="minorEastAsia"/>
          <w:spacing w:val="-15"/>
          <w:kern w:val="0"/>
          <w:sz w:val="24"/>
          <w:szCs w:val="24"/>
          <w:highlight w:val="none"/>
          <w:lang w:val="zh-CN" w:bidi="zh-CN"/>
        </w:rPr>
        <w:t>（3）发包人应负责赔偿以下各种情况造成的第三者人身伤亡和财产损失： 工程或工程的任何部分对土地的占用所造成的第三者财产损失；</w:t>
      </w:r>
    </w:p>
    <w:p w14:paraId="7AD9DAC3">
      <w:pPr>
        <w:pageBreakBefore w:val="0"/>
        <w:kinsoku/>
        <w:wordWrap/>
        <w:overflowPunct/>
        <w:topLinePunct w:val="0"/>
        <w:autoSpaceDE w:val="0"/>
        <w:autoSpaceDN w:val="0"/>
        <w:bidi w:val="0"/>
        <w:adjustRightInd/>
        <w:snapToGrid/>
        <w:spacing w:before="2"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由于发包人原因在施工场地及其毗邻地带造成的第三者人身伤亡和财产损失。</w:t>
      </w:r>
    </w:p>
    <w:p w14:paraId="4A436C5C">
      <w:pPr>
        <w:pageBreakBefore w:val="0"/>
        <w:numPr>
          <w:ilvl w:val="1"/>
          <w:numId w:val="0"/>
        </w:numPr>
        <w:tabs>
          <w:tab w:val="left" w:pos="1529"/>
        </w:tabs>
        <w:kinsoku/>
        <w:wordWrap/>
        <w:overflowPunct/>
        <w:topLinePunct w:val="0"/>
        <w:autoSpaceDE w:val="0"/>
        <w:autoSpaceDN w:val="0"/>
        <w:bidi w:val="0"/>
        <w:adjustRightInd/>
        <w:snapToGrid/>
        <w:spacing w:before="86" w:line="320" w:lineRule="exact"/>
        <w:ind w:right="465"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13.2</w:t>
      </w:r>
      <w:r>
        <w:rPr>
          <w:rFonts w:hint="eastAsia" w:asciiTheme="minorEastAsia" w:hAnsiTheme="minorEastAsia" w:eastAsiaTheme="minorEastAsia" w:cstheme="minorEastAsia"/>
          <w:kern w:val="0"/>
          <w:sz w:val="24"/>
          <w:szCs w:val="24"/>
          <w:highlight w:val="none"/>
          <w:lang w:val="zh-CN" w:bidi="zh-CN"/>
        </w:rPr>
        <w:t>承包人应遵守工程建设安全生产有关规定，采取有效的安全防护措施， 消除事故隐患，确保所有在现场工作人员及机械设备的安全。由于承包人安全措施不力造成事故的责任和由此发生的费用，由承包人承担。承包人还应该：</w:t>
      </w:r>
    </w:p>
    <w:p w14:paraId="52C6B82F">
      <w:pPr>
        <w:pageBreakBefore w:val="0"/>
        <w:kinsoku/>
        <w:wordWrap/>
        <w:overflowPunct/>
        <w:topLinePunct w:val="0"/>
        <w:autoSpaceDE w:val="0"/>
        <w:autoSpaceDN w:val="0"/>
        <w:bidi w:val="0"/>
        <w:adjustRightInd/>
        <w:snapToGrid/>
        <w:spacing w:before="74"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8"/>
          <w:kern w:val="0"/>
          <w:sz w:val="24"/>
          <w:szCs w:val="24"/>
          <w:highlight w:val="none"/>
          <w:lang w:val="zh-CN" w:bidi="zh-CN"/>
        </w:rPr>
        <w:t>（1）</w:t>
      </w:r>
      <w:r>
        <w:rPr>
          <w:rFonts w:hint="eastAsia" w:asciiTheme="minorEastAsia" w:hAnsiTheme="minorEastAsia" w:eastAsiaTheme="minorEastAsia" w:cstheme="minorEastAsia"/>
          <w:spacing w:val="-5"/>
          <w:kern w:val="0"/>
          <w:sz w:val="24"/>
          <w:szCs w:val="24"/>
          <w:highlight w:val="none"/>
          <w:lang w:val="zh-CN" w:bidi="zh-CN"/>
        </w:rPr>
        <w:t>专职安全员的配备按《公路水运工程安全生产监督管理办法》</w:t>
      </w:r>
      <w:r>
        <w:rPr>
          <w:rFonts w:hint="eastAsia" w:asciiTheme="minorEastAsia" w:hAnsiTheme="minorEastAsia" w:eastAsiaTheme="minorEastAsia" w:cstheme="minorEastAsia"/>
          <w:kern w:val="0"/>
          <w:sz w:val="24"/>
          <w:szCs w:val="24"/>
          <w:highlight w:val="none"/>
          <w:lang w:val="zh-CN" w:bidi="zh-CN"/>
        </w:rPr>
        <w:t>（交通运输</w:t>
      </w:r>
      <w:r>
        <w:rPr>
          <w:rFonts w:hint="eastAsia" w:asciiTheme="minorEastAsia" w:hAnsiTheme="minorEastAsia" w:eastAsiaTheme="minorEastAsia" w:cstheme="minorEastAsia"/>
          <w:spacing w:val="-20"/>
          <w:kern w:val="0"/>
          <w:sz w:val="24"/>
          <w:szCs w:val="24"/>
          <w:highlight w:val="none"/>
          <w:lang w:val="zh-CN" w:bidi="zh-CN"/>
        </w:rPr>
        <w:t xml:space="preserve">部令 </w:t>
      </w:r>
      <w:r>
        <w:rPr>
          <w:rFonts w:hint="eastAsia" w:asciiTheme="minorEastAsia" w:hAnsiTheme="minorEastAsia" w:eastAsiaTheme="minorEastAsia" w:cstheme="minorEastAsia"/>
          <w:kern w:val="0"/>
          <w:sz w:val="24"/>
          <w:szCs w:val="24"/>
          <w:highlight w:val="none"/>
          <w:lang w:val="zh-CN" w:bidi="zh-CN"/>
        </w:rPr>
        <w:t xml:space="preserve">2017 </w:t>
      </w:r>
      <w:r>
        <w:rPr>
          <w:rFonts w:hint="eastAsia" w:asciiTheme="minorEastAsia" w:hAnsiTheme="minorEastAsia" w:eastAsiaTheme="minorEastAsia" w:cstheme="minorEastAsia"/>
          <w:spacing w:val="-20"/>
          <w:kern w:val="0"/>
          <w:sz w:val="24"/>
          <w:szCs w:val="24"/>
          <w:highlight w:val="none"/>
          <w:lang w:val="zh-CN" w:bidi="zh-CN"/>
        </w:rPr>
        <w:t xml:space="preserve">年第 </w:t>
      </w:r>
      <w:r>
        <w:rPr>
          <w:rFonts w:hint="eastAsia" w:asciiTheme="minorEastAsia" w:hAnsiTheme="minorEastAsia" w:eastAsiaTheme="minorEastAsia" w:cstheme="minorEastAsia"/>
          <w:kern w:val="0"/>
          <w:sz w:val="24"/>
          <w:szCs w:val="24"/>
          <w:highlight w:val="none"/>
          <w:lang w:val="zh-CN" w:bidi="zh-CN"/>
        </w:rPr>
        <w:t>25 号）的规定执行；</w:t>
      </w:r>
    </w:p>
    <w:p w14:paraId="1CD2A454">
      <w:pPr>
        <w:pageBreakBefore w:val="0"/>
        <w:kinsoku/>
        <w:wordWrap/>
        <w:overflowPunct/>
        <w:topLinePunct w:val="0"/>
        <w:autoSpaceDE w:val="0"/>
        <w:autoSpaceDN w:val="0"/>
        <w:bidi w:val="0"/>
        <w:adjustRightInd/>
        <w:snapToGrid/>
        <w:spacing w:before="4"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（2）特殊工种(电工、电梯工、起重工、电焊工、车船驾驶员、爆破工等)要经专业培训，并持有专业主管部门签发的合格证上岗；</w:t>
      </w:r>
    </w:p>
    <w:p w14:paraId="65D6A41E">
      <w:pPr>
        <w:pageBreakBefore w:val="0"/>
        <w:kinsoku/>
        <w:wordWrap/>
        <w:overflowPunct/>
        <w:topLinePunct w:val="0"/>
        <w:autoSpaceDE w:val="0"/>
        <w:autoSpaceDN w:val="0"/>
        <w:bidi w:val="0"/>
        <w:adjustRightInd/>
        <w:snapToGrid/>
        <w:spacing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（3）</w:t>
      </w:r>
      <w:r>
        <w:rPr>
          <w:rFonts w:hint="eastAsia" w:asciiTheme="minorEastAsia" w:hAnsiTheme="minorEastAsia" w:eastAsiaTheme="minorEastAsia" w:cstheme="minorEastAsia"/>
          <w:spacing w:val="-4"/>
          <w:kern w:val="0"/>
          <w:sz w:val="24"/>
          <w:szCs w:val="24"/>
          <w:highlight w:val="none"/>
          <w:lang w:val="zh-CN" w:bidi="zh-CN"/>
        </w:rPr>
        <w:t>对于易燃易爆材料的运输、保管必须符合当地安全部门的有关规定，除应专门妥善保管外，并应配有足够的消防设备，所有施工人员都应熟悉消防设备的性能和使用方法；</w:t>
      </w:r>
    </w:p>
    <w:p w14:paraId="55708FC7">
      <w:pPr>
        <w:pageBreakBefore w:val="0"/>
        <w:kinsoku/>
        <w:wordWrap/>
        <w:overflowPunct/>
        <w:topLinePunct w:val="0"/>
        <w:autoSpaceDE w:val="0"/>
        <w:autoSpaceDN w:val="0"/>
        <w:bidi w:val="0"/>
        <w:adjustRightInd/>
        <w:snapToGrid/>
        <w:spacing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28"/>
          <w:kern w:val="0"/>
          <w:sz w:val="24"/>
          <w:szCs w:val="24"/>
          <w:highlight w:val="none"/>
          <w:lang w:val="zh-CN" w:bidi="zh-CN"/>
        </w:rPr>
        <w:t>（4）</w:t>
      </w:r>
      <w:r>
        <w:rPr>
          <w:rFonts w:hint="eastAsia" w:asciiTheme="minorEastAsia" w:hAnsiTheme="minorEastAsia" w:eastAsiaTheme="minorEastAsia" w:cstheme="minorEastAsia"/>
          <w:kern w:val="0"/>
          <w:sz w:val="24"/>
          <w:szCs w:val="24"/>
          <w:highlight w:val="none"/>
          <w:lang w:val="zh-CN" w:bidi="zh-CN"/>
        </w:rPr>
        <w:t>承包人应严格按照国家安全标准关于公路工程施工安全技术规范制定的施工安全操作规程，配备必要的安全生产和劳动保护设施，加强对承包人人员的安全教育，并发放安全工作手册和劳动保护用具。由于承包人原因在施工场地内及其毗邻地带造成的第三者人员伤亡和财产损失，由承包人负责赔偿；</w:t>
      </w:r>
    </w:p>
    <w:p w14:paraId="4F048DF7">
      <w:pPr>
        <w:pageBreakBefore w:val="0"/>
        <w:kinsoku/>
        <w:wordWrap/>
        <w:overflowPunct/>
        <w:topLinePunct w:val="0"/>
        <w:autoSpaceDE w:val="0"/>
        <w:autoSpaceDN w:val="0"/>
        <w:bidi w:val="0"/>
        <w:adjustRightInd/>
        <w:snapToGrid/>
        <w:spacing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5"/>
          <w:kern w:val="0"/>
          <w:sz w:val="24"/>
          <w:szCs w:val="24"/>
          <w:highlight w:val="none"/>
          <w:lang w:val="zh-CN" w:bidi="zh-CN"/>
        </w:rPr>
        <w:t>（5）</w:t>
      </w:r>
      <w:r>
        <w:rPr>
          <w:rFonts w:hint="eastAsia" w:asciiTheme="minorEastAsia" w:hAnsiTheme="minorEastAsia" w:eastAsiaTheme="minorEastAsia" w:cstheme="minorEastAsia"/>
          <w:spacing w:val="-2"/>
          <w:kern w:val="0"/>
          <w:sz w:val="24"/>
          <w:szCs w:val="24"/>
          <w:highlight w:val="none"/>
          <w:lang w:val="zh-CN" w:bidi="zh-CN"/>
        </w:rPr>
        <w:t>所有施工机具设备和高空作业的设备均应定期检查，并有安全员的签字记录。</w:t>
      </w:r>
    </w:p>
    <w:p w14:paraId="743C24C1">
      <w:pPr>
        <w:pageBreakBefore w:val="0"/>
        <w:kinsoku/>
        <w:wordWrap/>
        <w:overflowPunct/>
        <w:topLinePunct w:val="0"/>
        <w:autoSpaceDE w:val="0"/>
        <w:autoSpaceDN w:val="0"/>
        <w:bidi w:val="0"/>
        <w:adjustRightInd/>
        <w:snapToGrid/>
        <w:spacing w:before="1" w:line="320" w:lineRule="exact"/>
        <w:ind w:right="34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（6）</w:t>
      </w:r>
      <w:r>
        <w:rPr>
          <w:rFonts w:hint="eastAsia" w:asciiTheme="minorEastAsia" w:hAnsiTheme="minorEastAsia" w:eastAsiaTheme="minorEastAsia" w:cstheme="minorEastAsia"/>
          <w:spacing w:val="-4"/>
          <w:kern w:val="0"/>
          <w:sz w:val="24"/>
          <w:szCs w:val="24"/>
          <w:highlight w:val="none"/>
          <w:lang w:val="zh-CN" w:bidi="zh-CN"/>
        </w:rPr>
        <w:t>除项目专用合同条款另有约定外，安全生产费用应为投标价</w:t>
      </w:r>
      <w:r>
        <w:rPr>
          <w:rFonts w:hint="eastAsia" w:asciiTheme="minorEastAsia" w:hAnsiTheme="minorEastAsia" w:eastAsiaTheme="minorEastAsia" w:cstheme="minorEastAsia"/>
          <w:kern w:val="0"/>
          <w:sz w:val="24"/>
          <w:szCs w:val="24"/>
          <w:highlight w:val="none"/>
          <w:lang w:val="zh-CN" w:bidi="zh-CN"/>
        </w:rPr>
        <w:t>（不含安全生</w:t>
      </w:r>
      <w:r>
        <w:rPr>
          <w:rFonts w:hint="eastAsia" w:asciiTheme="minorEastAsia" w:hAnsiTheme="minorEastAsia" w:eastAsiaTheme="minorEastAsia" w:cstheme="minorEastAsia"/>
          <w:spacing w:val="2"/>
          <w:kern w:val="0"/>
          <w:sz w:val="24"/>
          <w:szCs w:val="24"/>
          <w:highlight w:val="none"/>
          <w:lang w:val="zh-CN" w:bidi="zh-CN"/>
        </w:rPr>
        <w:t>产费</w:t>
      </w:r>
      <w:r>
        <w:rPr>
          <w:rFonts w:hint="eastAsia" w:asciiTheme="minorEastAsia" w:hAnsiTheme="minorEastAsia" w:eastAsiaTheme="minorEastAsia" w:cstheme="minorEastAsia"/>
          <w:spacing w:val="4"/>
          <w:kern w:val="0"/>
          <w:sz w:val="24"/>
          <w:szCs w:val="24"/>
          <w:highlight w:val="none"/>
          <w:lang w:val="zh-CN" w:bidi="zh-CN"/>
        </w:rPr>
        <w:t>）</w:t>
      </w:r>
      <w:r>
        <w:rPr>
          <w:rFonts w:hint="eastAsia" w:asciiTheme="minorEastAsia" w:hAnsiTheme="minorEastAsia" w:eastAsiaTheme="minorEastAsia" w:cstheme="minorEastAsia"/>
          <w:spacing w:val="-25"/>
          <w:kern w:val="0"/>
          <w:sz w:val="24"/>
          <w:szCs w:val="24"/>
          <w:highlight w:val="none"/>
          <w:lang w:val="zh-CN" w:bidi="zh-CN"/>
        </w:rPr>
        <w:t xml:space="preserve">的 </w:t>
      </w:r>
      <w:r>
        <w:rPr>
          <w:rFonts w:hint="eastAsia" w:asciiTheme="minorEastAsia" w:hAnsiTheme="minorEastAsia" w:eastAsiaTheme="minorEastAsia" w:cstheme="minorEastAsia"/>
          <w:kern w:val="0"/>
          <w:sz w:val="24"/>
          <w:szCs w:val="24"/>
          <w:highlight w:val="none"/>
          <w:lang w:val="zh-CN" w:bidi="zh-CN"/>
        </w:rPr>
        <w:t>1.5%（</w:t>
      </w:r>
      <w:r>
        <w:rPr>
          <w:rFonts w:hint="eastAsia" w:asciiTheme="minorEastAsia" w:hAnsiTheme="minorEastAsia" w:eastAsiaTheme="minorEastAsia" w:cstheme="minorEastAsia"/>
          <w:spacing w:val="-3"/>
          <w:kern w:val="0"/>
          <w:sz w:val="24"/>
          <w:szCs w:val="24"/>
          <w:highlight w:val="none"/>
          <w:lang w:val="zh-CN" w:bidi="zh-CN"/>
        </w:rPr>
        <w:t xml:space="preserve">若发包人公布了最高投标限价时，按最高投标限价的 </w:t>
      </w:r>
      <w:r>
        <w:rPr>
          <w:rFonts w:hint="eastAsia" w:asciiTheme="minorEastAsia" w:hAnsiTheme="minorEastAsia" w:eastAsiaTheme="minorEastAsia" w:cstheme="minorEastAsia"/>
          <w:kern w:val="0"/>
          <w:sz w:val="24"/>
          <w:szCs w:val="24"/>
          <w:highlight w:val="none"/>
          <w:lang w:val="zh-CN" w:bidi="zh-CN"/>
        </w:rPr>
        <w:t>1.5%</w:t>
      </w:r>
      <w:r>
        <w:rPr>
          <w:rFonts w:hint="eastAsia" w:asciiTheme="minorEastAsia" w:hAnsiTheme="minorEastAsia" w:eastAsiaTheme="minorEastAsia" w:cstheme="minorEastAsia"/>
          <w:spacing w:val="4"/>
          <w:kern w:val="0"/>
          <w:sz w:val="24"/>
          <w:szCs w:val="24"/>
          <w:highlight w:val="none"/>
          <w:lang w:val="zh-CN" w:bidi="zh-CN"/>
        </w:rPr>
        <w:t>计</w:t>
      </w:r>
      <w:r>
        <w:rPr>
          <w:rFonts w:hint="eastAsia" w:asciiTheme="minorEastAsia" w:hAnsiTheme="minorEastAsia" w:eastAsiaTheme="minorEastAsia" w:cstheme="minorEastAsia"/>
          <w:kern w:val="0"/>
          <w:sz w:val="24"/>
          <w:szCs w:val="24"/>
          <w:highlight w:val="none"/>
          <w:lang w:val="zh-CN" w:bidi="zh-CN"/>
        </w:rPr>
        <w:t>）。</w:t>
      </w:r>
      <w:r>
        <w:rPr>
          <w:rFonts w:hint="eastAsia" w:asciiTheme="minorEastAsia" w:hAnsiTheme="minorEastAsia" w:eastAsiaTheme="minorEastAsia" w:cstheme="minorEastAsia"/>
          <w:spacing w:val="-4"/>
          <w:kern w:val="0"/>
          <w:sz w:val="24"/>
          <w:szCs w:val="24"/>
          <w:highlight w:val="none"/>
          <w:lang w:val="zh-CN" w:bidi="zh-CN"/>
        </w:rPr>
        <w:t>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 由监理人商定或确定。</w:t>
      </w:r>
    </w:p>
    <w:p w14:paraId="38E7006D">
      <w:pPr>
        <w:pageBreakBefore w:val="0"/>
        <w:numPr>
          <w:ilvl w:val="1"/>
          <w:numId w:val="0"/>
        </w:numPr>
        <w:tabs>
          <w:tab w:val="left" w:pos="1529"/>
        </w:tabs>
        <w:kinsoku/>
        <w:wordWrap/>
        <w:overflowPunct/>
        <w:topLinePunct w:val="0"/>
        <w:autoSpaceDE w:val="0"/>
        <w:autoSpaceDN w:val="0"/>
        <w:bidi w:val="0"/>
        <w:adjustRightInd/>
        <w:snapToGrid/>
        <w:spacing w:before="5" w:line="320" w:lineRule="exact"/>
        <w:ind w:right="465"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13.3</w:t>
      </w:r>
      <w:r>
        <w:rPr>
          <w:rFonts w:hint="eastAsia" w:asciiTheme="minorEastAsia" w:hAnsiTheme="minorEastAsia" w:eastAsiaTheme="minorEastAsia" w:cstheme="minorEastAsia"/>
          <w:kern w:val="0"/>
          <w:sz w:val="24"/>
          <w:szCs w:val="24"/>
          <w:highlight w:val="none"/>
          <w:lang w:val="zh-CN" w:bidi="zh-CN"/>
        </w:rPr>
        <w:t>为了保护本合同工程免遭破坏或为了现场附近过往人群的安全、方便， 在确有必要的时间和地方，当监理人或有关主管部门要求时，应自费提供照明、警卫、护栅、警告标志等安全防护措施。发包人或监理人不得以任何理由要求承包人违反安全管理的规定进行施工，由此导致的安全事故，由发包人承担相应责任及发生的费用。</w:t>
      </w:r>
    </w:p>
    <w:p w14:paraId="12FBDC32">
      <w:pPr>
        <w:pageBreakBefore w:val="0"/>
        <w:numPr>
          <w:ilvl w:val="1"/>
          <w:numId w:val="0"/>
        </w:numPr>
        <w:tabs>
          <w:tab w:val="left" w:pos="1529"/>
        </w:tabs>
        <w:kinsoku/>
        <w:wordWrap/>
        <w:overflowPunct/>
        <w:topLinePunct w:val="0"/>
        <w:autoSpaceDE w:val="0"/>
        <w:autoSpaceDN w:val="0"/>
        <w:bidi w:val="0"/>
        <w:adjustRightInd/>
        <w:snapToGrid/>
        <w:spacing w:before="4" w:line="320" w:lineRule="exact"/>
        <w:ind w:right="465"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13.4</w:t>
      </w:r>
      <w:r>
        <w:rPr>
          <w:rFonts w:hint="eastAsia" w:asciiTheme="minorEastAsia" w:hAnsiTheme="minorEastAsia" w:eastAsiaTheme="minorEastAsia" w:cstheme="minorEastAsia"/>
          <w:kern w:val="0"/>
          <w:sz w:val="24"/>
          <w:szCs w:val="24"/>
          <w:highlight w:val="none"/>
          <w:lang w:val="zh-CN" w:bidi="zh-CN"/>
        </w:rPr>
        <w:t>承包人应按监理人的指示制定应对灾害的紧急预案，报送监理人审批。承包人还应按预案做好安全检查，配置必要的救助物资和器材，切实保护好有关人员的人身和财产安全。</w:t>
      </w:r>
    </w:p>
    <w:p w14:paraId="3F3CFB62">
      <w:pPr>
        <w:pageBreakBefore w:val="0"/>
        <w:numPr>
          <w:ilvl w:val="1"/>
          <w:numId w:val="0"/>
        </w:numPr>
        <w:tabs>
          <w:tab w:val="left" w:pos="1529"/>
        </w:tabs>
        <w:kinsoku/>
        <w:wordWrap/>
        <w:overflowPunct/>
        <w:topLinePunct w:val="0"/>
        <w:autoSpaceDE w:val="0"/>
        <w:autoSpaceDN w:val="0"/>
        <w:bidi w:val="0"/>
        <w:adjustRightInd/>
        <w:snapToGrid/>
        <w:spacing w:before="1" w:line="320" w:lineRule="exact"/>
        <w:ind w:right="467"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13.5</w:t>
      </w:r>
      <w:r>
        <w:rPr>
          <w:rFonts w:hint="eastAsia" w:asciiTheme="minorEastAsia" w:hAnsiTheme="minorEastAsia" w:eastAsiaTheme="minorEastAsia" w:cstheme="minorEastAsia"/>
          <w:kern w:val="0"/>
          <w:sz w:val="24"/>
          <w:szCs w:val="24"/>
          <w:highlight w:val="none"/>
          <w:lang w:val="zh-CN" w:bidi="zh-CN"/>
        </w:rPr>
        <w:t>合同约定的安全作业环境及安全施工措施所需费用应遵守有关规定，并包括在相关工作的合同价格中。</w:t>
      </w:r>
    </w:p>
    <w:p w14:paraId="4C4C9ED4">
      <w:pPr>
        <w:pageBreakBefore w:val="0"/>
        <w:numPr>
          <w:ilvl w:val="1"/>
          <w:numId w:val="0"/>
        </w:numPr>
        <w:tabs>
          <w:tab w:val="left" w:pos="1529"/>
        </w:tabs>
        <w:kinsoku/>
        <w:wordWrap/>
        <w:overflowPunct/>
        <w:topLinePunct w:val="0"/>
        <w:autoSpaceDE w:val="0"/>
        <w:autoSpaceDN w:val="0"/>
        <w:bidi w:val="0"/>
        <w:adjustRightInd/>
        <w:snapToGrid/>
        <w:spacing w:line="320" w:lineRule="exact"/>
        <w:ind w:right="467"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13.6</w:t>
      </w:r>
      <w:r>
        <w:rPr>
          <w:rFonts w:hint="eastAsia" w:asciiTheme="minorEastAsia" w:hAnsiTheme="minorEastAsia" w:eastAsiaTheme="minorEastAsia" w:cstheme="minorEastAsia"/>
          <w:kern w:val="0"/>
          <w:sz w:val="24"/>
          <w:szCs w:val="24"/>
          <w:highlight w:val="none"/>
          <w:lang w:val="zh-CN" w:bidi="zh-CN"/>
        </w:rPr>
        <w:t>承包人应充分关注和保障所有在现场工作的人员安全，采取有效措施， 使现场和本合同工程的实施保持有条不紊，以免使上述人员的安全受到威胁。</w:t>
      </w:r>
    </w:p>
    <w:p w14:paraId="17C1BFB5">
      <w:pPr>
        <w:pageBreakBefore w:val="0"/>
        <w:numPr>
          <w:ilvl w:val="1"/>
          <w:numId w:val="0"/>
        </w:numPr>
        <w:tabs>
          <w:tab w:val="left" w:pos="1529"/>
        </w:tabs>
        <w:kinsoku/>
        <w:wordWrap/>
        <w:overflowPunct/>
        <w:topLinePunct w:val="0"/>
        <w:autoSpaceDE w:val="0"/>
        <w:autoSpaceDN w:val="0"/>
        <w:bidi w:val="0"/>
        <w:adjustRightInd/>
        <w:snapToGrid/>
        <w:spacing w:before="67" w:line="320" w:lineRule="exact"/>
        <w:ind w:right="465"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13.7</w:t>
      </w:r>
      <w:r>
        <w:rPr>
          <w:rFonts w:hint="eastAsia" w:asciiTheme="minorEastAsia" w:hAnsiTheme="minorEastAsia" w:eastAsiaTheme="minorEastAsia" w:cstheme="minorEastAsia"/>
          <w:kern w:val="0"/>
          <w:sz w:val="24"/>
          <w:szCs w:val="24"/>
          <w:highlight w:val="none"/>
          <w:lang w:val="zh-CN" w:bidi="zh-CN"/>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D116EAE">
      <w:pPr>
        <w:pageBreakBefore w:val="0"/>
        <w:tabs>
          <w:tab w:val="left" w:pos="1523"/>
          <w:tab w:val="left" w:pos="1524"/>
        </w:tabs>
        <w:kinsoku/>
        <w:wordWrap/>
        <w:overflowPunct/>
        <w:topLinePunct w:val="0"/>
        <w:autoSpaceDE w:val="0"/>
        <w:autoSpaceDN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13.8治安保卫</w:t>
      </w:r>
    </w:p>
    <w:p w14:paraId="55D41D16">
      <w:pPr>
        <w:pageBreakBefore w:val="0"/>
        <w:kinsoku/>
        <w:wordWrap/>
        <w:overflowPunct/>
        <w:topLinePunct w:val="0"/>
        <w:autoSpaceDE w:val="0"/>
        <w:autoSpaceDN w:val="0"/>
        <w:bidi w:val="0"/>
        <w:adjustRightInd/>
        <w:snapToGrid/>
        <w:spacing w:before="74"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（1）发包人应与当地公安部门协商，在现场建立治安管理机构或联防组织，统一管理施工场地的治安保卫事项，履行合同工程的治安保卫职责；</w:t>
      </w:r>
    </w:p>
    <w:p w14:paraId="7C98EE46">
      <w:pPr>
        <w:pageBreakBefore w:val="0"/>
        <w:kinsoku/>
        <w:wordWrap/>
        <w:overflowPunct/>
        <w:topLinePunct w:val="0"/>
        <w:autoSpaceDE w:val="0"/>
        <w:autoSpaceDN w:val="0"/>
        <w:bidi w:val="0"/>
        <w:adjustRightInd/>
        <w:snapToGrid/>
        <w:spacing w:before="3"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（2）发包人和承包人除应协助现场治安管理机构或联防组织维护施工场地的社会治安外，还应做好包括生活区在内的各自管辖区的治安保卫工作；</w:t>
      </w:r>
    </w:p>
    <w:p w14:paraId="7411F453">
      <w:pPr>
        <w:pageBreakBefore w:val="0"/>
        <w:kinsoku/>
        <w:wordWrap/>
        <w:overflowPunct/>
        <w:topLinePunct w:val="0"/>
        <w:autoSpaceDE w:val="0"/>
        <w:autoSpaceDN w:val="0"/>
        <w:bidi w:val="0"/>
        <w:adjustRightInd/>
        <w:snapToGrid/>
        <w:spacing w:before="1" w:line="320" w:lineRule="exact"/>
        <w:ind w:right="34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（3）</w:t>
      </w:r>
      <w:r>
        <w:rPr>
          <w:rFonts w:hint="eastAsia" w:asciiTheme="minorEastAsia" w:hAnsiTheme="minorEastAsia" w:eastAsiaTheme="minorEastAsia" w:cstheme="minorEastAsia"/>
          <w:spacing w:val="-3"/>
          <w:kern w:val="0"/>
          <w:sz w:val="24"/>
          <w:szCs w:val="24"/>
          <w:highlight w:val="none"/>
          <w:lang w:val="zh-CN" w:bidi="zh-CN"/>
        </w:rPr>
        <w:t>发包人和承包人应在工程开工后，共同编制施工场地治安管理计划，并制</w:t>
      </w:r>
      <w:r>
        <w:rPr>
          <w:rFonts w:hint="eastAsia" w:asciiTheme="minorEastAsia" w:hAnsiTheme="minorEastAsia" w:eastAsiaTheme="minorEastAsia" w:cstheme="minorEastAsia"/>
          <w:spacing w:val="-7"/>
          <w:kern w:val="0"/>
          <w:sz w:val="24"/>
          <w:szCs w:val="24"/>
          <w:highlight w:val="none"/>
          <w:lang w:val="zh-CN" w:bidi="zh-CN"/>
        </w:rPr>
        <w:t xml:space="preserve">定应对突发治安事件的紧急预案。在工程施工过程中，发生暴乱、爆炸等恐怖事件， </w:t>
      </w:r>
      <w:r>
        <w:rPr>
          <w:rFonts w:hint="eastAsia" w:asciiTheme="minorEastAsia" w:hAnsiTheme="minorEastAsia" w:eastAsiaTheme="minorEastAsia" w:cstheme="minorEastAsia"/>
          <w:spacing w:val="-11"/>
          <w:kern w:val="0"/>
          <w:sz w:val="24"/>
          <w:szCs w:val="24"/>
          <w:highlight w:val="none"/>
          <w:lang w:val="zh-CN" w:bidi="zh-CN"/>
        </w:rPr>
        <w:t>以及群殴、械斗等群体性突发治安事件的，发包人和承包人应立即向当地政府报告。发包人和承包人应积极协助当地有关部门采取措施平息事态，防止事态扩大，尽量减少财产损失和避免人员伤亡。</w:t>
      </w:r>
    </w:p>
    <w:p w14:paraId="49363F87">
      <w:pPr>
        <w:keepLines/>
        <w:pageBreakBefore w:val="0"/>
        <w:widowControl/>
        <w:tabs>
          <w:tab w:val="left" w:pos="567"/>
        </w:tabs>
        <w:kinsoku/>
        <w:wordWrap/>
        <w:overflowPunct/>
        <w:topLinePunct w:val="0"/>
        <w:autoSpaceDE w:val="0"/>
        <w:autoSpaceDN w:val="0"/>
        <w:bidi w:val="0"/>
        <w:adjustRightInd/>
        <w:snapToGrid/>
        <w:spacing w:before="120" w:after="12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14.环境保护</w:t>
      </w:r>
    </w:p>
    <w:p w14:paraId="1E1D2A57">
      <w:pPr>
        <w:pageBreakBefore w:val="0"/>
        <w:numPr>
          <w:ilvl w:val="1"/>
          <w:numId w:val="0"/>
        </w:numPr>
        <w:tabs>
          <w:tab w:val="left" w:pos="1529"/>
        </w:tabs>
        <w:kinsoku/>
        <w:wordWrap/>
        <w:overflowPunct/>
        <w:topLinePunct w:val="0"/>
        <w:autoSpaceDE w:val="0"/>
        <w:autoSpaceDN w:val="0"/>
        <w:bidi w:val="0"/>
        <w:adjustRightInd/>
        <w:snapToGrid/>
        <w:spacing w:line="320" w:lineRule="exact"/>
        <w:ind w:right="465"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14.1</w:t>
      </w:r>
      <w:r>
        <w:rPr>
          <w:rFonts w:hint="eastAsia" w:asciiTheme="minorEastAsia" w:hAnsiTheme="minorEastAsia" w:eastAsiaTheme="minorEastAsia" w:cstheme="minorEastAsia"/>
          <w:kern w:val="0"/>
          <w:sz w:val="24"/>
          <w:szCs w:val="24"/>
          <w:highlight w:val="none"/>
          <w:lang w:val="zh-CN" w:bidi="zh-CN"/>
        </w:rPr>
        <w:t>承包人在施工过程中，应遵守有关环境保护的法律，并切实执行环境保护方面的要求和规定，并对违反法律和合同约定的义务所造成的环境破坏、人为伤害和财产损失负责。</w:t>
      </w:r>
    </w:p>
    <w:p w14:paraId="1205A42F">
      <w:pPr>
        <w:pageBreakBefore w:val="0"/>
        <w:kinsoku/>
        <w:wordWrap/>
        <w:overflowPunct/>
        <w:topLinePunct w:val="0"/>
        <w:autoSpaceDE w:val="0"/>
        <w:autoSpaceDN w:val="0"/>
        <w:bidi w:val="0"/>
        <w:adjustRightInd/>
        <w:snapToGrid/>
        <w:spacing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（1）</w:t>
      </w:r>
      <w:r>
        <w:rPr>
          <w:rFonts w:hint="eastAsia" w:asciiTheme="minorEastAsia" w:hAnsiTheme="minorEastAsia" w:eastAsiaTheme="minorEastAsia" w:cstheme="minorEastAsia"/>
          <w:spacing w:val="-4"/>
          <w:kern w:val="0"/>
          <w:sz w:val="24"/>
          <w:szCs w:val="24"/>
          <w:highlight w:val="none"/>
          <w:lang w:val="zh-CN" w:bidi="zh-CN"/>
        </w:rPr>
        <w:t>对于来自施工机械和运输车辆的施工噪声，应遵守《中华人民共和国环境噪声污染防治法》并依据《工业企业噪声卫生标准》合理安排工作人员轮流操作筑路机械，减少接触高噪声的时间或穿插安排高噪声的工作。对距噪声源较近的施工人员，除取得防护罩或头盔等有效措施外并应当缩短其劳动时间保护施工人员的健</w:t>
      </w:r>
      <w:r>
        <w:rPr>
          <w:rFonts w:hint="eastAsia" w:asciiTheme="minorEastAsia" w:hAnsiTheme="minorEastAsia" w:eastAsiaTheme="minorEastAsia" w:cstheme="minorEastAsia"/>
          <w:spacing w:val="-5"/>
          <w:kern w:val="0"/>
          <w:sz w:val="24"/>
          <w:szCs w:val="24"/>
          <w:highlight w:val="none"/>
          <w:lang w:val="zh-CN" w:bidi="zh-CN"/>
        </w:rPr>
        <w:t xml:space="preserve">康。为保护施工现场附近的居民的夜间休息，对居民区 </w:t>
      </w:r>
      <w:r>
        <w:rPr>
          <w:rFonts w:hint="eastAsia" w:asciiTheme="minorEastAsia" w:hAnsiTheme="minorEastAsia" w:eastAsiaTheme="minorEastAsia" w:cstheme="minorEastAsia"/>
          <w:kern w:val="0"/>
          <w:sz w:val="24"/>
          <w:szCs w:val="24"/>
          <w:highlight w:val="none"/>
          <w:lang w:val="zh-CN" w:bidi="zh-CN"/>
        </w:rPr>
        <w:t>150m 以内的施工现场、施工时间应加以控制。同时，要注意对机械的经常性保养，尽量使其噪声降低到最低水平；</w:t>
      </w:r>
    </w:p>
    <w:p w14:paraId="67854B92">
      <w:pPr>
        <w:pageBreakBefore w:val="0"/>
        <w:kinsoku/>
        <w:wordWrap/>
        <w:overflowPunct/>
        <w:topLinePunct w:val="0"/>
        <w:autoSpaceDE w:val="0"/>
        <w:autoSpaceDN w:val="0"/>
        <w:bidi w:val="0"/>
        <w:adjustRightInd/>
        <w:snapToGrid/>
        <w:spacing w:before="7"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（2）应采取有效措施减轻施工现场的灰土拌合、施工车辆和筑路机械运转和运输产生的扬尘污染，保护人民健康，如：</w:t>
      </w:r>
    </w:p>
    <w:p w14:paraId="7FA6B374">
      <w:pPr>
        <w:pageBreakBefore w:val="0"/>
        <w:kinsoku/>
        <w:wordWrap/>
        <w:overflowPunct/>
        <w:topLinePunct w:val="0"/>
        <w:autoSpaceDE w:val="0"/>
        <w:autoSpaceDN w:val="0"/>
        <w:bidi w:val="0"/>
        <w:adjustRightInd/>
        <w:snapToGrid/>
        <w:spacing w:before="1"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—拌合设备应有较好密封或有防尘设备。</w:t>
      </w:r>
    </w:p>
    <w:p w14:paraId="5ABA90D1">
      <w:pPr>
        <w:pageBreakBefore w:val="0"/>
        <w:kinsoku/>
        <w:wordWrap/>
        <w:overflowPunct/>
        <w:topLinePunct w:val="0"/>
        <w:autoSpaceDE w:val="0"/>
        <w:autoSpaceDN w:val="0"/>
        <w:bidi w:val="0"/>
        <w:adjustRightInd/>
        <w:snapToGrid/>
        <w:spacing w:before="87"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—施工道路、沥青混凝土拌合站及稳定灰土拌合站应经常进行洒水处理。</w:t>
      </w:r>
    </w:p>
    <w:p w14:paraId="6D3FC254">
      <w:pPr>
        <w:pageBreakBefore w:val="0"/>
        <w:kinsoku/>
        <w:wordWrap/>
        <w:overflowPunct/>
        <w:topLinePunct w:val="0"/>
        <w:autoSpaceDE w:val="0"/>
        <w:autoSpaceDN w:val="0"/>
        <w:bidi w:val="0"/>
        <w:adjustRightInd/>
        <w:snapToGrid/>
        <w:spacing w:before="83"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—路面施工应注意保持水分，以免扬尘。</w:t>
      </w:r>
    </w:p>
    <w:p w14:paraId="7A37E1E3">
      <w:pPr>
        <w:pageBreakBefore w:val="0"/>
        <w:kinsoku/>
        <w:wordWrap/>
        <w:overflowPunct/>
        <w:topLinePunct w:val="0"/>
        <w:autoSpaceDE w:val="0"/>
        <w:autoSpaceDN w:val="0"/>
        <w:bidi w:val="0"/>
        <w:adjustRightInd/>
        <w:snapToGrid/>
        <w:spacing w:before="84"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—桥梁钻孔灌注桩施工时排除的泥浆要作妥善处理，严禁向河流或农田排放；</w:t>
      </w:r>
    </w:p>
    <w:p w14:paraId="4FF0223B">
      <w:pPr>
        <w:pageBreakBefore w:val="0"/>
        <w:kinsoku/>
        <w:wordWrap/>
        <w:overflowPunct/>
        <w:topLinePunct w:val="0"/>
        <w:autoSpaceDE w:val="0"/>
        <w:autoSpaceDN w:val="0"/>
        <w:bidi w:val="0"/>
        <w:adjustRightInd/>
        <w:snapToGrid/>
        <w:spacing w:before="86"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（3）采取可靠措施保证原有交通的正常通行和维护沿线村镇的居民饮水、农田灌溉、生产生活用电及通讯等管线的正常使用。</w:t>
      </w:r>
    </w:p>
    <w:p w14:paraId="47100A9C">
      <w:pPr>
        <w:pageBreakBefore w:val="0"/>
        <w:numPr>
          <w:ilvl w:val="1"/>
          <w:numId w:val="0"/>
        </w:numPr>
        <w:tabs>
          <w:tab w:val="left" w:pos="1529"/>
        </w:tabs>
        <w:kinsoku/>
        <w:wordWrap/>
        <w:overflowPunct/>
        <w:topLinePunct w:val="0"/>
        <w:autoSpaceDE w:val="0"/>
        <w:autoSpaceDN w:val="0"/>
        <w:bidi w:val="0"/>
        <w:adjustRightInd/>
        <w:snapToGrid/>
        <w:spacing w:before="74" w:line="320" w:lineRule="exact"/>
        <w:ind w:right="465"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14.2</w:t>
      </w:r>
      <w:r>
        <w:rPr>
          <w:rFonts w:hint="eastAsia" w:asciiTheme="minorEastAsia" w:hAnsiTheme="minorEastAsia" w:eastAsiaTheme="minorEastAsia" w:cstheme="minorEastAsia"/>
          <w:kern w:val="0"/>
          <w:sz w:val="24"/>
          <w:szCs w:val="24"/>
          <w:highlight w:val="none"/>
          <w:lang w:val="zh-CN" w:bidi="zh-CN"/>
        </w:rPr>
        <w:t>承包人应按合同约定的环保工作内容，编制施工环保措施计划，报送监理人审批。在施工期间，承包人应合理设置取土场和弃土场，做好施工防护措施， 防止水土流失。施工过程中要采取有效措施防止污染农田，项目完工后承包人应将临时占地自费恢复到临时占地使用前的状况。</w:t>
      </w:r>
    </w:p>
    <w:p w14:paraId="6CDD3E8C">
      <w:pPr>
        <w:pageBreakBefore w:val="0"/>
        <w:numPr>
          <w:ilvl w:val="1"/>
          <w:numId w:val="0"/>
        </w:numPr>
        <w:tabs>
          <w:tab w:val="left" w:pos="1528"/>
          <w:tab w:val="left" w:pos="1529"/>
        </w:tabs>
        <w:kinsoku/>
        <w:wordWrap/>
        <w:overflowPunct/>
        <w:topLinePunct w:val="0"/>
        <w:autoSpaceDE w:val="0"/>
        <w:autoSpaceDN w:val="0"/>
        <w:bidi w:val="0"/>
        <w:adjustRightInd/>
        <w:snapToGrid/>
        <w:spacing w:line="320" w:lineRule="exact"/>
        <w:ind w:right="346" w:rightChars="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14.3</w:t>
      </w:r>
      <w:r>
        <w:rPr>
          <w:rFonts w:hint="eastAsia" w:asciiTheme="minorEastAsia" w:hAnsiTheme="minorEastAsia" w:eastAsiaTheme="minorEastAsia" w:cstheme="minorEastAsia"/>
          <w:kern w:val="0"/>
          <w:sz w:val="24"/>
          <w:szCs w:val="24"/>
          <w:highlight w:val="none"/>
          <w:lang w:val="zh-CN" w:bidi="zh-CN"/>
        </w:rPr>
        <w:t>承包人应严格按照国家有关法规要求，做好施工过程中的生态保护和水土保持工作。施工中要尽可能减少对原地面的扰动，减少对地面草木的破坏，需要</w:t>
      </w:r>
      <w:r>
        <w:rPr>
          <w:rFonts w:hint="eastAsia" w:asciiTheme="minorEastAsia" w:hAnsiTheme="minorEastAsia" w:eastAsiaTheme="minorEastAsia" w:cstheme="minorEastAsia"/>
          <w:spacing w:val="-8"/>
          <w:kern w:val="0"/>
          <w:sz w:val="24"/>
          <w:szCs w:val="24"/>
          <w:highlight w:val="none"/>
          <w:lang w:val="zh-CN" w:bidi="zh-CN"/>
        </w:rPr>
        <w:t>爆破作业的，应按规定进行控爆设计。加强施工便道的管理，严禁在指定的取</w:t>
      </w:r>
      <w:r>
        <w:rPr>
          <w:rFonts w:hint="eastAsia" w:asciiTheme="minorEastAsia" w:hAnsiTheme="minorEastAsia" w:eastAsiaTheme="minorEastAsia" w:cstheme="minorEastAsia"/>
          <w:spacing w:val="-3"/>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弃） 土场以外的地方乱挖乱弃。</w:t>
      </w:r>
    </w:p>
    <w:p w14:paraId="155C0108">
      <w:pPr>
        <w:pageBreakBefore w:val="0"/>
        <w:numPr>
          <w:ilvl w:val="1"/>
          <w:numId w:val="0"/>
        </w:numPr>
        <w:tabs>
          <w:tab w:val="left" w:pos="1529"/>
        </w:tabs>
        <w:kinsoku/>
        <w:wordWrap/>
        <w:overflowPunct/>
        <w:topLinePunct w:val="0"/>
        <w:autoSpaceDE w:val="0"/>
        <w:autoSpaceDN w:val="0"/>
        <w:bidi w:val="0"/>
        <w:adjustRightInd/>
        <w:snapToGrid/>
        <w:spacing w:line="320" w:lineRule="exact"/>
        <w:ind w:right="465"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14.4</w:t>
      </w:r>
      <w:r>
        <w:rPr>
          <w:rFonts w:hint="eastAsia" w:asciiTheme="minorEastAsia" w:hAnsiTheme="minorEastAsia" w:eastAsiaTheme="minorEastAsia" w:cstheme="minorEastAsia"/>
          <w:kern w:val="0"/>
          <w:sz w:val="24"/>
          <w:szCs w:val="24"/>
          <w:highlight w:val="none"/>
          <w:lang w:val="zh-CN" w:bidi="zh-CN"/>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0C0A3B2B">
      <w:pPr>
        <w:keepLines/>
        <w:pageBreakBefore w:val="0"/>
        <w:widowControl/>
        <w:tabs>
          <w:tab w:val="left" w:pos="567"/>
        </w:tabs>
        <w:kinsoku/>
        <w:wordWrap/>
        <w:overflowPunct/>
        <w:topLinePunct w:val="0"/>
        <w:autoSpaceDE w:val="0"/>
        <w:autoSpaceDN w:val="0"/>
        <w:bidi w:val="0"/>
        <w:adjustRightInd/>
        <w:snapToGrid/>
        <w:spacing w:before="120" w:after="12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15.事故处理</w:t>
      </w:r>
    </w:p>
    <w:p w14:paraId="63BFD5B3">
      <w:pPr>
        <w:pageBreakBefore w:val="0"/>
        <w:kinsoku/>
        <w:wordWrap/>
        <w:overflowPunct/>
        <w:topLinePunct w:val="0"/>
        <w:autoSpaceDE w:val="0"/>
        <w:autoSpaceDN w:val="0"/>
        <w:bidi w:val="0"/>
        <w:adjustRightInd/>
        <w:snapToGrid/>
        <w:spacing w:line="320" w:lineRule="exact"/>
        <w:ind w:right="466" w:firstLine="472"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2"/>
          <w:kern w:val="0"/>
          <w:sz w:val="24"/>
          <w:szCs w:val="24"/>
          <w:highlight w:val="none"/>
          <w:lang w:val="zh-CN" w:bidi="zh-CN"/>
        </w:rPr>
        <w:t xml:space="preserve">如果工程施工过程中，发生重大安全事故、质量事故，承包人必须在 </w:t>
      </w:r>
      <w:r>
        <w:rPr>
          <w:rFonts w:hint="eastAsia" w:asciiTheme="minorEastAsia" w:hAnsiTheme="minorEastAsia" w:eastAsiaTheme="minorEastAsia" w:cstheme="minorEastAsia"/>
          <w:kern w:val="0"/>
          <w:sz w:val="24"/>
          <w:szCs w:val="24"/>
          <w:highlight w:val="none"/>
          <w:lang w:val="zh-CN" w:bidi="zh-CN"/>
        </w:rPr>
        <w:t>2 小时内</w:t>
      </w:r>
      <w:r>
        <w:rPr>
          <w:rFonts w:hint="eastAsia" w:asciiTheme="minorEastAsia" w:hAnsiTheme="minorEastAsia" w:eastAsiaTheme="minorEastAsia" w:cstheme="minorEastAsia"/>
          <w:spacing w:val="-1"/>
          <w:kern w:val="0"/>
          <w:sz w:val="24"/>
          <w:szCs w:val="24"/>
          <w:highlight w:val="none"/>
          <w:lang w:val="zh-CN" w:bidi="zh-CN"/>
        </w:rPr>
        <w:t>口头报告，</w:t>
      </w:r>
      <w:r>
        <w:rPr>
          <w:rFonts w:hint="eastAsia" w:asciiTheme="minorEastAsia" w:hAnsiTheme="minorEastAsia" w:eastAsiaTheme="minorEastAsia" w:cstheme="minorEastAsia"/>
          <w:spacing w:val="-4"/>
          <w:kern w:val="0"/>
          <w:sz w:val="24"/>
          <w:szCs w:val="24"/>
          <w:highlight w:val="none"/>
          <w:lang w:val="zh-CN" w:bidi="zh-CN"/>
        </w:rPr>
        <w:t xml:space="preserve">24 </w:t>
      </w:r>
      <w:r>
        <w:rPr>
          <w:rFonts w:hint="eastAsia" w:asciiTheme="minorEastAsia" w:hAnsiTheme="minorEastAsia" w:eastAsiaTheme="minorEastAsia" w:cstheme="minorEastAsia"/>
          <w:spacing w:val="-1"/>
          <w:kern w:val="0"/>
          <w:sz w:val="24"/>
          <w:szCs w:val="24"/>
          <w:highlight w:val="none"/>
          <w:lang w:val="zh-CN" w:bidi="zh-CN"/>
        </w:rPr>
        <w:t>小时内将事故详细情况书面报监理人和发包人。如果现场发生一般安</w:t>
      </w:r>
      <w:r>
        <w:rPr>
          <w:rFonts w:hint="eastAsia" w:asciiTheme="minorEastAsia" w:hAnsiTheme="minorEastAsia" w:eastAsiaTheme="minorEastAsia" w:cstheme="minorEastAsia"/>
          <w:spacing w:val="-4"/>
          <w:kern w:val="0"/>
          <w:sz w:val="24"/>
          <w:szCs w:val="24"/>
          <w:highlight w:val="none"/>
          <w:lang w:val="zh-CN" w:bidi="zh-CN"/>
        </w:rPr>
        <w:t xml:space="preserve">全事故，或质量事故，承包人必须在 </w:t>
      </w:r>
      <w:r>
        <w:rPr>
          <w:rFonts w:hint="eastAsia" w:asciiTheme="minorEastAsia" w:hAnsiTheme="minorEastAsia" w:eastAsiaTheme="minorEastAsia" w:cstheme="minorEastAsia"/>
          <w:kern w:val="0"/>
          <w:sz w:val="24"/>
          <w:szCs w:val="24"/>
          <w:highlight w:val="none"/>
          <w:lang w:val="zh-CN" w:bidi="zh-CN"/>
        </w:rPr>
        <w:t>3 天内将事故详细情况书面报告监理人和发包人。如果现场(包括临时道路)发生重大交通事故，承包人应尽快报告监理人，同时应迅速报告当地交通安全管理部门。质量事故等级划分遵照交通运输部公路工程质量管理办法的规定。</w:t>
      </w:r>
    </w:p>
    <w:p w14:paraId="4BFDA4E5">
      <w:pPr>
        <w:keepNext/>
        <w:keepLines/>
        <w:pageBreakBefore w:val="0"/>
        <w:widowControl/>
        <w:kinsoku/>
        <w:wordWrap/>
        <w:overflowPunct/>
        <w:topLinePunct w:val="0"/>
        <w:bidi w:val="0"/>
        <w:adjustRightInd/>
        <w:snapToGrid/>
        <w:spacing w:before="260" w:after="26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bookmarkStart w:id="407" w:name="_Toc256000038"/>
      <w:r>
        <w:rPr>
          <w:rFonts w:hint="eastAsia" w:asciiTheme="minorEastAsia" w:hAnsiTheme="minorEastAsia" w:eastAsiaTheme="minorEastAsia" w:cstheme="minorEastAsia"/>
          <w:b/>
          <w:bCs/>
          <w:kern w:val="0"/>
          <w:sz w:val="24"/>
          <w:szCs w:val="24"/>
          <w:highlight w:val="none"/>
          <w:lang w:val="zh-CN" w:bidi="zh-CN"/>
        </w:rPr>
        <w:t>六、合同价款支付</w:t>
      </w:r>
      <w:bookmarkEnd w:id="407"/>
    </w:p>
    <w:p w14:paraId="3D2DD1C1">
      <w:pPr>
        <w:keepLines/>
        <w:pageBreakBefore w:val="0"/>
        <w:widowControl/>
        <w:tabs>
          <w:tab w:val="left" w:pos="567"/>
        </w:tabs>
        <w:kinsoku/>
        <w:wordWrap/>
        <w:overflowPunct/>
        <w:topLinePunct w:val="0"/>
        <w:autoSpaceDE w:val="0"/>
        <w:autoSpaceDN w:val="0"/>
        <w:bidi w:val="0"/>
        <w:adjustRightInd/>
        <w:snapToGrid/>
        <w:spacing w:before="120" w:after="12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16.合同价款支付</w:t>
      </w:r>
    </w:p>
    <w:p w14:paraId="78881171">
      <w:pPr>
        <w:pageBreakBefore w:val="0"/>
        <w:numPr>
          <w:ilvl w:val="1"/>
          <w:numId w:val="0"/>
        </w:numPr>
        <w:tabs>
          <w:tab w:val="left" w:pos="1523"/>
          <w:tab w:val="left" w:pos="1524"/>
        </w:tabs>
        <w:kinsoku/>
        <w:wordWrap/>
        <w:overflowPunct/>
        <w:topLinePunct w:val="0"/>
        <w:autoSpaceDE w:val="0"/>
        <w:autoSpaceDN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16.1</w:t>
      </w:r>
      <w:r>
        <w:rPr>
          <w:rFonts w:hint="eastAsia" w:asciiTheme="minorEastAsia" w:hAnsiTheme="minorEastAsia" w:eastAsiaTheme="minorEastAsia" w:cstheme="minorEastAsia"/>
          <w:kern w:val="0"/>
          <w:sz w:val="24"/>
          <w:szCs w:val="24"/>
          <w:highlight w:val="none"/>
          <w:lang w:val="zh-CN" w:bidi="zh-CN"/>
        </w:rPr>
        <w:t>发包人与承包人依据中标价在合同协议书内约定合同价款。</w:t>
      </w:r>
    </w:p>
    <w:p w14:paraId="11FF5074">
      <w:pPr>
        <w:pageBreakBefore w:val="0"/>
        <w:numPr>
          <w:ilvl w:val="1"/>
          <w:numId w:val="0"/>
        </w:numPr>
        <w:tabs>
          <w:tab w:val="left" w:pos="1524"/>
        </w:tabs>
        <w:kinsoku/>
        <w:wordWrap/>
        <w:overflowPunct/>
        <w:topLinePunct w:val="0"/>
        <w:autoSpaceDE w:val="0"/>
        <w:autoSpaceDN w:val="0"/>
        <w:bidi w:val="0"/>
        <w:adjustRightInd/>
        <w:snapToGrid/>
        <w:spacing w:before="86" w:line="320" w:lineRule="exact"/>
        <w:ind w:right="442"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16.2</w:t>
      </w:r>
      <w:r>
        <w:rPr>
          <w:rFonts w:hint="eastAsia" w:asciiTheme="minorEastAsia" w:hAnsiTheme="minorEastAsia" w:eastAsiaTheme="minorEastAsia" w:cstheme="minorEastAsia"/>
          <w:spacing w:val="-7"/>
          <w:kern w:val="0"/>
          <w:sz w:val="24"/>
          <w:szCs w:val="24"/>
          <w:highlight w:val="none"/>
          <w:lang w:val="zh-CN" w:bidi="zh-CN"/>
        </w:rPr>
        <w:t xml:space="preserve">承包人应在每月的 </w:t>
      </w:r>
      <w:r>
        <w:rPr>
          <w:rFonts w:hint="eastAsia" w:asciiTheme="minorEastAsia" w:hAnsiTheme="minorEastAsia" w:eastAsiaTheme="minorEastAsia" w:cstheme="minorEastAsia"/>
          <w:kern w:val="0"/>
          <w:sz w:val="24"/>
          <w:szCs w:val="24"/>
          <w:highlight w:val="none"/>
          <w:lang w:val="zh-CN" w:bidi="zh-CN"/>
        </w:rPr>
        <w:t>25 日前，按监理人审定的《工程进度中期支付报表》的工程数量及相关的支付额报发包人，发包人据以支付工程进度款。除不可抗拒的自然灾害、特殊社会风险及发包人批准的设计变更外，工程总支付金额不应超过合同价（不包括暂列金额）。</w:t>
      </w:r>
    </w:p>
    <w:p w14:paraId="0C7ACA4A">
      <w:pPr>
        <w:keepLines/>
        <w:pageBreakBefore w:val="0"/>
        <w:widowControl/>
        <w:tabs>
          <w:tab w:val="left" w:pos="567"/>
        </w:tabs>
        <w:kinsoku/>
        <w:wordWrap/>
        <w:overflowPunct/>
        <w:topLinePunct w:val="0"/>
        <w:autoSpaceDE w:val="0"/>
        <w:autoSpaceDN w:val="0"/>
        <w:bidi w:val="0"/>
        <w:adjustRightInd/>
        <w:snapToGrid/>
        <w:spacing w:before="120" w:after="12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17.预付款</w:t>
      </w:r>
    </w:p>
    <w:p w14:paraId="7A56B2F0">
      <w:pPr>
        <w:pageBreakBefore w:val="0"/>
        <w:numPr>
          <w:ilvl w:val="1"/>
          <w:numId w:val="0"/>
        </w:numPr>
        <w:tabs>
          <w:tab w:val="left" w:pos="1529"/>
        </w:tabs>
        <w:kinsoku/>
        <w:wordWrap/>
        <w:overflowPunct/>
        <w:topLinePunct w:val="0"/>
        <w:autoSpaceDE w:val="0"/>
        <w:autoSpaceDN w:val="0"/>
        <w:bidi w:val="0"/>
        <w:adjustRightInd/>
        <w:snapToGrid/>
        <w:spacing w:line="320" w:lineRule="exact"/>
        <w:ind w:right="467"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17.1</w:t>
      </w:r>
      <w:r>
        <w:rPr>
          <w:rFonts w:hint="eastAsia" w:asciiTheme="minorEastAsia" w:hAnsiTheme="minorEastAsia" w:eastAsiaTheme="minorEastAsia" w:cstheme="minorEastAsia"/>
          <w:kern w:val="0"/>
          <w:sz w:val="24"/>
          <w:szCs w:val="24"/>
          <w:highlight w:val="none"/>
          <w:lang w:val="zh-CN" w:bidi="zh-CN"/>
        </w:rPr>
        <w:t>承包人在合同文件载明的人员、主要设备进场后，可得到预付款支付， 预付款必须专用于合同工程。</w:t>
      </w:r>
    </w:p>
    <w:p w14:paraId="492A3979">
      <w:pPr>
        <w:pageBreakBefore w:val="0"/>
        <w:numPr>
          <w:ilvl w:val="1"/>
          <w:numId w:val="0"/>
        </w:numPr>
        <w:tabs>
          <w:tab w:val="left" w:pos="1529"/>
        </w:tabs>
        <w:kinsoku/>
        <w:wordWrap/>
        <w:overflowPunct/>
        <w:topLinePunct w:val="0"/>
        <w:autoSpaceDE w:val="0"/>
        <w:autoSpaceDN w:val="0"/>
        <w:bidi w:val="0"/>
        <w:adjustRightInd/>
        <w:snapToGrid/>
        <w:spacing w:line="320" w:lineRule="exact"/>
        <w:ind w:right="465"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17.2</w:t>
      </w:r>
      <w:r>
        <w:rPr>
          <w:rFonts w:hint="eastAsia" w:asciiTheme="minorEastAsia" w:hAnsiTheme="minorEastAsia" w:eastAsiaTheme="minorEastAsia" w:cstheme="minorEastAsia"/>
          <w:kern w:val="0"/>
          <w:sz w:val="24"/>
          <w:szCs w:val="24"/>
          <w:highlight w:val="none"/>
          <w:lang w:val="zh-CN" w:bidi="zh-CN"/>
        </w:rPr>
        <w:t>预付款在进度付款中扣回，在颁发工程接收证书前，由于不可抗力或其他原因解除合同时，预付款尚未扣清的，尚未扣清的预付款余额应作为承包人的到期应付款。</w:t>
      </w:r>
    </w:p>
    <w:p w14:paraId="18859EB0">
      <w:pPr>
        <w:pageBreakBefore w:val="0"/>
        <w:numPr>
          <w:ilvl w:val="1"/>
          <w:numId w:val="0"/>
        </w:numPr>
        <w:tabs>
          <w:tab w:val="left" w:pos="1409"/>
        </w:tabs>
        <w:kinsoku/>
        <w:wordWrap/>
        <w:overflowPunct/>
        <w:topLinePunct w:val="0"/>
        <w:autoSpaceDE w:val="0"/>
        <w:autoSpaceDN w:val="0"/>
        <w:bidi w:val="0"/>
        <w:adjustRightInd/>
        <w:snapToGrid/>
        <w:spacing w:before="76" w:line="320" w:lineRule="exact"/>
        <w:ind w:right="462"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17.3</w:t>
      </w:r>
      <w:r>
        <w:rPr>
          <w:rFonts w:hint="eastAsia" w:asciiTheme="minorEastAsia" w:hAnsiTheme="minorEastAsia" w:eastAsiaTheme="minorEastAsia" w:cstheme="minorEastAsia"/>
          <w:kern w:val="0"/>
          <w:sz w:val="24"/>
          <w:szCs w:val="24"/>
          <w:highlight w:val="none"/>
          <w:lang w:bidi="zh-CN"/>
        </w:rPr>
        <w:t>付款方式：</w:t>
      </w:r>
      <w:r>
        <w:rPr>
          <w:rFonts w:hint="eastAsia" w:asciiTheme="minorEastAsia" w:hAnsiTheme="minorEastAsia" w:eastAsiaTheme="minorEastAsia" w:cstheme="minorEastAsia"/>
          <w:kern w:val="0"/>
          <w:sz w:val="24"/>
          <w:szCs w:val="24"/>
          <w:highlight w:val="none"/>
          <w:lang w:val="zh-CN" w:bidi="zh-CN"/>
        </w:rPr>
        <w:t>施工合同签订后承包人提交履约保函，缴纳农民工保证金，且发包人收到承包人预付款申请（含等额有效增值税普通发票）后发包人向承包人预付合同总价款的30%；剩余工程款按实际工程进度支付，项目整体通过验收完成竣工后支付90%，工程审计结算后支付剩余剩余工程尾款。</w:t>
      </w:r>
    </w:p>
    <w:p w14:paraId="46166DCC">
      <w:pPr>
        <w:pageBreakBefore w:val="0"/>
        <w:numPr>
          <w:ilvl w:val="1"/>
          <w:numId w:val="0"/>
        </w:numPr>
        <w:tabs>
          <w:tab w:val="left" w:pos="1528"/>
          <w:tab w:val="left" w:pos="1529"/>
        </w:tabs>
        <w:kinsoku/>
        <w:wordWrap/>
        <w:overflowPunct/>
        <w:topLinePunct w:val="0"/>
        <w:autoSpaceDE w:val="0"/>
        <w:autoSpaceDN w:val="0"/>
        <w:bidi w:val="0"/>
        <w:adjustRightInd/>
        <w:snapToGrid/>
        <w:spacing w:before="3" w:line="320" w:lineRule="exact"/>
        <w:ind w:right="346" w:rightChars="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17.4</w:t>
      </w:r>
      <w:r>
        <w:rPr>
          <w:rFonts w:hint="eastAsia" w:asciiTheme="minorEastAsia" w:hAnsiTheme="minorEastAsia" w:eastAsiaTheme="minorEastAsia" w:cstheme="minorEastAsia"/>
          <w:kern w:val="0"/>
          <w:sz w:val="24"/>
          <w:szCs w:val="24"/>
          <w:highlight w:val="none"/>
          <w:lang w:val="zh-CN" w:bidi="zh-CN"/>
        </w:rPr>
        <w:t>材料预付款按合同条款数据表中所列主要材料单据费用（进口的材料、</w:t>
      </w:r>
      <w:r>
        <w:rPr>
          <w:rFonts w:hint="eastAsia" w:asciiTheme="minorEastAsia" w:hAnsiTheme="minorEastAsia" w:eastAsiaTheme="minorEastAsia" w:cstheme="minorEastAsia"/>
          <w:spacing w:val="-11"/>
          <w:kern w:val="0"/>
          <w:sz w:val="24"/>
          <w:szCs w:val="24"/>
          <w:highlight w:val="none"/>
          <w:lang w:val="zh-CN" w:bidi="zh-CN"/>
        </w:rPr>
        <w:t>设备为到岸价，国内采购的为出厂价或销售价，地方材料为堆场价</w:t>
      </w:r>
      <w:r>
        <w:rPr>
          <w:rFonts w:hint="eastAsia" w:asciiTheme="minorEastAsia" w:hAnsiTheme="minorEastAsia" w:eastAsiaTheme="minorEastAsia" w:cstheme="minorEastAsia"/>
          <w:kern w:val="0"/>
          <w:sz w:val="24"/>
          <w:szCs w:val="24"/>
          <w:highlight w:val="none"/>
          <w:lang w:val="zh-CN" w:bidi="zh-CN"/>
        </w:rPr>
        <w:fldChar w:fldCharType="begin"/>
      </w:r>
      <w:r>
        <w:rPr>
          <w:rFonts w:hint="eastAsia" w:asciiTheme="minorEastAsia" w:hAnsiTheme="minorEastAsia" w:eastAsiaTheme="minorEastAsia" w:cstheme="minorEastAsia"/>
          <w:kern w:val="0"/>
          <w:sz w:val="24"/>
          <w:szCs w:val="24"/>
          <w:highlight w:val="none"/>
          <w:lang w:val="zh-CN" w:bidi="zh-CN"/>
        </w:rPr>
        <w:instrText xml:space="preserve"> HYPERLINK \l "_bookmark43" </w:instrText>
      </w:r>
      <w:r>
        <w:rPr>
          <w:rFonts w:hint="eastAsia" w:asciiTheme="minorEastAsia" w:hAnsiTheme="minorEastAsia" w:eastAsiaTheme="minorEastAsia" w:cstheme="minorEastAsia"/>
          <w:kern w:val="0"/>
          <w:sz w:val="24"/>
          <w:szCs w:val="24"/>
          <w:highlight w:val="none"/>
          <w:lang w:val="zh-CN" w:bidi="zh-CN"/>
        </w:rPr>
        <w:fldChar w:fldCharType="separate"/>
      </w:r>
      <w:r>
        <w:rPr>
          <w:rFonts w:hint="eastAsia" w:asciiTheme="minorEastAsia" w:hAnsiTheme="minorEastAsia" w:eastAsiaTheme="minorEastAsia" w:cstheme="minorEastAsia"/>
          <w:spacing w:val="-1"/>
          <w:w w:val="98"/>
          <w:kern w:val="0"/>
          <w:position w:val="9"/>
          <w:sz w:val="24"/>
          <w:szCs w:val="24"/>
          <w:highlight w:val="none"/>
          <w:lang w:val="zh-CN" w:bidi="zh-CN"/>
        </w:rPr>
        <w:t>①</w:t>
      </w:r>
      <w:r>
        <w:rPr>
          <w:rFonts w:hint="eastAsia" w:asciiTheme="minorEastAsia" w:hAnsiTheme="minorEastAsia" w:eastAsiaTheme="minorEastAsia" w:cstheme="minorEastAsia"/>
          <w:spacing w:val="-1"/>
          <w:w w:val="98"/>
          <w:kern w:val="0"/>
          <w:position w:val="9"/>
          <w:sz w:val="24"/>
          <w:szCs w:val="24"/>
          <w:highlight w:val="none"/>
          <w:lang w:val="zh-CN" w:bidi="zh-CN"/>
        </w:rPr>
        <w:fldChar w:fldCharType="end"/>
      </w:r>
      <w:r>
        <w:rPr>
          <w:rFonts w:hint="eastAsia" w:asciiTheme="minorEastAsia" w:hAnsiTheme="minorEastAsia" w:eastAsiaTheme="minorEastAsia" w:cstheme="minorEastAsia"/>
          <w:spacing w:val="-58"/>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的百分比支付，预付款比例按照项目专用合同条款数据表的规定计算。其余附加条件为：</w:t>
      </w:r>
    </w:p>
    <w:p w14:paraId="7C34B457">
      <w:pPr>
        <w:pageBreakBefore w:val="0"/>
        <w:kinsoku/>
        <w:wordWrap/>
        <w:overflowPunct/>
        <w:topLinePunct w:val="0"/>
        <w:autoSpaceDE w:val="0"/>
        <w:autoSpaceDN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（1）材料符合规范要求并经监理人认可；</w:t>
      </w:r>
    </w:p>
    <w:p w14:paraId="556BDE95">
      <w:pPr>
        <w:pageBreakBefore w:val="0"/>
        <w:kinsoku/>
        <w:wordWrap/>
        <w:overflowPunct/>
        <w:topLinePunct w:val="0"/>
        <w:autoSpaceDE w:val="0"/>
        <w:autoSpaceDN w:val="0"/>
        <w:bidi w:val="0"/>
        <w:adjustRightInd/>
        <w:snapToGrid/>
        <w:spacing w:before="86"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（2）承包人已出具材料费用凭证或支付单据；</w:t>
      </w:r>
    </w:p>
    <w:p w14:paraId="222151BA">
      <w:pPr>
        <w:pageBreakBefore w:val="0"/>
        <w:kinsoku/>
        <w:wordWrap/>
        <w:overflowPunct/>
        <w:topLinePunct w:val="0"/>
        <w:autoSpaceDE w:val="0"/>
        <w:autoSpaceDN w:val="0"/>
        <w:bidi w:val="0"/>
        <w:adjustRightInd/>
        <w:snapToGrid/>
        <w:spacing w:before="86" w:line="320" w:lineRule="exact"/>
        <w:ind w:right="382"/>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（3）材料已在现场交货，且存储良好，监理人认为材料的存储方法符合要求。则监理人应将此项金额作为材料预付款计入下一次的进度付款证书中，在预计</w:t>
      </w:r>
    </w:p>
    <w:p w14:paraId="418381F3">
      <w:pPr>
        <w:pageBreakBefore w:val="0"/>
        <w:kinsoku/>
        <w:wordWrap/>
        <w:overflowPunct/>
        <w:topLinePunct w:val="0"/>
        <w:autoSpaceDE w:val="0"/>
        <w:autoSpaceDN w:val="0"/>
        <w:bidi w:val="0"/>
        <w:adjustRightInd/>
        <w:snapToGrid/>
        <w:spacing w:line="320" w:lineRule="exact"/>
        <w:ind w:left="384"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交工前 3 个月，将不再支付材料预付款。</w:t>
      </w:r>
    </w:p>
    <w:p w14:paraId="4EBF4166">
      <w:pPr>
        <w:pageBreakBefore w:val="0"/>
        <w:kinsoku/>
        <w:wordWrap/>
        <w:overflowPunct/>
        <w:topLinePunct w:val="0"/>
        <w:autoSpaceDE w:val="0"/>
        <w:autoSpaceDN w:val="0"/>
        <w:bidi w:val="0"/>
        <w:adjustRightInd/>
        <w:snapToGrid/>
        <w:spacing w:line="320" w:lineRule="exact"/>
        <w:ind w:left="384"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79EBA8B8">
      <w:pPr>
        <w:keepLines/>
        <w:pageBreakBefore w:val="0"/>
        <w:widowControl/>
        <w:tabs>
          <w:tab w:val="left" w:pos="567"/>
        </w:tabs>
        <w:kinsoku/>
        <w:wordWrap/>
        <w:overflowPunct/>
        <w:topLinePunct w:val="0"/>
        <w:autoSpaceDE w:val="0"/>
        <w:autoSpaceDN w:val="0"/>
        <w:bidi w:val="0"/>
        <w:adjustRightInd/>
        <w:snapToGrid/>
        <w:spacing w:before="120" w:after="12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18.计量与支付</w:t>
      </w:r>
    </w:p>
    <w:p w14:paraId="7C4BA3D7">
      <w:pPr>
        <w:pageBreakBefore w:val="0"/>
        <w:tabs>
          <w:tab w:val="left" w:pos="1523"/>
          <w:tab w:val="left" w:pos="1524"/>
        </w:tabs>
        <w:kinsoku/>
        <w:wordWrap/>
        <w:overflowPunct/>
        <w:topLinePunct w:val="0"/>
        <w:autoSpaceDE w:val="0"/>
        <w:autoSpaceDN w:val="0"/>
        <w:bidi w:val="0"/>
        <w:adjustRightInd/>
        <w:snapToGrid/>
        <w:spacing w:before="1" w:line="320" w:lineRule="exact"/>
        <w:ind w:right="46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8"/>
          <w:kern w:val="0"/>
          <w:sz w:val="24"/>
          <w:szCs w:val="24"/>
          <w:highlight w:val="none"/>
          <w:lang w:val="zh-CN" w:bidi="zh-CN"/>
        </w:rPr>
        <w:t xml:space="preserve">18.1承包人应在每月 </w:t>
      </w:r>
      <w:r>
        <w:rPr>
          <w:rFonts w:hint="eastAsia" w:asciiTheme="minorEastAsia" w:hAnsiTheme="minorEastAsia" w:eastAsiaTheme="minorEastAsia" w:cstheme="minorEastAsia"/>
          <w:kern w:val="0"/>
          <w:sz w:val="24"/>
          <w:szCs w:val="24"/>
          <w:highlight w:val="none"/>
          <w:lang w:val="zh-CN" w:bidi="zh-CN"/>
        </w:rPr>
        <w:t xml:space="preserve">25 </w:t>
      </w:r>
      <w:r>
        <w:rPr>
          <w:rFonts w:hint="eastAsia" w:asciiTheme="minorEastAsia" w:hAnsiTheme="minorEastAsia" w:eastAsiaTheme="minorEastAsia" w:cstheme="minorEastAsia"/>
          <w:spacing w:val="-4"/>
          <w:kern w:val="0"/>
          <w:sz w:val="24"/>
          <w:szCs w:val="24"/>
          <w:highlight w:val="none"/>
          <w:lang w:val="zh-CN" w:bidi="zh-CN"/>
        </w:rPr>
        <w:t>日前，经监理人现场核实已完成的合格工程数量，确定其价款，监理人签字后作为工程价款支付的依据。</w:t>
      </w:r>
    </w:p>
    <w:p w14:paraId="3FA14DF4">
      <w:pPr>
        <w:pageBreakBefore w:val="0"/>
        <w:kinsoku/>
        <w:wordWrap/>
        <w:overflowPunct/>
        <w:topLinePunct w:val="0"/>
        <w:autoSpaceDE w:val="0"/>
        <w:autoSpaceDN w:val="0"/>
        <w:bidi w:val="0"/>
        <w:adjustRightInd/>
        <w:snapToGrid/>
        <w:spacing w:line="320" w:lineRule="exact"/>
        <w:ind w:right="465"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本项目工程量清单中总额价子目的支付原则和支付进度按实际完成工程量及时限计量支付，并执行以下原则：</w:t>
      </w:r>
    </w:p>
    <w:p w14:paraId="37760FDC">
      <w:pPr>
        <w:pageBreakBefore w:val="0"/>
        <w:tabs>
          <w:tab w:val="left" w:pos="1484"/>
        </w:tabs>
        <w:kinsoku/>
        <w:wordWrap/>
        <w:overflowPunct/>
        <w:topLinePunct w:val="0"/>
        <w:autoSpaceDE w:val="0"/>
        <w:autoSpaceDN w:val="0"/>
        <w:bidi w:val="0"/>
        <w:adjustRightInd/>
        <w:snapToGrid/>
        <w:spacing w:before="2" w:line="320" w:lineRule="exact"/>
        <w:ind w:right="462"/>
        <w:jc w:val="left"/>
        <w:textAlignment w:val="auto"/>
        <w:outlineLvl w:val="9"/>
        <w:rPr>
          <w:rFonts w:hint="eastAsia" w:asciiTheme="minorEastAsia" w:hAnsiTheme="minorEastAsia" w:eastAsiaTheme="minorEastAsia" w:cstheme="minorEastAsia"/>
          <w:spacing w:val="-6"/>
          <w:kern w:val="0"/>
          <w:sz w:val="24"/>
          <w:szCs w:val="24"/>
          <w:highlight w:val="none"/>
          <w:lang w:val="zh-CN" w:bidi="zh-CN"/>
        </w:rPr>
      </w:pPr>
      <w:r>
        <w:rPr>
          <w:rFonts w:hint="eastAsia" w:asciiTheme="minorEastAsia" w:hAnsiTheme="minorEastAsia" w:eastAsiaTheme="minorEastAsia" w:cstheme="minorEastAsia"/>
          <w:spacing w:val="-6"/>
          <w:kern w:val="0"/>
          <w:sz w:val="24"/>
          <w:szCs w:val="24"/>
          <w:highlight w:val="none"/>
          <w:lang w:val="zh-CN" w:bidi="zh-CN"/>
        </w:rPr>
        <w:t>102-1</w:t>
      </w:r>
      <w:r>
        <w:rPr>
          <w:rFonts w:hint="eastAsia" w:asciiTheme="minorEastAsia" w:hAnsiTheme="minorEastAsia" w:eastAsiaTheme="minorEastAsia" w:cstheme="minorEastAsia"/>
          <w:spacing w:val="-6"/>
          <w:kern w:val="0"/>
          <w:sz w:val="24"/>
          <w:szCs w:val="24"/>
          <w:highlight w:val="none"/>
          <w:lang w:val="en-US" w:bidi="zh-CN"/>
        </w:rPr>
        <w:t xml:space="preserve"> </w:t>
      </w:r>
      <w:r>
        <w:rPr>
          <w:rFonts w:hint="eastAsia" w:asciiTheme="minorEastAsia" w:hAnsiTheme="minorEastAsia" w:eastAsiaTheme="minorEastAsia" w:cstheme="minorEastAsia"/>
          <w:spacing w:val="-6"/>
          <w:kern w:val="0"/>
          <w:sz w:val="24"/>
          <w:szCs w:val="24"/>
          <w:highlight w:val="none"/>
          <w:lang w:val="zh-CN" w:bidi="zh-CN"/>
        </w:rPr>
        <w:t>竣工文件：按交通运输部及喀什交通运输局规定的竣工文件和施工文件编制的有关规定，编制出 3 套完整合格的竣工文件；装订尺寸及方法符合档案管理的有关规定。竣工验收后支付此项费用的 90%，剩余部分在缺陷责任期满、应补齐的资料补齐后支付。</w:t>
      </w:r>
    </w:p>
    <w:p w14:paraId="627D2FE2">
      <w:pPr>
        <w:pageBreakBefore w:val="0"/>
        <w:tabs>
          <w:tab w:val="left" w:pos="1484"/>
        </w:tabs>
        <w:kinsoku/>
        <w:wordWrap/>
        <w:overflowPunct/>
        <w:topLinePunct w:val="0"/>
        <w:autoSpaceDE w:val="0"/>
        <w:autoSpaceDN w:val="0"/>
        <w:bidi w:val="0"/>
        <w:adjustRightInd/>
        <w:snapToGrid/>
        <w:spacing w:before="2" w:line="320" w:lineRule="exact"/>
        <w:ind w:right="462"/>
        <w:jc w:val="left"/>
        <w:textAlignment w:val="auto"/>
        <w:outlineLvl w:val="9"/>
        <w:rPr>
          <w:rFonts w:hint="eastAsia" w:asciiTheme="minorEastAsia" w:hAnsiTheme="minorEastAsia" w:eastAsiaTheme="minorEastAsia" w:cstheme="minorEastAsia"/>
          <w:spacing w:val="-11"/>
          <w:kern w:val="0"/>
          <w:sz w:val="24"/>
          <w:szCs w:val="24"/>
          <w:highlight w:val="none"/>
          <w:lang w:val="zh-CN" w:bidi="zh-CN"/>
        </w:rPr>
      </w:pPr>
      <w:r>
        <w:rPr>
          <w:rFonts w:hint="eastAsia" w:asciiTheme="minorEastAsia" w:hAnsiTheme="minorEastAsia" w:eastAsiaTheme="minorEastAsia" w:cstheme="minorEastAsia"/>
          <w:spacing w:val="-6"/>
          <w:kern w:val="0"/>
          <w:sz w:val="24"/>
          <w:szCs w:val="24"/>
          <w:highlight w:val="none"/>
          <w:lang w:val="zh-CN" w:bidi="zh-CN"/>
        </w:rPr>
        <w:t>102-2</w:t>
      </w:r>
      <w:r>
        <w:rPr>
          <w:rFonts w:hint="eastAsia" w:asciiTheme="minorEastAsia" w:hAnsiTheme="minorEastAsia" w:eastAsiaTheme="minorEastAsia" w:cstheme="minorEastAsia"/>
          <w:spacing w:val="-6"/>
          <w:kern w:val="0"/>
          <w:sz w:val="24"/>
          <w:szCs w:val="24"/>
          <w:highlight w:val="none"/>
          <w:lang w:val="en-US" w:bidi="zh-CN"/>
        </w:rPr>
        <w:t xml:space="preserve"> </w:t>
      </w:r>
      <w:r>
        <w:rPr>
          <w:rFonts w:hint="eastAsia" w:asciiTheme="minorEastAsia" w:hAnsiTheme="minorEastAsia" w:eastAsiaTheme="minorEastAsia" w:cstheme="minorEastAsia"/>
          <w:spacing w:val="-6"/>
          <w:kern w:val="0"/>
          <w:sz w:val="24"/>
          <w:szCs w:val="24"/>
          <w:highlight w:val="none"/>
          <w:lang w:val="zh-CN" w:bidi="zh-CN"/>
        </w:rPr>
        <w:t>施工环保费：施工过程中注意保护工程范围以外的土地植被、当地水源、灌溉渠道，污水排放达到国家规定标准；沥青混合料拌合场必须设置在离居民区、学校、医院 300m 以外的下风处；将扬尘、噪音控制在最低水平。工程开工后，监理人对承包人实施环保措施满意，支付此项费</w:t>
      </w:r>
      <w:r>
        <w:rPr>
          <w:rFonts w:hint="eastAsia" w:asciiTheme="minorEastAsia" w:hAnsiTheme="minorEastAsia" w:eastAsiaTheme="minorEastAsia" w:cstheme="minorEastAsia"/>
          <w:spacing w:val="-11"/>
          <w:kern w:val="0"/>
          <w:sz w:val="24"/>
          <w:szCs w:val="24"/>
          <w:highlight w:val="none"/>
          <w:lang w:val="zh-CN" w:bidi="zh-CN"/>
        </w:rPr>
        <w:t>用的 30%，工程交工验收时没有被投诉，支付剩余的 70%。如被罚款费用自负。</w:t>
      </w:r>
    </w:p>
    <w:p w14:paraId="555D86E9">
      <w:pPr>
        <w:pageBreakBefore w:val="0"/>
        <w:numPr>
          <w:ilvl w:val="1"/>
          <w:numId w:val="0"/>
        </w:numPr>
        <w:tabs>
          <w:tab w:val="left" w:pos="1484"/>
        </w:tabs>
        <w:kinsoku/>
        <w:wordWrap/>
        <w:overflowPunct/>
        <w:topLinePunct w:val="0"/>
        <w:autoSpaceDE w:val="0"/>
        <w:autoSpaceDN w:val="0"/>
        <w:bidi w:val="0"/>
        <w:adjustRightInd/>
        <w:snapToGrid/>
        <w:spacing w:before="2" w:line="320" w:lineRule="exact"/>
        <w:ind w:right="462" w:rightChars="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6"/>
          <w:kern w:val="0"/>
          <w:sz w:val="24"/>
          <w:szCs w:val="24"/>
          <w:highlight w:val="none"/>
          <w:lang w:val="en-US" w:bidi="zh-CN"/>
        </w:rPr>
        <w:t>103-1 临</w:t>
      </w:r>
      <w:r>
        <w:rPr>
          <w:rFonts w:hint="eastAsia" w:asciiTheme="minorEastAsia" w:hAnsiTheme="minorEastAsia" w:eastAsiaTheme="minorEastAsia" w:cstheme="minorEastAsia"/>
          <w:spacing w:val="-6"/>
          <w:kern w:val="0"/>
          <w:sz w:val="24"/>
          <w:szCs w:val="24"/>
          <w:highlight w:val="none"/>
          <w:lang w:val="zh-CN" w:bidi="zh-CN"/>
        </w:rPr>
        <w:t>时道路修建、养护与拆除</w:t>
      </w:r>
      <w:r>
        <w:rPr>
          <w:rFonts w:hint="eastAsia" w:asciiTheme="minorEastAsia" w:hAnsiTheme="minorEastAsia" w:eastAsiaTheme="minorEastAsia" w:cstheme="minorEastAsia"/>
          <w:kern w:val="0"/>
          <w:sz w:val="24"/>
          <w:szCs w:val="24"/>
          <w:highlight w:val="none"/>
          <w:lang w:val="zh-CN" w:bidi="zh-CN"/>
        </w:rPr>
        <w:t>（包括原道路的养护</w:t>
      </w:r>
      <w:r>
        <w:rPr>
          <w:rFonts w:hint="eastAsia" w:asciiTheme="minorEastAsia" w:hAnsiTheme="minorEastAsia" w:eastAsiaTheme="minorEastAsia" w:cstheme="minorEastAsia"/>
          <w:spacing w:val="-26"/>
          <w:kern w:val="0"/>
          <w:sz w:val="24"/>
          <w:szCs w:val="24"/>
          <w:highlight w:val="none"/>
          <w:lang w:val="zh-CN" w:bidi="zh-CN"/>
        </w:rPr>
        <w:t>）</w:t>
      </w:r>
      <w:r>
        <w:rPr>
          <w:rFonts w:hint="eastAsia" w:asciiTheme="minorEastAsia" w:hAnsiTheme="minorEastAsia" w:eastAsiaTheme="minorEastAsia" w:cstheme="minorEastAsia"/>
          <w:spacing w:val="-5"/>
          <w:kern w:val="0"/>
          <w:sz w:val="24"/>
          <w:szCs w:val="24"/>
          <w:highlight w:val="none"/>
          <w:lang w:val="zh-CN" w:bidi="zh-CN"/>
        </w:rPr>
        <w:t>：承包人根据需求和需要修建的社会交通便道和施工现场的临时道路，并设置必要的交通标志，临时道路</w:t>
      </w:r>
      <w:r>
        <w:rPr>
          <w:rFonts w:hint="eastAsia" w:asciiTheme="minorEastAsia" w:hAnsiTheme="minorEastAsia" w:eastAsiaTheme="minorEastAsia" w:cstheme="minorEastAsia"/>
          <w:kern w:val="0"/>
          <w:sz w:val="24"/>
          <w:szCs w:val="24"/>
          <w:highlight w:val="none"/>
          <w:lang w:val="zh-CN" w:bidi="zh-CN"/>
        </w:rPr>
        <w:t>（包括原有道路）应加强养护、降低扬尘。临时道路修建后经监理人签认后支付此项费用的 80%，交工后拆除恢复原地貌，工程交工验收后支付剩余的 20%。</w:t>
      </w:r>
    </w:p>
    <w:p w14:paraId="76370268">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临时工程用地：承包人根据现场考察和施工组织计划确定临时工程用地及费用。该项费用包含承包人生产、生活用地，施工中取土场、料场用地，临时及附属工作临时用地。经监理人签认后支付此项费用的 80%，交工后拆除恢复原地貌后，工程交工验收后支付剩余的 20%。</w:t>
      </w:r>
    </w:p>
    <w:p w14:paraId="14DD4C79">
      <w:pPr>
        <w:pageBreakBefore w:val="0"/>
        <w:numPr>
          <w:ilvl w:val="1"/>
          <w:numId w:val="0"/>
        </w:numPr>
        <w:tabs>
          <w:tab w:val="left" w:pos="1484"/>
        </w:tabs>
        <w:kinsoku/>
        <w:wordWrap/>
        <w:overflowPunct/>
        <w:topLinePunct w:val="0"/>
        <w:autoSpaceDE w:val="0"/>
        <w:autoSpaceDN w:val="0"/>
        <w:bidi w:val="0"/>
        <w:adjustRightInd/>
        <w:snapToGrid/>
        <w:spacing w:line="320" w:lineRule="exact"/>
        <w:ind w:right="466"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en-US" w:bidi="zh-CN"/>
        </w:rPr>
        <w:t xml:space="preserve">103-2 </w:t>
      </w:r>
      <w:r>
        <w:rPr>
          <w:rFonts w:hint="eastAsia" w:asciiTheme="minorEastAsia" w:hAnsiTheme="minorEastAsia" w:eastAsiaTheme="minorEastAsia" w:cstheme="minorEastAsia"/>
          <w:spacing w:val="-10"/>
          <w:kern w:val="0"/>
          <w:sz w:val="24"/>
          <w:szCs w:val="24"/>
          <w:highlight w:val="none"/>
          <w:lang w:val="zh-CN" w:bidi="zh-CN"/>
        </w:rPr>
        <w:t>临时供电设施架设、维护与拆除：开工报告批准的临时供电设施安装后支</w:t>
      </w:r>
      <w:r>
        <w:rPr>
          <w:rFonts w:hint="eastAsia" w:asciiTheme="minorEastAsia" w:hAnsiTheme="minorEastAsia" w:eastAsiaTheme="minorEastAsia" w:cstheme="minorEastAsia"/>
          <w:spacing w:val="-16"/>
          <w:kern w:val="0"/>
          <w:sz w:val="24"/>
          <w:szCs w:val="24"/>
          <w:highlight w:val="none"/>
          <w:lang w:val="zh-CN" w:bidi="zh-CN"/>
        </w:rPr>
        <w:t xml:space="preserve">付此项费用的 </w:t>
      </w:r>
      <w:r>
        <w:rPr>
          <w:rFonts w:hint="eastAsia" w:asciiTheme="minorEastAsia" w:hAnsiTheme="minorEastAsia" w:eastAsiaTheme="minorEastAsia" w:cstheme="minorEastAsia"/>
          <w:kern w:val="0"/>
          <w:sz w:val="24"/>
          <w:szCs w:val="24"/>
          <w:highlight w:val="none"/>
          <w:lang w:val="zh-CN" w:bidi="zh-CN"/>
        </w:rPr>
        <w:t>80%，交工后拆除所安装设备及系统恢复到工程实施前的状态，工程</w:t>
      </w:r>
      <w:r>
        <w:rPr>
          <w:rFonts w:hint="eastAsia" w:asciiTheme="minorEastAsia" w:hAnsiTheme="minorEastAsia" w:eastAsiaTheme="minorEastAsia" w:cstheme="minorEastAsia"/>
          <w:spacing w:val="-6"/>
          <w:kern w:val="0"/>
          <w:sz w:val="24"/>
          <w:szCs w:val="24"/>
          <w:highlight w:val="none"/>
          <w:lang w:val="zh-CN" w:bidi="zh-CN"/>
        </w:rPr>
        <w:t xml:space="preserve">交工验收后支付剩余的 </w:t>
      </w:r>
      <w:r>
        <w:rPr>
          <w:rFonts w:hint="eastAsia" w:asciiTheme="minorEastAsia" w:hAnsiTheme="minorEastAsia" w:eastAsiaTheme="minorEastAsia" w:cstheme="minorEastAsia"/>
          <w:kern w:val="0"/>
          <w:sz w:val="24"/>
          <w:szCs w:val="24"/>
          <w:highlight w:val="none"/>
          <w:lang w:val="zh-CN" w:bidi="zh-CN"/>
        </w:rPr>
        <w:t>20%。</w:t>
      </w:r>
    </w:p>
    <w:p w14:paraId="6A251CFA">
      <w:pPr>
        <w:pageBreakBefore w:val="0"/>
        <w:numPr>
          <w:ilvl w:val="1"/>
          <w:numId w:val="0"/>
        </w:numPr>
        <w:tabs>
          <w:tab w:val="left" w:pos="1484"/>
        </w:tabs>
        <w:kinsoku/>
        <w:wordWrap/>
        <w:overflowPunct/>
        <w:topLinePunct w:val="0"/>
        <w:autoSpaceDE w:val="0"/>
        <w:autoSpaceDN w:val="0"/>
        <w:bidi w:val="0"/>
        <w:adjustRightInd/>
        <w:snapToGrid/>
        <w:spacing w:before="3" w:line="320" w:lineRule="exact"/>
        <w:ind w:right="466"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1"/>
          <w:kern w:val="0"/>
          <w:sz w:val="24"/>
          <w:szCs w:val="24"/>
          <w:highlight w:val="none"/>
          <w:lang w:val="en-US" w:bidi="zh-CN"/>
        </w:rPr>
        <w:t xml:space="preserve">103-3 </w:t>
      </w:r>
      <w:r>
        <w:rPr>
          <w:rFonts w:hint="eastAsia" w:asciiTheme="minorEastAsia" w:hAnsiTheme="minorEastAsia" w:eastAsiaTheme="minorEastAsia" w:cstheme="minorEastAsia"/>
          <w:spacing w:val="-11"/>
          <w:kern w:val="0"/>
          <w:sz w:val="24"/>
          <w:szCs w:val="24"/>
          <w:highlight w:val="none"/>
          <w:lang w:val="zh-CN" w:bidi="zh-CN"/>
        </w:rPr>
        <w:t>电信设施的提供、维护与拆除：开工报告批准的临时电信设施安装后支付</w:t>
      </w:r>
      <w:r>
        <w:rPr>
          <w:rFonts w:hint="eastAsia" w:asciiTheme="minorEastAsia" w:hAnsiTheme="minorEastAsia" w:eastAsiaTheme="minorEastAsia" w:cstheme="minorEastAsia"/>
          <w:spacing w:val="-18"/>
          <w:kern w:val="0"/>
          <w:sz w:val="24"/>
          <w:szCs w:val="24"/>
          <w:highlight w:val="none"/>
          <w:lang w:val="zh-CN" w:bidi="zh-CN"/>
        </w:rPr>
        <w:t xml:space="preserve">此项费用的 </w:t>
      </w:r>
      <w:r>
        <w:rPr>
          <w:rFonts w:hint="eastAsia" w:asciiTheme="minorEastAsia" w:hAnsiTheme="minorEastAsia" w:eastAsiaTheme="minorEastAsia" w:cstheme="minorEastAsia"/>
          <w:kern w:val="0"/>
          <w:sz w:val="24"/>
          <w:szCs w:val="24"/>
          <w:highlight w:val="none"/>
          <w:lang w:val="zh-CN" w:bidi="zh-CN"/>
        </w:rPr>
        <w:t>80%，交工后拆除所安装设备及系统恢复到工程实施前的状态，工程交</w:t>
      </w:r>
      <w:r>
        <w:rPr>
          <w:rFonts w:hint="eastAsia" w:asciiTheme="minorEastAsia" w:hAnsiTheme="minorEastAsia" w:eastAsiaTheme="minorEastAsia" w:cstheme="minorEastAsia"/>
          <w:spacing w:val="-7"/>
          <w:kern w:val="0"/>
          <w:sz w:val="24"/>
          <w:szCs w:val="24"/>
          <w:highlight w:val="none"/>
          <w:lang w:val="zh-CN" w:bidi="zh-CN"/>
        </w:rPr>
        <w:t xml:space="preserve">工验收后支付剩余的 </w:t>
      </w:r>
      <w:r>
        <w:rPr>
          <w:rFonts w:hint="eastAsia" w:asciiTheme="minorEastAsia" w:hAnsiTheme="minorEastAsia" w:eastAsiaTheme="minorEastAsia" w:cstheme="minorEastAsia"/>
          <w:kern w:val="0"/>
          <w:sz w:val="24"/>
          <w:szCs w:val="24"/>
          <w:highlight w:val="none"/>
          <w:lang w:val="zh-CN" w:bidi="zh-CN"/>
        </w:rPr>
        <w:t>20%。</w:t>
      </w:r>
    </w:p>
    <w:p w14:paraId="5E319B3F">
      <w:pPr>
        <w:pageBreakBefore w:val="0"/>
        <w:numPr>
          <w:ilvl w:val="1"/>
          <w:numId w:val="0"/>
        </w:numPr>
        <w:tabs>
          <w:tab w:val="left" w:pos="1484"/>
        </w:tabs>
        <w:kinsoku/>
        <w:wordWrap/>
        <w:overflowPunct/>
        <w:topLinePunct w:val="0"/>
        <w:autoSpaceDE w:val="0"/>
        <w:autoSpaceDN w:val="0"/>
        <w:bidi w:val="0"/>
        <w:adjustRightInd/>
        <w:snapToGrid/>
        <w:spacing w:line="320" w:lineRule="exact"/>
        <w:ind w:right="466"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en-US" w:bidi="zh-CN"/>
        </w:rPr>
        <w:t xml:space="preserve">103-4 </w:t>
      </w:r>
      <w:r>
        <w:rPr>
          <w:rFonts w:hint="eastAsia" w:asciiTheme="minorEastAsia" w:hAnsiTheme="minorEastAsia" w:eastAsiaTheme="minorEastAsia" w:cstheme="minorEastAsia"/>
          <w:spacing w:val="-10"/>
          <w:kern w:val="0"/>
          <w:sz w:val="24"/>
          <w:szCs w:val="24"/>
          <w:highlight w:val="none"/>
          <w:lang w:val="zh-CN" w:bidi="zh-CN"/>
        </w:rPr>
        <w:t>临时供水与排污设施：供水与排污设施实施经监理人签认后支付此项费用</w:t>
      </w:r>
      <w:r>
        <w:rPr>
          <w:rFonts w:hint="eastAsia" w:asciiTheme="minorEastAsia" w:hAnsiTheme="minorEastAsia" w:eastAsiaTheme="minorEastAsia" w:cstheme="minorEastAsia"/>
          <w:spacing w:val="-31"/>
          <w:kern w:val="0"/>
          <w:sz w:val="24"/>
          <w:szCs w:val="24"/>
          <w:highlight w:val="none"/>
          <w:lang w:val="zh-CN" w:bidi="zh-CN"/>
        </w:rPr>
        <w:t xml:space="preserve">的 </w:t>
      </w:r>
      <w:r>
        <w:rPr>
          <w:rFonts w:hint="eastAsia" w:asciiTheme="minorEastAsia" w:hAnsiTheme="minorEastAsia" w:eastAsiaTheme="minorEastAsia" w:cstheme="minorEastAsia"/>
          <w:kern w:val="0"/>
          <w:sz w:val="24"/>
          <w:szCs w:val="24"/>
          <w:highlight w:val="none"/>
          <w:lang w:val="zh-CN" w:bidi="zh-CN"/>
        </w:rPr>
        <w:t>90%，交工后拆除其全部临时排污设施恢复到工程实施前的状态，工程交工验收</w:t>
      </w:r>
      <w:r>
        <w:rPr>
          <w:rFonts w:hint="eastAsia" w:asciiTheme="minorEastAsia" w:hAnsiTheme="minorEastAsia" w:eastAsiaTheme="minorEastAsia" w:cstheme="minorEastAsia"/>
          <w:spacing w:val="-9"/>
          <w:kern w:val="0"/>
          <w:sz w:val="24"/>
          <w:szCs w:val="24"/>
          <w:highlight w:val="none"/>
          <w:lang w:val="zh-CN" w:bidi="zh-CN"/>
        </w:rPr>
        <w:t xml:space="preserve">后支付剩余的 </w:t>
      </w:r>
      <w:r>
        <w:rPr>
          <w:rFonts w:hint="eastAsia" w:asciiTheme="minorEastAsia" w:hAnsiTheme="minorEastAsia" w:eastAsiaTheme="minorEastAsia" w:cstheme="minorEastAsia"/>
          <w:kern w:val="0"/>
          <w:sz w:val="24"/>
          <w:szCs w:val="24"/>
          <w:highlight w:val="none"/>
          <w:lang w:val="zh-CN" w:bidi="zh-CN"/>
        </w:rPr>
        <w:t>10%。</w:t>
      </w:r>
    </w:p>
    <w:p w14:paraId="3CAD18F7">
      <w:pPr>
        <w:pageBreakBefore w:val="0"/>
        <w:kinsoku/>
        <w:wordWrap/>
        <w:overflowPunct/>
        <w:topLinePunct w:val="0"/>
        <w:autoSpaceDE w:val="0"/>
        <w:autoSpaceDN w:val="0"/>
        <w:bidi w:val="0"/>
        <w:adjustRightInd/>
        <w:snapToGrid/>
        <w:spacing w:before="2"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 xml:space="preserve">104-1 </w:t>
      </w:r>
      <w:r>
        <w:rPr>
          <w:rFonts w:hint="eastAsia" w:asciiTheme="minorEastAsia" w:hAnsiTheme="minorEastAsia" w:eastAsiaTheme="minorEastAsia" w:cstheme="minorEastAsia"/>
          <w:spacing w:val="-10"/>
          <w:kern w:val="0"/>
          <w:sz w:val="24"/>
          <w:szCs w:val="24"/>
          <w:highlight w:val="none"/>
          <w:lang w:val="zh-CN" w:bidi="zh-CN"/>
        </w:rPr>
        <w:t>承包人驻地建设：驻地建设完成、开工报告批准、工地试验室制备齐全后</w:t>
      </w:r>
      <w:r>
        <w:rPr>
          <w:rFonts w:hint="eastAsia" w:asciiTheme="minorEastAsia" w:hAnsiTheme="minorEastAsia" w:eastAsiaTheme="minorEastAsia" w:cstheme="minorEastAsia"/>
          <w:spacing w:val="-15"/>
          <w:kern w:val="0"/>
          <w:sz w:val="24"/>
          <w:szCs w:val="24"/>
          <w:highlight w:val="none"/>
          <w:lang w:val="zh-CN" w:bidi="zh-CN"/>
        </w:rPr>
        <w:t xml:space="preserve">支付此项费用的 </w:t>
      </w:r>
      <w:r>
        <w:rPr>
          <w:rFonts w:hint="eastAsia" w:asciiTheme="minorEastAsia" w:hAnsiTheme="minorEastAsia" w:eastAsiaTheme="minorEastAsia" w:cstheme="minorEastAsia"/>
          <w:kern w:val="0"/>
          <w:sz w:val="24"/>
          <w:szCs w:val="24"/>
          <w:highlight w:val="none"/>
          <w:lang w:val="zh-CN" w:bidi="zh-CN"/>
        </w:rPr>
        <w:t>90%，按照合同或协议将驻地移走、清除、恢复原貌后，工程交工</w:t>
      </w:r>
      <w:r>
        <w:rPr>
          <w:rFonts w:hint="eastAsia" w:asciiTheme="minorEastAsia" w:hAnsiTheme="minorEastAsia" w:eastAsiaTheme="minorEastAsia" w:cstheme="minorEastAsia"/>
          <w:spacing w:val="-7"/>
          <w:kern w:val="0"/>
          <w:sz w:val="24"/>
          <w:szCs w:val="24"/>
          <w:highlight w:val="none"/>
          <w:lang w:val="zh-CN" w:bidi="zh-CN"/>
        </w:rPr>
        <w:t xml:space="preserve">验收后支付剩余的 </w:t>
      </w:r>
      <w:r>
        <w:rPr>
          <w:rFonts w:hint="eastAsia" w:asciiTheme="minorEastAsia" w:hAnsiTheme="minorEastAsia" w:eastAsiaTheme="minorEastAsia" w:cstheme="minorEastAsia"/>
          <w:kern w:val="0"/>
          <w:sz w:val="24"/>
          <w:szCs w:val="24"/>
          <w:highlight w:val="none"/>
          <w:lang w:val="zh-CN" w:bidi="zh-CN"/>
        </w:rPr>
        <w:t>10%。</w:t>
      </w:r>
    </w:p>
    <w:p w14:paraId="4FEC2944">
      <w:pPr>
        <w:pageBreakBefore w:val="0"/>
        <w:kinsoku/>
        <w:wordWrap/>
        <w:overflowPunct/>
        <w:topLinePunct w:val="0"/>
        <w:autoSpaceDE w:val="0"/>
        <w:autoSpaceDN w:val="0"/>
        <w:bidi w:val="0"/>
        <w:adjustRightInd/>
        <w:snapToGrid/>
        <w:spacing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 xml:space="preserve">105-1 </w:t>
      </w:r>
      <w:r>
        <w:rPr>
          <w:rFonts w:hint="eastAsia" w:asciiTheme="minorEastAsia" w:hAnsiTheme="minorEastAsia" w:eastAsiaTheme="minorEastAsia" w:cstheme="minorEastAsia"/>
          <w:spacing w:val="-11"/>
          <w:kern w:val="0"/>
          <w:sz w:val="24"/>
          <w:szCs w:val="24"/>
          <w:highlight w:val="none"/>
          <w:lang w:val="zh-CN" w:bidi="zh-CN"/>
        </w:rPr>
        <w:t>安全生产费：施工安全设施费用及与此有关的一切作业经监理人对工程安</w:t>
      </w:r>
      <w:r>
        <w:rPr>
          <w:rFonts w:hint="eastAsia" w:asciiTheme="minorEastAsia" w:hAnsiTheme="minorEastAsia" w:eastAsiaTheme="minorEastAsia" w:cstheme="minorEastAsia"/>
          <w:spacing w:val="-13"/>
          <w:kern w:val="0"/>
          <w:sz w:val="24"/>
          <w:szCs w:val="24"/>
          <w:highlight w:val="none"/>
          <w:lang w:val="zh-CN" w:bidi="zh-CN"/>
        </w:rPr>
        <w:t xml:space="preserve">全生产情况检查达到安全合格标准后，以总额的 </w:t>
      </w:r>
      <w:r>
        <w:rPr>
          <w:rFonts w:hint="eastAsia" w:asciiTheme="minorEastAsia" w:hAnsiTheme="minorEastAsia" w:eastAsiaTheme="minorEastAsia" w:cstheme="minorEastAsia"/>
          <w:kern w:val="0"/>
          <w:sz w:val="24"/>
          <w:szCs w:val="24"/>
          <w:highlight w:val="none"/>
          <w:lang w:val="zh-CN" w:bidi="zh-CN"/>
        </w:rPr>
        <w:t>90%按月（合同工期）平均分次支</w:t>
      </w:r>
      <w:r>
        <w:rPr>
          <w:rFonts w:hint="eastAsia" w:asciiTheme="minorEastAsia" w:hAnsiTheme="minorEastAsia" w:eastAsiaTheme="minorEastAsia" w:cstheme="minorEastAsia"/>
          <w:spacing w:val="-3"/>
          <w:kern w:val="0"/>
          <w:sz w:val="24"/>
          <w:szCs w:val="24"/>
          <w:highlight w:val="none"/>
          <w:lang w:val="zh-CN" w:bidi="zh-CN"/>
        </w:rPr>
        <w:t xml:space="preserve">付。交工验收后经监理人同意后支付剩余的 </w:t>
      </w:r>
      <w:r>
        <w:rPr>
          <w:rFonts w:hint="eastAsia" w:asciiTheme="minorEastAsia" w:hAnsiTheme="minorEastAsia" w:eastAsiaTheme="minorEastAsia" w:cstheme="minorEastAsia"/>
          <w:kern w:val="0"/>
          <w:sz w:val="24"/>
          <w:szCs w:val="24"/>
          <w:highlight w:val="none"/>
          <w:lang w:val="zh-CN" w:bidi="zh-CN"/>
        </w:rPr>
        <w:t>10%。如承包人在此基础上增加安全生产费用以满足项目施工需要，则承包人应在本项目工程量清单其他相关子目的单价或总额价中予以考虑，发包人不再另行支付。</w:t>
      </w:r>
    </w:p>
    <w:p w14:paraId="4655E372">
      <w:pPr>
        <w:pageBreakBefore w:val="0"/>
        <w:tabs>
          <w:tab w:val="left" w:pos="1529"/>
        </w:tabs>
        <w:kinsoku/>
        <w:wordWrap/>
        <w:overflowPunct/>
        <w:topLinePunct w:val="0"/>
        <w:autoSpaceDE w:val="0"/>
        <w:autoSpaceDN w:val="0"/>
        <w:bidi w:val="0"/>
        <w:adjustRightInd/>
        <w:snapToGrid/>
        <w:spacing w:line="320" w:lineRule="exact"/>
        <w:ind w:right="467"/>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18.2对承包人超出设计图纸范围和因承包人原因造成返工的工程量，不予计量。</w:t>
      </w:r>
    </w:p>
    <w:p w14:paraId="5DEE7917">
      <w:pPr>
        <w:pageBreakBefore w:val="0"/>
        <w:tabs>
          <w:tab w:val="left" w:pos="1523"/>
          <w:tab w:val="left" w:pos="1524"/>
        </w:tabs>
        <w:kinsoku/>
        <w:wordWrap/>
        <w:overflowPunct/>
        <w:topLinePunct w:val="0"/>
        <w:autoSpaceDE w:val="0"/>
        <w:autoSpaceDN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18.3月支付：</w:t>
      </w:r>
    </w:p>
    <w:p w14:paraId="4BABA228">
      <w:pPr>
        <w:pageBreakBefore w:val="0"/>
        <w:kinsoku/>
        <w:wordWrap/>
        <w:overflowPunct/>
        <w:topLinePunct w:val="0"/>
        <w:autoSpaceDE w:val="0"/>
        <w:autoSpaceDN w:val="0"/>
        <w:bidi w:val="0"/>
        <w:adjustRightInd/>
        <w:snapToGrid/>
        <w:spacing w:before="84"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（1）承包人应在每月 25 日前向监理人提交由其项目经理签署的按《工程进度计量报表》格式填写月结账单一式 6 份；</w:t>
      </w:r>
    </w:p>
    <w:p w14:paraId="20BE4B8D">
      <w:pPr>
        <w:pageBreakBefore w:val="0"/>
        <w:kinsoku/>
        <w:wordWrap/>
        <w:overflowPunct/>
        <w:topLinePunct w:val="0"/>
        <w:autoSpaceDE w:val="0"/>
        <w:autoSpaceDN w:val="0"/>
        <w:bidi w:val="0"/>
        <w:adjustRightInd/>
        <w:snapToGrid/>
        <w:spacing w:before="84"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（2）监理人在收到月结账单后 7 天内签发中期支付证书，签发时应写明其认为应该到期结算的价款及需要扣留和扣回的款额并报发包人审批；</w:t>
      </w:r>
    </w:p>
    <w:p w14:paraId="64426F87">
      <w:pPr>
        <w:pageBreakBefore w:val="0"/>
        <w:kinsoku/>
        <w:wordWrap/>
        <w:overflowPunct/>
        <w:topLinePunct w:val="0"/>
        <w:autoSpaceDE w:val="0"/>
        <w:autoSpaceDN w:val="0"/>
        <w:bidi w:val="0"/>
        <w:adjustRightInd/>
        <w:snapToGrid/>
        <w:spacing w:before="3"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w:t>
      </w:r>
      <w:r>
        <w:rPr>
          <w:rFonts w:hint="eastAsia" w:asciiTheme="minorEastAsia" w:hAnsiTheme="minorEastAsia" w:eastAsiaTheme="minorEastAsia" w:cstheme="minorEastAsia"/>
          <w:spacing w:val="-3"/>
          <w:kern w:val="0"/>
          <w:sz w:val="24"/>
          <w:szCs w:val="24"/>
          <w:highlight w:val="none"/>
          <w:lang w:val="zh-CN" w:bidi="zh-CN"/>
        </w:rPr>
        <w:t xml:space="preserve">发包人应在收到该中期支付证书后 </w:t>
      </w:r>
      <w:r>
        <w:rPr>
          <w:rFonts w:hint="eastAsia" w:asciiTheme="minorEastAsia" w:hAnsiTheme="minorEastAsia" w:eastAsiaTheme="minorEastAsia" w:cstheme="minorEastAsia"/>
          <w:kern w:val="0"/>
          <w:sz w:val="24"/>
          <w:szCs w:val="24"/>
          <w:highlight w:val="none"/>
          <w:lang w:val="zh-CN" w:bidi="zh-CN"/>
        </w:rPr>
        <w:t>14</w:t>
      </w:r>
      <w:r>
        <w:rPr>
          <w:rFonts w:hint="eastAsia" w:asciiTheme="minorEastAsia" w:hAnsiTheme="minorEastAsia" w:eastAsiaTheme="minorEastAsia" w:cstheme="minorEastAsia"/>
          <w:spacing w:val="13"/>
          <w:kern w:val="0"/>
          <w:sz w:val="24"/>
          <w:szCs w:val="24"/>
          <w:highlight w:val="none"/>
          <w:lang w:val="zh-CN" w:bidi="zh-CN"/>
        </w:rPr>
        <w:t xml:space="preserve"> </w:t>
      </w:r>
      <w:r>
        <w:rPr>
          <w:rFonts w:hint="eastAsia" w:asciiTheme="minorEastAsia" w:hAnsiTheme="minorEastAsia" w:eastAsiaTheme="minorEastAsia" w:cstheme="minorEastAsia"/>
          <w:kern w:val="0"/>
          <w:sz w:val="24"/>
          <w:szCs w:val="24"/>
          <w:highlight w:val="none"/>
          <w:lang w:val="zh-CN" w:bidi="zh-CN"/>
        </w:rPr>
        <w:t>天内支付给承包人。如果发包人在</w:t>
      </w:r>
      <w:r>
        <w:rPr>
          <w:rFonts w:hint="eastAsia" w:asciiTheme="minorEastAsia" w:hAnsiTheme="minorEastAsia" w:eastAsiaTheme="minorEastAsia" w:cstheme="minorEastAsia"/>
          <w:spacing w:val="-2"/>
          <w:kern w:val="0"/>
          <w:sz w:val="24"/>
          <w:szCs w:val="24"/>
          <w:highlight w:val="none"/>
          <w:lang w:val="zh-CN" w:bidi="zh-CN"/>
        </w:rPr>
        <w:t xml:space="preserve">上述期限内未能付款，发包人应按全国银行间同业拆借中心公布的 </w:t>
      </w:r>
      <w:r>
        <w:rPr>
          <w:rFonts w:hint="eastAsia" w:asciiTheme="minorEastAsia" w:hAnsiTheme="minorEastAsia" w:eastAsiaTheme="minorEastAsia" w:cstheme="minorEastAsia"/>
          <w:kern w:val="0"/>
          <w:sz w:val="24"/>
          <w:szCs w:val="24"/>
          <w:highlight w:val="none"/>
          <w:lang w:val="zh-CN" w:bidi="zh-CN"/>
        </w:rPr>
        <w:t>1</w:t>
      </w:r>
      <w:r>
        <w:rPr>
          <w:rFonts w:hint="eastAsia" w:asciiTheme="minorEastAsia" w:hAnsiTheme="minorEastAsia" w:eastAsiaTheme="minorEastAsia" w:cstheme="minorEastAsia"/>
          <w:spacing w:val="11"/>
          <w:kern w:val="0"/>
          <w:sz w:val="24"/>
          <w:szCs w:val="24"/>
          <w:highlight w:val="none"/>
          <w:lang w:val="zh-CN" w:bidi="zh-CN"/>
        </w:rPr>
        <w:t xml:space="preserve"> </w:t>
      </w:r>
      <w:r>
        <w:rPr>
          <w:rFonts w:hint="eastAsia" w:asciiTheme="minorEastAsia" w:hAnsiTheme="minorEastAsia" w:eastAsiaTheme="minorEastAsia" w:cstheme="minorEastAsia"/>
          <w:kern w:val="0"/>
          <w:sz w:val="24"/>
          <w:szCs w:val="24"/>
          <w:highlight w:val="none"/>
          <w:lang w:val="zh-CN" w:bidi="zh-CN"/>
        </w:rPr>
        <w:t>年期贷款市场报价利率向承包人支付未付款额的利息，付息时间从应付而未付该款额之日算起。</w:t>
      </w:r>
    </w:p>
    <w:p w14:paraId="4F9A6ABC">
      <w:pPr>
        <w:pageBreakBefore w:val="0"/>
        <w:tabs>
          <w:tab w:val="left" w:pos="1524"/>
        </w:tabs>
        <w:kinsoku/>
        <w:wordWrap/>
        <w:overflowPunct/>
        <w:topLinePunct w:val="0"/>
        <w:autoSpaceDE w:val="0"/>
        <w:autoSpaceDN w:val="0"/>
        <w:bidi w:val="0"/>
        <w:adjustRightInd/>
        <w:snapToGrid/>
        <w:spacing w:before="4"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5"/>
          <w:kern w:val="0"/>
          <w:sz w:val="24"/>
          <w:szCs w:val="24"/>
          <w:highlight w:val="none"/>
          <w:lang w:val="zh-CN" w:bidi="zh-CN"/>
        </w:rPr>
        <w:t xml:space="preserve">18.4在合同工程交工证书签发后 </w:t>
      </w:r>
      <w:r>
        <w:rPr>
          <w:rFonts w:hint="eastAsia" w:asciiTheme="minorEastAsia" w:hAnsiTheme="minorEastAsia" w:eastAsiaTheme="minorEastAsia" w:cstheme="minorEastAsia"/>
          <w:kern w:val="0"/>
          <w:sz w:val="24"/>
          <w:szCs w:val="24"/>
          <w:highlight w:val="none"/>
          <w:lang w:val="zh-CN" w:bidi="zh-CN"/>
        </w:rPr>
        <w:t xml:space="preserve">42 </w:t>
      </w:r>
      <w:r>
        <w:rPr>
          <w:rFonts w:hint="eastAsia" w:asciiTheme="minorEastAsia" w:hAnsiTheme="minorEastAsia" w:eastAsiaTheme="minorEastAsia" w:cstheme="minorEastAsia"/>
          <w:spacing w:val="-5"/>
          <w:kern w:val="0"/>
          <w:sz w:val="24"/>
          <w:szCs w:val="24"/>
          <w:highlight w:val="none"/>
          <w:lang w:val="zh-CN" w:bidi="zh-CN"/>
        </w:rPr>
        <w:t>天之内，承包人应向监理人提交一份交工结算单，并附上详细文件，表明：</w:t>
      </w:r>
    </w:p>
    <w:p w14:paraId="250B0628">
      <w:pPr>
        <w:pageBreakBefore w:val="0"/>
        <w:kinsoku/>
        <w:wordWrap/>
        <w:overflowPunct/>
        <w:topLinePunct w:val="0"/>
        <w:autoSpaceDE w:val="0"/>
        <w:autoSpaceDN w:val="0"/>
        <w:bidi w:val="0"/>
        <w:adjustRightInd/>
        <w:snapToGrid/>
        <w:spacing w:before="1"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（1）按交工证书中写明的交工日期，完成的合同全部工程的最终价值；</w:t>
      </w:r>
    </w:p>
    <w:p w14:paraId="40D58793">
      <w:pPr>
        <w:pageBreakBefore w:val="0"/>
        <w:kinsoku/>
        <w:wordWrap/>
        <w:overflowPunct/>
        <w:topLinePunct w:val="0"/>
        <w:autoSpaceDE w:val="0"/>
        <w:autoSpaceDN w:val="0"/>
        <w:bidi w:val="0"/>
        <w:adjustRightInd/>
        <w:snapToGrid/>
        <w:spacing w:before="1"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（2）承包人认为应支付的其他款项。</w:t>
      </w:r>
    </w:p>
    <w:p w14:paraId="67DCA9EE">
      <w:pPr>
        <w:pageBreakBefore w:val="0"/>
        <w:tabs>
          <w:tab w:val="left" w:pos="1523"/>
          <w:tab w:val="left" w:pos="1524"/>
        </w:tabs>
        <w:kinsoku/>
        <w:wordWrap/>
        <w:overflowPunct/>
        <w:topLinePunct w:val="0"/>
        <w:autoSpaceDE w:val="0"/>
        <w:autoSpaceDN w:val="0"/>
        <w:bidi w:val="0"/>
        <w:adjustRightInd/>
        <w:snapToGrid/>
        <w:spacing w:before="84" w:line="320" w:lineRule="exact"/>
        <w:ind w:right="34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8"/>
          <w:kern w:val="0"/>
          <w:sz w:val="24"/>
          <w:szCs w:val="24"/>
          <w:highlight w:val="none"/>
          <w:lang w:val="zh-CN" w:bidi="zh-CN"/>
        </w:rPr>
        <w:t xml:space="preserve">18.5在缺陷责任期满的 </w:t>
      </w:r>
      <w:r>
        <w:rPr>
          <w:rFonts w:hint="eastAsia" w:asciiTheme="minorEastAsia" w:hAnsiTheme="minorEastAsia" w:eastAsiaTheme="minorEastAsia" w:cstheme="minorEastAsia"/>
          <w:kern w:val="0"/>
          <w:sz w:val="24"/>
          <w:szCs w:val="24"/>
          <w:highlight w:val="none"/>
          <w:lang w:val="zh-CN" w:bidi="zh-CN"/>
        </w:rPr>
        <w:t>14</w:t>
      </w:r>
      <w:r>
        <w:rPr>
          <w:rFonts w:hint="eastAsia" w:asciiTheme="minorEastAsia" w:hAnsiTheme="minorEastAsia" w:eastAsiaTheme="minorEastAsia" w:cstheme="minorEastAsia"/>
          <w:spacing w:val="-12"/>
          <w:kern w:val="0"/>
          <w:sz w:val="24"/>
          <w:szCs w:val="24"/>
          <w:highlight w:val="none"/>
          <w:lang w:val="zh-CN" w:bidi="zh-CN"/>
        </w:rPr>
        <w:t xml:space="preserve"> 天内，承包人应向监理人提交一份最后结账单草案， 并附上详细的证明文件，供监理人考虑，表明：</w:t>
      </w:r>
      <w:r>
        <w:rPr>
          <w:rFonts w:hint="eastAsia" w:asciiTheme="minorEastAsia" w:hAnsiTheme="minorEastAsia" w:eastAsiaTheme="minorEastAsia" w:cstheme="minorEastAsia"/>
          <w:kern w:val="0"/>
          <w:sz w:val="24"/>
          <w:szCs w:val="24"/>
          <w:highlight w:val="none"/>
          <w:lang w:val="zh-CN" w:bidi="zh-CN"/>
        </w:rPr>
        <w:t xml:space="preserve"> </w:t>
      </w:r>
    </w:p>
    <w:p w14:paraId="3FF1BE70">
      <w:pPr>
        <w:pageBreakBefore w:val="0"/>
        <w:kinsoku/>
        <w:wordWrap/>
        <w:overflowPunct/>
        <w:topLinePunct w:val="0"/>
        <w:autoSpaceDE w:val="0"/>
        <w:autoSpaceDN w:val="0"/>
        <w:bidi w:val="0"/>
        <w:adjustRightInd/>
        <w:snapToGrid/>
        <w:spacing w:before="1"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（1）根据合同规定已经完成的全部工程价值；</w:t>
      </w:r>
    </w:p>
    <w:p w14:paraId="0328A729">
      <w:pPr>
        <w:pageBreakBefore w:val="0"/>
        <w:kinsoku/>
        <w:wordWrap/>
        <w:overflowPunct/>
        <w:topLinePunct w:val="0"/>
        <w:autoSpaceDE w:val="0"/>
        <w:autoSpaceDN w:val="0"/>
        <w:bidi w:val="0"/>
        <w:adjustRightInd/>
        <w:snapToGrid/>
        <w:spacing w:before="1"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（2）承包人根据合同规定认为应该支付的任何其他的款项。</w:t>
      </w:r>
    </w:p>
    <w:p w14:paraId="58F0D31A">
      <w:pPr>
        <w:pageBreakBefore w:val="0"/>
        <w:tabs>
          <w:tab w:val="left" w:pos="1529"/>
        </w:tabs>
        <w:kinsoku/>
        <w:wordWrap/>
        <w:overflowPunct/>
        <w:topLinePunct w:val="0"/>
        <w:autoSpaceDE w:val="0"/>
        <w:autoSpaceDN w:val="0"/>
        <w:bidi w:val="0"/>
        <w:adjustRightInd/>
        <w:snapToGrid/>
        <w:spacing w:before="86" w:line="320" w:lineRule="exact"/>
        <w:ind w:right="467"/>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18.6在提交最后结账单的同时，承包人应给发包人一份书面清账书并抄送监理人，确认最后结账单中的总额作为应付给承包人的全部款项的最后结算。</w:t>
      </w:r>
    </w:p>
    <w:p w14:paraId="422AF8E8">
      <w:pPr>
        <w:pageBreakBefore w:val="0"/>
        <w:kinsoku/>
        <w:wordWrap/>
        <w:overflowPunct/>
        <w:topLinePunct w:val="0"/>
        <w:autoSpaceDE w:val="0"/>
        <w:autoSpaceDN w:val="0"/>
        <w:bidi w:val="0"/>
        <w:adjustRightInd/>
        <w:snapToGrid/>
        <w:spacing w:before="1" w:line="320" w:lineRule="exact"/>
        <w:ind w:left="384" w:right="465" w:firstLine="456"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6"/>
          <w:kern w:val="0"/>
          <w:sz w:val="24"/>
          <w:szCs w:val="24"/>
          <w:highlight w:val="none"/>
          <w:lang w:val="zh-CN" w:bidi="zh-CN"/>
        </w:rPr>
        <w:t xml:space="preserve">在最后结账单收到 </w:t>
      </w:r>
      <w:r>
        <w:rPr>
          <w:rFonts w:hint="eastAsia" w:asciiTheme="minorEastAsia" w:hAnsiTheme="minorEastAsia" w:eastAsiaTheme="minorEastAsia" w:cstheme="minorEastAsia"/>
          <w:kern w:val="0"/>
          <w:sz w:val="24"/>
          <w:szCs w:val="24"/>
          <w:highlight w:val="none"/>
          <w:lang w:val="zh-CN" w:bidi="zh-CN"/>
        </w:rPr>
        <w:t>7 天内，监理人应该签发一份最后支付证书报发包人批准， 并抄送承包人，说明：</w:t>
      </w:r>
    </w:p>
    <w:p w14:paraId="5CC7E4EB">
      <w:pPr>
        <w:pageBreakBefore w:val="0"/>
        <w:kinsoku/>
        <w:wordWrap/>
        <w:overflowPunct/>
        <w:topLinePunct w:val="0"/>
        <w:autoSpaceDE w:val="0"/>
        <w:autoSpaceDN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（1）根据合同规定的最后应付的款额；</w:t>
      </w:r>
    </w:p>
    <w:p w14:paraId="4904F4CF">
      <w:pPr>
        <w:pageBreakBefore w:val="0"/>
        <w:kinsoku/>
        <w:wordWrap/>
        <w:overflowPunct/>
        <w:topLinePunct w:val="0"/>
        <w:autoSpaceDE w:val="0"/>
        <w:autoSpaceDN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（2）在对发包人以前所付的全部款额和发包人根据合同规定应得的全部款项予以确认后，发包人欠承包人或承包人欠发包人的差额；</w:t>
      </w:r>
    </w:p>
    <w:p w14:paraId="2A9432DC">
      <w:pPr>
        <w:pageBreakBefore w:val="0"/>
        <w:kinsoku/>
        <w:wordWrap/>
        <w:overflowPunct/>
        <w:topLinePunct w:val="0"/>
        <w:autoSpaceDE w:val="0"/>
        <w:autoSpaceDN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工程进度付款的修正，在对以往历次已签发的进度付款证书进行汇总和审核中发现错、漏或重复的，监理人有权修正，承包人也有权提出修正申请。经双方复核同意的修正，应在本次进度付款中支付或扣除。</w:t>
      </w:r>
    </w:p>
    <w:p w14:paraId="46E5F0FC">
      <w:pPr>
        <w:pageBreakBefore w:val="0"/>
        <w:tabs>
          <w:tab w:val="left" w:pos="1523"/>
          <w:tab w:val="left" w:pos="1524"/>
        </w:tabs>
        <w:kinsoku/>
        <w:wordWrap/>
        <w:overflowPunct/>
        <w:topLinePunct w:val="0"/>
        <w:autoSpaceDE w:val="0"/>
        <w:autoSpaceDN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18.7质量保证金</w:t>
      </w:r>
    </w:p>
    <w:p w14:paraId="654FE4DB">
      <w:pPr>
        <w:pageBreakBefore w:val="0"/>
        <w:kinsoku/>
        <w:wordWrap/>
        <w:overflowPunct/>
        <w:topLinePunct w:val="0"/>
        <w:autoSpaceDE w:val="0"/>
        <w:autoSpaceDN w:val="0"/>
        <w:bidi w:val="0"/>
        <w:adjustRightInd/>
        <w:snapToGrid/>
        <w:spacing w:before="81" w:line="320" w:lineRule="exact"/>
        <w:ind w:right="465"/>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w:t>
      </w:r>
      <w:r>
        <w:rPr>
          <w:rFonts w:hint="eastAsia" w:asciiTheme="minorEastAsia" w:hAnsiTheme="minorEastAsia" w:eastAsiaTheme="minorEastAsia" w:cstheme="minorEastAsia"/>
          <w:spacing w:val="-5"/>
          <w:kern w:val="0"/>
          <w:sz w:val="24"/>
          <w:szCs w:val="24"/>
          <w:highlight w:val="none"/>
          <w:lang w:val="zh-CN" w:bidi="zh-CN"/>
        </w:rPr>
        <w:t xml:space="preserve">交工验收证书签发后 </w:t>
      </w:r>
      <w:r>
        <w:rPr>
          <w:rFonts w:hint="eastAsia" w:asciiTheme="minorEastAsia" w:hAnsiTheme="minorEastAsia" w:eastAsiaTheme="minorEastAsia" w:cstheme="minorEastAsia"/>
          <w:kern w:val="0"/>
          <w:sz w:val="24"/>
          <w:szCs w:val="24"/>
          <w:highlight w:val="none"/>
          <w:lang w:val="zh-CN" w:bidi="zh-CN"/>
        </w:rPr>
        <w:t>14 天内，承包人应向发包人缴纳质量保证金。质量保证金可采用 保函或现金、支票形式，金额应符合项目专用合同条款数据表的规定。采用 保函时，出具保函的银行须具有相应担保能力，且按照发包人批准的格式出具，所需费用由承包人承担。</w:t>
      </w:r>
    </w:p>
    <w:p w14:paraId="1AEF6996">
      <w:pPr>
        <w:pageBreakBefore w:val="0"/>
        <w:kinsoku/>
        <w:wordWrap/>
        <w:overflowPunct/>
        <w:topLinePunct w:val="0"/>
        <w:autoSpaceDE w:val="0"/>
        <w:autoSpaceDN w:val="0"/>
        <w:bidi w:val="0"/>
        <w:adjustRightInd/>
        <w:snapToGrid/>
        <w:spacing w:before="8" w:line="320" w:lineRule="exact"/>
        <w:ind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质量保证金采用现金、支票形式提交的，发包人应在项目专用合同条款数据表中明确是否计付利息以及利息的计算方式。</w:t>
      </w:r>
    </w:p>
    <w:p w14:paraId="1F725CF7">
      <w:pPr>
        <w:pageBreakBefore w:val="0"/>
        <w:kinsoku/>
        <w:wordWrap/>
        <w:overflowPunct/>
        <w:topLinePunct w:val="0"/>
        <w:autoSpaceDE w:val="0"/>
        <w:autoSpaceDN w:val="0"/>
        <w:bidi w:val="0"/>
        <w:adjustRightInd/>
        <w:snapToGrid/>
        <w:spacing w:before="1"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（2）</w:t>
      </w:r>
      <w:r>
        <w:rPr>
          <w:rFonts w:hint="eastAsia" w:asciiTheme="minorEastAsia" w:hAnsiTheme="minorEastAsia" w:eastAsiaTheme="minorEastAsia" w:cstheme="minorEastAsia"/>
          <w:spacing w:val="-5"/>
          <w:kern w:val="0"/>
          <w:sz w:val="24"/>
          <w:szCs w:val="24"/>
          <w:highlight w:val="none"/>
          <w:lang w:val="zh-CN" w:bidi="zh-CN"/>
        </w:rPr>
        <w:t>在缺陷责任期满，且质量监督机构已按规定对工程质量检测鉴定合格，承</w:t>
      </w:r>
      <w:r>
        <w:rPr>
          <w:rFonts w:hint="eastAsia" w:asciiTheme="minorEastAsia" w:hAnsiTheme="minorEastAsia" w:eastAsiaTheme="minorEastAsia" w:cstheme="minorEastAsia"/>
          <w:spacing w:val="-10"/>
          <w:kern w:val="0"/>
          <w:sz w:val="24"/>
          <w:szCs w:val="24"/>
          <w:highlight w:val="none"/>
          <w:lang w:val="zh-CN" w:bidi="zh-CN"/>
        </w:rPr>
        <w:t xml:space="preserve">包人向发包人申请到期应返还承包人剩余的质量保证金金额，发包人应在 </w:t>
      </w:r>
      <w:r>
        <w:rPr>
          <w:rFonts w:hint="eastAsia" w:asciiTheme="minorEastAsia" w:hAnsiTheme="minorEastAsia" w:eastAsiaTheme="minorEastAsia" w:cstheme="minorEastAsia"/>
          <w:kern w:val="0"/>
          <w:sz w:val="24"/>
          <w:szCs w:val="24"/>
          <w:highlight w:val="none"/>
          <w:lang w:val="zh-CN" w:bidi="zh-CN"/>
        </w:rPr>
        <w:t>14 天内会同承包人按照合同约定的内容核实承包人是否完成缺陷责任。如无异议，发包人应当在核实后将剩余的质量保证金返还承包人。</w:t>
      </w:r>
    </w:p>
    <w:p w14:paraId="20CD9800">
      <w:pPr>
        <w:pageBreakBefore w:val="0"/>
        <w:kinsoku/>
        <w:wordWrap/>
        <w:overflowPunct/>
        <w:topLinePunct w:val="0"/>
        <w:autoSpaceDE w:val="0"/>
        <w:autoSpaceDN w:val="0"/>
        <w:bidi w:val="0"/>
        <w:adjustRightInd/>
        <w:snapToGrid/>
        <w:spacing w:before="7"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（3）</w:t>
      </w:r>
      <w:r>
        <w:rPr>
          <w:rFonts w:hint="eastAsia" w:asciiTheme="minorEastAsia" w:hAnsiTheme="minorEastAsia" w:eastAsiaTheme="minorEastAsia" w:cstheme="minorEastAsia"/>
          <w:spacing w:val="-6"/>
          <w:kern w:val="0"/>
          <w:sz w:val="24"/>
          <w:szCs w:val="24"/>
          <w:highlight w:val="none"/>
          <w:lang w:val="zh-CN" w:bidi="zh-CN"/>
        </w:rPr>
        <w:t>在缺陷责任期满时，承包人没有完成缺陷责任的，发包人有权扣留与未履</w:t>
      </w:r>
      <w:r>
        <w:rPr>
          <w:rFonts w:hint="eastAsia" w:asciiTheme="minorEastAsia" w:hAnsiTheme="minorEastAsia" w:eastAsiaTheme="minorEastAsia" w:cstheme="minorEastAsia"/>
          <w:spacing w:val="-9"/>
          <w:kern w:val="0"/>
          <w:sz w:val="24"/>
          <w:szCs w:val="24"/>
          <w:highlight w:val="none"/>
          <w:lang w:val="zh-CN" w:bidi="zh-CN"/>
        </w:rPr>
        <w:t xml:space="preserve">行责任剩余工作所需金额相应的质量保证金余额，并有权根据第 </w:t>
      </w:r>
      <w:r>
        <w:rPr>
          <w:rFonts w:hint="eastAsia" w:asciiTheme="minorEastAsia" w:hAnsiTheme="minorEastAsia" w:eastAsiaTheme="minorEastAsia" w:cstheme="minorEastAsia"/>
          <w:kern w:val="0"/>
          <w:sz w:val="24"/>
          <w:szCs w:val="24"/>
          <w:highlight w:val="none"/>
          <w:lang w:val="zh-CN" w:bidi="zh-CN"/>
        </w:rPr>
        <w:t>21.4 款约定要求延长缺陷责任期，直至完成剩余工作为止。</w:t>
      </w:r>
    </w:p>
    <w:p w14:paraId="69ECB809">
      <w:pPr>
        <w:pageBreakBefore w:val="0"/>
        <w:kinsoku/>
        <w:wordWrap/>
        <w:overflowPunct/>
        <w:topLinePunct w:val="0"/>
        <w:autoSpaceDE w:val="0"/>
        <w:autoSpaceDN w:val="0"/>
        <w:bidi w:val="0"/>
        <w:adjustRightInd/>
        <w:snapToGrid/>
        <w:spacing w:before="7" w:line="320" w:lineRule="exact"/>
        <w:ind w:left="384" w:right="466"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p>
    <w:p w14:paraId="7051EF76">
      <w:pPr>
        <w:keepNext/>
        <w:keepLines/>
        <w:pageBreakBefore w:val="0"/>
        <w:widowControl/>
        <w:kinsoku/>
        <w:wordWrap/>
        <w:overflowPunct/>
        <w:topLinePunct w:val="0"/>
        <w:bidi w:val="0"/>
        <w:adjustRightInd/>
        <w:snapToGrid/>
        <w:spacing w:before="260" w:after="26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bookmarkStart w:id="408" w:name="_Toc256000039"/>
      <w:r>
        <w:rPr>
          <w:rFonts w:hint="eastAsia" w:asciiTheme="minorEastAsia" w:hAnsiTheme="minorEastAsia" w:eastAsiaTheme="minorEastAsia" w:cstheme="minorEastAsia"/>
          <w:b/>
          <w:bCs/>
          <w:kern w:val="0"/>
          <w:sz w:val="24"/>
          <w:szCs w:val="24"/>
          <w:highlight w:val="none"/>
          <w:lang w:val="zh-CN" w:bidi="zh-CN"/>
        </w:rPr>
        <w:t>七 试验和检验</w:t>
      </w:r>
      <w:bookmarkEnd w:id="408"/>
    </w:p>
    <w:p w14:paraId="6D60707E">
      <w:pPr>
        <w:keepLines/>
        <w:pageBreakBefore w:val="0"/>
        <w:widowControl/>
        <w:tabs>
          <w:tab w:val="left" w:pos="567"/>
        </w:tabs>
        <w:kinsoku/>
        <w:wordWrap/>
        <w:overflowPunct/>
        <w:topLinePunct w:val="0"/>
        <w:autoSpaceDE w:val="0"/>
        <w:autoSpaceDN w:val="0"/>
        <w:bidi w:val="0"/>
        <w:adjustRightInd/>
        <w:snapToGrid/>
        <w:spacing w:before="120" w:after="12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eastAsia="en-US" w:bidi="zh-CN"/>
        </w:rPr>
      </w:pPr>
      <w:r>
        <w:rPr>
          <w:rFonts w:hint="eastAsia" w:asciiTheme="minorEastAsia" w:hAnsiTheme="minorEastAsia" w:eastAsiaTheme="minorEastAsia" w:cstheme="minorEastAsia"/>
          <w:b/>
          <w:bCs/>
          <w:kern w:val="0"/>
          <w:sz w:val="24"/>
          <w:szCs w:val="24"/>
          <w:highlight w:val="none"/>
          <w:lang w:val="zh-CN" w:bidi="zh-CN"/>
        </w:rPr>
        <w:t>19 试验和检验</w:t>
      </w:r>
    </w:p>
    <w:p w14:paraId="7209E891">
      <w:pPr>
        <w:pageBreakBefore w:val="0"/>
        <w:tabs>
          <w:tab w:val="left" w:pos="1523"/>
          <w:tab w:val="left" w:pos="1524"/>
        </w:tabs>
        <w:kinsoku/>
        <w:wordWrap/>
        <w:overflowPunct/>
        <w:topLinePunct w:val="0"/>
        <w:autoSpaceDE w:val="0"/>
        <w:autoSpaceDN w:val="0"/>
        <w:bidi w:val="0"/>
        <w:adjustRightInd/>
        <w:snapToGrid/>
        <w:spacing w:before="1"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19.1材料、工程设备和工程的试验和检验</w:t>
      </w:r>
    </w:p>
    <w:p w14:paraId="129A5301">
      <w:pPr>
        <w:pageBreakBefore w:val="0"/>
        <w:kinsoku/>
        <w:wordWrap/>
        <w:overflowPunct/>
        <w:topLinePunct w:val="0"/>
        <w:autoSpaceDE w:val="0"/>
        <w:autoSpaceDN w:val="0"/>
        <w:bidi w:val="0"/>
        <w:adjustRightInd/>
        <w:snapToGrid/>
        <w:spacing w:before="83"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（1）</w:t>
      </w:r>
      <w:r>
        <w:rPr>
          <w:rFonts w:hint="eastAsia" w:asciiTheme="minorEastAsia" w:hAnsiTheme="minorEastAsia" w:eastAsiaTheme="minorEastAsia" w:cstheme="minorEastAsia"/>
          <w:spacing w:val="-3"/>
          <w:kern w:val="0"/>
          <w:sz w:val="24"/>
          <w:szCs w:val="24"/>
          <w:highlight w:val="none"/>
          <w:lang w:val="zh-CN" w:bidi="zh-CN"/>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CA178AC">
      <w:pPr>
        <w:pageBreakBefore w:val="0"/>
        <w:kinsoku/>
        <w:wordWrap/>
        <w:overflowPunct/>
        <w:topLinePunct w:val="0"/>
        <w:autoSpaceDE w:val="0"/>
        <w:autoSpaceDN w:val="0"/>
        <w:bidi w:val="0"/>
        <w:adjustRightInd/>
        <w:snapToGrid/>
        <w:spacing w:before="74" w:line="320" w:lineRule="exact"/>
        <w:ind w:right="34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（2）</w:t>
      </w:r>
      <w:r>
        <w:rPr>
          <w:rFonts w:hint="eastAsia" w:asciiTheme="minorEastAsia" w:hAnsiTheme="minorEastAsia" w:eastAsiaTheme="minorEastAsia" w:cstheme="minorEastAsia"/>
          <w:spacing w:val="-3"/>
          <w:kern w:val="0"/>
          <w:sz w:val="24"/>
          <w:szCs w:val="24"/>
          <w:highlight w:val="none"/>
          <w:lang w:val="zh-CN" w:bidi="zh-CN"/>
        </w:rPr>
        <w:t>监理人未按合同约定派员参加试验和检验的，除监理人另有指示外，承包</w:t>
      </w:r>
      <w:r>
        <w:rPr>
          <w:rFonts w:hint="eastAsia" w:asciiTheme="minorEastAsia" w:hAnsiTheme="minorEastAsia" w:eastAsiaTheme="minorEastAsia" w:cstheme="minorEastAsia"/>
          <w:spacing w:val="-10"/>
          <w:kern w:val="0"/>
          <w:sz w:val="24"/>
          <w:szCs w:val="24"/>
          <w:highlight w:val="none"/>
          <w:lang w:val="zh-CN" w:bidi="zh-CN"/>
        </w:rPr>
        <w:t>人可自行试验和检验，并应立即将试验和检验结果报送监理人，监理人应签字确认；</w:t>
      </w:r>
    </w:p>
    <w:p w14:paraId="29F7B5EE">
      <w:pPr>
        <w:pageBreakBefore w:val="0"/>
        <w:kinsoku/>
        <w:wordWrap/>
        <w:overflowPunct/>
        <w:topLinePunct w:val="0"/>
        <w:autoSpaceDE w:val="0"/>
        <w:autoSpaceDN w:val="0"/>
        <w:bidi w:val="0"/>
        <w:adjustRightInd/>
        <w:snapToGrid/>
        <w:spacing w:before="4"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5"/>
          <w:kern w:val="0"/>
          <w:sz w:val="24"/>
          <w:szCs w:val="24"/>
          <w:highlight w:val="none"/>
          <w:lang w:val="zh-CN" w:bidi="zh-CN"/>
        </w:rPr>
        <w:t>（3）</w:t>
      </w:r>
      <w:r>
        <w:rPr>
          <w:rFonts w:hint="eastAsia" w:asciiTheme="minorEastAsia" w:hAnsiTheme="minorEastAsia" w:eastAsiaTheme="minorEastAsia" w:cstheme="minorEastAsia"/>
          <w:spacing w:val="-3"/>
          <w:kern w:val="0"/>
          <w:sz w:val="24"/>
          <w:szCs w:val="24"/>
          <w:highlight w:val="none"/>
          <w:lang w:val="zh-CN" w:bidi="zh-CN"/>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w:t>
      </w:r>
      <w:r>
        <w:rPr>
          <w:rFonts w:hint="eastAsia" w:asciiTheme="minorEastAsia" w:hAnsiTheme="minorEastAsia" w:eastAsiaTheme="minorEastAsia" w:cstheme="minorEastAsia"/>
          <w:kern w:val="0"/>
          <w:sz w:val="24"/>
          <w:szCs w:val="24"/>
          <w:highlight w:val="none"/>
          <w:lang w:val="zh-CN" w:bidi="zh-CN"/>
        </w:rPr>
        <w:t>求的，由此增加的费用和(</w:t>
      </w:r>
      <w:r>
        <w:rPr>
          <w:rFonts w:hint="eastAsia" w:asciiTheme="minorEastAsia" w:hAnsiTheme="minorEastAsia" w:eastAsiaTheme="minorEastAsia" w:cstheme="minorEastAsia"/>
          <w:spacing w:val="4"/>
          <w:kern w:val="0"/>
          <w:sz w:val="24"/>
          <w:szCs w:val="24"/>
          <w:highlight w:val="none"/>
          <w:lang w:val="zh-CN" w:bidi="zh-CN"/>
        </w:rPr>
        <w:t>或</w:t>
      </w:r>
      <w:r>
        <w:rPr>
          <w:rFonts w:hint="eastAsia" w:asciiTheme="minorEastAsia" w:hAnsiTheme="minorEastAsia" w:eastAsiaTheme="minorEastAsia" w:cstheme="minorEastAsia"/>
          <w:kern w:val="0"/>
          <w:sz w:val="24"/>
          <w:szCs w:val="24"/>
          <w:highlight w:val="none"/>
          <w:lang w:val="zh-CN" w:bidi="zh-CN"/>
        </w:rPr>
        <w:t>)工期延误由承包人承担；重新试验和检验结果证明该项材料、工程设备和工程符合合同要求，由发包人承担由此增加的费用和</w:t>
      </w:r>
      <w:r>
        <w:rPr>
          <w:rFonts w:hint="eastAsia" w:asciiTheme="minorEastAsia" w:hAnsiTheme="minorEastAsia" w:eastAsiaTheme="minorEastAsia" w:cstheme="minorEastAsia"/>
          <w:spacing w:val="4"/>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或</w:t>
      </w:r>
      <w:r>
        <w:rPr>
          <w:rFonts w:hint="eastAsia" w:asciiTheme="minorEastAsia" w:hAnsiTheme="minorEastAsia" w:eastAsiaTheme="minorEastAsia" w:cstheme="minorEastAsia"/>
          <w:spacing w:val="4"/>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工期延误，并支付承包人合理利润。</w:t>
      </w:r>
    </w:p>
    <w:p w14:paraId="3AF644AC">
      <w:pPr>
        <w:pageBreakBefore w:val="0"/>
        <w:tabs>
          <w:tab w:val="left" w:pos="1523"/>
          <w:tab w:val="left" w:pos="1524"/>
        </w:tabs>
        <w:kinsoku/>
        <w:wordWrap/>
        <w:overflowPunct/>
        <w:topLinePunct w:val="0"/>
        <w:autoSpaceDE w:val="0"/>
        <w:autoSpaceDN w:val="0"/>
        <w:bidi w:val="0"/>
        <w:adjustRightInd/>
        <w:snapToGrid/>
        <w:spacing w:before="9"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19.2现场材料试验</w:t>
      </w:r>
    </w:p>
    <w:p w14:paraId="4270D4AA">
      <w:pPr>
        <w:pageBreakBefore w:val="0"/>
        <w:kinsoku/>
        <w:wordWrap/>
        <w:overflowPunct/>
        <w:topLinePunct w:val="0"/>
        <w:autoSpaceDE w:val="0"/>
        <w:autoSpaceDN w:val="0"/>
        <w:bidi w:val="0"/>
        <w:adjustRightInd/>
        <w:snapToGrid/>
        <w:spacing w:before="83"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（1）承包人根据合同约定或监理人指示进行的现场材料试验，应由承包人提供试验场所、试验人员、试验设备器材以及其他必要的试验条件；</w:t>
      </w:r>
    </w:p>
    <w:p w14:paraId="46ABB302">
      <w:pPr>
        <w:pageBreakBefore w:val="0"/>
        <w:kinsoku/>
        <w:wordWrap/>
        <w:overflowPunct/>
        <w:topLinePunct w:val="0"/>
        <w:autoSpaceDE w:val="0"/>
        <w:autoSpaceDN w:val="0"/>
        <w:bidi w:val="0"/>
        <w:adjustRightInd/>
        <w:snapToGrid/>
        <w:spacing w:before="4"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（2）监理人在必要时可以使用承包人的试验场所、试验设备器材以及其他试验条件，进行以工程质量检查为目的的复核性材料试验，承包人应予以协助。</w:t>
      </w:r>
    </w:p>
    <w:p w14:paraId="3FBBC9D0">
      <w:pPr>
        <w:pageBreakBefore w:val="0"/>
        <w:tabs>
          <w:tab w:val="left" w:pos="1344"/>
        </w:tabs>
        <w:kinsoku/>
        <w:wordWrap/>
        <w:overflowPunct/>
        <w:topLinePunct w:val="0"/>
        <w:autoSpaceDE w:val="0"/>
        <w:autoSpaceDN w:val="0"/>
        <w:bidi w:val="0"/>
        <w:adjustRightInd/>
        <w:snapToGrid/>
        <w:spacing w:before="1"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19.3承包人采购材料设备</w:t>
      </w:r>
    </w:p>
    <w:p w14:paraId="03FE375E">
      <w:pPr>
        <w:pageBreakBefore w:val="0"/>
        <w:kinsoku/>
        <w:wordWrap/>
        <w:overflowPunct/>
        <w:topLinePunct w:val="0"/>
        <w:autoSpaceDE w:val="0"/>
        <w:autoSpaceDN w:val="0"/>
        <w:bidi w:val="0"/>
        <w:adjustRightInd/>
        <w:snapToGrid/>
        <w:spacing w:before="86"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（1）除合同另有规定外，为完成本合同各项工作所需的材料和工程设备，均由承包人负责采购、验收、运输和保管；</w:t>
      </w:r>
    </w:p>
    <w:p w14:paraId="345E3972">
      <w:pPr>
        <w:pageBreakBefore w:val="0"/>
        <w:kinsoku/>
        <w:wordWrap/>
        <w:overflowPunct/>
        <w:topLinePunct w:val="0"/>
        <w:autoSpaceDE w:val="0"/>
        <w:autoSpaceDN w:val="0"/>
        <w:bidi w:val="0"/>
        <w:adjustRightInd/>
        <w:snapToGrid/>
        <w:spacing w:before="86"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（2）承包人与供货厂家的供货协议一经签订，应将一份副本提交监理人。</w:t>
      </w:r>
    </w:p>
    <w:p w14:paraId="199D656A">
      <w:pPr>
        <w:pageBreakBefore w:val="0"/>
        <w:tabs>
          <w:tab w:val="left" w:pos="1528"/>
          <w:tab w:val="left" w:pos="1529"/>
        </w:tabs>
        <w:kinsoku/>
        <w:wordWrap/>
        <w:overflowPunct/>
        <w:topLinePunct w:val="0"/>
        <w:autoSpaceDE w:val="0"/>
        <w:autoSpaceDN w:val="0"/>
        <w:bidi w:val="0"/>
        <w:adjustRightInd/>
        <w:snapToGrid/>
        <w:spacing w:before="86" w:line="320" w:lineRule="exact"/>
        <w:ind w:right="46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19.4进场材料、设备必须符合合同规定，并经监理人认可。不合格的材料、设备应立即搬运出施工场地，不得用于本合同工程。</w:t>
      </w:r>
    </w:p>
    <w:p w14:paraId="6DC787EA">
      <w:pPr>
        <w:keepNext/>
        <w:keepLines/>
        <w:pageBreakBefore w:val="0"/>
        <w:widowControl/>
        <w:kinsoku/>
        <w:wordWrap/>
        <w:overflowPunct/>
        <w:topLinePunct w:val="0"/>
        <w:bidi w:val="0"/>
        <w:adjustRightInd/>
        <w:snapToGrid/>
        <w:spacing w:before="260" w:after="26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bookmarkStart w:id="409" w:name="_Toc256000040"/>
      <w:r>
        <w:rPr>
          <w:rFonts w:hint="eastAsia" w:asciiTheme="minorEastAsia" w:hAnsiTheme="minorEastAsia" w:eastAsiaTheme="minorEastAsia" w:cstheme="minorEastAsia"/>
          <w:b/>
          <w:bCs/>
          <w:kern w:val="0"/>
          <w:sz w:val="24"/>
          <w:szCs w:val="24"/>
          <w:highlight w:val="none"/>
          <w:lang w:val="zh-CN" w:bidi="zh-CN"/>
        </w:rPr>
        <w:t>八、工程变更</w:t>
      </w:r>
      <w:bookmarkEnd w:id="409"/>
    </w:p>
    <w:p w14:paraId="005A28BC">
      <w:pPr>
        <w:keepLines/>
        <w:pageBreakBefore w:val="0"/>
        <w:widowControl/>
        <w:tabs>
          <w:tab w:val="left" w:pos="567"/>
        </w:tabs>
        <w:kinsoku/>
        <w:wordWrap/>
        <w:overflowPunct/>
        <w:topLinePunct w:val="0"/>
        <w:autoSpaceDE w:val="0"/>
        <w:autoSpaceDN w:val="0"/>
        <w:bidi w:val="0"/>
        <w:adjustRightInd/>
        <w:snapToGrid/>
        <w:spacing w:before="120" w:after="12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20.工程数量及价格的变更</w:t>
      </w:r>
    </w:p>
    <w:p w14:paraId="1F971B46">
      <w:pPr>
        <w:pageBreakBefore w:val="0"/>
        <w:numPr>
          <w:ilvl w:val="1"/>
          <w:numId w:val="0"/>
        </w:numPr>
        <w:tabs>
          <w:tab w:val="left" w:pos="1528"/>
          <w:tab w:val="left" w:pos="1529"/>
        </w:tabs>
        <w:kinsoku/>
        <w:wordWrap/>
        <w:overflowPunct/>
        <w:topLinePunct w:val="0"/>
        <w:autoSpaceDE w:val="0"/>
        <w:autoSpaceDN w:val="0"/>
        <w:bidi w:val="0"/>
        <w:adjustRightInd/>
        <w:snapToGrid/>
        <w:spacing w:line="320" w:lineRule="exact"/>
        <w:ind w:right="467" w:rightChars="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20.1</w:t>
      </w:r>
      <w:r>
        <w:rPr>
          <w:rFonts w:hint="eastAsia" w:asciiTheme="minorEastAsia" w:hAnsiTheme="minorEastAsia" w:eastAsiaTheme="minorEastAsia" w:cstheme="minorEastAsia"/>
          <w:kern w:val="0"/>
          <w:sz w:val="24"/>
          <w:szCs w:val="24"/>
          <w:highlight w:val="none"/>
          <w:lang w:val="zh-CN" w:bidi="zh-CN"/>
        </w:rPr>
        <w:t>发包人或监理人如认为有必要时，可根据规定对本合同工程中任何部分的结构形式、质量、等级或数量作出变更，包括：</w:t>
      </w:r>
    </w:p>
    <w:p w14:paraId="5CDC7400">
      <w:pPr>
        <w:pageBreakBefore w:val="0"/>
        <w:kinsoku/>
        <w:wordWrap/>
        <w:overflowPunct/>
        <w:topLinePunct w:val="0"/>
        <w:autoSpaceDE w:val="0"/>
        <w:autoSpaceDN w:val="0"/>
        <w:bidi w:val="0"/>
        <w:adjustRightInd/>
        <w:snapToGrid/>
        <w:spacing w:before="86"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（1）增加或减少本合同中的任何工程的数量；</w:t>
      </w:r>
    </w:p>
    <w:p w14:paraId="6ADAF42A">
      <w:pPr>
        <w:pageBreakBefore w:val="0"/>
        <w:kinsoku/>
        <w:wordWrap/>
        <w:overflowPunct/>
        <w:topLinePunct w:val="0"/>
        <w:autoSpaceDE w:val="0"/>
        <w:autoSpaceDN w:val="0"/>
        <w:bidi w:val="0"/>
        <w:adjustRightInd/>
        <w:snapToGrid/>
        <w:spacing w:before="86"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（2）取消合同中的任何单项工程，但被取消的工程不能转由发包人或其他人实施，由于承包人违约造成的情况除外；</w:t>
      </w:r>
    </w:p>
    <w:p w14:paraId="5DCA1FA4">
      <w:pPr>
        <w:pageBreakBefore w:val="0"/>
        <w:numPr>
          <w:ilvl w:val="0"/>
          <w:numId w:val="0"/>
        </w:numPr>
        <w:kinsoku/>
        <w:wordWrap/>
        <w:overflowPunct/>
        <w:topLinePunct w:val="0"/>
        <w:autoSpaceDE w:val="0"/>
        <w:autoSpaceDN w:val="0"/>
        <w:bidi w:val="0"/>
        <w:adjustRightInd/>
        <w:snapToGrid/>
        <w:spacing w:before="86" w:line="320" w:lineRule="exact"/>
        <w:ind w:right="386" w:rightChars="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eastAsia="zh-CN" w:bidi="zh-CN"/>
        </w:rPr>
        <w:t>（3）</w:t>
      </w:r>
      <w:r>
        <w:rPr>
          <w:rFonts w:hint="eastAsia" w:asciiTheme="minorEastAsia" w:hAnsiTheme="minorEastAsia" w:eastAsiaTheme="minorEastAsia" w:cstheme="minorEastAsia"/>
          <w:kern w:val="0"/>
          <w:sz w:val="24"/>
          <w:szCs w:val="24"/>
          <w:highlight w:val="none"/>
          <w:lang w:val="zh-CN" w:bidi="zh-CN"/>
        </w:rPr>
        <w:t>改变合同中的任何一项工作的质量或其他特性；</w:t>
      </w:r>
    </w:p>
    <w:p w14:paraId="4857CF48">
      <w:pPr>
        <w:pageBreakBefore w:val="0"/>
        <w:kinsoku/>
        <w:wordWrap/>
        <w:overflowPunct/>
        <w:topLinePunct w:val="0"/>
        <w:autoSpaceDE w:val="0"/>
        <w:autoSpaceDN w:val="0"/>
        <w:bidi w:val="0"/>
        <w:adjustRightInd/>
        <w:snapToGrid/>
        <w:spacing w:before="86"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（4）改变本工程任何部分的标高、基线、位置或尺寸；</w:t>
      </w:r>
    </w:p>
    <w:p w14:paraId="347EC9B6">
      <w:pPr>
        <w:pageBreakBefore w:val="0"/>
        <w:kinsoku/>
        <w:wordWrap/>
        <w:overflowPunct/>
        <w:topLinePunct w:val="0"/>
        <w:autoSpaceDE w:val="0"/>
        <w:autoSpaceDN w:val="0"/>
        <w:bidi w:val="0"/>
        <w:adjustRightInd/>
        <w:snapToGrid/>
        <w:spacing w:before="86"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（5）改变合同中任何一项工作的施工时间或改变已批准的施工工艺或顺序；</w:t>
      </w:r>
    </w:p>
    <w:p w14:paraId="6269805B">
      <w:pPr>
        <w:pageBreakBefore w:val="0"/>
        <w:kinsoku/>
        <w:wordWrap/>
        <w:overflowPunct/>
        <w:topLinePunct w:val="0"/>
        <w:autoSpaceDE w:val="0"/>
        <w:autoSpaceDN w:val="0"/>
        <w:bidi w:val="0"/>
        <w:adjustRightInd/>
        <w:snapToGrid/>
        <w:spacing w:before="86"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（6）完成本工程需要追加的额外工作。</w:t>
      </w:r>
    </w:p>
    <w:p w14:paraId="4A8A68F0">
      <w:pPr>
        <w:pageBreakBefore w:val="0"/>
        <w:tabs>
          <w:tab w:val="left" w:pos="1523"/>
          <w:tab w:val="left" w:pos="1524"/>
        </w:tabs>
        <w:kinsoku/>
        <w:wordWrap/>
        <w:overflowPunct/>
        <w:topLinePunct w:val="0"/>
        <w:autoSpaceDE w:val="0"/>
        <w:autoSpaceDN w:val="0"/>
        <w:bidi w:val="0"/>
        <w:adjustRightInd/>
        <w:snapToGrid/>
        <w:spacing w:before="87"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20.2价格调整</w:t>
      </w:r>
    </w:p>
    <w:p w14:paraId="7EF341F5">
      <w:pPr>
        <w:pageBreakBefore w:val="0"/>
        <w:kinsoku/>
        <w:wordWrap/>
        <w:overflowPunct/>
        <w:topLinePunct w:val="0"/>
        <w:autoSpaceDE w:val="0"/>
        <w:autoSpaceDN w:val="0"/>
        <w:bidi w:val="0"/>
        <w:adjustRightInd/>
        <w:snapToGrid/>
        <w:spacing w:before="66" w:line="320" w:lineRule="exact"/>
        <w:ind w:right="465"/>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在合同实施期间，投标人填写的单价、合价和总额价不会由于物价波动进行价格调整；由于法律变化引起的价格调整，监理人应根据法律、国家或自治区有关部门的规定，商定确定需调整的合同价款。</w:t>
      </w:r>
    </w:p>
    <w:p w14:paraId="6FD529D0">
      <w:pPr>
        <w:pageBreakBefore w:val="0"/>
        <w:tabs>
          <w:tab w:val="left" w:pos="1529"/>
        </w:tabs>
        <w:kinsoku/>
        <w:wordWrap/>
        <w:overflowPunct/>
        <w:topLinePunct w:val="0"/>
        <w:autoSpaceDE w:val="0"/>
        <w:autoSpaceDN w:val="0"/>
        <w:bidi w:val="0"/>
        <w:adjustRightInd/>
        <w:snapToGrid/>
        <w:spacing w:line="320" w:lineRule="exact"/>
        <w:ind w:right="467"/>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20.3如果发出本工程的变更指令是因承包人过错，承包人违反合同或因承包人责任造成的，则这种违约引起的任何额外费用应由承包人承担。</w:t>
      </w:r>
    </w:p>
    <w:p w14:paraId="6426C8E4">
      <w:pPr>
        <w:pageBreakBefore w:val="0"/>
        <w:tabs>
          <w:tab w:val="left" w:pos="1529"/>
        </w:tabs>
        <w:kinsoku/>
        <w:wordWrap/>
        <w:overflowPunct/>
        <w:topLinePunct w:val="0"/>
        <w:autoSpaceDE w:val="0"/>
        <w:autoSpaceDN w:val="0"/>
        <w:bidi w:val="0"/>
        <w:adjustRightInd/>
        <w:snapToGrid/>
        <w:spacing w:line="320" w:lineRule="exact"/>
        <w:ind w:right="465"/>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20.4没有监理人指令，承包人不得擅自变更。变更指令应说明变更的目的、范围、变更内容以及变更的工程量及其进度和技术要求，并附有关图纸和文件。承包人收到变更指令后，应按变更指令进行变更工作。</w:t>
      </w:r>
    </w:p>
    <w:p w14:paraId="749123C4">
      <w:pPr>
        <w:pageBreakBefore w:val="0"/>
        <w:tabs>
          <w:tab w:val="left" w:pos="1529"/>
        </w:tabs>
        <w:kinsoku/>
        <w:wordWrap/>
        <w:overflowPunct/>
        <w:topLinePunct w:val="0"/>
        <w:autoSpaceDE w:val="0"/>
        <w:autoSpaceDN w:val="0"/>
        <w:bidi w:val="0"/>
        <w:adjustRightInd/>
        <w:snapToGrid/>
        <w:spacing w:before="4" w:line="320" w:lineRule="exact"/>
        <w:ind w:right="465"/>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20.5变更工程的价格增加或减少额，应以已标价工程量清单中的单价或合计为依据。除专用合同条款另有约定外，因变更引起的价格调整按照以下约定处理。</w:t>
      </w:r>
    </w:p>
    <w:p w14:paraId="32A608C6">
      <w:pPr>
        <w:pageBreakBefore w:val="0"/>
        <w:kinsoku/>
        <w:wordWrap/>
        <w:overflowPunct/>
        <w:topLinePunct w:val="0"/>
        <w:autoSpaceDE w:val="0"/>
        <w:autoSpaceDN w:val="0"/>
        <w:bidi w:val="0"/>
        <w:adjustRightInd/>
        <w:snapToGrid/>
        <w:spacing w:before="93"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（1）已标价工程量清单中有适用于变更工作的子目的，采用该子目的单价。</w:t>
      </w:r>
    </w:p>
    <w:p w14:paraId="32F29E62">
      <w:pPr>
        <w:pageBreakBefore w:val="0"/>
        <w:kinsoku/>
        <w:wordWrap/>
        <w:overflowPunct/>
        <w:topLinePunct w:val="0"/>
        <w:autoSpaceDE w:val="0"/>
        <w:autoSpaceDN w:val="0"/>
        <w:bidi w:val="0"/>
        <w:adjustRightInd/>
        <w:snapToGrid/>
        <w:spacing w:before="93"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（2）</w:t>
      </w:r>
      <w:r>
        <w:rPr>
          <w:rFonts w:hint="eastAsia" w:asciiTheme="minorEastAsia" w:hAnsiTheme="minorEastAsia" w:eastAsiaTheme="minorEastAsia" w:cstheme="minorEastAsia"/>
          <w:spacing w:val="-3"/>
          <w:kern w:val="0"/>
          <w:sz w:val="24"/>
          <w:szCs w:val="24"/>
          <w:highlight w:val="none"/>
          <w:lang w:val="zh-CN" w:bidi="zh-CN"/>
        </w:rPr>
        <w:t>已标价工程量清单中无适用于变更工作的子目，但有类似子目的，可在合理范围内参照类似子目的单价，由监理人按商定或确定原则变更工作的单价。</w:t>
      </w:r>
    </w:p>
    <w:p w14:paraId="3AB69ACE">
      <w:pPr>
        <w:pageBreakBefore w:val="0"/>
        <w:kinsoku/>
        <w:wordWrap/>
        <w:overflowPunct/>
        <w:topLinePunct w:val="0"/>
        <w:autoSpaceDE w:val="0"/>
        <w:autoSpaceDN w:val="0"/>
        <w:bidi w:val="0"/>
        <w:adjustRightInd/>
        <w:snapToGrid/>
        <w:spacing w:before="93" w:line="320" w:lineRule="exact"/>
        <w:ind w:right="466"/>
        <w:textAlignment w:val="auto"/>
        <w:outlineLvl w:val="9"/>
        <w:rPr>
          <w:rFonts w:hint="eastAsia" w:asciiTheme="minorEastAsia" w:hAnsiTheme="minorEastAsia" w:eastAsiaTheme="minorEastAsia" w:cstheme="minorEastAsia"/>
          <w:spacing w:val="-10"/>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（3）已标价工程量清单中无适用或类似子目的单价，可按照成本加利润的原则，</w:t>
      </w:r>
    </w:p>
    <w:p w14:paraId="2CC90D14">
      <w:pPr>
        <w:pageBreakBefore w:val="0"/>
        <w:kinsoku/>
        <w:wordWrap/>
        <w:overflowPunct/>
        <w:topLinePunct w:val="0"/>
        <w:autoSpaceDE w:val="0"/>
        <w:autoSpaceDN w:val="0"/>
        <w:bidi w:val="0"/>
        <w:adjustRightInd/>
        <w:snapToGrid/>
        <w:spacing w:before="93" w:line="320" w:lineRule="exact"/>
        <w:ind w:right="466"/>
        <w:textAlignment w:val="auto"/>
        <w:outlineLvl w:val="9"/>
        <w:rPr>
          <w:rFonts w:hint="eastAsia" w:asciiTheme="minorEastAsia" w:hAnsiTheme="minorEastAsia" w:eastAsiaTheme="minorEastAsia" w:cstheme="minorEastAsia"/>
          <w:spacing w:val="-10"/>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由监理人依据交通运输部或喀什交通运输局的相关概算预算编制办法及定额编制编制单价，按商定或确定原则变更工作的单价。</w:t>
      </w:r>
    </w:p>
    <w:p w14:paraId="7B63AB49">
      <w:pPr>
        <w:pageBreakBefore w:val="0"/>
        <w:tabs>
          <w:tab w:val="left" w:pos="1523"/>
          <w:tab w:val="left" w:pos="1524"/>
        </w:tabs>
        <w:kinsoku/>
        <w:wordWrap/>
        <w:overflowPunct/>
        <w:topLinePunct w:val="0"/>
        <w:autoSpaceDE w:val="0"/>
        <w:autoSpaceDN w:val="0"/>
        <w:bidi w:val="0"/>
        <w:adjustRightInd/>
        <w:snapToGrid/>
        <w:spacing w:before="1"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20.6暂列金额只能按监理人的批示使用，并对合同价款进行相应调整。</w:t>
      </w:r>
    </w:p>
    <w:p w14:paraId="69A6873C">
      <w:pPr>
        <w:pageBreakBefore w:val="0"/>
        <w:tabs>
          <w:tab w:val="left" w:pos="1523"/>
          <w:tab w:val="left" w:pos="1524"/>
        </w:tabs>
        <w:kinsoku/>
        <w:wordWrap/>
        <w:overflowPunct/>
        <w:topLinePunct w:val="0"/>
        <w:autoSpaceDE w:val="0"/>
        <w:autoSpaceDN w:val="0"/>
        <w:bidi w:val="0"/>
        <w:adjustRightInd/>
        <w:snapToGrid/>
        <w:spacing w:before="87"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20.7未经批准的设计变更，其费用不得进入决算。</w:t>
      </w:r>
    </w:p>
    <w:p w14:paraId="5A3D53B9">
      <w:pPr>
        <w:pageBreakBefore w:val="0"/>
        <w:tabs>
          <w:tab w:val="left" w:pos="1529"/>
        </w:tabs>
        <w:kinsoku/>
        <w:wordWrap/>
        <w:overflowPunct/>
        <w:topLinePunct w:val="0"/>
        <w:autoSpaceDE w:val="0"/>
        <w:autoSpaceDN w:val="0"/>
        <w:bidi w:val="0"/>
        <w:adjustRightInd/>
        <w:snapToGrid/>
        <w:spacing w:before="83" w:line="320" w:lineRule="exact"/>
        <w:ind w:right="467"/>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20.8变更类型及程序依照《喀什农村公路工程设计变更管理办法（试行）》的规定施行。</w:t>
      </w:r>
    </w:p>
    <w:p w14:paraId="35D45772">
      <w:pPr>
        <w:keepNext/>
        <w:keepLines/>
        <w:pageBreakBefore w:val="0"/>
        <w:widowControl/>
        <w:kinsoku/>
        <w:wordWrap/>
        <w:overflowPunct/>
        <w:topLinePunct w:val="0"/>
        <w:bidi w:val="0"/>
        <w:adjustRightInd/>
        <w:snapToGrid/>
        <w:spacing w:before="260" w:after="26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bookmarkStart w:id="410" w:name="_Toc256000041"/>
      <w:r>
        <w:rPr>
          <w:rFonts w:hint="eastAsia" w:asciiTheme="minorEastAsia" w:hAnsiTheme="minorEastAsia" w:eastAsiaTheme="minorEastAsia" w:cstheme="minorEastAsia"/>
          <w:b/>
          <w:bCs/>
          <w:kern w:val="0"/>
          <w:sz w:val="24"/>
          <w:szCs w:val="24"/>
          <w:highlight w:val="none"/>
          <w:lang w:val="zh-CN" w:bidi="zh-CN"/>
        </w:rPr>
        <w:t>九、缺陷责任</w:t>
      </w:r>
      <w:bookmarkEnd w:id="410"/>
    </w:p>
    <w:p w14:paraId="09BA4FB3">
      <w:pPr>
        <w:keepLines/>
        <w:pageBreakBefore w:val="0"/>
        <w:widowControl/>
        <w:tabs>
          <w:tab w:val="left" w:pos="567"/>
        </w:tabs>
        <w:kinsoku/>
        <w:wordWrap/>
        <w:overflowPunct/>
        <w:topLinePunct w:val="0"/>
        <w:autoSpaceDE w:val="0"/>
        <w:autoSpaceDN w:val="0"/>
        <w:bidi w:val="0"/>
        <w:adjustRightInd/>
        <w:snapToGrid/>
        <w:spacing w:before="120" w:after="12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21 缺陷责任及修复</w:t>
      </w:r>
    </w:p>
    <w:p w14:paraId="2C783B3B">
      <w:pPr>
        <w:pageBreakBefore w:val="0"/>
        <w:numPr>
          <w:ilvl w:val="1"/>
          <w:numId w:val="0"/>
        </w:numPr>
        <w:tabs>
          <w:tab w:val="left" w:pos="1529"/>
        </w:tabs>
        <w:kinsoku/>
        <w:wordWrap/>
        <w:overflowPunct/>
        <w:topLinePunct w:val="0"/>
        <w:autoSpaceDE w:val="0"/>
        <w:autoSpaceDN w:val="0"/>
        <w:bidi w:val="0"/>
        <w:adjustRightInd/>
        <w:snapToGrid/>
        <w:spacing w:before="1" w:line="320" w:lineRule="exact"/>
        <w:ind w:right="467"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21.1</w:t>
      </w:r>
      <w:r>
        <w:rPr>
          <w:rFonts w:hint="eastAsia" w:asciiTheme="minorEastAsia" w:hAnsiTheme="minorEastAsia" w:eastAsiaTheme="minorEastAsia" w:cstheme="minorEastAsia"/>
          <w:kern w:val="0"/>
          <w:sz w:val="24"/>
          <w:szCs w:val="24"/>
          <w:highlight w:val="none"/>
          <w:lang w:val="zh-CN" w:bidi="zh-CN"/>
        </w:rPr>
        <w:t>缺陷责任期从本合同工程交工证书签发之日起计算。承包人应在缺陷责任期内对已交付使用的工程承担缺陷责任。</w:t>
      </w:r>
    </w:p>
    <w:p w14:paraId="76E40CF6">
      <w:pPr>
        <w:pageBreakBefore w:val="0"/>
        <w:numPr>
          <w:ilvl w:val="1"/>
          <w:numId w:val="0"/>
        </w:numPr>
        <w:tabs>
          <w:tab w:val="left" w:pos="1529"/>
        </w:tabs>
        <w:kinsoku/>
        <w:wordWrap/>
        <w:overflowPunct/>
        <w:topLinePunct w:val="0"/>
        <w:autoSpaceDE w:val="0"/>
        <w:autoSpaceDN w:val="0"/>
        <w:bidi w:val="0"/>
        <w:adjustRightInd/>
        <w:snapToGrid/>
        <w:spacing w:before="3" w:line="320" w:lineRule="exact"/>
        <w:ind w:right="465"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21.2</w:t>
      </w:r>
      <w:r>
        <w:rPr>
          <w:rFonts w:hint="eastAsia" w:asciiTheme="minorEastAsia" w:hAnsiTheme="minorEastAsia" w:eastAsiaTheme="minorEastAsia" w:cstheme="minorEastAsia"/>
          <w:kern w:val="0"/>
          <w:sz w:val="24"/>
          <w:szCs w:val="24"/>
          <w:highlight w:val="none"/>
          <w:lang w:val="zh-CN" w:bidi="zh-CN"/>
        </w:rPr>
        <w:t>在缺陷责任期满前，由发包人会同监理人在有关部门参加下，对工程进行一次全面核查，使本工程按合同所要求的条件，达到发包人和监理人认为合格的程度。要求承包人：</w:t>
      </w:r>
    </w:p>
    <w:p w14:paraId="2196C363">
      <w:pPr>
        <w:pageBreakBefore w:val="0"/>
        <w:kinsoku/>
        <w:wordWrap/>
        <w:overflowPunct/>
        <w:topLinePunct w:val="0"/>
        <w:autoSpaceDE w:val="0"/>
        <w:autoSpaceDN w:val="0"/>
        <w:bidi w:val="0"/>
        <w:adjustRightInd/>
        <w:snapToGrid/>
        <w:spacing w:before="5"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（1）</w:t>
      </w:r>
      <w:r>
        <w:rPr>
          <w:rFonts w:hint="eastAsia" w:asciiTheme="minorEastAsia" w:hAnsiTheme="minorEastAsia" w:eastAsiaTheme="minorEastAsia" w:cstheme="minorEastAsia"/>
          <w:spacing w:val="-5"/>
          <w:kern w:val="0"/>
          <w:sz w:val="24"/>
          <w:szCs w:val="24"/>
          <w:highlight w:val="none"/>
          <w:lang w:val="zh-CN" w:bidi="zh-CN"/>
        </w:rPr>
        <w:t>在缺陷责任期内，尽快完成在交工证书中写明的未完工作，并完成对本工程缺陷的修复或监理人指令的修补工作；</w:t>
      </w:r>
    </w:p>
    <w:p w14:paraId="2776B158">
      <w:pPr>
        <w:pageBreakBefore w:val="0"/>
        <w:kinsoku/>
        <w:wordWrap/>
        <w:overflowPunct/>
        <w:topLinePunct w:val="0"/>
        <w:autoSpaceDE w:val="0"/>
        <w:autoSpaceDN w:val="0"/>
        <w:bidi w:val="0"/>
        <w:adjustRightInd/>
        <w:snapToGrid/>
        <w:spacing w:before="1" w:line="320" w:lineRule="exact"/>
        <w:ind w:right="465"/>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w:t>
      </w:r>
      <w:r>
        <w:rPr>
          <w:rFonts w:hint="eastAsia" w:asciiTheme="minorEastAsia" w:hAnsiTheme="minorEastAsia" w:eastAsiaTheme="minorEastAsia" w:cstheme="minorEastAsia"/>
          <w:spacing w:val="-5"/>
          <w:kern w:val="0"/>
          <w:sz w:val="24"/>
          <w:szCs w:val="24"/>
          <w:highlight w:val="none"/>
          <w:lang w:val="zh-CN" w:bidi="zh-CN"/>
        </w:rPr>
        <w:t xml:space="preserve">在缺陷责任期满后的 </w:t>
      </w:r>
      <w:r>
        <w:rPr>
          <w:rFonts w:hint="eastAsia" w:asciiTheme="minorEastAsia" w:hAnsiTheme="minorEastAsia" w:eastAsiaTheme="minorEastAsia" w:cstheme="minorEastAsia"/>
          <w:kern w:val="0"/>
          <w:sz w:val="24"/>
          <w:szCs w:val="24"/>
          <w:highlight w:val="none"/>
          <w:lang w:val="zh-CN" w:bidi="zh-CN"/>
        </w:rPr>
        <w:t>14 天内，按照发包人和监理人在缺陷责任期满前检查结果而发出的指令，对存在的缺陷或其他不合格之处进行修补、重建及修复。承包人不能在合理时间内修复缺陷的，发包人可自行修复或委托其他人修复，所需费用和利润由承包人承担。</w:t>
      </w:r>
    </w:p>
    <w:p w14:paraId="388F306B">
      <w:pPr>
        <w:pageBreakBefore w:val="0"/>
        <w:numPr>
          <w:ilvl w:val="1"/>
          <w:numId w:val="0"/>
        </w:numPr>
        <w:tabs>
          <w:tab w:val="left" w:pos="1529"/>
        </w:tabs>
        <w:kinsoku/>
        <w:wordWrap/>
        <w:overflowPunct/>
        <w:topLinePunct w:val="0"/>
        <w:autoSpaceDE w:val="0"/>
        <w:autoSpaceDN w:val="0"/>
        <w:bidi w:val="0"/>
        <w:adjustRightInd/>
        <w:snapToGrid/>
        <w:spacing w:before="74" w:line="320" w:lineRule="exact"/>
        <w:ind w:right="465"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21.3</w:t>
      </w:r>
      <w:r>
        <w:rPr>
          <w:rFonts w:hint="eastAsia" w:asciiTheme="minorEastAsia" w:hAnsiTheme="minorEastAsia" w:eastAsiaTheme="minorEastAsia" w:cstheme="minorEastAsia"/>
          <w:kern w:val="0"/>
          <w:sz w:val="24"/>
          <w:szCs w:val="24"/>
          <w:highlight w:val="none"/>
          <w:lang w:val="zh-CN" w:bidi="zh-CN"/>
        </w:rPr>
        <w:t>在缺陷责任期内，因承包人原因造成的缺陷修复费用和复验费用应由承包人自行负责；不属于承包人原因造成的缺陷修复费用由监理人同承包人协商并报发包人批准。</w:t>
      </w:r>
    </w:p>
    <w:p w14:paraId="711014BE">
      <w:pPr>
        <w:pageBreakBefore w:val="0"/>
        <w:numPr>
          <w:ilvl w:val="1"/>
          <w:numId w:val="0"/>
        </w:numPr>
        <w:tabs>
          <w:tab w:val="left" w:pos="1529"/>
        </w:tabs>
        <w:kinsoku/>
        <w:wordWrap/>
        <w:overflowPunct/>
        <w:topLinePunct w:val="0"/>
        <w:autoSpaceDE w:val="0"/>
        <w:autoSpaceDN w:val="0"/>
        <w:bidi w:val="0"/>
        <w:adjustRightInd/>
        <w:snapToGrid/>
        <w:spacing w:line="320" w:lineRule="exact"/>
        <w:ind w:right="465"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21.4</w:t>
      </w:r>
      <w:r>
        <w:rPr>
          <w:rFonts w:hint="eastAsia" w:asciiTheme="minorEastAsia" w:hAnsiTheme="minorEastAsia" w:eastAsiaTheme="minorEastAsia" w:cstheme="minorEastAsia"/>
          <w:kern w:val="0"/>
          <w:sz w:val="24"/>
          <w:szCs w:val="24"/>
          <w:highlight w:val="none"/>
          <w:lang w:val="zh-CN" w:bidi="zh-CN"/>
        </w:rPr>
        <w:t>由于承包人原因造成某项缺陷或损坏使某项工程不能按原定目标使用而需要再次检查、检验和修复的，发包人有权要求承包人相应延长缺陷责任期，但缺</w:t>
      </w:r>
      <w:r>
        <w:rPr>
          <w:rFonts w:hint="eastAsia" w:asciiTheme="minorEastAsia" w:hAnsiTheme="minorEastAsia" w:eastAsiaTheme="minorEastAsia" w:cstheme="minorEastAsia"/>
          <w:spacing w:val="-6"/>
          <w:kern w:val="0"/>
          <w:sz w:val="24"/>
          <w:szCs w:val="24"/>
          <w:highlight w:val="none"/>
          <w:lang w:val="zh-CN" w:bidi="zh-CN"/>
        </w:rPr>
        <w:t xml:space="preserve">陷责任期最长不超过 </w:t>
      </w:r>
      <w:r>
        <w:rPr>
          <w:rFonts w:hint="eastAsia" w:asciiTheme="minorEastAsia" w:hAnsiTheme="minorEastAsia" w:eastAsiaTheme="minorEastAsia" w:cstheme="minorEastAsia"/>
          <w:kern w:val="0"/>
          <w:sz w:val="24"/>
          <w:szCs w:val="24"/>
          <w:highlight w:val="none"/>
          <w:lang w:val="zh-CN" w:bidi="zh-CN"/>
        </w:rPr>
        <w:t>2 年，自该项工程或设备修复之日算起。</w:t>
      </w:r>
    </w:p>
    <w:p w14:paraId="1F8737EF">
      <w:pPr>
        <w:pageBreakBefore w:val="0"/>
        <w:numPr>
          <w:ilvl w:val="1"/>
          <w:numId w:val="0"/>
        </w:numPr>
        <w:tabs>
          <w:tab w:val="left" w:pos="1523"/>
          <w:tab w:val="left" w:pos="1524"/>
        </w:tabs>
        <w:kinsoku/>
        <w:wordWrap/>
        <w:overflowPunct/>
        <w:topLinePunct w:val="0"/>
        <w:autoSpaceDE w:val="0"/>
        <w:autoSpaceDN w:val="0"/>
        <w:bidi w:val="0"/>
        <w:adjustRightInd/>
        <w:snapToGrid/>
        <w:spacing w:line="320" w:lineRule="exact"/>
        <w:ind w:right="467" w:rightChars="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21.5</w:t>
      </w:r>
      <w:r>
        <w:rPr>
          <w:rFonts w:hint="eastAsia" w:asciiTheme="minorEastAsia" w:hAnsiTheme="minorEastAsia" w:eastAsiaTheme="minorEastAsia" w:cstheme="minorEastAsia"/>
          <w:kern w:val="0"/>
          <w:sz w:val="24"/>
          <w:szCs w:val="24"/>
          <w:highlight w:val="none"/>
          <w:lang w:val="zh-CN" w:bidi="zh-CN"/>
        </w:rPr>
        <w:t>保修期自实际交工日期起计算，具体期限在合同条款数据表中约定。在保修期内承包人应对由于施工质量原因造成的损坏自费进行修复。</w:t>
      </w:r>
    </w:p>
    <w:p w14:paraId="494D4367">
      <w:pPr>
        <w:pageBreakBefore w:val="0"/>
        <w:numPr>
          <w:ilvl w:val="1"/>
          <w:numId w:val="0"/>
        </w:numPr>
        <w:tabs>
          <w:tab w:val="left" w:pos="1523"/>
          <w:tab w:val="left" w:pos="1524"/>
        </w:tabs>
        <w:kinsoku/>
        <w:wordWrap/>
        <w:overflowPunct/>
        <w:topLinePunct w:val="0"/>
        <w:autoSpaceDE w:val="0"/>
        <w:autoSpaceDN w:val="0"/>
        <w:bidi w:val="0"/>
        <w:adjustRightInd/>
        <w:snapToGrid/>
        <w:spacing w:line="320" w:lineRule="exact"/>
        <w:ind w:right="467" w:rightChars="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21.6</w:t>
      </w:r>
      <w:r>
        <w:rPr>
          <w:rFonts w:hint="eastAsia" w:asciiTheme="minorEastAsia" w:hAnsiTheme="minorEastAsia" w:eastAsiaTheme="minorEastAsia" w:cstheme="minorEastAsia"/>
          <w:spacing w:val="-7"/>
          <w:kern w:val="0"/>
          <w:sz w:val="24"/>
          <w:szCs w:val="24"/>
          <w:highlight w:val="none"/>
          <w:lang w:val="zh-CN" w:bidi="zh-CN"/>
        </w:rPr>
        <w:t>工</w:t>
      </w:r>
      <w:r>
        <w:rPr>
          <w:rFonts w:hint="eastAsia" w:asciiTheme="minorEastAsia" w:hAnsiTheme="minorEastAsia" w:eastAsiaTheme="minorEastAsia" w:cstheme="minorEastAsia"/>
          <w:kern w:val="0"/>
          <w:sz w:val="24"/>
          <w:szCs w:val="24"/>
          <w:highlight w:val="none"/>
          <w:lang w:val="zh-CN" w:bidi="zh-CN"/>
        </w:rPr>
        <w:t>程保修期终止后 28 天内，监理人签发保修期终止证书。</w:t>
      </w:r>
    </w:p>
    <w:p w14:paraId="02256EB5">
      <w:pPr>
        <w:pageBreakBefore w:val="0"/>
        <w:numPr>
          <w:ilvl w:val="1"/>
          <w:numId w:val="0"/>
        </w:numPr>
        <w:tabs>
          <w:tab w:val="left" w:pos="1529"/>
        </w:tabs>
        <w:kinsoku/>
        <w:wordWrap/>
        <w:overflowPunct/>
        <w:topLinePunct w:val="0"/>
        <w:autoSpaceDE w:val="0"/>
        <w:autoSpaceDN w:val="0"/>
        <w:bidi w:val="0"/>
        <w:adjustRightInd/>
        <w:snapToGrid/>
        <w:spacing w:before="78" w:line="320" w:lineRule="exact"/>
        <w:ind w:right="465"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21.7</w:t>
      </w:r>
      <w:r>
        <w:rPr>
          <w:rFonts w:hint="eastAsia" w:asciiTheme="minorEastAsia" w:hAnsiTheme="minorEastAsia" w:eastAsiaTheme="minorEastAsia" w:cstheme="minorEastAsia"/>
          <w:kern w:val="0"/>
          <w:sz w:val="24"/>
          <w:szCs w:val="24"/>
          <w:highlight w:val="none"/>
          <w:lang w:val="zh-CN" w:bidi="zh-CN"/>
        </w:rPr>
        <w:t>若承包人不履行保修义务和责任，则承包人应承担由于违约造成的法律后果，并由发包人将其违约行为上报交通运输主管部门，并作为不良记录纳入公路建设市场信用信息管理系统。</w:t>
      </w:r>
    </w:p>
    <w:p w14:paraId="07D47B0B">
      <w:pPr>
        <w:pageBreakBefore w:val="0"/>
        <w:numPr>
          <w:ilvl w:val="1"/>
          <w:numId w:val="0"/>
        </w:numPr>
        <w:tabs>
          <w:tab w:val="left" w:pos="1533"/>
          <w:tab w:val="left" w:pos="1534"/>
        </w:tabs>
        <w:kinsoku/>
        <w:wordWrap/>
        <w:overflowPunct/>
        <w:topLinePunct w:val="0"/>
        <w:autoSpaceDE w:val="0"/>
        <w:autoSpaceDN w:val="0"/>
        <w:bidi w:val="0"/>
        <w:adjustRightInd/>
        <w:snapToGrid/>
        <w:spacing w:line="320" w:lineRule="exact"/>
        <w:ind w:right="467" w:rightChars="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21.8</w:t>
      </w:r>
      <w:r>
        <w:rPr>
          <w:rFonts w:hint="eastAsia" w:asciiTheme="minorEastAsia" w:hAnsiTheme="minorEastAsia" w:eastAsiaTheme="minorEastAsia" w:cstheme="minorEastAsia"/>
          <w:spacing w:val="-5"/>
          <w:kern w:val="0"/>
          <w:sz w:val="24"/>
          <w:szCs w:val="24"/>
          <w:highlight w:val="none"/>
          <w:lang w:val="zh-CN" w:bidi="zh-CN"/>
        </w:rPr>
        <w:t xml:space="preserve">缺陷责任期满后 </w:t>
      </w:r>
      <w:r>
        <w:rPr>
          <w:rFonts w:hint="eastAsia" w:asciiTheme="minorEastAsia" w:hAnsiTheme="minorEastAsia" w:eastAsiaTheme="minorEastAsia" w:cstheme="minorEastAsia"/>
          <w:kern w:val="0"/>
          <w:sz w:val="24"/>
          <w:szCs w:val="24"/>
          <w:highlight w:val="none"/>
          <w:lang w:val="zh-CN" w:bidi="zh-CN"/>
        </w:rPr>
        <w:t>14</w:t>
      </w:r>
      <w:r>
        <w:rPr>
          <w:rFonts w:hint="eastAsia" w:asciiTheme="minorEastAsia" w:hAnsiTheme="minorEastAsia" w:eastAsiaTheme="minorEastAsia" w:cstheme="minorEastAsia"/>
          <w:spacing w:val="4"/>
          <w:kern w:val="0"/>
          <w:sz w:val="24"/>
          <w:szCs w:val="24"/>
          <w:highlight w:val="none"/>
          <w:lang w:val="zh-CN" w:bidi="zh-CN"/>
        </w:rPr>
        <w:t xml:space="preserve"> 天内,</w:t>
      </w:r>
      <w:r>
        <w:rPr>
          <w:rFonts w:hint="eastAsia" w:asciiTheme="minorEastAsia" w:hAnsiTheme="minorEastAsia" w:eastAsiaTheme="minorEastAsia" w:cstheme="minorEastAsia"/>
          <w:spacing w:val="3"/>
          <w:kern w:val="0"/>
          <w:sz w:val="24"/>
          <w:szCs w:val="24"/>
          <w:highlight w:val="none"/>
          <w:lang w:val="zh-CN" w:bidi="zh-CN"/>
        </w:rPr>
        <w:t>由监理人向承包人出具经发包人签认的缺陷责任终止证书，并退还剩余的质量保证金。</w:t>
      </w:r>
    </w:p>
    <w:p w14:paraId="3C8CAEE6">
      <w:pPr>
        <w:keepNext/>
        <w:keepLines/>
        <w:pageBreakBefore w:val="0"/>
        <w:widowControl/>
        <w:kinsoku/>
        <w:wordWrap/>
        <w:overflowPunct/>
        <w:topLinePunct w:val="0"/>
        <w:bidi w:val="0"/>
        <w:adjustRightInd/>
        <w:snapToGrid/>
        <w:spacing w:before="260" w:after="26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bookmarkStart w:id="411" w:name="_Toc256000042"/>
      <w:r>
        <w:rPr>
          <w:rFonts w:hint="eastAsia" w:asciiTheme="minorEastAsia" w:hAnsiTheme="minorEastAsia" w:eastAsiaTheme="minorEastAsia" w:cstheme="minorEastAsia"/>
          <w:b/>
          <w:bCs/>
          <w:kern w:val="0"/>
          <w:sz w:val="24"/>
          <w:szCs w:val="24"/>
          <w:highlight w:val="none"/>
          <w:lang w:val="zh-CN" w:bidi="zh-CN"/>
        </w:rPr>
        <w:t>十、违约、索赔和争议</w:t>
      </w:r>
      <w:bookmarkEnd w:id="411"/>
    </w:p>
    <w:p w14:paraId="52C4C1CC">
      <w:pPr>
        <w:keepLines/>
        <w:pageBreakBefore w:val="0"/>
        <w:widowControl/>
        <w:tabs>
          <w:tab w:val="left" w:pos="567"/>
        </w:tabs>
        <w:kinsoku/>
        <w:wordWrap/>
        <w:overflowPunct/>
        <w:topLinePunct w:val="0"/>
        <w:autoSpaceDE w:val="0"/>
        <w:autoSpaceDN w:val="0"/>
        <w:bidi w:val="0"/>
        <w:adjustRightInd/>
        <w:snapToGrid/>
        <w:spacing w:before="120" w:after="12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22.违约</w:t>
      </w:r>
    </w:p>
    <w:p w14:paraId="5D4724A9">
      <w:pPr>
        <w:pageBreakBefore w:val="0"/>
        <w:tabs>
          <w:tab w:val="left" w:pos="1523"/>
          <w:tab w:val="left" w:pos="1524"/>
        </w:tabs>
        <w:kinsoku/>
        <w:wordWrap/>
        <w:overflowPunct/>
        <w:topLinePunct w:val="0"/>
        <w:autoSpaceDE w:val="0"/>
        <w:autoSpaceDN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22.1发包人违约</w:t>
      </w:r>
    </w:p>
    <w:p w14:paraId="53826B7B">
      <w:pPr>
        <w:pageBreakBefore w:val="0"/>
        <w:numPr>
          <w:ilvl w:val="2"/>
          <w:numId w:val="0"/>
        </w:numPr>
        <w:tabs>
          <w:tab w:val="left" w:pos="1703"/>
          <w:tab w:val="left" w:pos="1704"/>
        </w:tabs>
        <w:kinsoku/>
        <w:wordWrap/>
        <w:overflowPunct/>
        <w:topLinePunct w:val="0"/>
        <w:autoSpaceDE w:val="0"/>
        <w:autoSpaceDN w:val="0"/>
        <w:bidi w:val="0"/>
        <w:adjustRightInd/>
        <w:snapToGrid/>
        <w:spacing w:before="84"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22.1.1</w:t>
      </w:r>
      <w:r>
        <w:rPr>
          <w:rFonts w:hint="eastAsia" w:asciiTheme="minorEastAsia" w:hAnsiTheme="minorEastAsia" w:eastAsiaTheme="minorEastAsia" w:cstheme="minorEastAsia"/>
          <w:kern w:val="0"/>
          <w:sz w:val="24"/>
          <w:szCs w:val="24"/>
          <w:highlight w:val="none"/>
          <w:lang w:val="zh-CN" w:bidi="zh-CN"/>
        </w:rPr>
        <w:t>下列情况属发包人违约：</w:t>
      </w:r>
    </w:p>
    <w:p w14:paraId="51757AD0">
      <w:pPr>
        <w:pageBreakBefore w:val="0"/>
        <w:kinsoku/>
        <w:wordWrap/>
        <w:overflowPunct/>
        <w:topLinePunct w:val="0"/>
        <w:autoSpaceDE w:val="0"/>
        <w:autoSpaceDN w:val="0"/>
        <w:bidi w:val="0"/>
        <w:adjustRightInd/>
        <w:snapToGrid/>
        <w:spacing w:before="86" w:line="320" w:lineRule="exact"/>
        <w:ind w:right="34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w:t>
      </w:r>
      <w:r>
        <w:rPr>
          <w:rFonts w:hint="eastAsia" w:asciiTheme="minorEastAsia" w:hAnsiTheme="minorEastAsia" w:eastAsiaTheme="minorEastAsia" w:cstheme="minorEastAsia"/>
          <w:spacing w:val="-104"/>
          <w:kern w:val="0"/>
          <w:sz w:val="24"/>
          <w:szCs w:val="24"/>
          <w:highlight w:val="none"/>
          <w:lang w:val="zh-CN" w:bidi="zh-CN"/>
        </w:rPr>
        <w:t>）</w:t>
      </w:r>
      <w:r>
        <w:rPr>
          <w:rFonts w:hint="eastAsia" w:asciiTheme="minorEastAsia" w:hAnsiTheme="minorEastAsia" w:eastAsiaTheme="minorEastAsia" w:cstheme="minorEastAsia"/>
          <w:spacing w:val="-11"/>
          <w:kern w:val="0"/>
          <w:sz w:val="24"/>
          <w:szCs w:val="24"/>
          <w:highlight w:val="none"/>
          <w:lang w:val="zh-CN" w:bidi="zh-CN"/>
        </w:rPr>
        <w:t>按合同约定，未向承包人支付根据监理人签发的支付证书项下的应付款额，或拖延、拒绝批准付款申请和支付凭证，导致付款延误的；</w:t>
      </w:r>
    </w:p>
    <w:p w14:paraId="59993171">
      <w:pPr>
        <w:pageBreakBefore w:val="0"/>
        <w:kinsoku/>
        <w:wordWrap/>
        <w:overflowPunct/>
        <w:topLinePunct w:val="0"/>
        <w:autoSpaceDE w:val="0"/>
        <w:autoSpaceDN w:val="0"/>
        <w:bidi w:val="0"/>
        <w:adjustRightInd/>
        <w:snapToGrid/>
        <w:spacing w:before="86" w:line="320" w:lineRule="exact"/>
        <w:ind w:right="34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（2）发包人原因造成停工的；</w:t>
      </w:r>
    </w:p>
    <w:p w14:paraId="5EF936BF">
      <w:pPr>
        <w:pageBreakBefore w:val="0"/>
        <w:kinsoku/>
        <w:wordWrap/>
        <w:overflowPunct/>
        <w:topLinePunct w:val="0"/>
        <w:autoSpaceDE w:val="0"/>
        <w:autoSpaceDN w:val="0"/>
        <w:bidi w:val="0"/>
        <w:adjustRightInd/>
        <w:snapToGrid/>
        <w:spacing w:before="86"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（3）监理人无正当理由没有在约定期限内，发出复工指示，导致承包人无法复工的；</w:t>
      </w:r>
    </w:p>
    <w:p w14:paraId="7869B6E1">
      <w:pPr>
        <w:pageBreakBefore w:val="0"/>
        <w:kinsoku/>
        <w:wordWrap/>
        <w:overflowPunct/>
        <w:topLinePunct w:val="0"/>
        <w:autoSpaceDE w:val="0"/>
        <w:autoSpaceDN w:val="0"/>
        <w:bidi w:val="0"/>
        <w:adjustRightInd/>
        <w:snapToGrid/>
        <w:spacing w:before="1"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4"/>
          <w:kern w:val="0"/>
          <w:sz w:val="24"/>
          <w:szCs w:val="24"/>
          <w:highlight w:val="none"/>
          <w:lang w:val="zh-CN" w:bidi="zh-CN"/>
        </w:rPr>
        <w:t>（4）</w:t>
      </w:r>
      <w:r>
        <w:rPr>
          <w:rFonts w:hint="eastAsia" w:asciiTheme="minorEastAsia" w:hAnsiTheme="minorEastAsia" w:eastAsiaTheme="minorEastAsia" w:cstheme="minorEastAsia"/>
          <w:spacing w:val="2"/>
          <w:kern w:val="0"/>
          <w:sz w:val="24"/>
          <w:szCs w:val="24"/>
          <w:highlight w:val="none"/>
          <w:lang w:val="zh-CN" w:bidi="zh-CN"/>
        </w:rPr>
        <w:t>未根据本合同任何条款而无理阻碍或拒绝对任何上述证书颁发的所需批准，则承包人有权终止对本合同项下的承包，并通知发包人，抄送监理人，该终止</w:t>
      </w:r>
      <w:r>
        <w:rPr>
          <w:rFonts w:hint="eastAsia" w:asciiTheme="minorEastAsia" w:hAnsiTheme="minorEastAsia" w:eastAsiaTheme="minorEastAsia" w:cstheme="minorEastAsia"/>
          <w:spacing w:val="-9"/>
          <w:kern w:val="0"/>
          <w:sz w:val="24"/>
          <w:szCs w:val="24"/>
          <w:highlight w:val="none"/>
          <w:lang w:val="zh-CN" w:bidi="zh-CN"/>
        </w:rPr>
        <w:t xml:space="preserve">在发出通知 </w:t>
      </w:r>
      <w:r>
        <w:rPr>
          <w:rFonts w:hint="eastAsia" w:asciiTheme="minorEastAsia" w:hAnsiTheme="minorEastAsia" w:eastAsiaTheme="minorEastAsia" w:cstheme="minorEastAsia"/>
          <w:kern w:val="0"/>
          <w:sz w:val="24"/>
          <w:szCs w:val="24"/>
          <w:highlight w:val="none"/>
          <w:lang w:val="zh-CN" w:bidi="zh-CN"/>
        </w:rPr>
        <w:t xml:space="preserve">14 </w:t>
      </w:r>
      <w:r>
        <w:rPr>
          <w:rFonts w:hint="eastAsia" w:asciiTheme="minorEastAsia" w:hAnsiTheme="minorEastAsia" w:eastAsiaTheme="minorEastAsia" w:cstheme="minorEastAsia"/>
          <w:spacing w:val="-10"/>
          <w:kern w:val="0"/>
          <w:sz w:val="24"/>
          <w:szCs w:val="24"/>
          <w:highlight w:val="none"/>
          <w:lang w:val="zh-CN" w:bidi="zh-CN"/>
        </w:rPr>
        <w:t>天后生效，发包人应承担违约责任，赔偿因其违约给承包人造成的损失，顺延延误的工期。</w:t>
      </w:r>
    </w:p>
    <w:p w14:paraId="77868048">
      <w:pPr>
        <w:pageBreakBefore w:val="0"/>
        <w:numPr>
          <w:ilvl w:val="2"/>
          <w:numId w:val="0"/>
        </w:numPr>
        <w:tabs>
          <w:tab w:val="left" w:pos="1703"/>
          <w:tab w:val="left" w:pos="1704"/>
        </w:tabs>
        <w:kinsoku/>
        <w:wordWrap/>
        <w:overflowPunct/>
        <w:topLinePunct w:val="0"/>
        <w:autoSpaceDE w:val="0"/>
        <w:autoSpaceDN w:val="0"/>
        <w:bidi w:val="0"/>
        <w:adjustRightInd/>
        <w:snapToGrid/>
        <w:spacing w:before="8" w:line="320" w:lineRule="exact"/>
        <w:ind w:right="346" w:rightChars="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22.1.2</w:t>
      </w:r>
      <w:r>
        <w:rPr>
          <w:rFonts w:hint="eastAsia" w:asciiTheme="minorEastAsia" w:hAnsiTheme="minorEastAsia" w:eastAsiaTheme="minorEastAsia" w:cstheme="minorEastAsia"/>
          <w:spacing w:val="-6"/>
          <w:kern w:val="0"/>
          <w:sz w:val="24"/>
          <w:szCs w:val="24"/>
          <w:highlight w:val="none"/>
          <w:lang w:val="zh-CN" w:bidi="zh-CN"/>
        </w:rPr>
        <w:t>发包人发生违约情况时，承包人可向发包人发出通知，要求发包人采取</w:t>
      </w:r>
      <w:r>
        <w:rPr>
          <w:rFonts w:hint="eastAsia" w:asciiTheme="minorEastAsia" w:hAnsiTheme="minorEastAsia" w:eastAsiaTheme="minorEastAsia" w:cstheme="minorEastAsia"/>
          <w:spacing w:val="-13"/>
          <w:kern w:val="0"/>
          <w:sz w:val="24"/>
          <w:szCs w:val="24"/>
          <w:highlight w:val="none"/>
          <w:lang w:val="zh-CN" w:bidi="zh-CN"/>
        </w:rPr>
        <w:t xml:space="preserve">有效措施纠正违约行为。发包人收到承包人通知后的 </w:t>
      </w:r>
      <w:r>
        <w:rPr>
          <w:rFonts w:hint="eastAsia" w:asciiTheme="minorEastAsia" w:hAnsiTheme="minorEastAsia" w:eastAsiaTheme="minorEastAsia" w:cstheme="minorEastAsia"/>
          <w:kern w:val="0"/>
          <w:sz w:val="24"/>
          <w:szCs w:val="24"/>
          <w:highlight w:val="none"/>
          <w:lang w:val="zh-CN" w:bidi="zh-CN"/>
        </w:rPr>
        <w:t xml:space="preserve">28 </w:t>
      </w:r>
      <w:r>
        <w:rPr>
          <w:rFonts w:hint="eastAsia" w:asciiTheme="minorEastAsia" w:hAnsiTheme="minorEastAsia" w:eastAsiaTheme="minorEastAsia" w:cstheme="minorEastAsia"/>
          <w:spacing w:val="-4"/>
          <w:kern w:val="0"/>
          <w:sz w:val="24"/>
          <w:szCs w:val="24"/>
          <w:highlight w:val="none"/>
          <w:lang w:val="zh-CN" w:bidi="zh-CN"/>
        </w:rPr>
        <w:t>天内仍不履行合同义务，承包人有权暂停施工，并通知监理人，发包人应承担由此增加的费用和</w:t>
      </w:r>
      <w:r>
        <w:rPr>
          <w:rFonts w:hint="eastAsia" w:asciiTheme="minorEastAsia" w:hAnsiTheme="minorEastAsia" w:eastAsiaTheme="minorEastAsia" w:cstheme="minorEastAsia"/>
          <w:kern w:val="0"/>
          <w:sz w:val="24"/>
          <w:szCs w:val="24"/>
          <w:highlight w:val="none"/>
          <w:lang w:val="zh-CN" w:bidi="zh-CN"/>
        </w:rPr>
        <w:t>(或)工期延误， 并支付承包人合理利润。</w:t>
      </w:r>
    </w:p>
    <w:p w14:paraId="5CF5A64C">
      <w:pPr>
        <w:pageBreakBefore w:val="0"/>
        <w:tabs>
          <w:tab w:val="left" w:pos="1523"/>
          <w:tab w:val="left" w:pos="1524"/>
        </w:tabs>
        <w:kinsoku/>
        <w:wordWrap/>
        <w:overflowPunct/>
        <w:topLinePunct w:val="0"/>
        <w:autoSpaceDE w:val="0"/>
        <w:autoSpaceDN w:val="0"/>
        <w:bidi w:val="0"/>
        <w:adjustRightInd/>
        <w:snapToGrid/>
        <w:spacing w:before="5"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22.2 承包人违约</w:t>
      </w:r>
    </w:p>
    <w:p w14:paraId="22794A36">
      <w:pPr>
        <w:pageBreakBefore w:val="0"/>
        <w:numPr>
          <w:ilvl w:val="2"/>
          <w:numId w:val="0"/>
        </w:numPr>
        <w:tabs>
          <w:tab w:val="left" w:pos="1703"/>
          <w:tab w:val="left" w:pos="1704"/>
        </w:tabs>
        <w:kinsoku/>
        <w:wordWrap/>
        <w:overflowPunct/>
        <w:topLinePunct w:val="0"/>
        <w:autoSpaceDE w:val="0"/>
        <w:autoSpaceDN w:val="0"/>
        <w:bidi w:val="0"/>
        <w:adjustRightInd/>
        <w:snapToGrid/>
        <w:spacing w:before="83"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22.2.1</w:t>
      </w:r>
      <w:r>
        <w:rPr>
          <w:rFonts w:hint="eastAsia" w:asciiTheme="minorEastAsia" w:hAnsiTheme="minorEastAsia" w:eastAsiaTheme="minorEastAsia" w:cstheme="minorEastAsia"/>
          <w:kern w:val="0"/>
          <w:sz w:val="24"/>
          <w:szCs w:val="24"/>
          <w:highlight w:val="none"/>
          <w:lang w:val="zh-CN" w:bidi="zh-CN"/>
        </w:rPr>
        <w:t>下列情况属承包人违约：</w:t>
      </w:r>
    </w:p>
    <w:p w14:paraId="3AC42B74">
      <w:pPr>
        <w:pageBreakBefore w:val="0"/>
        <w:kinsoku/>
        <w:wordWrap/>
        <w:overflowPunct/>
        <w:topLinePunct w:val="0"/>
        <w:autoSpaceDE w:val="0"/>
        <w:autoSpaceDN w:val="0"/>
        <w:bidi w:val="0"/>
        <w:adjustRightInd/>
        <w:snapToGrid/>
        <w:spacing w:before="84"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（1）无视监理人事先的书面警告，不履行其合同规定的义务；</w:t>
      </w:r>
    </w:p>
    <w:p w14:paraId="7B796DD5">
      <w:pPr>
        <w:pageBreakBefore w:val="0"/>
        <w:kinsoku/>
        <w:wordWrap/>
        <w:overflowPunct/>
        <w:topLinePunct w:val="0"/>
        <w:autoSpaceDE w:val="0"/>
        <w:autoSpaceDN w:val="0"/>
        <w:bidi w:val="0"/>
        <w:adjustRightInd/>
        <w:snapToGrid/>
        <w:spacing w:before="84"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（2）违反合同规定，私自将合同的全部或部分权利转让给其他人，或私自将合同的全部或部分义务转让给其他人；</w:t>
      </w:r>
    </w:p>
    <w:p w14:paraId="26C2B4D0">
      <w:pPr>
        <w:pageBreakBefore w:val="0"/>
        <w:kinsoku/>
        <w:wordWrap/>
        <w:overflowPunct/>
        <w:topLinePunct w:val="0"/>
        <w:autoSpaceDE w:val="0"/>
        <w:autoSpaceDN w:val="0"/>
        <w:bidi w:val="0"/>
        <w:adjustRightInd/>
        <w:snapToGrid/>
        <w:spacing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5"/>
          <w:kern w:val="0"/>
          <w:sz w:val="24"/>
          <w:szCs w:val="24"/>
          <w:highlight w:val="none"/>
          <w:lang w:val="zh-CN" w:bidi="zh-CN"/>
        </w:rPr>
        <w:t>（3）</w:t>
      </w:r>
      <w:r>
        <w:rPr>
          <w:rFonts w:hint="eastAsia" w:asciiTheme="minorEastAsia" w:hAnsiTheme="minorEastAsia" w:eastAsiaTheme="minorEastAsia" w:cstheme="minorEastAsia"/>
          <w:spacing w:val="-2"/>
          <w:kern w:val="0"/>
          <w:sz w:val="24"/>
          <w:szCs w:val="24"/>
          <w:highlight w:val="none"/>
          <w:lang w:val="zh-CN" w:bidi="zh-CN"/>
        </w:rPr>
        <w:t>未按在合同谈判阶段确定的内容配备其他管理和技术人员、主要机械设备和试验检测设备、未按期提交施工组织计划；私自将已按合同约定进入场地的施工设备、临时设备或材料撤离施工场地；</w:t>
      </w:r>
    </w:p>
    <w:p w14:paraId="2BB203B0">
      <w:pPr>
        <w:pageBreakBefore w:val="0"/>
        <w:kinsoku/>
        <w:wordWrap/>
        <w:overflowPunct/>
        <w:topLinePunct w:val="0"/>
        <w:autoSpaceDE w:val="0"/>
        <w:autoSpaceDN w:val="0"/>
        <w:bidi w:val="0"/>
        <w:adjustRightInd/>
        <w:snapToGrid/>
        <w:spacing w:line="320" w:lineRule="exact"/>
        <w:ind w:right="41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（4）在监理人通知或指令发出 28 天内不遵守该通知或指令修复或运走、替换不合格材料、设备的；</w:t>
      </w:r>
    </w:p>
    <w:p w14:paraId="1CE389B2">
      <w:pPr>
        <w:pageBreakBefore w:val="0"/>
        <w:kinsoku/>
        <w:wordWrap/>
        <w:overflowPunct/>
        <w:topLinePunct w:val="0"/>
        <w:autoSpaceDE w:val="0"/>
        <w:autoSpaceDN w:val="0"/>
        <w:bidi w:val="0"/>
        <w:adjustRightInd/>
        <w:snapToGrid/>
        <w:spacing w:line="320" w:lineRule="exact"/>
        <w:ind w:right="41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（5）无正当理由延期开工或因进度滞后，在接到监理人加快进度通知 28 天内无正当理由、未能采取措施加快进行本工程或其关键部分的施工；</w:t>
      </w:r>
    </w:p>
    <w:p w14:paraId="62C012A4">
      <w:pPr>
        <w:pageBreakBefore w:val="0"/>
        <w:kinsoku/>
        <w:wordWrap/>
        <w:overflowPunct/>
        <w:topLinePunct w:val="0"/>
        <w:autoSpaceDE w:val="0"/>
        <w:autoSpaceDN w:val="0"/>
        <w:bidi w:val="0"/>
        <w:adjustRightInd/>
        <w:snapToGrid/>
        <w:spacing w:line="320" w:lineRule="exact"/>
        <w:ind w:right="41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（6）未达到规定质量目标的；</w:t>
      </w:r>
    </w:p>
    <w:p w14:paraId="6C928009">
      <w:pPr>
        <w:pageBreakBefore w:val="0"/>
        <w:kinsoku/>
        <w:wordWrap/>
        <w:overflowPunct/>
        <w:topLinePunct w:val="0"/>
        <w:autoSpaceDE w:val="0"/>
        <w:autoSpaceDN w:val="0"/>
        <w:bidi w:val="0"/>
        <w:adjustRightInd/>
        <w:snapToGrid/>
        <w:spacing w:line="320" w:lineRule="exact"/>
        <w:ind w:right="41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（7）出现三级一般质量事故以上的；</w:t>
      </w:r>
    </w:p>
    <w:p w14:paraId="0BA519DF">
      <w:pPr>
        <w:pageBreakBefore w:val="0"/>
        <w:kinsoku/>
        <w:wordWrap/>
        <w:overflowPunct/>
        <w:topLinePunct w:val="0"/>
        <w:autoSpaceDE w:val="0"/>
        <w:autoSpaceDN w:val="0"/>
        <w:bidi w:val="0"/>
        <w:adjustRightInd/>
        <w:snapToGrid/>
        <w:spacing w:line="320" w:lineRule="exact"/>
        <w:ind w:right="41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（8）发生野蛮施工，造成环保事件或损坏原有建筑物的；</w:t>
      </w:r>
    </w:p>
    <w:p w14:paraId="0F469F02">
      <w:pPr>
        <w:pageBreakBefore w:val="0"/>
        <w:kinsoku/>
        <w:wordWrap/>
        <w:overflowPunct/>
        <w:topLinePunct w:val="0"/>
        <w:autoSpaceDE w:val="0"/>
        <w:autoSpaceDN w:val="0"/>
        <w:bidi w:val="0"/>
        <w:adjustRightInd/>
        <w:snapToGrid/>
        <w:spacing w:line="320" w:lineRule="exact"/>
        <w:ind w:right="41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（9）因通行便道维护不力，造成社会恶劣影响的；</w:t>
      </w:r>
    </w:p>
    <w:p w14:paraId="48B44C2C">
      <w:pPr>
        <w:pageBreakBefore w:val="0"/>
        <w:kinsoku/>
        <w:wordWrap/>
        <w:overflowPunct/>
        <w:topLinePunct w:val="0"/>
        <w:autoSpaceDE w:val="0"/>
        <w:autoSpaceDN w:val="0"/>
        <w:bidi w:val="0"/>
        <w:adjustRightInd/>
        <w:snapToGrid/>
        <w:spacing w:line="320" w:lineRule="exact"/>
        <w:ind w:right="41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（10）拖欠劳务工资、设备、材料款，造成恶劣影响的；</w:t>
      </w:r>
    </w:p>
    <w:p w14:paraId="5ED8C62C">
      <w:pPr>
        <w:pageBreakBefore w:val="0"/>
        <w:kinsoku/>
        <w:wordWrap/>
        <w:overflowPunct/>
        <w:topLinePunct w:val="0"/>
        <w:autoSpaceDE w:val="0"/>
        <w:autoSpaceDN w:val="0"/>
        <w:bidi w:val="0"/>
        <w:adjustRightInd/>
        <w:snapToGrid/>
        <w:spacing w:line="320" w:lineRule="exact"/>
        <w:ind w:right="41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（11）违反分包、转包规定的；</w:t>
      </w:r>
    </w:p>
    <w:p w14:paraId="5144E9AC">
      <w:pPr>
        <w:pageBreakBefore w:val="0"/>
        <w:kinsoku/>
        <w:wordWrap/>
        <w:overflowPunct/>
        <w:topLinePunct w:val="0"/>
        <w:autoSpaceDE w:val="0"/>
        <w:autoSpaceDN w:val="0"/>
        <w:bidi w:val="0"/>
        <w:adjustRightInd/>
        <w:snapToGrid/>
        <w:spacing w:line="320" w:lineRule="exact"/>
        <w:ind w:right="41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（12）承包人在缺陷责任期内，未能对工程接收证书所列的缺陷清单的内容或缺陷责任期内发生的缺陷进行修复，而又拒绝按监理人指示再进行修补的；</w:t>
      </w:r>
    </w:p>
    <w:p w14:paraId="6A49777A">
      <w:pPr>
        <w:pageBreakBefore w:val="0"/>
        <w:kinsoku/>
        <w:wordWrap/>
        <w:overflowPunct/>
        <w:topLinePunct w:val="0"/>
        <w:autoSpaceDE w:val="0"/>
        <w:autoSpaceDN w:val="0"/>
        <w:bidi w:val="0"/>
        <w:adjustRightInd/>
        <w:snapToGrid/>
        <w:spacing w:line="320" w:lineRule="exact"/>
        <w:ind w:right="41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（13）违反其他合同规定履约义务的。</w:t>
      </w:r>
    </w:p>
    <w:p w14:paraId="26124365">
      <w:pPr>
        <w:pageBreakBefore w:val="0"/>
        <w:numPr>
          <w:ilvl w:val="2"/>
          <w:numId w:val="0"/>
        </w:numPr>
        <w:tabs>
          <w:tab w:val="left" w:pos="1703"/>
          <w:tab w:val="left" w:pos="1704"/>
        </w:tabs>
        <w:kinsoku/>
        <w:wordWrap/>
        <w:overflowPunct/>
        <w:topLinePunct w:val="0"/>
        <w:autoSpaceDE w:val="0"/>
        <w:autoSpaceDN w:val="0"/>
        <w:bidi w:val="0"/>
        <w:adjustRightInd/>
        <w:snapToGrid/>
        <w:spacing w:before="83"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22.2.2</w:t>
      </w:r>
      <w:r>
        <w:rPr>
          <w:rFonts w:hint="eastAsia" w:asciiTheme="minorEastAsia" w:hAnsiTheme="minorEastAsia" w:eastAsiaTheme="minorEastAsia" w:cstheme="minorEastAsia"/>
          <w:kern w:val="0"/>
          <w:sz w:val="24"/>
          <w:szCs w:val="24"/>
          <w:highlight w:val="none"/>
          <w:lang w:val="zh-CN" w:bidi="zh-CN"/>
        </w:rPr>
        <w:t>承包人承担违约责任，赔偿因其违约给发包人造成的损失。</w:t>
      </w:r>
    </w:p>
    <w:p w14:paraId="23ABCBFC">
      <w:pPr>
        <w:pageBreakBefore w:val="0"/>
        <w:numPr>
          <w:ilvl w:val="2"/>
          <w:numId w:val="0"/>
        </w:numPr>
        <w:tabs>
          <w:tab w:val="left" w:pos="1707"/>
        </w:tabs>
        <w:kinsoku/>
        <w:wordWrap/>
        <w:overflowPunct/>
        <w:topLinePunct w:val="0"/>
        <w:autoSpaceDE w:val="0"/>
        <w:autoSpaceDN w:val="0"/>
        <w:bidi w:val="0"/>
        <w:adjustRightInd/>
        <w:snapToGrid/>
        <w:spacing w:before="86" w:line="320" w:lineRule="exact"/>
        <w:ind w:right="465"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22.2.3</w:t>
      </w:r>
      <w:r>
        <w:rPr>
          <w:rFonts w:hint="eastAsia" w:asciiTheme="minorEastAsia" w:hAnsiTheme="minorEastAsia" w:eastAsiaTheme="minorEastAsia" w:cstheme="minorEastAsia"/>
          <w:spacing w:val="-5"/>
          <w:kern w:val="0"/>
          <w:sz w:val="24"/>
          <w:szCs w:val="24"/>
          <w:highlight w:val="none"/>
          <w:lang w:val="zh-CN" w:bidi="zh-CN"/>
        </w:rPr>
        <w:t xml:space="preserve">监理人发出整改通知 </w:t>
      </w:r>
      <w:r>
        <w:rPr>
          <w:rFonts w:hint="eastAsia" w:asciiTheme="minorEastAsia" w:hAnsiTheme="minorEastAsia" w:eastAsiaTheme="minorEastAsia" w:cstheme="minorEastAsia"/>
          <w:kern w:val="0"/>
          <w:sz w:val="24"/>
          <w:szCs w:val="24"/>
          <w:highlight w:val="none"/>
          <w:lang w:val="zh-CN" w:bidi="zh-CN"/>
        </w:rPr>
        <w:t>28</w:t>
      </w:r>
      <w:r>
        <w:rPr>
          <w:rFonts w:hint="eastAsia" w:asciiTheme="minorEastAsia" w:hAnsiTheme="minorEastAsia" w:eastAsiaTheme="minorEastAsia" w:cstheme="minorEastAsia"/>
          <w:spacing w:val="12"/>
          <w:kern w:val="0"/>
          <w:sz w:val="24"/>
          <w:szCs w:val="24"/>
          <w:highlight w:val="none"/>
          <w:lang w:val="zh-CN" w:bidi="zh-CN"/>
        </w:rPr>
        <w:t xml:space="preserve"> </w:t>
      </w:r>
      <w:r>
        <w:rPr>
          <w:rFonts w:hint="eastAsia" w:asciiTheme="minorEastAsia" w:hAnsiTheme="minorEastAsia" w:eastAsiaTheme="minorEastAsia" w:cstheme="minorEastAsia"/>
          <w:kern w:val="0"/>
          <w:sz w:val="24"/>
          <w:szCs w:val="24"/>
          <w:highlight w:val="none"/>
          <w:lang w:val="zh-CN" w:bidi="zh-CN"/>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约责任，也不影响发包人根据合同约定享有的索赔权利。</w:t>
      </w:r>
    </w:p>
    <w:p w14:paraId="1EEE14D2">
      <w:pPr>
        <w:pageBreakBefore w:val="0"/>
        <w:numPr>
          <w:ilvl w:val="1"/>
          <w:numId w:val="0"/>
        </w:numPr>
        <w:tabs>
          <w:tab w:val="left" w:pos="1529"/>
        </w:tabs>
        <w:kinsoku/>
        <w:wordWrap/>
        <w:overflowPunct/>
        <w:topLinePunct w:val="0"/>
        <w:autoSpaceDE w:val="0"/>
        <w:autoSpaceDN w:val="0"/>
        <w:bidi w:val="0"/>
        <w:adjustRightInd/>
        <w:snapToGrid/>
        <w:spacing w:before="6" w:line="320" w:lineRule="exact"/>
        <w:ind w:right="465"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22.3</w:t>
      </w:r>
      <w:r>
        <w:rPr>
          <w:rFonts w:hint="eastAsia" w:asciiTheme="minorEastAsia" w:hAnsiTheme="minorEastAsia" w:eastAsiaTheme="minorEastAsia" w:cstheme="minorEastAsia"/>
          <w:kern w:val="0"/>
          <w:sz w:val="24"/>
          <w:szCs w:val="24"/>
          <w:highlight w:val="none"/>
          <w:lang w:val="zh-CN" w:bidi="zh-CN"/>
        </w:rPr>
        <w:t>在履行合同过程中，一方当事人因第三人的原因造成违约的，应当向对方当事人承担违约责任。一方当事人和第三人之间的纠纷，依照法律规定或者按照约定解决。</w:t>
      </w:r>
    </w:p>
    <w:p w14:paraId="1C136435">
      <w:pPr>
        <w:pageBreakBefore w:val="0"/>
        <w:tabs>
          <w:tab w:val="left" w:pos="1523"/>
          <w:tab w:val="left" w:pos="1524"/>
        </w:tabs>
        <w:kinsoku/>
        <w:wordWrap/>
        <w:overflowPunct/>
        <w:topLinePunct w:val="0"/>
        <w:autoSpaceDE w:val="0"/>
        <w:autoSpaceDN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22.4 合同解除后的估价、付款和结清</w:t>
      </w:r>
    </w:p>
    <w:p w14:paraId="2BC12ACC">
      <w:pPr>
        <w:pageBreakBefore w:val="0"/>
        <w:kinsoku/>
        <w:wordWrap/>
        <w:overflowPunct/>
        <w:topLinePunct w:val="0"/>
        <w:autoSpaceDE w:val="0"/>
        <w:autoSpaceDN w:val="0"/>
        <w:bidi w:val="0"/>
        <w:adjustRightInd/>
        <w:snapToGrid/>
        <w:spacing w:before="86"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（1）合同解除后，监理人商定或确定承包人实际完成工作的价值，以及承包人已提供的材料、施工设备、工程设备和临时工程等的价值；</w:t>
      </w:r>
    </w:p>
    <w:p w14:paraId="3237171A">
      <w:pPr>
        <w:pageBreakBefore w:val="0"/>
        <w:kinsoku/>
        <w:wordWrap/>
        <w:overflowPunct/>
        <w:topLinePunct w:val="0"/>
        <w:autoSpaceDE w:val="0"/>
        <w:autoSpaceDN w:val="0"/>
        <w:bidi w:val="0"/>
        <w:adjustRightInd/>
        <w:snapToGrid/>
        <w:spacing w:before="2" w:line="320" w:lineRule="exact"/>
        <w:ind w:right="46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（2）</w:t>
      </w:r>
      <w:r>
        <w:rPr>
          <w:rFonts w:hint="eastAsia" w:asciiTheme="minorEastAsia" w:hAnsiTheme="minorEastAsia" w:eastAsiaTheme="minorEastAsia" w:cstheme="minorEastAsia"/>
          <w:spacing w:val="-7"/>
          <w:kern w:val="0"/>
          <w:sz w:val="24"/>
          <w:szCs w:val="24"/>
          <w:highlight w:val="none"/>
          <w:lang w:val="zh-CN" w:bidi="zh-CN"/>
        </w:rPr>
        <w:t>合同解除后，发包人应暂停对承包人的一切付款，查清各项付款和已扣款金额，包括承包人应支付的违约金；</w:t>
      </w:r>
    </w:p>
    <w:p w14:paraId="3BD742C4">
      <w:pPr>
        <w:pageBreakBefore w:val="0"/>
        <w:kinsoku/>
        <w:wordWrap/>
        <w:overflowPunct/>
        <w:topLinePunct w:val="0"/>
        <w:autoSpaceDE w:val="0"/>
        <w:autoSpaceDN w:val="0"/>
        <w:bidi w:val="0"/>
        <w:adjustRightInd/>
        <w:snapToGrid/>
        <w:spacing w:line="320" w:lineRule="exact"/>
        <w:ind w:right="46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5"/>
          <w:kern w:val="0"/>
          <w:sz w:val="24"/>
          <w:szCs w:val="24"/>
          <w:highlight w:val="none"/>
          <w:lang w:val="zh-CN" w:bidi="zh-CN"/>
        </w:rPr>
        <w:t>（3）</w:t>
      </w:r>
      <w:r>
        <w:rPr>
          <w:rFonts w:hint="eastAsia" w:asciiTheme="minorEastAsia" w:hAnsiTheme="minorEastAsia" w:eastAsiaTheme="minorEastAsia" w:cstheme="minorEastAsia"/>
          <w:spacing w:val="-6"/>
          <w:kern w:val="0"/>
          <w:sz w:val="24"/>
          <w:szCs w:val="24"/>
          <w:highlight w:val="none"/>
          <w:lang w:val="zh-CN" w:bidi="zh-CN"/>
        </w:rPr>
        <w:t>合同解除后，发包人应约定向承包人索赔由于解除合同给发包人造成的损失；</w:t>
      </w:r>
    </w:p>
    <w:p w14:paraId="41AE1F3A">
      <w:pPr>
        <w:pageBreakBefore w:val="0"/>
        <w:kinsoku/>
        <w:wordWrap/>
        <w:overflowPunct/>
        <w:topLinePunct w:val="0"/>
        <w:autoSpaceDE w:val="0"/>
        <w:autoSpaceDN w:val="0"/>
        <w:bidi w:val="0"/>
        <w:adjustRightInd/>
        <w:snapToGrid/>
        <w:spacing w:before="74"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（4）合同双方确认上述往来款项后，出具最终结清付款证书，结清全部合同款项；</w:t>
      </w:r>
    </w:p>
    <w:p w14:paraId="59C095E8">
      <w:pPr>
        <w:pageBreakBefore w:val="0"/>
        <w:kinsoku/>
        <w:wordWrap/>
        <w:overflowPunct/>
        <w:topLinePunct w:val="0"/>
        <w:autoSpaceDE w:val="0"/>
        <w:autoSpaceDN w:val="0"/>
        <w:bidi w:val="0"/>
        <w:adjustRightInd/>
        <w:snapToGrid/>
        <w:spacing w:before="74"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（5）发包人和承包人未能就解除合同后的结清达成一致而形成争议的，按约定办理。</w:t>
      </w:r>
    </w:p>
    <w:p w14:paraId="22FF40A9">
      <w:pPr>
        <w:keepLines/>
        <w:pageBreakBefore w:val="0"/>
        <w:widowControl/>
        <w:tabs>
          <w:tab w:val="left" w:pos="567"/>
        </w:tabs>
        <w:kinsoku/>
        <w:wordWrap/>
        <w:overflowPunct/>
        <w:topLinePunct w:val="0"/>
        <w:autoSpaceDE w:val="0"/>
        <w:autoSpaceDN w:val="0"/>
        <w:bidi w:val="0"/>
        <w:adjustRightInd/>
        <w:snapToGrid/>
        <w:spacing w:before="120" w:after="12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23.索赔</w:t>
      </w:r>
    </w:p>
    <w:p w14:paraId="1D3E0BE3">
      <w:pPr>
        <w:pageBreakBefore w:val="0"/>
        <w:numPr>
          <w:ilvl w:val="1"/>
          <w:numId w:val="0"/>
        </w:numPr>
        <w:tabs>
          <w:tab w:val="left" w:pos="1529"/>
        </w:tabs>
        <w:kinsoku/>
        <w:wordWrap/>
        <w:overflowPunct/>
        <w:topLinePunct w:val="0"/>
        <w:autoSpaceDE w:val="0"/>
        <w:autoSpaceDN w:val="0"/>
        <w:bidi w:val="0"/>
        <w:adjustRightInd/>
        <w:snapToGrid/>
        <w:spacing w:line="320" w:lineRule="exact"/>
        <w:ind w:right="467"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23.1</w:t>
      </w:r>
      <w:r>
        <w:rPr>
          <w:rFonts w:hint="eastAsia" w:asciiTheme="minorEastAsia" w:hAnsiTheme="minorEastAsia" w:eastAsiaTheme="minorEastAsia" w:cstheme="minorEastAsia"/>
          <w:kern w:val="0"/>
          <w:sz w:val="24"/>
          <w:szCs w:val="24"/>
          <w:highlight w:val="none"/>
          <w:lang w:val="zh-CN" w:bidi="zh-CN"/>
        </w:rPr>
        <w:t>当一方向另一方提出索赔时，要有正当索赔理由，并向监理人提交索赔事件发生时的有效证据。</w:t>
      </w:r>
    </w:p>
    <w:p w14:paraId="62E7188A">
      <w:pPr>
        <w:pageBreakBefore w:val="0"/>
        <w:numPr>
          <w:ilvl w:val="1"/>
          <w:numId w:val="0"/>
        </w:numPr>
        <w:tabs>
          <w:tab w:val="left" w:pos="1529"/>
        </w:tabs>
        <w:kinsoku/>
        <w:wordWrap/>
        <w:overflowPunct/>
        <w:topLinePunct w:val="0"/>
        <w:autoSpaceDE w:val="0"/>
        <w:autoSpaceDN w:val="0"/>
        <w:bidi w:val="0"/>
        <w:adjustRightInd/>
        <w:snapToGrid/>
        <w:spacing w:before="1" w:line="320" w:lineRule="exact"/>
        <w:ind w:right="467" w:rightChars="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23.2</w:t>
      </w:r>
      <w:r>
        <w:rPr>
          <w:rFonts w:hint="eastAsia" w:asciiTheme="minorEastAsia" w:hAnsiTheme="minorEastAsia" w:eastAsiaTheme="minorEastAsia" w:cstheme="minorEastAsia"/>
          <w:kern w:val="0"/>
          <w:sz w:val="24"/>
          <w:szCs w:val="24"/>
          <w:highlight w:val="none"/>
          <w:lang w:val="zh-CN" w:bidi="zh-CN"/>
        </w:rPr>
        <w:t>发包人未能按合同约定履行自己的各项义务或发生错误，造成工期延误和承包人经济损失，承包人可按下列程序以书面形式申请索赔：</w:t>
      </w:r>
    </w:p>
    <w:p w14:paraId="6BB5892F">
      <w:pPr>
        <w:pageBreakBefore w:val="0"/>
        <w:kinsoku/>
        <w:wordWrap/>
        <w:overflowPunct/>
        <w:topLinePunct w:val="0"/>
        <w:autoSpaceDE w:val="0"/>
        <w:autoSpaceDN w:val="0"/>
        <w:bidi w:val="0"/>
        <w:adjustRightInd/>
        <w:snapToGrid/>
        <w:spacing w:line="320" w:lineRule="exact"/>
        <w:ind w:right="467"/>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w:t>
      </w:r>
      <w:r>
        <w:rPr>
          <w:rFonts w:hint="eastAsia" w:asciiTheme="minorEastAsia" w:hAnsiTheme="minorEastAsia" w:eastAsiaTheme="minorEastAsia" w:cstheme="minorEastAsia"/>
          <w:spacing w:val="-5"/>
          <w:kern w:val="0"/>
          <w:sz w:val="24"/>
          <w:szCs w:val="24"/>
          <w:highlight w:val="none"/>
          <w:lang w:val="zh-CN" w:bidi="zh-CN"/>
        </w:rPr>
        <w:t xml:space="preserve">索赔事件首次发生的 </w:t>
      </w:r>
      <w:r>
        <w:rPr>
          <w:rFonts w:hint="eastAsia" w:asciiTheme="minorEastAsia" w:hAnsiTheme="minorEastAsia" w:eastAsiaTheme="minorEastAsia" w:cstheme="minorEastAsia"/>
          <w:kern w:val="0"/>
          <w:sz w:val="24"/>
          <w:szCs w:val="24"/>
          <w:highlight w:val="none"/>
          <w:lang w:val="zh-CN" w:bidi="zh-CN"/>
        </w:rPr>
        <w:t>21 天之内，向监理人提出索赔意向书，并抄送发包人；</w:t>
      </w:r>
    </w:p>
    <w:p w14:paraId="50C440D9">
      <w:pPr>
        <w:pageBreakBefore w:val="0"/>
        <w:kinsoku/>
        <w:wordWrap/>
        <w:overflowPunct/>
        <w:topLinePunct w:val="0"/>
        <w:autoSpaceDE w:val="0"/>
        <w:autoSpaceDN w:val="0"/>
        <w:bidi w:val="0"/>
        <w:adjustRightInd/>
        <w:snapToGrid/>
        <w:spacing w:before="2" w:line="320" w:lineRule="exact"/>
        <w:ind w:right="467"/>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w:t>
      </w:r>
      <w:r>
        <w:rPr>
          <w:rFonts w:hint="eastAsia" w:asciiTheme="minorEastAsia" w:hAnsiTheme="minorEastAsia" w:eastAsiaTheme="minorEastAsia" w:cstheme="minorEastAsia"/>
          <w:spacing w:val="-5"/>
          <w:kern w:val="0"/>
          <w:sz w:val="24"/>
          <w:szCs w:val="24"/>
          <w:highlight w:val="none"/>
          <w:lang w:val="zh-CN" w:bidi="zh-CN"/>
        </w:rPr>
        <w:t xml:space="preserve">发出索赔意向通知后 </w:t>
      </w:r>
      <w:r>
        <w:rPr>
          <w:rFonts w:hint="eastAsia" w:asciiTheme="minorEastAsia" w:hAnsiTheme="minorEastAsia" w:eastAsiaTheme="minorEastAsia" w:cstheme="minorEastAsia"/>
          <w:kern w:val="0"/>
          <w:sz w:val="24"/>
          <w:szCs w:val="24"/>
          <w:highlight w:val="none"/>
          <w:lang w:val="zh-CN" w:bidi="zh-CN"/>
        </w:rPr>
        <w:t>21 天内或监理人同意的另一期限内，承包人应送交监理人一份拟索赔款额的详细账目，并说明索赔所依据的理由；</w:t>
      </w:r>
    </w:p>
    <w:p w14:paraId="1715A8FC">
      <w:pPr>
        <w:pageBreakBefore w:val="0"/>
        <w:kinsoku/>
        <w:wordWrap/>
        <w:overflowPunct/>
        <w:topLinePunct w:val="0"/>
        <w:autoSpaceDE w:val="0"/>
        <w:autoSpaceDN w:val="0"/>
        <w:bidi w:val="0"/>
        <w:adjustRightInd/>
        <w:snapToGrid/>
        <w:spacing w:before="1" w:line="320" w:lineRule="exact"/>
        <w:ind w:right="34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w:t>
      </w:r>
      <w:r>
        <w:rPr>
          <w:rFonts w:hint="eastAsia" w:asciiTheme="minorEastAsia" w:hAnsiTheme="minorEastAsia" w:eastAsiaTheme="minorEastAsia" w:cstheme="minorEastAsia"/>
          <w:spacing w:val="-5"/>
          <w:kern w:val="0"/>
          <w:sz w:val="24"/>
          <w:szCs w:val="24"/>
          <w:highlight w:val="none"/>
          <w:lang w:val="zh-CN" w:bidi="zh-CN"/>
        </w:rPr>
        <w:t xml:space="preserve">在索赔事件影响结束后的 </w:t>
      </w:r>
      <w:r>
        <w:rPr>
          <w:rFonts w:hint="eastAsia" w:asciiTheme="minorEastAsia" w:hAnsiTheme="minorEastAsia" w:eastAsiaTheme="minorEastAsia" w:cstheme="minorEastAsia"/>
          <w:kern w:val="0"/>
          <w:sz w:val="24"/>
          <w:szCs w:val="24"/>
          <w:highlight w:val="none"/>
          <w:lang w:val="zh-CN" w:bidi="zh-CN"/>
        </w:rPr>
        <w:t>28 天内，承包人应向监理人递交最终索赔通知</w:t>
      </w:r>
      <w:r>
        <w:rPr>
          <w:rFonts w:hint="eastAsia" w:asciiTheme="minorEastAsia" w:hAnsiTheme="minorEastAsia" w:eastAsiaTheme="minorEastAsia" w:cstheme="minorEastAsia"/>
          <w:spacing w:val="-9"/>
          <w:kern w:val="0"/>
          <w:sz w:val="24"/>
          <w:szCs w:val="24"/>
          <w:highlight w:val="none"/>
          <w:lang w:val="zh-CN" w:bidi="zh-CN"/>
        </w:rPr>
        <w:t>书，说明最终要求索赔的追加付款金额和延长的工期，并附必要的记录和证明材料；</w:t>
      </w:r>
    </w:p>
    <w:p w14:paraId="48DCE4C0">
      <w:pPr>
        <w:pageBreakBefore w:val="0"/>
        <w:kinsoku/>
        <w:wordWrap/>
        <w:overflowPunct/>
        <w:topLinePunct w:val="0"/>
        <w:autoSpaceDE w:val="0"/>
        <w:autoSpaceDN w:val="0"/>
        <w:bidi w:val="0"/>
        <w:adjustRightInd/>
        <w:snapToGrid/>
        <w:spacing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5"/>
          <w:kern w:val="0"/>
          <w:sz w:val="24"/>
          <w:szCs w:val="24"/>
          <w:highlight w:val="none"/>
          <w:lang w:val="zh-CN" w:bidi="zh-CN"/>
        </w:rPr>
        <w:t>（4）</w:t>
      </w:r>
      <w:r>
        <w:rPr>
          <w:rFonts w:hint="eastAsia" w:asciiTheme="minorEastAsia" w:hAnsiTheme="minorEastAsia" w:eastAsiaTheme="minorEastAsia" w:cstheme="minorEastAsia"/>
          <w:spacing w:val="-2"/>
          <w:kern w:val="0"/>
          <w:sz w:val="24"/>
          <w:szCs w:val="24"/>
          <w:highlight w:val="none"/>
          <w:lang w:val="zh-CN" w:bidi="zh-CN"/>
        </w:rPr>
        <w:t>监理人应对承包人按规定提供的索赔证据和详细账目进行审查核实，查验承包人的记录和证明材料，必要时监理人可要求承包人提交全部原始记录副本；在与承包人协商并报发包人批准后，确定承包人有权得到的全部的索赔款额，并按规定列入中期支付证书或最后支付证书内予以支付。监理人将此决定通知承包人，并抄送发包人。</w:t>
      </w:r>
    </w:p>
    <w:p w14:paraId="00340AE2">
      <w:pPr>
        <w:pageBreakBefore w:val="0"/>
        <w:tabs>
          <w:tab w:val="left" w:pos="1523"/>
          <w:tab w:val="left" w:pos="1524"/>
        </w:tabs>
        <w:kinsoku/>
        <w:wordWrap/>
        <w:overflowPunct/>
        <w:topLinePunct w:val="0"/>
        <w:autoSpaceDE w:val="0"/>
        <w:autoSpaceDN w:val="0"/>
        <w:bidi w:val="0"/>
        <w:adjustRightInd/>
        <w:snapToGrid/>
        <w:spacing w:before="6"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23.2 承包人提出索赔的期限</w:t>
      </w:r>
    </w:p>
    <w:p w14:paraId="16202870">
      <w:pPr>
        <w:pageBreakBefore w:val="0"/>
        <w:kinsoku/>
        <w:wordWrap/>
        <w:overflowPunct/>
        <w:topLinePunct w:val="0"/>
        <w:autoSpaceDE w:val="0"/>
        <w:autoSpaceDN w:val="0"/>
        <w:bidi w:val="0"/>
        <w:adjustRightInd/>
        <w:snapToGrid/>
        <w:spacing w:before="84"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5"/>
          <w:kern w:val="0"/>
          <w:sz w:val="24"/>
          <w:szCs w:val="24"/>
          <w:highlight w:val="none"/>
          <w:lang w:val="zh-CN" w:bidi="zh-CN"/>
        </w:rPr>
        <w:t>（1）</w:t>
      </w:r>
      <w:r>
        <w:rPr>
          <w:rFonts w:hint="eastAsia" w:asciiTheme="minorEastAsia" w:hAnsiTheme="minorEastAsia" w:eastAsiaTheme="minorEastAsia" w:cstheme="minorEastAsia"/>
          <w:spacing w:val="-3"/>
          <w:kern w:val="0"/>
          <w:sz w:val="24"/>
          <w:szCs w:val="24"/>
          <w:highlight w:val="none"/>
          <w:lang w:val="zh-CN" w:bidi="zh-CN"/>
        </w:rPr>
        <w:t>承包人按约定接受了竣工付款证书后，应被认为已无权再提出在合同工程接收证书颁发前所发生的任何索赔；</w:t>
      </w:r>
    </w:p>
    <w:p w14:paraId="4D6858A6">
      <w:pPr>
        <w:pageBreakBefore w:val="0"/>
        <w:kinsoku/>
        <w:wordWrap/>
        <w:overflowPunct/>
        <w:topLinePunct w:val="0"/>
        <w:autoSpaceDE w:val="0"/>
        <w:autoSpaceDN w:val="0"/>
        <w:bidi w:val="0"/>
        <w:adjustRightInd/>
        <w:snapToGrid/>
        <w:spacing w:before="3"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5"/>
          <w:kern w:val="0"/>
          <w:sz w:val="24"/>
          <w:szCs w:val="24"/>
          <w:highlight w:val="none"/>
          <w:lang w:val="zh-CN" w:bidi="zh-CN"/>
        </w:rPr>
        <w:t>（2）</w:t>
      </w:r>
      <w:r>
        <w:rPr>
          <w:rFonts w:hint="eastAsia" w:asciiTheme="minorEastAsia" w:hAnsiTheme="minorEastAsia" w:eastAsiaTheme="minorEastAsia" w:cstheme="minorEastAsia"/>
          <w:spacing w:val="-3"/>
          <w:kern w:val="0"/>
          <w:sz w:val="24"/>
          <w:szCs w:val="24"/>
          <w:highlight w:val="none"/>
          <w:lang w:val="zh-CN" w:bidi="zh-CN"/>
        </w:rPr>
        <w:t>承包人按约定提交的最终结清申请单中，只限于提出工程接收证书颁发后发生的索赔。提出索赔的期限自接受最终结清证书时终止。</w:t>
      </w:r>
    </w:p>
    <w:p w14:paraId="28AE596D">
      <w:pPr>
        <w:pageBreakBefore w:val="0"/>
        <w:tabs>
          <w:tab w:val="left" w:pos="1523"/>
          <w:tab w:val="left" w:pos="1524"/>
        </w:tabs>
        <w:kinsoku/>
        <w:wordWrap/>
        <w:overflowPunct/>
        <w:topLinePunct w:val="0"/>
        <w:autoSpaceDE w:val="0"/>
        <w:autoSpaceDN w:val="0"/>
        <w:bidi w:val="0"/>
        <w:adjustRightInd/>
        <w:snapToGrid/>
        <w:spacing w:before="2"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23.3 发包人的索赔</w:t>
      </w:r>
    </w:p>
    <w:p w14:paraId="0BB8A0DA">
      <w:pPr>
        <w:pageBreakBefore w:val="0"/>
        <w:kinsoku/>
        <w:wordWrap/>
        <w:overflowPunct/>
        <w:topLinePunct w:val="0"/>
        <w:autoSpaceDE w:val="0"/>
        <w:autoSpaceDN w:val="0"/>
        <w:bidi w:val="0"/>
        <w:adjustRightInd/>
        <w:snapToGrid/>
        <w:spacing w:before="86"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（1）</w:t>
      </w:r>
      <w:r>
        <w:rPr>
          <w:rFonts w:hint="eastAsia" w:asciiTheme="minorEastAsia" w:hAnsiTheme="minorEastAsia" w:eastAsiaTheme="minorEastAsia" w:cstheme="minorEastAsia"/>
          <w:spacing w:val="-6"/>
          <w:kern w:val="0"/>
          <w:sz w:val="24"/>
          <w:szCs w:val="24"/>
          <w:highlight w:val="none"/>
          <w:lang w:val="zh-CN" w:bidi="zh-CN"/>
        </w:rPr>
        <w:t>发生索赔事件后，监理人应及时书面通知承包人，详细说明发包人有权得</w:t>
      </w:r>
      <w:r>
        <w:rPr>
          <w:rFonts w:hint="eastAsia" w:asciiTheme="minorEastAsia" w:hAnsiTheme="minorEastAsia" w:eastAsiaTheme="minorEastAsia" w:cstheme="minorEastAsia"/>
          <w:kern w:val="0"/>
          <w:sz w:val="24"/>
          <w:szCs w:val="24"/>
          <w:highlight w:val="none"/>
          <w:lang w:val="zh-CN" w:bidi="zh-CN"/>
        </w:rPr>
        <w:t>到的索赔金额和</w:t>
      </w:r>
      <w:r>
        <w:rPr>
          <w:rFonts w:hint="eastAsia" w:asciiTheme="minorEastAsia" w:hAnsiTheme="minorEastAsia" w:eastAsiaTheme="minorEastAsia" w:cstheme="minorEastAsia"/>
          <w:spacing w:val="4"/>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或</w:t>
      </w:r>
      <w:r>
        <w:rPr>
          <w:rFonts w:hint="eastAsia" w:asciiTheme="minorEastAsia" w:hAnsiTheme="minorEastAsia" w:eastAsiaTheme="minorEastAsia" w:cstheme="minorEastAsia"/>
          <w:spacing w:val="4"/>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延长缺陷责任期的细节和依据。发包人提出索赔的期限和要求与承包人提出索赔期限和要求约定相同，延长缺陷责任期的通知应在缺陷责任期届满前发出；</w:t>
      </w:r>
    </w:p>
    <w:p w14:paraId="08320F84">
      <w:pPr>
        <w:pageBreakBefore w:val="0"/>
        <w:kinsoku/>
        <w:wordWrap/>
        <w:overflowPunct/>
        <w:topLinePunct w:val="0"/>
        <w:autoSpaceDE w:val="0"/>
        <w:autoSpaceDN w:val="0"/>
        <w:bidi w:val="0"/>
        <w:adjustRightInd/>
        <w:snapToGrid/>
        <w:spacing w:before="5" w:line="320" w:lineRule="exact"/>
        <w:ind w:right="46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（2）监理人按商定或确定发包人从承包人处得到赔付的金额和(或)缺陷责任期的延长期。承包人应付给发包人的金额可从拟支付给承包人的合同价款中扣除，或由承包人以其他方式支付给发包人</w:t>
      </w:r>
    </w:p>
    <w:p w14:paraId="0B2B4FAD">
      <w:pPr>
        <w:keepLines/>
        <w:pageBreakBefore w:val="0"/>
        <w:widowControl/>
        <w:tabs>
          <w:tab w:val="left" w:pos="567"/>
        </w:tabs>
        <w:kinsoku/>
        <w:wordWrap/>
        <w:overflowPunct/>
        <w:topLinePunct w:val="0"/>
        <w:autoSpaceDE w:val="0"/>
        <w:autoSpaceDN w:val="0"/>
        <w:bidi w:val="0"/>
        <w:adjustRightInd/>
        <w:snapToGrid/>
        <w:spacing w:before="120" w:after="12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24.争议</w:t>
      </w:r>
    </w:p>
    <w:p w14:paraId="71F10960">
      <w:pPr>
        <w:pageBreakBefore w:val="0"/>
        <w:tabs>
          <w:tab w:val="left" w:pos="1529"/>
        </w:tabs>
        <w:kinsoku/>
        <w:wordWrap/>
        <w:overflowPunct/>
        <w:topLinePunct w:val="0"/>
        <w:autoSpaceDE w:val="0"/>
        <w:autoSpaceDN w:val="0"/>
        <w:bidi w:val="0"/>
        <w:adjustRightInd/>
        <w:snapToGrid/>
        <w:spacing w:before="1" w:line="320" w:lineRule="exact"/>
        <w:ind w:right="465"/>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24.1无论在施工过程中或在工程竣工之后，无论在本合同的失效或终止之前或之后，如果发包人和承包人之间就本合同文件的条款、规定、规范、图纸、质量与进度要求，支付与扣除，延期与索赔发生任何法律上、经济上或技术上的纠纷， 包括对监理人作出指示、指令、决定、评定、认证和价格发生的纠纷，纠纷中的问题，首先应根据本条款规定书面提交给监理人解决，并抄送另一方。监理人在收到</w:t>
      </w:r>
      <w:r>
        <w:rPr>
          <w:rFonts w:hint="eastAsia" w:asciiTheme="minorEastAsia" w:hAnsiTheme="minorEastAsia" w:eastAsiaTheme="minorEastAsia" w:cstheme="minorEastAsia"/>
          <w:spacing w:val="-9"/>
          <w:kern w:val="0"/>
          <w:sz w:val="24"/>
          <w:szCs w:val="24"/>
          <w:highlight w:val="none"/>
          <w:lang w:val="zh-CN" w:bidi="zh-CN"/>
        </w:rPr>
        <w:t xml:space="preserve">此提交文件后 </w:t>
      </w:r>
      <w:r>
        <w:rPr>
          <w:rFonts w:hint="eastAsia" w:asciiTheme="minorEastAsia" w:hAnsiTheme="minorEastAsia" w:eastAsiaTheme="minorEastAsia" w:cstheme="minorEastAsia"/>
          <w:kern w:val="0"/>
          <w:sz w:val="24"/>
          <w:szCs w:val="24"/>
          <w:highlight w:val="none"/>
          <w:lang w:val="zh-CN" w:bidi="zh-CN"/>
        </w:rPr>
        <w:t>42 天之内应将自己的裁定通知发包人和承包人。</w:t>
      </w:r>
    </w:p>
    <w:p w14:paraId="37A0F928">
      <w:pPr>
        <w:pageBreakBefore w:val="0"/>
        <w:tabs>
          <w:tab w:val="left" w:pos="1528"/>
          <w:tab w:val="left" w:pos="1529"/>
        </w:tabs>
        <w:kinsoku/>
        <w:wordWrap/>
        <w:overflowPunct/>
        <w:topLinePunct w:val="0"/>
        <w:autoSpaceDE w:val="0"/>
        <w:autoSpaceDN w:val="0"/>
        <w:bidi w:val="0"/>
        <w:adjustRightInd/>
        <w:snapToGrid/>
        <w:spacing w:line="320" w:lineRule="exact"/>
        <w:ind w:right="382"/>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24.2如果发包人或承包人有一方对监理人的裁定有异议，或如果监理人在收</w:t>
      </w:r>
      <w:r>
        <w:rPr>
          <w:rFonts w:hint="eastAsia" w:asciiTheme="minorEastAsia" w:hAnsiTheme="minorEastAsia" w:eastAsiaTheme="minorEastAsia" w:cstheme="minorEastAsia"/>
          <w:spacing w:val="-9"/>
          <w:kern w:val="0"/>
          <w:sz w:val="24"/>
          <w:szCs w:val="24"/>
          <w:highlight w:val="none"/>
          <w:lang w:val="zh-CN" w:bidi="zh-CN"/>
        </w:rPr>
        <w:t xml:space="preserve">到提交文件后 </w:t>
      </w:r>
      <w:r>
        <w:rPr>
          <w:rFonts w:hint="eastAsia" w:asciiTheme="minorEastAsia" w:hAnsiTheme="minorEastAsia" w:eastAsiaTheme="minorEastAsia" w:cstheme="minorEastAsia"/>
          <w:kern w:val="0"/>
          <w:sz w:val="24"/>
          <w:szCs w:val="24"/>
          <w:highlight w:val="none"/>
          <w:lang w:val="zh-CN" w:bidi="zh-CN"/>
        </w:rPr>
        <w:t>42 天内，没有发出自己裁定通知，则双方可采取下列程序解决争议：</w:t>
      </w:r>
    </w:p>
    <w:p w14:paraId="122BA770">
      <w:pPr>
        <w:pageBreakBefore w:val="0"/>
        <w:tabs>
          <w:tab w:val="left" w:pos="1528"/>
          <w:tab w:val="left" w:pos="1529"/>
        </w:tabs>
        <w:kinsoku/>
        <w:wordWrap/>
        <w:overflowPunct/>
        <w:topLinePunct w:val="0"/>
        <w:autoSpaceDE w:val="0"/>
        <w:autoSpaceDN w:val="0"/>
        <w:bidi w:val="0"/>
        <w:adjustRightInd/>
        <w:snapToGrid/>
        <w:spacing w:line="320" w:lineRule="exact"/>
        <w:ind w:right="382"/>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（1）双方就纠纷事项进行友好协商解决或通过双方上级主管部门进行调解或争议评审解决；</w:t>
      </w:r>
    </w:p>
    <w:p w14:paraId="5B5E57CE">
      <w:pPr>
        <w:pageBreakBefore w:val="0"/>
        <w:tabs>
          <w:tab w:val="left" w:pos="1528"/>
          <w:tab w:val="left" w:pos="1529"/>
        </w:tabs>
        <w:kinsoku/>
        <w:wordWrap/>
        <w:overflowPunct/>
        <w:topLinePunct w:val="0"/>
        <w:autoSpaceDE w:val="0"/>
        <w:autoSpaceDN w:val="0"/>
        <w:bidi w:val="0"/>
        <w:adjustRightInd/>
        <w:snapToGrid/>
        <w:spacing w:line="320" w:lineRule="exact"/>
        <w:ind w:right="382"/>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（2）发包人和承包人接受评审意见的，由监理人根据评审意见拟定执行协议， 经争议双方签字后作为合同的补充文件，并遵照执行；</w:t>
      </w:r>
    </w:p>
    <w:p w14:paraId="511ED2C2">
      <w:pPr>
        <w:pageBreakBefore w:val="0"/>
        <w:tabs>
          <w:tab w:val="left" w:pos="1528"/>
          <w:tab w:val="left" w:pos="1529"/>
        </w:tabs>
        <w:kinsoku/>
        <w:wordWrap/>
        <w:overflowPunct/>
        <w:topLinePunct w:val="0"/>
        <w:autoSpaceDE w:val="0"/>
        <w:autoSpaceDN w:val="0"/>
        <w:bidi w:val="0"/>
        <w:adjustRightInd/>
        <w:snapToGrid/>
        <w:spacing w:line="320" w:lineRule="exact"/>
        <w:ind w:right="382"/>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（3）发包人或承包人不接受评审意见，并要求提交仲裁或提起诉讼的，应在收到评审意见后的 14 天内将仲裁或起诉意向书面通知另一方，并抄送监理人，但在仲裁或诉讼结束前应暂按监理人的确定执行。</w:t>
      </w:r>
    </w:p>
    <w:p w14:paraId="7B2872F9">
      <w:pPr>
        <w:pageBreakBefore w:val="0"/>
        <w:tabs>
          <w:tab w:val="left" w:pos="1529"/>
        </w:tabs>
        <w:kinsoku/>
        <w:wordWrap/>
        <w:overflowPunct/>
        <w:topLinePunct w:val="0"/>
        <w:autoSpaceDE w:val="0"/>
        <w:autoSpaceDN w:val="0"/>
        <w:bidi w:val="0"/>
        <w:adjustRightInd/>
        <w:snapToGrid/>
        <w:spacing w:before="4" w:line="320" w:lineRule="exact"/>
        <w:ind w:right="465"/>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24.3除非本合同已被终止，承包人无论在什么情况下都应尽一切努力继续完成本工程，承包人和发包人应使监理人的裁定付诸实施，除非监理人对裁定作出新的更改。</w:t>
      </w:r>
    </w:p>
    <w:p w14:paraId="198FA35F">
      <w:pPr>
        <w:keepNext/>
        <w:keepLines/>
        <w:pageBreakBefore w:val="0"/>
        <w:widowControl/>
        <w:kinsoku/>
        <w:wordWrap/>
        <w:overflowPunct/>
        <w:topLinePunct w:val="0"/>
        <w:bidi w:val="0"/>
        <w:adjustRightInd/>
        <w:snapToGrid/>
        <w:spacing w:before="260" w:after="26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bookmarkStart w:id="412" w:name="_Toc256000043"/>
      <w:r>
        <w:rPr>
          <w:rFonts w:hint="eastAsia" w:asciiTheme="minorEastAsia" w:hAnsiTheme="minorEastAsia" w:eastAsiaTheme="minorEastAsia" w:cstheme="minorEastAsia"/>
          <w:b/>
          <w:bCs/>
          <w:kern w:val="0"/>
          <w:sz w:val="24"/>
          <w:szCs w:val="24"/>
          <w:highlight w:val="none"/>
          <w:lang w:val="zh-CN" w:bidi="zh-CN"/>
        </w:rPr>
        <w:t>十一、其他</w:t>
      </w:r>
      <w:bookmarkEnd w:id="412"/>
    </w:p>
    <w:p w14:paraId="3DC257F0">
      <w:pPr>
        <w:keepLines/>
        <w:pageBreakBefore w:val="0"/>
        <w:widowControl/>
        <w:tabs>
          <w:tab w:val="left" w:pos="567"/>
        </w:tabs>
        <w:kinsoku/>
        <w:wordWrap/>
        <w:overflowPunct/>
        <w:topLinePunct w:val="0"/>
        <w:autoSpaceDE w:val="0"/>
        <w:autoSpaceDN w:val="0"/>
        <w:bidi w:val="0"/>
        <w:adjustRightInd/>
        <w:snapToGrid/>
        <w:spacing w:before="120" w:after="120" w:line="320" w:lineRule="exact"/>
        <w:ind w:left="567"/>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25.转让与分包</w:t>
      </w:r>
    </w:p>
    <w:p w14:paraId="62B7064D">
      <w:pPr>
        <w:pageBreakBefore w:val="0"/>
        <w:numPr>
          <w:ilvl w:val="1"/>
          <w:numId w:val="0"/>
        </w:numPr>
        <w:tabs>
          <w:tab w:val="left" w:pos="1523"/>
          <w:tab w:val="left" w:pos="1524"/>
        </w:tabs>
        <w:kinsoku/>
        <w:wordWrap/>
        <w:overflowPunct/>
        <w:topLinePunct w:val="0"/>
        <w:autoSpaceDE w:val="0"/>
        <w:autoSpaceDN w:val="0"/>
        <w:bidi w:val="0"/>
        <w:adjustRightInd/>
        <w:snapToGrid/>
        <w:spacing w:line="320" w:lineRule="exact"/>
        <w:ind w:right="562" w:rightChars="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25.1</w:t>
      </w:r>
      <w:r>
        <w:rPr>
          <w:rFonts w:hint="eastAsia" w:asciiTheme="minorEastAsia" w:hAnsiTheme="minorEastAsia" w:eastAsiaTheme="minorEastAsia" w:cstheme="minorEastAsia"/>
          <w:kern w:val="0"/>
          <w:sz w:val="24"/>
          <w:szCs w:val="24"/>
          <w:highlight w:val="none"/>
          <w:lang w:val="zh-CN" w:bidi="zh-CN"/>
        </w:rPr>
        <w:t>除合同另有约定外，未经对方当事人同意，一方当事人不得将合同权利全部或部分转让给第三人，也不得全部或部分转移合同义务。</w:t>
      </w:r>
    </w:p>
    <w:p w14:paraId="78B6B09D">
      <w:pPr>
        <w:pageBreakBefore w:val="0"/>
        <w:numPr>
          <w:ilvl w:val="1"/>
          <w:numId w:val="0"/>
        </w:numPr>
        <w:tabs>
          <w:tab w:val="left" w:pos="1523"/>
          <w:tab w:val="left" w:pos="1524"/>
        </w:tabs>
        <w:kinsoku/>
        <w:wordWrap/>
        <w:overflowPunct/>
        <w:topLinePunct w:val="0"/>
        <w:autoSpaceDE w:val="0"/>
        <w:autoSpaceDN w:val="0"/>
        <w:bidi w:val="0"/>
        <w:adjustRightInd/>
        <w:snapToGrid/>
        <w:spacing w:line="320" w:lineRule="exact"/>
        <w:ind w:right="346" w:rightChars="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25.2</w:t>
      </w:r>
      <w:r>
        <w:rPr>
          <w:rFonts w:hint="eastAsia" w:asciiTheme="minorEastAsia" w:hAnsiTheme="minorEastAsia" w:eastAsiaTheme="minorEastAsia" w:cstheme="minorEastAsia"/>
          <w:kern w:val="0"/>
          <w:sz w:val="24"/>
          <w:szCs w:val="24"/>
          <w:highlight w:val="none"/>
          <w:lang w:val="zh-CN" w:bidi="zh-CN"/>
        </w:rPr>
        <w:t>承包人不得将其承包的全部工程转包给第三人，或将其承包的全部工程</w:t>
      </w:r>
      <w:r>
        <w:rPr>
          <w:rFonts w:hint="eastAsia" w:asciiTheme="minorEastAsia" w:hAnsiTheme="minorEastAsia" w:eastAsiaTheme="minorEastAsia" w:cstheme="minorEastAsia"/>
          <w:spacing w:val="-5"/>
          <w:kern w:val="0"/>
          <w:sz w:val="24"/>
          <w:szCs w:val="24"/>
          <w:highlight w:val="none"/>
          <w:lang w:val="zh-CN" w:bidi="zh-CN"/>
        </w:rPr>
        <w:t>肢解后以分包的名义转包给第三人。本工程严禁转包和违规分包，且不得再次分包。</w:t>
      </w:r>
    </w:p>
    <w:p w14:paraId="2225CD5B">
      <w:pPr>
        <w:pageBreakBefore w:val="0"/>
        <w:numPr>
          <w:ilvl w:val="1"/>
          <w:numId w:val="0"/>
        </w:numPr>
        <w:tabs>
          <w:tab w:val="left" w:pos="1523"/>
          <w:tab w:val="left" w:pos="1524"/>
        </w:tabs>
        <w:kinsoku/>
        <w:wordWrap/>
        <w:overflowPunct/>
        <w:topLinePunct w:val="0"/>
        <w:autoSpaceDE w:val="0"/>
        <w:autoSpaceDN w:val="0"/>
        <w:bidi w:val="0"/>
        <w:adjustRightInd/>
        <w:snapToGrid/>
        <w:spacing w:before="2" w:line="320" w:lineRule="exact"/>
        <w:ind w:right="562" w:rightChars="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25.3</w:t>
      </w:r>
      <w:r>
        <w:rPr>
          <w:rFonts w:hint="eastAsia" w:asciiTheme="minorEastAsia" w:hAnsiTheme="minorEastAsia" w:eastAsiaTheme="minorEastAsia" w:cstheme="minorEastAsia"/>
          <w:kern w:val="0"/>
          <w:sz w:val="24"/>
          <w:szCs w:val="24"/>
          <w:highlight w:val="none"/>
          <w:lang w:val="zh-CN" w:bidi="zh-CN"/>
        </w:rPr>
        <w:t>承包人不得将工程主体、关键性工作分包给第三人。未经发包人同意， 承包人不得将工程的其他部分或工作分包给第三人。</w:t>
      </w:r>
    </w:p>
    <w:p w14:paraId="5549C72B">
      <w:pPr>
        <w:pageBreakBefore w:val="0"/>
        <w:numPr>
          <w:ilvl w:val="1"/>
          <w:numId w:val="0"/>
        </w:numPr>
        <w:tabs>
          <w:tab w:val="left" w:pos="1523"/>
          <w:tab w:val="left" w:pos="1524"/>
        </w:tabs>
        <w:kinsoku/>
        <w:wordWrap/>
        <w:overflowPunct/>
        <w:topLinePunct w:val="0"/>
        <w:autoSpaceDE w:val="0"/>
        <w:autoSpaceDN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25.4</w:t>
      </w:r>
      <w:r>
        <w:rPr>
          <w:rFonts w:hint="eastAsia" w:asciiTheme="minorEastAsia" w:hAnsiTheme="minorEastAsia" w:eastAsiaTheme="minorEastAsia" w:cstheme="minorEastAsia"/>
          <w:kern w:val="0"/>
          <w:sz w:val="24"/>
          <w:szCs w:val="24"/>
          <w:highlight w:val="none"/>
          <w:lang w:val="zh-CN" w:bidi="zh-CN"/>
        </w:rPr>
        <w:t>分包人的资格能力应与其分包工程的标准和规模相适应。</w:t>
      </w:r>
    </w:p>
    <w:p w14:paraId="1CABF8D7">
      <w:pPr>
        <w:pageBreakBefore w:val="0"/>
        <w:numPr>
          <w:ilvl w:val="1"/>
          <w:numId w:val="0"/>
        </w:numPr>
        <w:tabs>
          <w:tab w:val="left" w:pos="1523"/>
          <w:tab w:val="left" w:pos="1524"/>
        </w:tabs>
        <w:kinsoku/>
        <w:wordWrap/>
        <w:overflowPunct/>
        <w:topLinePunct w:val="0"/>
        <w:autoSpaceDE w:val="0"/>
        <w:autoSpaceDN w:val="0"/>
        <w:bidi w:val="0"/>
        <w:adjustRightInd/>
        <w:snapToGrid/>
        <w:spacing w:before="93"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25.5</w:t>
      </w:r>
      <w:r>
        <w:rPr>
          <w:rFonts w:hint="eastAsia" w:asciiTheme="minorEastAsia" w:hAnsiTheme="minorEastAsia" w:eastAsiaTheme="minorEastAsia" w:cstheme="minorEastAsia"/>
          <w:kern w:val="0"/>
          <w:sz w:val="24"/>
          <w:szCs w:val="24"/>
          <w:highlight w:val="none"/>
          <w:lang w:val="zh-CN" w:bidi="zh-CN"/>
        </w:rPr>
        <w:t>承包人应与分包人就分包工程向发包人承担连带责任。</w:t>
      </w:r>
    </w:p>
    <w:p w14:paraId="399C6A7A">
      <w:pPr>
        <w:pageBreakBefore w:val="0"/>
        <w:numPr>
          <w:ilvl w:val="1"/>
          <w:numId w:val="0"/>
        </w:numPr>
        <w:tabs>
          <w:tab w:val="left" w:pos="1545"/>
          <w:tab w:val="left" w:pos="1546"/>
        </w:tabs>
        <w:kinsoku/>
        <w:wordWrap/>
        <w:overflowPunct/>
        <w:topLinePunct w:val="0"/>
        <w:autoSpaceDE w:val="0"/>
        <w:autoSpaceDN w:val="0"/>
        <w:bidi w:val="0"/>
        <w:adjustRightInd/>
        <w:snapToGrid/>
        <w:spacing w:before="91" w:line="320" w:lineRule="exact"/>
        <w:ind w:right="465" w:rightChars="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25.6</w:t>
      </w:r>
      <w:r>
        <w:rPr>
          <w:rFonts w:hint="eastAsia" w:asciiTheme="minorEastAsia" w:hAnsiTheme="minorEastAsia" w:eastAsiaTheme="minorEastAsia" w:cstheme="minorEastAsia"/>
          <w:spacing w:val="8"/>
          <w:kern w:val="0"/>
          <w:sz w:val="24"/>
          <w:szCs w:val="24"/>
          <w:highlight w:val="none"/>
          <w:lang w:val="zh-CN" w:bidi="zh-CN"/>
        </w:rPr>
        <w:t>发包人对承包人与分包人之间的法律与经济纠纷不承担任何责任和义务。</w:t>
      </w:r>
    </w:p>
    <w:p w14:paraId="491EAE29">
      <w:pPr>
        <w:pageBreakBefore w:val="0"/>
        <w:numPr>
          <w:ilvl w:val="1"/>
          <w:numId w:val="0"/>
        </w:numPr>
        <w:tabs>
          <w:tab w:val="left" w:pos="1523"/>
          <w:tab w:val="left" w:pos="1524"/>
        </w:tabs>
        <w:kinsoku/>
        <w:wordWrap/>
        <w:overflowPunct/>
        <w:topLinePunct w:val="0"/>
        <w:autoSpaceDE w:val="0"/>
        <w:autoSpaceDN w:val="0"/>
        <w:bidi w:val="0"/>
        <w:adjustRightInd/>
        <w:snapToGrid/>
        <w:spacing w:before="2"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25.7</w:t>
      </w:r>
      <w:r>
        <w:rPr>
          <w:rFonts w:hint="eastAsia" w:asciiTheme="minorEastAsia" w:hAnsiTheme="minorEastAsia" w:eastAsiaTheme="minorEastAsia" w:cstheme="minorEastAsia"/>
          <w:kern w:val="0"/>
          <w:sz w:val="24"/>
          <w:szCs w:val="24"/>
          <w:highlight w:val="none"/>
          <w:lang w:val="zh-CN" w:bidi="zh-CN"/>
        </w:rPr>
        <w:t>各项分包工作均应遵守《公路工程施工分包管理办法》的有关规定。</w:t>
      </w:r>
    </w:p>
    <w:p w14:paraId="79003D7E">
      <w:pPr>
        <w:keepLines/>
        <w:pageBreakBefore w:val="0"/>
        <w:widowControl/>
        <w:tabs>
          <w:tab w:val="left" w:pos="567"/>
        </w:tabs>
        <w:kinsoku/>
        <w:wordWrap/>
        <w:overflowPunct/>
        <w:topLinePunct w:val="0"/>
        <w:autoSpaceDE w:val="0"/>
        <w:autoSpaceDN w:val="0"/>
        <w:bidi w:val="0"/>
        <w:adjustRightInd/>
        <w:snapToGrid/>
        <w:spacing w:before="120" w:after="12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26.保险</w:t>
      </w:r>
    </w:p>
    <w:p w14:paraId="0647A782">
      <w:pPr>
        <w:pageBreakBefore w:val="0"/>
        <w:tabs>
          <w:tab w:val="left" w:pos="1528"/>
          <w:tab w:val="left" w:pos="1529"/>
        </w:tabs>
        <w:kinsoku/>
        <w:wordWrap/>
        <w:overflowPunct/>
        <w:topLinePunct w:val="0"/>
        <w:autoSpaceDE w:val="0"/>
        <w:autoSpaceDN w:val="0"/>
        <w:bidi w:val="0"/>
        <w:adjustRightInd/>
        <w:snapToGrid/>
        <w:spacing w:before="1" w:line="320" w:lineRule="exact"/>
        <w:ind w:right="34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26.1承包人应为承包工程投保建筑工程一切险、安装工程一切险等工程保险</w:t>
      </w:r>
      <w:r>
        <w:rPr>
          <w:rFonts w:hint="eastAsia" w:asciiTheme="minorEastAsia" w:hAnsiTheme="minorEastAsia" w:eastAsiaTheme="minorEastAsia" w:cstheme="minorEastAsia"/>
          <w:spacing w:val="-9"/>
          <w:kern w:val="0"/>
          <w:sz w:val="24"/>
          <w:szCs w:val="24"/>
          <w:highlight w:val="none"/>
          <w:lang w:val="zh-CN" w:bidi="zh-CN"/>
        </w:rPr>
        <w:t>及第三者责任险，保险期限为开工日起直至本合同工程签发缺陷责任期终止证书止。相关费用均包含在工程量清单的单价及总额价中，发包人不单独支付。</w:t>
      </w:r>
    </w:p>
    <w:p w14:paraId="2B32CBCF">
      <w:pPr>
        <w:pageBreakBefore w:val="0"/>
        <w:tabs>
          <w:tab w:val="left" w:pos="1529"/>
        </w:tabs>
        <w:kinsoku/>
        <w:wordWrap/>
        <w:overflowPunct/>
        <w:topLinePunct w:val="0"/>
        <w:autoSpaceDE w:val="0"/>
        <w:autoSpaceDN w:val="0"/>
        <w:bidi w:val="0"/>
        <w:adjustRightInd/>
        <w:snapToGrid/>
        <w:spacing w:before="4" w:line="320" w:lineRule="exact"/>
        <w:ind w:right="465"/>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26.2承包人应依照有关法律规定参加工伤保险，为其履行合同所雇用的全部人员缴纳工伤保险费，并要求其分包人也进行此项保险。保险的一切费用应由承包人承担并支付。</w:t>
      </w:r>
    </w:p>
    <w:p w14:paraId="237A2BF6">
      <w:pPr>
        <w:pageBreakBefore w:val="0"/>
        <w:tabs>
          <w:tab w:val="left" w:pos="1529"/>
        </w:tabs>
        <w:kinsoku/>
        <w:wordWrap/>
        <w:overflowPunct/>
        <w:topLinePunct w:val="0"/>
        <w:autoSpaceDE w:val="0"/>
        <w:autoSpaceDN w:val="0"/>
        <w:bidi w:val="0"/>
        <w:adjustRightInd/>
        <w:snapToGrid/>
        <w:spacing w:before="2" w:line="320" w:lineRule="exact"/>
        <w:ind w:right="467"/>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26.3承包人应在整个施工期间为其现场机构雇用的全部人员，投保人身意外伤害险，缴纳保险费，并要求其分包人也进行此项保险。保险的一切费用应由承包人承担并支付。</w:t>
      </w:r>
    </w:p>
    <w:p w14:paraId="74B9BE26">
      <w:pPr>
        <w:pageBreakBefore w:val="0"/>
        <w:tabs>
          <w:tab w:val="left" w:pos="1529"/>
        </w:tabs>
        <w:kinsoku/>
        <w:wordWrap/>
        <w:overflowPunct/>
        <w:topLinePunct w:val="0"/>
        <w:autoSpaceDE w:val="0"/>
        <w:autoSpaceDN w:val="0"/>
        <w:bidi w:val="0"/>
        <w:adjustRightInd/>
        <w:snapToGrid/>
        <w:spacing w:before="4" w:line="320" w:lineRule="exact"/>
        <w:ind w:right="465"/>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26.4承包人应为其施工设备等办理保险，其投保金额应足以现场重置。办理本款保险的一切费用均由承包人承担，并包括在工程量清单的单价及总额价中，发包人不单独支付。</w:t>
      </w:r>
    </w:p>
    <w:p w14:paraId="4670C93A">
      <w:pPr>
        <w:pageBreakBefore w:val="0"/>
        <w:tabs>
          <w:tab w:val="left" w:pos="1528"/>
          <w:tab w:val="left" w:pos="1529"/>
        </w:tabs>
        <w:kinsoku/>
        <w:wordWrap/>
        <w:overflowPunct/>
        <w:topLinePunct w:val="0"/>
        <w:autoSpaceDE w:val="0"/>
        <w:autoSpaceDN w:val="0"/>
        <w:bidi w:val="0"/>
        <w:adjustRightInd/>
        <w:snapToGrid/>
        <w:spacing w:before="2" w:line="320" w:lineRule="exact"/>
        <w:ind w:right="467"/>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26.5承包人应在办理有关保险后，尽快向发包人提供按合同要求所报各种保</w:t>
      </w:r>
      <w:r>
        <w:rPr>
          <w:rFonts w:hint="eastAsia" w:asciiTheme="minorEastAsia" w:hAnsiTheme="minorEastAsia" w:eastAsiaTheme="minorEastAsia" w:cstheme="minorEastAsia"/>
          <w:spacing w:val="-5"/>
          <w:kern w:val="0"/>
          <w:sz w:val="24"/>
          <w:szCs w:val="24"/>
          <w:highlight w:val="none"/>
          <w:lang w:val="zh-CN" w:bidi="zh-CN"/>
        </w:rPr>
        <w:t xml:space="preserve">险的生效证明，并在开工后 </w:t>
      </w:r>
      <w:r>
        <w:rPr>
          <w:rFonts w:hint="eastAsia" w:asciiTheme="minorEastAsia" w:hAnsiTheme="minorEastAsia" w:eastAsiaTheme="minorEastAsia" w:cstheme="minorEastAsia"/>
          <w:kern w:val="0"/>
          <w:sz w:val="24"/>
          <w:szCs w:val="24"/>
          <w:highlight w:val="none"/>
          <w:lang w:val="zh-CN" w:bidi="zh-CN"/>
        </w:rPr>
        <w:t>56 天内提交保险单，同时向监理人提交副本。</w:t>
      </w:r>
    </w:p>
    <w:p w14:paraId="1593510A">
      <w:pPr>
        <w:pageBreakBefore w:val="0"/>
        <w:tabs>
          <w:tab w:val="left" w:pos="1523"/>
          <w:tab w:val="left" w:pos="1524"/>
        </w:tabs>
        <w:kinsoku/>
        <w:wordWrap/>
        <w:overflowPunct/>
        <w:topLinePunct w:val="0"/>
        <w:autoSpaceDE w:val="0"/>
        <w:autoSpaceDN w:val="0"/>
        <w:bidi w:val="0"/>
        <w:adjustRightInd/>
        <w:snapToGrid/>
        <w:spacing w:before="3" w:line="320" w:lineRule="exact"/>
        <w:jc w:val="left"/>
        <w:textAlignment w:val="auto"/>
        <w:outlineLvl w:val="9"/>
        <w:rPr>
          <w:rFonts w:hint="eastAsia" w:asciiTheme="minorEastAsia" w:hAnsiTheme="minorEastAsia" w:eastAsiaTheme="minorEastAsia" w:cstheme="minorEastAsia"/>
          <w:spacing w:val="-3"/>
          <w:kern w:val="0"/>
          <w:sz w:val="24"/>
          <w:szCs w:val="24"/>
          <w:highlight w:val="none"/>
          <w:lang w:val="zh-CN" w:bidi="zh-CN"/>
        </w:rPr>
      </w:pPr>
      <w:r>
        <w:rPr>
          <w:rFonts w:hint="eastAsia" w:asciiTheme="minorEastAsia" w:hAnsiTheme="minorEastAsia" w:eastAsiaTheme="minorEastAsia" w:cstheme="minorEastAsia"/>
          <w:spacing w:val="-3"/>
          <w:kern w:val="0"/>
          <w:sz w:val="24"/>
          <w:szCs w:val="24"/>
          <w:highlight w:val="none"/>
          <w:lang w:val="zh-CN" w:bidi="zh-CN"/>
        </w:rPr>
        <w:t>26.6保险事故发生时，承包人有责任尽力采取必要措施，防止或者减少损失。</w:t>
      </w:r>
    </w:p>
    <w:p w14:paraId="04BE480A">
      <w:pPr>
        <w:keepLines/>
        <w:pageBreakBefore w:val="0"/>
        <w:widowControl/>
        <w:tabs>
          <w:tab w:val="left" w:pos="567"/>
        </w:tabs>
        <w:kinsoku/>
        <w:wordWrap/>
        <w:overflowPunct/>
        <w:topLinePunct w:val="0"/>
        <w:autoSpaceDE w:val="0"/>
        <w:autoSpaceDN w:val="0"/>
        <w:bidi w:val="0"/>
        <w:adjustRightInd/>
        <w:snapToGrid/>
        <w:spacing w:before="120" w:after="12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27.不利物质条件</w:t>
      </w:r>
    </w:p>
    <w:p w14:paraId="5E0BC671">
      <w:pPr>
        <w:pageBreakBefore w:val="0"/>
        <w:numPr>
          <w:ilvl w:val="1"/>
          <w:numId w:val="0"/>
        </w:numPr>
        <w:tabs>
          <w:tab w:val="left" w:pos="1523"/>
          <w:tab w:val="left" w:pos="1524"/>
        </w:tabs>
        <w:kinsoku/>
        <w:wordWrap/>
        <w:overflowPunct/>
        <w:topLinePunct w:val="0"/>
        <w:autoSpaceDE w:val="0"/>
        <w:autoSpaceDN w:val="0"/>
        <w:bidi w:val="0"/>
        <w:adjustRightInd/>
        <w:snapToGrid/>
        <w:spacing w:line="320" w:lineRule="exact"/>
        <w:ind w:right="346" w:rightChars="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24"/>
          <w:w w:val="100"/>
          <w:kern w:val="0"/>
          <w:sz w:val="24"/>
          <w:szCs w:val="24"/>
          <w:highlight w:val="none"/>
          <w:lang w:val="zh-CN" w:eastAsia="zh-CN" w:bidi="zh-CN"/>
        </w:rPr>
        <w:t>27.1</w:t>
      </w:r>
      <w:r>
        <w:rPr>
          <w:rFonts w:hint="eastAsia" w:asciiTheme="minorEastAsia" w:hAnsiTheme="minorEastAsia" w:eastAsiaTheme="minorEastAsia" w:cstheme="minorEastAsia"/>
          <w:spacing w:val="-4"/>
          <w:kern w:val="0"/>
          <w:sz w:val="24"/>
          <w:szCs w:val="24"/>
          <w:highlight w:val="none"/>
          <w:lang w:val="zh-CN" w:bidi="zh-CN"/>
        </w:rPr>
        <w:t>不利物质条件，是指承包人在施工场地遇到的不可预见的自然物质条件、非自然的物质障碍和污染物，包括地下和水文条件，但不包括气候条件。</w:t>
      </w:r>
    </w:p>
    <w:p w14:paraId="4AF99E64">
      <w:pPr>
        <w:pageBreakBefore w:val="0"/>
        <w:numPr>
          <w:ilvl w:val="1"/>
          <w:numId w:val="0"/>
        </w:numPr>
        <w:tabs>
          <w:tab w:val="left" w:pos="1528"/>
          <w:tab w:val="left" w:pos="1529"/>
        </w:tabs>
        <w:kinsoku/>
        <w:wordWrap/>
        <w:overflowPunct/>
        <w:topLinePunct w:val="0"/>
        <w:autoSpaceDE w:val="0"/>
        <w:autoSpaceDN w:val="0"/>
        <w:bidi w:val="0"/>
        <w:adjustRightInd/>
        <w:snapToGrid/>
        <w:spacing w:before="3" w:line="320" w:lineRule="exact"/>
        <w:ind w:right="346" w:rightChars="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24"/>
          <w:w w:val="100"/>
          <w:kern w:val="0"/>
          <w:sz w:val="24"/>
          <w:szCs w:val="24"/>
          <w:highlight w:val="none"/>
          <w:lang w:val="zh-CN" w:eastAsia="zh-CN" w:bidi="zh-CN"/>
        </w:rPr>
        <w:t>27.2</w:t>
      </w:r>
      <w:r>
        <w:rPr>
          <w:rFonts w:hint="eastAsia" w:asciiTheme="minorEastAsia" w:hAnsiTheme="minorEastAsia" w:eastAsiaTheme="minorEastAsia" w:cstheme="minorEastAsia"/>
          <w:kern w:val="0"/>
          <w:sz w:val="24"/>
          <w:szCs w:val="24"/>
          <w:highlight w:val="none"/>
          <w:lang w:val="zh-CN" w:bidi="zh-CN"/>
        </w:rPr>
        <w:t>承包人遇到不利物质条件时，应采取适应不利物质条件的合理措施继续施工，并及时通知监理人。监理人应当及时发出指示，指示构成变更的，按约定办</w:t>
      </w:r>
      <w:r>
        <w:rPr>
          <w:rFonts w:hint="eastAsia" w:asciiTheme="minorEastAsia" w:hAnsiTheme="minorEastAsia" w:eastAsiaTheme="minorEastAsia" w:cstheme="minorEastAsia"/>
          <w:spacing w:val="-3"/>
          <w:kern w:val="0"/>
          <w:sz w:val="24"/>
          <w:szCs w:val="24"/>
          <w:highlight w:val="none"/>
          <w:lang w:val="zh-CN" w:bidi="zh-CN"/>
        </w:rPr>
        <w:t>理。监理人没有发出指示的，承包人因采取合理措施而增加的费用和</w:t>
      </w:r>
      <w:r>
        <w:rPr>
          <w:rFonts w:hint="eastAsia" w:asciiTheme="minorEastAsia" w:hAnsiTheme="minorEastAsia" w:eastAsiaTheme="minorEastAsia" w:cstheme="minorEastAsia"/>
          <w:kern w:val="0"/>
          <w:sz w:val="24"/>
          <w:szCs w:val="24"/>
          <w:highlight w:val="none"/>
          <w:lang w:val="zh-CN" w:bidi="zh-CN"/>
        </w:rPr>
        <w:t>(或)工期延误， 由发包人承担。</w:t>
      </w:r>
    </w:p>
    <w:p w14:paraId="2D348DA7">
      <w:pPr>
        <w:keepLines/>
        <w:pageBreakBefore w:val="0"/>
        <w:widowControl/>
        <w:tabs>
          <w:tab w:val="left" w:pos="567"/>
        </w:tabs>
        <w:kinsoku/>
        <w:wordWrap/>
        <w:overflowPunct/>
        <w:topLinePunct w:val="0"/>
        <w:autoSpaceDE w:val="0"/>
        <w:autoSpaceDN w:val="0"/>
        <w:bidi w:val="0"/>
        <w:adjustRightInd/>
        <w:snapToGrid/>
        <w:spacing w:before="120" w:after="12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28.不可抗力后果及其处理</w:t>
      </w:r>
    </w:p>
    <w:p w14:paraId="1562C23F">
      <w:pPr>
        <w:pageBreakBefore w:val="0"/>
        <w:numPr>
          <w:ilvl w:val="1"/>
          <w:numId w:val="0"/>
        </w:numPr>
        <w:tabs>
          <w:tab w:val="left" w:pos="1528"/>
          <w:tab w:val="left" w:pos="1529"/>
        </w:tabs>
        <w:kinsoku/>
        <w:wordWrap/>
        <w:overflowPunct/>
        <w:topLinePunct w:val="0"/>
        <w:autoSpaceDE w:val="0"/>
        <w:autoSpaceDN w:val="0"/>
        <w:bidi w:val="0"/>
        <w:adjustRightInd/>
        <w:snapToGrid/>
        <w:spacing w:line="320" w:lineRule="exact"/>
        <w:ind w:right="467" w:rightChars="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w w:val="100"/>
          <w:kern w:val="0"/>
          <w:sz w:val="24"/>
          <w:szCs w:val="24"/>
          <w:highlight w:val="none"/>
          <w:lang w:val="zh-CN" w:eastAsia="zh-CN" w:bidi="zh-CN"/>
        </w:rPr>
        <w:t>28.1</w:t>
      </w:r>
      <w:r>
        <w:rPr>
          <w:rFonts w:hint="eastAsia" w:asciiTheme="minorEastAsia" w:hAnsiTheme="minorEastAsia" w:eastAsiaTheme="minorEastAsia" w:cstheme="minorEastAsia"/>
          <w:kern w:val="0"/>
          <w:sz w:val="24"/>
          <w:szCs w:val="24"/>
          <w:highlight w:val="none"/>
          <w:lang w:val="zh-CN" w:bidi="zh-CN"/>
        </w:rPr>
        <w:t>不可抗力是指承包人和发包人在订立合同时不可预见，在工程施工过程中不可避免发生并不能克服的自然灾害和社会性突发事件。包括但不限于：</w:t>
      </w:r>
    </w:p>
    <w:p w14:paraId="394297E2">
      <w:pPr>
        <w:pageBreakBefore w:val="0"/>
        <w:kinsoku/>
        <w:wordWrap/>
        <w:overflowPunct/>
        <w:topLinePunct w:val="0"/>
        <w:autoSpaceDE w:val="0"/>
        <w:autoSpaceDN w:val="0"/>
        <w:bidi w:val="0"/>
        <w:adjustRightInd/>
        <w:snapToGrid/>
        <w:spacing w:line="320" w:lineRule="exact"/>
        <w:ind w:right="462"/>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（1）地震、海啸、火山爆发、泥石流、暴雨(雪)、台风、龙卷风、水灾等自然灾害；</w:t>
      </w:r>
    </w:p>
    <w:p w14:paraId="43516E09">
      <w:pPr>
        <w:pageBreakBefore w:val="0"/>
        <w:kinsoku/>
        <w:wordWrap/>
        <w:overflowPunct/>
        <w:topLinePunct w:val="0"/>
        <w:autoSpaceDE w:val="0"/>
        <w:autoSpaceDN w:val="0"/>
        <w:bidi w:val="0"/>
        <w:adjustRightInd/>
        <w:snapToGrid/>
        <w:spacing w:before="1" w:line="320" w:lineRule="exact"/>
        <w:ind w:right="462"/>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8"/>
          <w:kern w:val="0"/>
          <w:sz w:val="24"/>
          <w:szCs w:val="24"/>
          <w:highlight w:val="none"/>
          <w:lang w:val="zh-CN" w:bidi="zh-CN"/>
        </w:rPr>
        <w:t>（2）</w:t>
      </w:r>
      <w:r>
        <w:rPr>
          <w:rFonts w:hint="eastAsia" w:asciiTheme="minorEastAsia" w:hAnsiTheme="minorEastAsia" w:eastAsiaTheme="minorEastAsia" w:cstheme="minorEastAsia"/>
          <w:spacing w:val="-9"/>
          <w:kern w:val="0"/>
          <w:sz w:val="24"/>
          <w:szCs w:val="24"/>
          <w:highlight w:val="none"/>
          <w:lang w:val="zh-CN" w:bidi="zh-CN"/>
        </w:rPr>
        <w:t>战争、骚乱、暴动，但纯属承包人或其分包人派遣与雇用的人员由于本合同工程施工原因引起者除外；</w:t>
      </w:r>
    </w:p>
    <w:p w14:paraId="76889E60">
      <w:pPr>
        <w:pageBreakBefore w:val="0"/>
        <w:kinsoku/>
        <w:wordWrap/>
        <w:overflowPunct/>
        <w:topLinePunct w:val="0"/>
        <w:autoSpaceDE w:val="0"/>
        <w:autoSpaceDN w:val="0"/>
        <w:bidi w:val="0"/>
        <w:adjustRightInd/>
        <w:snapToGrid/>
        <w:spacing w:line="320" w:lineRule="exact"/>
        <w:ind w:right="462"/>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（3）核反应、辐射或放射性污染；</w:t>
      </w:r>
    </w:p>
    <w:p w14:paraId="0236839E">
      <w:pPr>
        <w:pageBreakBefore w:val="0"/>
        <w:kinsoku/>
        <w:wordWrap/>
        <w:overflowPunct/>
        <w:topLinePunct w:val="0"/>
        <w:autoSpaceDE w:val="0"/>
        <w:autoSpaceDN w:val="0"/>
        <w:bidi w:val="0"/>
        <w:adjustRightInd/>
        <w:snapToGrid/>
        <w:spacing w:line="320" w:lineRule="exact"/>
        <w:ind w:right="462"/>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（4）空中飞行物体坠落或非发包人或承包人责任造成的爆炸、火灾；</w:t>
      </w:r>
    </w:p>
    <w:p w14:paraId="37EB92DB">
      <w:pPr>
        <w:pageBreakBefore w:val="0"/>
        <w:kinsoku/>
        <w:wordWrap/>
        <w:overflowPunct/>
        <w:topLinePunct w:val="0"/>
        <w:autoSpaceDE w:val="0"/>
        <w:autoSpaceDN w:val="0"/>
        <w:bidi w:val="0"/>
        <w:adjustRightInd/>
        <w:snapToGrid/>
        <w:spacing w:line="320" w:lineRule="exact"/>
        <w:ind w:right="462"/>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（5）瘟疫；</w:t>
      </w:r>
    </w:p>
    <w:p w14:paraId="4C44B387">
      <w:pPr>
        <w:pageBreakBefore w:val="0"/>
        <w:kinsoku/>
        <w:wordWrap/>
        <w:overflowPunct/>
        <w:topLinePunct w:val="0"/>
        <w:autoSpaceDE w:val="0"/>
        <w:autoSpaceDN w:val="0"/>
        <w:bidi w:val="0"/>
        <w:adjustRightInd/>
        <w:snapToGrid/>
        <w:spacing w:line="320" w:lineRule="exact"/>
        <w:ind w:right="462"/>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（6）合同条款约定的其他情形。</w:t>
      </w:r>
    </w:p>
    <w:p w14:paraId="069B60B4">
      <w:pPr>
        <w:pageBreakBefore w:val="0"/>
        <w:tabs>
          <w:tab w:val="left" w:pos="1523"/>
          <w:tab w:val="left" w:pos="1524"/>
        </w:tabs>
        <w:kinsoku/>
        <w:wordWrap/>
        <w:overflowPunct/>
        <w:topLinePunct w:val="0"/>
        <w:autoSpaceDE w:val="0"/>
        <w:autoSpaceDN w:val="0"/>
        <w:bidi w:val="0"/>
        <w:adjustRightInd/>
        <w:snapToGrid/>
        <w:spacing w:before="83"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28.2 不可抗力造成损害的责任</w:t>
      </w:r>
    </w:p>
    <w:p w14:paraId="73D9E35D">
      <w:pPr>
        <w:pageBreakBefore w:val="0"/>
        <w:kinsoku/>
        <w:wordWrap/>
        <w:overflowPunct/>
        <w:topLinePunct w:val="0"/>
        <w:autoSpaceDE w:val="0"/>
        <w:autoSpaceDN w:val="0"/>
        <w:bidi w:val="0"/>
        <w:adjustRightInd/>
        <w:snapToGrid/>
        <w:spacing w:before="84" w:line="320" w:lineRule="exact"/>
        <w:ind w:left="384" w:right="465"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不可抗力导致的人员伤亡、财产损失、费用增加和(或)工期延误等后果，由合同双方按以下原则承担：</w:t>
      </w:r>
    </w:p>
    <w:p w14:paraId="138C5D4F">
      <w:pPr>
        <w:pageBreakBefore w:val="0"/>
        <w:kinsoku/>
        <w:wordWrap/>
        <w:overflowPunct/>
        <w:topLinePunct w:val="0"/>
        <w:autoSpaceDE w:val="0"/>
        <w:autoSpaceDN w:val="0"/>
        <w:bidi w:val="0"/>
        <w:adjustRightInd/>
        <w:snapToGrid/>
        <w:spacing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（1）永久工程，包括已运至施工场地的材料和工程设备的损害，以及因工程损害造成的第三者人员伤亡和财产损失由发包人承担；</w:t>
      </w:r>
    </w:p>
    <w:p w14:paraId="6B9F03A3">
      <w:pPr>
        <w:pageBreakBefore w:val="0"/>
        <w:kinsoku/>
        <w:wordWrap/>
        <w:overflowPunct/>
        <w:topLinePunct w:val="0"/>
        <w:autoSpaceDE w:val="0"/>
        <w:autoSpaceDN w:val="0"/>
        <w:bidi w:val="0"/>
        <w:adjustRightInd/>
        <w:snapToGrid/>
        <w:spacing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（2）承包人设备的损坏由承包人承担；</w:t>
      </w:r>
    </w:p>
    <w:p w14:paraId="6AF6A6FE">
      <w:pPr>
        <w:pageBreakBefore w:val="0"/>
        <w:kinsoku/>
        <w:wordWrap/>
        <w:overflowPunct/>
        <w:topLinePunct w:val="0"/>
        <w:autoSpaceDE w:val="0"/>
        <w:autoSpaceDN w:val="0"/>
        <w:bidi w:val="0"/>
        <w:adjustRightInd/>
        <w:snapToGrid/>
        <w:spacing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（3）发包人和承包人各自承担其人员伤亡和其他财产损失及其相关费用；</w:t>
      </w:r>
    </w:p>
    <w:p w14:paraId="75341C47">
      <w:pPr>
        <w:pageBreakBefore w:val="0"/>
        <w:kinsoku/>
        <w:wordWrap/>
        <w:overflowPunct/>
        <w:topLinePunct w:val="0"/>
        <w:autoSpaceDE w:val="0"/>
        <w:autoSpaceDN w:val="0"/>
        <w:bidi w:val="0"/>
        <w:adjustRightInd/>
        <w:snapToGrid/>
        <w:spacing w:before="84"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（4）承包人的停工损失由承包人承担，但停工期间应监理人要求照管工程和清理、修复工程的金额由发包人承担；</w:t>
      </w:r>
    </w:p>
    <w:p w14:paraId="29B1C8F0">
      <w:pPr>
        <w:pageBreakBefore w:val="0"/>
        <w:kinsoku/>
        <w:wordWrap/>
        <w:overflowPunct/>
        <w:topLinePunct w:val="0"/>
        <w:autoSpaceDE w:val="0"/>
        <w:autoSpaceDN w:val="0"/>
        <w:bidi w:val="0"/>
        <w:adjustRightInd/>
        <w:snapToGrid/>
        <w:spacing w:line="320" w:lineRule="exact"/>
        <w:ind w:right="38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（5）不能按期竣工的，应合理延长工期，承包人不需支付逾期竣工违约金。发包人要求赶工的，承包人应采取赶工措施，赶工费用由发包人承担。</w:t>
      </w:r>
    </w:p>
    <w:p w14:paraId="32126A30">
      <w:pPr>
        <w:pageBreakBefore w:val="0"/>
        <w:tabs>
          <w:tab w:val="left" w:pos="1523"/>
          <w:tab w:val="left" w:pos="1524"/>
        </w:tabs>
        <w:kinsoku/>
        <w:wordWrap/>
        <w:overflowPunct/>
        <w:topLinePunct w:val="0"/>
        <w:autoSpaceDE w:val="0"/>
        <w:autoSpaceDN w:val="0"/>
        <w:bidi w:val="0"/>
        <w:adjustRightInd/>
        <w:snapToGrid/>
        <w:spacing w:before="1"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28.3延迟履行期间发生的不可抗力</w:t>
      </w:r>
    </w:p>
    <w:p w14:paraId="5F1A791B">
      <w:pPr>
        <w:pageBreakBefore w:val="0"/>
        <w:kinsoku/>
        <w:wordWrap/>
        <w:overflowPunct/>
        <w:topLinePunct w:val="0"/>
        <w:autoSpaceDE w:val="0"/>
        <w:autoSpaceDN w:val="0"/>
        <w:bidi w:val="0"/>
        <w:adjustRightInd/>
        <w:snapToGrid/>
        <w:spacing w:before="84"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合同一方当事人延迟履行，在延迟履行期间发生不可抗力的，不免除其责任。</w:t>
      </w:r>
    </w:p>
    <w:p w14:paraId="33A0A2A4">
      <w:pPr>
        <w:pageBreakBefore w:val="0"/>
        <w:tabs>
          <w:tab w:val="left" w:pos="1523"/>
          <w:tab w:val="left" w:pos="1524"/>
        </w:tabs>
        <w:kinsoku/>
        <w:wordWrap/>
        <w:overflowPunct/>
        <w:topLinePunct w:val="0"/>
        <w:autoSpaceDE w:val="0"/>
        <w:autoSpaceDN w:val="0"/>
        <w:bidi w:val="0"/>
        <w:adjustRightInd/>
        <w:snapToGrid/>
        <w:spacing w:before="84"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28.4避免和减少不可抗力损失</w:t>
      </w:r>
    </w:p>
    <w:p w14:paraId="32751A79">
      <w:pPr>
        <w:pageBreakBefore w:val="0"/>
        <w:kinsoku/>
        <w:wordWrap/>
        <w:overflowPunct/>
        <w:topLinePunct w:val="0"/>
        <w:autoSpaceDE w:val="0"/>
        <w:autoSpaceDN w:val="0"/>
        <w:bidi w:val="0"/>
        <w:adjustRightInd/>
        <w:snapToGrid/>
        <w:spacing w:before="86" w:line="320" w:lineRule="exact"/>
        <w:ind w:right="465"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不可抗力发生后，发包人和承包人均应采取措施尽量避免和减少损失的扩大， 任何一方没有采取有效措施导致损失扩大的，应对扩大的损失承担责任。</w:t>
      </w:r>
    </w:p>
    <w:p w14:paraId="03E542FF">
      <w:pPr>
        <w:pageBreakBefore w:val="0"/>
        <w:tabs>
          <w:tab w:val="left" w:pos="1523"/>
          <w:tab w:val="left" w:pos="1524"/>
        </w:tabs>
        <w:kinsoku/>
        <w:wordWrap/>
        <w:overflowPunct/>
        <w:topLinePunct w:val="0"/>
        <w:autoSpaceDE w:val="0"/>
        <w:autoSpaceDN w:val="0"/>
        <w:bidi w:val="0"/>
        <w:adjustRightInd/>
        <w:snapToGrid/>
        <w:spacing w:before="1"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28.5因不可抗力解除合同</w:t>
      </w:r>
    </w:p>
    <w:p w14:paraId="2B1F45CB">
      <w:pPr>
        <w:pageBreakBefore w:val="0"/>
        <w:kinsoku/>
        <w:wordWrap/>
        <w:overflowPunct/>
        <w:topLinePunct w:val="0"/>
        <w:autoSpaceDE w:val="0"/>
        <w:autoSpaceDN w:val="0"/>
        <w:bidi w:val="0"/>
        <w:adjustRightInd/>
        <w:snapToGrid/>
        <w:spacing w:before="86" w:line="320" w:lineRule="exact"/>
        <w:ind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合同一方当事人因不可抗力不能履行合同的，应当及时通知对方解除合同。合同解除后，承包人应按照约定撤离施工场地。已经订货的材料、设备由订货方负责退货或解除订货合同，不能退还的货款和因退货、解除订货合同发生的费用，由发包人承担，因未及时退货造成的损失由责任方承担。合同解除后的付款参照约定， 由监理人按商定确定。</w:t>
      </w:r>
    </w:p>
    <w:p w14:paraId="3A924CB0">
      <w:pPr>
        <w:keepLines/>
        <w:pageBreakBefore w:val="0"/>
        <w:widowControl/>
        <w:tabs>
          <w:tab w:val="left" w:pos="567"/>
        </w:tabs>
        <w:kinsoku/>
        <w:wordWrap/>
        <w:overflowPunct/>
        <w:topLinePunct w:val="0"/>
        <w:autoSpaceDE w:val="0"/>
        <w:autoSpaceDN w:val="0"/>
        <w:bidi w:val="0"/>
        <w:adjustRightInd/>
        <w:snapToGrid/>
        <w:spacing w:before="120" w:after="12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29.文物</w:t>
      </w:r>
    </w:p>
    <w:p w14:paraId="0DEC381A">
      <w:pPr>
        <w:pageBreakBefore w:val="0"/>
        <w:kinsoku/>
        <w:wordWrap/>
        <w:overflowPunct/>
        <w:topLinePunct w:val="0"/>
        <w:autoSpaceDE w:val="0"/>
        <w:autoSpaceDN w:val="0"/>
        <w:bidi w:val="0"/>
        <w:adjustRightInd/>
        <w:snapToGrid/>
        <w:spacing w:line="320" w:lineRule="exact"/>
        <w:ind w:right="26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在施工场地发掘出的所有文物、古迹以及具有地质研究或考古价值的其他遗迹、化石、钱币或物品属于国家财产。承包人一旦发现上述文物时，应采取一切必要的措施保护现场，防止任何人员移动或损坏任何该类物品，并立即将此发现通知监理人，并执行监理人关于此事的指令。如果由于这样的指令使承包人工期受到拖延和（或）增加了费用，则监理人在与承包人和发包人协商后应确定延长工期和（或） 增加费用，通知承包人并抄送发包人。承包人发现文物不及时报告或隐瞒不报致使文物丢失或损坏的，应赔偿损失并承担相应的法律责任。</w:t>
      </w:r>
    </w:p>
    <w:p w14:paraId="6C760214">
      <w:pPr>
        <w:keepLines/>
        <w:pageBreakBefore w:val="0"/>
        <w:widowControl/>
        <w:tabs>
          <w:tab w:val="left" w:pos="567"/>
        </w:tabs>
        <w:kinsoku/>
        <w:wordWrap/>
        <w:overflowPunct/>
        <w:topLinePunct w:val="0"/>
        <w:autoSpaceDE w:val="0"/>
        <w:autoSpaceDN w:val="0"/>
        <w:bidi w:val="0"/>
        <w:adjustRightInd/>
        <w:snapToGrid/>
        <w:spacing w:before="120" w:after="12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30.违约赔偿</w:t>
      </w:r>
    </w:p>
    <w:p w14:paraId="5AA98417">
      <w:pPr>
        <w:pageBreakBefore w:val="0"/>
        <w:kinsoku/>
        <w:wordWrap/>
        <w:overflowPunct/>
        <w:topLinePunct w:val="0"/>
        <w:autoSpaceDE w:val="0"/>
        <w:autoSpaceDN w:val="0"/>
        <w:bidi w:val="0"/>
        <w:adjustRightInd/>
        <w:snapToGrid/>
        <w:spacing w:line="320" w:lineRule="exact"/>
        <w:ind w:right="26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30.1施工过程中发包人或监理人、质监机构抽检连续 2 个分项工程不合格者， 按合同条款的有关要求，承包人对不合格分项工程补做或返工，使其达到合格标准， 并赔偿每个分项工程 10000 元的违约金。</w:t>
      </w:r>
    </w:p>
    <w:p w14:paraId="60ED6DB6">
      <w:pPr>
        <w:pageBreakBefore w:val="0"/>
        <w:kinsoku/>
        <w:wordWrap/>
        <w:overflowPunct/>
        <w:topLinePunct w:val="0"/>
        <w:autoSpaceDE w:val="0"/>
        <w:autoSpaceDN w:val="0"/>
        <w:bidi w:val="0"/>
        <w:adjustRightInd/>
        <w:snapToGrid/>
        <w:spacing w:line="320" w:lineRule="exact"/>
        <w:ind w:right="26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30.2承包人未按规定工期完成本合同工程，拖期损失赔偿见合同条款数据表。工程进度严重滞后，承包人即使采取措施也不能保证工程按期完工，发包人有权指定分包并没收履约保证金。</w:t>
      </w:r>
    </w:p>
    <w:p w14:paraId="7779E893">
      <w:pPr>
        <w:pageBreakBefore w:val="0"/>
        <w:kinsoku/>
        <w:wordWrap/>
        <w:overflowPunct/>
        <w:topLinePunct w:val="0"/>
        <w:autoSpaceDE w:val="0"/>
        <w:autoSpaceDN w:val="0"/>
        <w:bidi w:val="0"/>
        <w:adjustRightInd/>
        <w:snapToGrid/>
        <w:spacing w:line="320" w:lineRule="exact"/>
        <w:ind w:right="26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30.3承包人主要管理人员、机械设备未按投标文件约定时间进场，人员按 200 元/人·天，机械设备每天按《公路工程机械台班费用定额》台班基价两倍支付违约赔偿。</w:t>
      </w:r>
    </w:p>
    <w:p w14:paraId="0D8924EB">
      <w:pPr>
        <w:pageBreakBefore w:val="0"/>
        <w:kinsoku/>
        <w:wordWrap/>
        <w:overflowPunct/>
        <w:topLinePunct w:val="0"/>
        <w:autoSpaceDE w:val="0"/>
        <w:autoSpaceDN w:val="0"/>
        <w:bidi w:val="0"/>
        <w:adjustRightInd/>
        <w:snapToGrid/>
        <w:spacing w:line="320" w:lineRule="exact"/>
        <w:ind w:right="26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30.4发生克扣、拖欠劳务工资、设备材料款，造成恶劣影响的，承包人在限期内不予支付时，发包人将从其履约保证金中支付。</w:t>
      </w:r>
    </w:p>
    <w:p w14:paraId="7636303C">
      <w:pPr>
        <w:pageBreakBefore w:val="0"/>
        <w:kinsoku/>
        <w:wordWrap/>
        <w:overflowPunct/>
        <w:topLinePunct w:val="0"/>
        <w:autoSpaceDE w:val="0"/>
        <w:autoSpaceDN w:val="0"/>
        <w:bidi w:val="0"/>
        <w:adjustRightInd/>
        <w:snapToGrid/>
        <w:spacing w:line="320" w:lineRule="exact"/>
        <w:ind w:right="26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30.5便道未按合同管养，影响社会车辆通行，造成恶劣影响的，承包人在限期内不予整改的，发包人可另行实施，其发生的费用从承包人工程款中扣回。</w:t>
      </w:r>
    </w:p>
    <w:p w14:paraId="39FD0846">
      <w:pPr>
        <w:pageBreakBefore w:val="0"/>
        <w:kinsoku/>
        <w:wordWrap/>
        <w:overflowPunct/>
        <w:topLinePunct w:val="0"/>
        <w:autoSpaceDE w:val="0"/>
        <w:autoSpaceDN w:val="0"/>
        <w:bidi w:val="0"/>
        <w:adjustRightInd/>
        <w:snapToGrid/>
        <w:spacing w:line="320" w:lineRule="exact"/>
        <w:ind w:right="26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30.6承包人违约转让或变相转让合同，发包人将没收履约保证金，并将其清除出场。</w:t>
      </w:r>
    </w:p>
    <w:p w14:paraId="7AC20285">
      <w:pPr>
        <w:pageBreakBefore w:val="0"/>
        <w:kinsoku/>
        <w:wordWrap/>
        <w:overflowPunct/>
        <w:topLinePunct w:val="0"/>
        <w:autoSpaceDE w:val="0"/>
        <w:autoSpaceDN w:val="0"/>
        <w:bidi w:val="0"/>
        <w:adjustRightInd/>
        <w:snapToGrid/>
        <w:spacing w:line="320" w:lineRule="exact"/>
        <w:ind w:right="26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30.7在工程施工过程中，如监理人或发包人认为承包人主要管理人员及技术人员不能胜任工作，提出更换人员要求，承包人必须执行，且更换人员资格不低于所换人员资格，无论是否征得发包人同意，均按下述规定扣除其违约金：项目经理每人次扣除 6 万元，项目总工每人次扣除 5 万元，路基工程师、路面工程师、结构工程师、计量计划负责人、试验检测工程师每人次扣除 3 万元。即使交纳了违约金， 承包人仍有义务按合同规定纠正其违约行为；更换率达到 50%的按照《喀什农村公路建设从业单位信用评价实施细则》的规定评价。</w:t>
      </w:r>
    </w:p>
    <w:p w14:paraId="0F25D36A">
      <w:pPr>
        <w:keepLines/>
        <w:pageBreakBefore w:val="0"/>
        <w:widowControl/>
        <w:tabs>
          <w:tab w:val="left" w:pos="567"/>
        </w:tabs>
        <w:kinsoku/>
        <w:wordWrap/>
        <w:overflowPunct/>
        <w:topLinePunct w:val="0"/>
        <w:autoSpaceDE w:val="0"/>
        <w:autoSpaceDN w:val="0"/>
        <w:bidi w:val="0"/>
        <w:adjustRightInd/>
        <w:snapToGrid/>
        <w:spacing w:before="120" w:after="12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31.承包人需遵循的其他规定和要求</w:t>
      </w:r>
    </w:p>
    <w:p w14:paraId="41E64714">
      <w:pPr>
        <w:pageBreakBefore w:val="0"/>
        <w:tabs>
          <w:tab w:val="left" w:pos="1523"/>
          <w:tab w:val="left" w:pos="1524"/>
        </w:tabs>
        <w:kinsoku/>
        <w:wordWrap/>
        <w:overflowPunct/>
        <w:topLinePunct w:val="0"/>
        <w:autoSpaceDE w:val="0"/>
        <w:autoSpaceDN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31.1喀什公路工程现行通知、办法详见附件。</w:t>
      </w:r>
    </w:p>
    <w:p w14:paraId="6871189D">
      <w:pPr>
        <w:pageBreakBefore w:val="0"/>
        <w:tabs>
          <w:tab w:val="left" w:pos="1523"/>
          <w:tab w:val="left" w:pos="1524"/>
        </w:tabs>
        <w:kinsoku/>
        <w:wordWrap/>
        <w:overflowPunct/>
        <w:topLinePunct w:val="0"/>
        <w:autoSpaceDE w:val="0"/>
        <w:autoSpaceDN w:val="0"/>
        <w:bidi w:val="0"/>
        <w:adjustRightInd/>
        <w:snapToGrid/>
        <w:spacing w:before="83"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31.2临时排水设施</w:t>
      </w:r>
    </w:p>
    <w:p w14:paraId="7CE69A71">
      <w:pPr>
        <w:pageBreakBefore w:val="0"/>
        <w:kinsoku/>
        <w:wordWrap/>
        <w:overflowPunct/>
        <w:topLinePunct w:val="0"/>
        <w:autoSpaceDE w:val="0"/>
        <w:autoSpaceDN w:val="0"/>
        <w:bidi w:val="0"/>
        <w:adjustRightInd/>
        <w:snapToGrid/>
        <w:spacing w:before="84" w:line="320" w:lineRule="exact"/>
        <w:ind w:right="465"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承包人在施工中，道路的临时排水设施要与路基的施工同步，所需费用报价中要充分考虑。如因承包人排水设施不当，造成的工程损失由承包人承担。</w:t>
      </w:r>
    </w:p>
    <w:p w14:paraId="3F9C36D3">
      <w:pPr>
        <w:pageBreakBefore w:val="0"/>
        <w:tabs>
          <w:tab w:val="left" w:pos="1523"/>
          <w:tab w:val="left" w:pos="1524"/>
        </w:tabs>
        <w:kinsoku/>
        <w:wordWrap/>
        <w:overflowPunct/>
        <w:topLinePunct w:val="0"/>
        <w:autoSpaceDE w:val="0"/>
        <w:autoSpaceDN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31.3突发公共卫生事件</w:t>
      </w:r>
    </w:p>
    <w:p w14:paraId="74914A5C">
      <w:pPr>
        <w:pageBreakBefore w:val="0"/>
        <w:kinsoku/>
        <w:wordWrap/>
        <w:overflowPunct/>
        <w:topLinePunct w:val="0"/>
        <w:autoSpaceDE w:val="0"/>
        <w:autoSpaceDN w:val="0"/>
        <w:bidi w:val="0"/>
        <w:adjustRightInd/>
        <w:snapToGrid/>
        <w:spacing w:before="84" w:line="320" w:lineRule="exact"/>
        <w:ind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为了有效预防、及时控制和消除公共卫生事件的危害，保障全体施工人员（包括雇用劳务人员）及周围群众身体健康和生命安全，维持正常社会秩序，承包人应</w:t>
      </w:r>
      <w:r>
        <w:rPr>
          <w:rFonts w:hint="eastAsia" w:asciiTheme="minorEastAsia" w:hAnsiTheme="minorEastAsia" w:eastAsiaTheme="minorEastAsia" w:cstheme="minorEastAsia"/>
          <w:spacing w:val="-6"/>
          <w:kern w:val="0"/>
          <w:sz w:val="24"/>
          <w:szCs w:val="24"/>
          <w:highlight w:val="none"/>
          <w:lang w:val="zh-CN" w:bidi="zh-CN"/>
        </w:rPr>
        <w:t xml:space="preserve">全面贯彻国务院第 </w:t>
      </w:r>
      <w:r>
        <w:rPr>
          <w:rFonts w:hint="eastAsia" w:asciiTheme="minorEastAsia" w:hAnsiTheme="minorEastAsia" w:eastAsiaTheme="minorEastAsia" w:cstheme="minorEastAsia"/>
          <w:kern w:val="0"/>
          <w:sz w:val="24"/>
          <w:szCs w:val="24"/>
          <w:highlight w:val="none"/>
          <w:lang w:val="zh-CN" w:bidi="zh-CN"/>
        </w:rPr>
        <w:t>376 号令《突发公共卫生事件应急条例》，其涉及内容均不单独计量与支付，投标人报价时综合考虑其费用，所涉及的费用均包括在与之相关的工程细目的单价之中，发包人不单独支付。</w:t>
      </w:r>
    </w:p>
    <w:p w14:paraId="75E21C80">
      <w:pPr>
        <w:pageBreakBefore w:val="0"/>
        <w:tabs>
          <w:tab w:val="left" w:pos="1523"/>
          <w:tab w:val="left" w:pos="1524"/>
        </w:tabs>
        <w:kinsoku/>
        <w:wordWrap/>
        <w:overflowPunct/>
        <w:topLinePunct w:val="0"/>
        <w:autoSpaceDE w:val="0"/>
        <w:autoSpaceDN w:val="0"/>
        <w:bidi w:val="0"/>
        <w:adjustRightInd/>
        <w:snapToGrid/>
        <w:spacing w:before="4"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31.4反商业贿赂</w:t>
      </w:r>
    </w:p>
    <w:p w14:paraId="2046148A">
      <w:pPr>
        <w:pageBreakBefore w:val="0"/>
        <w:kinsoku/>
        <w:wordWrap/>
        <w:overflowPunct/>
        <w:topLinePunct w:val="0"/>
        <w:autoSpaceDE w:val="0"/>
        <w:autoSpaceDN w:val="0"/>
        <w:bidi w:val="0"/>
        <w:adjustRightInd/>
        <w:snapToGrid/>
        <w:spacing w:before="84" w:line="320" w:lineRule="exact"/>
        <w:ind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严格执行国家、自治区、交通运输厅关于反商业贿赂的有关规定。承包人应严格按照廉政建设责任制度执行，并将廉政合同落到实处，制定相应的计划和措施。</w:t>
      </w:r>
    </w:p>
    <w:p w14:paraId="7FF0CEDE">
      <w:pPr>
        <w:pageBreakBefore w:val="0"/>
        <w:kinsoku/>
        <w:wordWrap/>
        <w:overflowPunct/>
        <w:topLinePunct w:val="0"/>
        <w:autoSpaceDE w:val="0"/>
        <w:autoSpaceDN w:val="0"/>
        <w:bidi w:val="0"/>
        <w:adjustRightInd/>
        <w:snapToGrid/>
        <w:spacing w:before="10"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3118F772">
      <w:pPr>
        <w:pageBreakBefore w:val="0"/>
        <w:kinsoku/>
        <w:wordWrap/>
        <w:overflowPunct/>
        <w:topLinePunct w:val="0"/>
        <w:autoSpaceDE w:val="0"/>
        <w:autoSpaceDN w:val="0"/>
        <w:bidi w:val="0"/>
        <w:adjustRightInd/>
        <w:snapToGrid/>
        <w:spacing w:before="84" w:line="320" w:lineRule="exact"/>
        <w:ind w:right="467"/>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36B79642">
      <w:pPr>
        <w:pageBreakBefore w:val="0"/>
        <w:kinsoku/>
        <w:wordWrap/>
        <w:overflowPunct/>
        <w:topLinePunct w:val="0"/>
        <w:autoSpaceDE w:val="0"/>
        <w:autoSpaceDN w:val="0"/>
        <w:bidi w:val="0"/>
        <w:adjustRightInd/>
        <w:snapToGrid/>
        <w:spacing w:before="84" w:line="320" w:lineRule="exact"/>
        <w:ind w:right="467"/>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附件：</w:t>
      </w:r>
    </w:p>
    <w:p w14:paraId="67D95623">
      <w:pPr>
        <w:pageBreakBefore w:val="0"/>
        <w:kinsoku/>
        <w:wordWrap/>
        <w:overflowPunct/>
        <w:topLinePunct w:val="0"/>
        <w:autoSpaceDE w:val="0"/>
        <w:autoSpaceDN w:val="0"/>
        <w:bidi w:val="0"/>
        <w:adjustRightInd/>
        <w:snapToGrid/>
        <w:spacing w:before="84" w:line="320" w:lineRule="exact"/>
        <w:ind w:left="384"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(1)《新疆维吾尔自治区农村公路建设管理办法》</w:t>
      </w:r>
    </w:p>
    <w:p w14:paraId="1B6BF54B">
      <w:pPr>
        <w:pageBreakBefore w:val="0"/>
        <w:kinsoku/>
        <w:wordWrap/>
        <w:overflowPunct/>
        <w:topLinePunct w:val="0"/>
        <w:autoSpaceDE w:val="0"/>
        <w:autoSpaceDN w:val="0"/>
        <w:bidi w:val="0"/>
        <w:adjustRightInd/>
        <w:snapToGrid/>
        <w:spacing w:before="84" w:line="320" w:lineRule="exact"/>
        <w:ind w:left="384"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(2)《新疆维吾尔自治区农村公路建设工程质量监督机构和人员考核办法》</w:t>
      </w:r>
    </w:p>
    <w:p w14:paraId="0490B762">
      <w:pPr>
        <w:pageBreakBefore w:val="0"/>
        <w:kinsoku/>
        <w:wordWrap/>
        <w:overflowPunct/>
        <w:topLinePunct w:val="0"/>
        <w:autoSpaceDE w:val="0"/>
        <w:autoSpaceDN w:val="0"/>
        <w:bidi w:val="0"/>
        <w:adjustRightInd/>
        <w:snapToGrid/>
        <w:spacing w:before="84" w:line="320" w:lineRule="exact"/>
        <w:ind w:left="384"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(3)《新疆维吾尔自治区农村公路工程质量监督管理细则》</w:t>
      </w:r>
    </w:p>
    <w:p w14:paraId="1AF51657">
      <w:pPr>
        <w:pageBreakBefore w:val="0"/>
        <w:kinsoku/>
        <w:wordWrap/>
        <w:overflowPunct/>
        <w:topLinePunct w:val="0"/>
        <w:autoSpaceDE w:val="0"/>
        <w:autoSpaceDN w:val="0"/>
        <w:bidi w:val="0"/>
        <w:adjustRightInd/>
        <w:snapToGrid/>
        <w:spacing w:before="84" w:line="320" w:lineRule="exact"/>
        <w:ind w:left="384"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(4)《新疆维吾尔自治区农村公路工程设计变更管理办法（试行）》</w:t>
      </w:r>
    </w:p>
    <w:p w14:paraId="7C4FF492">
      <w:pPr>
        <w:pageBreakBefore w:val="0"/>
        <w:kinsoku/>
        <w:wordWrap/>
        <w:overflowPunct/>
        <w:topLinePunct w:val="0"/>
        <w:autoSpaceDE w:val="0"/>
        <w:autoSpaceDN w:val="0"/>
        <w:bidi w:val="0"/>
        <w:adjustRightInd/>
        <w:snapToGrid/>
        <w:spacing w:before="84" w:line="320" w:lineRule="exact"/>
        <w:ind w:left="384"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(5)《新疆维吾尔自治区农村公路工程施工监理工作规定》</w:t>
      </w:r>
    </w:p>
    <w:p w14:paraId="2996F008">
      <w:pPr>
        <w:pageBreakBefore w:val="0"/>
        <w:kinsoku/>
        <w:wordWrap/>
        <w:overflowPunct/>
        <w:topLinePunct w:val="0"/>
        <w:autoSpaceDE w:val="0"/>
        <w:autoSpaceDN w:val="0"/>
        <w:bidi w:val="0"/>
        <w:adjustRightInd/>
        <w:snapToGrid/>
        <w:spacing w:before="84" w:line="320" w:lineRule="exact"/>
        <w:ind w:left="384"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(6)《新疆维吾尔自治区农村公路工程试验检测工作规定》</w:t>
      </w:r>
    </w:p>
    <w:p w14:paraId="17097B1C">
      <w:pPr>
        <w:pageBreakBefore w:val="0"/>
        <w:kinsoku/>
        <w:wordWrap/>
        <w:overflowPunct/>
        <w:topLinePunct w:val="0"/>
        <w:autoSpaceDE w:val="0"/>
        <w:autoSpaceDN w:val="0"/>
        <w:bidi w:val="0"/>
        <w:adjustRightInd/>
        <w:snapToGrid/>
        <w:spacing w:before="84" w:line="320" w:lineRule="exact"/>
        <w:ind w:left="384"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(7)《新疆小交通量农村公路工程技术指南》</w:t>
      </w:r>
    </w:p>
    <w:p w14:paraId="153EA1EE">
      <w:pPr>
        <w:pageBreakBefore w:val="0"/>
        <w:kinsoku/>
        <w:wordWrap/>
        <w:overflowPunct/>
        <w:topLinePunct w:val="0"/>
        <w:autoSpaceDE w:val="0"/>
        <w:autoSpaceDN w:val="0"/>
        <w:bidi w:val="0"/>
        <w:adjustRightInd/>
        <w:snapToGrid/>
        <w:spacing w:before="84" w:line="320" w:lineRule="exact"/>
        <w:ind w:left="384"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(8)《新疆农村公路施工图设计外业勘察验收指南》</w:t>
      </w:r>
    </w:p>
    <w:p w14:paraId="655EE1E6">
      <w:pPr>
        <w:pageBreakBefore w:val="0"/>
        <w:kinsoku/>
        <w:wordWrap/>
        <w:overflowPunct/>
        <w:topLinePunct w:val="0"/>
        <w:autoSpaceDE w:val="0"/>
        <w:autoSpaceDN w:val="0"/>
        <w:bidi w:val="0"/>
        <w:adjustRightInd/>
        <w:snapToGrid/>
        <w:spacing w:before="84" w:line="320" w:lineRule="exact"/>
        <w:ind w:left="384"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(9)《关于在公路改建改造工程中加强便道管理保障通行的通知》（新交监察〔2001〕5 号文）；</w:t>
      </w:r>
    </w:p>
    <w:p w14:paraId="5FD174B7">
      <w:pPr>
        <w:pageBreakBefore w:val="0"/>
        <w:kinsoku/>
        <w:wordWrap/>
        <w:overflowPunct/>
        <w:topLinePunct w:val="0"/>
        <w:autoSpaceDE w:val="0"/>
        <w:autoSpaceDN w:val="0"/>
        <w:bidi w:val="0"/>
        <w:adjustRightInd/>
        <w:snapToGrid/>
        <w:spacing w:before="84" w:line="320" w:lineRule="exact"/>
        <w:ind w:left="384"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(10)《新疆公路工程台背回填管理办法》；</w:t>
      </w:r>
    </w:p>
    <w:p w14:paraId="372346F6">
      <w:pPr>
        <w:pageBreakBefore w:val="0"/>
        <w:kinsoku/>
        <w:wordWrap/>
        <w:overflowPunct/>
        <w:topLinePunct w:val="0"/>
        <w:autoSpaceDE w:val="0"/>
        <w:autoSpaceDN w:val="0"/>
        <w:bidi w:val="0"/>
        <w:adjustRightInd/>
        <w:snapToGrid/>
        <w:spacing w:before="84" w:line="320" w:lineRule="exact"/>
        <w:ind w:left="384"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(11)《新疆公路工程建设项目便道管理办法》；</w:t>
      </w:r>
    </w:p>
    <w:p w14:paraId="1E8A12EF">
      <w:pPr>
        <w:pageBreakBefore w:val="0"/>
        <w:kinsoku/>
        <w:wordWrap/>
        <w:overflowPunct/>
        <w:topLinePunct w:val="0"/>
        <w:autoSpaceDE w:val="0"/>
        <w:autoSpaceDN w:val="0"/>
        <w:bidi w:val="0"/>
        <w:adjustRightInd/>
        <w:snapToGrid/>
        <w:spacing w:before="84" w:line="320" w:lineRule="exact"/>
        <w:ind w:left="384"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(12)《新疆维吾尔自治区公路工程路基下沉、路面破损、桥涵处跳车等质量问题责任追究》（新交政法〔2001〕20 号）；</w:t>
      </w:r>
    </w:p>
    <w:p w14:paraId="3018FAB1">
      <w:pPr>
        <w:pageBreakBefore w:val="0"/>
        <w:kinsoku/>
        <w:wordWrap/>
        <w:overflowPunct/>
        <w:topLinePunct w:val="0"/>
        <w:autoSpaceDE w:val="0"/>
        <w:autoSpaceDN w:val="0"/>
        <w:bidi w:val="0"/>
        <w:adjustRightInd/>
        <w:snapToGrid/>
        <w:spacing w:before="84" w:line="320" w:lineRule="exact"/>
        <w:ind w:left="384"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(13)《关于提高新疆公路工程路基、路面压实度指标的通知》（新交质监〔2002〕2 号）；</w:t>
      </w:r>
    </w:p>
    <w:p w14:paraId="10FB9C8D">
      <w:pPr>
        <w:pageBreakBefore w:val="0"/>
        <w:kinsoku/>
        <w:wordWrap/>
        <w:overflowPunct/>
        <w:topLinePunct w:val="0"/>
        <w:autoSpaceDE w:val="0"/>
        <w:autoSpaceDN w:val="0"/>
        <w:bidi w:val="0"/>
        <w:adjustRightInd/>
        <w:snapToGrid/>
        <w:spacing w:before="84" w:line="320" w:lineRule="exact"/>
        <w:ind w:left="384"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(14)《新疆维吾尔自治区公路路面透层油和下封层质量控制施工机械配套指导意见》（新交质监〔2008〕22 号）；</w:t>
      </w:r>
    </w:p>
    <w:p w14:paraId="5DFBE4CF">
      <w:pPr>
        <w:pageBreakBefore w:val="0"/>
        <w:kinsoku/>
        <w:wordWrap/>
        <w:overflowPunct/>
        <w:topLinePunct w:val="0"/>
        <w:autoSpaceDE w:val="0"/>
        <w:autoSpaceDN w:val="0"/>
        <w:bidi w:val="0"/>
        <w:adjustRightInd/>
        <w:snapToGrid/>
        <w:spacing w:before="84" w:line="320" w:lineRule="exact"/>
        <w:ind w:left="384"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(15)《新疆维吾尔自治区农村公路建设廉政工作实施办法（试行）》（新交办〔2008〕80 号）；</w:t>
      </w:r>
    </w:p>
    <w:p w14:paraId="3356EBDE">
      <w:pPr>
        <w:pageBreakBefore w:val="0"/>
        <w:kinsoku/>
        <w:wordWrap/>
        <w:overflowPunct/>
        <w:topLinePunct w:val="0"/>
        <w:autoSpaceDE w:val="0"/>
        <w:autoSpaceDN w:val="0"/>
        <w:bidi w:val="0"/>
        <w:adjustRightInd/>
        <w:snapToGrid/>
        <w:spacing w:before="84" w:line="320" w:lineRule="exact"/>
        <w:ind w:left="384"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(16)关于印发《新疆维吾尔自治区公路工程施工质量责任和责任追究制度》的通知（新交工程〔2016〕28 号）；</w:t>
      </w:r>
    </w:p>
    <w:p w14:paraId="25787865">
      <w:pPr>
        <w:pageBreakBefore w:val="0"/>
        <w:kinsoku/>
        <w:wordWrap/>
        <w:overflowPunct/>
        <w:topLinePunct w:val="0"/>
        <w:autoSpaceDE w:val="0"/>
        <w:autoSpaceDN w:val="0"/>
        <w:bidi w:val="0"/>
        <w:adjustRightInd/>
        <w:snapToGrid/>
        <w:spacing w:before="84" w:line="320" w:lineRule="exact"/>
        <w:ind w:left="384"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(17)《关于在公路基础设施建设中使用农民工有关意见的通知》（新交综〔2003〕42 号）；</w:t>
      </w:r>
    </w:p>
    <w:p w14:paraId="7D13719B">
      <w:pPr>
        <w:pageBreakBefore w:val="0"/>
        <w:kinsoku/>
        <w:wordWrap/>
        <w:overflowPunct/>
        <w:topLinePunct w:val="0"/>
        <w:autoSpaceDE w:val="0"/>
        <w:autoSpaceDN w:val="0"/>
        <w:bidi w:val="0"/>
        <w:adjustRightInd/>
        <w:snapToGrid/>
        <w:spacing w:before="84" w:line="320" w:lineRule="exact"/>
        <w:ind w:left="384"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(18)关于印发《新疆维吾尔自治区交通厅关于交通建设项目防止拖欠工程款和农民工工资管理暂行办法（试行）》（新交综〔2005〕42 号）；</w:t>
      </w:r>
    </w:p>
    <w:p w14:paraId="2121AF90">
      <w:pPr>
        <w:pageBreakBefore w:val="0"/>
        <w:kinsoku/>
        <w:wordWrap/>
        <w:overflowPunct/>
        <w:topLinePunct w:val="0"/>
        <w:autoSpaceDE w:val="0"/>
        <w:autoSpaceDN w:val="0"/>
        <w:bidi w:val="0"/>
        <w:adjustRightInd/>
        <w:snapToGrid/>
        <w:spacing w:before="84" w:line="320" w:lineRule="exact"/>
        <w:ind w:left="384"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(19)《关于在公路基础设施建设中使用农民工有关事宜的通知》（新交综〔2006〕139 号）；</w:t>
      </w:r>
    </w:p>
    <w:p w14:paraId="4BE7B325">
      <w:pPr>
        <w:pageBreakBefore w:val="0"/>
        <w:kinsoku/>
        <w:wordWrap/>
        <w:overflowPunct/>
        <w:topLinePunct w:val="0"/>
        <w:autoSpaceDE w:val="0"/>
        <w:autoSpaceDN w:val="0"/>
        <w:bidi w:val="0"/>
        <w:adjustRightInd/>
        <w:snapToGrid/>
        <w:spacing w:before="84" w:line="320" w:lineRule="exact"/>
        <w:ind w:right="467" w:firstLine="456" w:firstLineChars="19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 xml:space="preserve"> (20)《新疆维吾尔自治区农民工工资保证金管理暂行办法》（新政办发[2007]114号）</w:t>
      </w:r>
    </w:p>
    <w:p w14:paraId="7330320F">
      <w:pPr>
        <w:pageBreakBefore w:val="0"/>
        <w:kinsoku/>
        <w:wordWrap/>
        <w:overflowPunct/>
        <w:topLinePunct w:val="0"/>
        <w:autoSpaceDE w:val="0"/>
        <w:autoSpaceDN w:val="0"/>
        <w:bidi w:val="0"/>
        <w:adjustRightInd/>
        <w:snapToGrid/>
        <w:spacing w:before="84" w:line="320" w:lineRule="exact"/>
        <w:ind w:left="384"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(21)《关于做好农村公路建设项目农民工使用有关事宜的通知》（新交农路〔2016〕16 号）；</w:t>
      </w:r>
    </w:p>
    <w:p w14:paraId="1A0BC2E1">
      <w:pPr>
        <w:pageBreakBefore w:val="0"/>
        <w:kinsoku/>
        <w:wordWrap/>
        <w:overflowPunct/>
        <w:topLinePunct w:val="0"/>
        <w:autoSpaceDE w:val="0"/>
        <w:autoSpaceDN w:val="0"/>
        <w:bidi w:val="0"/>
        <w:adjustRightInd/>
        <w:snapToGrid/>
        <w:spacing w:before="84" w:line="320" w:lineRule="exact"/>
        <w:ind w:left="384"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(22)新疆维吾尔自治区人社、住建、交通、水利四部门联合印发的《关于在工程建设领域实行农民工工资专用账户管理和银行代发工资制度的通知》（新人社发〔2018〕4 号）</w:t>
      </w:r>
    </w:p>
    <w:p w14:paraId="3983FD61">
      <w:pPr>
        <w:pageBreakBefore w:val="0"/>
        <w:kinsoku/>
        <w:wordWrap/>
        <w:overflowPunct/>
        <w:topLinePunct w:val="0"/>
        <w:autoSpaceDE w:val="0"/>
        <w:autoSpaceDN w:val="0"/>
        <w:bidi w:val="0"/>
        <w:adjustRightInd/>
        <w:snapToGrid/>
        <w:spacing w:before="84" w:line="320" w:lineRule="exact"/>
        <w:ind w:left="384" w:right="46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承包人在施工中应严格执行国家、交通运输部、喀什、喀什交通运输局现行通知、办法的相关规定，涉及报价因素的应在投标报价中充分予以考虑， 发包人将不另行支付。</w:t>
      </w:r>
    </w:p>
    <w:p w14:paraId="4B1E5161">
      <w:pPr>
        <w:pageBreakBefore w:val="0"/>
        <w:kinsoku/>
        <w:wordWrap/>
        <w:overflowPunct/>
        <w:topLinePunct w:val="0"/>
        <w:autoSpaceDE w:val="0"/>
        <w:autoSpaceDN w:val="0"/>
        <w:bidi w:val="0"/>
        <w:adjustRightInd/>
        <w:snapToGrid/>
        <w:spacing w:before="240" w:after="60" w:line="320" w:lineRule="exact"/>
        <w:jc w:val="left"/>
        <w:textAlignment w:val="auto"/>
        <w:outlineLvl w:val="9"/>
        <w:rPr>
          <w:rFonts w:hint="eastAsia" w:asciiTheme="minorEastAsia" w:hAnsiTheme="minorEastAsia" w:eastAsiaTheme="minorEastAsia" w:cstheme="minorEastAsia"/>
          <w:b/>
          <w:bCs/>
          <w:kern w:val="28"/>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br w:type="page"/>
      </w:r>
      <w:bookmarkStart w:id="413" w:name="_Toc256000044"/>
      <w:r>
        <w:rPr>
          <w:rFonts w:hint="eastAsia" w:asciiTheme="minorEastAsia" w:hAnsiTheme="minorEastAsia" w:eastAsiaTheme="minorEastAsia" w:cstheme="minorEastAsia"/>
          <w:b/>
          <w:bCs/>
          <w:kern w:val="28"/>
          <w:sz w:val="24"/>
          <w:szCs w:val="24"/>
          <w:highlight w:val="none"/>
          <w:lang w:val="zh-CN" w:bidi="zh-CN"/>
        </w:rPr>
        <w:t>第二节专用合同条款</w:t>
      </w:r>
      <w:bookmarkEnd w:id="413"/>
    </w:p>
    <w:p w14:paraId="47BD74E2">
      <w:pPr>
        <w:pageBreakBefore w:val="0"/>
        <w:kinsoku/>
        <w:wordWrap/>
        <w:overflowPunct/>
        <w:topLinePunct w:val="0"/>
        <w:autoSpaceDE w:val="0"/>
        <w:autoSpaceDN w:val="0"/>
        <w:bidi w:val="0"/>
        <w:adjustRightInd/>
        <w:snapToGrid/>
        <w:spacing w:before="66"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说明：</w:t>
      </w:r>
    </w:p>
    <w:p w14:paraId="4257F623">
      <w:pPr>
        <w:pageBreakBefore w:val="0"/>
        <w:kinsoku/>
        <w:wordWrap/>
        <w:overflowPunct/>
        <w:topLinePunct w:val="0"/>
        <w:autoSpaceDE w:val="0"/>
        <w:autoSpaceDN w:val="0"/>
        <w:bidi w:val="0"/>
        <w:adjustRightInd/>
        <w:snapToGrid/>
        <w:spacing w:before="84" w:line="320" w:lineRule="exact"/>
        <w:ind w:left="384"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招标人可根据招标项目的具体特点和实际需要，对“通用合同条款”进行补充和细化，补充和细化的内容不得与“通用合同条款”强制性规定相抵触。同时，细化、补充或约定的不同内容，不得违反法律、行政法规的强制性规定和平等、自愿、公平和诚实信用原则。</w:t>
      </w:r>
    </w:p>
    <w:p w14:paraId="0D01430C">
      <w:pPr>
        <w:pageBreakBefore w:val="0"/>
        <w:kinsoku/>
        <w:wordWrap/>
        <w:overflowPunct/>
        <w:topLinePunct w:val="0"/>
        <w:autoSpaceDE w:val="0"/>
        <w:autoSpaceDN w:val="0"/>
        <w:bidi w:val="0"/>
        <w:adjustRightInd/>
        <w:snapToGrid/>
        <w:spacing w:before="7" w:line="320" w:lineRule="exact"/>
        <w:ind w:firstLine="936" w:firstLineChars="39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专用合同条款的编号应与通用合同条款号一致。</w:t>
      </w:r>
    </w:p>
    <w:p w14:paraId="52CC9FAD">
      <w:pPr>
        <w:keepNext/>
        <w:keepLines/>
        <w:pageBreakBefore w:val="0"/>
        <w:widowControl/>
        <w:kinsoku/>
        <w:wordWrap/>
        <w:overflowPunct/>
        <w:topLinePunct w:val="0"/>
        <w:bidi w:val="0"/>
        <w:adjustRightInd/>
        <w:snapToGrid/>
        <w:spacing w:before="260" w:after="26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bookmarkStart w:id="414" w:name="_Toc256000045"/>
      <w:r>
        <w:rPr>
          <w:rFonts w:hint="eastAsia" w:asciiTheme="minorEastAsia" w:hAnsiTheme="minorEastAsia" w:eastAsiaTheme="minorEastAsia" w:cstheme="minorEastAsia"/>
          <w:b/>
          <w:bCs/>
          <w:kern w:val="0"/>
          <w:sz w:val="24"/>
          <w:szCs w:val="24"/>
          <w:highlight w:val="none"/>
          <w:lang w:val="zh-CN" w:bidi="zh-CN"/>
        </w:rPr>
        <w:t>合同条款数据表</w:t>
      </w:r>
      <w:bookmarkEnd w:id="414"/>
    </w:p>
    <w:p w14:paraId="5EB1AD80">
      <w:pPr>
        <w:pageBreakBefore w:val="0"/>
        <w:kinsoku/>
        <w:wordWrap/>
        <w:overflowPunct/>
        <w:topLinePunct w:val="0"/>
        <w:autoSpaceDE w:val="0"/>
        <w:autoSpaceDN w:val="0"/>
        <w:bidi w:val="0"/>
        <w:adjustRightInd/>
        <w:snapToGrid/>
        <w:spacing w:before="84" w:line="320" w:lineRule="exact"/>
        <w:ind w:left="384" w:right="382"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说明： 本数据表是项目合同条款中适用于本项目的信息和数据的归纳与提示， 是项目合同条款的组成部分。</w:t>
      </w:r>
    </w:p>
    <w:tbl>
      <w:tblPr>
        <w:tblStyle w:val="25"/>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2"/>
        <w:gridCol w:w="7539"/>
      </w:tblGrid>
      <w:tr w14:paraId="3893D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352" w:type="dxa"/>
            <w:noWrap w:val="0"/>
            <w:vAlign w:val="top"/>
          </w:tcPr>
          <w:p w14:paraId="000535FD">
            <w:pPr>
              <w:pageBreakBefore w:val="0"/>
              <w:widowControl/>
              <w:kinsoku/>
              <w:wordWrap/>
              <w:overflowPunct/>
              <w:topLinePunct w:val="0"/>
              <w:bidi w:val="0"/>
              <w:adjustRightInd/>
              <w:snapToGrid/>
              <w:spacing w:line="320" w:lineRule="exact"/>
              <w:ind w:right="346"/>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条款号</w:t>
            </w:r>
          </w:p>
        </w:tc>
        <w:tc>
          <w:tcPr>
            <w:tcW w:w="7539" w:type="dxa"/>
            <w:noWrap w:val="0"/>
            <w:vAlign w:val="top"/>
          </w:tcPr>
          <w:p w14:paraId="7A4DDDAB">
            <w:pPr>
              <w:pageBreakBefore w:val="0"/>
              <w:widowControl/>
              <w:kinsoku/>
              <w:wordWrap/>
              <w:overflowPunct/>
              <w:topLinePunct w:val="0"/>
              <w:bidi w:val="0"/>
              <w:adjustRightInd/>
              <w:snapToGrid/>
              <w:spacing w:before="12" w:line="320" w:lineRule="exact"/>
              <w:ind w:firstLine="30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p>
          <w:p w14:paraId="21F7C0F9">
            <w:pPr>
              <w:pageBreakBefore w:val="0"/>
              <w:widowControl/>
              <w:kinsoku/>
              <w:wordWrap/>
              <w:overflowPunct/>
              <w:topLinePunct w:val="0"/>
              <w:bidi w:val="0"/>
              <w:adjustRightInd/>
              <w:snapToGrid/>
              <w:spacing w:line="320" w:lineRule="exact"/>
              <w:ind w:left="3246" w:right="3242"/>
              <w:jc w:val="center"/>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信息或数据</w:t>
            </w:r>
          </w:p>
        </w:tc>
      </w:tr>
      <w:tr w14:paraId="5FE63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352" w:type="dxa"/>
            <w:noWrap w:val="0"/>
            <w:vAlign w:val="top"/>
          </w:tcPr>
          <w:p w14:paraId="3BB9D6D2">
            <w:pPr>
              <w:pageBreakBefore w:val="0"/>
              <w:widowControl/>
              <w:kinsoku/>
              <w:wordWrap/>
              <w:overflowPunct/>
              <w:topLinePunct w:val="0"/>
              <w:bidi w:val="0"/>
              <w:adjustRightInd/>
              <w:snapToGrid/>
              <w:spacing w:line="320" w:lineRule="exact"/>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p>
        </w:tc>
        <w:tc>
          <w:tcPr>
            <w:tcW w:w="7539" w:type="dxa"/>
            <w:noWrap w:val="0"/>
            <w:vAlign w:val="top"/>
          </w:tcPr>
          <w:p w14:paraId="21861A9F">
            <w:pPr>
              <w:pageBreakBefore w:val="0"/>
              <w:widowControl/>
              <w:kinsoku/>
              <w:wordWrap/>
              <w:overflowPunct/>
              <w:topLinePunct w:val="0"/>
              <w:bidi w:val="0"/>
              <w:adjustRightInd/>
              <w:snapToGrid/>
              <w:spacing w:before="76" w:line="320" w:lineRule="exact"/>
              <w:ind w:left="282" w:firstLine="42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发包人：</w:t>
            </w:r>
          </w:p>
          <w:p w14:paraId="0B9B111F">
            <w:pPr>
              <w:pageBreakBefore w:val="0"/>
              <w:widowControl/>
              <w:tabs>
                <w:tab w:val="left" w:pos="3116"/>
              </w:tabs>
              <w:kinsoku/>
              <w:wordWrap/>
              <w:overflowPunct/>
              <w:topLinePunct w:val="0"/>
              <w:bidi w:val="0"/>
              <w:adjustRightInd/>
              <w:snapToGrid/>
              <w:spacing w:before="50" w:line="320" w:lineRule="exact"/>
              <w:ind w:left="282" w:firstLine="42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地址：</w:t>
            </w:r>
            <w:r>
              <w:rPr>
                <w:rFonts w:hint="eastAsia" w:asciiTheme="minorEastAsia" w:hAnsiTheme="minorEastAsia" w:eastAsiaTheme="minorEastAsia" w:cstheme="minorEastAsia"/>
                <w:w w:val="95"/>
                <w:kern w:val="0"/>
                <w:sz w:val="24"/>
                <w:szCs w:val="24"/>
                <w:highlight w:val="none"/>
                <w:lang w:val="zh-CN" w:bidi="zh-CN"/>
              </w:rPr>
              <w:tab/>
            </w:r>
            <w:r>
              <w:rPr>
                <w:rFonts w:hint="eastAsia" w:asciiTheme="minorEastAsia" w:hAnsiTheme="minorEastAsia" w:eastAsiaTheme="minorEastAsia" w:cstheme="minorEastAsia"/>
                <w:w w:val="95"/>
                <w:kern w:val="0"/>
                <w:sz w:val="24"/>
                <w:szCs w:val="24"/>
                <w:highlight w:val="none"/>
                <w:lang w:val="zh-CN" w:bidi="zh-CN"/>
              </w:rPr>
              <w:t>邮政编码：</w:t>
            </w:r>
          </w:p>
        </w:tc>
      </w:tr>
      <w:tr w14:paraId="324C3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352" w:type="dxa"/>
            <w:noWrap w:val="0"/>
            <w:vAlign w:val="top"/>
          </w:tcPr>
          <w:p w14:paraId="64C3B252">
            <w:pPr>
              <w:pageBreakBefore w:val="0"/>
              <w:widowControl/>
              <w:kinsoku/>
              <w:wordWrap/>
              <w:overflowPunct/>
              <w:topLinePunct w:val="0"/>
              <w:bidi w:val="0"/>
              <w:adjustRightInd/>
              <w:snapToGrid/>
              <w:spacing w:line="320" w:lineRule="exact"/>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p>
        </w:tc>
        <w:tc>
          <w:tcPr>
            <w:tcW w:w="7539" w:type="dxa"/>
            <w:noWrap w:val="0"/>
            <w:vAlign w:val="top"/>
          </w:tcPr>
          <w:p w14:paraId="7DAE6105">
            <w:pPr>
              <w:pageBreakBefore w:val="0"/>
              <w:widowControl/>
              <w:kinsoku/>
              <w:wordWrap/>
              <w:overflowPunct/>
              <w:topLinePunct w:val="0"/>
              <w:bidi w:val="0"/>
              <w:adjustRightInd/>
              <w:snapToGrid/>
              <w:spacing w:before="75" w:line="320" w:lineRule="exact"/>
              <w:ind w:left="282" w:firstLine="42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监理人：</w:t>
            </w:r>
          </w:p>
          <w:p w14:paraId="62618B63">
            <w:pPr>
              <w:pageBreakBefore w:val="0"/>
              <w:widowControl/>
              <w:tabs>
                <w:tab w:val="left" w:pos="3116"/>
              </w:tabs>
              <w:kinsoku/>
              <w:wordWrap/>
              <w:overflowPunct/>
              <w:topLinePunct w:val="0"/>
              <w:bidi w:val="0"/>
              <w:adjustRightInd/>
              <w:snapToGrid/>
              <w:spacing w:before="50" w:line="320" w:lineRule="exact"/>
              <w:ind w:left="282" w:firstLine="42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地址：</w:t>
            </w:r>
            <w:r>
              <w:rPr>
                <w:rFonts w:hint="eastAsia" w:asciiTheme="minorEastAsia" w:hAnsiTheme="minorEastAsia" w:eastAsiaTheme="minorEastAsia" w:cstheme="minorEastAsia"/>
                <w:w w:val="95"/>
                <w:kern w:val="0"/>
                <w:sz w:val="24"/>
                <w:szCs w:val="24"/>
                <w:highlight w:val="none"/>
                <w:lang w:val="zh-CN" w:bidi="zh-CN"/>
              </w:rPr>
              <w:tab/>
            </w:r>
            <w:r>
              <w:rPr>
                <w:rFonts w:hint="eastAsia" w:asciiTheme="minorEastAsia" w:hAnsiTheme="minorEastAsia" w:eastAsiaTheme="minorEastAsia" w:cstheme="minorEastAsia"/>
                <w:w w:val="95"/>
                <w:kern w:val="0"/>
                <w:sz w:val="24"/>
                <w:szCs w:val="24"/>
                <w:highlight w:val="none"/>
                <w:lang w:val="zh-CN" w:bidi="zh-CN"/>
              </w:rPr>
              <w:t>邮政编码：</w:t>
            </w:r>
          </w:p>
        </w:tc>
      </w:tr>
      <w:tr w14:paraId="14709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352" w:type="dxa"/>
            <w:noWrap w:val="0"/>
            <w:vAlign w:val="top"/>
          </w:tcPr>
          <w:p w14:paraId="7C740B09">
            <w:pPr>
              <w:pageBreakBefore w:val="0"/>
              <w:widowControl/>
              <w:kinsoku/>
              <w:wordWrap/>
              <w:overflowPunct/>
              <w:topLinePunct w:val="0"/>
              <w:bidi w:val="0"/>
              <w:adjustRightInd/>
              <w:snapToGrid/>
              <w:spacing w:before="6" w:line="320" w:lineRule="exact"/>
              <w:ind w:firstLine="34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p>
          <w:p w14:paraId="5E48C274">
            <w:pPr>
              <w:pageBreakBefore w:val="0"/>
              <w:widowControl/>
              <w:kinsoku/>
              <w:wordWrap/>
              <w:overflowPunct/>
              <w:topLinePunct w:val="0"/>
              <w:bidi w:val="0"/>
              <w:adjustRightInd/>
              <w:snapToGrid/>
              <w:spacing w:before="1" w:line="320" w:lineRule="exact"/>
              <w:ind w:left="355" w:right="346"/>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21.1</w:t>
            </w:r>
          </w:p>
        </w:tc>
        <w:tc>
          <w:tcPr>
            <w:tcW w:w="7539" w:type="dxa"/>
            <w:noWrap w:val="0"/>
            <w:vAlign w:val="top"/>
          </w:tcPr>
          <w:p w14:paraId="6AB5B3CB">
            <w:pPr>
              <w:pageBreakBefore w:val="0"/>
              <w:widowControl/>
              <w:tabs>
                <w:tab w:val="left" w:pos="4014"/>
              </w:tabs>
              <w:kinsoku/>
              <w:wordWrap/>
              <w:overflowPunct/>
              <w:topLinePunct w:val="0"/>
              <w:bidi w:val="0"/>
              <w:adjustRightInd/>
              <w:snapToGrid/>
              <w:spacing w:line="320" w:lineRule="exact"/>
              <w:ind w:left="272"/>
              <w:jc w:val="left"/>
              <w:textAlignment w:val="auto"/>
              <w:outlineLvl w:val="9"/>
              <w:rPr>
                <w:rFonts w:hint="eastAsia" w:asciiTheme="minorEastAsia" w:hAnsiTheme="minorEastAsia" w:eastAsiaTheme="minorEastAsia" w:cstheme="minorEastAsia"/>
                <w:color w:val="auto"/>
                <w:w w:val="95"/>
                <w:kern w:val="0"/>
                <w:sz w:val="24"/>
                <w:szCs w:val="24"/>
                <w:highlight w:val="none"/>
                <w:lang w:val="zh-CN" w:bidi="zh-CN"/>
              </w:rPr>
            </w:pPr>
            <w:r>
              <w:rPr>
                <w:rFonts w:hint="eastAsia" w:asciiTheme="minorEastAsia" w:hAnsiTheme="minorEastAsia" w:eastAsiaTheme="minorEastAsia" w:cstheme="minorEastAsia"/>
                <w:color w:val="auto"/>
                <w:w w:val="95"/>
                <w:kern w:val="0"/>
                <w:sz w:val="24"/>
                <w:szCs w:val="24"/>
                <w:highlight w:val="none"/>
                <w:lang w:val="zh-CN" w:bidi="zh-CN"/>
              </w:rPr>
              <w:t xml:space="preserve">缺陷责任期 ：自实际交工日期起计算 </w:t>
            </w:r>
            <w:r>
              <w:rPr>
                <w:rFonts w:hint="eastAsia" w:asciiTheme="minorEastAsia" w:hAnsiTheme="minorEastAsia" w:eastAsiaTheme="minorEastAsia" w:cstheme="minorEastAsia"/>
                <w:color w:val="auto"/>
                <w:w w:val="95"/>
                <w:kern w:val="0"/>
                <w:sz w:val="24"/>
                <w:szCs w:val="24"/>
                <w:highlight w:val="none"/>
                <w:lang w:bidi="zh-CN"/>
              </w:rPr>
              <w:t>1</w:t>
            </w:r>
            <w:r>
              <w:rPr>
                <w:rFonts w:hint="eastAsia" w:asciiTheme="minorEastAsia" w:hAnsiTheme="minorEastAsia" w:eastAsiaTheme="minorEastAsia" w:cstheme="minorEastAsia"/>
                <w:color w:val="auto"/>
                <w:w w:val="95"/>
                <w:kern w:val="0"/>
                <w:sz w:val="24"/>
                <w:szCs w:val="24"/>
                <w:highlight w:val="none"/>
                <w:lang w:val="zh-CN" w:bidi="zh-CN"/>
              </w:rPr>
              <w:tab/>
            </w:r>
            <w:r>
              <w:rPr>
                <w:rFonts w:hint="eastAsia" w:asciiTheme="minorEastAsia" w:hAnsiTheme="minorEastAsia" w:eastAsiaTheme="minorEastAsia" w:cstheme="minorEastAsia"/>
                <w:color w:val="auto"/>
                <w:w w:val="95"/>
                <w:kern w:val="0"/>
                <w:sz w:val="24"/>
                <w:szCs w:val="24"/>
                <w:highlight w:val="none"/>
                <w:lang w:val="zh-CN" w:bidi="zh-CN"/>
              </w:rPr>
              <w:t>年</w:t>
            </w:r>
          </w:p>
        </w:tc>
      </w:tr>
      <w:tr w14:paraId="067E7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352" w:type="dxa"/>
            <w:noWrap w:val="0"/>
            <w:vAlign w:val="top"/>
          </w:tcPr>
          <w:p w14:paraId="1DF6C909">
            <w:pPr>
              <w:pageBreakBefore w:val="0"/>
              <w:widowControl/>
              <w:kinsoku/>
              <w:wordWrap/>
              <w:overflowPunct/>
              <w:topLinePunct w:val="0"/>
              <w:bidi w:val="0"/>
              <w:adjustRightInd/>
              <w:snapToGrid/>
              <w:spacing w:line="320" w:lineRule="exact"/>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p>
        </w:tc>
        <w:tc>
          <w:tcPr>
            <w:tcW w:w="7539" w:type="dxa"/>
            <w:noWrap w:val="0"/>
            <w:vAlign w:val="top"/>
          </w:tcPr>
          <w:p w14:paraId="3E75C881">
            <w:pPr>
              <w:pageBreakBefore w:val="0"/>
              <w:widowControl/>
              <w:kinsoku/>
              <w:wordWrap/>
              <w:overflowPunct/>
              <w:topLinePunct w:val="0"/>
              <w:bidi w:val="0"/>
              <w:adjustRightInd/>
              <w:snapToGrid/>
              <w:spacing w:before="14" w:line="320" w:lineRule="exact"/>
              <w:ind w:left="106" w:right="107" w:firstLine="397"/>
              <w:jc w:val="left"/>
              <w:textAlignment w:val="auto"/>
              <w:outlineLvl w:val="9"/>
              <w:rPr>
                <w:rFonts w:hint="eastAsia" w:asciiTheme="minorEastAsia" w:hAnsiTheme="minorEastAsia" w:eastAsiaTheme="minorEastAsia" w:cstheme="minorEastAsia"/>
                <w:color w:val="auto"/>
                <w:w w:val="95"/>
                <w:kern w:val="0"/>
                <w:sz w:val="24"/>
                <w:szCs w:val="24"/>
                <w:highlight w:val="none"/>
                <w:lang w:val="zh-CN" w:bidi="zh-CN"/>
              </w:rPr>
            </w:pPr>
            <w:r>
              <w:rPr>
                <w:rFonts w:hint="eastAsia" w:asciiTheme="minorEastAsia" w:hAnsiTheme="minorEastAsia" w:eastAsiaTheme="minorEastAsia" w:cstheme="minorEastAsia"/>
                <w:color w:val="auto"/>
                <w:w w:val="95"/>
                <w:kern w:val="0"/>
                <w:sz w:val="24"/>
                <w:szCs w:val="24"/>
                <w:highlight w:val="none"/>
                <w:lang w:val="zh-CN" w:bidi="zh-CN"/>
              </w:rPr>
              <w:t>图纸需要修改和补充的，应由监理人取得发包人同意后，在该工程或工程相应  部位施工前 7 天签发图纸修改图给承包人</w:t>
            </w:r>
          </w:p>
        </w:tc>
      </w:tr>
      <w:tr w14:paraId="50D34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352" w:type="dxa"/>
            <w:noWrap w:val="0"/>
            <w:vAlign w:val="top"/>
          </w:tcPr>
          <w:p w14:paraId="7350E8B6">
            <w:pPr>
              <w:pageBreakBefore w:val="0"/>
              <w:widowControl/>
              <w:kinsoku/>
              <w:wordWrap/>
              <w:overflowPunct/>
              <w:topLinePunct w:val="0"/>
              <w:bidi w:val="0"/>
              <w:adjustRightInd/>
              <w:snapToGrid/>
              <w:spacing w:line="320" w:lineRule="exact"/>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p>
        </w:tc>
        <w:tc>
          <w:tcPr>
            <w:tcW w:w="7539" w:type="dxa"/>
            <w:noWrap w:val="0"/>
            <w:vAlign w:val="top"/>
          </w:tcPr>
          <w:p w14:paraId="432F5C92">
            <w:pPr>
              <w:pageBreakBefore w:val="0"/>
              <w:widowControl/>
              <w:kinsoku/>
              <w:wordWrap/>
              <w:overflowPunct/>
              <w:topLinePunct w:val="0"/>
              <w:bidi w:val="0"/>
              <w:adjustRightInd/>
              <w:snapToGrid/>
              <w:spacing w:before="178" w:line="320" w:lineRule="exact"/>
              <w:ind w:left="282" w:firstLine="420"/>
              <w:jc w:val="left"/>
              <w:textAlignment w:val="auto"/>
              <w:outlineLvl w:val="9"/>
              <w:rPr>
                <w:rFonts w:hint="eastAsia" w:asciiTheme="minorEastAsia" w:hAnsiTheme="minorEastAsia" w:eastAsiaTheme="minorEastAsia" w:cstheme="minorEastAsia"/>
                <w:color w:val="auto"/>
                <w:w w:val="95"/>
                <w:kern w:val="0"/>
                <w:sz w:val="24"/>
                <w:szCs w:val="24"/>
                <w:highlight w:val="none"/>
                <w:lang w:val="zh-CN" w:bidi="zh-CN"/>
              </w:rPr>
            </w:pPr>
            <w:r>
              <w:rPr>
                <w:rFonts w:hint="eastAsia" w:asciiTheme="minorEastAsia" w:hAnsiTheme="minorEastAsia" w:eastAsiaTheme="minorEastAsia" w:cstheme="minorEastAsia"/>
                <w:color w:val="auto"/>
                <w:w w:val="95"/>
                <w:kern w:val="0"/>
                <w:sz w:val="24"/>
                <w:szCs w:val="24"/>
                <w:highlight w:val="none"/>
                <w:lang w:val="zh-CN" w:bidi="zh-CN"/>
              </w:rPr>
              <w:t>监理人在行使变更前需要发包人事先批准</w:t>
            </w:r>
          </w:p>
        </w:tc>
      </w:tr>
      <w:tr w14:paraId="4C552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52" w:type="dxa"/>
            <w:noWrap w:val="0"/>
            <w:vAlign w:val="top"/>
          </w:tcPr>
          <w:p w14:paraId="17719A74">
            <w:pPr>
              <w:pageBreakBefore w:val="0"/>
              <w:widowControl/>
              <w:kinsoku/>
              <w:wordWrap/>
              <w:overflowPunct/>
              <w:topLinePunct w:val="0"/>
              <w:bidi w:val="0"/>
              <w:adjustRightInd/>
              <w:snapToGrid/>
              <w:spacing w:before="10" w:line="320" w:lineRule="exact"/>
              <w:ind w:firstLine="30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p>
          <w:p w14:paraId="20221785">
            <w:pPr>
              <w:pageBreakBefore w:val="0"/>
              <w:widowControl/>
              <w:kinsoku/>
              <w:wordWrap/>
              <w:overflowPunct/>
              <w:topLinePunct w:val="0"/>
              <w:bidi w:val="0"/>
              <w:adjustRightInd/>
              <w:snapToGrid/>
              <w:spacing w:line="320" w:lineRule="exact"/>
              <w:ind w:left="356" w:right="344"/>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6.2</w:t>
            </w:r>
          </w:p>
        </w:tc>
        <w:tc>
          <w:tcPr>
            <w:tcW w:w="7539" w:type="dxa"/>
            <w:noWrap w:val="0"/>
            <w:vAlign w:val="top"/>
          </w:tcPr>
          <w:p w14:paraId="59F3FA9A">
            <w:pPr>
              <w:pageBreakBefore w:val="0"/>
              <w:widowControl/>
              <w:kinsoku/>
              <w:wordWrap/>
              <w:overflowPunct/>
              <w:topLinePunct w:val="0"/>
              <w:bidi w:val="0"/>
              <w:adjustRightInd/>
              <w:snapToGrid/>
              <w:spacing w:before="177" w:line="320" w:lineRule="exact"/>
              <w:ind w:left="282" w:firstLine="420"/>
              <w:jc w:val="left"/>
              <w:textAlignment w:val="auto"/>
              <w:outlineLvl w:val="9"/>
              <w:rPr>
                <w:rFonts w:hint="eastAsia" w:asciiTheme="minorEastAsia" w:hAnsiTheme="minorEastAsia" w:eastAsiaTheme="minorEastAsia" w:cstheme="minorEastAsia"/>
                <w:color w:val="auto"/>
                <w:w w:val="95"/>
                <w:kern w:val="0"/>
                <w:sz w:val="24"/>
                <w:szCs w:val="24"/>
                <w:highlight w:val="none"/>
                <w:lang w:bidi="zh-CN"/>
              </w:rPr>
            </w:pPr>
            <w:r>
              <w:rPr>
                <w:rFonts w:hint="eastAsia" w:asciiTheme="minorEastAsia" w:hAnsiTheme="minorEastAsia" w:eastAsiaTheme="minorEastAsia" w:cstheme="minorEastAsia"/>
                <w:color w:val="auto"/>
                <w:w w:val="95"/>
                <w:kern w:val="0"/>
                <w:sz w:val="24"/>
                <w:szCs w:val="24"/>
                <w:highlight w:val="none"/>
                <w:lang w:val="zh-CN" w:bidi="zh-CN"/>
              </w:rPr>
              <w:t>发包人是否提供材料或工程设备：</w:t>
            </w:r>
            <w:r>
              <w:rPr>
                <w:rFonts w:hint="eastAsia" w:asciiTheme="minorEastAsia" w:hAnsiTheme="minorEastAsia" w:eastAsiaTheme="minorEastAsia" w:cstheme="minorEastAsia"/>
                <w:color w:val="auto"/>
                <w:w w:val="95"/>
                <w:kern w:val="0"/>
                <w:sz w:val="24"/>
                <w:szCs w:val="24"/>
                <w:highlight w:val="none"/>
                <w:lang w:bidi="zh-CN"/>
              </w:rPr>
              <w:t>否</w:t>
            </w:r>
          </w:p>
        </w:tc>
      </w:tr>
      <w:tr w14:paraId="32511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52" w:type="dxa"/>
            <w:noWrap w:val="0"/>
            <w:vAlign w:val="top"/>
          </w:tcPr>
          <w:p w14:paraId="52FDB740">
            <w:pPr>
              <w:pageBreakBefore w:val="0"/>
              <w:widowControl/>
              <w:kinsoku/>
              <w:wordWrap/>
              <w:overflowPunct/>
              <w:topLinePunct w:val="0"/>
              <w:bidi w:val="0"/>
              <w:adjustRightInd/>
              <w:snapToGrid/>
              <w:spacing w:before="9" w:line="320" w:lineRule="exact"/>
              <w:ind w:firstLine="30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p>
          <w:p w14:paraId="23B325C7">
            <w:pPr>
              <w:pageBreakBefore w:val="0"/>
              <w:widowControl/>
              <w:kinsoku/>
              <w:wordWrap/>
              <w:overflowPunct/>
              <w:topLinePunct w:val="0"/>
              <w:bidi w:val="0"/>
              <w:adjustRightInd/>
              <w:snapToGrid/>
              <w:spacing w:line="320" w:lineRule="exact"/>
              <w:ind w:left="356" w:right="344"/>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6.2</w:t>
            </w:r>
          </w:p>
        </w:tc>
        <w:tc>
          <w:tcPr>
            <w:tcW w:w="7539" w:type="dxa"/>
            <w:noWrap w:val="0"/>
            <w:vAlign w:val="top"/>
          </w:tcPr>
          <w:p w14:paraId="76EAA9A2">
            <w:pPr>
              <w:pageBreakBefore w:val="0"/>
              <w:widowControl/>
              <w:tabs>
                <w:tab w:val="left" w:pos="4219"/>
              </w:tabs>
              <w:kinsoku/>
              <w:wordWrap/>
              <w:overflowPunct/>
              <w:topLinePunct w:val="0"/>
              <w:bidi w:val="0"/>
              <w:adjustRightInd/>
              <w:snapToGrid/>
              <w:spacing w:before="178" w:line="320" w:lineRule="exact"/>
              <w:ind w:left="282" w:firstLine="397"/>
              <w:jc w:val="left"/>
              <w:textAlignment w:val="auto"/>
              <w:outlineLvl w:val="9"/>
              <w:rPr>
                <w:rFonts w:hint="eastAsia" w:asciiTheme="minorEastAsia" w:hAnsiTheme="minorEastAsia" w:eastAsiaTheme="minorEastAsia" w:cstheme="minorEastAsia"/>
                <w:color w:val="auto"/>
                <w:w w:val="95"/>
                <w:kern w:val="0"/>
                <w:sz w:val="24"/>
                <w:szCs w:val="24"/>
                <w:highlight w:val="none"/>
                <w:lang w:val="zh-CN" w:bidi="zh-CN"/>
              </w:rPr>
            </w:pPr>
            <w:r>
              <w:rPr>
                <w:rFonts w:hint="eastAsia" w:asciiTheme="minorEastAsia" w:hAnsiTheme="minorEastAsia" w:eastAsiaTheme="minorEastAsia" w:cstheme="minorEastAsia"/>
                <w:color w:val="auto"/>
                <w:w w:val="95"/>
                <w:kern w:val="0"/>
                <w:sz w:val="24"/>
                <w:szCs w:val="24"/>
                <w:highlight w:val="none"/>
                <w:lang w:val="zh-CN" w:bidi="zh-CN"/>
              </w:rPr>
              <w:t>发包人是否提供施工设备和临时设施：</w:t>
            </w:r>
            <w:r>
              <w:rPr>
                <w:rFonts w:hint="eastAsia" w:asciiTheme="minorEastAsia" w:hAnsiTheme="minorEastAsia" w:eastAsiaTheme="minorEastAsia" w:cstheme="minorEastAsia"/>
                <w:color w:val="auto"/>
                <w:w w:val="95"/>
                <w:kern w:val="0"/>
                <w:sz w:val="24"/>
                <w:szCs w:val="24"/>
                <w:highlight w:val="none"/>
                <w:lang w:bidi="zh-CN"/>
              </w:rPr>
              <w:t>否</w:t>
            </w:r>
            <w:r>
              <w:rPr>
                <w:rFonts w:hint="eastAsia" w:asciiTheme="minorEastAsia" w:hAnsiTheme="minorEastAsia" w:eastAsiaTheme="minorEastAsia" w:cstheme="minorEastAsia"/>
                <w:color w:val="auto"/>
                <w:w w:val="95"/>
                <w:kern w:val="0"/>
                <w:sz w:val="24"/>
                <w:szCs w:val="24"/>
                <w:highlight w:val="none"/>
                <w:lang w:val="zh-CN" w:bidi="zh-CN"/>
              </w:rPr>
              <w:tab/>
            </w:r>
          </w:p>
        </w:tc>
      </w:tr>
      <w:tr w14:paraId="51EC7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352" w:type="dxa"/>
            <w:noWrap w:val="0"/>
            <w:vAlign w:val="top"/>
          </w:tcPr>
          <w:p w14:paraId="49651366">
            <w:pPr>
              <w:pageBreakBefore w:val="0"/>
              <w:widowControl/>
              <w:kinsoku/>
              <w:wordWrap/>
              <w:overflowPunct/>
              <w:topLinePunct w:val="0"/>
              <w:bidi w:val="0"/>
              <w:adjustRightInd/>
              <w:snapToGrid/>
              <w:spacing w:before="1" w:line="320" w:lineRule="exact"/>
              <w:ind w:firstLine="52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p>
          <w:p w14:paraId="664B0FC6">
            <w:pPr>
              <w:pageBreakBefore w:val="0"/>
              <w:widowControl/>
              <w:kinsoku/>
              <w:wordWrap/>
              <w:overflowPunct/>
              <w:topLinePunct w:val="0"/>
              <w:bidi w:val="0"/>
              <w:adjustRightInd/>
              <w:snapToGrid/>
              <w:spacing w:line="320" w:lineRule="exact"/>
              <w:ind w:left="356" w:right="344"/>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8.4</w:t>
            </w:r>
          </w:p>
        </w:tc>
        <w:tc>
          <w:tcPr>
            <w:tcW w:w="7539" w:type="dxa"/>
            <w:noWrap w:val="0"/>
            <w:vAlign w:val="top"/>
          </w:tcPr>
          <w:p w14:paraId="69FF764D">
            <w:pPr>
              <w:pageBreakBefore w:val="0"/>
              <w:widowControl/>
              <w:tabs>
                <w:tab w:val="left" w:pos="2276"/>
              </w:tabs>
              <w:kinsoku/>
              <w:wordWrap/>
              <w:overflowPunct/>
              <w:topLinePunct w:val="0"/>
              <w:bidi w:val="0"/>
              <w:adjustRightInd/>
              <w:snapToGrid/>
              <w:spacing w:before="114" w:line="320" w:lineRule="exact"/>
              <w:ind w:left="106" w:right="188" w:firstLine="420"/>
              <w:jc w:val="left"/>
              <w:textAlignment w:val="auto"/>
              <w:outlineLvl w:val="9"/>
              <w:rPr>
                <w:rFonts w:hint="eastAsia" w:asciiTheme="minorEastAsia" w:hAnsiTheme="minorEastAsia" w:eastAsiaTheme="minorEastAsia" w:cstheme="minorEastAsia"/>
                <w:color w:val="auto"/>
                <w:w w:val="95"/>
                <w:kern w:val="0"/>
                <w:sz w:val="24"/>
                <w:szCs w:val="24"/>
                <w:highlight w:val="none"/>
                <w:lang w:val="zh-CN" w:bidi="zh-CN"/>
              </w:rPr>
            </w:pPr>
            <w:r>
              <w:rPr>
                <w:rFonts w:hint="eastAsia" w:asciiTheme="minorEastAsia" w:hAnsiTheme="minorEastAsia" w:eastAsiaTheme="minorEastAsia" w:cstheme="minorEastAsia"/>
                <w:color w:val="auto"/>
                <w:w w:val="95"/>
                <w:kern w:val="0"/>
                <w:sz w:val="24"/>
                <w:szCs w:val="24"/>
                <w:highlight w:val="none"/>
                <w:lang w:val="zh-CN" w:bidi="zh-CN"/>
              </w:rPr>
              <w:t xml:space="preserve">逾期交工违约金： </w:t>
            </w:r>
            <w:r>
              <w:rPr>
                <w:rFonts w:hint="eastAsia" w:asciiTheme="minorEastAsia" w:hAnsiTheme="minorEastAsia" w:eastAsiaTheme="minorEastAsia" w:cstheme="minorEastAsia"/>
                <w:color w:val="auto"/>
                <w:w w:val="95"/>
                <w:kern w:val="0"/>
                <w:sz w:val="24"/>
                <w:szCs w:val="24"/>
                <w:highlight w:val="none"/>
                <w:lang w:bidi="zh-CN"/>
              </w:rPr>
              <w:t>0.1</w:t>
            </w:r>
            <w:r>
              <w:rPr>
                <w:rFonts w:hint="eastAsia" w:asciiTheme="minorEastAsia" w:hAnsiTheme="minorEastAsia" w:eastAsiaTheme="minorEastAsia" w:cstheme="minorEastAsia"/>
                <w:color w:val="auto"/>
                <w:w w:val="95"/>
                <w:kern w:val="0"/>
                <w:sz w:val="24"/>
                <w:szCs w:val="24"/>
                <w:highlight w:val="none"/>
                <w:lang w:val="zh-CN" w:bidi="zh-CN"/>
              </w:rPr>
              <w:t>%合同价元/天（如由于承包人的原因造成逾期交工，其相应增加监理服务费和发包人管理费由承包人承担）</w:t>
            </w:r>
          </w:p>
        </w:tc>
      </w:tr>
      <w:tr w14:paraId="1D3C5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352" w:type="dxa"/>
            <w:noWrap w:val="0"/>
            <w:vAlign w:val="top"/>
          </w:tcPr>
          <w:p w14:paraId="0F8C577B">
            <w:pPr>
              <w:pageBreakBefore w:val="0"/>
              <w:widowControl/>
              <w:kinsoku/>
              <w:wordWrap/>
              <w:overflowPunct/>
              <w:topLinePunct w:val="0"/>
              <w:bidi w:val="0"/>
              <w:adjustRightInd/>
              <w:snapToGrid/>
              <w:spacing w:before="9" w:line="320" w:lineRule="exact"/>
              <w:ind w:firstLine="30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p>
          <w:p w14:paraId="5C66D389">
            <w:pPr>
              <w:pageBreakBefore w:val="0"/>
              <w:widowControl/>
              <w:kinsoku/>
              <w:wordWrap/>
              <w:overflowPunct/>
              <w:topLinePunct w:val="0"/>
              <w:bidi w:val="0"/>
              <w:adjustRightInd/>
              <w:snapToGrid/>
              <w:spacing w:line="320" w:lineRule="exact"/>
              <w:ind w:left="356" w:right="344"/>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8.4</w:t>
            </w:r>
          </w:p>
        </w:tc>
        <w:tc>
          <w:tcPr>
            <w:tcW w:w="7539" w:type="dxa"/>
            <w:noWrap w:val="0"/>
            <w:vAlign w:val="top"/>
          </w:tcPr>
          <w:p w14:paraId="08006AD9">
            <w:pPr>
              <w:pageBreakBefore w:val="0"/>
              <w:widowControl/>
              <w:tabs>
                <w:tab w:val="left" w:pos="2802"/>
              </w:tabs>
              <w:kinsoku/>
              <w:wordWrap/>
              <w:overflowPunct/>
              <w:topLinePunct w:val="0"/>
              <w:bidi w:val="0"/>
              <w:adjustRightInd/>
              <w:snapToGrid/>
              <w:spacing w:line="320" w:lineRule="exact"/>
              <w:ind w:left="282" w:firstLine="420"/>
              <w:jc w:val="left"/>
              <w:textAlignment w:val="auto"/>
              <w:outlineLvl w:val="9"/>
              <w:rPr>
                <w:rFonts w:hint="eastAsia" w:asciiTheme="minorEastAsia" w:hAnsiTheme="minorEastAsia" w:eastAsiaTheme="minorEastAsia" w:cstheme="minorEastAsia"/>
                <w:color w:val="auto"/>
                <w:w w:val="95"/>
                <w:kern w:val="0"/>
                <w:sz w:val="24"/>
                <w:szCs w:val="24"/>
                <w:highlight w:val="none"/>
                <w:lang w:val="zh-CN" w:bidi="zh-CN"/>
              </w:rPr>
            </w:pPr>
            <w:r>
              <w:rPr>
                <w:rFonts w:hint="eastAsia" w:asciiTheme="minorEastAsia" w:hAnsiTheme="minorEastAsia" w:eastAsiaTheme="minorEastAsia" w:cstheme="minorEastAsia"/>
                <w:color w:val="auto"/>
                <w:w w:val="95"/>
                <w:kern w:val="0"/>
                <w:sz w:val="24"/>
                <w:szCs w:val="24"/>
                <w:highlight w:val="none"/>
                <w:lang w:val="zh-CN" w:bidi="zh-CN"/>
              </w:rPr>
              <w:t>逾期交工违约金限额：</w:t>
            </w:r>
            <w:r>
              <w:rPr>
                <w:rFonts w:hint="eastAsia" w:asciiTheme="minorEastAsia" w:hAnsiTheme="minorEastAsia" w:eastAsiaTheme="minorEastAsia" w:cstheme="minorEastAsia"/>
                <w:color w:val="auto"/>
                <w:w w:val="95"/>
                <w:kern w:val="0"/>
                <w:sz w:val="24"/>
                <w:szCs w:val="24"/>
                <w:highlight w:val="none"/>
                <w:lang w:bidi="zh-CN"/>
              </w:rPr>
              <w:t>10</w:t>
            </w:r>
            <w:r>
              <w:rPr>
                <w:rFonts w:hint="eastAsia" w:asciiTheme="minorEastAsia" w:hAnsiTheme="minorEastAsia" w:eastAsiaTheme="minorEastAsia" w:cstheme="minorEastAsia"/>
                <w:color w:val="auto"/>
                <w:w w:val="95"/>
                <w:kern w:val="0"/>
                <w:sz w:val="24"/>
                <w:szCs w:val="24"/>
                <w:highlight w:val="none"/>
                <w:lang w:val="zh-CN" w:bidi="zh-CN"/>
              </w:rPr>
              <w:t xml:space="preserve"> %签约合同价</w:t>
            </w:r>
          </w:p>
        </w:tc>
      </w:tr>
      <w:tr w14:paraId="6B943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52" w:type="dxa"/>
            <w:noWrap w:val="0"/>
            <w:vAlign w:val="top"/>
          </w:tcPr>
          <w:p w14:paraId="68BBE0AF">
            <w:pPr>
              <w:pageBreakBefore w:val="0"/>
              <w:widowControl/>
              <w:kinsoku/>
              <w:wordWrap/>
              <w:overflowPunct/>
              <w:topLinePunct w:val="0"/>
              <w:bidi w:val="0"/>
              <w:adjustRightInd/>
              <w:snapToGrid/>
              <w:spacing w:before="10" w:line="320" w:lineRule="exact"/>
              <w:ind w:firstLine="30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p>
          <w:p w14:paraId="579ACD0F">
            <w:pPr>
              <w:pageBreakBefore w:val="0"/>
              <w:widowControl/>
              <w:kinsoku/>
              <w:wordWrap/>
              <w:overflowPunct/>
              <w:topLinePunct w:val="0"/>
              <w:bidi w:val="0"/>
              <w:adjustRightInd/>
              <w:snapToGrid/>
              <w:spacing w:line="320" w:lineRule="exact"/>
              <w:ind w:left="356" w:right="344"/>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5.6</w:t>
            </w:r>
          </w:p>
        </w:tc>
        <w:tc>
          <w:tcPr>
            <w:tcW w:w="7539" w:type="dxa"/>
            <w:noWrap w:val="0"/>
            <w:vAlign w:val="top"/>
          </w:tcPr>
          <w:p w14:paraId="3897080F">
            <w:pPr>
              <w:pageBreakBefore w:val="0"/>
              <w:widowControl/>
              <w:tabs>
                <w:tab w:val="left" w:pos="2487"/>
              </w:tabs>
              <w:kinsoku/>
              <w:wordWrap/>
              <w:overflowPunct/>
              <w:topLinePunct w:val="0"/>
              <w:bidi w:val="0"/>
              <w:adjustRightInd/>
              <w:snapToGrid/>
              <w:spacing w:line="320" w:lineRule="exact"/>
              <w:ind w:left="282" w:firstLine="420"/>
              <w:jc w:val="left"/>
              <w:textAlignment w:val="auto"/>
              <w:outlineLvl w:val="9"/>
              <w:rPr>
                <w:rFonts w:hint="eastAsia" w:asciiTheme="minorEastAsia" w:hAnsiTheme="minorEastAsia" w:eastAsiaTheme="minorEastAsia" w:cstheme="minorEastAsia"/>
                <w:color w:val="auto"/>
                <w:w w:val="95"/>
                <w:kern w:val="0"/>
                <w:sz w:val="24"/>
                <w:szCs w:val="24"/>
                <w:highlight w:val="none"/>
                <w:lang w:val="zh-CN" w:bidi="zh-CN"/>
              </w:rPr>
            </w:pPr>
            <w:r>
              <w:rPr>
                <w:rFonts w:hint="eastAsia" w:asciiTheme="minorEastAsia" w:hAnsiTheme="minorEastAsia" w:eastAsiaTheme="minorEastAsia" w:cstheme="minorEastAsia"/>
                <w:color w:val="auto"/>
                <w:w w:val="95"/>
                <w:kern w:val="0"/>
                <w:sz w:val="24"/>
                <w:szCs w:val="24"/>
                <w:highlight w:val="none"/>
                <w:lang w:val="zh-CN" w:bidi="zh-CN"/>
              </w:rPr>
              <w:t>开工预付款金额：</w:t>
            </w:r>
            <w:r>
              <w:rPr>
                <w:rFonts w:hint="eastAsia" w:asciiTheme="minorEastAsia" w:hAnsiTheme="minorEastAsia" w:eastAsiaTheme="minorEastAsia" w:cstheme="minorEastAsia"/>
                <w:color w:val="auto"/>
                <w:w w:val="95"/>
                <w:kern w:val="0"/>
                <w:sz w:val="24"/>
                <w:szCs w:val="24"/>
                <w:highlight w:val="none"/>
                <w:lang w:bidi="zh-CN"/>
              </w:rPr>
              <w:t>30</w:t>
            </w:r>
            <w:r>
              <w:rPr>
                <w:rFonts w:hint="eastAsia" w:asciiTheme="minorEastAsia" w:hAnsiTheme="minorEastAsia" w:eastAsiaTheme="minorEastAsia" w:cstheme="minorEastAsia"/>
                <w:color w:val="auto"/>
                <w:w w:val="95"/>
                <w:kern w:val="0"/>
                <w:sz w:val="24"/>
                <w:szCs w:val="24"/>
                <w:highlight w:val="none"/>
                <w:lang w:val="zh-CN" w:bidi="zh-CN"/>
              </w:rPr>
              <w:t xml:space="preserve"> %签约合同价</w:t>
            </w:r>
          </w:p>
        </w:tc>
      </w:tr>
      <w:tr w14:paraId="50149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352" w:type="dxa"/>
            <w:noWrap w:val="0"/>
            <w:vAlign w:val="top"/>
          </w:tcPr>
          <w:p w14:paraId="35302901">
            <w:pPr>
              <w:pageBreakBefore w:val="0"/>
              <w:widowControl/>
              <w:kinsoku/>
              <w:wordWrap/>
              <w:overflowPunct/>
              <w:topLinePunct w:val="0"/>
              <w:bidi w:val="0"/>
              <w:adjustRightInd/>
              <w:snapToGrid/>
              <w:spacing w:before="9" w:line="320" w:lineRule="exact"/>
              <w:ind w:firstLine="30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p>
          <w:p w14:paraId="167068F3">
            <w:pPr>
              <w:pageBreakBefore w:val="0"/>
              <w:widowControl/>
              <w:kinsoku/>
              <w:wordWrap/>
              <w:overflowPunct/>
              <w:topLinePunct w:val="0"/>
              <w:bidi w:val="0"/>
              <w:adjustRightInd/>
              <w:snapToGrid/>
              <w:spacing w:line="320" w:lineRule="exact"/>
              <w:ind w:left="355" w:right="346"/>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17.5</w:t>
            </w:r>
          </w:p>
        </w:tc>
        <w:tc>
          <w:tcPr>
            <w:tcW w:w="7539" w:type="dxa"/>
            <w:noWrap w:val="0"/>
            <w:vAlign w:val="top"/>
          </w:tcPr>
          <w:p w14:paraId="56A67E65">
            <w:pPr>
              <w:pageBreakBefore w:val="0"/>
              <w:widowControl/>
              <w:tabs>
                <w:tab w:val="left" w:pos="6687"/>
              </w:tabs>
              <w:kinsoku/>
              <w:wordWrap/>
              <w:overflowPunct/>
              <w:topLinePunct w:val="0"/>
              <w:bidi w:val="0"/>
              <w:adjustRightInd/>
              <w:snapToGrid/>
              <w:spacing w:line="320" w:lineRule="exact"/>
              <w:ind w:left="282" w:firstLine="420"/>
              <w:jc w:val="left"/>
              <w:textAlignment w:val="auto"/>
              <w:outlineLvl w:val="9"/>
              <w:rPr>
                <w:rFonts w:hint="eastAsia" w:asciiTheme="minorEastAsia" w:hAnsiTheme="minorEastAsia" w:eastAsiaTheme="minorEastAsia" w:cstheme="minorEastAsia"/>
                <w:color w:val="auto"/>
                <w:w w:val="95"/>
                <w:kern w:val="0"/>
                <w:sz w:val="24"/>
                <w:szCs w:val="24"/>
                <w:highlight w:val="none"/>
                <w:lang w:val="zh-CN" w:bidi="zh-CN"/>
              </w:rPr>
            </w:pPr>
            <w:r>
              <w:rPr>
                <w:rFonts w:hint="eastAsia" w:asciiTheme="minorEastAsia" w:hAnsiTheme="minorEastAsia" w:eastAsiaTheme="minorEastAsia" w:cstheme="minorEastAsia"/>
                <w:color w:val="auto"/>
                <w:w w:val="95"/>
                <w:kern w:val="0"/>
                <w:sz w:val="24"/>
                <w:szCs w:val="24"/>
                <w:highlight w:val="none"/>
                <w:lang w:val="zh-CN" w:bidi="zh-CN"/>
              </w:rPr>
              <w:t>材料预付款比例：水泥、钢材、沥青等主要材料单据所列费用的</w:t>
            </w:r>
            <w:r>
              <w:rPr>
                <w:rFonts w:hint="eastAsia" w:asciiTheme="minorEastAsia" w:hAnsiTheme="minorEastAsia" w:eastAsiaTheme="minorEastAsia" w:cstheme="minorEastAsia"/>
                <w:color w:val="auto"/>
                <w:w w:val="95"/>
                <w:kern w:val="0"/>
                <w:sz w:val="24"/>
                <w:szCs w:val="24"/>
                <w:highlight w:val="none"/>
                <w:lang w:bidi="zh-CN"/>
              </w:rPr>
              <w:t>/</w:t>
            </w:r>
            <w:r>
              <w:rPr>
                <w:rFonts w:hint="eastAsia" w:asciiTheme="minorEastAsia" w:hAnsiTheme="minorEastAsia" w:eastAsiaTheme="minorEastAsia" w:cstheme="minorEastAsia"/>
                <w:color w:val="auto"/>
                <w:w w:val="95"/>
                <w:kern w:val="0"/>
                <w:sz w:val="24"/>
                <w:szCs w:val="24"/>
                <w:highlight w:val="none"/>
                <w:lang w:val="zh-CN" w:bidi="zh-CN"/>
              </w:rPr>
              <w:t xml:space="preserve"> %</w:t>
            </w:r>
          </w:p>
        </w:tc>
      </w:tr>
      <w:tr w14:paraId="08533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352" w:type="dxa"/>
            <w:noWrap w:val="0"/>
            <w:vAlign w:val="top"/>
          </w:tcPr>
          <w:p w14:paraId="54915C31">
            <w:pPr>
              <w:pageBreakBefore w:val="0"/>
              <w:widowControl/>
              <w:kinsoku/>
              <w:wordWrap/>
              <w:overflowPunct/>
              <w:topLinePunct w:val="0"/>
              <w:bidi w:val="0"/>
              <w:adjustRightInd/>
              <w:snapToGrid/>
              <w:spacing w:before="10" w:line="320" w:lineRule="exact"/>
              <w:ind w:firstLine="30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p>
          <w:p w14:paraId="5ECEE2AD">
            <w:pPr>
              <w:pageBreakBefore w:val="0"/>
              <w:widowControl/>
              <w:kinsoku/>
              <w:wordWrap/>
              <w:overflowPunct/>
              <w:topLinePunct w:val="0"/>
              <w:bidi w:val="0"/>
              <w:adjustRightInd/>
              <w:snapToGrid/>
              <w:spacing w:line="320" w:lineRule="exact"/>
              <w:ind w:left="355" w:right="346"/>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18.3</w:t>
            </w:r>
          </w:p>
        </w:tc>
        <w:tc>
          <w:tcPr>
            <w:tcW w:w="7539" w:type="dxa"/>
            <w:noWrap w:val="0"/>
            <w:vAlign w:val="top"/>
          </w:tcPr>
          <w:p w14:paraId="16D830A8">
            <w:pPr>
              <w:pageBreakBefore w:val="0"/>
              <w:widowControl/>
              <w:kinsoku/>
              <w:wordWrap/>
              <w:overflowPunct/>
              <w:topLinePunct w:val="0"/>
              <w:bidi w:val="0"/>
              <w:adjustRightInd/>
              <w:snapToGrid/>
              <w:spacing w:before="177" w:line="320" w:lineRule="exact"/>
              <w:ind w:left="282" w:firstLine="420"/>
              <w:jc w:val="left"/>
              <w:textAlignment w:val="auto"/>
              <w:outlineLvl w:val="9"/>
              <w:rPr>
                <w:rFonts w:hint="eastAsia" w:asciiTheme="minorEastAsia" w:hAnsiTheme="minorEastAsia" w:eastAsiaTheme="minorEastAsia" w:cstheme="minorEastAsia"/>
                <w:color w:val="auto"/>
                <w:w w:val="95"/>
                <w:kern w:val="0"/>
                <w:sz w:val="24"/>
                <w:szCs w:val="24"/>
                <w:highlight w:val="none"/>
                <w:lang w:val="zh-CN" w:bidi="zh-CN"/>
              </w:rPr>
            </w:pPr>
            <w:r>
              <w:rPr>
                <w:rFonts w:hint="eastAsia" w:asciiTheme="minorEastAsia" w:hAnsiTheme="minorEastAsia" w:eastAsiaTheme="minorEastAsia" w:cstheme="minorEastAsia"/>
                <w:color w:val="auto"/>
                <w:w w:val="95"/>
                <w:kern w:val="0"/>
                <w:sz w:val="24"/>
                <w:szCs w:val="24"/>
                <w:highlight w:val="none"/>
                <w:lang w:val="zh-CN" w:bidi="zh-CN"/>
              </w:rPr>
              <w:t>承包人在每个付款周期末向监理人提交进度付款申请单的份数： 6 份</w:t>
            </w:r>
          </w:p>
        </w:tc>
      </w:tr>
      <w:tr w14:paraId="0D885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352" w:type="dxa"/>
            <w:noWrap w:val="0"/>
            <w:vAlign w:val="top"/>
          </w:tcPr>
          <w:p w14:paraId="05BACBD5">
            <w:pPr>
              <w:pageBreakBefore w:val="0"/>
              <w:widowControl/>
              <w:kinsoku/>
              <w:wordWrap/>
              <w:overflowPunct/>
              <w:topLinePunct w:val="0"/>
              <w:bidi w:val="0"/>
              <w:adjustRightInd/>
              <w:snapToGrid/>
              <w:spacing w:before="10" w:line="320" w:lineRule="exact"/>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p>
          <w:p w14:paraId="1CD55922">
            <w:pPr>
              <w:pageBreakBefore w:val="0"/>
              <w:widowControl/>
              <w:kinsoku/>
              <w:wordWrap/>
              <w:overflowPunct/>
              <w:topLinePunct w:val="0"/>
              <w:bidi w:val="0"/>
              <w:adjustRightInd/>
              <w:snapToGrid/>
              <w:spacing w:line="320" w:lineRule="exact"/>
              <w:ind w:left="356" w:right="346"/>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18.3(3)</w:t>
            </w:r>
          </w:p>
        </w:tc>
        <w:tc>
          <w:tcPr>
            <w:tcW w:w="7539" w:type="dxa"/>
            <w:noWrap w:val="0"/>
            <w:vAlign w:val="top"/>
          </w:tcPr>
          <w:p w14:paraId="2237B379">
            <w:pPr>
              <w:pageBreakBefore w:val="0"/>
              <w:widowControl/>
              <w:kinsoku/>
              <w:wordWrap/>
              <w:overflowPunct/>
              <w:topLinePunct w:val="0"/>
              <w:bidi w:val="0"/>
              <w:adjustRightInd/>
              <w:snapToGrid/>
              <w:spacing w:line="320" w:lineRule="exact"/>
              <w:ind w:left="106" w:right="41" w:firstLine="42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逾期付款违约金的利率：全国银行间同业拆借中心公布的 1 年期贷款市场报价利率</w:t>
            </w:r>
          </w:p>
        </w:tc>
      </w:tr>
      <w:tr w14:paraId="69AF3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trPr>
        <w:tc>
          <w:tcPr>
            <w:tcW w:w="1352" w:type="dxa"/>
            <w:noWrap w:val="0"/>
            <w:vAlign w:val="top"/>
          </w:tcPr>
          <w:p w14:paraId="4258E43C">
            <w:pPr>
              <w:pageBreakBefore w:val="0"/>
              <w:widowControl/>
              <w:kinsoku/>
              <w:wordWrap/>
              <w:overflowPunct/>
              <w:topLinePunct w:val="0"/>
              <w:bidi w:val="0"/>
              <w:adjustRightInd/>
              <w:snapToGrid/>
              <w:spacing w:line="320" w:lineRule="exact"/>
              <w:ind w:firstLine="44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p>
          <w:p w14:paraId="47363049">
            <w:pPr>
              <w:pageBreakBefore w:val="0"/>
              <w:widowControl/>
              <w:kinsoku/>
              <w:wordWrap/>
              <w:overflowPunct/>
              <w:topLinePunct w:val="0"/>
              <w:bidi w:val="0"/>
              <w:adjustRightInd/>
              <w:snapToGrid/>
              <w:spacing w:before="183" w:line="320" w:lineRule="exact"/>
              <w:ind w:left="356" w:right="346"/>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18.7(1)</w:t>
            </w:r>
          </w:p>
        </w:tc>
        <w:tc>
          <w:tcPr>
            <w:tcW w:w="7539" w:type="dxa"/>
            <w:noWrap w:val="0"/>
            <w:vAlign w:val="top"/>
          </w:tcPr>
          <w:p w14:paraId="6DEA4BD1">
            <w:pPr>
              <w:pageBreakBefore w:val="0"/>
              <w:widowControl/>
              <w:tabs>
                <w:tab w:val="left" w:pos="2473"/>
              </w:tabs>
              <w:kinsoku/>
              <w:wordWrap/>
              <w:overflowPunct/>
              <w:topLinePunct w:val="0"/>
              <w:bidi w:val="0"/>
              <w:adjustRightInd/>
              <w:snapToGrid/>
              <w:spacing w:line="320" w:lineRule="exact"/>
              <w:ind w:left="282" w:firstLine="42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质量保证金限额 ：</w:t>
            </w:r>
            <w:r>
              <w:rPr>
                <w:rFonts w:hint="eastAsia" w:asciiTheme="minorEastAsia" w:hAnsiTheme="minorEastAsia" w:eastAsiaTheme="minorEastAsia" w:cstheme="minorEastAsia"/>
                <w:color w:val="0000FF"/>
                <w:w w:val="95"/>
                <w:kern w:val="0"/>
                <w:sz w:val="24"/>
                <w:szCs w:val="24"/>
                <w:highlight w:val="none"/>
                <w:lang w:bidi="zh-CN"/>
              </w:rPr>
              <w:t>3</w:t>
            </w:r>
            <w:r>
              <w:rPr>
                <w:rFonts w:hint="eastAsia" w:asciiTheme="minorEastAsia" w:hAnsiTheme="minorEastAsia" w:eastAsiaTheme="minorEastAsia" w:cstheme="minorEastAsia"/>
                <w:color w:val="0000FF"/>
                <w:w w:val="95"/>
                <w:kern w:val="0"/>
                <w:sz w:val="24"/>
                <w:szCs w:val="24"/>
                <w:highlight w:val="none"/>
                <w:lang w:val="zh-CN" w:bidi="zh-CN"/>
              </w:rPr>
              <w:t>%</w:t>
            </w:r>
            <w:r>
              <w:rPr>
                <w:rFonts w:hint="eastAsia" w:asciiTheme="minorEastAsia" w:hAnsiTheme="minorEastAsia" w:eastAsiaTheme="minorEastAsia" w:cstheme="minorEastAsia"/>
                <w:w w:val="95"/>
                <w:kern w:val="0"/>
                <w:sz w:val="24"/>
                <w:szCs w:val="24"/>
                <w:highlight w:val="none"/>
                <w:lang w:val="zh-CN" w:bidi="zh-CN"/>
              </w:rPr>
              <w:t>合同价格，若交工验收时承包人具备交通运输厅农村</w:t>
            </w:r>
          </w:p>
          <w:p w14:paraId="77E704CA">
            <w:pPr>
              <w:pageBreakBefore w:val="0"/>
              <w:widowControl/>
              <w:tabs>
                <w:tab w:val="left" w:pos="7256"/>
              </w:tabs>
              <w:kinsoku/>
              <w:wordWrap/>
              <w:overflowPunct/>
              <w:topLinePunct w:val="0"/>
              <w:bidi w:val="0"/>
              <w:adjustRightInd/>
              <w:snapToGrid/>
              <w:spacing w:before="50" w:line="320" w:lineRule="exact"/>
              <w:ind w:left="106" w:firstLine="42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 xml:space="preserve">公路建设从业单位信用信息评价体系评定的最高信用等级，发包人可以给予 </w:t>
            </w:r>
            <w:r>
              <w:rPr>
                <w:rFonts w:hint="eastAsia" w:asciiTheme="minorEastAsia" w:hAnsiTheme="minorEastAsia" w:eastAsiaTheme="minorEastAsia" w:cstheme="minorEastAsia"/>
                <w:w w:val="95"/>
                <w:kern w:val="0"/>
                <w:sz w:val="24"/>
                <w:szCs w:val="24"/>
                <w:highlight w:val="none"/>
                <w:lang w:val="en-US" w:bidi="zh-CN"/>
              </w:rPr>
              <w:t xml:space="preserve"> </w:t>
            </w:r>
            <w:r>
              <w:rPr>
                <w:rFonts w:hint="eastAsia" w:asciiTheme="minorEastAsia" w:hAnsiTheme="minorEastAsia" w:eastAsiaTheme="minorEastAsia" w:cstheme="minorEastAsia"/>
                <w:w w:val="95"/>
                <w:kern w:val="0"/>
                <w:sz w:val="24"/>
                <w:szCs w:val="24"/>
                <w:highlight w:val="none"/>
                <w:lang w:val="zh-CN" w:bidi="zh-CN"/>
              </w:rPr>
              <w:t>%</w:t>
            </w:r>
          </w:p>
          <w:p w14:paraId="5B32A460">
            <w:pPr>
              <w:pageBreakBefore w:val="0"/>
              <w:widowControl/>
              <w:kinsoku/>
              <w:wordWrap/>
              <w:overflowPunct/>
              <w:topLinePunct w:val="0"/>
              <w:bidi w:val="0"/>
              <w:adjustRightInd/>
              <w:snapToGrid/>
              <w:spacing w:line="320" w:lineRule="exact"/>
              <w:ind w:left="106" w:firstLine="42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合同价格质量保证金的优惠 ：</w:t>
            </w:r>
          </w:p>
          <w:p w14:paraId="01A19714">
            <w:pPr>
              <w:pageBreakBefore w:val="0"/>
              <w:widowControl/>
              <w:tabs>
                <w:tab w:val="left" w:pos="3595"/>
              </w:tabs>
              <w:kinsoku/>
              <w:wordWrap/>
              <w:overflowPunct/>
              <w:topLinePunct w:val="0"/>
              <w:bidi w:val="0"/>
              <w:adjustRightInd/>
              <w:snapToGrid/>
              <w:spacing w:line="320" w:lineRule="exact"/>
              <w:ind w:left="306" w:firstLine="605"/>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 xml:space="preserve">□是，利息的计算方式： </w:t>
            </w:r>
            <w:r>
              <w:rPr>
                <w:rFonts w:hint="eastAsia" w:asciiTheme="minorEastAsia" w:hAnsiTheme="minorEastAsia" w:eastAsiaTheme="minorEastAsia" w:cstheme="minorEastAsia"/>
                <w:w w:val="95"/>
                <w:kern w:val="0"/>
                <w:sz w:val="24"/>
                <w:szCs w:val="24"/>
                <w:highlight w:val="none"/>
                <w:lang w:val="zh-CN" w:bidi="zh-CN"/>
              </w:rPr>
              <w:tab/>
            </w:r>
          </w:p>
          <w:p w14:paraId="58BF14F4">
            <w:pPr>
              <w:pageBreakBefore w:val="0"/>
              <w:widowControl/>
              <w:kinsoku/>
              <w:wordWrap/>
              <w:overflowPunct/>
              <w:topLinePunct w:val="0"/>
              <w:bidi w:val="0"/>
              <w:adjustRightInd/>
              <w:snapToGrid/>
              <w:spacing w:line="320" w:lineRule="exact"/>
              <w:ind w:left="306" w:firstLine="64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□否</w:t>
            </w:r>
          </w:p>
        </w:tc>
      </w:tr>
    </w:tbl>
    <w:p w14:paraId="73E5E515">
      <w:pPr>
        <w:pageBreakBefore w:val="0"/>
        <w:widowControl/>
        <w:kinsoku/>
        <w:wordWrap/>
        <w:overflowPunct/>
        <w:topLinePunct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76330EA2">
      <w:pPr>
        <w:pageBreakBefore w:val="0"/>
        <w:widowControl/>
        <w:kinsoku/>
        <w:wordWrap/>
        <w:overflowPunct/>
        <w:topLinePunct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1ADBEC9B">
      <w:pPr>
        <w:pageBreakBefore w:val="0"/>
        <w:widowControl/>
        <w:kinsoku/>
        <w:wordWrap/>
        <w:overflowPunct/>
        <w:topLinePunct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3616B006">
      <w:pPr>
        <w:pageBreakBefore w:val="0"/>
        <w:kinsoku/>
        <w:wordWrap/>
        <w:overflowPunct/>
        <w:topLinePunct w:val="0"/>
        <w:autoSpaceDE w:val="0"/>
        <w:autoSpaceDN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p>
    <w:tbl>
      <w:tblPr>
        <w:tblStyle w:val="2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3"/>
        <w:gridCol w:w="7308"/>
      </w:tblGrid>
      <w:tr w14:paraId="7A772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623" w:type="dxa"/>
            <w:noWrap w:val="0"/>
            <w:vAlign w:val="top"/>
          </w:tcPr>
          <w:p w14:paraId="56318253">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7308" w:type="dxa"/>
            <w:noWrap w:val="0"/>
            <w:vAlign w:val="top"/>
          </w:tcPr>
          <w:p w14:paraId="46C03F6E">
            <w:pPr>
              <w:pageBreakBefore w:val="0"/>
              <w:widowControl/>
              <w:kinsoku/>
              <w:wordWrap/>
              <w:overflowPunct/>
              <w:topLinePunct w:val="0"/>
              <w:bidi w:val="0"/>
              <w:adjustRightInd/>
              <w:snapToGrid/>
              <w:spacing w:before="12" w:line="320" w:lineRule="exact"/>
              <w:ind w:firstLine="30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承包人向监理人提交交工付款申请单(包括相关证明材料)的份数：</w:t>
            </w:r>
            <w:r>
              <w:rPr>
                <w:rFonts w:hint="eastAsia" w:asciiTheme="minorEastAsia" w:hAnsiTheme="minorEastAsia" w:eastAsiaTheme="minorEastAsia" w:cstheme="minorEastAsia"/>
                <w:color w:val="0000FF"/>
                <w:w w:val="95"/>
                <w:kern w:val="0"/>
                <w:sz w:val="24"/>
                <w:szCs w:val="24"/>
                <w:highlight w:val="none"/>
                <w:lang w:val="zh-CN" w:bidi="zh-CN"/>
              </w:rPr>
              <w:t xml:space="preserve"> </w:t>
            </w:r>
            <w:r>
              <w:rPr>
                <w:rFonts w:hint="eastAsia" w:asciiTheme="minorEastAsia" w:hAnsiTheme="minorEastAsia" w:eastAsiaTheme="minorEastAsia" w:cstheme="minorEastAsia"/>
                <w:color w:val="0000FF"/>
                <w:w w:val="95"/>
                <w:kern w:val="0"/>
                <w:sz w:val="24"/>
                <w:szCs w:val="24"/>
                <w:highlight w:val="none"/>
                <w:lang w:bidi="zh-CN"/>
              </w:rPr>
              <w:t>3</w:t>
            </w:r>
            <w:r>
              <w:rPr>
                <w:rFonts w:hint="eastAsia" w:asciiTheme="minorEastAsia" w:hAnsiTheme="minorEastAsia" w:eastAsiaTheme="minorEastAsia" w:cstheme="minorEastAsia"/>
                <w:color w:val="0000FF"/>
                <w:w w:val="95"/>
                <w:kern w:val="0"/>
                <w:sz w:val="24"/>
                <w:szCs w:val="24"/>
                <w:highlight w:val="none"/>
                <w:lang w:val="zh-CN" w:bidi="zh-CN"/>
              </w:rPr>
              <w:t>份</w:t>
            </w:r>
          </w:p>
        </w:tc>
      </w:tr>
      <w:tr w14:paraId="2E6FC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623" w:type="dxa"/>
            <w:noWrap w:val="0"/>
            <w:vAlign w:val="top"/>
          </w:tcPr>
          <w:p w14:paraId="52F69259">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7308" w:type="dxa"/>
            <w:noWrap w:val="0"/>
            <w:vAlign w:val="top"/>
          </w:tcPr>
          <w:p w14:paraId="6AF7E362">
            <w:pPr>
              <w:pageBreakBefore w:val="0"/>
              <w:widowControl/>
              <w:kinsoku/>
              <w:wordWrap/>
              <w:overflowPunct/>
              <w:topLinePunct w:val="0"/>
              <w:bidi w:val="0"/>
              <w:adjustRightInd/>
              <w:snapToGrid/>
              <w:spacing w:before="12" w:line="320" w:lineRule="exact"/>
              <w:ind w:firstLine="30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承包人向监理人提交最终结清申请单(包括相关证明材料)的份数</w:t>
            </w:r>
            <w:r>
              <w:rPr>
                <w:rFonts w:hint="eastAsia" w:asciiTheme="minorEastAsia" w:hAnsiTheme="minorEastAsia" w:eastAsiaTheme="minorEastAsia" w:cstheme="minorEastAsia"/>
                <w:color w:val="0000FF"/>
                <w:w w:val="95"/>
                <w:kern w:val="0"/>
                <w:sz w:val="24"/>
                <w:szCs w:val="24"/>
                <w:highlight w:val="none"/>
                <w:lang w:val="zh-CN" w:bidi="zh-CN"/>
              </w:rPr>
              <w:t xml:space="preserve">： </w:t>
            </w:r>
            <w:r>
              <w:rPr>
                <w:rFonts w:hint="eastAsia" w:asciiTheme="minorEastAsia" w:hAnsiTheme="minorEastAsia" w:eastAsiaTheme="minorEastAsia" w:cstheme="minorEastAsia"/>
                <w:color w:val="0000FF"/>
                <w:w w:val="95"/>
                <w:kern w:val="0"/>
                <w:sz w:val="24"/>
                <w:szCs w:val="24"/>
                <w:highlight w:val="none"/>
                <w:lang w:bidi="zh-CN"/>
              </w:rPr>
              <w:t>3</w:t>
            </w:r>
            <w:r>
              <w:rPr>
                <w:rFonts w:hint="eastAsia" w:asciiTheme="minorEastAsia" w:hAnsiTheme="minorEastAsia" w:eastAsiaTheme="minorEastAsia" w:cstheme="minorEastAsia"/>
                <w:color w:val="0000FF"/>
                <w:w w:val="95"/>
                <w:kern w:val="0"/>
                <w:sz w:val="24"/>
                <w:szCs w:val="24"/>
                <w:highlight w:val="none"/>
                <w:lang w:val="zh-CN" w:bidi="zh-CN"/>
              </w:rPr>
              <w:t xml:space="preserve"> 份</w:t>
            </w:r>
          </w:p>
        </w:tc>
      </w:tr>
      <w:tr w14:paraId="76B0B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623" w:type="dxa"/>
            <w:noWrap w:val="0"/>
            <w:vAlign w:val="top"/>
          </w:tcPr>
          <w:p w14:paraId="212E688E">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4F18618C">
            <w:pPr>
              <w:pageBreakBefore w:val="0"/>
              <w:kinsoku/>
              <w:wordWrap/>
              <w:overflowPunct/>
              <w:topLinePunct w:val="0"/>
              <w:autoSpaceDE w:val="0"/>
              <w:autoSpaceDN w:val="0"/>
              <w:bidi w:val="0"/>
              <w:adjustRightInd/>
              <w:snapToGrid/>
              <w:spacing w:line="320" w:lineRule="exact"/>
              <w:ind w:left="355" w:right="34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11.2</w:t>
            </w:r>
          </w:p>
        </w:tc>
        <w:tc>
          <w:tcPr>
            <w:tcW w:w="7308" w:type="dxa"/>
            <w:noWrap w:val="0"/>
            <w:vAlign w:val="top"/>
          </w:tcPr>
          <w:p w14:paraId="5AC947AE">
            <w:pPr>
              <w:pageBreakBefore w:val="0"/>
              <w:widowControl/>
              <w:kinsoku/>
              <w:wordWrap/>
              <w:overflowPunct/>
              <w:topLinePunct w:val="0"/>
              <w:bidi w:val="0"/>
              <w:adjustRightInd/>
              <w:snapToGrid/>
              <w:spacing w:before="12" w:line="320" w:lineRule="exact"/>
              <w:ind w:firstLine="30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竣工资料的份数：原始资料 1 份，复印件 2 份，电子文件（光盘或 U 盘） 2 份</w:t>
            </w:r>
          </w:p>
        </w:tc>
      </w:tr>
      <w:tr w14:paraId="59520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623" w:type="dxa"/>
            <w:noWrap w:val="0"/>
            <w:vAlign w:val="top"/>
          </w:tcPr>
          <w:p w14:paraId="2BAC08E4">
            <w:pPr>
              <w:pageBreakBefore w:val="0"/>
              <w:kinsoku/>
              <w:wordWrap/>
              <w:overflowPunct/>
              <w:topLinePunct w:val="0"/>
              <w:autoSpaceDE w:val="0"/>
              <w:autoSpaceDN w:val="0"/>
              <w:bidi w:val="0"/>
              <w:adjustRightInd/>
              <w:snapToGrid/>
              <w:spacing w:before="9"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28DF3068">
            <w:pPr>
              <w:pageBreakBefore w:val="0"/>
              <w:kinsoku/>
              <w:wordWrap/>
              <w:overflowPunct/>
              <w:topLinePunct w:val="0"/>
              <w:autoSpaceDE w:val="0"/>
              <w:autoSpaceDN w:val="0"/>
              <w:bidi w:val="0"/>
              <w:adjustRightInd/>
              <w:snapToGrid/>
              <w:spacing w:line="320" w:lineRule="exact"/>
              <w:ind w:left="355" w:right="34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11.5</w:t>
            </w:r>
          </w:p>
        </w:tc>
        <w:tc>
          <w:tcPr>
            <w:tcW w:w="7308" w:type="dxa"/>
            <w:noWrap w:val="0"/>
            <w:vAlign w:val="top"/>
          </w:tcPr>
          <w:p w14:paraId="5D993936">
            <w:pPr>
              <w:pageBreakBefore w:val="0"/>
              <w:widowControl/>
              <w:kinsoku/>
              <w:wordWrap/>
              <w:overflowPunct/>
              <w:topLinePunct w:val="0"/>
              <w:bidi w:val="0"/>
              <w:adjustRightInd/>
              <w:snapToGrid/>
              <w:spacing w:before="12" w:line="320" w:lineRule="exact"/>
              <w:ind w:firstLine="300"/>
              <w:jc w:val="left"/>
              <w:textAlignment w:val="auto"/>
              <w:outlineLvl w:val="9"/>
              <w:rPr>
                <w:rFonts w:hint="eastAsia" w:asciiTheme="minorEastAsia" w:hAnsiTheme="minorEastAsia" w:eastAsiaTheme="minorEastAsia" w:cstheme="minorEastAsia"/>
                <w:w w:val="95"/>
                <w:kern w:val="0"/>
                <w:sz w:val="24"/>
                <w:szCs w:val="24"/>
                <w:highlight w:val="none"/>
                <w:lang w:bidi="zh-CN"/>
              </w:rPr>
            </w:pPr>
            <w:r>
              <w:rPr>
                <w:rFonts w:hint="eastAsia" w:asciiTheme="minorEastAsia" w:hAnsiTheme="minorEastAsia" w:eastAsiaTheme="minorEastAsia" w:cstheme="minorEastAsia"/>
                <w:w w:val="95"/>
                <w:kern w:val="0"/>
                <w:sz w:val="24"/>
                <w:szCs w:val="24"/>
                <w:highlight w:val="none"/>
                <w:lang w:val="zh-CN" w:bidi="zh-CN"/>
              </w:rPr>
              <w:t>单位工程是否需投入施工期运行：</w:t>
            </w:r>
            <w:r>
              <w:rPr>
                <w:rFonts w:hint="eastAsia" w:asciiTheme="minorEastAsia" w:hAnsiTheme="minorEastAsia" w:eastAsiaTheme="minorEastAsia" w:cstheme="minorEastAsia"/>
                <w:color w:val="0000FF"/>
                <w:w w:val="95"/>
                <w:kern w:val="0"/>
                <w:sz w:val="24"/>
                <w:szCs w:val="24"/>
                <w:highlight w:val="none"/>
                <w:lang w:bidi="zh-CN"/>
              </w:rPr>
              <w:t>否</w:t>
            </w:r>
          </w:p>
          <w:p w14:paraId="03ABDAC3">
            <w:pPr>
              <w:pageBreakBefore w:val="0"/>
              <w:widowControl/>
              <w:kinsoku/>
              <w:wordWrap/>
              <w:overflowPunct/>
              <w:topLinePunct w:val="0"/>
              <w:bidi w:val="0"/>
              <w:adjustRightInd/>
              <w:snapToGrid/>
              <w:spacing w:before="12" w:line="320" w:lineRule="exact"/>
              <w:ind w:firstLine="30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 xml:space="preserve">如单位工程需要进行施工期运行，需要施工期运行的单位工程规定如下： </w:t>
            </w:r>
            <w:r>
              <w:rPr>
                <w:rFonts w:hint="eastAsia" w:asciiTheme="minorEastAsia" w:hAnsiTheme="minorEastAsia" w:eastAsiaTheme="minorEastAsia" w:cstheme="minorEastAsia"/>
                <w:w w:val="95"/>
                <w:kern w:val="0"/>
                <w:sz w:val="24"/>
                <w:szCs w:val="24"/>
                <w:highlight w:val="none"/>
                <w:lang w:val="zh-CN" w:bidi="zh-CN"/>
              </w:rPr>
              <w:tab/>
            </w:r>
          </w:p>
        </w:tc>
      </w:tr>
      <w:tr w14:paraId="268BE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623" w:type="dxa"/>
            <w:noWrap w:val="0"/>
            <w:vAlign w:val="top"/>
          </w:tcPr>
          <w:p w14:paraId="1133402D">
            <w:pPr>
              <w:pageBreakBefore w:val="0"/>
              <w:kinsoku/>
              <w:wordWrap/>
              <w:overflowPunct/>
              <w:topLinePunct w:val="0"/>
              <w:autoSpaceDE w:val="0"/>
              <w:autoSpaceDN w:val="0"/>
              <w:bidi w:val="0"/>
              <w:adjustRightInd/>
              <w:snapToGrid/>
              <w:spacing w:before="5"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3C4A8FE5">
            <w:pPr>
              <w:pageBreakBefore w:val="0"/>
              <w:kinsoku/>
              <w:wordWrap/>
              <w:overflowPunct/>
              <w:topLinePunct w:val="0"/>
              <w:autoSpaceDE w:val="0"/>
              <w:autoSpaceDN w:val="0"/>
              <w:bidi w:val="0"/>
              <w:adjustRightInd/>
              <w:snapToGrid/>
              <w:spacing w:line="320" w:lineRule="exact"/>
              <w:ind w:left="355" w:right="34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11.6</w:t>
            </w:r>
          </w:p>
        </w:tc>
        <w:tc>
          <w:tcPr>
            <w:tcW w:w="7308" w:type="dxa"/>
            <w:noWrap w:val="0"/>
            <w:vAlign w:val="top"/>
          </w:tcPr>
          <w:p w14:paraId="1890695F">
            <w:pPr>
              <w:pageBreakBefore w:val="0"/>
              <w:widowControl/>
              <w:kinsoku/>
              <w:wordWrap/>
              <w:overflowPunct/>
              <w:topLinePunct w:val="0"/>
              <w:bidi w:val="0"/>
              <w:adjustRightInd/>
              <w:snapToGrid/>
              <w:spacing w:before="12" w:line="320" w:lineRule="exact"/>
              <w:ind w:firstLine="30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本工程是否进行试运行：</w:t>
            </w:r>
            <w:r>
              <w:rPr>
                <w:rFonts w:hint="eastAsia" w:asciiTheme="minorEastAsia" w:hAnsiTheme="minorEastAsia" w:eastAsiaTheme="minorEastAsia" w:cstheme="minorEastAsia"/>
                <w:color w:val="0000FF"/>
                <w:w w:val="95"/>
                <w:kern w:val="0"/>
                <w:sz w:val="24"/>
                <w:szCs w:val="24"/>
                <w:highlight w:val="none"/>
                <w:lang w:bidi="zh-CN"/>
              </w:rPr>
              <w:t>否</w:t>
            </w:r>
            <w:r>
              <w:rPr>
                <w:rFonts w:hint="eastAsia" w:asciiTheme="minorEastAsia" w:hAnsiTheme="minorEastAsia" w:eastAsiaTheme="minorEastAsia" w:cstheme="minorEastAsia"/>
                <w:w w:val="95"/>
                <w:kern w:val="0"/>
                <w:sz w:val="24"/>
                <w:szCs w:val="24"/>
                <w:highlight w:val="none"/>
                <w:lang w:val="zh-CN" w:bidi="zh-CN"/>
              </w:rPr>
              <w:t xml:space="preserve"> </w:t>
            </w:r>
            <w:r>
              <w:rPr>
                <w:rFonts w:hint="eastAsia" w:asciiTheme="minorEastAsia" w:hAnsiTheme="minorEastAsia" w:eastAsiaTheme="minorEastAsia" w:cstheme="minorEastAsia"/>
                <w:w w:val="95"/>
                <w:kern w:val="0"/>
                <w:sz w:val="24"/>
                <w:szCs w:val="24"/>
                <w:highlight w:val="none"/>
                <w:lang w:val="zh-CN" w:bidi="zh-CN"/>
              </w:rPr>
              <w:tab/>
            </w:r>
          </w:p>
          <w:p w14:paraId="2EBCBE54">
            <w:pPr>
              <w:pageBreakBefore w:val="0"/>
              <w:widowControl/>
              <w:kinsoku/>
              <w:wordWrap/>
              <w:overflowPunct/>
              <w:topLinePunct w:val="0"/>
              <w:bidi w:val="0"/>
              <w:adjustRightInd/>
              <w:snapToGrid/>
              <w:spacing w:before="12" w:line="320" w:lineRule="exact"/>
              <w:ind w:firstLine="30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 xml:space="preserve">如本工程需要进行试运行，试运行的具体规定如下： </w:t>
            </w:r>
            <w:r>
              <w:rPr>
                <w:rFonts w:hint="eastAsia" w:asciiTheme="minorEastAsia" w:hAnsiTheme="minorEastAsia" w:eastAsiaTheme="minorEastAsia" w:cstheme="minorEastAsia"/>
                <w:w w:val="95"/>
                <w:kern w:val="0"/>
                <w:sz w:val="24"/>
                <w:szCs w:val="24"/>
                <w:highlight w:val="none"/>
                <w:lang w:val="zh-CN" w:bidi="zh-CN"/>
              </w:rPr>
              <w:tab/>
            </w:r>
          </w:p>
        </w:tc>
      </w:tr>
      <w:tr w14:paraId="3787A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623" w:type="dxa"/>
            <w:noWrap w:val="0"/>
            <w:vAlign w:val="top"/>
          </w:tcPr>
          <w:p w14:paraId="222672F3">
            <w:pPr>
              <w:pageBreakBefore w:val="0"/>
              <w:kinsoku/>
              <w:wordWrap/>
              <w:overflowPunct/>
              <w:topLinePunct w:val="0"/>
              <w:autoSpaceDE w:val="0"/>
              <w:autoSpaceDN w:val="0"/>
              <w:bidi w:val="0"/>
              <w:adjustRightInd/>
              <w:snapToGrid/>
              <w:spacing w:before="1"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5AFAEC6D">
            <w:pPr>
              <w:pageBreakBefore w:val="0"/>
              <w:kinsoku/>
              <w:wordWrap/>
              <w:overflowPunct/>
              <w:topLinePunct w:val="0"/>
              <w:autoSpaceDE w:val="0"/>
              <w:autoSpaceDN w:val="0"/>
              <w:bidi w:val="0"/>
              <w:adjustRightInd/>
              <w:snapToGrid/>
              <w:spacing w:line="320" w:lineRule="exact"/>
              <w:ind w:left="355" w:right="34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21.5</w:t>
            </w:r>
          </w:p>
        </w:tc>
        <w:tc>
          <w:tcPr>
            <w:tcW w:w="7308" w:type="dxa"/>
            <w:noWrap w:val="0"/>
            <w:vAlign w:val="top"/>
          </w:tcPr>
          <w:p w14:paraId="1AC8E173">
            <w:pPr>
              <w:pageBreakBefore w:val="0"/>
              <w:widowControl/>
              <w:kinsoku/>
              <w:wordWrap/>
              <w:overflowPunct/>
              <w:topLinePunct w:val="0"/>
              <w:bidi w:val="0"/>
              <w:adjustRightInd/>
              <w:snapToGrid/>
              <w:spacing w:before="12" w:line="320" w:lineRule="exact"/>
              <w:ind w:firstLine="30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保修期：自实际交工日期起计算</w:t>
            </w:r>
            <w:r>
              <w:rPr>
                <w:rFonts w:hint="eastAsia" w:asciiTheme="minorEastAsia" w:hAnsiTheme="minorEastAsia" w:eastAsiaTheme="minorEastAsia" w:cstheme="minorEastAsia"/>
                <w:color w:val="0000FF"/>
                <w:w w:val="95"/>
                <w:kern w:val="0"/>
                <w:sz w:val="24"/>
                <w:szCs w:val="24"/>
                <w:highlight w:val="none"/>
                <w:lang w:bidi="zh-CN"/>
              </w:rPr>
              <w:t>1</w:t>
            </w:r>
            <w:r>
              <w:rPr>
                <w:rFonts w:hint="eastAsia" w:asciiTheme="minorEastAsia" w:hAnsiTheme="minorEastAsia" w:eastAsiaTheme="minorEastAsia" w:cstheme="minorEastAsia"/>
                <w:color w:val="0000FF"/>
                <w:w w:val="95"/>
                <w:kern w:val="0"/>
                <w:sz w:val="24"/>
                <w:szCs w:val="24"/>
                <w:highlight w:val="none"/>
                <w:lang w:val="zh-CN" w:bidi="zh-CN"/>
              </w:rPr>
              <w:t xml:space="preserve"> </w:t>
            </w:r>
            <w:r>
              <w:rPr>
                <w:rFonts w:hint="eastAsia" w:asciiTheme="minorEastAsia" w:hAnsiTheme="minorEastAsia" w:eastAsiaTheme="minorEastAsia" w:cstheme="minorEastAsia"/>
                <w:w w:val="95"/>
                <w:kern w:val="0"/>
                <w:sz w:val="24"/>
                <w:szCs w:val="24"/>
                <w:highlight w:val="none"/>
                <w:lang w:val="zh-CN" w:bidi="zh-CN"/>
              </w:rPr>
              <w:t>年</w:t>
            </w:r>
          </w:p>
        </w:tc>
      </w:tr>
      <w:tr w14:paraId="59444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623" w:type="dxa"/>
            <w:noWrap w:val="0"/>
            <w:vAlign w:val="top"/>
          </w:tcPr>
          <w:p w14:paraId="013EFDA3">
            <w:pPr>
              <w:pageBreakBefore w:val="0"/>
              <w:kinsoku/>
              <w:wordWrap/>
              <w:overflowPunct/>
              <w:topLinePunct w:val="0"/>
              <w:autoSpaceDE w:val="0"/>
              <w:autoSpaceDN w:val="0"/>
              <w:bidi w:val="0"/>
              <w:adjustRightInd/>
              <w:snapToGrid/>
              <w:spacing w:before="11"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482544E7">
            <w:pPr>
              <w:pageBreakBefore w:val="0"/>
              <w:kinsoku/>
              <w:wordWrap/>
              <w:overflowPunct/>
              <w:topLinePunct w:val="0"/>
              <w:autoSpaceDE w:val="0"/>
              <w:autoSpaceDN w:val="0"/>
              <w:bidi w:val="0"/>
              <w:adjustRightInd/>
              <w:snapToGrid/>
              <w:spacing w:line="320" w:lineRule="exact"/>
              <w:ind w:left="356" w:right="34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24.2(3)</w:t>
            </w:r>
          </w:p>
        </w:tc>
        <w:tc>
          <w:tcPr>
            <w:tcW w:w="7308" w:type="dxa"/>
            <w:noWrap w:val="0"/>
            <w:vAlign w:val="top"/>
          </w:tcPr>
          <w:p w14:paraId="48BEFDDB">
            <w:pPr>
              <w:pageBreakBefore w:val="0"/>
              <w:widowControl/>
              <w:kinsoku/>
              <w:wordWrap/>
              <w:overflowPunct/>
              <w:topLinePunct w:val="0"/>
              <w:bidi w:val="0"/>
              <w:adjustRightInd/>
              <w:snapToGrid/>
              <w:spacing w:before="12" w:line="320" w:lineRule="exact"/>
              <w:ind w:firstLine="30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争议的最终解决方式：诉讼</w:t>
            </w:r>
          </w:p>
          <w:p w14:paraId="1C3168DE">
            <w:pPr>
              <w:pageBreakBefore w:val="0"/>
              <w:widowControl/>
              <w:kinsoku/>
              <w:wordWrap/>
              <w:overflowPunct/>
              <w:topLinePunct w:val="0"/>
              <w:bidi w:val="0"/>
              <w:adjustRightInd/>
              <w:snapToGrid/>
              <w:spacing w:before="12" w:line="320" w:lineRule="exact"/>
              <w:ind w:firstLine="300"/>
              <w:jc w:val="left"/>
              <w:textAlignment w:val="auto"/>
              <w:outlineLvl w:val="9"/>
              <w:rPr>
                <w:rFonts w:hint="eastAsia" w:asciiTheme="minorEastAsia" w:hAnsiTheme="minorEastAsia" w:eastAsiaTheme="minorEastAsia" w:cstheme="minorEastAsia"/>
                <w:w w:val="95"/>
                <w:kern w:val="0"/>
                <w:sz w:val="24"/>
                <w:szCs w:val="24"/>
                <w:highlight w:val="none"/>
                <w:lang w:val="zh-CN" w:bidi="zh-CN"/>
              </w:rPr>
            </w:pPr>
            <w:r>
              <w:rPr>
                <w:rFonts w:hint="eastAsia" w:asciiTheme="minorEastAsia" w:hAnsiTheme="minorEastAsia" w:eastAsiaTheme="minorEastAsia" w:cstheme="minorEastAsia"/>
                <w:w w:val="95"/>
                <w:kern w:val="0"/>
                <w:sz w:val="24"/>
                <w:szCs w:val="24"/>
                <w:highlight w:val="none"/>
                <w:lang w:val="zh-CN" w:bidi="zh-CN"/>
              </w:rPr>
              <w:t>如采用仲裁，仲裁委员会名称： /</w:t>
            </w:r>
            <w:r>
              <w:rPr>
                <w:rFonts w:hint="eastAsia" w:asciiTheme="minorEastAsia" w:hAnsiTheme="minorEastAsia" w:eastAsiaTheme="minorEastAsia" w:cstheme="minorEastAsia"/>
                <w:w w:val="95"/>
                <w:kern w:val="0"/>
                <w:sz w:val="24"/>
                <w:szCs w:val="24"/>
                <w:highlight w:val="none"/>
                <w:lang w:val="zh-CN" w:bidi="zh-CN"/>
              </w:rPr>
              <w:tab/>
            </w:r>
          </w:p>
        </w:tc>
      </w:tr>
    </w:tbl>
    <w:p w14:paraId="2A0E3CFC">
      <w:pPr>
        <w:pageBreakBefore w:val="0"/>
        <w:widowControl/>
        <w:kinsoku/>
        <w:wordWrap/>
        <w:overflowPunct/>
        <w:topLinePunct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70B6CE29">
      <w:pPr>
        <w:pageBreakBefore w:val="0"/>
        <w:widowControl/>
        <w:kinsoku/>
        <w:wordWrap/>
        <w:overflowPunct/>
        <w:topLinePunct w:val="0"/>
        <w:bidi w:val="0"/>
        <w:adjustRightInd/>
        <w:snapToGrid/>
        <w:spacing w:line="320" w:lineRule="exact"/>
        <w:ind w:firstLine="960" w:firstLineChars="4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说明：招标人编制的“项目合同条款”不限于本部分所列内容。</w:t>
      </w:r>
    </w:p>
    <w:p w14:paraId="1C751CC0">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bookmarkStart w:id="415" w:name="_Toc256000046"/>
    </w:p>
    <w:p w14:paraId="18CC9792">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2A9E72C2">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16DF270A">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250D89FA">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013CA678">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5776ED2E">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62C4D6F0">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71D4F7A0">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25A47925">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57C9D757">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26187780">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4A412B6E">
      <w:pPr>
        <w:keepNext/>
        <w:keepLines/>
        <w:pageBreakBefore w:val="0"/>
        <w:widowControl/>
        <w:kinsoku/>
        <w:wordWrap/>
        <w:overflowPunct/>
        <w:topLinePunct w:val="0"/>
        <w:bidi w:val="0"/>
        <w:adjustRightInd/>
        <w:snapToGrid/>
        <w:spacing w:before="260" w:after="260" w:line="320" w:lineRule="exact"/>
        <w:jc w:val="left"/>
        <w:textAlignment w:val="auto"/>
        <w:outlineLvl w:val="9"/>
        <w:rPr>
          <w:rFonts w:hint="eastAsia" w:asciiTheme="minorEastAsia" w:hAnsiTheme="minorEastAsia" w:eastAsiaTheme="minorEastAsia" w:cstheme="minorEastAsia"/>
          <w:kern w:val="28"/>
          <w:sz w:val="24"/>
          <w:szCs w:val="24"/>
          <w:highlight w:val="none"/>
          <w:lang w:val="zh-CN" w:bidi="zh-CN"/>
        </w:rPr>
      </w:pPr>
      <w:r>
        <w:rPr>
          <w:rFonts w:hint="eastAsia" w:asciiTheme="minorEastAsia" w:hAnsiTheme="minorEastAsia" w:eastAsiaTheme="minorEastAsia" w:cstheme="minorEastAsia"/>
          <w:b/>
          <w:bCs/>
          <w:kern w:val="28"/>
          <w:sz w:val="24"/>
          <w:szCs w:val="24"/>
          <w:highlight w:val="none"/>
          <w:lang w:val="zh-CN" w:bidi="zh-CN"/>
        </w:rPr>
        <w:t>第三节合同附件格式</w:t>
      </w:r>
      <w:bookmarkEnd w:id="415"/>
    </w:p>
    <w:p w14:paraId="46BF7ED3">
      <w:pPr>
        <w:keepNext/>
        <w:keepLines/>
        <w:pageBreakBefore w:val="0"/>
        <w:widowControl/>
        <w:kinsoku/>
        <w:wordWrap/>
        <w:overflowPunct/>
        <w:topLinePunct w:val="0"/>
        <w:bidi w:val="0"/>
        <w:adjustRightInd/>
        <w:snapToGrid/>
        <w:spacing w:before="260" w:after="260"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bookmarkStart w:id="416" w:name="_Toc256000047"/>
      <w:r>
        <w:rPr>
          <w:rFonts w:hint="eastAsia" w:asciiTheme="minorEastAsia" w:hAnsiTheme="minorEastAsia" w:eastAsiaTheme="minorEastAsia" w:cstheme="minorEastAsia"/>
          <w:b/>
          <w:bCs/>
          <w:kern w:val="0"/>
          <w:sz w:val="24"/>
          <w:szCs w:val="24"/>
          <w:highlight w:val="none"/>
          <w:lang w:val="zh-CN" w:bidi="zh-CN"/>
        </w:rPr>
        <w:t>附件一</w:t>
      </w:r>
      <w:r>
        <w:rPr>
          <w:rFonts w:hint="eastAsia" w:asciiTheme="minorEastAsia" w:hAnsiTheme="minorEastAsia" w:eastAsiaTheme="minorEastAsia" w:cstheme="minorEastAsia"/>
          <w:b/>
          <w:bCs/>
          <w:kern w:val="0"/>
          <w:sz w:val="24"/>
          <w:szCs w:val="24"/>
          <w:highlight w:val="none"/>
          <w:lang w:val="zh-CN" w:bidi="zh-CN"/>
        </w:rPr>
        <w:tab/>
      </w:r>
      <w:r>
        <w:rPr>
          <w:rFonts w:hint="eastAsia" w:asciiTheme="minorEastAsia" w:hAnsiTheme="minorEastAsia" w:eastAsiaTheme="minorEastAsia" w:cstheme="minorEastAsia"/>
          <w:b/>
          <w:bCs/>
          <w:kern w:val="0"/>
          <w:sz w:val="24"/>
          <w:szCs w:val="24"/>
          <w:highlight w:val="none"/>
          <w:lang w:val="zh-CN" w:bidi="zh-CN"/>
        </w:rPr>
        <w:t>合同协议书</w:t>
      </w:r>
      <w:bookmarkEnd w:id="416"/>
    </w:p>
    <w:p w14:paraId="7769F03A">
      <w:pPr>
        <w:pageBreakBefore w:val="0"/>
        <w:kinsoku/>
        <w:wordWrap/>
        <w:overflowPunct/>
        <w:topLinePunct w:val="0"/>
        <w:autoSpaceDE w:val="0"/>
        <w:autoSpaceDN w:val="0"/>
        <w:bidi w:val="0"/>
        <w:adjustRightInd/>
        <w:snapToGrid/>
        <w:spacing w:line="320" w:lineRule="exact"/>
        <w:ind w:left="473" w:right="556" w:firstLine="480" w:firstLineChars="200"/>
        <w:jc w:val="center"/>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合同协议书</w:t>
      </w:r>
    </w:p>
    <w:p w14:paraId="45941E46">
      <w:pPr>
        <w:pageBreakBefore w:val="0"/>
        <w:tabs>
          <w:tab w:val="left" w:pos="3203"/>
          <w:tab w:val="left" w:pos="8975"/>
        </w:tabs>
        <w:kinsoku/>
        <w:wordWrap/>
        <w:overflowPunct/>
        <w:topLinePunct w:val="0"/>
        <w:autoSpaceDE w:val="0"/>
        <w:autoSpaceDN w:val="0"/>
        <w:bidi w:val="0"/>
        <w:adjustRightInd/>
        <w:snapToGrid/>
        <w:spacing w:before="221" w:line="320" w:lineRule="exact"/>
        <w:ind w:left="864"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 xml:space="preserve"> </w:t>
      </w:r>
      <w:r>
        <w:rPr>
          <w:rFonts w:hint="eastAsia" w:asciiTheme="minorEastAsia" w:hAnsiTheme="minorEastAsia" w:eastAsiaTheme="minorEastAsia" w:cstheme="minorEastAsia"/>
          <w:spacing w:val="-1"/>
          <w:kern w:val="0"/>
          <w:sz w:val="24"/>
          <w:szCs w:val="24"/>
          <w:highlight w:val="none"/>
          <w:lang w:val="zh-CN" w:bidi="zh-CN"/>
        </w:rPr>
        <w:t>(发</w:t>
      </w:r>
      <w:r>
        <w:rPr>
          <w:rFonts w:hint="eastAsia" w:asciiTheme="minorEastAsia" w:hAnsiTheme="minorEastAsia" w:eastAsiaTheme="minorEastAsia" w:cstheme="minorEastAsia"/>
          <w:kern w:val="0"/>
          <w:sz w:val="24"/>
          <w:szCs w:val="24"/>
          <w:highlight w:val="none"/>
          <w:lang w:val="zh-CN" w:bidi="zh-CN"/>
        </w:rPr>
        <w:t>包人名称，以下简称“发包人”)为实施</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p>
    <w:p w14:paraId="42770C99">
      <w:pPr>
        <w:pageBreakBefore w:val="0"/>
        <w:tabs>
          <w:tab w:val="left" w:pos="1523"/>
          <w:tab w:val="left" w:pos="4382"/>
          <w:tab w:val="left" w:pos="9119"/>
        </w:tabs>
        <w:kinsoku/>
        <w:wordWrap/>
        <w:overflowPunct/>
        <w:topLinePunct w:val="0"/>
        <w:autoSpaceDE w:val="0"/>
        <w:autoSpaceDN w:val="0"/>
        <w:bidi w:val="0"/>
        <w:adjustRightInd/>
        <w:snapToGrid/>
        <w:spacing w:before="84" w:line="320" w:lineRule="exact"/>
        <w:ind w:left="384"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 xml:space="preserve"> (项目名称)，已接受</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spacing w:val="-1"/>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承包人名称，以下简称“承包人”)对该项目</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p>
    <w:p w14:paraId="7636FAE4">
      <w:pPr>
        <w:pageBreakBefore w:val="0"/>
        <w:tabs>
          <w:tab w:val="left" w:pos="2303"/>
        </w:tabs>
        <w:kinsoku/>
        <w:wordWrap/>
        <w:overflowPunct/>
        <w:topLinePunct w:val="0"/>
        <w:autoSpaceDE w:val="0"/>
        <w:autoSpaceDN w:val="0"/>
        <w:bidi w:val="0"/>
        <w:adjustRightInd/>
        <w:snapToGrid/>
        <w:spacing w:before="84" w:line="320" w:lineRule="exact"/>
        <w:ind w:left="384"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标段施工的投标。发包人和承包人共同达成如下协议：</w:t>
      </w:r>
    </w:p>
    <w:p w14:paraId="6C17A6A8">
      <w:pPr>
        <w:pageBreakBefore w:val="0"/>
        <w:tabs>
          <w:tab w:val="left" w:pos="1343"/>
          <w:tab w:val="left" w:pos="1763"/>
          <w:tab w:val="left" w:pos="2063"/>
          <w:tab w:val="left" w:pos="2776"/>
          <w:tab w:val="left" w:pos="2843"/>
          <w:tab w:val="left" w:pos="3196"/>
          <w:tab w:val="left" w:pos="3916"/>
          <w:tab w:val="left" w:pos="4211"/>
          <w:tab w:val="left" w:pos="4288"/>
          <w:tab w:val="left" w:pos="4871"/>
          <w:tab w:val="left" w:pos="5171"/>
          <w:tab w:val="left" w:pos="5591"/>
          <w:tab w:val="left" w:pos="5787"/>
          <w:tab w:val="left" w:pos="6752"/>
          <w:tab w:val="left" w:pos="6847"/>
          <w:tab w:val="left" w:pos="8341"/>
          <w:tab w:val="left" w:pos="8939"/>
        </w:tabs>
        <w:kinsoku/>
        <w:wordWrap/>
        <w:overflowPunct/>
        <w:topLinePunct w:val="0"/>
        <w:autoSpaceDE w:val="0"/>
        <w:autoSpaceDN w:val="0"/>
        <w:bidi w:val="0"/>
        <w:adjustRightInd/>
        <w:snapToGrid/>
        <w:spacing w:before="86"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1.第</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标段由</w:t>
      </w:r>
      <w:r>
        <w:rPr>
          <w:rFonts w:hint="eastAsia" w:asciiTheme="minorEastAsia" w:hAnsiTheme="minorEastAsia" w:eastAsiaTheme="minorEastAsia" w:cstheme="minorEastAsia"/>
          <w:spacing w:val="-60"/>
          <w:kern w:val="0"/>
          <w:sz w:val="24"/>
          <w:szCs w:val="24"/>
          <w:highlight w:val="none"/>
          <w:lang w:val="zh-CN" w:bidi="zh-CN"/>
        </w:rPr>
        <w:t xml:space="preserve"> </w:t>
      </w:r>
      <w:r>
        <w:rPr>
          <w:rFonts w:hint="eastAsia" w:asciiTheme="minorEastAsia" w:hAnsiTheme="minorEastAsia" w:eastAsiaTheme="minorEastAsia" w:cstheme="minorEastAsia"/>
          <w:spacing w:val="-2"/>
          <w:kern w:val="0"/>
          <w:sz w:val="24"/>
          <w:szCs w:val="24"/>
          <w:highlight w:val="none"/>
          <w:lang w:val="zh-CN" w:bidi="zh-CN"/>
        </w:rPr>
        <w:t>K</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spacing w:val="-1"/>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至</w:t>
      </w:r>
      <w:r>
        <w:rPr>
          <w:rFonts w:hint="eastAsia" w:asciiTheme="minorEastAsia" w:hAnsiTheme="minorEastAsia" w:eastAsiaTheme="minorEastAsia" w:cstheme="minorEastAsia"/>
          <w:spacing w:val="-60"/>
          <w:kern w:val="0"/>
          <w:sz w:val="24"/>
          <w:szCs w:val="24"/>
          <w:highlight w:val="none"/>
          <w:lang w:val="zh-CN" w:bidi="zh-CN"/>
        </w:rPr>
        <w:t xml:space="preserve"> </w:t>
      </w:r>
      <w:r>
        <w:rPr>
          <w:rFonts w:hint="eastAsia" w:asciiTheme="minorEastAsia" w:hAnsiTheme="minorEastAsia" w:eastAsiaTheme="minorEastAsia" w:cstheme="minorEastAsia"/>
          <w:spacing w:val="1"/>
          <w:kern w:val="0"/>
          <w:sz w:val="24"/>
          <w:szCs w:val="24"/>
          <w:highlight w:val="none"/>
          <w:lang w:val="zh-CN" w:bidi="zh-CN"/>
        </w:rPr>
        <w:t>K</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spacing w:val="-99"/>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长</w:t>
      </w:r>
      <w:r>
        <w:rPr>
          <w:rFonts w:hint="eastAsia" w:asciiTheme="minorEastAsia" w:hAnsiTheme="minorEastAsia" w:eastAsiaTheme="minorEastAsia" w:cstheme="minorEastAsia"/>
          <w:spacing w:val="-1"/>
          <w:kern w:val="0"/>
          <w:sz w:val="24"/>
          <w:szCs w:val="24"/>
          <w:highlight w:val="none"/>
          <w:lang w:val="zh-CN" w:bidi="zh-CN"/>
        </w:rPr>
        <w:t>约</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 xml:space="preserve"> km</w:t>
      </w:r>
      <w:r>
        <w:rPr>
          <w:rFonts w:hint="eastAsia" w:asciiTheme="minorEastAsia" w:hAnsiTheme="minorEastAsia" w:eastAsiaTheme="minorEastAsia" w:cstheme="minorEastAsia"/>
          <w:spacing w:val="-101"/>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公路等级为</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，设计时速为</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spacing w:val="-8"/>
          <w:kern w:val="0"/>
          <w:sz w:val="24"/>
          <w:szCs w:val="24"/>
          <w:highlight w:val="none"/>
          <w:lang w:val="zh-CN" w:bidi="zh-CN"/>
        </w:rPr>
        <w:t>，</w:t>
      </w:r>
      <w:r>
        <w:rPr>
          <w:rFonts w:hint="eastAsia" w:asciiTheme="minorEastAsia" w:hAnsiTheme="minorEastAsia" w:eastAsiaTheme="minorEastAsia" w:cstheme="minorEastAsia"/>
          <w:spacing w:val="-8"/>
          <w:kern w:val="0"/>
          <w:sz w:val="24"/>
          <w:szCs w:val="24"/>
          <w:highlight w:val="none"/>
          <w:u w:val="single"/>
          <w:lang w:val="zh-CN" w:bidi="zh-CN"/>
        </w:rPr>
        <w:t xml:space="preserve"> </w:t>
      </w:r>
      <w:r>
        <w:rPr>
          <w:rFonts w:hint="eastAsia" w:asciiTheme="minorEastAsia" w:hAnsiTheme="minorEastAsia" w:eastAsiaTheme="minorEastAsia" w:cstheme="minorEastAsia"/>
          <w:spacing w:val="-8"/>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路面</w:t>
      </w:r>
      <w:r>
        <w:rPr>
          <w:rFonts w:hint="eastAsia" w:asciiTheme="minorEastAsia" w:hAnsiTheme="minorEastAsia" w:eastAsiaTheme="minorEastAsia" w:cstheme="minorEastAsia"/>
          <w:spacing w:val="-5"/>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有</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立交</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处</w:t>
      </w:r>
      <w:r>
        <w:rPr>
          <w:rFonts w:hint="eastAsia" w:asciiTheme="minorEastAsia" w:hAnsiTheme="minorEastAsia" w:eastAsiaTheme="minorEastAsia" w:cstheme="minorEastAsia"/>
          <w:spacing w:val="-5"/>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特大桥</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座</w:t>
      </w:r>
      <w:r>
        <w:rPr>
          <w:rFonts w:hint="eastAsia" w:asciiTheme="minorEastAsia" w:hAnsiTheme="minorEastAsia" w:eastAsiaTheme="minorEastAsia" w:cstheme="minorEastAsia"/>
          <w:spacing w:val="-8"/>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计长</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spacing w:val="-4"/>
          <w:kern w:val="0"/>
          <w:sz w:val="24"/>
          <w:szCs w:val="24"/>
          <w:highlight w:val="none"/>
          <w:lang w:val="zh-CN" w:bidi="zh-CN"/>
        </w:rPr>
        <w:t>m；</w:t>
      </w:r>
      <w:r>
        <w:rPr>
          <w:rFonts w:hint="eastAsia" w:asciiTheme="minorEastAsia" w:hAnsiTheme="minorEastAsia" w:eastAsiaTheme="minorEastAsia" w:cstheme="minorEastAsia"/>
          <w:kern w:val="0"/>
          <w:sz w:val="24"/>
          <w:szCs w:val="24"/>
          <w:highlight w:val="none"/>
          <w:lang w:val="zh-CN" w:bidi="zh-CN"/>
        </w:rPr>
        <w:t>大中桥</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座，计长</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m；隧道</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座，计长</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lang w:val="zh-CN" w:bidi="zh-CN"/>
        </w:rPr>
        <w:t>m 以及其他构造物工程等。</w:t>
      </w:r>
    </w:p>
    <w:p w14:paraId="27ECE107">
      <w:pPr>
        <w:pageBreakBefore w:val="0"/>
        <w:tabs>
          <w:tab w:val="left" w:pos="1164"/>
        </w:tabs>
        <w:kinsoku/>
        <w:wordWrap/>
        <w:overflowPunct/>
        <w:topLinePunct w:val="0"/>
        <w:autoSpaceDE w:val="0"/>
        <w:autoSpaceDN w:val="0"/>
        <w:bidi w:val="0"/>
        <w:adjustRightInd/>
        <w:snapToGrid/>
        <w:spacing w:before="4" w:line="320" w:lineRule="exact"/>
        <w:ind w:left="80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2.下列文件应视为构成合同文件的组成部分：</w:t>
      </w:r>
    </w:p>
    <w:p w14:paraId="46D9D9F5">
      <w:pPr>
        <w:pageBreakBefore w:val="0"/>
        <w:kinsoku/>
        <w:wordWrap/>
        <w:overflowPunct/>
        <w:topLinePunct w:val="0"/>
        <w:autoSpaceDE w:val="0"/>
        <w:autoSpaceDN w:val="0"/>
        <w:bidi w:val="0"/>
        <w:adjustRightInd/>
        <w:snapToGrid/>
        <w:spacing w:before="101"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（1）合同协议书及各种合同附件（含评标期间和合同谈判过程中的澄清文件和补充资料）；</w:t>
      </w:r>
    </w:p>
    <w:p w14:paraId="78203538">
      <w:pPr>
        <w:pageBreakBefore w:val="0"/>
        <w:kinsoku/>
        <w:wordWrap/>
        <w:overflowPunct/>
        <w:topLinePunct w:val="0"/>
        <w:autoSpaceDE w:val="0"/>
        <w:autoSpaceDN w:val="0"/>
        <w:bidi w:val="0"/>
        <w:adjustRightInd/>
        <w:snapToGrid/>
        <w:spacing w:before="101"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（2）中标通知书；</w:t>
      </w:r>
    </w:p>
    <w:p w14:paraId="582DDE73">
      <w:pPr>
        <w:pageBreakBefore w:val="0"/>
        <w:kinsoku/>
        <w:wordWrap/>
        <w:overflowPunct/>
        <w:topLinePunct w:val="0"/>
        <w:autoSpaceDE w:val="0"/>
        <w:autoSpaceDN w:val="0"/>
        <w:bidi w:val="0"/>
        <w:adjustRightInd/>
        <w:snapToGrid/>
        <w:spacing w:before="101"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（3）投标函及投标函附录；</w:t>
      </w:r>
    </w:p>
    <w:p w14:paraId="79FCCD2D">
      <w:pPr>
        <w:pageBreakBefore w:val="0"/>
        <w:kinsoku/>
        <w:wordWrap/>
        <w:overflowPunct/>
        <w:topLinePunct w:val="0"/>
        <w:autoSpaceDE w:val="0"/>
        <w:autoSpaceDN w:val="0"/>
        <w:bidi w:val="0"/>
        <w:adjustRightInd/>
        <w:snapToGrid/>
        <w:spacing w:before="101"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（4）专用合同条款；</w:t>
      </w:r>
    </w:p>
    <w:p w14:paraId="30AF36D4">
      <w:pPr>
        <w:pageBreakBefore w:val="0"/>
        <w:kinsoku/>
        <w:wordWrap/>
        <w:overflowPunct/>
        <w:topLinePunct w:val="0"/>
        <w:autoSpaceDE w:val="0"/>
        <w:autoSpaceDN w:val="0"/>
        <w:bidi w:val="0"/>
        <w:adjustRightInd/>
        <w:snapToGrid/>
        <w:spacing w:before="101"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（5）通用合同条款；</w:t>
      </w:r>
    </w:p>
    <w:p w14:paraId="2CEDDB7A">
      <w:pPr>
        <w:pageBreakBefore w:val="0"/>
        <w:kinsoku/>
        <w:wordWrap/>
        <w:overflowPunct/>
        <w:topLinePunct w:val="0"/>
        <w:autoSpaceDE w:val="0"/>
        <w:autoSpaceDN w:val="0"/>
        <w:bidi w:val="0"/>
        <w:adjustRightInd/>
        <w:snapToGrid/>
        <w:spacing w:before="101"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（6）工程量清单计量规则；</w:t>
      </w:r>
    </w:p>
    <w:p w14:paraId="7D59BDED">
      <w:pPr>
        <w:pageBreakBefore w:val="0"/>
        <w:kinsoku/>
        <w:wordWrap/>
        <w:overflowPunct/>
        <w:topLinePunct w:val="0"/>
        <w:autoSpaceDE w:val="0"/>
        <w:autoSpaceDN w:val="0"/>
        <w:bidi w:val="0"/>
        <w:adjustRightInd/>
        <w:snapToGrid/>
        <w:spacing w:before="101"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（7）技术规范；</w:t>
      </w:r>
    </w:p>
    <w:p w14:paraId="34F6E18C">
      <w:pPr>
        <w:pageBreakBefore w:val="0"/>
        <w:kinsoku/>
        <w:wordWrap/>
        <w:overflowPunct/>
        <w:topLinePunct w:val="0"/>
        <w:autoSpaceDE w:val="0"/>
        <w:autoSpaceDN w:val="0"/>
        <w:bidi w:val="0"/>
        <w:adjustRightInd/>
        <w:snapToGrid/>
        <w:spacing w:before="101"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（8）图纸；</w:t>
      </w:r>
    </w:p>
    <w:p w14:paraId="3189C42C">
      <w:pPr>
        <w:pageBreakBefore w:val="0"/>
        <w:kinsoku/>
        <w:wordWrap/>
        <w:overflowPunct/>
        <w:topLinePunct w:val="0"/>
        <w:autoSpaceDE w:val="0"/>
        <w:autoSpaceDN w:val="0"/>
        <w:bidi w:val="0"/>
        <w:adjustRightInd/>
        <w:snapToGrid/>
        <w:spacing w:before="101"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（9）已标价工程量清单；</w:t>
      </w:r>
    </w:p>
    <w:p w14:paraId="06FFF5FD">
      <w:pPr>
        <w:pageBreakBefore w:val="0"/>
        <w:kinsoku/>
        <w:wordWrap/>
        <w:overflowPunct/>
        <w:topLinePunct w:val="0"/>
        <w:autoSpaceDE w:val="0"/>
        <w:autoSpaceDN w:val="0"/>
        <w:bidi w:val="0"/>
        <w:adjustRightInd/>
        <w:snapToGrid/>
        <w:spacing w:before="101"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（10）承包人有关人员、设备投入的承诺及投标文件中的施工组织设计；</w:t>
      </w:r>
    </w:p>
    <w:p w14:paraId="729DFBC5">
      <w:pPr>
        <w:pageBreakBefore w:val="0"/>
        <w:kinsoku/>
        <w:wordWrap/>
        <w:overflowPunct/>
        <w:topLinePunct w:val="0"/>
        <w:autoSpaceDE w:val="0"/>
        <w:autoSpaceDN w:val="0"/>
        <w:bidi w:val="0"/>
        <w:adjustRightInd/>
        <w:snapToGrid/>
        <w:spacing w:before="101"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（11）其他合同文件。</w:t>
      </w:r>
    </w:p>
    <w:p w14:paraId="722D7A48">
      <w:pPr>
        <w:pageBreakBefore w:val="0"/>
        <w:tabs>
          <w:tab w:val="left" w:pos="1164"/>
        </w:tabs>
        <w:kinsoku/>
        <w:wordWrap/>
        <w:overflowPunct/>
        <w:topLinePunct w:val="0"/>
        <w:autoSpaceDE w:val="0"/>
        <w:autoSpaceDN w:val="0"/>
        <w:bidi w:val="0"/>
        <w:adjustRightInd/>
        <w:snapToGrid/>
        <w:spacing w:line="320" w:lineRule="exact"/>
        <w:ind w:left="802" w:right="46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2"/>
          <w:kern w:val="0"/>
          <w:sz w:val="24"/>
          <w:szCs w:val="24"/>
          <w:highlight w:val="none"/>
          <w:lang w:val="zh-CN" w:bidi="zh-CN"/>
        </w:rPr>
        <w:t>3.上述文件互相补充和解释，如有不明确或不一致之处，以合同约定次序在先者为准。</w:t>
      </w:r>
    </w:p>
    <w:p w14:paraId="59E2A35B">
      <w:pPr>
        <w:pageBreakBefore w:val="0"/>
        <w:tabs>
          <w:tab w:val="left" w:pos="1164"/>
        </w:tabs>
        <w:kinsoku/>
        <w:wordWrap/>
        <w:overflowPunct/>
        <w:topLinePunct w:val="0"/>
        <w:autoSpaceDE w:val="0"/>
        <w:autoSpaceDN w:val="0"/>
        <w:bidi w:val="0"/>
        <w:adjustRightInd/>
        <w:snapToGrid/>
        <w:spacing w:before="2" w:line="320" w:lineRule="exact"/>
        <w:ind w:left="804"/>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
          <w:kern w:val="0"/>
          <w:sz w:val="24"/>
          <w:szCs w:val="24"/>
          <w:highlight w:val="none"/>
          <w:lang w:val="zh-CN" w:bidi="zh-CN"/>
        </w:rPr>
        <w:t>4.根据工程量清单所列的预计数量和单价或总额价计算的签约合同价：人民币</w:t>
      </w:r>
    </w:p>
    <w:p w14:paraId="2237D1EA">
      <w:pPr>
        <w:pageBreakBefore w:val="0"/>
        <w:tabs>
          <w:tab w:val="left" w:pos="2462"/>
          <w:tab w:val="left" w:pos="4463"/>
        </w:tabs>
        <w:kinsoku/>
        <w:wordWrap/>
        <w:overflowPunct/>
        <w:topLinePunct w:val="0"/>
        <w:autoSpaceDE w:val="0"/>
        <w:autoSpaceDN w:val="0"/>
        <w:bidi w:val="0"/>
        <w:adjustRightInd/>
        <w:snapToGrid/>
        <w:spacing w:before="86" w:line="320" w:lineRule="exact"/>
        <w:ind w:left="384"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(大写)</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元(￥</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w:t>
      </w:r>
    </w:p>
    <w:p w14:paraId="2372727A">
      <w:pPr>
        <w:pageBreakBefore w:val="0"/>
        <w:tabs>
          <w:tab w:val="left" w:pos="1164"/>
          <w:tab w:val="left" w:pos="4523"/>
          <w:tab w:val="left" w:pos="8123"/>
        </w:tabs>
        <w:kinsoku/>
        <w:wordWrap/>
        <w:overflowPunct/>
        <w:topLinePunct w:val="0"/>
        <w:autoSpaceDE w:val="0"/>
        <w:autoSpaceDN w:val="0"/>
        <w:bidi w:val="0"/>
        <w:adjustRightInd/>
        <w:snapToGrid/>
        <w:spacing w:before="84" w:line="320" w:lineRule="exact"/>
        <w:ind w:left="80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5.承包人项目经理：</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。承包人项目总工：</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w:t>
      </w:r>
    </w:p>
    <w:p w14:paraId="74DADAEE">
      <w:pPr>
        <w:pageBreakBefore w:val="0"/>
        <w:tabs>
          <w:tab w:val="left" w:pos="1164"/>
          <w:tab w:val="left" w:pos="4523"/>
          <w:tab w:val="left" w:pos="8123"/>
        </w:tabs>
        <w:kinsoku/>
        <w:wordWrap/>
        <w:overflowPunct/>
        <w:topLinePunct w:val="0"/>
        <w:autoSpaceDE w:val="0"/>
        <w:autoSpaceDN w:val="0"/>
        <w:bidi w:val="0"/>
        <w:adjustRightInd/>
        <w:snapToGrid/>
        <w:spacing w:before="84" w:line="320" w:lineRule="exact"/>
        <w:ind w:left="80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 xml:space="preserve">6.工程质量符合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标准。工程安全目标：</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w:t>
      </w:r>
    </w:p>
    <w:p w14:paraId="2E47F5D4">
      <w:pPr>
        <w:pageBreakBefore w:val="0"/>
        <w:tabs>
          <w:tab w:val="left" w:pos="1164"/>
          <w:tab w:val="left" w:pos="4523"/>
          <w:tab w:val="left" w:pos="8123"/>
        </w:tabs>
        <w:kinsoku/>
        <w:wordWrap/>
        <w:overflowPunct/>
        <w:topLinePunct w:val="0"/>
        <w:autoSpaceDE w:val="0"/>
        <w:autoSpaceDN w:val="0"/>
        <w:bidi w:val="0"/>
        <w:adjustRightInd/>
        <w:snapToGrid/>
        <w:spacing w:before="84" w:line="320" w:lineRule="exact"/>
        <w:ind w:left="80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7.承包人承诺按合同约定承担工程的实施、完成及缺陷修复。</w:t>
      </w:r>
    </w:p>
    <w:p w14:paraId="29AEE2E9">
      <w:pPr>
        <w:pageBreakBefore w:val="0"/>
        <w:tabs>
          <w:tab w:val="left" w:pos="1164"/>
          <w:tab w:val="left" w:pos="4523"/>
          <w:tab w:val="left" w:pos="8123"/>
        </w:tabs>
        <w:kinsoku/>
        <w:wordWrap/>
        <w:overflowPunct/>
        <w:topLinePunct w:val="0"/>
        <w:autoSpaceDE w:val="0"/>
        <w:autoSpaceDN w:val="0"/>
        <w:bidi w:val="0"/>
        <w:adjustRightInd/>
        <w:snapToGrid/>
        <w:spacing w:before="84" w:line="320" w:lineRule="exact"/>
        <w:ind w:left="80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8.发包人承诺按合同约定的条件、时间和方式向承包人支付合同价款。</w:t>
      </w:r>
    </w:p>
    <w:p w14:paraId="3F3B4758">
      <w:pPr>
        <w:pageBreakBefore w:val="0"/>
        <w:tabs>
          <w:tab w:val="left" w:pos="1164"/>
          <w:tab w:val="left" w:pos="4523"/>
          <w:tab w:val="left" w:pos="7490"/>
        </w:tabs>
        <w:kinsoku/>
        <w:wordWrap/>
        <w:overflowPunct/>
        <w:topLinePunct w:val="0"/>
        <w:autoSpaceDE w:val="0"/>
        <w:autoSpaceDN w:val="0"/>
        <w:bidi w:val="0"/>
        <w:adjustRightInd/>
        <w:snapToGrid/>
        <w:spacing w:before="84" w:line="320" w:lineRule="exact"/>
        <w:ind w:left="80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 xml:space="preserve">9.承包人应按照监理人指示开工，工期为 </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lang w:val="zh-CN" w:bidi="zh-CN"/>
        </w:rPr>
        <w:t>日历天。</w:t>
      </w:r>
    </w:p>
    <w:p w14:paraId="3CBE4621">
      <w:pPr>
        <w:pageBreakBefore w:val="0"/>
        <w:tabs>
          <w:tab w:val="left" w:pos="1164"/>
          <w:tab w:val="left" w:pos="4523"/>
          <w:tab w:val="left" w:pos="8123"/>
        </w:tabs>
        <w:kinsoku/>
        <w:wordWrap/>
        <w:overflowPunct/>
        <w:topLinePunct w:val="0"/>
        <w:autoSpaceDE w:val="0"/>
        <w:autoSpaceDN w:val="0"/>
        <w:bidi w:val="0"/>
        <w:adjustRightInd/>
        <w:snapToGrid/>
        <w:spacing w:before="84" w:line="320" w:lineRule="exact"/>
        <w:ind w:left="806"/>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519A2E52">
      <w:pPr>
        <w:pageBreakBefore w:val="0"/>
        <w:tabs>
          <w:tab w:val="left" w:pos="1164"/>
          <w:tab w:val="left" w:pos="4523"/>
          <w:tab w:val="left" w:pos="8123"/>
        </w:tabs>
        <w:kinsoku/>
        <w:wordWrap/>
        <w:overflowPunct/>
        <w:topLinePunct w:val="0"/>
        <w:autoSpaceDE w:val="0"/>
        <w:autoSpaceDN w:val="0"/>
        <w:bidi w:val="0"/>
        <w:adjustRightInd/>
        <w:snapToGrid/>
        <w:spacing w:before="84" w:line="320" w:lineRule="exact"/>
        <w:ind w:left="80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10.本协议书在承包人提供履约保证金后，由双方法定代表人或其委托代理人签署并加盖单位章后生效。全部工程完工后经交工验收合格、缺陷责任期满签发缺陷责任终止证书后失效。</w:t>
      </w:r>
    </w:p>
    <w:p w14:paraId="078A14A3">
      <w:pPr>
        <w:pageBreakBefore w:val="0"/>
        <w:tabs>
          <w:tab w:val="left" w:pos="1164"/>
          <w:tab w:val="left" w:pos="4523"/>
          <w:tab w:val="left" w:pos="8123"/>
        </w:tabs>
        <w:kinsoku/>
        <w:wordWrap/>
        <w:overflowPunct/>
        <w:topLinePunct w:val="0"/>
        <w:autoSpaceDE w:val="0"/>
        <w:autoSpaceDN w:val="0"/>
        <w:bidi w:val="0"/>
        <w:adjustRightInd/>
        <w:snapToGrid/>
        <w:spacing w:before="84" w:line="320" w:lineRule="exact"/>
        <w:ind w:left="80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11.本协议书正本二份、副本   份，合同双方各执正本一份，副本   份，当正本与副本的内容不一致时，以正本为准。</w:t>
      </w:r>
    </w:p>
    <w:p w14:paraId="6F309809">
      <w:pPr>
        <w:pageBreakBefore w:val="0"/>
        <w:tabs>
          <w:tab w:val="left" w:pos="1164"/>
          <w:tab w:val="left" w:pos="4523"/>
          <w:tab w:val="left" w:pos="8123"/>
        </w:tabs>
        <w:kinsoku/>
        <w:wordWrap/>
        <w:overflowPunct/>
        <w:topLinePunct w:val="0"/>
        <w:autoSpaceDE w:val="0"/>
        <w:autoSpaceDN w:val="0"/>
        <w:bidi w:val="0"/>
        <w:adjustRightInd/>
        <w:snapToGrid/>
        <w:spacing w:before="84" w:line="320" w:lineRule="exact"/>
        <w:ind w:left="80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12.合同未尽事宜，双方另行签订补充协议。补充协议是合同的组成部分。</w:t>
      </w:r>
    </w:p>
    <w:p w14:paraId="65E7F581">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7F558E30">
      <w:pPr>
        <w:pageBreakBefore w:val="0"/>
        <w:tabs>
          <w:tab w:val="left" w:pos="3503"/>
          <w:tab w:val="left" w:pos="5063"/>
          <w:tab w:val="left" w:pos="5102"/>
          <w:tab w:val="left" w:pos="7742"/>
        </w:tabs>
        <w:kinsoku/>
        <w:wordWrap/>
        <w:overflowPunct/>
        <w:topLinePunct w:val="0"/>
        <w:autoSpaceDE w:val="0"/>
        <w:autoSpaceDN w:val="0"/>
        <w:bidi w:val="0"/>
        <w:adjustRightInd/>
        <w:snapToGrid/>
        <w:spacing w:line="320" w:lineRule="exact"/>
        <w:ind w:left="864" w:right="661"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发包人：</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(盖单位章)</w:t>
      </w:r>
      <w:r>
        <w:rPr>
          <w:rFonts w:hint="eastAsia" w:asciiTheme="minorEastAsia" w:hAnsiTheme="minorEastAsia" w:eastAsiaTheme="minorEastAsia" w:cstheme="minorEastAsia"/>
          <w:kern w:val="0"/>
          <w:sz w:val="24"/>
          <w:szCs w:val="24"/>
          <w:highlight w:val="none"/>
          <w:lang w:val="zh-CN" w:bidi="zh-CN"/>
        </w:rPr>
        <w:tab/>
      </w:r>
      <w:r>
        <w:rPr>
          <w:rFonts w:hint="eastAsia" w:asciiTheme="minorEastAsia" w:hAnsiTheme="minorEastAsia" w:eastAsiaTheme="minorEastAsia" w:cstheme="minorEastAsia"/>
          <w:kern w:val="0"/>
          <w:sz w:val="24"/>
          <w:szCs w:val="24"/>
          <w:highlight w:val="none"/>
          <w:lang w:val="zh-CN" w:bidi="zh-CN"/>
        </w:rPr>
        <w:tab/>
      </w:r>
      <w:r>
        <w:rPr>
          <w:rFonts w:hint="eastAsia" w:asciiTheme="minorEastAsia" w:hAnsiTheme="minorEastAsia" w:eastAsiaTheme="minorEastAsia" w:cstheme="minorEastAsia"/>
          <w:kern w:val="0"/>
          <w:sz w:val="24"/>
          <w:szCs w:val="24"/>
          <w:highlight w:val="none"/>
          <w:lang w:val="zh-CN" w:bidi="zh-CN"/>
        </w:rPr>
        <w:t>承包人：</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 xml:space="preserve">(盖单位章) </w:t>
      </w:r>
    </w:p>
    <w:p w14:paraId="25631E1F">
      <w:pPr>
        <w:pageBreakBefore w:val="0"/>
        <w:tabs>
          <w:tab w:val="left" w:pos="3503"/>
          <w:tab w:val="left" w:pos="5063"/>
          <w:tab w:val="left" w:pos="5102"/>
          <w:tab w:val="left" w:pos="7742"/>
        </w:tabs>
        <w:kinsoku/>
        <w:wordWrap/>
        <w:overflowPunct/>
        <w:topLinePunct w:val="0"/>
        <w:autoSpaceDE w:val="0"/>
        <w:autoSpaceDN w:val="0"/>
        <w:bidi w:val="0"/>
        <w:adjustRightInd/>
        <w:snapToGrid/>
        <w:spacing w:line="320" w:lineRule="exact"/>
        <w:ind w:left="864" w:right="661"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法定代表人</w:t>
      </w:r>
      <w:r>
        <w:rPr>
          <w:rFonts w:hint="eastAsia" w:asciiTheme="minorEastAsia" w:hAnsiTheme="minorEastAsia" w:eastAsiaTheme="minorEastAsia" w:cstheme="minorEastAsia"/>
          <w:kern w:val="0"/>
          <w:sz w:val="24"/>
          <w:szCs w:val="24"/>
          <w:highlight w:val="none"/>
          <w:lang w:val="zh-CN" w:bidi="zh-CN"/>
        </w:rPr>
        <w:tab/>
      </w:r>
      <w:r>
        <w:rPr>
          <w:rFonts w:hint="eastAsia" w:asciiTheme="minorEastAsia" w:hAnsiTheme="minorEastAsia" w:eastAsiaTheme="minorEastAsia" w:cstheme="minorEastAsia"/>
          <w:kern w:val="0"/>
          <w:sz w:val="24"/>
          <w:szCs w:val="24"/>
          <w:highlight w:val="none"/>
          <w:lang w:val="zh-CN" w:bidi="zh-CN"/>
        </w:rPr>
        <w:tab/>
      </w:r>
      <w:r>
        <w:rPr>
          <w:rFonts w:hint="eastAsia" w:asciiTheme="minorEastAsia" w:hAnsiTheme="minorEastAsia" w:eastAsiaTheme="minorEastAsia" w:cstheme="minorEastAsia"/>
          <w:kern w:val="0"/>
          <w:sz w:val="24"/>
          <w:szCs w:val="24"/>
          <w:highlight w:val="none"/>
          <w:lang w:val="zh-CN" w:bidi="zh-CN"/>
        </w:rPr>
        <w:t>法定代表人</w:t>
      </w:r>
    </w:p>
    <w:p w14:paraId="1FF30848">
      <w:pPr>
        <w:pageBreakBefore w:val="0"/>
        <w:tabs>
          <w:tab w:val="left" w:pos="3503"/>
          <w:tab w:val="left" w:pos="5102"/>
          <w:tab w:val="left" w:pos="7742"/>
        </w:tabs>
        <w:kinsoku/>
        <w:wordWrap/>
        <w:overflowPunct/>
        <w:topLinePunct w:val="0"/>
        <w:autoSpaceDE w:val="0"/>
        <w:autoSpaceDN w:val="0"/>
        <w:bidi w:val="0"/>
        <w:adjustRightInd/>
        <w:snapToGrid/>
        <w:spacing w:line="320" w:lineRule="exact"/>
        <w:ind w:left="864"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或其委托代理人：</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(签字)</w:t>
      </w:r>
      <w:r>
        <w:rPr>
          <w:rFonts w:hint="eastAsia" w:asciiTheme="minorEastAsia" w:hAnsiTheme="minorEastAsia" w:eastAsiaTheme="minorEastAsia" w:cstheme="minorEastAsia"/>
          <w:kern w:val="0"/>
          <w:sz w:val="24"/>
          <w:szCs w:val="24"/>
          <w:highlight w:val="none"/>
          <w:lang w:val="zh-CN" w:bidi="zh-CN"/>
        </w:rPr>
        <w:tab/>
      </w:r>
      <w:r>
        <w:rPr>
          <w:rFonts w:hint="eastAsia" w:asciiTheme="minorEastAsia" w:hAnsiTheme="minorEastAsia" w:eastAsiaTheme="minorEastAsia" w:cstheme="minorEastAsia"/>
          <w:kern w:val="0"/>
          <w:sz w:val="24"/>
          <w:szCs w:val="24"/>
          <w:highlight w:val="none"/>
          <w:lang w:val="zh-CN" w:bidi="zh-CN"/>
        </w:rPr>
        <w:t>或其委托代理人：</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(签字)</w:t>
      </w:r>
    </w:p>
    <w:p w14:paraId="630FF77F">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03179DBC">
      <w:pPr>
        <w:pageBreakBefore w:val="0"/>
        <w:kinsoku/>
        <w:wordWrap/>
        <w:overflowPunct/>
        <w:topLinePunct w:val="0"/>
        <w:autoSpaceDE w:val="0"/>
        <w:autoSpaceDN w:val="0"/>
        <w:bidi w:val="0"/>
        <w:adjustRightInd/>
        <w:snapToGrid/>
        <w:spacing w:before="8"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4197B4E9">
      <w:pPr>
        <w:pageBreakBefore w:val="0"/>
        <w:tabs>
          <w:tab w:val="left" w:pos="2543"/>
          <w:tab w:val="left" w:pos="3263"/>
          <w:tab w:val="left" w:pos="3983"/>
          <w:tab w:val="left" w:pos="6143"/>
          <w:tab w:val="left" w:pos="7103"/>
          <w:tab w:val="left" w:pos="7823"/>
          <w:tab w:val="left" w:pos="8543"/>
        </w:tabs>
        <w:kinsoku/>
        <w:wordWrap/>
        <w:overflowPunct/>
        <w:topLinePunct w:val="0"/>
        <w:autoSpaceDE w:val="0"/>
        <w:autoSpaceDN w:val="0"/>
        <w:bidi w:val="0"/>
        <w:adjustRightInd/>
        <w:snapToGrid/>
        <w:spacing w:before="67" w:line="320" w:lineRule="exact"/>
        <w:ind w:left="1583"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年</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月</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日</w:t>
      </w:r>
      <w:r>
        <w:rPr>
          <w:rFonts w:hint="eastAsia" w:asciiTheme="minorEastAsia" w:hAnsiTheme="minorEastAsia" w:eastAsiaTheme="minorEastAsia" w:cstheme="minorEastAsia"/>
          <w:kern w:val="0"/>
          <w:sz w:val="24"/>
          <w:szCs w:val="24"/>
          <w:highlight w:val="none"/>
          <w:lang w:val="zh-CN" w:bidi="zh-CN"/>
        </w:rPr>
        <w:tab/>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年</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月</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日</w:t>
      </w:r>
    </w:p>
    <w:p w14:paraId="03C5FA32">
      <w:pPr>
        <w:pageBreakBefore w:val="0"/>
        <w:kinsoku/>
        <w:wordWrap/>
        <w:overflowPunct/>
        <w:topLinePunct w:val="0"/>
        <w:autoSpaceDE w:val="0"/>
        <w:autoSpaceDN w:val="0"/>
        <w:bidi w:val="0"/>
        <w:adjustRightInd/>
        <w:snapToGrid/>
        <w:spacing w:before="10"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0603629B">
      <w:pPr>
        <w:pageBreakBefore w:val="0"/>
        <w:widowControl/>
        <w:kinsoku/>
        <w:wordWrap/>
        <w:overflowPunct/>
        <w:topLinePunct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br w:type="page"/>
      </w:r>
    </w:p>
    <w:p w14:paraId="65CF0222">
      <w:pPr>
        <w:pageBreakBefore w:val="0"/>
        <w:kinsoku/>
        <w:wordWrap/>
        <w:overflowPunct/>
        <w:topLinePunct w:val="0"/>
        <w:autoSpaceDE w:val="0"/>
        <w:autoSpaceDN w:val="0"/>
        <w:bidi w:val="0"/>
        <w:adjustRightInd/>
        <w:snapToGrid/>
        <w:spacing w:line="320" w:lineRule="exact"/>
        <w:ind w:firstLine="482"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bookmarkStart w:id="417" w:name="_Toc256000048"/>
      <w:r>
        <w:rPr>
          <w:rFonts w:hint="eastAsia" w:asciiTheme="minorEastAsia" w:hAnsiTheme="minorEastAsia" w:eastAsiaTheme="minorEastAsia" w:cstheme="minorEastAsia"/>
          <w:b/>
          <w:bCs/>
          <w:kern w:val="0"/>
          <w:sz w:val="24"/>
          <w:szCs w:val="24"/>
          <w:highlight w:val="none"/>
          <w:lang w:val="zh-CN" w:bidi="zh-CN"/>
        </w:rPr>
        <w:t>附件二 廉政合同</w:t>
      </w:r>
      <w:bookmarkEnd w:id="417"/>
    </w:p>
    <w:p w14:paraId="3914010F">
      <w:pPr>
        <w:pageBreakBefore w:val="0"/>
        <w:kinsoku/>
        <w:wordWrap/>
        <w:overflowPunct/>
        <w:topLinePunct w:val="0"/>
        <w:autoSpaceDE w:val="0"/>
        <w:autoSpaceDN w:val="0"/>
        <w:bidi w:val="0"/>
        <w:adjustRightInd/>
        <w:snapToGrid/>
        <w:spacing w:before="1" w:line="320" w:lineRule="exact"/>
        <w:ind w:left="583"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廉 政 合 同</w:t>
      </w:r>
    </w:p>
    <w:p w14:paraId="3A49559E">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1369A22E">
      <w:pPr>
        <w:pageBreakBefore w:val="0"/>
        <w:tabs>
          <w:tab w:val="left" w:pos="2443"/>
          <w:tab w:val="left" w:pos="2783"/>
          <w:tab w:val="left" w:pos="7132"/>
          <w:tab w:val="left" w:pos="8095"/>
        </w:tabs>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u w:val="single"/>
          <w:lang w:val="zh-CN" w:bidi="zh-CN"/>
        </w:rPr>
      </w:pPr>
      <w:r>
        <w:rPr>
          <w:rFonts w:hint="eastAsia" w:asciiTheme="minorEastAsia" w:hAnsiTheme="minorEastAsia" w:eastAsiaTheme="minorEastAsia" w:cstheme="minorEastAsia"/>
          <w:kern w:val="0"/>
          <w:sz w:val="24"/>
          <w:szCs w:val="24"/>
          <w:highlight w:val="none"/>
          <w:lang w:val="zh-CN" w:bidi="zh-CN"/>
        </w:rPr>
        <w:t>根据《关于在交通基础设施建设中加强廉政建设的若干意见》以及有关工程建设</w:t>
      </w:r>
      <w:r>
        <w:rPr>
          <w:rFonts w:hint="eastAsia" w:asciiTheme="minorEastAsia" w:hAnsiTheme="minorEastAsia" w:eastAsiaTheme="minorEastAsia" w:cstheme="minorEastAsia"/>
          <w:spacing w:val="-29"/>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廉政建设的规定</w:t>
      </w:r>
      <w:r>
        <w:rPr>
          <w:rFonts w:hint="eastAsia" w:asciiTheme="minorEastAsia" w:hAnsiTheme="minorEastAsia" w:eastAsiaTheme="minorEastAsia" w:cstheme="minorEastAsia"/>
          <w:spacing w:val="-29"/>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为做好工程建设中的党风廉政建设</w:t>
      </w:r>
      <w:r>
        <w:rPr>
          <w:rFonts w:hint="eastAsia" w:asciiTheme="minorEastAsia" w:hAnsiTheme="minorEastAsia" w:eastAsiaTheme="minorEastAsia" w:cstheme="minorEastAsia"/>
          <w:spacing w:val="-29"/>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保证工程建设高效优质， 保证建设资金的安全和有效使用以及投资效益，</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p>
    <w:p w14:paraId="4BF06B1B">
      <w:pPr>
        <w:pageBreakBefore w:val="0"/>
        <w:tabs>
          <w:tab w:val="left" w:pos="2443"/>
          <w:tab w:val="left" w:pos="2783"/>
          <w:tab w:val="left" w:pos="7132"/>
          <w:tab w:val="left" w:pos="8095"/>
        </w:tabs>
        <w:kinsoku/>
        <w:wordWrap/>
        <w:overflowPunct/>
        <w:topLinePunct w:val="0"/>
        <w:autoSpaceDE w:val="0"/>
        <w:autoSpaceDN w:val="0"/>
        <w:bidi w:val="0"/>
        <w:adjustRightInd/>
        <w:snapToGrid/>
        <w:spacing w:line="320" w:lineRule="exact"/>
        <w:ind w:right="346"/>
        <w:jc w:val="left"/>
        <w:textAlignment w:val="auto"/>
        <w:outlineLvl w:val="9"/>
        <w:rPr>
          <w:rFonts w:hint="eastAsia" w:asciiTheme="minorEastAsia" w:hAnsiTheme="minorEastAsia" w:eastAsiaTheme="minorEastAsia" w:cstheme="minorEastAsia"/>
          <w:kern w:val="0"/>
          <w:sz w:val="24"/>
          <w:szCs w:val="24"/>
          <w:highlight w:val="none"/>
          <w:u w:val="single"/>
          <w:lang w:val="zh-CN" w:bidi="zh-CN"/>
        </w:rPr>
      </w:pPr>
      <w:r>
        <w:rPr>
          <w:rFonts w:hint="eastAsia" w:asciiTheme="minorEastAsia" w:hAnsiTheme="minorEastAsia" w:eastAsiaTheme="minorEastAsia" w:cstheme="minorEastAsia"/>
          <w:kern w:val="0"/>
          <w:sz w:val="24"/>
          <w:szCs w:val="24"/>
          <w:highlight w:val="none"/>
          <w:lang w:val="zh-CN" w:bidi="zh-CN"/>
        </w:rPr>
        <w:t>（项目名称）的项目法人</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（项目法人名称，以下简称“发包人”）与该项目</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标段的施工单位</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ab/>
      </w:r>
    </w:p>
    <w:p w14:paraId="37D90361">
      <w:pPr>
        <w:pageBreakBefore w:val="0"/>
        <w:tabs>
          <w:tab w:val="left" w:pos="2443"/>
          <w:tab w:val="left" w:pos="2783"/>
          <w:tab w:val="left" w:pos="7132"/>
          <w:tab w:val="left" w:pos="8095"/>
        </w:tabs>
        <w:kinsoku/>
        <w:wordWrap/>
        <w:overflowPunct/>
        <w:topLinePunct w:val="0"/>
        <w:autoSpaceDE w:val="0"/>
        <w:autoSpaceDN w:val="0"/>
        <w:bidi w:val="0"/>
        <w:adjustRightInd/>
        <w:snapToGrid/>
        <w:spacing w:line="320" w:lineRule="exact"/>
        <w:ind w:right="34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（施工单位名称，以下简称“承包人”），特订立如下合同。</w:t>
      </w:r>
    </w:p>
    <w:p w14:paraId="5BEF9A21">
      <w:pPr>
        <w:pageBreakBefore w:val="0"/>
        <w:numPr>
          <w:ilvl w:val="0"/>
          <w:numId w:val="20"/>
        </w:numPr>
        <w:tabs>
          <w:tab w:val="left" w:pos="1164"/>
        </w:tabs>
        <w:kinsoku/>
        <w:wordWrap/>
        <w:overflowPunct/>
        <w:topLinePunct w:val="0"/>
        <w:autoSpaceDE w:val="0"/>
        <w:autoSpaceDN w:val="0"/>
        <w:bidi w:val="0"/>
        <w:adjustRightInd/>
        <w:snapToGrid/>
        <w:spacing w:before="3"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发包人和承包人双方的权利和义务</w:t>
      </w:r>
    </w:p>
    <w:p w14:paraId="3E58A566">
      <w:pPr>
        <w:pageBreakBefore w:val="0"/>
        <w:kinsoku/>
        <w:wordWrap/>
        <w:overflowPunct/>
        <w:topLinePunct w:val="0"/>
        <w:autoSpaceDE w:val="0"/>
        <w:autoSpaceDN w:val="0"/>
        <w:bidi w:val="0"/>
        <w:adjustRightInd/>
        <w:snapToGrid/>
        <w:spacing w:line="320" w:lineRule="exact"/>
        <w:ind w:left="384" w:right="466" w:firstLine="456" w:firstLineChars="200"/>
        <w:textAlignment w:val="auto"/>
        <w:outlineLvl w:val="9"/>
        <w:rPr>
          <w:rFonts w:hint="eastAsia" w:asciiTheme="minorEastAsia" w:hAnsiTheme="minorEastAsia" w:eastAsiaTheme="minorEastAsia" w:cstheme="minorEastAsia"/>
          <w:spacing w:val="-6"/>
          <w:kern w:val="0"/>
          <w:sz w:val="24"/>
          <w:szCs w:val="24"/>
          <w:highlight w:val="none"/>
          <w:lang w:val="zh-CN" w:bidi="zh-CN"/>
        </w:rPr>
      </w:pPr>
      <w:r>
        <w:rPr>
          <w:rFonts w:hint="eastAsia" w:asciiTheme="minorEastAsia" w:hAnsiTheme="minorEastAsia" w:eastAsiaTheme="minorEastAsia" w:cstheme="minorEastAsia"/>
          <w:spacing w:val="-6"/>
          <w:kern w:val="0"/>
          <w:sz w:val="24"/>
          <w:szCs w:val="24"/>
          <w:highlight w:val="none"/>
          <w:lang w:val="zh-CN" w:bidi="zh-CN"/>
        </w:rPr>
        <w:t>（1）严格遵守党的政策规定和国家有关法律法规及交通运输部的有关规定。</w:t>
      </w:r>
    </w:p>
    <w:p w14:paraId="284BAAE9">
      <w:pPr>
        <w:pageBreakBefore w:val="0"/>
        <w:tabs>
          <w:tab w:val="left" w:pos="3460"/>
          <w:tab w:val="left" w:pos="5481"/>
        </w:tabs>
        <w:kinsoku/>
        <w:wordWrap/>
        <w:overflowPunct/>
        <w:topLinePunct w:val="0"/>
        <w:autoSpaceDE w:val="0"/>
        <w:autoSpaceDN w:val="0"/>
        <w:bidi w:val="0"/>
        <w:adjustRightInd/>
        <w:snapToGrid/>
        <w:spacing w:before="93" w:line="320" w:lineRule="exact"/>
        <w:ind w:left="384" w:right="466" w:firstLine="448"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8"/>
          <w:kern w:val="0"/>
          <w:sz w:val="24"/>
          <w:szCs w:val="24"/>
          <w:highlight w:val="none"/>
          <w:lang w:val="zh-CN" w:bidi="zh-CN"/>
        </w:rPr>
        <w:t>（2）</w:t>
      </w:r>
      <w:r>
        <w:rPr>
          <w:rFonts w:hint="eastAsia" w:asciiTheme="minorEastAsia" w:hAnsiTheme="minorEastAsia" w:eastAsiaTheme="minorEastAsia" w:cstheme="minorEastAsia"/>
          <w:kern w:val="0"/>
          <w:sz w:val="24"/>
          <w:szCs w:val="24"/>
          <w:highlight w:val="none"/>
          <w:lang w:val="zh-CN" w:bidi="zh-CN"/>
        </w:rPr>
        <w:t>严格执行</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（项目名称</w:t>
      </w:r>
      <w:r>
        <w:rPr>
          <w:rFonts w:hint="eastAsia" w:asciiTheme="minorEastAsia" w:hAnsiTheme="minorEastAsia" w:eastAsiaTheme="minorEastAsia" w:cstheme="minorEastAsia"/>
          <w:spacing w:val="-23"/>
          <w:kern w:val="0"/>
          <w:sz w:val="24"/>
          <w:szCs w:val="24"/>
          <w:highlight w:val="none"/>
          <w:lang w:val="zh-CN" w:bidi="zh-CN"/>
        </w:rPr>
        <w:t>）</w:t>
      </w:r>
      <w:r>
        <w:rPr>
          <w:rFonts w:hint="eastAsia" w:asciiTheme="minorEastAsia" w:hAnsiTheme="minorEastAsia" w:eastAsiaTheme="minorEastAsia" w:cstheme="minorEastAsia"/>
          <w:spacing w:val="-23"/>
          <w:kern w:val="0"/>
          <w:sz w:val="24"/>
          <w:szCs w:val="24"/>
          <w:highlight w:val="none"/>
          <w:u w:val="single"/>
          <w:lang w:val="zh-CN" w:bidi="zh-CN"/>
        </w:rPr>
        <w:t xml:space="preserve"> </w:t>
      </w:r>
      <w:r>
        <w:rPr>
          <w:rFonts w:hint="eastAsia" w:asciiTheme="minorEastAsia" w:hAnsiTheme="minorEastAsia" w:eastAsiaTheme="minorEastAsia" w:cstheme="minorEastAsia"/>
          <w:spacing w:val="-23"/>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标段施工合同文件</w:t>
      </w:r>
      <w:r>
        <w:rPr>
          <w:rFonts w:hint="eastAsia" w:asciiTheme="minorEastAsia" w:hAnsiTheme="minorEastAsia" w:eastAsiaTheme="minorEastAsia" w:cstheme="minorEastAsia"/>
          <w:spacing w:val="-22"/>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自觉按合同办事。</w:t>
      </w:r>
    </w:p>
    <w:p w14:paraId="30D8AF80">
      <w:pPr>
        <w:pageBreakBefore w:val="0"/>
        <w:kinsoku/>
        <w:wordWrap/>
        <w:overflowPunct/>
        <w:topLinePunct w:val="0"/>
        <w:autoSpaceDE w:val="0"/>
        <w:autoSpaceDN w:val="0"/>
        <w:bidi w:val="0"/>
        <w:adjustRightInd/>
        <w:snapToGrid/>
        <w:spacing w:line="320" w:lineRule="exact"/>
        <w:ind w:left="384" w:right="466" w:firstLine="456"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6"/>
          <w:kern w:val="0"/>
          <w:sz w:val="24"/>
          <w:szCs w:val="24"/>
          <w:highlight w:val="none"/>
          <w:lang w:val="zh-CN" w:bidi="zh-CN"/>
        </w:rPr>
        <w:t>（3）</w:t>
      </w:r>
      <w:r>
        <w:rPr>
          <w:rFonts w:hint="eastAsia" w:asciiTheme="minorEastAsia" w:hAnsiTheme="minorEastAsia" w:eastAsiaTheme="minorEastAsia" w:cstheme="minorEastAsia"/>
          <w:spacing w:val="-5"/>
          <w:kern w:val="0"/>
          <w:sz w:val="24"/>
          <w:szCs w:val="24"/>
          <w:highlight w:val="none"/>
          <w:lang w:val="zh-CN" w:bidi="zh-CN"/>
        </w:rPr>
        <w:t>双方的业务活动坚持公开、公正、诚信、透明的原则</w:t>
      </w:r>
      <w:r>
        <w:rPr>
          <w:rFonts w:hint="eastAsia" w:asciiTheme="minorEastAsia" w:hAnsiTheme="minorEastAsia" w:eastAsiaTheme="minorEastAsia" w:cstheme="minorEastAsia"/>
          <w:kern w:val="0"/>
          <w:sz w:val="24"/>
          <w:szCs w:val="24"/>
          <w:highlight w:val="none"/>
          <w:lang w:val="zh-CN" w:bidi="zh-CN"/>
        </w:rPr>
        <w:t>（法律认定的商业秘密和合同文件另有规定除外），不得损害国家和集体利益，不得违反工程建设管理规章制度。</w:t>
      </w:r>
    </w:p>
    <w:p w14:paraId="16E339DD">
      <w:pPr>
        <w:pageBreakBefore w:val="0"/>
        <w:kinsoku/>
        <w:wordWrap/>
        <w:overflowPunct/>
        <w:topLinePunct w:val="0"/>
        <w:autoSpaceDE w:val="0"/>
        <w:autoSpaceDN w:val="0"/>
        <w:bidi w:val="0"/>
        <w:adjustRightInd/>
        <w:snapToGrid/>
        <w:spacing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（4）建立健全廉政制度，开展廉政教育，设立廉政告示牌，公布举报电话，监督并认真查处违法违纪行为。</w:t>
      </w:r>
    </w:p>
    <w:p w14:paraId="33D009B1">
      <w:pPr>
        <w:pageBreakBefore w:val="0"/>
        <w:kinsoku/>
        <w:wordWrap/>
        <w:overflowPunct/>
        <w:topLinePunct w:val="0"/>
        <w:autoSpaceDE w:val="0"/>
        <w:autoSpaceDN w:val="0"/>
        <w:bidi w:val="0"/>
        <w:adjustRightInd/>
        <w:snapToGrid/>
        <w:spacing w:before="2"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（5）发现对方在业务活动中有违反廉政规定的行为，有及时提醒对方纠正的权利和义务。</w:t>
      </w:r>
    </w:p>
    <w:p w14:paraId="26631074">
      <w:pPr>
        <w:pageBreakBefore w:val="0"/>
        <w:kinsoku/>
        <w:wordWrap/>
        <w:overflowPunct/>
        <w:topLinePunct w:val="0"/>
        <w:autoSpaceDE w:val="0"/>
        <w:autoSpaceDN w:val="0"/>
        <w:bidi w:val="0"/>
        <w:adjustRightInd/>
        <w:snapToGrid/>
        <w:spacing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（6）发现对方严重违反本合同义务条款的行为，有向其上级有关部门举报、建议给予处理并要求告知处理结果的权利。</w:t>
      </w:r>
    </w:p>
    <w:p w14:paraId="741F06E8">
      <w:pPr>
        <w:pageBreakBefore w:val="0"/>
        <w:numPr>
          <w:ilvl w:val="0"/>
          <w:numId w:val="20"/>
        </w:numPr>
        <w:tabs>
          <w:tab w:val="left" w:pos="1164"/>
        </w:tabs>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发包人的义务</w:t>
      </w:r>
    </w:p>
    <w:p w14:paraId="19D25B30">
      <w:pPr>
        <w:pageBreakBefore w:val="0"/>
        <w:kinsoku/>
        <w:wordWrap/>
        <w:overflowPunct/>
        <w:topLinePunct w:val="0"/>
        <w:autoSpaceDE w:val="0"/>
        <w:autoSpaceDN w:val="0"/>
        <w:bidi w:val="0"/>
        <w:adjustRightInd/>
        <w:snapToGrid/>
        <w:spacing w:before="93"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w:t>
      </w:r>
      <w:r>
        <w:rPr>
          <w:rFonts w:hint="eastAsia" w:asciiTheme="minorEastAsia" w:hAnsiTheme="minorEastAsia" w:eastAsiaTheme="minorEastAsia" w:cstheme="minorEastAsia"/>
          <w:spacing w:val="-104"/>
          <w:kern w:val="0"/>
          <w:sz w:val="24"/>
          <w:szCs w:val="24"/>
          <w:highlight w:val="none"/>
          <w:lang w:val="zh-CN" w:bidi="zh-CN"/>
        </w:rPr>
        <w:t>）</w:t>
      </w:r>
      <w:r>
        <w:rPr>
          <w:rFonts w:hint="eastAsia" w:asciiTheme="minorEastAsia" w:hAnsiTheme="minorEastAsia" w:eastAsiaTheme="minorEastAsia" w:cstheme="minorEastAsia"/>
          <w:spacing w:val="-5"/>
          <w:kern w:val="0"/>
          <w:sz w:val="24"/>
          <w:szCs w:val="24"/>
          <w:highlight w:val="none"/>
          <w:lang w:val="zh-CN" w:bidi="zh-CN"/>
        </w:rPr>
        <w:t>发包人及其工作人员不得索要或接受承包人的礼金、有价证券和贵重物品，不得让承包人报销任何应由发包人或发包人工作人员个人支付的费用等。</w:t>
      </w:r>
    </w:p>
    <w:p w14:paraId="7F23BD82">
      <w:pPr>
        <w:pageBreakBefore w:val="0"/>
        <w:kinsoku/>
        <w:wordWrap/>
        <w:overflowPunct/>
        <w:topLinePunct w:val="0"/>
        <w:autoSpaceDE w:val="0"/>
        <w:autoSpaceDN w:val="0"/>
        <w:bidi w:val="0"/>
        <w:adjustRightInd/>
        <w:snapToGrid/>
        <w:spacing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（2）发包人工作人员不得参加承包人安排的超标准宴请和娱乐活动；不得接受承包人提供的通信工具、交通工具和高档办公用品等。</w:t>
      </w:r>
    </w:p>
    <w:p w14:paraId="26A81FBA">
      <w:pPr>
        <w:pageBreakBefore w:val="0"/>
        <w:kinsoku/>
        <w:wordWrap/>
        <w:overflowPunct/>
        <w:topLinePunct w:val="0"/>
        <w:autoSpaceDE w:val="0"/>
        <w:autoSpaceDN w:val="0"/>
        <w:bidi w:val="0"/>
        <w:adjustRightInd/>
        <w:snapToGrid/>
        <w:spacing w:before="2"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（3）发包人及其工作人员不得要求或者接受承包人为其住房装修、婚丧嫁娶活动、配偶子女的工作安排以及出国出境、旅游等提供方便等。</w:t>
      </w:r>
    </w:p>
    <w:p w14:paraId="6BE9179C">
      <w:pPr>
        <w:pageBreakBefore w:val="0"/>
        <w:kinsoku/>
        <w:wordWrap/>
        <w:overflowPunct/>
        <w:topLinePunct w:val="0"/>
        <w:autoSpaceDE w:val="0"/>
        <w:autoSpaceDN w:val="0"/>
        <w:bidi w:val="0"/>
        <w:adjustRightInd/>
        <w:snapToGrid/>
        <w:spacing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（4）发包人工作人员及其配偶、子女不得从事与发包人工程有关的材料设备供应、工程分包、劳务等经济活动等。</w:t>
      </w:r>
    </w:p>
    <w:p w14:paraId="0D8181C8">
      <w:pPr>
        <w:pageBreakBefore w:val="0"/>
        <w:kinsoku/>
        <w:wordWrap/>
        <w:overflowPunct/>
        <w:topLinePunct w:val="0"/>
        <w:autoSpaceDE w:val="0"/>
        <w:autoSpaceDN w:val="0"/>
        <w:bidi w:val="0"/>
        <w:adjustRightInd/>
        <w:snapToGrid/>
        <w:spacing w:line="320" w:lineRule="exact"/>
        <w:ind w:left="384" w:right="382"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（5）发包人及其工作人员不得以任何理由向承包人推荐分包单位或推销材料， 不得要求承包人购买合同规定外的材料和设备。</w:t>
      </w:r>
    </w:p>
    <w:p w14:paraId="0C1F2E48">
      <w:pPr>
        <w:pageBreakBefore w:val="0"/>
        <w:kinsoku/>
        <w:wordWrap/>
        <w:overflowPunct/>
        <w:topLinePunct w:val="0"/>
        <w:autoSpaceDE w:val="0"/>
        <w:autoSpaceDN w:val="0"/>
        <w:bidi w:val="0"/>
        <w:adjustRightInd/>
        <w:snapToGrid/>
        <w:spacing w:before="2"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（6）发包人工作人员要秉公办事，不准营私舞弊，不准利用职权从事各种个人有偿中介活动和安排个人施工队伍。</w:t>
      </w:r>
    </w:p>
    <w:p w14:paraId="28540F9E">
      <w:pPr>
        <w:pageBreakBefore w:val="0"/>
        <w:numPr>
          <w:ilvl w:val="0"/>
          <w:numId w:val="20"/>
        </w:numPr>
        <w:tabs>
          <w:tab w:val="left" w:pos="1164"/>
        </w:tabs>
        <w:kinsoku/>
        <w:wordWrap/>
        <w:overflowPunct/>
        <w:topLinePunct w:val="0"/>
        <w:autoSpaceDE w:val="0"/>
        <w:autoSpaceDN w:val="0"/>
        <w:bidi w:val="0"/>
        <w:adjustRightInd/>
        <w:snapToGrid/>
        <w:spacing w:before="74"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承包人的义务</w:t>
      </w:r>
    </w:p>
    <w:p w14:paraId="1D9DE771">
      <w:pPr>
        <w:pageBreakBefore w:val="0"/>
        <w:kinsoku/>
        <w:wordWrap/>
        <w:overflowPunct/>
        <w:topLinePunct w:val="0"/>
        <w:autoSpaceDE w:val="0"/>
        <w:autoSpaceDN w:val="0"/>
        <w:bidi w:val="0"/>
        <w:adjustRightInd/>
        <w:snapToGrid/>
        <w:spacing w:before="93"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w:t>
      </w:r>
      <w:r>
        <w:rPr>
          <w:rFonts w:hint="eastAsia" w:asciiTheme="minorEastAsia" w:hAnsiTheme="minorEastAsia" w:eastAsiaTheme="minorEastAsia" w:cstheme="minorEastAsia"/>
          <w:spacing w:val="-104"/>
          <w:kern w:val="0"/>
          <w:sz w:val="24"/>
          <w:szCs w:val="24"/>
          <w:highlight w:val="none"/>
          <w:lang w:val="zh-CN" w:bidi="zh-CN"/>
        </w:rPr>
        <w:t>）</w:t>
      </w:r>
      <w:r>
        <w:rPr>
          <w:rFonts w:hint="eastAsia" w:asciiTheme="minorEastAsia" w:hAnsiTheme="minorEastAsia" w:eastAsiaTheme="minorEastAsia" w:cstheme="minorEastAsia"/>
          <w:spacing w:val="-4"/>
          <w:kern w:val="0"/>
          <w:sz w:val="24"/>
          <w:szCs w:val="24"/>
          <w:highlight w:val="none"/>
          <w:lang w:val="zh-CN" w:bidi="zh-CN"/>
        </w:rPr>
        <w:t>承包人不得以任何理由向发包人及其工作人员行贿或馈赠礼金、有价证券、贵重礼品。</w:t>
      </w:r>
    </w:p>
    <w:p w14:paraId="24BE19BF">
      <w:pPr>
        <w:pageBreakBefore w:val="0"/>
        <w:kinsoku/>
        <w:wordWrap/>
        <w:overflowPunct/>
        <w:topLinePunct w:val="0"/>
        <w:autoSpaceDE w:val="0"/>
        <w:autoSpaceDN w:val="0"/>
        <w:bidi w:val="0"/>
        <w:adjustRightInd/>
        <w:snapToGrid/>
        <w:spacing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（2）承包人不得以任何名义为发包人及其工作人员报销应由发包人单位或个人支付的任何费用。</w:t>
      </w:r>
    </w:p>
    <w:p w14:paraId="0B7A459E">
      <w:pPr>
        <w:pageBreakBefore w:val="0"/>
        <w:kinsoku/>
        <w:wordWrap/>
        <w:overflowPunct/>
        <w:topLinePunct w:val="0"/>
        <w:autoSpaceDE w:val="0"/>
        <w:autoSpaceDN w:val="0"/>
        <w:bidi w:val="0"/>
        <w:adjustRightInd/>
        <w:snapToGrid/>
        <w:spacing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（3）承包人不得以任何理由安排发包人工作人员参加超标准宴请及娱乐活动。</w:t>
      </w:r>
    </w:p>
    <w:p w14:paraId="4915C8E5">
      <w:pPr>
        <w:pageBreakBefore w:val="0"/>
        <w:kinsoku/>
        <w:wordWrap/>
        <w:overflowPunct/>
        <w:topLinePunct w:val="0"/>
        <w:autoSpaceDE w:val="0"/>
        <w:autoSpaceDN w:val="0"/>
        <w:bidi w:val="0"/>
        <w:adjustRightInd/>
        <w:snapToGrid/>
        <w:spacing w:before="93"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（4）承包人不得为发包人单位和个人购置或提供通信工具、交通工具和高档办公用品等。</w:t>
      </w:r>
    </w:p>
    <w:p w14:paraId="40CCED7B">
      <w:pPr>
        <w:pageBreakBefore w:val="0"/>
        <w:numPr>
          <w:ilvl w:val="0"/>
          <w:numId w:val="20"/>
        </w:numPr>
        <w:tabs>
          <w:tab w:val="left" w:pos="1164"/>
        </w:tabs>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违约责任</w:t>
      </w:r>
    </w:p>
    <w:p w14:paraId="4AA15460">
      <w:pPr>
        <w:pageBreakBefore w:val="0"/>
        <w:kinsoku/>
        <w:wordWrap/>
        <w:overflowPunct/>
        <w:topLinePunct w:val="0"/>
        <w:autoSpaceDE w:val="0"/>
        <w:autoSpaceDN w:val="0"/>
        <w:bidi w:val="0"/>
        <w:adjustRightInd/>
        <w:snapToGrid/>
        <w:spacing w:before="94" w:line="320" w:lineRule="exact"/>
        <w:ind w:left="384"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w:t>
      </w:r>
      <w:r>
        <w:rPr>
          <w:rFonts w:hint="eastAsia" w:asciiTheme="minorEastAsia" w:hAnsiTheme="minorEastAsia" w:eastAsiaTheme="minorEastAsia" w:cstheme="minorEastAsia"/>
          <w:spacing w:val="-3"/>
          <w:kern w:val="0"/>
          <w:sz w:val="24"/>
          <w:szCs w:val="24"/>
          <w:highlight w:val="none"/>
          <w:lang w:val="zh-CN" w:bidi="zh-CN"/>
        </w:rPr>
        <w:t xml:space="preserve">发包人及其工作人员违反本合同第 </w:t>
      </w:r>
      <w:r>
        <w:rPr>
          <w:rFonts w:hint="eastAsia" w:asciiTheme="minorEastAsia" w:hAnsiTheme="minorEastAsia" w:eastAsiaTheme="minorEastAsia" w:cstheme="minorEastAsia"/>
          <w:kern w:val="0"/>
          <w:sz w:val="24"/>
          <w:szCs w:val="24"/>
          <w:highlight w:val="none"/>
          <w:lang w:val="zh-CN" w:bidi="zh-CN"/>
        </w:rPr>
        <w:t>1、2 条，按管理权限，依据有关规定给予党纪、政纪或组织处理；涉嫌犯罪的，移交司法机关追究刑事责任；给承包人单位造成经济损失的，应予以赔偿。</w:t>
      </w:r>
    </w:p>
    <w:p w14:paraId="63CB720D">
      <w:pPr>
        <w:pageBreakBefore w:val="0"/>
        <w:kinsoku/>
        <w:wordWrap/>
        <w:overflowPunct/>
        <w:topLinePunct w:val="0"/>
        <w:autoSpaceDE w:val="0"/>
        <w:autoSpaceDN w:val="0"/>
        <w:bidi w:val="0"/>
        <w:adjustRightInd/>
        <w:snapToGrid/>
        <w:spacing w:line="320" w:lineRule="exact"/>
        <w:ind w:left="384"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w:t>
      </w:r>
      <w:r>
        <w:rPr>
          <w:rFonts w:hint="eastAsia" w:asciiTheme="minorEastAsia" w:hAnsiTheme="minorEastAsia" w:eastAsiaTheme="minorEastAsia" w:cstheme="minorEastAsia"/>
          <w:spacing w:val="-3"/>
          <w:kern w:val="0"/>
          <w:sz w:val="24"/>
          <w:szCs w:val="24"/>
          <w:highlight w:val="none"/>
          <w:lang w:val="zh-CN" w:bidi="zh-CN"/>
        </w:rPr>
        <w:t xml:space="preserve">承包人及其工作人员违反本合同第 </w:t>
      </w:r>
      <w:r>
        <w:rPr>
          <w:rFonts w:hint="eastAsia" w:asciiTheme="minorEastAsia" w:hAnsiTheme="minorEastAsia" w:eastAsiaTheme="minorEastAsia" w:cstheme="minorEastAsia"/>
          <w:kern w:val="0"/>
          <w:sz w:val="24"/>
          <w:szCs w:val="24"/>
          <w:highlight w:val="none"/>
          <w:lang w:val="zh-CN" w:bidi="zh-CN"/>
        </w:rPr>
        <w:t>1、3 条，按管理权限，依据有关规定给予党纪、政纪或组织处理；给发包人单位造成经济损失的，应予以赔偿；情节严重的，发包人建议交通运输主管部门给予承包人一至三年内不得进入其主管的公路建设市场的处罚。</w:t>
      </w:r>
    </w:p>
    <w:p w14:paraId="41A2C1BD">
      <w:pPr>
        <w:pageBreakBefore w:val="0"/>
        <w:numPr>
          <w:ilvl w:val="0"/>
          <w:numId w:val="20"/>
        </w:numPr>
        <w:tabs>
          <w:tab w:val="left" w:pos="1164"/>
        </w:tabs>
        <w:kinsoku/>
        <w:wordWrap/>
        <w:overflowPunct/>
        <w:topLinePunct w:val="0"/>
        <w:autoSpaceDE w:val="0"/>
        <w:autoSpaceDN w:val="0"/>
        <w:bidi w:val="0"/>
        <w:adjustRightInd/>
        <w:snapToGrid/>
        <w:spacing w:before="2" w:line="320" w:lineRule="exact"/>
        <w:ind w:right="466" w:firstLine="464"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4"/>
          <w:kern w:val="0"/>
          <w:sz w:val="24"/>
          <w:szCs w:val="24"/>
          <w:highlight w:val="none"/>
          <w:lang w:val="zh-CN" w:bidi="zh-CN"/>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7C88F2F7">
      <w:pPr>
        <w:pageBreakBefore w:val="0"/>
        <w:numPr>
          <w:ilvl w:val="0"/>
          <w:numId w:val="20"/>
        </w:numPr>
        <w:tabs>
          <w:tab w:val="left" w:pos="1164"/>
        </w:tabs>
        <w:kinsoku/>
        <w:wordWrap/>
        <w:overflowPunct/>
        <w:topLinePunct w:val="0"/>
        <w:autoSpaceDE w:val="0"/>
        <w:autoSpaceDN w:val="0"/>
        <w:bidi w:val="0"/>
        <w:adjustRightInd/>
        <w:snapToGrid/>
        <w:spacing w:before="1"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本合同有效期为发包人和承包人签署之日起至该工程项目竣工验收后止。</w:t>
      </w:r>
    </w:p>
    <w:p w14:paraId="439A4A7F">
      <w:pPr>
        <w:pageBreakBefore w:val="0"/>
        <w:numPr>
          <w:ilvl w:val="0"/>
          <w:numId w:val="20"/>
        </w:numPr>
        <w:tabs>
          <w:tab w:val="left" w:pos="1164"/>
          <w:tab w:val="left" w:pos="3436"/>
          <w:tab w:val="left" w:pos="5467"/>
        </w:tabs>
        <w:kinsoku/>
        <w:wordWrap/>
        <w:overflowPunct/>
        <w:topLinePunct w:val="0"/>
        <w:autoSpaceDE w:val="0"/>
        <w:autoSpaceDN w:val="0"/>
        <w:bidi w:val="0"/>
        <w:adjustRightInd/>
        <w:snapToGrid/>
        <w:spacing w:before="91" w:line="320" w:lineRule="exact"/>
        <w:ind w:right="46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本合同作为</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（项目名称</w:t>
      </w:r>
      <w:r>
        <w:rPr>
          <w:rFonts w:hint="eastAsia" w:asciiTheme="minorEastAsia" w:hAnsiTheme="minorEastAsia" w:eastAsiaTheme="minorEastAsia" w:cstheme="minorEastAsia"/>
          <w:spacing w:val="-10"/>
          <w:kern w:val="0"/>
          <w:sz w:val="24"/>
          <w:szCs w:val="24"/>
          <w:highlight w:val="none"/>
          <w:lang w:val="zh-CN" w:bidi="zh-CN"/>
        </w:rPr>
        <w:t>）</w:t>
      </w:r>
      <w:r>
        <w:rPr>
          <w:rFonts w:hint="eastAsia" w:asciiTheme="minorEastAsia" w:hAnsiTheme="minorEastAsia" w:eastAsiaTheme="minorEastAsia" w:cstheme="minorEastAsia"/>
          <w:spacing w:val="-10"/>
          <w:kern w:val="0"/>
          <w:sz w:val="24"/>
          <w:szCs w:val="24"/>
          <w:highlight w:val="none"/>
          <w:u w:val="single"/>
          <w:lang w:val="zh-CN" w:bidi="zh-CN"/>
        </w:rPr>
        <w:t xml:space="preserve"> </w:t>
      </w:r>
      <w:r>
        <w:rPr>
          <w:rFonts w:hint="eastAsia" w:asciiTheme="minorEastAsia" w:hAnsiTheme="minorEastAsia" w:eastAsiaTheme="minorEastAsia" w:cstheme="minorEastAsia"/>
          <w:spacing w:val="-10"/>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标段施工合同的附件</w:t>
      </w:r>
      <w:r>
        <w:rPr>
          <w:rFonts w:hint="eastAsia" w:asciiTheme="minorEastAsia" w:hAnsiTheme="minorEastAsia" w:eastAsiaTheme="minorEastAsia" w:cstheme="minorEastAsia"/>
          <w:spacing w:val="-10"/>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与工程施工合同具有同等的法律效力，经合同双方签署后立即生效。</w:t>
      </w:r>
    </w:p>
    <w:p w14:paraId="64871A2B">
      <w:pPr>
        <w:pageBreakBefore w:val="0"/>
        <w:numPr>
          <w:ilvl w:val="0"/>
          <w:numId w:val="20"/>
        </w:numPr>
        <w:tabs>
          <w:tab w:val="left" w:pos="1164"/>
        </w:tabs>
        <w:kinsoku/>
        <w:wordWrap/>
        <w:overflowPunct/>
        <w:topLinePunct w:val="0"/>
        <w:autoSpaceDE w:val="0"/>
        <w:autoSpaceDN w:val="0"/>
        <w:bidi w:val="0"/>
        <w:adjustRightInd/>
        <w:snapToGrid/>
        <w:spacing w:before="2" w:line="320" w:lineRule="exact"/>
        <w:ind w:right="466" w:firstLine="468"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3"/>
          <w:kern w:val="0"/>
          <w:sz w:val="24"/>
          <w:szCs w:val="24"/>
          <w:highlight w:val="none"/>
          <w:lang w:val="zh-CN" w:bidi="zh-CN"/>
        </w:rPr>
        <w:t>本合同一式四份，由发包人和承包人各执一份，送交发包人和承包人的监督单位各一份。</w:t>
      </w:r>
    </w:p>
    <w:p w14:paraId="2A0DCDD7">
      <w:pPr>
        <w:pageBreakBefore w:val="0"/>
        <w:kinsoku/>
        <w:wordWrap/>
        <w:overflowPunct/>
        <w:topLinePunct w:val="0"/>
        <w:autoSpaceDE w:val="0"/>
        <w:autoSpaceDN w:val="0"/>
        <w:bidi w:val="0"/>
        <w:adjustRightInd/>
        <w:snapToGrid/>
        <w:spacing w:before="12"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19268A96">
      <w:pPr>
        <w:pageBreakBefore w:val="0"/>
        <w:tabs>
          <w:tab w:val="left" w:pos="3110"/>
          <w:tab w:val="left" w:pos="5133"/>
          <w:tab w:val="left" w:pos="7739"/>
          <w:tab w:val="left" w:pos="8219"/>
        </w:tabs>
        <w:kinsoku/>
        <w:wordWrap/>
        <w:overflowPunct/>
        <w:topLinePunct w:val="0"/>
        <w:autoSpaceDE w:val="0"/>
        <w:autoSpaceDN w:val="0"/>
        <w:bidi w:val="0"/>
        <w:adjustRightInd/>
        <w:snapToGrid/>
        <w:spacing w:line="320" w:lineRule="exact"/>
        <w:ind w:right="34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发包人</w:t>
      </w:r>
      <w:r>
        <w:rPr>
          <w:rFonts w:hint="eastAsia" w:asciiTheme="minorEastAsia" w:hAnsiTheme="minorEastAsia" w:eastAsiaTheme="minorEastAsia" w:cstheme="minorEastAsia"/>
          <w:spacing w:val="-17"/>
          <w:kern w:val="0"/>
          <w:sz w:val="24"/>
          <w:szCs w:val="24"/>
          <w:highlight w:val="none"/>
          <w:lang w:val="zh-CN" w:bidi="zh-CN"/>
        </w:rPr>
        <w:t>：</w:t>
      </w:r>
      <w:r>
        <w:rPr>
          <w:rFonts w:hint="eastAsia" w:asciiTheme="minorEastAsia" w:hAnsiTheme="minorEastAsia" w:eastAsiaTheme="minorEastAsia" w:cstheme="minorEastAsia"/>
          <w:spacing w:val="-17"/>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lang w:val="zh-CN" w:bidi="zh-CN"/>
        </w:rPr>
        <w:t>（盖单位章）</w:t>
      </w:r>
      <w:r>
        <w:rPr>
          <w:rFonts w:hint="eastAsia" w:asciiTheme="minorEastAsia" w:hAnsiTheme="minorEastAsia" w:eastAsiaTheme="minorEastAsia" w:cstheme="minorEastAsia"/>
          <w:kern w:val="0"/>
          <w:sz w:val="24"/>
          <w:szCs w:val="24"/>
          <w:highlight w:val="none"/>
          <w:lang w:val="zh-CN" w:bidi="zh-CN"/>
        </w:rPr>
        <w:tab/>
      </w:r>
      <w:r>
        <w:rPr>
          <w:rFonts w:hint="eastAsia" w:asciiTheme="minorEastAsia" w:hAnsiTheme="minorEastAsia" w:eastAsiaTheme="minorEastAsia" w:cstheme="minorEastAsia"/>
          <w:kern w:val="0"/>
          <w:sz w:val="24"/>
          <w:szCs w:val="24"/>
          <w:highlight w:val="none"/>
          <w:lang w:val="en-US" w:bidi="zh-CN"/>
        </w:rPr>
        <w:t xml:space="preserve">           </w:t>
      </w:r>
      <w:r>
        <w:rPr>
          <w:rFonts w:hint="eastAsia" w:asciiTheme="minorEastAsia" w:hAnsiTheme="minorEastAsia" w:eastAsiaTheme="minorEastAsia" w:cstheme="minorEastAsia"/>
          <w:kern w:val="0"/>
          <w:sz w:val="24"/>
          <w:szCs w:val="24"/>
          <w:highlight w:val="none"/>
          <w:lang w:val="zh-CN" w:bidi="zh-CN"/>
        </w:rPr>
        <w:t>承包人</w:t>
      </w:r>
      <w:r>
        <w:rPr>
          <w:rFonts w:hint="eastAsia" w:asciiTheme="minorEastAsia" w:hAnsiTheme="minorEastAsia" w:eastAsiaTheme="minorEastAsia" w:cstheme="minorEastAsia"/>
          <w:kern w:val="0"/>
          <w:sz w:val="24"/>
          <w:szCs w:val="24"/>
          <w:highlight w:val="none"/>
          <w:lang w:val="en-US" w:bidi="zh-CN"/>
        </w:rPr>
        <w:t xml:space="preserve"> </w:t>
      </w:r>
      <w:r>
        <w:rPr>
          <w:rFonts w:hint="eastAsia" w:asciiTheme="minorEastAsia" w:hAnsiTheme="minorEastAsia" w:eastAsiaTheme="minorEastAsia" w:cstheme="minorEastAsia"/>
          <w:kern w:val="0"/>
          <w:sz w:val="24"/>
          <w:szCs w:val="24"/>
          <w:highlight w:val="none"/>
          <w:u w:val="single"/>
          <w:lang w:val="en-US" w:bidi="zh-CN"/>
        </w:rPr>
        <w:t xml:space="preserve"> </w:t>
      </w:r>
      <w:r>
        <w:rPr>
          <w:rFonts w:hint="eastAsia" w:asciiTheme="minorEastAsia" w:hAnsiTheme="minorEastAsia" w:eastAsiaTheme="minorEastAsia" w:cstheme="minorEastAsia"/>
          <w:kern w:val="0"/>
          <w:sz w:val="24"/>
          <w:szCs w:val="24"/>
          <w:highlight w:val="none"/>
          <w:lang w:val="zh-CN" w:bidi="zh-CN"/>
        </w:rPr>
        <w:t>（盖单位章）</w:t>
      </w:r>
    </w:p>
    <w:p w14:paraId="691A7802">
      <w:pPr>
        <w:pageBreakBefore w:val="0"/>
        <w:tabs>
          <w:tab w:val="left" w:pos="3110"/>
          <w:tab w:val="left" w:pos="5133"/>
          <w:tab w:val="left" w:pos="7739"/>
          <w:tab w:val="left" w:pos="8219"/>
        </w:tabs>
        <w:kinsoku/>
        <w:wordWrap/>
        <w:overflowPunct/>
        <w:topLinePunct w:val="0"/>
        <w:autoSpaceDE w:val="0"/>
        <w:autoSpaceDN w:val="0"/>
        <w:bidi w:val="0"/>
        <w:adjustRightInd/>
        <w:snapToGrid/>
        <w:spacing w:line="320" w:lineRule="exact"/>
        <w:ind w:right="34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法定代表人或其委托代理人：</w:t>
      </w:r>
      <w:r>
        <w:rPr>
          <w:rFonts w:hint="eastAsia" w:asciiTheme="minorEastAsia" w:hAnsiTheme="minorEastAsia" w:eastAsiaTheme="minorEastAsia" w:cstheme="minorEastAsia"/>
          <w:kern w:val="0"/>
          <w:sz w:val="24"/>
          <w:szCs w:val="24"/>
          <w:highlight w:val="none"/>
          <w:u w:val="single"/>
          <w:lang w:val="zh-CN" w:bidi="zh-CN"/>
        </w:rPr>
        <w:t>（</w:t>
      </w:r>
      <w:r>
        <w:rPr>
          <w:rFonts w:hint="eastAsia" w:asciiTheme="minorEastAsia" w:hAnsiTheme="minorEastAsia" w:eastAsiaTheme="minorEastAsia" w:cstheme="minorEastAsia"/>
          <w:kern w:val="0"/>
          <w:sz w:val="24"/>
          <w:szCs w:val="24"/>
          <w:highlight w:val="none"/>
          <w:lang w:val="zh-CN" w:bidi="zh-CN"/>
        </w:rPr>
        <w:t>签字）</w:t>
      </w:r>
      <w:r>
        <w:rPr>
          <w:rFonts w:hint="eastAsia" w:asciiTheme="minorEastAsia" w:hAnsiTheme="minorEastAsia" w:eastAsiaTheme="minorEastAsia" w:cstheme="minorEastAsia"/>
          <w:spacing w:val="79"/>
          <w:kern w:val="0"/>
          <w:sz w:val="24"/>
          <w:szCs w:val="24"/>
          <w:highlight w:val="none"/>
          <w:lang w:val="zh-CN" w:bidi="zh-CN"/>
        </w:rPr>
        <w:t xml:space="preserve"> </w:t>
      </w:r>
      <w:r>
        <w:rPr>
          <w:rFonts w:hint="eastAsia" w:asciiTheme="minorEastAsia" w:hAnsiTheme="minorEastAsia" w:eastAsiaTheme="minorEastAsia" w:cstheme="minorEastAsia"/>
          <w:kern w:val="0"/>
          <w:sz w:val="24"/>
          <w:szCs w:val="24"/>
          <w:highlight w:val="none"/>
          <w:lang w:val="zh-CN" w:bidi="zh-CN"/>
        </w:rPr>
        <w:t>法</w:t>
      </w:r>
      <w:r>
        <w:rPr>
          <w:rFonts w:hint="eastAsia" w:asciiTheme="minorEastAsia" w:hAnsiTheme="minorEastAsia" w:eastAsiaTheme="minorEastAsia" w:cstheme="minorEastAsia"/>
          <w:kern w:val="0"/>
          <w:sz w:val="21"/>
          <w:szCs w:val="21"/>
          <w:highlight w:val="none"/>
          <w:lang w:val="zh-CN" w:bidi="zh-CN"/>
        </w:rPr>
        <w:t>定代表人或其委托代理人</w:t>
      </w:r>
      <w:r>
        <w:rPr>
          <w:rFonts w:hint="eastAsia" w:asciiTheme="minorEastAsia" w:hAnsiTheme="minorEastAsia" w:eastAsiaTheme="minorEastAsia" w:cstheme="minorEastAsia"/>
          <w:kern w:val="0"/>
          <w:sz w:val="24"/>
          <w:szCs w:val="24"/>
          <w:highlight w:val="none"/>
          <w:lang w:val="zh-CN" w:bidi="zh-CN"/>
        </w:rPr>
        <w:t>：（签字）</w:t>
      </w:r>
    </w:p>
    <w:p w14:paraId="3CB77CD3">
      <w:pPr>
        <w:pageBreakBefore w:val="0"/>
        <w:tabs>
          <w:tab w:val="left" w:pos="2303"/>
          <w:tab w:val="left" w:pos="3143"/>
          <w:tab w:val="left" w:pos="3983"/>
          <w:tab w:val="left" w:pos="4948"/>
          <w:tab w:val="left" w:pos="5903"/>
          <w:tab w:val="left" w:pos="6983"/>
          <w:tab w:val="left" w:pos="7823"/>
          <w:tab w:val="left" w:pos="8663"/>
        </w:tabs>
        <w:kinsoku/>
        <w:wordWrap/>
        <w:overflowPunct/>
        <w:topLinePunct w:val="0"/>
        <w:autoSpaceDE w:val="0"/>
        <w:autoSpaceDN w:val="0"/>
        <w:bidi w:val="0"/>
        <w:adjustRightInd/>
        <w:snapToGrid/>
        <w:spacing w:before="1" w:line="320" w:lineRule="exact"/>
        <w:ind w:right="34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lang w:val="zh-CN" w:bidi="zh-CN"/>
        </w:rPr>
        <w:t>年</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lang w:val="zh-CN" w:bidi="zh-CN"/>
        </w:rPr>
        <w:t>月</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lang w:val="zh-CN" w:bidi="zh-CN"/>
        </w:rPr>
        <w:t>日</w:t>
      </w:r>
      <w:r>
        <w:rPr>
          <w:rFonts w:hint="eastAsia" w:asciiTheme="minorEastAsia" w:hAnsiTheme="minorEastAsia" w:eastAsiaTheme="minorEastAsia" w:cstheme="minorEastAsia"/>
          <w:kern w:val="0"/>
          <w:sz w:val="24"/>
          <w:szCs w:val="24"/>
          <w:highlight w:val="none"/>
          <w:lang w:val="zh-CN" w:bidi="zh-CN"/>
        </w:rPr>
        <w:tab/>
      </w:r>
      <w:r>
        <w:rPr>
          <w:rFonts w:hint="eastAsia" w:asciiTheme="minorEastAsia" w:hAnsiTheme="minorEastAsia" w:eastAsiaTheme="minorEastAsia" w:cstheme="minorEastAsia"/>
          <w:kern w:val="0"/>
          <w:sz w:val="24"/>
          <w:szCs w:val="24"/>
          <w:highlight w:val="none"/>
          <w:lang w:val="en-US" w:bidi="zh-CN"/>
        </w:rPr>
        <w:t xml:space="preserve">                  </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lang w:val="zh-CN" w:bidi="zh-CN"/>
        </w:rPr>
        <w:t>年</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月</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lang w:val="zh-CN" w:bidi="zh-CN"/>
        </w:rPr>
        <w:t xml:space="preserve">日 </w:t>
      </w:r>
    </w:p>
    <w:p w14:paraId="31549D18">
      <w:pPr>
        <w:pageBreakBefore w:val="0"/>
        <w:tabs>
          <w:tab w:val="left" w:pos="2303"/>
          <w:tab w:val="left" w:pos="3143"/>
          <w:tab w:val="left" w:pos="3983"/>
          <w:tab w:val="left" w:pos="4948"/>
          <w:tab w:val="left" w:pos="5903"/>
          <w:tab w:val="left" w:pos="6983"/>
          <w:tab w:val="left" w:pos="7823"/>
          <w:tab w:val="left" w:pos="8663"/>
        </w:tabs>
        <w:kinsoku/>
        <w:wordWrap/>
        <w:overflowPunct/>
        <w:topLinePunct w:val="0"/>
        <w:autoSpaceDE w:val="0"/>
        <w:autoSpaceDN w:val="0"/>
        <w:bidi w:val="0"/>
        <w:adjustRightInd/>
        <w:snapToGrid/>
        <w:spacing w:before="1" w:line="320" w:lineRule="exact"/>
        <w:ind w:right="34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发包人监督单位</w:t>
      </w:r>
      <w:r>
        <w:rPr>
          <w:rFonts w:hint="eastAsia" w:asciiTheme="minorEastAsia" w:hAnsiTheme="minorEastAsia" w:eastAsiaTheme="minorEastAsia" w:cstheme="minorEastAsia"/>
          <w:spacing w:val="-23"/>
          <w:kern w:val="0"/>
          <w:sz w:val="24"/>
          <w:szCs w:val="24"/>
          <w:highlight w:val="none"/>
          <w:lang w:val="zh-CN" w:bidi="zh-CN"/>
        </w:rPr>
        <w:t>：</w:t>
      </w:r>
      <w:r>
        <w:rPr>
          <w:rFonts w:hint="eastAsia" w:asciiTheme="minorEastAsia" w:hAnsiTheme="minorEastAsia" w:eastAsiaTheme="minorEastAsia" w:cstheme="minorEastAsia"/>
          <w:spacing w:val="-23"/>
          <w:kern w:val="0"/>
          <w:sz w:val="24"/>
          <w:szCs w:val="24"/>
          <w:highlight w:val="none"/>
          <w:u w:val="single"/>
          <w:lang w:val="zh-CN" w:bidi="zh-CN"/>
        </w:rPr>
        <w:t>（</w:t>
      </w:r>
      <w:r>
        <w:rPr>
          <w:rFonts w:hint="eastAsia" w:asciiTheme="minorEastAsia" w:hAnsiTheme="minorEastAsia" w:eastAsiaTheme="minorEastAsia" w:cstheme="minorEastAsia"/>
          <w:kern w:val="0"/>
          <w:sz w:val="24"/>
          <w:szCs w:val="24"/>
          <w:highlight w:val="none"/>
          <w:u w:val="single"/>
          <w:lang w:val="zh-CN" w:bidi="zh-CN"/>
        </w:rPr>
        <w:t>全称</w:t>
      </w:r>
      <w:r>
        <w:rPr>
          <w:rFonts w:hint="eastAsia" w:asciiTheme="minorEastAsia" w:hAnsiTheme="minorEastAsia" w:eastAsiaTheme="minorEastAsia" w:cstheme="minorEastAsia"/>
          <w:spacing w:val="-23"/>
          <w:kern w:val="0"/>
          <w:sz w:val="24"/>
          <w:szCs w:val="24"/>
          <w:highlight w:val="none"/>
          <w:u w:val="single"/>
          <w:lang w:val="zh-CN" w:bidi="zh-CN"/>
        </w:rPr>
        <w:t>）（</w:t>
      </w:r>
      <w:r>
        <w:rPr>
          <w:rFonts w:hint="eastAsia" w:asciiTheme="minorEastAsia" w:hAnsiTheme="minorEastAsia" w:eastAsiaTheme="minorEastAsia" w:cstheme="minorEastAsia"/>
          <w:kern w:val="0"/>
          <w:sz w:val="24"/>
          <w:szCs w:val="24"/>
          <w:highlight w:val="none"/>
          <w:u w:val="single"/>
          <w:lang w:val="zh-CN" w:bidi="zh-CN"/>
        </w:rPr>
        <w:t>盖单位章）</w:t>
      </w:r>
      <w:r>
        <w:rPr>
          <w:rFonts w:hint="eastAsia" w:asciiTheme="minorEastAsia" w:hAnsiTheme="minorEastAsia" w:eastAsiaTheme="minorEastAsia" w:cstheme="minorEastAsia"/>
          <w:kern w:val="0"/>
          <w:sz w:val="24"/>
          <w:szCs w:val="24"/>
          <w:highlight w:val="none"/>
          <w:lang w:val="zh-CN" w:bidi="zh-CN"/>
        </w:rPr>
        <w:t>承包人监督单位</w:t>
      </w:r>
      <w:r>
        <w:rPr>
          <w:rFonts w:hint="eastAsia" w:asciiTheme="minorEastAsia" w:hAnsiTheme="minorEastAsia" w:eastAsiaTheme="minorEastAsia" w:cstheme="minorEastAsia"/>
          <w:spacing w:val="-24"/>
          <w:kern w:val="0"/>
          <w:sz w:val="24"/>
          <w:szCs w:val="24"/>
          <w:highlight w:val="none"/>
          <w:lang w:val="zh-CN" w:bidi="zh-CN"/>
        </w:rPr>
        <w:t>：</w:t>
      </w:r>
      <w:r>
        <w:rPr>
          <w:rFonts w:hint="eastAsia" w:asciiTheme="minorEastAsia" w:hAnsiTheme="minorEastAsia" w:eastAsiaTheme="minorEastAsia" w:cstheme="minorEastAsia"/>
          <w:spacing w:val="-24"/>
          <w:kern w:val="0"/>
          <w:sz w:val="24"/>
          <w:szCs w:val="24"/>
          <w:highlight w:val="none"/>
          <w:u w:val="single"/>
          <w:lang w:val="zh-CN" w:bidi="zh-CN"/>
        </w:rPr>
        <w:t>（</w:t>
      </w:r>
      <w:r>
        <w:rPr>
          <w:rFonts w:hint="eastAsia" w:asciiTheme="minorEastAsia" w:hAnsiTheme="minorEastAsia" w:eastAsiaTheme="minorEastAsia" w:cstheme="minorEastAsia"/>
          <w:kern w:val="0"/>
          <w:sz w:val="24"/>
          <w:szCs w:val="24"/>
          <w:highlight w:val="none"/>
          <w:u w:val="single"/>
          <w:lang w:val="zh-CN" w:bidi="zh-CN"/>
        </w:rPr>
        <w:t>全称</w:t>
      </w:r>
      <w:r>
        <w:rPr>
          <w:rFonts w:hint="eastAsia" w:asciiTheme="minorEastAsia" w:hAnsiTheme="minorEastAsia" w:eastAsiaTheme="minorEastAsia" w:cstheme="minorEastAsia"/>
          <w:spacing w:val="-22"/>
          <w:kern w:val="0"/>
          <w:sz w:val="24"/>
          <w:szCs w:val="24"/>
          <w:highlight w:val="none"/>
          <w:u w:val="single"/>
          <w:lang w:val="zh-CN" w:bidi="zh-CN"/>
        </w:rPr>
        <w:t>）（</w:t>
      </w:r>
      <w:r>
        <w:rPr>
          <w:rFonts w:hint="eastAsia" w:asciiTheme="minorEastAsia" w:hAnsiTheme="minorEastAsia" w:eastAsiaTheme="minorEastAsia" w:cstheme="minorEastAsia"/>
          <w:kern w:val="0"/>
          <w:sz w:val="24"/>
          <w:szCs w:val="24"/>
          <w:highlight w:val="none"/>
          <w:u w:val="single"/>
          <w:lang w:val="zh-CN" w:bidi="zh-CN"/>
        </w:rPr>
        <w:t>盖单位章）</w:t>
      </w:r>
    </w:p>
    <w:p w14:paraId="674C8F83">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bookmarkStart w:id="418" w:name="_Toc256000049"/>
    </w:p>
    <w:p w14:paraId="21532FA2">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07A096EC">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5356FF2A">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7094ED56">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7F13B008">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55962632">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53143F21">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38ACEE19">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0AD49880">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1ADB5074">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38E7A11E">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060D8CC7">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38AB61B7">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105AAB08">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6BF7EC50">
      <w:pPr>
        <w:pageBreakBefore w:val="0"/>
        <w:kinsoku/>
        <w:wordWrap/>
        <w:overflowPunct/>
        <w:topLinePunct w:val="0"/>
        <w:autoSpaceDE w:val="0"/>
        <w:autoSpaceDN w:val="0"/>
        <w:bidi w:val="0"/>
        <w:adjustRightInd/>
        <w:snapToGrid/>
        <w:spacing w:before="8" w:line="320" w:lineRule="exact"/>
        <w:ind w:firstLine="482" w:firstLineChars="200"/>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p>
    <w:p w14:paraId="2C9A2B21">
      <w:pPr>
        <w:pageBreakBefore w:val="0"/>
        <w:kinsoku/>
        <w:wordWrap/>
        <w:overflowPunct/>
        <w:topLinePunct w:val="0"/>
        <w:autoSpaceDE w:val="0"/>
        <w:autoSpaceDN w:val="0"/>
        <w:bidi w:val="0"/>
        <w:adjustRightInd/>
        <w:snapToGrid/>
        <w:spacing w:before="8" w:line="320" w:lineRule="exact"/>
        <w:ind w:firstLine="482"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附件三 安全生产合同</w:t>
      </w:r>
      <w:bookmarkEnd w:id="418"/>
    </w:p>
    <w:p w14:paraId="7CCAFE16">
      <w:pPr>
        <w:pageBreakBefore w:val="0"/>
        <w:kinsoku/>
        <w:wordWrap/>
        <w:overflowPunct/>
        <w:topLinePunct w:val="0"/>
        <w:autoSpaceDE w:val="0"/>
        <w:autoSpaceDN w:val="0"/>
        <w:bidi w:val="0"/>
        <w:adjustRightInd/>
        <w:snapToGrid/>
        <w:spacing w:before="1" w:line="320" w:lineRule="exact"/>
        <w:ind w:left="583"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安全生产合同</w:t>
      </w:r>
    </w:p>
    <w:p w14:paraId="13B37A3D">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239689D8">
      <w:pPr>
        <w:pageBreakBefore w:val="0"/>
        <w:tabs>
          <w:tab w:val="left" w:pos="2915"/>
          <w:tab w:val="left" w:pos="6086"/>
          <w:tab w:val="left" w:pos="8579"/>
        </w:tabs>
        <w:kinsoku/>
        <w:wordWrap/>
        <w:overflowPunct/>
        <w:topLinePunct w:val="0"/>
        <w:autoSpaceDE w:val="0"/>
        <w:autoSpaceDN w:val="0"/>
        <w:bidi w:val="0"/>
        <w:adjustRightInd/>
        <w:snapToGrid/>
        <w:spacing w:before="214" w:line="320" w:lineRule="exact"/>
        <w:ind w:left="384" w:right="462"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为在</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（项目名称）</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spacing w:val="19"/>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lang w:val="zh-CN" w:bidi="zh-CN"/>
        </w:rPr>
        <w:t>标段施工合同的实施过程中创造安全、高效的施工环境</w:t>
      </w:r>
      <w:r>
        <w:rPr>
          <w:rFonts w:hint="eastAsia" w:asciiTheme="minorEastAsia" w:hAnsiTheme="minorEastAsia" w:eastAsiaTheme="minorEastAsia" w:cstheme="minorEastAsia"/>
          <w:spacing w:val="-29"/>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切实搞好本项目的安全管理工作</w:t>
      </w:r>
      <w:r>
        <w:rPr>
          <w:rFonts w:hint="eastAsia" w:asciiTheme="minorEastAsia" w:hAnsiTheme="minorEastAsia" w:eastAsiaTheme="minorEastAsia" w:cstheme="minorEastAsia"/>
          <w:spacing w:val="-27"/>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本项目发包人</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（发包人名称</w:t>
      </w:r>
      <w:r>
        <w:rPr>
          <w:rFonts w:hint="eastAsia" w:asciiTheme="minorEastAsia" w:hAnsiTheme="minorEastAsia" w:eastAsiaTheme="minorEastAsia" w:cstheme="minorEastAsia"/>
          <w:spacing w:val="-12"/>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以下简称“发包人</w:t>
      </w:r>
      <w:r>
        <w:rPr>
          <w:rFonts w:hint="eastAsia" w:asciiTheme="minorEastAsia" w:hAnsiTheme="minorEastAsia" w:eastAsiaTheme="minorEastAsia" w:cstheme="minorEastAsia"/>
          <w:spacing w:val="-6"/>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与承包人</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（承包人名称</w:t>
      </w:r>
      <w:r>
        <w:rPr>
          <w:rFonts w:hint="eastAsia" w:asciiTheme="minorEastAsia" w:hAnsiTheme="minorEastAsia" w:eastAsiaTheme="minorEastAsia" w:cstheme="minorEastAsia"/>
          <w:spacing w:val="-10"/>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以下简称“承包人”）特此签订安全生产合同。</w:t>
      </w:r>
    </w:p>
    <w:p w14:paraId="2A5B0E40">
      <w:pPr>
        <w:pageBreakBefore w:val="0"/>
        <w:kinsoku/>
        <w:wordWrap/>
        <w:overflowPunct/>
        <w:topLinePunct w:val="0"/>
        <w:autoSpaceDE w:val="0"/>
        <w:autoSpaceDN w:val="0"/>
        <w:bidi w:val="0"/>
        <w:adjustRightInd/>
        <w:snapToGrid/>
        <w:spacing w:line="320" w:lineRule="exact"/>
        <w:ind w:left="864"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1.发包人职责</w:t>
      </w:r>
    </w:p>
    <w:p w14:paraId="121F94CA">
      <w:pPr>
        <w:pageBreakBefore w:val="0"/>
        <w:kinsoku/>
        <w:wordWrap/>
        <w:overflowPunct/>
        <w:topLinePunct w:val="0"/>
        <w:autoSpaceDE w:val="0"/>
        <w:autoSpaceDN w:val="0"/>
        <w:bidi w:val="0"/>
        <w:adjustRightInd/>
        <w:snapToGrid/>
        <w:spacing w:before="84"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（1）严格遵守国家有关安全生产的法律法规，认真执行工程承包合同中的有关安全要求。</w:t>
      </w:r>
    </w:p>
    <w:p w14:paraId="52AE0A54">
      <w:pPr>
        <w:pageBreakBefore w:val="0"/>
        <w:kinsoku/>
        <w:wordWrap/>
        <w:overflowPunct/>
        <w:topLinePunct w:val="0"/>
        <w:autoSpaceDE w:val="0"/>
        <w:autoSpaceDN w:val="0"/>
        <w:bidi w:val="0"/>
        <w:adjustRightInd/>
        <w:snapToGrid/>
        <w:spacing w:before="5" w:line="320" w:lineRule="exact"/>
        <w:ind w:left="384" w:right="410"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（2）按照“安全第一、预防为主、综合治理”和坚持“管生产必须管安全”的原则进行安全生产管理，做到生产与安全工作同时计划、布置、检查、总结和评比。</w:t>
      </w:r>
    </w:p>
    <w:p w14:paraId="446BD825">
      <w:pPr>
        <w:pageBreakBefore w:val="0"/>
        <w:kinsoku/>
        <w:wordWrap/>
        <w:overflowPunct/>
        <w:topLinePunct w:val="0"/>
        <w:autoSpaceDE w:val="0"/>
        <w:autoSpaceDN w:val="0"/>
        <w:bidi w:val="0"/>
        <w:adjustRightInd/>
        <w:snapToGrid/>
        <w:spacing w:before="5" w:line="320" w:lineRule="exact"/>
        <w:ind w:left="384" w:right="39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（3）重要的安全设施必须坚持与主体工程“三同时”的原则，即：同时设计、审批，同时施工，同时验收，投入使用。</w:t>
      </w:r>
    </w:p>
    <w:p w14:paraId="380CDF05">
      <w:pPr>
        <w:pageBreakBefore w:val="0"/>
        <w:kinsoku/>
        <w:wordWrap/>
        <w:overflowPunct/>
        <w:topLinePunct w:val="0"/>
        <w:autoSpaceDE w:val="0"/>
        <w:autoSpaceDN w:val="0"/>
        <w:bidi w:val="0"/>
        <w:adjustRightInd/>
        <w:snapToGrid/>
        <w:spacing w:before="5" w:line="320" w:lineRule="exact"/>
        <w:ind w:left="384" w:right="397"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（4）定期召开安全生产调度会，及时传达中央及地方有关安全生产的精神。</w:t>
      </w:r>
    </w:p>
    <w:p w14:paraId="4B3DE829">
      <w:pPr>
        <w:pageBreakBefore w:val="0"/>
        <w:kinsoku/>
        <w:wordWrap/>
        <w:overflowPunct/>
        <w:topLinePunct w:val="0"/>
        <w:autoSpaceDE w:val="0"/>
        <w:autoSpaceDN w:val="0"/>
        <w:bidi w:val="0"/>
        <w:adjustRightInd/>
        <w:snapToGrid/>
        <w:spacing w:before="81"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（5）组织对承包人施工现场进行安全生产检查，监督承包人及时处理发现的各种安全隐患。</w:t>
      </w:r>
    </w:p>
    <w:p w14:paraId="2D884C68">
      <w:pPr>
        <w:pageBreakBefore w:val="0"/>
        <w:kinsoku/>
        <w:wordWrap/>
        <w:overflowPunct/>
        <w:topLinePunct w:val="0"/>
        <w:autoSpaceDE w:val="0"/>
        <w:autoSpaceDN w:val="0"/>
        <w:bidi w:val="0"/>
        <w:adjustRightInd/>
        <w:snapToGrid/>
        <w:spacing w:line="320" w:lineRule="exact"/>
        <w:ind w:left="864"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2.承包人职责</w:t>
      </w:r>
    </w:p>
    <w:p w14:paraId="79196DC6">
      <w:pPr>
        <w:pageBreakBefore w:val="0"/>
        <w:kinsoku/>
        <w:wordWrap/>
        <w:overflowPunct/>
        <w:topLinePunct w:val="0"/>
        <w:autoSpaceDE w:val="0"/>
        <w:autoSpaceDN w:val="0"/>
        <w:bidi w:val="0"/>
        <w:adjustRightInd/>
        <w:snapToGrid/>
        <w:spacing w:before="84" w:line="320" w:lineRule="exact"/>
        <w:ind w:left="384" w:right="382"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46FB0EEB">
      <w:pPr>
        <w:pageBreakBefore w:val="0"/>
        <w:kinsoku/>
        <w:wordWrap/>
        <w:overflowPunct/>
        <w:topLinePunct w:val="0"/>
        <w:autoSpaceDE w:val="0"/>
        <w:autoSpaceDN w:val="0"/>
        <w:bidi w:val="0"/>
        <w:adjustRightInd/>
        <w:snapToGrid/>
        <w:spacing w:line="320" w:lineRule="exact"/>
        <w:ind w:left="384" w:right="466" w:firstLine="468"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3"/>
          <w:kern w:val="0"/>
          <w:sz w:val="24"/>
          <w:szCs w:val="24"/>
          <w:highlight w:val="none"/>
          <w:lang w:val="zh-CN" w:bidi="zh-CN"/>
        </w:rPr>
        <w:t>（2）</w:t>
      </w:r>
      <w:r>
        <w:rPr>
          <w:rFonts w:hint="eastAsia" w:asciiTheme="minorEastAsia" w:hAnsiTheme="minorEastAsia" w:eastAsiaTheme="minorEastAsia" w:cstheme="minorEastAsia"/>
          <w:kern w:val="0"/>
          <w:sz w:val="24"/>
          <w:szCs w:val="24"/>
          <w:highlight w:val="none"/>
          <w:lang w:val="zh-CN" w:bidi="zh-CN"/>
        </w:rPr>
        <w:t>坚持“</w:t>
      </w:r>
      <w:r>
        <w:rPr>
          <w:rFonts w:hint="eastAsia" w:asciiTheme="minorEastAsia" w:hAnsiTheme="minorEastAsia" w:eastAsiaTheme="minorEastAsia" w:cstheme="minorEastAsia"/>
          <w:spacing w:val="-3"/>
          <w:kern w:val="0"/>
          <w:sz w:val="24"/>
          <w:szCs w:val="24"/>
          <w:highlight w:val="none"/>
          <w:lang w:val="zh-CN" w:bidi="zh-CN"/>
        </w:rPr>
        <w:t>安全第一、预防为主、综合治理</w:t>
      </w:r>
      <w:r>
        <w:rPr>
          <w:rFonts w:hint="eastAsia" w:asciiTheme="minorEastAsia" w:hAnsiTheme="minorEastAsia" w:eastAsiaTheme="minorEastAsia" w:cstheme="minorEastAsia"/>
          <w:kern w:val="0"/>
          <w:sz w:val="24"/>
          <w:szCs w:val="24"/>
          <w:highlight w:val="none"/>
          <w:lang w:val="zh-CN" w:bidi="zh-CN"/>
        </w:rPr>
        <w:t>”和“管生产必须管安全”</w:t>
      </w:r>
      <w:r>
        <w:rPr>
          <w:rFonts w:hint="eastAsia" w:asciiTheme="minorEastAsia" w:hAnsiTheme="minorEastAsia" w:eastAsiaTheme="minorEastAsia" w:cstheme="minorEastAsia"/>
          <w:spacing w:val="-3"/>
          <w:kern w:val="0"/>
          <w:sz w:val="24"/>
          <w:szCs w:val="24"/>
          <w:highlight w:val="none"/>
          <w:lang w:val="zh-CN" w:bidi="zh-CN"/>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2E524060">
      <w:pPr>
        <w:pageBreakBefore w:val="0"/>
        <w:kinsoku/>
        <w:wordWrap/>
        <w:overflowPunct/>
        <w:topLinePunct w:val="0"/>
        <w:autoSpaceDE w:val="0"/>
        <w:autoSpaceDN w:val="0"/>
        <w:bidi w:val="0"/>
        <w:adjustRightInd/>
        <w:snapToGrid/>
        <w:spacing w:line="320" w:lineRule="exact"/>
        <w:ind w:left="384" w:right="346" w:firstLine="44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（3）</w:t>
      </w:r>
      <w:r>
        <w:rPr>
          <w:rFonts w:hint="eastAsia" w:asciiTheme="minorEastAsia" w:hAnsiTheme="minorEastAsia" w:eastAsiaTheme="minorEastAsia" w:cstheme="minorEastAsia"/>
          <w:spacing w:val="-4"/>
          <w:kern w:val="0"/>
          <w:sz w:val="24"/>
          <w:szCs w:val="24"/>
          <w:highlight w:val="none"/>
          <w:lang w:val="zh-CN" w:bidi="zh-CN"/>
        </w:rPr>
        <w:t>建立健全安全生产责任制。从派往项目实施的项目经理到生产工人</w:t>
      </w:r>
      <w:r>
        <w:rPr>
          <w:rFonts w:hint="eastAsia" w:asciiTheme="minorEastAsia" w:hAnsiTheme="minorEastAsia" w:eastAsiaTheme="minorEastAsia" w:cstheme="minorEastAsia"/>
          <w:kern w:val="0"/>
          <w:sz w:val="24"/>
          <w:szCs w:val="24"/>
          <w:highlight w:val="none"/>
          <w:lang w:val="zh-CN" w:bidi="zh-CN"/>
        </w:rPr>
        <w:t>（包括临时雇请的民工</w:t>
      </w:r>
      <w:r>
        <w:rPr>
          <w:rFonts w:hint="eastAsia" w:asciiTheme="minorEastAsia" w:hAnsiTheme="minorEastAsia" w:eastAsiaTheme="minorEastAsia" w:cstheme="minorEastAsia"/>
          <w:spacing w:val="-29"/>
          <w:kern w:val="0"/>
          <w:sz w:val="24"/>
          <w:szCs w:val="24"/>
          <w:highlight w:val="none"/>
          <w:lang w:val="zh-CN" w:bidi="zh-CN"/>
        </w:rPr>
        <w:t>）</w:t>
      </w:r>
      <w:r>
        <w:rPr>
          <w:rFonts w:hint="eastAsia" w:asciiTheme="minorEastAsia" w:hAnsiTheme="minorEastAsia" w:eastAsiaTheme="minorEastAsia" w:cstheme="minorEastAsia"/>
          <w:spacing w:val="-4"/>
          <w:kern w:val="0"/>
          <w:sz w:val="24"/>
          <w:szCs w:val="24"/>
          <w:highlight w:val="none"/>
          <w:lang w:val="zh-CN" w:bidi="zh-CN"/>
        </w:rPr>
        <w:t>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62E8CF94">
      <w:pPr>
        <w:pageBreakBefore w:val="0"/>
        <w:kinsoku/>
        <w:wordWrap/>
        <w:overflowPunct/>
        <w:topLinePunct w:val="0"/>
        <w:autoSpaceDE w:val="0"/>
        <w:autoSpaceDN w:val="0"/>
        <w:bidi w:val="0"/>
        <w:adjustRightInd/>
        <w:snapToGrid/>
        <w:spacing w:before="74"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（4）承包人在任何时候都应采取各种合理的预防措施，防止其员工发生任何违法、违禁、暴力或妨碍治安的行为。</w:t>
      </w:r>
    </w:p>
    <w:p w14:paraId="68F2DFE6">
      <w:pPr>
        <w:pageBreakBefore w:val="0"/>
        <w:kinsoku/>
        <w:wordWrap/>
        <w:overflowPunct/>
        <w:topLinePunct w:val="0"/>
        <w:autoSpaceDE w:val="0"/>
        <w:autoSpaceDN w:val="0"/>
        <w:bidi w:val="0"/>
        <w:adjustRightInd/>
        <w:snapToGrid/>
        <w:spacing w:before="5" w:line="320" w:lineRule="exact"/>
        <w:ind w:left="384" w:right="466" w:firstLine="42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5"/>
          <w:kern w:val="0"/>
          <w:sz w:val="24"/>
          <w:szCs w:val="24"/>
          <w:highlight w:val="none"/>
          <w:lang w:val="zh-CN" w:bidi="zh-CN"/>
        </w:rPr>
        <w:t>（5）</w:t>
      </w:r>
      <w:r>
        <w:rPr>
          <w:rFonts w:hint="eastAsia" w:asciiTheme="minorEastAsia" w:hAnsiTheme="minorEastAsia" w:eastAsiaTheme="minorEastAsia" w:cstheme="minorEastAsia"/>
          <w:spacing w:val="-2"/>
          <w:kern w:val="0"/>
          <w:sz w:val="24"/>
          <w:szCs w:val="24"/>
          <w:highlight w:val="none"/>
          <w:lang w:val="zh-CN" w:bidi="zh-CN"/>
        </w:rPr>
        <w:t>承包人必须具有劳动安全管理部门颁发的安全生产考核合格证书，参加施工的人员，必须接受安全技术教育，熟知和遵守本工种的各项安全技术操作规程，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4C53521">
      <w:pPr>
        <w:pageBreakBefore w:val="0"/>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（6</w:t>
      </w:r>
      <w:r>
        <w:rPr>
          <w:rFonts w:hint="eastAsia" w:asciiTheme="minorEastAsia" w:hAnsiTheme="minorEastAsia" w:eastAsiaTheme="minorEastAsia" w:cstheme="minorEastAsia"/>
          <w:spacing w:val="-104"/>
          <w:kern w:val="0"/>
          <w:sz w:val="24"/>
          <w:szCs w:val="24"/>
          <w:highlight w:val="none"/>
          <w:lang w:val="zh-CN" w:bidi="zh-CN"/>
        </w:rPr>
        <w:t>）</w:t>
      </w:r>
      <w:r>
        <w:rPr>
          <w:rFonts w:hint="eastAsia" w:asciiTheme="minorEastAsia" w:hAnsiTheme="minorEastAsia" w:eastAsiaTheme="minorEastAsia" w:cstheme="minorEastAsia"/>
          <w:spacing w:val="-6"/>
          <w:kern w:val="0"/>
          <w:sz w:val="24"/>
          <w:szCs w:val="24"/>
          <w:highlight w:val="none"/>
          <w:lang w:val="zh-CN" w:bidi="zh-CN"/>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127E3F45">
      <w:pPr>
        <w:pageBreakBefore w:val="0"/>
        <w:kinsoku/>
        <w:wordWrap/>
        <w:overflowPunct/>
        <w:topLinePunct w:val="0"/>
        <w:autoSpaceDE w:val="0"/>
        <w:autoSpaceDN w:val="0"/>
        <w:bidi w:val="0"/>
        <w:adjustRightInd/>
        <w:snapToGrid/>
        <w:spacing w:line="320" w:lineRule="exact"/>
        <w:ind w:left="384" w:right="466" w:firstLine="44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（7）</w:t>
      </w:r>
      <w:r>
        <w:rPr>
          <w:rFonts w:hint="eastAsia" w:asciiTheme="minorEastAsia" w:hAnsiTheme="minorEastAsia" w:eastAsiaTheme="minorEastAsia" w:cstheme="minorEastAsia"/>
          <w:spacing w:val="-7"/>
          <w:kern w:val="0"/>
          <w:sz w:val="24"/>
          <w:szCs w:val="24"/>
          <w:highlight w:val="none"/>
          <w:lang w:val="zh-CN" w:bidi="zh-CN"/>
        </w:rPr>
        <w:t>操作人员上岗，必须按规定穿戴防护用品。施工负责人和安全检查员应随时检查劳动防护用品的穿戴情况，不按规定穿戴防护用品的人员不得上岗。</w:t>
      </w:r>
    </w:p>
    <w:p w14:paraId="7C9AB53A">
      <w:pPr>
        <w:pageBreakBefore w:val="0"/>
        <w:kinsoku/>
        <w:wordWrap/>
        <w:overflowPunct/>
        <w:topLinePunct w:val="0"/>
        <w:autoSpaceDE w:val="0"/>
        <w:autoSpaceDN w:val="0"/>
        <w:bidi w:val="0"/>
        <w:adjustRightInd/>
        <w:snapToGrid/>
        <w:spacing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（8）所有施工机具设备和高空作业的设备均应定期检查，并有安全员的签字记录，保证其经常处于完好状态；不合格的机具、设备和劳动保护用品严禁使用。</w:t>
      </w:r>
    </w:p>
    <w:p w14:paraId="14D92E6D">
      <w:pPr>
        <w:pageBreakBefore w:val="0"/>
        <w:kinsoku/>
        <w:wordWrap/>
        <w:overflowPunct/>
        <w:topLinePunct w:val="0"/>
        <w:autoSpaceDE w:val="0"/>
        <w:autoSpaceDN w:val="0"/>
        <w:bidi w:val="0"/>
        <w:adjustRightInd/>
        <w:snapToGrid/>
        <w:spacing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（9）施工中采用新技术、新工艺、新设备、新材料时，必须制定相应的安全技术措施，施工现场必须具有相关的安全标志牌。</w:t>
      </w:r>
    </w:p>
    <w:p w14:paraId="2EFEA1BD">
      <w:pPr>
        <w:pageBreakBefore w:val="0"/>
        <w:kinsoku/>
        <w:wordWrap/>
        <w:overflowPunct/>
        <w:topLinePunct w:val="0"/>
        <w:autoSpaceDE w:val="0"/>
        <w:autoSpaceDN w:val="0"/>
        <w:bidi w:val="0"/>
        <w:adjustRightInd/>
        <w:snapToGrid/>
        <w:spacing w:line="320" w:lineRule="exact"/>
        <w:ind w:left="384" w:right="465"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 严肃处理相关责任人。</w:t>
      </w:r>
    </w:p>
    <w:p w14:paraId="4F086BEA">
      <w:pPr>
        <w:pageBreakBefore w:val="0"/>
        <w:kinsoku/>
        <w:wordWrap/>
        <w:overflowPunct/>
        <w:topLinePunct w:val="0"/>
        <w:autoSpaceDE w:val="0"/>
        <w:autoSpaceDN w:val="0"/>
        <w:bidi w:val="0"/>
        <w:adjustRightInd/>
        <w:snapToGrid/>
        <w:spacing w:line="320" w:lineRule="exact"/>
        <w:ind w:left="384" w:right="465"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（11）安全生产费用按照《公路水运工程安全生产监督管理办法》的相关规定使用和管理。</w:t>
      </w:r>
    </w:p>
    <w:p w14:paraId="33C946CC">
      <w:pPr>
        <w:pageBreakBefore w:val="0"/>
        <w:kinsoku/>
        <w:wordWrap/>
        <w:overflowPunct/>
        <w:topLinePunct w:val="0"/>
        <w:autoSpaceDE w:val="0"/>
        <w:autoSpaceDN w:val="0"/>
        <w:bidi w:val="0"/>
        <w:adjustRightInd/>
        <w:snapToGrid/>
        <w:spacing w:line="320" w:lineRule="exact"/>
        <w:ind w:firstLine="456" w:firstLineChars="19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3.违约责任</w:t>
      </w:r>
    </w:p>
    <w:p w14:paraId="5F4B3EF4">
      <w:pPr>
        <w:pageBreakBefore w:val="0"/>
        <w:kinsoku/>
        <w:wordWrap/>
        <w:overflowPunct/>
        <w:topLinePunct w:val="0"/>
        <w:autoSpaceDE w:val="0"/>
        <w:autoSpaceDN w:val="0"/>
        <w:bidi w:val="0"/>
        <w:adjustRightInd/>
        <w:snapToGrid/>
        <w:spacing w:before="73" w:line="320" w:lineRule="exact"/>
        <w:ind w:firstLine="696" w:firstLineChars="29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如因发包人或承包人违约造成安全事故，将依法追究责任。</w:t>
      </w:r>
    </w:p>
    <w:p w14:paraId="71643D82">
      <w:pPr>
        <w:pageBreakBefore w:val="0"/>
        <w:numPr>
          <w:ilvl w:val="0"/>
          <w:numId w:val="21"/>
        </w:numPr>
        <w:tabs>
          <w:tab w:val="left" w:pos="1164"/>
        </w:tabs>
        <w:kinsoku/>
        <w:wordWrap/>
        <w:overflowPunct/>
        <w:topLinePunct w:val="0"/>
        <w:autoSpaceDE w:val="0"/>
        <w:autoSpaceDN w:val="0"/>
        <w:bidi w:val="0"/>
        <w:adjustRightInd/>
        <w:snapToGrid/>
        <w:spacing w:before="81" w:line="320" w:lineRule="exact"/>
        <w:ind w:right="466" w:firstLine="476"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
          <w:kern w:val="0"/>
          <w:sz w:val="24"/>
          <w:szCs w:val="24"/>
          <w:highlight w:val="none"/>
          <w:lang w:val="zh-CN" w:bidi="zh-CN"/>
        </w:rPr>
        <w:t>本合同由双方法定代表人或其授权的代理人签署并加盖单位章后生效，全部工程竣工验收后失效。</w:t>
      </w:r>
    </w:p>
    <w:p w14:paraId="0338254C">
      <w:pPr>
        <w:pageBreakBefore w:val="0"/>
        <w:numPr>
          <w:ilvl w:val="0"/>
          <w:numId w:val="21"/>
        </w:numPr>
        <w:tabs>
          <w:tab w:val="left" w:pos="1164"/>
          <w:tab w:val="left" w:pos="4036"/>
          <w:tab w:val="left" w:pos="8107"/>
        </w:tabs>
        <w:kinsoku/>
        <w:wordWrap/>
        <w:overflowPunct/>
        <w:topLinePunct w:val="0"/>
        <w:autoSpaceDE w:val="0"/>
        <w:autoSpaceDN w:val="0"/>
        <w:bidi w:val="0"/>
        <w:adjustRightInd/>
        <w:snapToGrid/>
        <w:spacing w:line="320" w:lineRule="exact"/>
        <w:ind w:right="46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本合同正本二份</w:t>
      </w:r>
      <w:r>
        <w:rPr>
          <w:rFonts w:hint="eastAsia" w:asciiTheme="minorEastAsia" w:hAnsiTheme="minorEastAsia" w:eastAsiaTheme="minorEastAsia" w:cstheme="minorEastAsia"/>
          <w:spacing w:val="-8"/>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副本</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份</w:t>
      </w:r>
      <w:r>
        <w:rPr>
          <w:rFonts w:hint="eastAsia" w:asciiTheme="minorEastAsia" w:hAnsiTheme="minorEastAsia" w:eastAsiaTheme="minorEastAsia" w:cstheme="minorEastAsia"/>
          <w:spacing w:val="-8"/>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合同双方各执正本一份</w:t>
      </w:r>
      <w:r>
        <w:rPr>
          <w:rFonts w:hint="eastAsia" w:asciiTheme="minorEastAsia" w:hAnsiTheme="minorEastAsia" w:eastAsiaTheme="minorEastAsia" w:cstheme="minorEastAsia"/>
          <w:spacing w:val="-5"/>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副本</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份</w:t>
      </w:r>
      <w:r>
        <w:rPr>
          <w:rFonts w:hint="eastAsia" w:asciiTheme="minorEastAsia" w:hAnsiTheme="minorEastAsia" w:eastAsiaTheme="minorEastAsia" w:cstheme="minorEastAsia"/>
          <w:spacing w:val="-8"/>
          <w:kern w:val="0"/>
          <w:sz w:val="24"/>
          <w:szCs w:val="24"/>
          <w:highlight w:val="none"/>
          <w:lang w:val="zh-CN" w:bidi="zh-CN"/>
        </w:rPr>
        <w:t>，</w:t>
      </w:r>
    </w:p>
    <w:p w14:paraId="74FD6F50">
      <w:pPr>
        <w:pageBreakBefore w:val="0"/>
        <w:numPr>
          <w:ilvl w:val="0"/>
          <w:numId w:val="21"/>
        </w:numPr>
        <w:tabs>
          <w:tab w:val="left" w:pos="1164"/>
          <w:tab w:val="left" w:pos="4036"/>
          <w:tab w:val="left" w:pos="8107"/>
        </w:tabs>
        <w:kinsoku/>
        <w:wordWrap/>
        <w:overflowPunct/>
        <w:topLinePunct w:val="0"/>
        <w:autoSpaceDE w:val="0"/>
        <w:autoSpaceDN w:val="0"/>
        <w:bidi w:val="0"/>
        <w:adjustRightInd/>
        <w:snapToGrid/>
        <w:spacing w:line="320" w:lineRule="exact"/>
        <w:ind w:right="46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当正本与副本的内容不一致时，以正本为准。</w:t>
      </w:r>
    </w:p>
    <w:p w14:paraId="117A3749">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5FAB8D5F">
      <w:pPr>
        <w:pageBreakBefore w:val="0"/>
        <w:kinsoku/>
        <w:wordWrap/>
        <w:overflowPunct/>
        <w:topLinePunct w:val="0"/>
        <w:autoSpaceDE w:val="0"/>
        <w:autoSpaceDN w:val="0"/>
        <w:bidi w:val="0"/>
        <w:adjustRightInd/>
        <w:snapToGrid/>
        <w:spacing w:before="11"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1223F292">
      <w:pPr>
        <w:pageBreakBefore w:val="0"/>
        <w:widowControl/>
        <w:kinsoku/>
        <w:wordWrap/>
        <w:overflowPunct/>
        <w:topLinePunct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发包人</w:t>
      </w:r>
      <w:r>
        <w:rPr>
          <w:rFonts w:hint="eastAsia" w:asciiTheme="minorEastAsia" w:hAnsiTheme="minorEastAsia" w:eastAsiaTheme="minorEastAsia" w:cstheme="minorEastAsia"/>
          <w:spacing w:val="-11"/>
          <w:kern w:val="0"/>
          <w:sz w:val="24"/>
          <w:szCs w:val="24"/>
          <w:highlight w:val="none"/>
          <w:lang w:val="zh-CN" w:bidi="zh-CN"/>
        </w:rPr>
        <w:t>：</w:t>
      </w:r>
      <w:r>
        <w:rPr>
          <w:rFonts w:hint="eastAsia" w:asciiTheme="minorEastAsia" w:hAnsiTheme="minorEastAsia" w:eastAsiaTheme="minorEastAsia" w:cstheme="minorEastAsia"/>
          <w:spacing w:val="-11"/>
          <w:kern w:val="0"/>
          <w:sz w:val="24"/>
          <w:szCs w:val="24"/>
          <w:highlight w:val="none"/>
          <w:u w:val="single"/>
          <w:lang w:val="zh-CN" w:bidi="zh-CN"/>
        </w:rPr>
        <w:t xml:space="preserve">   </w:t>
      </w:r>
      <w:r>
        <w:rPr>
          <w:rFonts w:hint="eastAsia" w:asciiTheme="minorEastAsia" w:hAnsiTheme="minorEastAsia" w:eastAsiaTheme="minorEastAsia" w:cstheme="minorEastAsia"/>
          <w:spacing w:val="-11"/>
          <w:kern w:val="0"/>
          <w:sz w:val="24"/>
          <w:szCs w:val="24"/>
          <w:highlight w:val="none"/>
          <w:u w:val="single"/>
          <w:lang w:val="zh-CN" w:bidi="zh-CN"/>
        </w:rPr>
        <w:tab/>
      </w:r>
      <w:r>
        <w:rPr>
          <w:rFonts w:hint="eastAsia" w:asciiTheme="minorEastAsia" w:hAnsiTheme="minorEastAsia" w:eastAsiaTheme="minorEastAsia" w:cstheme="minorEastAsia"/>
          <w:spacing w:val="-3"/>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盖单位章）</w:t>
      </w:r>
      <w:r>
        <w:rPr>
          <w:rFonts w:hint="eastAsia" w:asciiTheme="minorEastAsia" w:hAnsiTheme="minorEastAsia" w:eastAsiaTheme="minorEastAsia" w:cstheme="minorEastAsia"/>
          <w:kern w:val="0"/>
          <w:sz w:val="24"/>
          <w:szCs w:val="24"/>
          <w:highlight w:val="none"/>
          <w:lang w:val="zh-CN" w:bidi="zh-CN"/>
        </w:rPr>
        <w:tab/>
      </w:r>
      <w:r>
        <w:rPr>
          <w:rFonts w:hint="eastAsia" w:asciiTheme="minorEastAsia" w:hAnsiTheme="minorEastAsia" w:eastAsiaTheme="minorEastAsia" w:cstheme="minorEastAsia"/>
          <w:kern w:val="0"/>
          <w:sz w:val="24"/>
          <w:szCs w:val="24"/>
          <w:highlight w:val="none"/>
          <w:lang w:val="zh-CN" w:bidi="zh-CN"/>
        </w:rPr>
        <w:t xml:space="preserve">   </w:t>
      </w:r>
      <w:r>
        <w:rPr>
          <w:rFonts w:hint="eastAsia" w:asciiTheme="minorEastAsia" w:hAnsiTheme="minorEastAsia" w:eastAsiaTheme="minorEastAsia" w:cstheme="minorEastAsia"/>
          <w:kern w:val="0"/>
          <w:sz w:val="24"/>
          <w:szCs w:val="24"/>
          <w:highlight w:val="none"/>
          <w:lang w:val="en-US" w:bidi="zh-CN"/>
        </w:rPr>
        <w:t xml:space="preserve">        </w:t>
      </w:r>
      <w:r>
        <w:rPr>
          <w:rFonts w:hint="eastAsia" w:asciiTheme="minorEastAsia" w:hAnsiTheme="minorEastAsia" w:eastAsiaTheme="minorEastAsia" w:cstheme="minorEastAsia"/>
          <w:kern w:val="0"/>
          <w:sz w:val="24"/>
          <w:szCs w:val="24"/>
          <w:highlight w:val="none"/>
          <w:lang w:val="zh-CN" w:bidi="zh-CN"/>
        </w:rPr>
        <w:t>承包人</w:t>
      </w:r>
      <w:r>
        <w:rPr>
          <w:rFonts w:hint="eastAsia" w:asciiTheme="minorEastAsia" w:hAnsiTheme="minorEastAsia" w:eastAsiaTheme="minorEastAsia" w:cstheme="minorEastAsia"/>
          <w:spacing w:val="-10"/>
          <w:kern w:val="0"/>
          <w:sz w:val="24"/>
          <w:szCs w:val="24"/>
          <w:highlight w:val="none"/>
          <w:lang w:val="zh-CN" w:bidi="zh-CN"/>
        </w:rPr>
        <w:t>：</w:t>
      </w:r>
      <w:r>
        <w:rPr>
          <w:rFonts w:hint="eastAsia" w:asciiTheme="minorEastAsia" w:hAnsiTheme="minorEastAsia" w:eastAsiaTheme="minorEastAsia" w:cstheme="minorEastAsia"/>
          <w:spacing w:val="-10"/>
          <w:kern w:val="0"/>
          <w:sz w:val="24"/>
          <w:szCs w:val="24"/>
          <w:highlight w:val="none"/>
          <w:u w:val="single"/>
          <w:lang w:val="zh-CN" w:bidi="zh-CN"/>
        </w:rPr>
        <w:tab/>
      </w:r>
      <w:r>
        <w:rPr>
          <w:rFonts w:hint="eastAsia" w:asciiTheme="minorEastAsia" w:hAnsiTheme="minorEastAsia" w:eastAsiaTheme="minorEastAsia" w:cstheme="minorEastAsia"/>
          <w:spacing w:val="-10"/>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lang w:val="zh-CN" w:bidi="zh-CN"/>
        </w:rPr>
        <w:t xml:space="preserve">（盖单位章） </w:t>
      </w:r>
    </w:p>
    <w:p w14:paraId="1F17F531">
      <w:pPr>
        <w:pageBreakBefore w:val="0"/>
        <w:widowControl/>
        <w:kinsoku/>
        <w:wordWrap/>
        <w:overflowPunct/>
        <w:topLinePunct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法定代表人或其委托代理人</w:t>
      </w:r>
      <w:r>
        <w:rPr>
          <w:rFonts w:hint="eastAsia" w:asciiTheme="minorEastAsia" w:hAnsiTheme="minorEastAsia" w:eastAsiaTheme="minorEastAsia" w:cstheme="minorEastAsia"/>
          <w:spacing w:val="-28"/>
          <w:kern w:val="0"/>
          <w:sz w:val="24"/>
          <w:szCs w:val="24"/>
          <w:highlight w:val="none"/>
          <w:lang w:val="zh-CN" w:bidi="zh-CN"/>
        </w:rPr>
        <w:t>：</w:t>
      </w:r>
      <w:r>
        <w:rPr>
          <w:rFonts w:hint="eastAsia" w:asciiTheme="minorEastAsia" w:hAnsiTheme="minorEastAsia" w:eastAsiaTheme="minorEastAsia" w:cstheme="minorEastAsia"/>
          <w:spacing w:val="-10"/>
          <w:kern w:val="0"/>
          <w:sz w:val="24"/>
          <w:szCs w:val="24"/>
          <w:highlight w:val="none"/>
          <w:u w:val="single"/>
          <w:lang w:val="zh-CN" w:bidi="zh-CN"/>
        </w:rPr>
        <w:t xml:space="preserve"> </w:t>
      </w:r>
      <w:r>
        <w:rPr>
          <w:rFonts w:hint="eastAsia" w:asciiTheme="minorEastAsia" w:hAnsiTheme="minorEastAsia" w:eastAsiaTheme="minorEastAsia" w:cstheme="minorEastAsia"/>
          <w:spacing w:val="-3"/>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签字）</w:t>
      </w:r>
      <w:r>
        <w:rPr>
          <w:rFonts w:hint="eastAsia" w:asciiTheme="minorEastAsia" w:hAnsiTheme="minorEastAsia" w:eastAsiaTheme="minorEastAsia" w:cstheme="minorEastAsia"/>
          <w:spacing w:val="-32"/>
          <w:kern w:val="0"/>
          <w:sz w:val="24"/>
          <w:szCs w:val="24"/>
          <w:highlight w:val="none"/>
          <w:lang w:val="zh-CN" w:bidi="zh-CN"/>
        </w:rPr>
        <w:t xml:space="preserve"> </w:t>
      </w:r>
      <w:r>
        <w:rPr>
          <w:rFonts w:hint="eastAsia" w:asciiTheme="minorEastAsia" w:hAnsiTheme="minorEastAsia" w:eastAsiaTheme="minorEastAsia" w:cstheme="minorEastAsia"/>
          <w:kern w:val="0"/>
          <w:sz w:val="24"/>
          <w:szCs w:val="24"/>
          <w:highlight w:val="none"/>
          <w:lang w:val="zh-CN" w:bidi="zh-CN"/>
        </w:rPr>
        <w:t>法定代表人或其委托代理人</w:t>
      </w:r>
      <w:r>
        <w:rPr>
          <w:rFonts w:hint="eastAsia" w:asciiTheme="minorEastAsia" w:hAnsiTheme="minorEastAsia" w:eastAsiaTheme="minorEastAsia" w:cstheme="minorEastAsia"/>
          <w:spacing w:val="-29"/>
          <w:kern w:val="0"/>
          <w:sz w:val="24"/>
          <w:szCs w:val="24"/>
          <w:highlight w:val="none"/>
          <w:lang w:val="zh-CN" w:bidi="zh-CN"/>
        </w:rPr>
        <w:t>：</w:t>
      </w:r>
      <w:r>
        <w:rPr>
          <w:rFonts w:hint="eastAsia" w:asciiTheme="minorEastAsia" w:hAnsiTheme="minorEastAsia" w:eastAsiaTheme="minorEastAsia" w:cstheme="minorEastAsia"/>
          <w:spacing w:val="-7"/>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lang w:val="zh-CN" w:bidi="zh-CN"/>
        </w:rPr>
        <w:t>（签字）</w:t>
      </w:r>
    </w:p>
    <w:p w14:paraId="1ABFFC63">
      <w:pPr>
        <w:pageBreakBefore w:val="0"/>
        <w:tabs>
          <w:tab w:val="left" w:pos="2303"/>
          <w:tab w:val="left" w:pos="3143"/>
          <w:tab w:val="left" w:pos="3983"/>
          <w:tab w:val="left" w:pos="5903"/>
          <w:tab w:val="left" w:pos="6983"/>
          <w:tab w:val="left" w:pos="7823"/>
          <w:tab w:val="left" w:pos="8663"/>
        </w:tabs>
        <w:kinsoku/>
        <w:wordWrap/>
        <w:overflowPunct/>
        <w:topLinePunct w:val="0"/>
        <w:autoSpaceDE w:val="0"/>
        <w:autoSpaceDN w:val="0"/>
        <w:bidi w:val="0"/>
        <w:adjustRightInd/>
        <w:snapToGrid/>
        <w:spacing w:before="1" w:line="320" w:lineRule="exact"/>
        <w:ind w:left="1224"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年</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月</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日</w:t>
      </w:r>
      <w:r>
        <w:rPr>
          <w:rFonts w:hint="eastAsia" w:asciiTheme="minorEastAsia" w:hAnsiTheme="minorEastAsia" w:eastAsiaTheme="minorEastAsia" w:cstheme="minorEastAsia"/>
          <w:kern w:val="0"/>
          <w:sz w:val="24"/>
          <w:szCs w:val="24"/>
          <w:highlight w:val="none"/>
          <w:lang w:val="zh-CN" w:bidi="zh-CN"/>
        </w:rPr>
        <w:tab/>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年</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月</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日</w:t>
      </w:r>
    </w:p>
    <w:p w14:paraId="5AB00D3A">
      <w:pPr>
        <w:pageBreakBefore w:val="0"/>
        <w:widowControl/>
        <w:kinsoku/>
        <w:wordWrap/>
        <w:overflowPunct/>
        <w:topLinePunct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65D42FEA">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25AB2185">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1139649F">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6565B568">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22D17AFB">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4AB8CEA3">
      <w:pPr>
        <w:pageBreakBefore w:val="0"/>
        <w:kinsoku/>
        <w:wordWrap/>
        <w:overflowPunct/>
        <w:topLinePunct w:val="0"/>
        <w:autoSpaceDE w:val="0"/>
        <w:autoSpaceDN w:val="0"/>
        <w:bidi w:val="0"/>
        <w:adjustRightInd/>
        <w:snapToGrid/>
        <w:spacing w:before="4"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298DC5A8">
      <w:pPr>
        <w:keepNext/>
        <w:keepLines/>
        <w:pageBreakBefore w:val="0"/>
        <w:widowControl/>
        <w:kinsoku/>
        <w:wordWrap/>
        <w:overflowPunct/>
        <w:topLinePunct w:val="0"/>
        <w:bidi w:val="0"/>
        <w:adjustRightInd/>
        <w:snapToGrid/>
        <w:spacing w:before="260" w:after="260"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bookmarkStart w:id="419" w:name="_Toc256000050"/>
      <w:r>
        <w:rPr>
          <w:rFonts w:hint="eastAsia" w:asciiTheme="minorEastAsia" w:hAnsiTheme="minorEastAsia" w:eastAsiaTheme="minorEastAsia" w:cstheme="minorEastAsia"/>
          <w:b/>
          <w:bCs/>
          <w:kern w:val="0"/>
          <w:sz w:val="24"/>
          <w:szCs w:val="24"/>
          <w:highlight w:val="none"/>
          <w:lang w:val="zh-CN" w:bidi="zh-CN"/>
        </w:rPr>
        <w:t>附件四 其他管理和技术人员最低要求</w:t>
      </w:r>
      <w:bookmarkEnd w:id="419"/>
      <w:r>
        <w:rPr>
          <w:rFonts w:hint="eastAsia" w:asciiTheme="minorEastAsia" w:hAnsiTheme="minorEastAsia" w:eastAsiaTheme="minorEastAsia" w:cstheme="minorEastAsia"/>
          <w:b/>
          <w:bCs/>
          <w:kern w:val="0"/>
          <w:sz w:val="24"/>
          <w:szCs w:val="24"/>
          <w:highlight w:val="none"/>
          <w:lang w:val="zh-CN" w:bidi="zh-CN"/>
        </w:rPr>
        <w:t xml:space="preserve"> </w:t>
      </w:r>
    </w:p>
    <w:tbl>
      <w:tblPr>
        <w:tblStyle w:val="25"/>
        <w:tblW w:w="0" w:type="auto"/>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8"/>
        <w:gridCol w:w="2161"/>
        <w:gridCol w:w="4282"/>
      </w:tblGrid>
      <w:tr w14:paraId="27CE1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2448" w:type="dxa"/>
            <w:noWrap w:val="0"/>
            <w:vAlign w:val="top"/>
          </w:tcPr>
          <w:p w14:paraId="1C1E84BE">
            <w:pPr>
              <w:pageBreakBefore w:val="0"/>
              <w:kinsoku/>
              <w:wordWrap/>
              <w:overflowPunct/>
              <w:topLinePunct w:val="0"/>
              <w:autoSpaceDE w:val="0"/>
              <w:autoSpaceDN w:val="0"/>
              <w:bidi w:val="0"/>
              <w:adjustRightInd/>
              <w:snapToGrid/>
              <w:spacing w:before="8"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4046E039">
            <w:pPr>
              <w:pageBreakBefore w:val="0"/>
              <w:tabs>
                <w:tab w:val="left" w:pos="489"/>
              </w:tabs>
              <w:kinsoku/>
              <w:wordWrap/>
              <w:overflowPunct/>
              <w:topLinePunct w:val="0"/>
              <w:autoSpaceDE w:val="0"/>
              <w:autoSpaceDN w:val="0"/>
              <w:bidi w:val="0"/>
              <w:adjustRightInd/>
              <w:snapToGrid/>
              <w:spacing w:line="320" w:lineRule="exact"/>
              <w:ind w:left="9" w:firstLine="480" w:firstLineChars="200"/>
              <w:jc w:val="center"/>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人</w:t>
            </w:r>
            <w:r>
              <w:rPr>
                <w:rFonts w:hint="eastAsia" w:asciiTheme="minorEastAsia" w:hAnsiTheme="minorEastAsia" w:eastAsiaTheme="minorEastAsia" w:cstheme="minorEastAsia"/>
                <w:kern w:val="0"/>
                <w:sz w:val="24"/>
                <w:szCs w:val="24"/>
                <w:highlight w:val="none"/>
                <w:lang w:val="zh-CN" w:bidi="zh-CN"/>
              </w:rPr>
              <w:tab/>
            </w:r>
            <w:r>
              <w:rPr>
                <w:rFonts w:hint="eastAsia" w:asciiTheme="minorEastAsia" w:hAnsiTheme="minorEastAsia" w:eastAsiaTheme="minorEastAsia" w:cstheme="minorEastAsia"/>
                <w:kern w:val="0"/>
                <w:sz w:val="24"/>
                <w:szCs w:val="24"/>
                <w:highlight w:val="none"/>
                <w:lang w:val="zh-CN" w:bidi="zh-CN"/>
              </w:rPr>
              <w:t>员</w:t>
            </w:r>
          </w:p>
        </w:tc>
        <w:tc>
          <w:tcPr>
            <w:tcW w:w="2161" w:type="dxa"/>
            <w:noWrap w:val="0"/>
            <w:vAlign w:val="top"/>
          </w:tcPr>
          <w:p w14:paraId="00981291">
            <w:pPr>
              <w:pageBreakBefore w:val="0"/>
              <w:kinsoku/>
              <w:wordWrap/>
              <w:overflowPunct/>
              <w:topLinePunct w:val="0"/>
              <w:autoSpaceDE w:val="0"/>
              <w:autoSpaceDN w:val="0"/>
              <w:bidi w:val="0"/>
              <w:adjustRightInd/>
              <w:snapToGrid/>
              <w:spacing w:before="8"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1303EB1A">
            <w:pPr>
              <w:pageBreakBefore w:val="0"/>
              <w:tabs>
                <w:tab w:val="left" w:pos="1199"/>
              </w:tabs>
              <w:kinsoku/>
              <w:wordWrap/>
              <w:overflowPunct/>
              <w:topLinePunct w:val="0"/>
              <w:autoSpaceDE w:val="0"/>
              <w:autoSpaceDN w:val="0"/>
              <w:bidi w:val="0"/>
              <w:adjustRightInd/>
              <w:snapToGrid/>
              <w:spacing w:line="320" w:lineRule="exact"/>
              <w:ind w:left="719"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数</w:t>
            </w:r>
            <w:r>
              <w:rPr>
                <w:rFonts w:hint="eastAsia" w:asciiTheme="minorEastAsia" w:hAnsiTheme="minorEastAsia" w:eastAsiaTheme="minorEastAsia" w:cstheme="minorEastAsia"/>
                <w:kern w:val="0"/>
                <w:sz w:val="24"/>
                <w:szCs w:val="24"/>
                <w:highlight w:val="none"/>
                <w:lang w:val="zh-CN" w:bidi="zh-CN"/>
              </w:rPr>
              <w:tab/>
            </w:r>
            <w:r>
              <w:rPr>
                <w:rFonts w:hint="eastAsia" w:asciiTheme="minorEastAsia" w:hAnsiTheme="minorEastAsia" w:eastAsiaTheme="minorEastAsia" w:cstheme="minorEastAsia"/>
                <w:kern w:val="0"/>
                <w:sz w:val="24"/>
                <w:szCs w:val="24"/>
                <w:highlight w:val="none"/>
                <w:lang w:val="zh-CN" w:bidi="zh-CN"/>
              </w:rPr>
              <w:t>量</w:t>
            </w:r>
          </w:p>
        </w:tc>
        <w:tc>
          <w:tcPr>
            <w:tcW w:w="4282" w:type="dxa"/>
            <w:noWrap w:val="0"/>
            <w:vAlign w:val="top"/>
          </w:tcPr>
          <w:p w14:paraId="111B7164">
            <w:pPr>
              <w:pageBreakBefore w:val="0"/>
              <w:kinsoku/>
              <w:wordWrap/>
              <w:overflowPunct/>
              <w:topLinePunct w:val="0"/>
              <w:autoSpaceDE w:val="0"/>
              <w:autoSpaceDN w:val="0"/>
              <w:bidi w:val="0"/>
              <w:adjustRightInd/>
              <w:snapToGrid/>
              <w:spacing w:before="8"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6A5E1CF9">
            <w:pPr>
              <w:pageBreakBefore w:val="0"/>
              <w:kinsoku/>
              <w:wordWrap/>
              <w:overflowPunct/>
              <w:topLinePunct w:val="0"/>
              <w:autoSpaceDE w:val="0"/>
              <w:autoSpaceDN w:val="0"/>
              <w:bidi w:val="0"/>
              <w:adjustRightInd/>
              <w:snapToGrid/>
              <w:spacing w:line="320" w:lineRule="exact"/>
              <w:ind w:left="1459" w:right="1452" w:firstLine="480" w:firstLineChars="200"/>
              <w:jc w:val="center"/>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资 格 要 求</w:t>
            </w:r>
          </w:p>
        </w:tc>
      </w:tr>
      <w:tr w14:paraId="53DF0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8" w:type="dxa"/>
            <w:noWrap w:val="0"/>
            <w:vAlign w:val="top"/>
          </w:tcPr>
          <w:p w14:paraId="185AC830">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61" w:type="dxa"/>
            <w:noWrap w:val="0"/>
            <w:vAlign w:val="top"/>
          </w:tcPr>
          <w:p w14:paraId="6E18D326">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4282" w:type="dxa"/>
            <w:noWrap w:val="0"/>
            <w:vAlign w:val="top"/>
          </w:tcPr>
          <w:p w14:paraId="3E8C0901">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4E1D2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8" w:type="dxa"/>
            <w:noWrap w:val="0"/>
            <w:vAlign w:val="top"/>
          </w:tcPr>
          <w:p w14:paraId="0551AC8A">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61" w:type="dxa"/>
            <w:noWrap w:val="0"/>
            <w:vAlign w:val="top"/>
          </w:tcPr>
          <w:p w14:paraId="072A5C04">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4282" w:type="dxa"/>
            <w:noWrap w:val="0"/>
            <w:vAlign w:val="top"/>
          </w:tcPr>
          <w:p w14:paraId="4A8813E8">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6EFAA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8" w:type="dxa"/>
            <w:noWrap w:val="0"/>
            <w:vAlign w:val="top"/>
          </w:tcPr>
          <w:p w14:paraId="146B0885">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61" w:type="dxa"/>
            <w:noWrap w:val="0"/>
            <w:vAlign w:val="top"/>
          </w:tcPr>
          <w:p w14:paraId="02C06698">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4282" w:type="dxa"/>
            <w:noWrap w:val="0"/>
            <w:vAlign w:val="top"/>
          </w:tcPr>
          <w:p w14:paraId="5B428657">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244D9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8" w:type="dxa"/>
            <w:noWrap w:val="0"/>
            <w:vAlign w:val="top"/>
          </w:tcPr>
          <w:p w14:paraId="1EF0E6B2">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61" w:type="dxa"/>
            <w:noWrap w:val="0"/>
            <w:vAlign w:val="top"/>
          </w:tcPr>
          <w:p w14:paraId="058CB97A">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4282" w:type="dxa"/>
            <w:noWrap w:val="0"/>
            <w:vAlign w:val="top"/>
          </w:tcPr>
          <w:p w14:paraId="5AEC60E6">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7CB3B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8" w:type="dxa"/>
            <w:noWrap w:val="0"/>
            <w:vAlign w:val="top"/>
          </w:tcPr>
          <w:p w14:paraId="10DE7554">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61" w:type="dxa"/>
            <w:noWrap w:val="0"/>
            <w:vAlign w:val="top"/>
          </w:tcPr>
          <w:p w14:paraId="7B0CB4C8">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4282" w:type="dxa"/>
            <w:noWrap w:val="0"/>
            <w:vAlign w:val="top"/>
          </w:tcPr>
          <w:p w14:paraId="0F974045">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0DC26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8" w:type="dxa"/>
            <w:noWrap w:val="0"/>
            <w:vAlign w:val="top"/>
          </w:tcPr>
          <w:p w14:paraId="1F816012">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61" w:type="dxa"/>
            <w:noWrap w:val="0"/>
            <w:vAlign w:val="top"/>
          </w:tcPr>
          <w:p w14:paraId="1ACDDEA3">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4282" w:type="dxa"/>
            <w:noWrap w:val="0"/>
            <w:vAlign w:val="top"/>
          </w:tcPr>
          <w:p w14:paraId="7E3D7BD6">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78A6E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8" w:type="dxa"/>
            <w:noWrap w:val="0"/>
            <w:vAlign w:val="top"/>
          </w:tcPr>
          <w:p w14:paraId="0F009E08">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61" w:type="dxa"/>
            <w:noWrap w:val="0"/>
            <w:vAlign w:val="top"/>
          </w:tcPr>
          <w:p w14:paraId="41D158EC">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4282" w:type="dxa"/>
            <w:noWrap w:val="0"/>
            <w:vAlign w:val="top"/>
          </w:tcPr>
          <w:p w14:paraId="4EE80ABB">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5C724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8" w:type="dxa"/>
            <w:noWrap w:val="0"/>
            <w:vAlign w:val="top"/>
          </w:tcPr>
          <w:p w14:paraId="501868E6">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61" w:type="dxa"/>
            <w:noWrap w:val="0"/>
            <w:vAlign w:val="top"/>
          </w:tcPr>
          <w:p w14:paraId="6CFB95CD">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4282" w:type="dxa"/>
            <w:noWrap w:val="0"/>
            <w:vAlign w:val="top"/>
          </w:tcPr>
          <w:p w14:paraId="57FD9757">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69475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8" w:type="dxa"/>
            <w:noWrap w:val="0"/>
            <w:vAlign w:val="top"/>
          </w:tcPr>
          <w:p w14:paraId="3D916834">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61" w:type="dxa"/>
            <w:noWrap w:val="0"/>
            <w:vAlign w:val="top"/>
          </w:tcPr>
          <w:p w14:paraId="12BE57C1">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4282" w:type="dxa"/>
            <w:noWrap w:val="0"/>
            <w:vAlign w:val="top"/>
          </w:tcPr>
          <w:p w14:paraId="471E136A">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73903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8" w:type="dxa"/>
            <w:noWrap w:val="0"/>
            <w:vAlign w:val="top"/>
          </w:tcPr>
          <w:p w14:paraId="1C0D134A">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61" w:type="dxa"/>
            <w:noWrap w:val="0"/>
            <w:vAlign w:val="top"/>
          </w:tcPr>
          <w:p w14:paraId="585238A1">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4282" w:type="dxa"/>
            <w:noWrap w:val="0"/>
            <w:vAlign w:val="top"/>
          </w:tcPr>
          <w:p w14:paraId="48EB6ACD">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2BCBE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8" w:type="dxa"/>
            <w:noWrap w:val="0"/>
            <w:vAlign w:val="top"/>
          </w:tcPr>
          <w:p w14:paraId="4E9FCF6E">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61" w:type="dxa"/>
            <w:noWrap w:val="0"/>
            <w:vAlign w:val="top"/>
          </w:tcPr>
          <w:p w14:paraId="0F0CB54A">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4282" w:type="dxa"/>
            <w:noWrap w:val="0"/>
            <w:vAlign w:val="top"/>
          </w:tcPr>
          <w:p w14:paraId="46212D9D">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393AF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8" w:type="dxa"/>
            <w:noWrap w:val="0"/>
            <w:vAlign w:val="top"/>
          </w:tcPr>
          <w:p w14:paraId="784656FC">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61" w:type="dxa"/>
            <w:noWrap w:val="0"/>
            <w:vAlign w:val="top"/>
          </w:tcPr>
          <w:p w14:paraId="7860B61C">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4282" w:type="dxa"/>
            <w:noWrap w:val="0"/>
            <w:vAlign w:val="top"/>
          </w:tcPr>
          <w:p w14:paraId="0E9C25EF">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37E4D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8" w:type="dxa"/>
            <w:noWrap w:val="0"/>
            <w:vAlign w:val="top"/>
          </w:tcPr>
          <w:p w14:paraId="13D66BC6">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61" w:type="dxa"/>
            <w:noWrap w:val="0"/>
            <w:vAlign w:val="top"/>
          </w:tcPr>
          <w:p w14:paraId="4294F528">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4282" w:type="dxa"/>
            <w:noWrap w:val="0"/>
            <w:vAlign w:val="top"/>
          </w:tcPr>
          <w:p w14:paraId="588495FD">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52C87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8" w:type="dxa"/>
            <w:noWrap w:val="0"/>
            <w:vAlign w:val="top"/>
          </w:tcPr>
          <w:p w14:paraId="4710E958">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61" w:type="dxa"/>
            <w:noWrap w:val="0"/>
            <w:vAlign w:val="top"/>
          </w:tcPr>
          <w:p w14:paraId="7C9E2836">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4282" w:type="dxa"/>
            <w:noWrap w:val="0"/>
            <w:vAlign w:val="top"/>
          </w:tcPr>
          <w:p w14:paraId="64B305BC">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bl>
    <w:p w14:paraId="6B0D0132">
      <w:pPr>
        <w:pageBreakBefore w:val="0"/>
        <w:kinsoku/>
        <w:wordWrap/>
        <w:overflowPunct/>
        <w:topLinePunct w:val="0"/>
        <w:autoSpaceDE w:val="0"/>
        <w:autoSpaceDN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1DD8BE2D">
      <w:pPr>
        <w:pageBreakBefore w:val="0"/>
        <w:kinsoku/>
        <w:wordWrap/>
        <w:overflowPunct/>
        <w:topLinePunct w:val="0"/>
        <w:autoSpaceDE w:val="0"/>
        <w:autoSpaceDN w:val="0"/>
        <w:bidi w:val="0"/>
        <w:adjustRightInd/>
        <w:snapToGrid/>
        <w:spacing w:before="4"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3DF071B7">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bookmarkStart w:id="420" w:name="_Toc256000051"/>
    </w:p>
    <w:p w14:paraId="242F27B5">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48D95F4F">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07D0D596">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6E374A1B">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4407CC96">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45D41C7D">
      <w:pPr>
        <w:keepNext/>
        <w:keepLines/>
        <w:pageBreakBefore w:val="0"/>
        <w:widowControl/>
        <w:kinsoku/>
        <w:wordWrap/>
        <w:overflowPunct/>
        <w:topLinePunct w:val="0"/>
        <w:bidi w:val="0"/>
        <w:adjustRightInd/>
        <w:snapToGrid/>
        <w:spacing w:before="260" w:after="26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附件五 主要机械设备和试验检测设备最低要求</w:t>
      </w:r>
      <w:bookmarkEnd w:id="420"/>
    </w:p>
    <w:p w14:paraId="7CF86ABF">
      <w:pPr>
        <w:pageBreakBefore w:val="0"/>
        <w:kinsoku/>
        <w:wordWrap/>
        <w:overflowPunct/>
        <w:topLinePunct w:val="0"/>
        <w:autoSpaceDE w:val="0"/>
        <w:autoSpaceDN w:val="0"/>
        <w:bidi w:val="0"/>
        <w:adjustRightInd/>
        <w:snapToGrid/>
        <w:spacing w:before="4"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p>
    <w:tbl>
      <w:tblPr>
        <w:tblStyle w:val="25"/>
        <w:tblW w:w="0" w:type="auto"/>
        <w:tblInd w:w="4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2"/>
        <w:gridCol w:w="2745"/>
        <w:gridCol w:w="1386"/>
        <w:gridCol w:w="2194"/>
      </w:tblGrid>
      <w:tr w14:paraId="130B4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noWrap w:val="0"/>
            <w:vAlign w:val="top"/>
          </w:tcPr>
          <w:p w14:paraId="54B297C9">
            <w:pPr>
              <w:pageBreakBefore w:val="0"/>
              <w:kinsoku/>
              <w:wordWrap/>
              <w:overflowPunct/>
              <w:topLinePunct w:val="0"/>
              <w:autoSpaceDE w:val="0"/>
              <w:autoSpaceDN w:val="0"/>
              <w:bidi w:val="0"/>
              <w:adjustRightInd/>
              <w:snapToGrid/>
              <w:spacing w:before="203" w:line="320" w:lineRule="exact"/>
              <w:ind w:left="63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设备名称</w:t>
            </w:r>
          </w:p>
        </w:tc>
        <w:tc>
          <w:tcPr>
            <w:tcW w:w="2745" w:type="dxa"/>
            <w:noWrap w:val="0"/>
            <w:vAlign w:val="top"/>
          </w:tcPr>
          <w:p w14:paraId="1C1C6280">
            <w:pPr>
              <w:pageBreakBefore w:val="0"/>
              <w:kinsoku/>
              <w:wordWrap/>
              <w:overflowPunct/>
              <w:topLinePunct w:val="0"/>
              <w:autoSpaceDE w:val="0"/>
              <w:autoSpaceDN w:val="0"/>
              <w:bidi w:val="0"/>
              <w:adjustRightInd/>
              <w:snapToGrid/>
              <w:spacing w:before="203" w:line="320" w:lineRule="exact"/>
              <w:ind w:left="411"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规格、功率及容量</w:t>
            </w:r>
          </w:p>
        </w:tc>
        <w:tc>
          <w:tcPr>
            <w:tcW w:w="1386" w:type="dxa"/>
            <w:noWrap w:val="0"/>
            <w:vAlign w:val="top"/>
          </w:tcPr>
          <w:p w14:paraId="14F90C22">
            <w:pPr>
              <w:pageBreakBefore w:val="0"/>
              <w:kinsoku/>
              <w:wordWrap/>
              <w:overflowPunct/>
              <w:topLinePunct w:val="0"/>
              <w:autoSpaceDE w:val="0"/>
              <w:autoSpaceDN w:val="0"/>
              <w:bidi w:val="0"/>
              <w:adjustRightInd/>
              <w:snapToGrid/>
              <w:spacing w:before="203" w:line="320" w:lineRule="exact"/>
              <w:ind w:left="452"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单位</w:t>
            </w:r>
          </w:p>
        </w:tc>
        <w:tc>
          <w:tcPr>
            <w:tcW w:w="2194" w:type="dxa"/>
            <w:noWrap w:val="0"/>
            <w:vAlign w:val="top"/>
          </w:tcPr>
          <w:p w14:paraId="1952FD94">
            <w:pPr>
              <w:pageBreakBefore w:val="0"/>
              <w:kinsoku/>
              <w:wordWrap/>
              <w:overflowPunct/>
              <w:topLinePunct w:val="0"/>
              <w:autoSpaceDE w:val="0"/>
              <w:autoSpaceDN w:val="0"/>
              <w:bidi w:val="0"/>
              <w:adjustRightInd/>
              <w:snapToGrid/>
              <w:spacing w:before="203" w:line="320" w:lineRule="exact"/>
              <w:ind w:left="37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最低数量要求</w:t>
            </w:r>
          </w:p>
        </w:tc>
      </w:tr>
      <w:tr w14:paraId="67471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noWrap w:val="0"/>
            <w:vAlign w:val="top"/>
          </w:tcPr>
          <w:p w14:paraId="30E97821">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745" w:type="dxa"/>
            <w:noWrap w:val="0"/>
            <w:vAlign w:val="top"/>
          </w:tcPr>
          <w:p w14:paraId="4DA2BE35">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1386" w:type="dxa"/>
            <w:noWrap w:val="0"/>
            <w:vAlign w:val="top"/>
          </w:tcPr>
          <w:p w14:paraId="31A75D9F">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94" w:type="dxa"/>
            <w:noWrap w:val="0"/>
            <w:vAlign w:val="top"/>
          </w:tcPr>
          <w:p w14:paraId="19F776C7">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5FE08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noWrap w:val="0"/>
            <w:vAlign w:val="top"/>
          </w:tcPr>
          <w:p w14:paraId="3F260F0F">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745" w:type="dxa"/>
            <w:noWrap w:val="0"/>
            <w:vAlign w:val="top"/>
          </w:tcPr>
          <w:p w14:paraId="534C1092">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1386" w:type="dxa"/>
            <w:noWrap w:val="0"/>
            <w:vAlign w:val="top"/>
          </w:tcPr>
          <w:p w14:paraId="207F55C1">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94" w:type="dxa"/>
            <w:noWrap w:val="0"/>
            <w:vAlign w:val="top"/>
          </w:tcPr>
          <w:p w14:paraId="430C721C">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40C90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noWrap w:val="0"/>
            <w:vAlign w:val="top"/>
          </w:tcPr>
          <w:p w14:paraId="16CC9EC5">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745" w:type="dxa"/>
            <w:noWrap w:val="0"/>
            <w:vAlign w:val="top"/>
          </w:tcPr>
          <w:p w14:paraId="4991F83B">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1386" w:type="dxa"/>
            <w:noWrap w:val="0"/>
            <w:vAlign w:val="top"/>
          </w:tcPr>
          <w:p w14:paraId="3D472704">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94" w:type="dxa"/>
            <w:noWrap w:val="0"/>
            <w:vAlign w:val="top"/>
          </w:tcPr>
          <w:p w14:paraId="094297D0">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14DB4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noWrap w:val="0"/>
            <w:vAlign w:val="top"/>
          </w:tcPr>
          <w:p w14:paraId="36789975">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745" w:type="dxa"/>
            <w:noWrap w:val="0"/>
            <w:vAlign w:val="top"/>
          </w:tcPr>
          <w:p w14:paraId="525F2F0B">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1386" w:type="dxa"/>
            <w:noWrap w:val="0"/>
            <w:vAlign w:val="top"/>
          </w:tcPr>
          <w:p w14:paraId="15DC92EA">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94" w:type="dxa"/>
            <w:noWrap w:val="0"/>
            <w:vAlign w:val="top"/>
          </w:tcPr>
          <w:p w14:paraId="758E41A9">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299DD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noWrap w:val="0"/>
            <w:vAlign w:val="top"/>
          </w:tcPr>
          <w:p w14:paraId="09E7F412">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745" w:type="dxa"/>
            <w:noWrap w:val="0"/>
            <w:vAlign w:val="top"/>
          </w:tcPr>
          <w:p w14:paraId="575C87C7">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1386" w:type="dxa"/>
            <w:noWrap w:val="0"/>
            <w:vAlign w:val="top"/>
          </w:tcPr>
          <w:p w14:paraId="5FEB5B04">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94" w:type="dxa"/>
            <w:noWrap w:val="0"/>
            <w:vAlign w:val="top"/>
          </w:tcPr>
          <w:p w14:paraId="4236115F">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1CF5A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noWrap w:val="0"/>
            <w:vAlign w:val="top"/>
          </w:tcPr>
          <w:p w14:paraId="3452FD9C">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745" w:type="dxa"/>
            <w:noWrap w:val="0"/>
            <w:vAlign w:val="top"/>
          </w:tcPr>
          <w:p w14:paraId="6F1BA8DC">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1386" w:type="dxa"/>
            <w:noWrap w:val="0"/>
            <w:vAlign w:val="top"/>
          </w:tcPr>
          <w:p w14:paraId="0C4F453A">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94" w:type="dxa"/>
            <w:noWrap w:val="0"/>
            <w:vAlign w:val="top"/>
          </w:tcPr>
          <w:p w14:paraId="1DD5DCA1">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08616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noWrap w:val="0"/>
            <w:vAlign w:val="top"/>
          </w:tcPr>
          <w:p w14:paraId="3EACF64A">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745" w:type="dxa"/>
            <w:noWrap w:val="0"/>
            <w:vAlign w:val="top"/>
          </w:tcPr>
          <w:p w14:paraId="26B116EE">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1386" w:type="dxa"/>
            <w:noWrap w:val="0"/>
            <w:vAlign w:val="top"/>
          </w:tcPr>
          <w:p w14:paraId="3E466624">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94" w:type="dxa"/>
            <w:noWrap w:val="0"/>
            <w:vAlign w:val="top"/>
          </w:tcPr>
          <w:p w14:paraId="2BE7C84D">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2E801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noWrap w:val="0"/>
            <w:vAlign w:val="top"/>
          </w:tcPr>
          <w:p w14:paraId="6150ED58">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745" w:type="dxa"/>
            <w:noWrap w:val="0"/>
            <w:vAlign w:val="top"/>
          </w:tcPr>
          <w:p w14:paraId="20BF993D">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1386" w:type="dxa"/>
            <w:noWrap w:val="0"/>
            <w:vAlign w:val="top"/>
          </w:tcPr>
          <w:p w14:paraId="129277A0">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94" w:type="dxa"/>
            <w:noWrap w:val="0"/>
            <w:vAlign w:val="top"/>
          </w:tcPr>
          <w:p w14:paraId="271BDA93">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45DEB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noWrap w:val="0"/>
            <w:vAlign w:val="top"/>
          </w:tcPr>
          <w:p w14:paraId="2B0D3610">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745" w:type="dxa"/>
            <w:noWrap w:val="0"/>
            <w:vAlign w:val="top"/>
          </w:tcPr>
          <w:p w14:paraId="0034135E">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1386" w:type="dxa"/>
            <w:noWrap w:val="0"/>
            <w:vAlign w:val="top"/>
          </w:tcPr>
          <w:p w14:paraId="4639A180">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94" w:type="dxa"/>
            <w:noWrap w:val="0"/>
            <w:vAlign w:val="top"/>
          </w:tcPr>
          <w:p w14:paraId="7D6B6CC9">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09FC1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noWrap w:val="0"/>
            <w:vAlign w:val="top"/>
          </w:tcPr>
          <w:p w14:paraId="2B5E8274">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745" w:type="dxa"/>
            <w:noWrap w:val="0"/>
            <w:vAlign w:val="top"/>
          </w:tcPr>
          <w:p w14:paraId="31978611">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1386" w:type="dxa"/>
            <w:noWrap w:val="0"/>
            <w:vAlign w:val="top"/>
          </w:tcPr>
          <w:p w14:paraId="34298858">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94" w:type="dxa"/>
            <w:noWrap w:val="0"/>
            <w:vAlign w:val="top"/>
          </w:tcPr>
          <w:p w14:paraId="39759656">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2604C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noWrap w:val="0"/>
            <w:vAlign w:val="top"/>
          </w:tcPr>
          <w:p w14:paraId="309E5491">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745" w:type="dxa"/>
            <w:noWrap w:val="0"/>
            <w:vAlign w:val="top"/>
          </w:tcPr>
          <w:p w14:paraId="58D6D1DD">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1386" w:type="dxa"/>
            <w:noWrap w:val="0"/>
            <w:vAlign w:val="top"/>
          </w:tcPr>
          <w:p w14:paraId="1B0E7B3A">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94" w:type="dxa"/>
            <w:noWrap w:val="0"/>
            <w:vAlign w:val="top"/>
          </w:tcPr>
          <w:p w14:paraId="001019CA">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109A4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noWrap w:val="0"/>
            <w:vAlign w:val="top"/>
          </w:tcPr>
          <w:p w14:paraId="0B5AFB74">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745" w:type="dxa"/>
            <w:noWrap w:val="0"/>
            <w:vAlign w:val="top"/>
          </w:tcPr>
          <w:p w14:paraId="045CDE40">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1386" w:type="dxa"/>
            <w:noWrap w:val="0"/>
            <w:vAlign w:val="top"/>
          </w:tcPr>
          <w:p w14:paraId="26344E74">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94" w:type="dxa"/>
            <w:noWrap w:val="0"/>
            <w:vAlign w:val="top"/>
          </w:tcPr>
          <w:p w14:paraId="3132BAD8">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07C59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noWrap w:val="0"/>
            <w:vAlign w:val="top"/>
          </w:tcPr>
          <w:p w14:paraId="5403D4DD">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745" w:type="dxa"/>
            <w:noWrap w:val="0"/>
            <w:vAlign w:val="top"/>
          </w:tcPr>
          <w:p w14:paraId="39E22061">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1386" w:type="dxa"/>
            <w:noWrap w:val="0"/>
            <w:vAlign w:val="top"/>
          </w:tcPr>
          <w:p w14:paraId="53B458C1">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94" w:type="dxa"/>
            <w:noWrap w:val="0"/>
            <w:vAlign w:val="top"/>
          </w:tcPr>
          <w:p w14:paraId="417E8BFA">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05182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noWrap w:val="0"/>
            <w:vAlign w:val="top"/>
          </w:tcPr>
          <w:p w14:paraId="1923D87E">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745" w:type="dxa"/>
            <w:noWrap w:val="0"/>
            <w:vAlign w:val="top"/>
          </w:tcPr>
          <w:p w14:paraId="0A526EA9">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1386" w:type="dxa"/>
            <w:noWrap w:val="0"/>
            <w:vAlign w:val="top"/>
          </w:tcPr>
          <w:p w14:paraId="5E566ADE">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94" w:type="dxa"/>
            <w:noWrap w:val="0"/>
            <w:vAlign w:val="top"/>
          </w:tcPr>
          <w:p w14:paraId="2D6D6EF6">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r w14:paraId="6FB20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noWrap w:val="0"/>
            <w:vAlign w:val="top"/>
          </w:tcPr>
          <w:p w14:paraId="5EE17ADD">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745" w:type="dxa"/>
            <w:noWrap w:val="0"/>
            <w:vAlign w:val="top"/>
          </w:tcPr>
          <w:p w14:paraId="0D854497">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1386" w:type="dxa"/>
            <w:noWrap w:val="0"/>
            <w:vAlign w:val="top"/>
          </w:tcPr>
          <w:p w14:paraId="6AFCE1EC">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c>
          <w:tcPr>
            <w:tcW w:w="2194" w:type="dxa"/>
            <w:noWrap w:val="0"/>
            <w:vAlign w:val="top"/>
          </w:tcPr>
          <w:p w14:paraId="1CBF935B">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tc>
      </w:tr>
    </w:tbl>
    <w:p w14:paraId="02066EC8">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40293B4A">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73624B34">
      <w:pPr>
        <w:pageBreakBefore w:val="0"/>
        <w:kinsoku/>
        <w:wordWrap/>
        <w:overflowPunct/>
        <w:topLinePunct w:val="0"/>
        <w:autoSpaceDE w:val="0"/>
        <w:autoSpaceDN w:val="0"/>
        <w:bidi w:val="0"/>
        <w:adjustRightInd/>
        <w:snapToGrid/>
        <w:spacing w:before="10"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70DE8D18">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bookmarkStart w:id="421" w:name="_Toc256000052"/>
    </w:p>
    <w:p w14:paraId="4BCC5325">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311E2FC9">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1B37434C">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71881DBB">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1C00943E">
      <w:pPr>
        <w:pageBreakBefore w:val="0"/>
        <w:kinsoku/>
        <w:wordWrap/>
        <w:overflowPunct/>
        <w:topLinePunct w:val="0"/>
        <w:autoSpaceDE w:val="0"/>
        <w:autoSpaceDN w:val="0"/>
        <w:bidi w:val="0"/>
        <w:adjustRightInd/>
        <w:snapToGrid/>
        <w:spacing w:before="5" w:line="320" w:lineRule="exact"/>
        <w:ind w:firstLine="482" w:firstLineChars="200"/>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p>
    <w:p w14:paraId="7658D0D8">
      <w:pPr>
        <w:pageBreakBefore w:val="0"/>
        <w:kinsoku/>
        <w:wordWrap/>
        <w:overflowPunct/>
        <w:topLinePunct w:val="0"/>
        <w:autoSpaceDE w:val="0"/>
        <w:autoSpaceDN w:val="0"/>
        <w:bidi w:val="0"/>
        <w:adjustRightInd/>
        <w:snapToGrid/>
        <w:spacing w:before="5" w:line="320" w:lineRule="exact"/>
        <w:ind w:firstLine="482"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附件六 项目经理委任书</w:t>
      </w:r>
      <w:bookmarkEnd w:id="421"/>
    </w:p>
    <w:p w14:paraId="41C0D8A0">
      <w:pPr>
        <w:pageBreakBefore w:val="0"/>
        <w:kinsoku/>
        <w:wordWrap/>
        <w:overflowPunct/>
        <w:topLinePunct w:val="0"/>
        <w:autoSpaceDE w:val="0"/>
        <w:autoSpaceDN w:val="0"/>
        <w:bidi w:val="0"/>
        <w:adjustRightInd/>
        <w:snapToGrid/>
        <w:spacing w:line="320" w:lineRule="exact"/>
        <w:ind w:left="583"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u w:val="single"/>
          <w:lang w:val="zh-CN" w:bidi="zh-CN"/>
        </w:rPr>
        <w:t>（承包人全称）</w:t>
      </w:r>
    </w:p>
    <w:p w14:paraId="75449862">
      <w:pPr>
        <w:pageBreakBefore w:val="0"/>
        <w:kinsoku/>
        <w:wordWrap/>
        <w:overflowPunct/>
        <w:topLinePunct w:val="0"/>
        <w:autoSpaceDE w:val="0"/>
        <w:autoSpaceDN w:val="0"/>
        <w:bidi w:val="0"/>
        <w:adjustRightInd/>
        <w:snapToGrid/>
        <w:spacing w:before="42" w:line="320" w:lineRule="exact"/>
        <w:ind w:left="266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u w:val="single"/>
          <w:lang w:val="zh-CN" w:bidi="zh-CN"/>
        </w:rPr>
        <w:t xml:space="preserve">（合同工程名称） </w:t>
      </w:r>
      <w:r>
        <w:rPr>
          <w:rFonts w:hint="eastAsia" w:asciiTheme="minorEastAsia" w:hAnsiTheme="minorEastAsia" w:eastAsiaTheme="minorEastAsia" w:cstheme="minorEastAsia"/>
          <w:kern w:val="0"/>
          <w:sz w:val="24"/>
          <w:szCs w:val="24"/>
          <w:highlight w:val="none"/>
          <w:lang w:val="zh-CN" w:bidi="zh-CN"/>
        </w:rPr>
        <w:t>项目经理委任书</w:t>
      </w:r>
    </w:p>
    <w:p w14:paraId="326C0302">
      <w:pPr>
        <w:pageBreakBefore w:val="0"/>
        <w:kinsoku/>
        <w:wordWrap/>
        <w:overflowPunct/>
        <w:topLinePunct w:val="0"/>
        <w:autoSpaceDE w:val="0"/>
        <w:autoSpaceDN w:val="0"/>
        <w:bidi w:val="0"/>
        <w:adjustRightInd/>
        <w:snapToGrid/>
        <w:spacing w:line="320" w:lineRule="exact"/>
        <w:ind w:left="583"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致：</w:t>
      </w:r>
      <w:r>
        <w:rPr>
          <w:rFonts w:hint="eastAsia" w:asciiTheme="minorEastAsia" w:hAnsiTheme="minorEastAsia" w:eastAsiaTheme="minorEastAsia" w:cstheme="minorEastAsia"/>
          <w:kern w:val="0"/>
          <w:sz w:val="24"/>
          <w:szCs w:val="24"/>
          <w:highlight w:val="none"/>
          <w:u w:val="single"/>
          <w:lang w:val="zh-CN" w:bidi="zh-CN"/>
        </w:rPr>
        <w:t>（发包人全称）</w:t>
      </w:r>
    </w:p>
    <w:p w14:paraId="4D8DB311">
      <w:pPr>
        <w:pageBreakBefore w:val="0"/>
        <w:kinsoku/>
        <w:wordWrap/>
        <w:overflowPunct/>
        <w:topLinePunct w:val="0"/>
        <w:autoSpaceDE w:val="0"/>
        <w:autoSpaceDN w:val="0"/>
        <w:bidi w:val="0"/>
        <w:adjustRightInd/>
        <w:snapToGrid/>
        <w:spacing w:before="93" w:line="320" w:lineRule="exact"/>
        <w:ind w:left="384" w:right="382"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u w:val="single"/>
          <w:lang w:val="zh-CN" w:bidi="zh-CN"/>
        </w:rPr>
        <w:t xml:space="preserve">    （承包人全称）</w:t>
      </w:r>
      <w:r>
        <w:rPr>
          <w:rFonts w:hint="eastAsia" w:asciiTheme="minorEastAsia" w:hAnsiTheme="minorEastAsia" w:eastAsiaTheme="minorEastAsia" w:cstheme="minorEastAsia"/>
          <w:spacing w:val="-5"/>
          <w:kern w:val="0"/>
          <w:sz w:val="24"/>
          <w:szCs w:val="24"/>
          <w:highlight w:val="none"/>
          <w:lang w:val="zh-CN" w:bidi="zh-CN"/>
        </w:rPr>
        <w:t xml:space="preserve"> 法定代表人</w:t>
      </w:r>
      <w:r>
        <w:rPr>
          <w:rFonts w:hint="eastAsia" w:asciiTheme="minorEastAsia" w:hAnsiTheme="minorEastAsia" w:eastAsiaTheme="minorEastAsia" w:cstheme="minorEastAsia"/>
          <w:spacing w:val="-5"/>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w:t>
      </w:r>
      <w:r>
        <w:rPr>
          <w:rFonts w:hint="eastAsia" w:asciiTheme="minorEastAsia" w:hAnsiTheme="minorEastAsia" w:eastAsiaTheme="minorEastAsia" w:cstheme="minorEastAsia"/>
          <w:spacing w:val="-4"/>
          <w:kern w:val="0"/>
          <w:sz w:val="24"/>
          <w:szCs w:val="24"/>
          <w:highlight w:val="none"/>
          <w:u w:val="single"/>
          <w:lang w:val="zh-CN" w:bidi="zh-CN"/>
        </w:rPr>
        <w:t>职务、姓名</w:t>
      </w:r>
      <w:r>
        <w:rPr>
          <w:rFonts w:hint="eastAsia" w:asciiTheme="minorEastAsia" w:hAnsiTheme="minorEastAsia" w:eastAsiaTheme="minorEastAsia" w:cstheme="minorEastAsia"/>
          <w:kern w:val="0"/>
          <w:sz w:val="24"/>
          <w:szCs w:val="24"/>
          <w:highlight w:val="none"/>
          <w:u w:val="single"/>
          <w:lang w:val="zh-CN" w:bidi="zh-CN"/>
        </w:rPr>
        <w:t>）</w:t>
      </w:r>
      <w:r>
        <w:rPr>
          <w:rFonts w:hint="eastAsia" w:asciiTheme="minorEastAsia" w:hAnsiTheme="minorEastAsia" w:eastAsiaTheme="minorEastAsia" w:cstheme="minorEastAsia"/>
          <w:spacing w:val="-4"/>
          <w:kern w:val="0"/>
          <w:sz w:val="24"/>
          <w:szCs w:val="24"/>
          <w:highlight w:val="none"/>
          <w:lang w:val="zh-CN" w:bidi="zh-CN"/>
        </w:rPr>
        <w:t xml:space="preserve"> 代表本单位委任</w:t>
      </w:r>
      <w:r>
        <w:rPr>
          <w:rFonts w:hint="eastAsia" w:asciiTheme="minorEastAsia" w:hAnsiTheme="minorEastAsia" w:eastAsiaTheme="minorEastAsia" w:cstheme="minorEastAsia"/>
          <w:spacing w:val="-4"/>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w:t>
      </w:r>
      <w:r>
        <w:rPr>
          <w:rFonts w:hint="eastAsia" w:asciiTheme="minorEastAsia" w:hAnsiTheme="minorEastAsia" w:eastAsiaTheme="minorEastAsia" w:cstheme="minorEastAsia"/>
          <w:spacing w:val="-5"/>
          <w:kern w:val="0"/>
          <w:sz w:val="24"/>
          <w:szCs w:val="24"/>
          <w:highlight w:val="none"/>
          <w:u w:val="single"/>
          <w:lang w:val="zh-CN" w:bidi="zh-CN"/>
        </w:rPr>
        <w:t>职务、姓名）</w:t>
      </w:r>
      <w:r>
        <w:rPr>
          <w:rFonts w:hint="eastAsia" w:asciiTheme="minorEastAsia" w:hAnsiTheme="minorEastAsia" w:eastAsiaTheme="minorEastAsia" w:cstheme="minorEastAsia"/>
          <w:spacing w:val="-14"/>
          <w:kern w:val="0"/>
          <w:sz w:val="24"/>
          <w:szCs w:val="24"/>
          <w:highlight w:val="none"/>
          <w:lang w:val="zh-CN" w:bidi="zh-CN"/>
        </w:rPr>
        <w:t xml:space="preserve"> 为</w:t>
      </w:r>
      <w:r>
        <w:rPr>
          <w:rFonts w:hint="eastAsia" w:asciiTheme="minorEastAsia" w:hAnsiTheme="minorEastAsia" w:eastAsiaTheme="minorEastAsia" w:cstheme="minorEastAsia"/>
          <w:kern w:val="0"/>
          <w:sz w:val="24"/>
          <w:szCs w:val="24"/>
          <w:highlight w:val="none"/>
          <w:u w:val="single"/>
          <w:lang w:val="zh-CN" w:bidi="zh-CN"/>
        </w:rPr>
        <w:t>（合同工程名称</w:t>
      </w:r>
      <w:r>
        <w:rPr>
          <w:rFonts w:hint="eastAsia" w:asciiTheme="minorEastAsia" w:hAnsiTheme="minorEastAsia" w:eastAsiaTheme="minorEastAsia" w:cstheme="minorEastAsia"/>
          <w:spacing w:val="-15"/>
          <w:kern w:val="0"/>
          <w:sz w:val="24"/>
          <w:szCs w:val="24"/>
          <w:highlight w:val="none"/>
          <w:u w:val="single"/>
          <w:lang w:val="zh-CN" w:bidi="zh-CN"/>
        </w:rPr>
        <w:t>）</w:t>
      </w:r>
      <w:r>
        <w:rPr>
          <w:rFonts w:hint="eastAsia" w:asciiTheme="minorEastAsia" w:hAnsiTheme="minorEastAsia" w:eastAsiaTheme="minorEastAsia" w:cstheme="minorEastAsia"/>
          <w:spacing w:val="-5"/>
          <w:kern w:val="0"/>
          <w:sz w:val="24"/>
          <w:szCs w:val="24"/>
          <w:highlight w:val="none"/>
          <w:lang w:val="zh-CN" w:bidi="zh-CN"/>
        </w:rPr>
        <w:t>的项目经理。凡本合同执行中的有关技术、工程进度、现</w:t>
      </w:r>
      <w:r>
        <w:rPr>
          <w:rFonts w:hint="eastAsia" w:asciiTheme="minorEastAsia" w:hAnsiTheme="minorEastAsia" w:eastAsiaTheme="minorEastAsia" w:cstheme="minorEastAsia"/>
          <w:spacing w:val="-162"/>
          <w:kern w:val="0"/>
          <w:sz w:val="24"/>
          <w:szCs w:val="24"/>
          <w:highlight w:val="none"/>
          <w:lang w:val="zh-CN" w:bidi="zh-CN"/>
        </w:rPr>
        <w:t>场</w:t>
      </w:r>
      <w:r>
        <w:rPr>
          <w:rFonts w:hint="eastAsia" w:asciiTheme="minorEastAsia" w:hAnsiTheme="minorEastAsia" w:eastAsiaTheme="minorEastAsia" w:cstheme="minorEastAsia"/>
          <w:kern w:val="0"/>
          <w:sz w:val="24"/>
          <w:szCs w:val="24"/>
          <w:highlight w:val="none"/>
          <w:lang w:val="zh-CN" w:bidi="zh-CN"/>
        </w:rPr>
        <w:t>管理、质量检验、结算与支付等方面工作，由</w:t>
      </w:r>
      <w:r>
        <w:rPr>
          <w:rFonts w:hint="eastAsia" w:asciiTheme="minorEastAsia" w:hAnsiTheme="minorEastAsia" w:eastAsiaTheme="minorEastAsia" w:cstheme="minorEastAsia"/>
          <w:kern w:val="0"/>
          <w:sz w:val="24"/>
          <w:szCs w:val="24"/>
          <w:highlight w:val="none"/>
          <w:u w:val="single"/>
          <w:lang w:val="zh-CN" w:bidi="zh-CN"/>
        </w:rPr>
        <w:t xml:space="preserve"> （姓名） </w:t>
      </w:r>
      <w:r>
        <w:rPr>
          <w:rFonts w:hint="eastAsia" w:asciiTheme="minorEastAsia" w:hAnsiTheme="minorEastAsia" w:eastAsiaTheme="minorEastAsia" w:cstheme="minorEastAsia"/>
          <w:kern w:val="0"/>
          <w:sz w:val="24"/>
          <w:szCs w:val="24"/>
          <w:highlight w:val="none"/>
          <w:lang w:val="zh-CN" w:bidi="zh-CN"/>
        </w:rPr>
        <w:t>代表本单位全面负责。</w:t>
      </w:r>
    </w:p>
    <w:p w14:paraId="3F484C83">
      <w:pPr>
        <w:pageBreakBefore w:val="0"/>
        <w:kinsoku/>
        <w:wordWrap/>
        <w:overflowPunct/>
        <w:topLinePunct w:val="0"/>
        <w:autoSpaceDE w:val="0"/>
        <w:autoSpaceDN w:val="0"/>
        <w:bidi w:val="0"/>
        <w:adjustRightInd/>
        <w:snapToGrid/>
        <w:spacing w:before="2"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143A94A5">
      <w:pPr>
        <w:pageBreakBefore w:val="0"/>
        <w:tabs>
          <w:tab w:val="left" w:pos="7267"/>
          <w:tab w:val="left" w:pos="7739"/>
          <w:tab w:val="left" w:pos="9059"/>
        </w:tabs>
        <w:kinsoku/>
        <w:wordWrap/>
        <w:overflowPunct/>
        <w:topLinePunct w:val="0"/>
        <w:autoSpaceDE w:val="0"/>
        <w:autoSpaceDN w:val="0"/>
        <w:bidi w:val="0"/>
        <w:adjustRightInd/>
        <w:snapToGrid/>
        <w:spacing w:line="320" w:lineRule="exact"/>
        <w:ind w:right="34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承包人：</w:t>
      </w:r>
      <w:r>
        <w:rPr>
          <w:rFonts w:hint="eastAsia" w:asciiTheme="minorEastAsia" w:hAnsiTheme="minorEastAsia" w:eastAsiaTheme="minorEastAsia" w:cstheme="minorEastAsia"/>
          <w:kern w:val="0"/>
          <w:sz w:val="24"/>
          <w:szCs w:val="24"/>
          <w:highlight w:val="none"/>
          <w:u w:val="single"/>
          <w:lang w:val="zh-CN" w:bidi="zh-CN"/>
        </w:rPr>
        <w:t>（</w:t>
      </w:r>
      <w:r>
        <w:rPr>
          <w:rFonts w:hint="eastAsia" w:asciiTheme="minorEastAsia" w:hAnsiTheme="minorEastAsia" w:eastAsiaTheme="minorEastAsia" w:cstheme="minorEastAsia"/>
          <w:kern w:val="0"/>
          <w:sz w:val="24"/>
          <w:szCs w:val="24"/>
          <w:highlight w:val="none"/>
          <w:lang w:val="zh-CN" w:bidi="zh-CN"/>
        </w:rPr>
        <w:t xml:space="preserve">盖单位章） </w:t>
      </w:r>
    </w:p>
    <w:p w14:paraId="1EE16C45">
      <w:pPr>
        <w:pageBreakBefore w:val="0"/>
        <w:tabs>
          <w:tab w:val="left" w:pos="7267"/>
          <w:tab w:val="left" w:pos="7739"/>
          <w:tab w:val="left" w:pos="9059"/>
        </w:tabs>
        <w:kinsoku/>
        <w:wordWrap/>
        <w:overflowPunct/>
        <w:topLinePunct w:val="0"/>
        <w:autoSpaceDE w:val="0"/>
        <w:autoSpaceDN w:val="0"/>
        <w:bidi w:val="0"/>
        <w:adjustRightInd/>
        <w:snapToGrid/>
        <w:spacing w:line="320" w:lineRule="exact"/>
        <w:ind w:right="346"/>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法定代表人：</w:t>
      </w:r>
      <w:r>
        <w:rPr>
          <w:rFonts w:hint="eastAsia" w:asciiTheme="minorEastAsia" w:hAnsiTheme="minorEastAsia" w:eastAsiaTheme="minorEastAsia" w:cstheme="minorEastAsia"/>
          <w:kern w:val="0"/>
          <w:sz w:val="24"/>
          <w:szCs w:val="24"/>
          <w:highlight w:val="none"/>
          <w:u w:val="single"/>
          <w:lang w:val="zh-CN" w:bidi="zh-CN"/>
        </w:rPr>
        <w:t xml:space="preserve"> （职务）</w:t>
      </w:r>
    </w:p>
    <w:p w14:paraId="7070665E">
      <w:pPr>
        <w:pageBreakBefore w:val="0"/>
        <w:tabs>
          <w:tab w:val="left" w:pos="840"/>
          <w:tab w:val="left" w:pos="2356"/>
        </w:tabs>
        <w:kinsoku/>
        <w:wordWrap/>
        <w:overflowPunct/>
        <w:topLinePunct w:val="0"/>
        <w:autoSpaceDE w:val="0"/>
        <w:autoSpaceDN w:val="0"/>
        <w:bidi w:val="0"/>
        <w:adjustRightInd/>
        <w:snapToGrid/>
        <w:spacing w:before="3" w:line="320" w:lineRule="exact"/>
        <w:ind w:right="466" w:firstLine="480" w:firstLineChars="200"/>
        <w:jc w:val="both"/>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（姓名）</w:t>
      </w:r>
      <w:r>
        <w:rPr>
          <w:rFonts w:hint="eastAsia" w:asciiTheme="minorEastAsia" w:hAnsiTheme="minorEastAsia" w:eastAsiaTheme="minorEastAsia" w:cstheme="minorEastAsia"/>
          <w:kern w:val="0"/>
          <w:sz w:val="24"/>
          <w:szCs w:val="24"/>
          <w:highlight w:val="none"/>
          <w:u w:val="single"/>
          <w:lang w:val="zh-CN" w:bidi="zh-CN"/>
        </w:rPr>
        <w:tab/>
      </w:r>
    </w:p>
    <w:p w14:paraId="59CD177B">
      <w:pPr>
        <w:pageBreakBefore w:val="0"/>
        <w:tabs>
          <w:tab w:val="left" w:pos="840"/>
          <w:tab w:val="left" w:pos="2356"/>
        </w:tabs>
        <w:kinsoku/>
        <w:wordWrap/>
        <w:overflowPunct/>
        <w:topLinePunct w:val="0"/>
        <w:autoSpaceDE w:val="0"/>
        <w:autoSpaceDN w:val="0"/>
        <w:bidi w:val="0"/>
        <w:adjustRightInd/>
        <w:snapToGrid/>
        <w:spacing w:before="90" w:line="320" w:lineRule="exact"/>
        <w:ind w:right="466" w:firstLine="480" w:firstLineChars="200"/>
        <w:jc w:val="both"/>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（签字）</w:t>
      </w:r>
      <w:r>
        <w:rPr>
          <w:rFonts w:hint="eastAsia" w:asciiTheme="minorEastAsia" w:hAnsiTheme="minorEastAsia" w:eastAsiaTheme="minorEastAsia" w:cstheme="minorEastAsia"/>
          <w:kern w:val="0"/>
          <w:sz w:val="24"/>
          <w:szCs w:val="24"/>
          <w:highlight w:val="none"/>
          <w:u w:val="single"/>
          <w:lang w:val="zh-CN" w:bidi="zh-CN"/>
        </w:rPr>
        <w:tab/>
      </w:r>
    </w:p>
    <w:p w14:paraId="35BFDBE9">
      <w:pPr>
        <w:pageBreakBefore w:val="0"/>
        <w:tabs>
          <w:tab w:val="left" w:pos="840"/>
          <w:tab w:val="left" w:pos="1680"/>
          <w:tab w:val="left" w:pos="2520"/>
        </w:tabs>
        <w:kinsoku/>
        <w:wordWrap/>
        <w:overflowPunct/>
        <w:topLinePunct w:val="0"/>
        <w:autoSpaceDE w:val="0"/>
        <w:autoSpaceDN w:val="0"/>
        <w:bidi w:val="0"/>
        <w:adjustRightInd/>
        <w:snapToGrid/>
        <w:spacing w:before="94" w:line="320" w:lineRule="exact"/>
        <w:ind w:right="541" w:firstLine="480" w:firstLineChars="200"/>
        <w:jc w:val="center"/>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年</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月</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日</w:t>
      </w:r>
    </w:p>
    <w:p w14:paraId="00A737BC">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7118D259">
      <w:pPr>
        <w:pageBreakBefore w:val="0"/>
        <w:tabs>
          <w:tab w:val="left" w:pos="2982"/>
        </w:tabs>
        <w:kinsoku/>
        <w:wordWrap/>
        <w:overflowPunct/>
        <w:topLinePunct w:val="0"/>
        <w:autoSpaceDE w:val="0"/>
        <w:autoSpaceDN w:val="0"/>
        <w:bidi w:val="0"/>
        <w:adjustRightInd/>
        <w:snapToGrid/>
        <w:spacing w:before="204" w:line="320" w:lineRule="exact"/>
        <w:ind w:firstLine="1680" w:firstLineChars="7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抄送：</w:t>
      </w:r>
      <w:r>
        <w:rPr>
          <w:rFonts w:hint="eastAsia" w:asciiTheme="minorEastAsia" w:hAnsiTheme="minorEastAsia" w:eastAsiaTheme="minorEastAsia" w:cstheme="minorEastAsia"/>
          <w:spacing w:val="119"/>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（监理人）</w:t>
      </w:r>
      <w:r>
        <w:rPr>
          <w:rFonts w:hint="eastAsia" w:asciiTheme="minorEastAsia" w:hAnsiTheme="minorEastAsia" w:eastAsiaTheme="minorEastAsia" w:cstheme="minorEastAsia"/>
          <w:kern w:val="0"/>
          <w:sz w:val="24"/>
          <w:szCs w:val="24"/>
          <w:highlight w:val="none"/>
          <w:u w:val="single"/>
          <w:lang w:val="zh-CN" w:bidi="zh-CN"/>
        </w:rPr>
        <w:tab/>
      </w:r>
    </w:p>
    <w:p w14:paraId="0951DBD2">
      <w:pPr>
        <w:pageBreakBefore w:val="0"/>
        <w:kinsoku/>
        <w:wordWrap/>
        <w:overflowPunct/>
        <w:topLinePunct w:val="0"/>
        <w:autoSpaceDE w:val="0"/>
        <w:autoSpaceDN w:val="0"/>
        <w:bidi w:val="0"/>
        <w:adjustRightInd/>
        <w:snapToGrid/>
        <w:spacing w:before="4"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315DCA49">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bookmarkStart w:id="422" w:name="_Toc256000053"/>
    </w:p>
    <w:p w14:paraId="0940EEEE">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28466282">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5B95400F">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477C98C3">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046CB393">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374A1139">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578FDCD1">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7D55BB8D">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7493A569">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2827CE42">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3F4B88B4">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7F33764B">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6F54F3E1">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5631D9EC">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5DBC95FE">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74ADC133">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3CC25F64">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2780F6DC">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10191DE8">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229522DB">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108A69BD">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5752A300">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lang w:val="zh-CN"/>
        </w:rPr>
      </w:pPr>
    </w:p>
    <w:p w14:paraId="0E1D0FD8">
      <w:pPr>
        <w:keepNext/>
        <w:keepLines/>
        <w:pageBreakBefore w:val="0"/>
        <w:widowControl/>
        <w:kinsoku/>
        <w:wordWrap/>
        <w:overflowPunct/>
        <w:topLinePunct w:val="0"/>
        <w:bidi w:val="0"/>
        <w:adjustRightInd/>
        <w:snapToGrid/>
        <w:spacing w:before="260" w:after="26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r>
        <w:rPr>
          <w:rFonts w:hint="eastAsia" w:asciiTheme="minorEastAsia" w:hAnsiTheme="minorEastAsia" w:eastAsiaTheme="minorEastAsia" w:cstheme="minorEastAsia"/>
          <w:b/>
          <w:bCs/>
          <w:kern w:val="0"/>
          <w:sz w:val="24"/>
          <w:szCs w:val="24"/>
          <w:highlight w:val="none"/>
          <w:lang w:val="zh-CN" w:bidi="zh-CN"/>
        </w:rPr>
        <w:t>附件七 履约保证金格式</w:t>
      </w:r>
      <w:bookmarkEnd w:id="422"/>
    </w:p>
    <w:p w14:paraId="143F9FA9">
      <w:pPr>
        <w:pageBreakBefore w:val="0"/>
        <w:kinsoku/>
        <w:wordWrap/>
        <w:overflowPunct/>
        <w:topLinePunct w:val="0"/>
        <w:autoSpaceDE w:val="0"/>
        <w:autoSpaceDN w:val="0"/>
        <w:bidi w:val="0"/>
        <w:adjustRightInd/>
        <w:snapToGrid/>
        <w:spacing w:before="93" w:line="320" w:lineRule="exact"/>
        <w:ind w:left="583"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如采用 保函，格式如下。</w:t>
      </w:r>
    </w:p>
    <w:p w14:paraId="47F511EF">
      <w:pPr>
        <w:pageBreakBefore w:val="0"/>
        <w:kinsoku/>
        <w:wordWrap/>
        <w:overflowPunct/>
        <w:topLinePunct w:val="0"/>
        <w:autoSpaceDE w:val="0"/>
        <w:autoSpaceDN w:val="0"/>
        <w:bidi w:val="0"/>
        <w:adjustRightInd/>
        <w:snapToGrid/>
        <w:spacing w:before="62" w:line="320" w:lineRule="exact"/>
        <w:ind w:left="705" w:right="556" w:firstLine="480" w:firstLineChars="200"/>
        <w:jc w:val="center"/>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履约保证金</w:t>
      </w:r>
    </w:p>
    <w:p w14:paraId="582D1176">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1B56C078">
      <w:pPr>
        <w:pageBreakBefore w:val="0"/>
        <w:tabs>
          <w:tab w:val="left" w:pos="3143"/>
        </w:tabs>
        <w:kinsoku/>
        <w:wordWrap/>
        <w:overflowPunct/>
        <w:topLinePunct w:val="0"/>
        <w:autoSpaceDE w:val="0"/>
        <w:autoSpaceDN w:val="0"/>
        <w:bidi w:val="0"/>
        <w:adjustRightInd/>
        <w:snapToGrid/>
        <w:spacing w:line="320" w:lineRule="exact"/>
        <w:ind w:left="703"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（发包人名称）：</w:t>
      </w:r>
    </w:p>
    <w:p w14:paraId="32269EBA">
      <w:pPr>
        <w:pageBreakBefore w:val="0"/>
        <w:kinsoku/>
        <w:wordWrap/>
        <w:overflowPunct/>
        <w:topLinePunct w:val="0"/>
        <w:autoSpaceDE w:val="0"/>
        <w:autoSpaceDN w:val="0"/>
        <w:bidi w:val="0"/>
        <w:adjustRightInd/>
        <w:snapToGrid/>
        <w:spacing w:before="7"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4A4C117A">
      <w:pPr>
        <w:pageBreakBefore w:val="0"/>
        <w:tabs>
          <w:tab w:val="left" w:pos="2073"/>
          <w:tab w:val="left" w:pos="3371"/>
          <w:tab w:val="left" w:pos="8095"/>
          <w:tab w:val="left" w:pos="8582"/>
        </w:tabs>
        <w:kinsoku/>
        <w:wordWrap/>
        <w:overflowPunct/>
        <w:topLinePunct w:val="0"/>
        <w:autoSpaceDE w:val="0"/>
        <w:autoSpaceDN w:val="0"/>
        <w:bidi w:val="0"/>
        <w:adjustRightInd/>
        <w:snapToGrid/>
        <w:spacing w:line="320" w:lineRule="exact"/>
        <w:ind w:left="384" w:right="462" w:firstLine="480" w:firstLineChars="200"/>
        <w:textAlignment w:val="auto"/>
        <w:outlineLvl w:val="9"/>
        <w:rPr>
          <w:rFonts w:hint="eastAsia" w:asciiTheme="minorEastAsia" w:hAnsiTheme="minorEastAsia" w:eastAsiaTheme="minorEastAsia" w:cstheme="minorEastAsia"/>
          <w:kern w:val="0"/>
          <w:sz w:val="24"/>
          <w:szCs w:val="24"/>
          <w:highlight w:val="none"/>
          <w:u w:val="single"/>
          <w:lang w:val="zh-CN" w:bidi="zh-CN"/>
        </w:rPr>
      </w:pPr>
      <w:r>
        <w:rPr>
          <w:rFonts w:hint="eastAsia" w:asciiTheme="minorEastAsia" w:hAnsiTheme="minorEastAsia" w:eastAsiaTheme="minorEastAsia" w:cstheme="minorEastAsia"/>
          <w:kern w:val="0"/>
          <w:sz w:val="24"/>
          <w:szCs w:val="24"/>
          <w:highlight w:val="none"/>
          <w:lang w:val="zh-CN" w:bidi="zh-CN"/>
        </w:rPr>
        <w:t>鉴于</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spacing w:val="-3"/>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发包人名称</w:t>
      </w:r>
      <w:r>
        <w:rPr>
          <w:rFonts w:hint="eastAsia" w:asciiTheme="minorEastAsia" w:hAnsiTheme="minorEastAsia" w:eastAsiaTheme="minorEastAsia" w:cstheme="minorEastAsia"/>
          <w:spacing w:val="-17"/>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以下简称“发包人</w:t>
      </w:r>
      <w:r>
        <w:rPr>
          <w:rFonts w:hint="eastAsia" w:asciiTheme="minorEastAsia" w:hAnsiTheme="minorEastAsia" w:eastAsiaTheme="minorEastAsia" w:cstheme="minorEastAsia"/>
          <w:spacing w:val="-8"/>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接受</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（承包人名称，以下简称“承包人”）于</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spacing w:val="14"/>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lang w:val="zh-CN" w:bidi="zh-CN"/>
        </w:rPr>
        <w:t>年</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spacing w:val="12"/>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lang w:val="zh-CN" w:bidi="zh-CN"/>
        </w:rPr>
        <w:t>月</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spacing w:val="10"/>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lang w:val="zh-CN" w:bidi="zh-CN"/>
        </w:rPr>
        <w:t>日参加</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（项目名称）</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p>
    <w:p w14:paraId="670ED1E2">
      <w:pPr>
        <w:pageBreakBefore w:val="0"/>
        <w:tabs>
          <w:tab w:val="left" w:pos="2073"/>
          <w:tab w:val="left" w:pos="3371"/>
          <w:tab w:val="left" w:pos="8095"/>
          <w:tab w:val="left" w:pos="8582"/>
        </w:tabs>
        <w:kinsoku/>
        <w:wordWrap/>
        <w:overflowPunct/>
        <w:topLinePunct w:val="0"/>
        <w:autoSpaceDE w:val="0"/>
        <w:autoSpaceDN w:val="0"/>
        <w:bidi w:val="0"/>
        <w:adjustRightInd/>
        <w:snapToGrid/>
        <w:spacing w:line="320" w:lineRule="exact"/>
        <w:ind w:left="384" w:right="462"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标段施工的投标。我方愿意无条件地、不可撤销地就承包人履行与你方订立的合同，向你方提供担保。</w:t>
      </w:r>
    </w:p>
    <w:p w14:paraId="3F41F25E">
      <w:pPr>
        <w:pageBreakBefore w:val="0"/>
        <w:numPr>
          <w:ilvl w:val="0"/>
          <w:numId w:val="22"/>
        </w:numPr>
        <w:tabs>
          <w:tab w:val="left" w:pos="1164"/>
          <w:tab w:val="left" w:pos="5783"/>
          <w:tab w:val="left" w:pos="8003"/>
        </w:tabs>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担保金额人民币（大写）</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元（¥</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w:t>
      </w:r>
    </w:p>
    <w:p w14:paraId="3DDEC5F4">
      <w:pPr>
        <w:pageBreakBefore w:val="0"/>
        <w:numPr>
          <w:ilvl w:val="0"/>
          <w:numId w:val="22"/>
        </w:numPr>
        <w:tabs>
          <w:tab w:val="left" w:pos="1169"/>
        </w:tabs>
        <w:kinsoku/>
        <w:wordWrap/>
        <w:overflowPunct/>
        <w:topLinePunct w:val="0"/>
        <w:autoSpaceDE w:val="0"/>
        <w:autoSpaceDN w:val="0"/>
        <w:bidi w:val="0"/>
        <w:adjustRightInd/>
        <w:snapToGrid/>
        <w:spacing w:before="94" w:line="320" w:lineRule="exact"/>
        <w:ind w:right="467" w:firstLine="492"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3"/>
          <w:kern w:val="0"/>
          <w:sz w:val="24"/>
          <w:szCs w:val="24"/>
          <w:highlight w:val="none"/>
          <w:lang w:val="zh-CN" w:bidi="zh-CN"/>
        </w:rPr>
        <w:t>担保有效期自发包人与承包人签订的合同生效之日起至发包人签发交工验收证书且承包人按照合同约定缴纳质量保证金之日止。</w:t>
      </w:r>
      <w:r>
        <w:rPr>
          <w:rFonts w:hint="eastAsia" w:asciiTheme="minorEastAsia" w:hAnsiTheme="minorEastAsia" w:eastAsiaTheme="minorEastAsia" w:cstheme="minorEastAsia"/>
          <w:kern w:val="0"/>
          <w:sz w:val="24"/>
          <w:szCs w:val="24"/>
          <w:highlight w:val="none"/>
          <w:lang w:val="zh-CN" w:bidi="zh-CN"/>
        </w:rPr>
        <w:fldChar w:fldCharType="begin"/>
      </w:r>
      <w:r>
        <w:rPr>
          <w:rFonts w:hint="eastAsia" w:asciiTheme="minorEastAsia" w:hAnsiTheme="minorEastAsia" w:eastAsiaTheme="minorEastAsia" w:cstheme="minorEastAsia"/>
          <w:kern w:val="0"/>
          <w:sz w:val="24"/>
          <w:szCs w:val="24"/>
          <w:highlight w:val="none"/>
          <w:lang w:val="zh-CN" w:bidi="zh-CN"/>
        </w:rPr>
        <w:instrText xml:space="preserve"> HYPERLINK \l "_bookmark53" </w:instrText>
      </w:r>
      <w:r>
        <w:rPr>
          <w:rFonts w:hint="eastAsia" w:asciiTheme="minorEastAsia" w:hAnsiTheme="minorEastAsia" w:eastAsiaTheme="minorEastAsia" w:cstheme="minorEastAsia"/>
          <w:kern w:val="0"/>
          <w:sz w:val="24"/>
          <w:szCs w:val="24"/>
          <w:highlight w:val="none"/>
          <w:lang w:val="zh-CN" w:bidi="zh-CN"/>
        </w:rPr>
        <w:fldChar w:fldCharType="separate"/>
      </w:r>
      <w:r>
        <w:rPr>
          <w:rFonts w:hint="eastAsia" w:asciiTheme="minorEastAsia" w:hAnsiTheme="minorEastAsia" w:eastAsiaTheme="minorEastAsia" w:cstheme="minorEastAsia"/>
          <w:spacing w:val="3"/>
          <w:kern w:val="0"/>
          <w:position w:val="10"/>
          <w:sz w:val="24"/>
          <w:szCs w:val="24"/>
          <w:highlight w:val="none"/>
          <w:lang w:val="zh-CN" w:bidi="zh-CN"/>
        </w:rPr>
        <w:t>①</w:t>
      </w:r>
      <w:r>
        <w:rPr>
          <w:rFonts w:hint="eastAsia" w:asciiTheme="minorEastAsia" w:hAnsiTheme="minorEastAsia" w:eastAsiaTheme="minorEastAsia" w:cstheme="minorEastAsia"/>
          <w:spacing w:val="3"/>
          <w:kern w:val="0"/>
          <w:position w:val="10"/>
          <w:sz w:val="24"/>
          <w:szCs w:val="24"/>
          <w:highlight w:val="none"/>
          <w:lang w:val="zh-CN" w:bidi="zh-CN"/>
        </w:rPr>
        <w:fldChar w:fldCharType="end"/>
      </w:r>
    </w:p>
    <w:p w14:paraId="1DBDFCDD">
      <w:pPr>
        <w:pageBreakBefore w:val="0"/>
        <w:numPr>
          <w:ilvl w:val="0"/>
          <w:numId w:val="22"/>
        </w:numPr>
        <w:tabs>
          <w:tab w:val="left" w:pos="1164"/>
        </w:tabs>
        <w:kinsoku/>
        <w:wordWrap/>
        <w:overflowPunct/>
        <w:topLinePunct w:val="0"/>
        <w:autoSpaceDE w:val="0"/>
        <w:autoSpaceDN w:val="0"/>
        <w:bidi w:val="0"/>
        <w:adjustRightInd/>
        <w:snapToGrid/>
        <w:spacing w:line="320" w:lineRule="exact"/>
        <w:ind w:right="442"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 xml:space="preserve">在本担保有效期内，因承包人违反合同约定的义务给你方造成经济损失时， </w:t>
      </w:r>
      <w:r>
        <w:rPr>
          <w:rFonts w:hint="eastAsia" w:asciiTheme="minorEastAsia" w:hAnsiTheme="minorEastAsia" w:eastAsiaTheme="minorEastAsia" w:cstheme="minorEastAsia"/>
          <w:spacing w:val="-2"/>
          <w:kern w:val="0"/>
          <w:sz w:val="24"/>
          <w:szCs w:val="24"/>
          <w:highlight w:val="none"/>
          <w:lang w:val="zh-CN" w:bidi="zh-CN"/>
        </w:rPr>
        <w:t xml:space="preserve">我方在收到你方以书面形式提出的在担保金额内的赔偿要求后，在 </w:t>
      </w:r>
      <w:r>
        <w:rPr>
          <w:rFonts w:hint="eastAsia" w:asciiTheme="minorEastAsia" w:hAnsiTheme="minorEastAsia" w:eastAsiaTheme="minorEastAsia" w:cstheme="minorEastAsia"/>
          <w:kern w:val="0"/>
          <w:sz w:val="24"/>
          <w:szCs w:val="24"/>
          <w:highlight w:val="none"/>
          <w:lang w:val="zh-CN" w:bidi="zh-CN"/>
        </w:rPr>
        <w:t>7</w:t>
      </w:r>
      <w:r>
        <w:rPr>
          <w:rFonts w:hint="eastAsia" w:asciiTheme="minorEastAsia" w:hAnsiTheme="minorEastAsia" w:eastAsiaTheme="minorEastAsia" w:cstheme="minorEastAsia"/>
          <w:spacing w:val="11"/>
          <w:kern w:val="0"/>
          <w:sz w:val="24"/>
          <w:szCs w:val="24"/>
          <w:highlight w:val="none"/>
          <w:lang w:val="zh-CN" w:bidi="zh-CN"/>
        </w:rPr>
        <w:t xml:space="preserve"> </w:t>
      </w:r>
      <w:r>
        <w:rPr>
          <w:rFonts w:hint="eastAsia" w:asciiTheme="minorEastAsia" w:hAnsiTheme="minorEastAsia" w:eastAsiaTheme="minorEastAsia" w:cstheme="minorEastAsia"/>
          <w:kern w:val="0"/>
          <w:sz w:val="24"/>
          <w:szCs w:val="24"/>
          <w:highlight w:val="none"/>
          <w:lang w:val="zh-CN" w:bidi="zh-CN"/>
        </w:rPr>
        <w:t>日内无条件支付，无须你方出具证明或陈述理由。</w:t>
      </w:r>
    </w:p>
    <w:p w14:paraId="6B8B7AE4">
      <w:pPr>
        <w:pageBreakBefore w:val="0"/>
        <w:numPr>
          <w:ilvl w:val="0"/>
          <w:numId w:val="22"/>
        </w:numPr>
        <w:tabs>
          <w:tab w:val="left" w:pos="1164"/>
        </w:tabs>
        <w:kinsoku/>
        <w:wordWrap/>
        <w:overflowPunct/>
        <w:topLinePunct w:val="0"/>
        <w:autoSpaceDE w:val="0"/>
        <w:autoSpaceDN w:val="0"/>
        <w:bidi w:val="0"/>
        <w:adjustRightInd/>
        <w:snapToGrid/>
        <w:spacing w:line="320" w:lineRule="exact"/>
        <w:ind w:right="346" w:firstLine="46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5"/>
          <w:kern w:val="0"/>
          <w:sz w:val="24"/>
          <w:szCs w:val="24"/>
          <w:highlight w:val="none"/>
          <w:lang w:val="zh-CN" w:bidi="zh-CN"/>
        </w:rPr>
        <w:t xml:space="preserve">发包人和承包人按合同条款第 </w:t>
      </w:r>
      <w:r>
        <w:rPr>
          <w:rFonts w:hint="eastAsia" w:asciiTheme="minorEastAsia" w:hAnsiTheme="minorEastAsia" w:eastAsiaTheme="minorEastAsia" w:cstheme="minorEastAsia"/>
          <w:kern w:val="0"/>
          <w:sz w:val="24"/>
          <w:szCs w:val="24"/>
          <w:highlight w:val="none"/>
          <w:lang w:val="zh-CN" w:bidi="zh-CN"/>
        </w:rPr>
        <w:t xml:space="preserve">20 </w:t>
      </w:r>
      <w:r>
        <w:rPr>
          <w:rFonts w:hint="eastAsia" w:asciiTheme="minorEastAsia" w:hAnsiTheme="minorEastAsia" w:eastAsiaTheme="minorEastAsia" w:cstheme="minorEastAsia"/>
          <w:spacing w:val="-4"/>
          <w:kern w:val="0"/>
          <w:sz w:val="24"/>
          <w:szCs w:val="24"/>
          <w:highlight w:val="none"/>
          <w:lang w:val="zh-CN" w:bidi="zh-CN"/>
        </w:rPr>
        <w:t>条变更合同时，无论我方是否收到该变更， 我方承担本担保规定的义务不变。</w:t>
      </w:r>
    </w:p>
    <w:p w14:paraId="104110AA">
      <w:pPr>
        <w:pageBreakBefore w:val="0"/>
        <w:kinsoku/>
        <w:wordWrap/>
        <w:overflowPunct/>
        <w:topLinePunct w:val="0"/>
        <w:autoSpaceDE w:val="0"/>
        <w:autoSpaceDN w:val="0"/>
        <w:bidi w:val="0"/>
        <w:adjustRightInd/>
        <w:snapToGrid/>
        <w:spacing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4017795E">
      <w:pPr>
        <w:pageBreakBefore w:val="0"/>
        <w:tabs>
          <w:tab w:val="left" w:pos="7739"/>
          <w:tab w:val="left" w:pos="8843"/>
        </w:tabs>
        <w:kinsoku/>
        <w:wordWrap/>
        <w:overflowPunct/>
        <w:topLinePunct w:val="0"/>
        <w:autoSpaceDE w:val="0"/>
        <w:autoSpaceDN w:val="0"/>
        <w:bidi w:val="0"/>
        <w:adjustRightInd/>
        <w:snapToGrid/>
        <w:spacing w:before="186" w:line="320" w:lineRule="exact"/>
        <w:ind w:left="3880" w:right="34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担保人名称：</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lang w:val="zh-CN" w:bidi="zh-CN"/>
        </w:rPr>
        <w:t xml:space="preserve">盖单位章） </w:t>
      </w:r>
    </w:p>
    <w:p w14:paraId="6778A976">
      <w:pPr>
        <w:pageBreakBefore w:val="0"/>
        <w:tabs>
          <w:tab w:val="left" w:pos="7739"/>
          <w:tab w:val="left" w:pos="8843"/>
        </w:tabs>
        <w:kinsoku/>
        <w:wordWrap/>
        <w:overflowPunct/>
        <w:topLinePunct w:val="0"/>
        <w:autoSpaceDE w:val="0"/>
        <w:autoSpaceDN w:val="0"/>
        <w:bidi w:val="0"/>
        <w:adjustRightInd/>
        <w:snapToGrid/>
        <w:spacing w:before="186" w:line="320" w:lineRule="exact"/>
        <w:ind w:left="3880" w:right="34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法定代表人或其委托代理人</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spacing w:val="19"/>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w:t>
      </w:r>
      <w:r>
        <w:rPr>
          <w:rFonts w:hint="eastAsia" w:asciiTheme="minorEastAsia" w:hAnsiTheme="minorEastAsia" w:eastAsiaTheme="minorEastAsia" w:cstheme="minorEastAsia"/>
          <w:kern w:val="0"/>
          <w:sz w:val="24"/>
          <w:szCs w:val="24"/>
          <w:highlight w:val="none"/>
          <w:lang w:val="zh-CN" w:bidi="zh-CN"/>
        </w:rPr>
        <w:t xml:space="preserve">签字） </w:t>
      </w:r>
    </w:p>
    <w:p w14:paraId="4A067430">
      <w:pPr>
        <w:pageBreakBefore w:val="0"/>
        <w:tabs>
          <w:tab w:val="left" w:pos="7739"/>
          <w:tab w:val="left" w:pos="8843"/>
        </w:tabs>
        <w:kinsoku/>
        <w:wordWrap/>
        <w:overflowPunct/>
        <w:topLinePunct w:val="0"/>
        <w:autoSpaceDE w:val="0"/>
        <w:autoSpaceDN w:val="0"/>
        <w:bidi w:val="0"/>
        <w:adjustRightInd/>
        <w:snapToGrid/>
        <w:spacing w:before="186" w:line="320" w:lineRule="exact"/>
        <w:ind w:left="3880" w:right="346"/>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地</w:t>
      </w:r>
      <w:r>
        <w:rPr>
          <w:rFonts w:hint="eastAsia" w:asciiTheme="minorEastAsia" w:hAnsiTheme="minorEastAsia" w:eastAsiaTheme="minorEastAsia" w:cstheme="minorEastAsia"/>
          <w:spacing w:val="119"/>
          <w:kern w:val="0"/>
          <w:sz w:val="24"/>
          <w:szCs w:val="24"/>
          <w:highlight w:val="none"/>
          <w:lang w:val="zh-CN" w:bidi="zh-CN"/>
        </w:rPr>
        <w:t xml:space="preserve"> </w:t>
      </w:r>
      <w:r>
        <w:rPr>
          <w:rFonts w:hint="eastAsia" w:asciiTheme="minorEastAsia" w:hAnsiTheme="minorEastAsia" w:eastAsiaTheme="minorEastAsia" w:cstheme="minorEastAsia"/>
          <w:kern w:val="0"/>
          <w:sz w:val="24"/>
          <w:szCs w:val="24"/>
          <w:highlight w:val="none"/>
          <w:lang w:val="zh-CN" w:bidi="zh-CN"/>
        </w:rPr>
        <w:t>址 ：</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ab/>
      </w:r>
    </w:p>
    <w:p w14:paraId="23AC0A72">
      <w:pPr>
        <w:pageBreakBefore w:val="0"/>
        <w:tabs>
          <w:tab w:val="left" w:pos="4600"/>
          <w:tab w:val="left" w:pos="8843"/>
          <w:tab w:val="left" w:pos="8979"/>
        </w:tabs>
        <w:kinsoku/>
        <w:wordWrap/>
        <w:overflowPunct/>
        <w:topLinePunct w:val="0"/>
        <w:autoSpaceDE w:val="0"/>
        <w:autoSpaceDN w:val="0"/>
        <w:bidi w:val="0"/>
        <w:adjustRightInd/>
        <w:snapToGrid/>
        <w:spacing w:before="1" w:line="320" w:lineRule="exact"/>
        <w:ind w:left="3880" w:right="545"/>
        <w:jc w:val="left"/>
        <w:textAlignment w:val="auto"/>
        <w:outlineLvl w:val="9"/>
        <w:rPr>
          <w:rFonts w:hint="eastAsia" w:asciiTheme="minorEastAsia" w:hAnsiTheme="minorEastAsia" w:eastAsiaTheme="minorEastAsia" w:cstheme="minorEastAsia"/>
          <w:kern w:val="0"/>
          <w:sz w:val="24"/>
          <w:szCs w:val="24"/>
          <w:highlight w:val="none"/>
          <w:u w:val="single"/>
          <w:lang w:val="zh-CN" w:bidi="zh-CN"/>
        </w:rPr>
      </w:pPr>
      <w:r>
        <w:rPr>
          <w:rFonts w:hint="eastAsia" w:asciiTheme="minorEastAsia" w:hAnsiTheme="minorEastAsia" w:eastAsiaTheme="minorEastAsia" w:cstheme="minorEastAsia"/>
          <w:spacing w:val="-1"/>
          <w:kern w:val="0"/>
          <w:sz w:val="24"/>
          <w:szCs w:val="24"/>
          <w:highlight w:val="none"/>
          <w:lang w:val="zh-CN" w:bidi="zh-CN"/>
        </w:rPr>
        <w:t>邮</w:t>
      </w:r>
      <w:r>
        <w:rPr>
          <w:rFonts w:hint="eastAsia" w:asciiTheme="minorEastAsia" w:hAnsiTheme="minorEastAsia" w:eastAsiaTheme="minorEastAsia" w:cstheme="minorEastAsia"/>
          <w:kern w:val="0"/>
          <w:sz w:val="24"/>
          <w:szCs w:val="24"/>
          <w:highlight w:val="none"/>
          <w:lang w:val="zh-CN" w:bidi="zh-CN"/>
        </w:rPr>
        <w:t>政编码：</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 xml:space="preserve"> </w:t>
      </w:r>
    </w:p>
    <w:p w14:paraId="2CA43CC3">
      <w:pPr>
        <w:pageBreakBefore w:val="0"/>
        <w:tabs>
          <w:tab w:val="left" w:pos="4600"/>
          <w:tab w:val="left" w:pos="8843"/>
          <w:tab w:val="left" w:pos="8979"/>
        </w:tabs>
        <w:kinsoku/>
        <w:wordWrap/>
        <w:overflowPunct/>
        <w:topLinePunct w:val="0"/>
        <w:autoSpaceDE w:val="0"/>
        <w:autoSpaceDN w:val="0"/>
        <w:bidi w:val="0"/>
        <w:adjustRightInd/>
        <w:snapToGrid/>
        <w:spacing w:before="1" w:line="320" w:lineRule="exact"/>
        <w:ind w:left="3880" w:right="545"/>
        <w:jc w:val="left"/>
        <w:textAlignment w:val="auto"/>
        <w:outlineLvl w:val="9"/>
        <w:rPr>
          <w:rFonts w:hint="eastAsia" w:asciiTheme="minorEastAsia" w:hAnsiTheme="minorEastAsia" w:eastAsiaTheme="minorEastAsia" w:cstheme="minorEastAsia"/>
          <w:kern w:val="0"/>
          <w:sz w:val="24"/>
          <w:szCs w:val="24"/>
          <w:highlight w:val="none"/>
          <w:u w:val="single"/>
          <w:lang w:val="zh-CN" w:bidi="zh-CN"/>
        </w:rPr>
      </w:pPr>
      <w:r>
        <w:rPr>
          <w:rFonts w:hint="eastAsia" w:asciiTheme="minorEastAsia" w:hAnsiTheme="minorEastAsia" w:eastAsiaTheme="minorEastAsia" w:cstheme="minorEastAsia"/>
          <w:kern w:val="0"/>
          <w:sz w:val="24"/>
          <w:szCs w:val="24"/>
          <w:highlight w:val="none"/>
          <w:lang w:val="zh-CN" w:bidi="zh-CN"/>
        </w:rPr>
        <w:t>电</w:t>
      </w:r>
      <w:r>
        <w:rPr>
          <w:rFonts w:hint="eastAsia" w:asciiTheme="minorEastAsia" w:hAnsiTheme="minorEastAsia" w:eastAsiaTheme="minorEastAsia" w:cstheme="minorEastAsia"/>
          <w:kern w:val="0"/>
          <w:sz w:val="24"/>
          <w:szCs w:val="24"/>
          <w:highlight w:val="none"/>
          <w:lang w:val="zh-CN" w:bidi="zh-CN"/>
        </w:rPr>
        <w:tab/>
      </w:r>
      <w:r>
        <w:rPr>
          <w:rFonts w:hint="eastAsia" w:asciiTheme="minorEastAsia" w:hAnsiTheme="minorEastAsia" w:eastAsiaTheme="minorEastAsia" w:cstheme="minorEastAsia"/>
          <w:spacing w:val="-1"/>
          <w:kern w:val="0"/>
          <w:sz w:val="24"/>
          <w:szCs w:val="24"/>
          <w:highlight w:val="none"/>
          <w:lang w:val="zh-CN" w:bidi="zh-CN"/>
        </w:rPr>
        <w:t>话</w:t>
      </w:r>
      <w:r>
        <w:rPr>
          <w:rFonts w:hint="eastAsia" w:asciiTheme="minorEastAsia" w:hAnsiTheme="minorEastAsia" w:eastAsiaTheme="minorEastAsia" w:cstheme="minorEastAsia"/>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 xml:space="preserve"> </w:t>
      </w:r>
    </w:p>
    <w:p w14:paraId="5EAFA7D3">
      <w:pPr>
        <w:pageBreakBefore w:val="0"/>
        <w:tabs>
          <w:tab w:val="left" w:pos="4600"/>
          <w:tab w:val="left" w:pos="8843"/>
          <w:tab w:val="left" w:pos="8979"/>
        </w:tabs>
        <w:kinsoku/>
        <w:wordWrap/>
        <w:overflowPunct/>
        <w:topLinePunct w:val="0"/>
        <w:autoSpaceDE w:val="0"/>
        <w:autoSpaceDN w:val="0"/>
        <w:bidi w:val="0"/>
        <w:adjustRightInd/>
        <w:snapToGrid/>
        <w:spacing w:before="1" w:line="320" w:lineRule="exact"/>
        <w:ind w:left="3880" w:right="545"/>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传</w:t>
      </w:r>
      <w:r>
        <w:rPr>
          <w:rFonts w:hint="eastAsia" w:asciiTheme="minorEastAsia" w:hAnsiTheme="minorEastAsia" w:eastAsiaTheme="minorEastAsia" w:cstheme="minorEastAsia"/>
          <w:kern w:val="0"/>
          <w:sz w:val="24"/>
          <w:szCs w:val="24"/>
          <w:highlight w:val="none"/>
          <w:lang w:val="zh-CN" w:bidi="zh-CN"/>
        </w:rPr>
        <w:tab/>
      </w:r>
      <w:r>
        <w:rPr>
          <w:rFonts w:hint="eastAsia" w:asciiTheme="minorEastAsia" w:hAnsiTheme="minorEastAsia" w:eastAsiaTheme="minorEastAsia" w:cstheme="minorEastAsia"/>
          <w:spacing w:val="-1"/>
          <w:kern w:val="0"/>
          <w:sz w:val="24"/>
          <w:szCs w:val="24"/>
          <w:highlight w:val="none"/>
          <w:lang w:val="zh-CN" w:bidi="zh-CN"/>
        </w:rPr>
        <w:t>真</w:t>
      </w:r>
      <w:r>
        <w:rPr>
          <w:rFonts w:hint="eastAsia" w:asciiTheme="minorEastAsia" w:hAnsiTheme="minorEastAsia" w:eastAsiaTheme="minorEastAsia" w:cstheme="minorEastAsia"/>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ab/>
      </w:r>
    </w:p>
    <w:p w14:paraId="1B9AE5F3">
      <w:pPr>
        <w:pageBreakBefore w:val="0"/>
        <w:tabs>
          <w:tab w:val="left" w:pos="5499"/>
          <w:tab w:val="left" w:pos="6520"/>
          <w:tab w:val="left" w:pos="7480"/>
        </w:tabs>
        <w:kinsoku/>
        <w:wordWrap/>
        <w:overflowPunct/>
        <w:topLinePunct w:val="0"/>
        <w:autoSpaceDE w:val="0"/>
        <w:autoSpaceDN w:val="0"/>
        <w:bidi w:val="0"/>
        <w:adjustRightInd/>
        <w:snapToGrid/>
        <w:spacing w:before="1" w:line="320" w:lineRule="exact"/>
        <w:ind w:left="4600"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spacing w:val="1"/>
          <w:kern w:val="0"/>
          <w:sz w:val="24"/>
          <w:szCs w:val="24"/>
          <w:highlight w:val="none"/>
          <w:lang w:val="zh-CN" w:bidi="zh-CN"/>
        </w:rPr>
        <w:t xml:space="preserve"> </w:t>
      </w:r>
      <w:r>
        <w:rPr>
          <w:rFonts w:hint="eastAsia" w:asciiTheme="minorEastAsia" w:hAnsiTheme="minorEastAsia" w:eastAsiaTheme="minorEastAsia" w:cstheme="minorEastAsia"/>
          <w:kern w:val="0"/>
          <w:sz w:val="24"/>
          <w:szCs w:val="24"/>
          <w:highlight w:val="none"/>
          <w:lang w:val="zh-CN" w:bidi="zh-CN"/>
        </w:rPr>
        <w:t>年</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月</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日</w:t>
      </w:r>
    </w:p>
    <w:p w14:paraId="48E366C7">
      <w:pPr>
        <w:pageBreakBefore w:val="0"/>
        <w:tabs>
          <w:tab w:val="left" w:pos="3979"/>
          <w:tab w:val="left" w:pos="7096"/>
        </w:tabs>
        <w:kinsoku/>
        <w:wordWrap/>
        <w:overflowPunct/>
        <w:topLinePunct w:val="0"/>
        <w:autoSpaceDE w:val="0"/>
        <w:autoSpaceDN w:val="0"/>
        <w:bidi w:val="0"/>
        <w:adjustRightInd/>
        <w:snapToGrid/>
        <w:spacing w:before="88" w:line="320" w:lineRule="exact"/>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position w:val="9"/>
          <w:sz w:val="24"/>
          <w:szCs w:val="24"/>
          <w:highlight w:val="none"/>
          <w:lang w:val="zh-CN" w:bidi="zh-CN"/>
        </w:rPr>
        <w:t>①</w:t>
      </w:r>
      <w:r>
        <w:rPr>
          <w:rFonts w:hint="eastAsia" w:asciiTheme="minorEastAsia" w:hAnsiTheme="minorEastAsia" w:eastAsiaTheme="minorEastAsia" w:cstheme="minorEastAsia"/>
          <w:kern w:val="0"/>
          <w:sz w:val="24"/>
          <w:szCs w:val="24"/>
          <w:highlight w:val="none"/>
          <w:lang w:val="zh-CN" w:bidi="zh-CN"/>
        </w:rPr>
        <w:t>本条内容可修改为</w:t>
      </w:r>
      <w:r>
        <w:rPr>
          <w:rFonts w:hint="eastAsia" w:asciiTheme="minorEastAsia" w:hAnsiTheme="minorEastAsia" w:eastAsiaTheme="minorEastAsia" w:cstheme="minorEastAsia"/>
          <w:spacing w:val="-12"/>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本担保自</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（生效日期</w:t>
      </w:r>
      <w:r>
        <w:rPr>
          <w:rFonts w:hint="eastAsia" w:asciiTheme="minorEastAsia" w:hAnsiTheme="minorEastAsia" w:eastAsiaTheme="minorEastAsia" w:cstheme="minorEastAsia"/>
          <w:spacing w:val="-10"/>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之日起生效</w:t>
      </w:r>
      <w:r>
        <w:rPr>
          <w:rFonts w:hint="eastAsia" w:asciiTheme="minorEastAsia" w:hAnsiTheme="minorEastAsia" w:eastAsiaTheme="minorEastAsia" w:cstheme="minorEastAsia"/>
          <w:spacing w:val="-12"/>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至</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（失效日期</w:t>
      </w:r>
      <w:r>
        <w:rPr>
          <w:rFonts w:hint="eastAsia" w:asciiTheme="minorEastAsia" w:hAnsiTheme="minorEastAsia" w:eastAsiaTheme="minorEastAsia" w:cstheme="minorEastAsia"/>
          <w:spacing w:val="-12"/>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之日失效</w:t>
      </w:r>
      <w:r>
        <w:rPr>
          <w:rFonts w:hint="eastAsia" w:asciiTheme="minorEastAsia" w:hAnsiTheme="minorEastAsia" w:eastAsiaTheme="minorEastAsia" w:cstheme="minorEastAsia"/>
          <w:spacing w:val="-12"/>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w:t>
      </w:r>
    </w:p>
    <w:p w14:paraId="3757FBD4">
      <w:pPr>
        <w:pageBreakBefore w:val="0"/>
        <w:kinsoku/>
        <w:wordWrap/>
        <w:overflowPunct/>
        <w:topLinePunct w:val="0"/>
        <w:autoSpaceDE w:val="0"/>
        <w:autoSpaceDN w:val="0"/>
        <w:bidi w:val="0"/>
        <w:adjustRightInd/>
        <w:snapToGrid/>
        <w:spacing w:before="110" w:line="320" w:lineRule="exact"/>
        <w:ind w:left="592" w:right="472"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p w14:paraId="5756564E">
      <w:pPr>
        <w:keepNext/>
        <w:keepLines/>
        <w:pageBreakBefore w:val="0"/>
        <w:widowControl/>
        <w:kinsoku/>
        <w:wordWrap/>
        <w:overflowPunct/>
        <w:topLinePunct w:val="0"/>
        <w:bidi w:val="0"/>
        <w:adjustRightInd/>
        <w:snapToGrid/>
        <w:spacing w:before="260" w:after="260" w:line="320" w:lineRule="exact"/>
        <w:jc w:val="left"/>
        <w:textAlignment w:val="auto"/>
        <w:outlineLvl w:val="9"/>
        <w:rPr>
          <w:rFonts w:hint="eastAsia" w:asciiTheme="minorEastAsia" w:hAnsiTheme="minorEastAsia" w:eastAsiaTheme="minorEastAsia" w:cstheme="minorEastAsia"/>
          <w:b/>
          <w:bCs/>
          <w:kern w:val="0"/>
          <w:sz w:val="24"/>
          <w:szCs w:val="24"/>
          <w:highlight w:val="none"/>
          <w:lang w:val="zh-CN" w:bidi="zh-CN"/>
        </w:rPr>
      </w:pPr>
      <w:bookmarkStart w:id="423" w:name="_Toc256000054"/>
      <w:r>
        <w:rPr>
          <w:rFonts w:hint="eastAsia" w:asciiTheme="minorEastAsia" w:hAnsiTheme="minorEastAsia" w:eastAsiaTheme="minorEastAsia" w:cstheme="minorEastAsia"/>
          <w:b/>
          <w:bCs/>
          <w:kern w:val="0"/>
          <w:sz w:val="24"/>
          <w:szCs w:val="24"/>
          <w:highlight w:val="none"/>
          <w:lang w:val="zh-CN" w:bidi="zh-CN"/>
        </w:rPr>
        <w:t>附件八 工程资金监管协议格式</w:t>
      </w:r>
      <w:bookmarkEnd w:id="423"/>
    </w:p>
    <w:p w14:paraId="56493FB9">
      <w:pPr>
        <w:pageBreakBefore w:val="0"/>
        <w:kinsoku/>
        <w:wordWrap/>
        <w:overflowPunct/>
        <w:topLinePunct w:val="0"/>
        <w:autoSpaceDE w:val="0"/>
        <w:autoSpaceDN w:val="0"/>
        <w:bidi w:val="0"/>
        <w:adjustRightInd/>
        <w:snapToGrid/>
        <w:spacing w:before="71"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（发包人与承包人签订合同协议书时应与发包人指定的银行签署工程资金监管</w:t>
      </w:r>
      <w:r>
        <w:rPr>
          <w:rFonts w:hint="eastAsia" w:asciiTheme="minorEastAsia" w:hAnsiTheme="minorEastAsia" w:eastAsiaTheme="minorEastAsia" w:cstheme="minorEastAsia"/>
          <w:spacing w:val="-10"/>
          <w:kern w:val="0"/>
          <w:sz w:val="24"/>
          <w:szCs w:val="24"/>
          <w:highlight w:val="none"/>
          <w:lang w:val="zh-CN" w:bidi="zh-CN"/>
        </w:rPr>
        <w:t>协议，工程资金监管协议内容在保证本项目资金有效监管的前提下由三方共同商定</w:t>
      </w:r>
      <w:r>
        <w:rPr>
          <w:rFonts w:hint="eastAsia" w:asciiTheme="minorEastAsia" w:hAnsiTheme="minorEastAsia" w:eastAsiaTheme="minorEastAsia" w:cstheme="minorEastAsia"/>
          <w:kern w:val="0"/>
          <w:sz w:val="24"/>
          <w:szCs w:val="24"/>
          <w:highlight w:val="none"/>
          <w:lang w:val="zh-CN" w:bidi="zh-CN"/>
        </w:rPr>
        <w:t>）</w:t>
      </w:r>
    </w:p>
    <w:p w14:paraId="533C53F8">
      <w:pPr>
        <w:pageBreakBefore w:val="0"/>
        <w:kinsoku/>
        <w:wordWrap/>
        <w:overflowPunct/>
        <w:topLinePunct w:val="0"/>
        <w:autoSpaceDE w:val="0"/>
        <w:autoSpaceDN w:val="0"/>
        <w:bidi w:val="0"/>
        <w:adjustRightInd/>
        <w:snapToGrid/>
        <w:spacing w:before="1"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36A7A49F">
      <w:pPr>
        <w:pageBreakBefore w:val="0"/>
        <w:kinsoku/>
        <w:wordWrap/>
        <w:overflowPunct/>
        <w:topLinePunct w:val="0"/>
        <w:autoSpaceDE w:val="0"/>
        <w:autoSpaceDN w:val="0"/>
        <w:bidi w:val="0"/>
        <w:adjustRightInd/>
        <w:snapToGrid/>
        <w:spacing w:line="320" w:lineRule="exact"/>
        <w:ind w:left="705" w:right="556" w:firstLine="480" w:firstLineChars="200"/>
        <w:jc w:val="center"/>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工程资金监管协议</w:t>
      </w:r>
    </w:p>
    <w:p w14:paraId="4D21F7F0">
      <w:pPr>
        <w:pageBreakBefore w:val="0"/>
        <w:kinsoku/>
        <w:wordWrap/>
        <w:overflowPunct/>
        <w:topLinePunct w:val="0"/>
        <w:autoSpaceDE w:val="0"/>
        <w:autoSpaceDN w:val="0"/>
        <w:bidi w:val="0"/>
        <w:adjustRightInd/>
        <w:snapToGrid/>
        <w:spacing w:before="3"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0478598E">
      <w:pPr>
        <w:pageBreakBefore w:val="0"/>
        <w:tabs>
          <w:tab w:val="left" w:pos="3463"/>
        </w:tabs>
        <w:kinsoku/>
        <w:wordWrap/>
        <w:overflowPunct/>
        <w:topLinePunct w:val="0"/>
        <w:autoSpaceDE w:val="0"/>
        <w:autoSpaceDN w:val="0"/>
        <w:bidi w:val="0"/>
        <w:adjustRightInd/>
        <w:snapToGrid/>
        <w:spacing w:line="320" w:lineRule="exact"/>
        <w:ind w:left="583" w:right="3928" w:firstLine="480"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发包人：</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（以下简称“甲方”） 承包人：</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（以下简称“乙方”） 经办银行：</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（以下简称“丙方”）</w:t>
      </w:r>
    </w:p>
    <w:p w14:paraId="713E6DC0">
      <w:pPr>
        <w:pageBreakBefore w:val="0"/>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4AF19EA1">
      <w:pPr>
        <w:pageBreakBefore w:val="0"/>
        <w:tabs>
          <w:tab w:val="left" w:pos="2795"/>
          <w:tab w:val="left" w:pos="7739"/>
        </w:tabs>
        <w:kinsoku/>
        <w:wordWrap/>
        <w:overflowPunct/>
        <w:topLinePunct w:val="0"/>
        <w:autoSpaceDE w:val="0"/>
        <w:autoSpaceDN w:val="0"/>
        <w:bidi w:val="0"/>
        <w:adjustRightInd/>
        <w:snapToGrid/>
        <w:spacing w:line="320" w:lineRule="exact"/>
        <w:ind w:left="384" w:right="34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为了促进</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（项目名称）的顺利实施，管好用好建设资金，确保工程资金专款专用</w:t>
      </w:r>
      <w:r>
        <w:rPr>
          <w:rFonts w:hint="eastAsia" w:asciiTheme="minorEastAsia" w:hAnsiTheme="minorEastAsia" w:eastAsiaTheme="minorEastAsia" w:cstheme="minorEastAsia"/>
          <w:spacing w:val="-70"/>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同时为承包人提供便捷有效的银行业务服务</w:t>
      </w:r>
      <w:r>
        <w:rPr>
          <w:rFonts w:hint="eastAsia" w:asciiTheme="minorEastAsia" w:hAnsiTheme="minorEastAsia" w:eastAsiaTheme="minorEastAsia" w:cstheme="minorEastAsia"/>
          <w:spacing w:val="-70"/>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根据</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w:t>
      </w:r>
      <w:r>
        <w:rPr>
          <w:rFonts w:hint="eastAsia" w:asciiTheme="minorEastAsia" w:hAnsiTheme="minorEastAsia" w:eastAsiaTheme="minorEastAsia" w:cstheme="minorEastAsia"/>
          <w:kern w:val="0"/>
          <w:sz w:val="24"/>
          <w:szCs w:val="24"/>
          <w:highlight w:val="none"/>
          <w:lang w:val="zh-CN" w:bidi="zh-CN"/>
        </w:rPr>
        <w:t>项目名称） 合同条款有关规定，经甲、乙、丙三方协商，达成协议如下：</w:t>
      </w:r>
    </w:p>
    <w:p w14:paraId="5EA32769">
      <w:pPr>
        <w:pageBreakBefore w:val="0"/>
        <w:numPr>
          <w:ilvl w:val="0"/>
          <w:numId w:val="23"/>
        </w:numPr>
        <w:tabs>
          <w:tab w:val="left" w:pos="1164"/>
        </w:tabs>
        <w:kinsoku/>
        <w:wordWrap/>
        <w:overflowPunct/>
        <w:topLinePunct w:val="0"/>
        <w:autoSpaceDE w:val="0"/>
        <w:autoSpaceDN w:val="0"/>
        <w:bidi w:val="0"/>
        <w:adjustRightInd/>
        <w:snapToGrid/>
        <w:spacing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资金管理的内容</w:t>
      </w:r>
    </w:p>
    <w:p w14:paraId="577C5785">
      <w:pPr>
        <w:pageBreakBefore w:val="0"/>
        <w:tabs>
          <w:tab w:val="left" w:pos="3568"/>
        </w:tabs>
        <w:kinsoku/>
        <w:wordWrap/>
        <w:overflowPunct/>
        <w:topLinePunct w:val="0"/>
        <w:autoSpaceDE w:val="0"/>
        <w:autoSpaceDN w:val="0"/>
        <w:bidi w:val="0"/>
        <w:adjustRightInd/>
        <w:snapToGrid/>
        <w:spacing w:before="72" w:line="320" w:lineRule="exact"/>
        <w:ind w:left="384" w:right="466" w:firstLine="44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（1）</w:t>
      </w:r>
      <w:r>
        <w:rPr>
          <w:rFonts w:hint="eastAsia" w:asciiTheme="minorEastAsia" w:hAnsiTheme="minorEastAsia" w:eastAsiaTheme="minorEastAsia" w:cstheme="minorEastAsia"/>
          <w:kern w:val="0"/>
          <w:sz w:val="24"/>
          <w:szCs w:val="24"/>
          <w:highlight w:val="none"/>
          <w:lang w:val="zh-CN" w:bidi="zh-CN"/>
        </w:rPr>
        <w:t>乙方为完成</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（项目名称</w:t>
      </w:r>
      <w:r>
        <w:rPr>
          <w:rFonts w:hint="eastAsia" w:asciiTheme="minorEastAsia" w:hAnsiTheme="minorEastAsia" w:eastAsiaTheme="minorEastAsia" w:cstheme="minorEastAsia"/>
          <w:spacing w:val="-29"/>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工程成立的项目经理部在丙方开设基本结算户；</w:t>
      </w:r>
    </w:p>
    <w:p w14:paraId="56988907">
      <w:pPr>
        <w:pageBreakBefore w:val="0"/>
        <w:tabs>
          <w:tab w:val="left" w:pos="3568"/>
        </w:tabs>
        <w:kinsoku/>
        <w:wordWrap/>
        <w:overflowPunct/>
        <w:topLinePunct w:val="0"/>
        <w:autoSpaceDE w:val="0"/>
        <w:autoSpaceDN w:val="0"/>
        <w:bidi w:val="0"/>
        <w:adjustRightInd/>
        <w:snapToGrid/>
        <w:spacing w:before="72" w:line="320" w:lineRule="exact"/>
        <w:ind w:left="384" w:right="466" w:firstLine="440" w:firstLineChars="200"/>
        <w:jc w:val="left"/>
        <w:textAlignment w:val="auto"/>
        <w:outlineLvl w:val="9"/>
        <w:rPr>
          <w:rFonts w:hint="eastAsia" w:asciiTheme="minorEastAsia" w:hAnsiTheme="minorEastAsia" w:eastAsiaTheme="minorEastAsia" w:cstheme="minorEastAsia"/>
          <w:spacing w:val="-10"/>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（2）甲方应按合同规定将工程款汇入乙方在丙方开设的账户；</w:t>
      </w:r>
    </w:p>
    <w:p w14:paraId="2B1B8637">
      <w:pPr>
        <w:pageBreakBefore w:val="0"/>
        <w:tabs>
          <w:tab w:val="left" w:pos="3568"/>
        </w:tabs>
        <w:kinsoku/>
        <w:wordWrap/>
        <w:overflowPunct/>
        <w:topLinePunct w:val="0"/>
        <w:autoSpaceDE w:val="0"/>
        <w:autoSpaceDN w:val="0"/>
        <w:bidi w:val="0"/>
        <w:adjustRightInd/>
        <w:snapToGrid/>
        <w:spacing w:before="72" w:line="320" w:lineRule="exact"/>
        <w:ind w:left="384" w:right="466" w:firstLine="440" w:firstLineChars="200"/>
        <w:jc w:val="left"/>
        <w:textAlignment w:val="auto"/>
        <w:outlineLvl w:val="9"/>
        <w:rPr>
          <w:rFonts w:hint="eastAsia" w:asciiTheme="minorEastAsia" w:hAnsiTheme="minorEastAsia" w:eastAsiaTheme="minorEastAsia" w:cstheme="minorEastAsia"/>
          <w:spacing w:val="-10"/>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 xml:space="preserve">（3）乙方应将流动资金及甲方所拨付资金专项用于 </w:t>
      </w:r>
      <w:r>
        <w:rPr>
          <w:rFonts w:hint="eastAsia" w:asciiTheme="minorEastAsia" w:hAnsiTheme="minorEastAsia" w:eastAsiaTheme="minorEastAsia" w:cstheme="minorEastAsia"/>
          <w:spacing w:val="-10"/>
          <w:kern w:val="0"/>
          <w:sz w:val="24"/>
          <w:szCs w:val="24"/>
          <w:highlight w:val="none"/>
          <w:lang w:val="zh-CN" w:bidi="zh-CN"/>
        </w:rPr>
        <w:tab/>
      </w:r>
      <w:r>
        <w:rPr>
          <w:rFonts w:hint="eastAsia" w:asciiTheme="minorEastAsia" w:hAnsiTheme="minorEastAsia" w:eastAsiaTheme="minorEastAsia" w:cstheme="minorEastAsia"/>
          <w:spacing w:val="-10"/>
          <w:kern w:val="0"/>
          <w:sz w:val="24"/>
          <w:szCs w:val="24"/>
          <w:highlight w:val="none"/>
          <w:lang w:val="zh-CN" w:bidi="zh-CN"/>
        </w:rPr>
        <w:t>（项目名称）；</w:t>
      </w:r>
    </w:p>
    <w:p w14:paraId="0E612400">
      <w:pPr>
        <w:pageBreakBefore w:val="0"/>
        <w:kinsoku/>
        <w:wordWrap/>
        <w:overflowPunct/>
        <w:topLinePunct w:val="0"/>
        <w:autoSpaceDE w:val="0"/>
        <w:autoSpaceDN w:val="0"/>
        <w:bidi w:val="0"/>
        <w:adjustRightInd/>
        <w:snapToGrid/>
        <w:spacing w:before="74"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（4）丙方应为乙方提供便捷有效的银行业务服务，并接受甲方委托对乙方在丙方开设的基本结算户资金使用情况进行监督。</w:t>
      </w:r>
    </w:p>
    <w:p w14:paraId="3CEF422C">
      <w:pPr>
        <w:pageBreakBefore w:val="0"/>
        <w:numPr>
          <w:ilvl w:val="0"/>
          <w:numId w:val="23"/>
        </w:numPr>
        <w:tabs>
          <w:tab w:val="left" w:pos="1164"/>
        </w:tabs>
        <w:kinsoku/>
        <w:wordWrap/>
        <w:overflowPunct/>
        <w:topLinePunct w:val="0"/>
        <w:autoSpaceDE w:val="0"/>
        <w:autoSpaceDN w:val="0"/>
        <w:bidi w:val="0"/>
        <w:adjustRightInd/>
        <w:snapToGrid/>
        <w:spacing w:before="2"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甲方的权责</w:t>
      </w:r>
    </w:p>
    <w:p w14:paraId="35AF4F92">
      <w:pPr>
        <w:pageBreakBefore w:val="0"/>
        <w:tabs>
          <w:tab w:val="left" w:pos="2860"/>
        </w:tabs>
        <w:kinsoku/>
        <w:wordWrap/>
        <w:overflowPunct/>
        <w:topLinePunct w:val="0"/>
        <w:autoSpaceDE w:val="0"/>
        <w:autoSpaceDN w:val="0"/>
        <w:bidi w:val="0"/>
        <w:adjustRightInd/>
        <w:snapToGrid/>
        <w:spacing w:before="74" w:line="320" w:lineRule="exact"/>
        <w:ind w:left="384" w:right="466" w:firstLine="448"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8"/>
          <w:kern w:val="0"/>
          <w:sz w:val="24"/>
          <w:szCs w:val="24"/>
          <w:highlight w:val="none"/>
          <w:lang w:val="zh-CN" w:bidi="zh-CN"/>
        </w:rPr>
        <w:t>（1）</w:t>
      </w:r>
      <w:r>
        <w:rPr>
          <w:rFonts w:hint="eastAsia" w:asciiTheme="minorEastAsia" w:hAnsiTheme="minorEastAsia" w:eastAsiaTheme="minorEastAsia" w:cstheme="minorEastAsia"/>
          <w:kern w:val="0"/>
          <w:sz w:val="24"/>
          <w:szCs w:val="24"/>
          <w:highlight w:val="none"/>
          <w:lang w:val="zh-CN" w:bidi="zh-CN"/>
        </w:rPr>
        <w:t>按照</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（项目名称</w:t>
      </w:r>
      <w:r>
        <w:rPr>
          <w:rFonts w:hint="eastAsia" w:asciiTheme="minorEastAsia" w:hAnsiTheme="minorEastAsia" w:eastAsiaTheme="minorEastAsia" w:cstheme="minorEastAsia"/>
          <w:spacing w:val="-20"/>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合同有关条款规定的时间和方式</w:t>
      </w:r>
      <w:r>
        <w:rPr>
          <w:rFonts w:hint="eastAsia" w:asciiTheme="minorEastAsia" w:hAnsiTheme="minorEastAsia" w:eastAsiaTheme="minorEastAsia" w:cstheme="minorEastAsia"/>
          <w:spacing w:val="-22"/>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向乙方支付工程款；</w:t>
      </w:r>
    </w:p>
    <w:p w14:paraId="1BC836F2">
      <w:pPr>
        <w:pageBreakBefore w:val="0"/>
        <w:kinsoku/>
        <w:wordWrap/>
        <w:overflowPunct/>
        <w:topLinePunct w:val="0"/>
        <w:autoSpaceDE w:val="0"/>
        <w:autoSpaceDN w:val="0"/>
        <w:bidi w:val="0"/>
        <w:adjustRightInd/>
        <w:snapToGrid/>
        <w:spacing w:before="2"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（2）在发现乙方将本项目资金挪用、转移时，甲方有权中止工程支付，直至乙方改正为止；</w:t>
      </w:r>
    </w:p>
    <w:p w14:paraId="17E7513B">
      <w:pPr>
        <w:pageBreakBefore w:val="0"/>
        <w:kinsoku/>
        <w:wordWrap/>
        <w:overflowPunct/>
        <w:topLinePunct w:val="0"/>
        <w:autoSpaceDE w:val="0"/>
        <w:autoSpaceDN w:val="0"/>
        <w:bidi w:val="0"/>
        <w:adjustRightInd/>
        <w:snapToGrid/>
        <w:spacing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（3）不定期审查丙方对乙方的资金使用监督情况，如丙方不能履行其责任，甲方有权随时终止本协议；</w:t>
      </w:r>
    </w:p>
    <w:p w14:paraId="647B9A8A">
      <w:pPr>
        <w:pageBreakBefore w:val="0"/>
        <w:kinsoku/>
        <w:wordWrap/>
        <w:overflowPunct/>
        <w:topLinePunct w:val="0"/>
        <w:autoSpaceDE w:val="0"/>
        <w:autoSpaceDN w:val="0"/>
        <w:bidi w:val="0"/>
        <w:adjustRightInd/>
        <w:snapToGrid/>
        <w:spacing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（4）在乙、丙双方发生争议时，甲方应负责协调、解决。</w:t>
      </w:r>
    </w:p>
    <w:p w14:paraId="75A04ED7">
      <w:pPr>
        <w:pageBreakBefore w:val="0"/>
        <w:numPr>
          <w:ilvl w:val="0"/>
          <w:numId w:val="23"/>
        </w:numPr>
        <w:tabs>
          <w:tab w:val="left" w:pos="1164"/>
        </w:tabs>
        <w:kinsoku/>
        <w:wordWrap/>
        <w:overflowPunct/>
        <w:topLinePunct w:val="0"/>
        <w:autoSpaceDE w:val="0"/>
        <w:autoSpaceDN w:val="0"/>
        <w:bidi w:val="0"/>
        <w:adjustRightInd/>
        <w:snapToGrid/>
        <w:spacing w:before="72"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乙方的权责</w:t>
      </w:r>
    </w:p>
    <w:p w14:paraId="477203B9">
      <w:pPr>
        <w:pageBreakBefore w:val="0"/>
        <w:kinsoku/>
        <w:wordWrap/>
        <w:overflowPunct/>
        <w:topLinePunct w:val="0"/>
        <w:autoSpaceDE w:val="0"/>
        <w:autoSpaceDN w:val="0"/>
        <w:bidi w:val="0"/>
        <w:adjustRightInd/>
        <w:snapToGrid/>
        <w:spacing w:before="74"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（1）项目经理部成立以后，乙方应尽快在丙方开设基本结算户；</w:t>
      </w:r>
    </w:p>
    <w:p w14:paraId="627CAF85">
      <w:pPr>
        <w:pageBreakBefore w:val="0"/>
        <w:kinsoku/>
        <w:wordWrap/>
        <w:overflowPunct/>
        <w:topLinePunct w:val="0"/>
        <w:autoSpaceDE w:val="0"/>
        <w:autoSpaceDN w:val="0"/>
        <w:bidi w:val="0"/>
        <w:adjustRightInd/>
        <w:snapToGrid/>
        <w:spacing w:before="74"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（2）确保本项目资金专款专用，不发生挪用、转移资金的现象；保证不通过权益转让、抵押、担保承担债务等任何其他方式使用基本结算户的资金；</w:t>
      </w:r>
    </w:p>
    <w:p w14:paraId="20B26F36">
      <w:pPr>
        <w:pageBreakBefore w:val="0"/>
        <w:kinsoku/>
        <w:wordWrap/>
        <w:overflowPunct/>
        <w:topLinePunct w:val="0"/>
        <w:autoSpaceDE w:val="0"/>
        <w:autoSpaceDN w:val="0"/>
        <w:bidi w:val="0"/>
        <w:adjustRightInd/>
        <w:snapToGrid/>
        <w:spacing w:before="2" w:line="320" w:lineRule="exact"/>
        <w:ind w:left="384" w:right="346" w:firstLine="448" w:firstLineChars="200"/>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8"/>
          <w:kern w:val="0"/>
          <w:sz w:val="24"/>
          <w:szCs w:val="24"/>
          <w:highlight w:val="none"/>
          <w:lang w:val="zh-CN" w:bidi="zh-CN"/>
        </w:rPr>
        <w:t>（3）</w:t>
      </w:r>
      <w:r>
        <w:rPr>
          <w:rFonts w:hint="eastAsia" w:asciiTheme="minorEastAsia" w:hAnsiTheme="minorEastAsia" w:eastAsiaTheme="minorEastAsia" w:cstheme="minorEastAsia"/>
          <w:spacing w:val="-5"/>
          <w:kern w:val="0"/>
          <w:sz w:val="24"/>
          <w:szCs w:val="24"/>
          <w:highlight w:val="none"/>
          <w:lang w:val="zh-CN" w:bidi="zh-CN"/>
        </w:rPr>
        <w:t>办理材料、设备等采购业务金额在</w:t>
      </w:r>
      <w:r>
        <w:rPr>
          <w:rFonts w:hint="eastAsia" w:asciiTheme="minorEastAsia" w:hAnsiTheme="minorEastAsia" w:eastAsiaTheme="minorEastAsia" w:cstheme="minorEastAsia"/>
          <w:spacing w:val="1"/>
          <w:kern w:val="0"/>
          <w:sz w:val="24"/>
          <w:szCs w:val="24"/>
          <w:highlight w:val="none"/>
          <w:u w:val="single"/>
          <w:lang w:val="zh-CN" w:bidi="zh-CN"/>
        </w:rPr>
        <w:t xml:space="preserve">  </w:t>
      </w:r>
      <w:r>
        <w:rPr>
          <w:rFonts w:hint="eastAsia" w:asciiTheme="minorEastAsia" w:hAnsiTheme="minorEastAsia" w:eastAsiaTheme="minorEastAsia" w:cstheme="minorEastAsia"/>
          <w:spacing w:val="-6"/>
          <w:kern w:val="0"/>
          <w:sz w:val="24"/>
          <w:szCs w:val="24"/>
          <w:highlight w:val="none"/>
          <w:lang w:val="zh-CN" w:bidi="zh-CN"/>
        </w:rPr>
        <w:t>万元以上的，应出示购货合同、协议和发票；在办理总额超过</w:t>
      </w:r>
      <w:r>
        <w:rPr>
          <w:rFonts w:hint="eastAsia" w:asciiTheme="minorEastAsia" w:hAnsiTheme="minorEastAsia" w:eastAsiaTheme="minorEastAsia" w:cstheme="minorEastAsia"/>
          <w:spacing w:val="6"/>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lang w:val="zh-CN" w:bidi="zh-CN"/>
        </w:rPr>
        <w:t>万元以上的采购业务时，应将合同、协议和发票复印件</w:t>
      </w:r>
      <w:r>
        <w:rPr>
          <w:rFonts w:hint="eastAsia" w:asciiTheme="minorEastAsia" w:hAnsiTheme="minorEastAsia" w:eastAsiaTheme="minorEastAsia" w:cstheme="minorEastAsia"/>
          <w:spacing w:val="-8"/>
          <w:kern w:val="0"/>
          <w:sz w:val="24"/>
          <w:szCs w:val="24"/>
          <w:highlight w:val="none"/>
          <w:lang w:val="zh-CN" w:bidi="zh-CN"/>
        </w:rPr>
        <w:t>送丙方备案；购买应急材料、设备时可先办理支付手续，但事后必须补备有关资料；</w:t>
      </w:r>
    </w:p>
    <w:p w14:paraId="2C101F72">
      <w:pPr>
        <w:pageBreakBefore w:val="0"/>
        <w:kinsoku/>
        <w:wordWrap/>
        <w:overflowPunct/>
        <w:topLinePunct w:val="0"/>
        <w:autoSpaceDE w:val="0"/>
        <w:autoSpaceDN w:val="0"/>
        <w:bidi w:val="0"/>
        <w:adjustRightInd/>
        <w:snapToGrid/>
        <w:spacing w:before="2" w:line="320" w:lineRule="exact"/>
        <w:ind w:left="384" w:right="346" w:firstLine="448" w:firstLineChars="200"/>
        <w:textAlignment w:val="auto"/>
        <w:outlineLvl w:val="9"/>
        <w:rPr>
          <w:rFonts w:hint="eastAsia" w:asciiTheme="minorEastAsia" w:hAnsiTheme="minorEastAsia" w:eastAsiaTheme="minorEastAsia" w:cstheme="minorEastAsia"/>
          <w:spacing w:val="-8"/>
          <w:kern w:val="0"/>
          <w:sz w:val="24"/>
          <w:szCs w:val="24"/>
          <w:highlight w:val="none"/>
          <w:lang w:val="zh-CN" w:bidi="zh-CN"/>
        </w:rPr>
      </w:pPr>
      <w:r>
        <w:rPr>
          <w:rFonts w:hint="eastAsia" w:asciiTheme="minorEastAsia" w:hAnsiTheme="minorEastAsia" w:eastAsiaTheme="minorEastAsia" w:cstheme="minorEastAsia"/>
          <w:spacing w:val="-8"/>
          <w:kern w:val="0"/>
          <w:sz w:val="24"/>
          <w:szCs w:val="24"/>
          <w:highlight w:val="none"/>
          <w:lang w:val="zh-CN" w:bidi="zh-CN"/>
        </w:rPr>
        <w:t>（4）用银行转账支票办理支付款项时，必须将转账支票送交丙方，由丙方负责办理支票转付手续；</w:t>
      </w:r>
    </w:p>
    <w:p w14:paraId="2F5EBA23">
      <w:pPr>
        <w:pageBreakBefore w:val="0"/>
        <w:kinsoku/>
        <w:wordWrap/>
        <w:overflowPunct/>
        <w:topLinePunct w:val="0"/>
        <w:autoSpaceDE w:val="0"/>
        <w:autoSpaceDN w:val="0"/>
        <w:bidi w:val="0"/>
        <w:adjustRightInd/>
        <w:snapToGrid/>
        <w:spacing w:before="2" w:line="320" w:lineRule="exact"/>
        <w:ind w:left="384" w:right="346" w:firstLine="448" w:firstLineChars="200"/>
        <w:textAlignment w:val="auto"/>
        <w:outlineLvl w:val="9"/>
        <w:rPr>
          <w:rFonts w:hint="eastAsia" w:asciiTheme="minorEastAsia" w:hAnsiTheme="minorEastAsia" w:eastAsiaTheme="minorEastAsia" w:cstheme="minorEastAsia"/>
          <w:spacing w:val="-8"/>
          <w:kern w:val="0"/>
          <w:sz w:val="24"/>
          <w:szCs w:val="24"/>
          <w:highlight w:val="none"/>
          <w:lang w:val="zh-CN" w:bidi="zh-CN"/>
        </w:rPr>
      </w:pPr>
      <w:r>
        <w:rPr>
          <w:rFonts w:hint="eastAsia" w:asciiTheme="minorEastAsia" w:hAnsiTheme="minorEastAsia" w:eastAsiaTheme="minorEastAsia" w:cstheme="minorEastAsia"/>
          <w:spacing w:val="-8"/>
          <w:kern w:val="0"/>
          <w:sz w:val="24"/>
          <w:szCs w:val="24"/>
          <w:highlight w:val="none"/>
          <w:lang w:val="zh-CN" w:bidi="zh-CN"/>
        </w:rPr>
        <w:t>（5）向分包单位支付工程进度款时，应附甲方批准分包的文件；</w:t>
      </w:r>
    </w:p>
    <w:p w14:paraId="2CA1F837">
      <w:pPr>
        <w:pageBreakBefore w:val="0"/>
        <w:kinsoku/>
        <w:wordWrap/>
        <w:overflowPunct/>
        <w:topLinePunct w:val="0"/>
        <w:autoSpaceDE w:val="0"/>
        <w:autoSpaceDN w:val="0"/>
        <w:bidi w:val="0"/>
        <w:adjustRightInd/>
        <w:snapToGrid/>
        <w:spacing w:before="2" w:line="320" w:lineRule="exact"/>
        <w:ind w:left="384" w:right="346" w:firstLine="448" w:firstLineChars="200"/>
        <w:textAlignment w:val="auto"/>
        <w:outlineLvl w:val="9"/>
        <w:rPr>
          <w:rFonts w:hint="eastAsia" w:asciiTheme="minorEastAsia" w:hAnsiTheme="minorEastAsia" w:eastAsiaTheme="minorEastAsia" w:cstheme="minorEastAsia"/>
          <w:spacing w:val="-8"/>
          <w:kern w:val="0"/>
          <w:sz w:val="24"/>
          <w:szCs w:val="24"/>
          <w:highlight w:val="none"/>
          <w:lang w:val="zh-CN" w:bidi="zh-CN"/>
        </w:rPr>
      </w:pPr>
      <w:r>
        <w:rPr>
          <w:rFonts w:hint="eastAsia" w:asciiTheme="minorEastAsia" w:hAnsiTheme="minorEastAsia" w:eastAsiaTheme="minorEastAsia" w:cstheme="minorEastAsia"/>
          <w:spacing w:val="-8"/>
          <w:kern w:val="0"/>
          <w:sz w:val="24"/>
          <w:szCs w:val="24"/>
          <w:highlight w:val="none"/>
          <w:lang w:val="zh-CN" w:bidi="zh-CN"/>
        </w:rPr>
        <w:t>（6）向上级单位缴纳管理费、机械设备及周转材料租赁摊销费等款项时，应附上级单位出具的转账通知等有关资料，以确保资金专款专用。</w:t>
      </w:r>
    </w:p>
    <w:p w14:paraId="4E56C8E1">
      <w:pPr>
        <w:pageBreakBefore w:val="0"/>
        <w:numPr>
          <w:ilvl w:val="0"/>
          <w:numId w:val="23"/>
        </w:numPr>
        <w:tabs>
          <w:tab w:val="left" w:pos="1164"/>
        </w:tabs>
        <w:kinsoku/>
        <w:wordWrap/>
        <w:overflowPunct/>
        <w:topLinePunct w:val="0"/>
        <w:autoSpaceDE w:val="0"/>
        <w:autoSpaceDN w:val="0"/>
        <w:bidi w:val="0"/>
        <w:adjustRightInd/>
        <w:snapToGrid/>
        <w:spacing w:before="2"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丙方的权责</w:t>
      </w:r>
    </w:p>
    <w:p w14:paraId="5B8AAC69">
      <w:pPr>
        <w:pageBreakBefore w:val="0"/>
        <w:tabs>
          <w:tab w:val="left" w:pos="2870"/>
        </w:tabs>
        <w:kinsoku/>
        <w:wordWrap/>
        <w:overflowPunct/>
        <w:topLinePunct w:val="0"/>
        <w:autoSpaceDE w:val="0"/>
        <w:autoSpaceDN w:val="0"/>
        <w:bidi w:val="0"/>
        <w:adjustRightInd/>
        <w:snapToGrid/>
        <w:spacing w:before="74" w:line="320" w:lineRule="exact"/>
        <w:ind w:left="384" w:right="466" w:firstLine="456"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6"/>
          <w:kern w:val="0"/>
          <w:sz w:val="24"/>
          <w:szCs w:val="24"/>
          <w:highlight w:val="none"/>
          <w:lang w:val="zh-CN" w:bidi="zh-CN"/>
        </w:rPr>
        <w:t>（1）</w:t>
      </w:r>
      <w:r>
        <w:rPr>
          <w:rFonts w:hint="eastAsia" w:asciiTheme="minorEastAsia" w:hAnsiTheme="minorEastAsia" w:eastAsiaTheme="minorEastAsia" w:cstheme="minorEastAsia"/>
          <w:kern w:val="0"/>
          <w:sz w:val="24"/>
          <w:szCs w:val="24"/>
          <w:highlight w:val="none"/>
          <w:lang w:val="zh-CN" w:bidi="zh-CN"/>
        </w:rPr>
        <w:t>成立</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（项目名称</w:t>
      </w:r>
      <w:r>
        <w:rPr>
          <w:rFonts w:hint="eastAsia" w:asciiTheme="minorEastAsia" w:hAnsiTheme="minorEastAsia" w:eastAsiaTheme="minorEastAsia" w:cstheme="minorEastAsia"/>
          <w:spacing w:val="-17"/>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工程资金管理服务小组</w:t>
      </w:r>
      <w:r>
        <w:rPr>
          <w:rFonts w:hint="eastAsia" w:asciiTheme="minorEastAsia" w:hAnsiTheme="minorEastAsia" w:eastAsiaTheme="minorEastAsia" w:cstheme="minorEastAsia"/>
          <w:spacing w:val="-17"/>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明确业务流程</w:t>
      </w:r>
      <w:r>
        <w:rPr>
          <w:rFonts w:hint="eastAsia" w:asciiTheme="minorEastAsia" w:hAnsiTheme="minorEastAsia" w:eastAsiaTheme="minorEastAsia" w:cstheme="minorEastAsia"/>
          <w:spacing w:val="-17"/>
          <w:kern w:val="0"/>
          <w:sz w:val="24"/>
          <w:szCs w:val="24"/>
          <w:highlight w:val="none"/>
          <w:lang w:val="zh-CN" w:bidi="zh-CN"/>
        </w:rPr>
        <w:t>，</w:t>
      </w:r>
      <w:r>
        <w:rPr>
          <w:rFonts w:hint="eastAsia" w:asciiTheme="minorEastAsia" w:hAnsiTheme="minorEastAsia" w:eastAsiaTheme="minorEastAsia" w:cstheme="minorEastAsia"/>
          <w:kern w:val="0"/>
          <w:sz w:val="24"/>
          <w:szCs w:val="24"/>
          <w:highlight w:val="none"/>
          <w:lang w:val="zh-CN" w:bidi="zh-CN"/>
        </w:rPr>
        <w:t>提高工作效率，杜绝“压票”现象；</w:t>
      </w:r>
    </w:p>
    <w:p w14:paraId="05630A0F">
      <w:pPr>
        <w:pageBreakBefore w:val="0"/>
        <w:kinsoku/>
        <w:wordWrap/>
        <w:overflowPunct/>
        <w:topLinePunct w:val="0"/>
        <w:autoSpaceDE w:val="0"/>
        <w:autoSpaceDN w:val="0"/>
        <w:bidi w:val="0"/>
        <w:adjustRightInd/>
        <w:snapToGrid/>
        <w:spacing w:before="2" w:line="320" w:lineRule="exact"/>
        <w:ind w:left="384" w:right="462"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（2</w:t>
      </w:r>
      <w:r>
        <w:rPr>
          <w:rFonts w:hint="eastAsia" w:asciiTheme="minorEastAsia" w:hAnsiTheme="minorEastAsia" w:eastAsiaTheme="minorEastAsia" w:cstheme="minorEastAsia"/>
          <w:spacing w:val="-108"/>
          <w:kern w:val="0"/>
          <w:sz w:val="24"/>
          <w:szCs w:val="24"/>
          <w:highlight w:val="none"/>
          <w:lang w:val="zh-CN" w:bidi="zh-CN"/>
        </w:rPr>
        <w:t>）</w:t>
      </w:r>
      <w:r>
        <w:rPr>
          <w:rFonts w:hint="eastAsia" w:asciiTheme="minorEastAsia" w:hAnsiTheme="minorEastAsia" w:eastAsiaTheme="minorEastAsia" w:cstheme="minorEastAsia"/>
          <w:spacing w:val="-31"/>
          <w:kern w:val="0"/>
          <w:sz w:val="24"/>
          <w:szCs w:val="24"/>
          <w:highlight w:val="none"/>
          <w:lang w:val="zh-CN" w:bidi="zh-CN"/>
        </w:rPr>
        <w:t>根据乙方提供的购货合同、协议和发票，检查其所购材料、设备是否用于</w:t>
      </w:r>
      <w:r>
        <w:rPr>
          <w:rFonts w:hint="eastAsia" w:asciiTheme="minorEastAsia" w:hAnsiTheme="minorEastAsia" w:eastAsiaTheme="minorEastAsia" w:cstheme="minorEastAsia"/>
          <w:spacing w:val="-2"/>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w:t>
      </w:r>
      <w:r>
        <w:rPr>
          <w:rFonts w:hint="eastAsia" w:asciiTheme="minorEastAsia" w:hAnsiTheme="minorEastAsia" w:eastAsiaTheme="minorEastAsia" w:cstheme="minorEastAsia"/>
          <w:kern w:val="0"/>
          <w:sz w:val="24"/>
          <w:szCs w:val="24"/>
          <w:highlight w:val="none"/>
          <w:lang w:val="zh-CN" w:bidi="zh-CN"/>
        </w:rPr>
        <w:t>项目名称）工程建设，对本标段以外的购货款项，有权拒绝办理，并及时报告甲方；</w:t>
      </w:r>
    </w:p>
    <w:p w14:paraId="1A4E4601">
      <w:pPr>
        <w:pageBreakBefore w:val="0"/>
        <w:kinsoku/>
        <w:wordWrap/>
        <w:overflowPunct/>
        <w:topLinePunct w:val="0"/>
        <w:autoSpaceDE w:val="0"/>
        <w:autoSpaceDN w:val="0"/>
        <w:bidi w:val="0"/>
        <w:adjustRightInd/>
        <w:snapToGrid/>
        <w:spacing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（3）根据乙方与分包单位签订的合同及支付文件，检查其支付款项是否符合有关条件，向分包单位以外单位的支付有权拒绝办理，并及时报告甲方；</w:t>
      </w:r>
    </w:p>
    <w:p w14:paraId="7B2C22EF">
      <w:pPr>
        <w:pageBreakBefore w:val="0"/>
        <w:kinsoku/>
        <w:wordWrap/>
        <w:overflowPunct/>
        <w:topLinePunct w:val="0"/>
        <w:autoSpaceDE w:val="0"/>
        <w:autoSpaceDN w:val="0"/>
        <w:bidi w:val="0"/>
        <w:adjustRightInd/>
        <w:snapToGrid/>
        <w:spacing w:before="2" w:line="320" w:lineRule="exact"/>
        <w:ind w:left="384" w:right="346" w:firstLine="44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0"/>
          <w:kern w:val="0"/>
          <w:sz w:val="24"/>
          <w:szCs w:val="24"/>
          <w:highlight w:val="none"/>
          <w:lang w:val="zh-CN" w:bidi="zh-CN"/>
        </w:rPr>
        <w:t>（4）</w:t>
      </w:r>
      <w:r>
        <w:rPr>
          <w:rFonts w:hint="eastAsia" w:asciiTheme="minorEastAsia" w:hAnsiTheme="minorEastAsia" w:eastAsiaTheme="minorEastAsia" w:cstheme="minorEastAsia"/>
          <w:spacing w:val="-3"/>
          <w:kern w:val="0"/>
          <w:sz w:val="24"/>
          <w:szCs w:val="24"/>
          <w:highlight w:val="none"/>
          <w:lang w:val="zh-CN" w:bidi="zh-CN"/>
        </w:rPr>
        <w:t>根据乙方提供的上级单位出具的转账通知等有关资料，办理管理费、机械</w:t>
      </w:r>
      <w:r>
        <w:rPr>
          <w:rFonts w:hint="eastAsia" w:asciiTheme="minorEastAsia" w:hAnsiTheme="minorEastAsia" w:eastAsiaTheme="minorEastAsia" w:cstheme="minorEastAsia"/>
          <w:spacing w:val="-8"/>
          <w:kern w:val="0"/>
          <w:sz w:val="24"/>
          <w:szCs w:val="24"/>
          <w:highlight w:val="none"/>
          <w:lang w:val="zh-CN" w:bidi="zh-CN"/>
        </w:rPr>
        <w:t>设备及周转材料租赁摊销费等款项的支付；对超出转账通知等有关资料以外的支付， 有权拒绝办理，并及时报告甲方；</w:t>
      </w:r>
    </w:p>
    <w:p w14:paraId="375DC3AB">
      <w:pPr>
        <w:pageBreakBefore w:val="0"/>
        <w:kinsoku/>
        <w:wordWrap/>
        <w:overflowPunct/>
        <w:topLinePunct w:val="0"/>
        <w:autoSpaceDE w:val="0"/>
        <w:autoSpaceDN w:val="0"/>
        <w:bidi w:val="0"/>
        <w:adjustRightInd/>
        <w:snapToGrid/>
        <w:spacing w:before="5" w:line="320" w:lineRule="exact"/>
        <w:ind w:left="384" w:right="386"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（5）定期将乙方前一个周期的支付情况，整理后书面报送甲方；乙方复印备案的材料一并送甲方。</w:t>
      </w:r>
    </w:p>
    <w:p w14:paraId="5943499F">
      <w:pPr>
        <w:pageBreakBefore w:val="0"/>
        <w:numPr>
          <w:ilvl w:val="0"/>
          <w:numId w:val="23"/>
        </w:numPr>
        <w:tabs>
          <w:tab w:val="left" w:pos="1164"/>
        </w:tabs>
        <w:kinsoku/>
        <w:wordWrap/>
        <w:overflowPunct/>
        <w:topLinePunct w:val="0"/>
        <w:autoSpaceDE w:val="0"/>
        <w:autoSpaceDN w:val="0"/>
        <w:bidi w:val="0"/>
        <w:adjustRightInd/>
        <w:snapToGrid/>
        <w:spacing w:before="2" w:line="320" w:lineRule="exact"/>
        <w:ind w:right="466" w:firstLine="46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5"/>
          <w:kern w:val="0"/>
          <w:sz w:val="24"/>
          <w:szCs w:val="24"/>
          <w:highlight w:val="none"/>
          <w:lang w:val="zh-CN" w:bidi="zh-CN"/>
        </w:rPr>
        <w:t>甲、乙、丙三方都应履行保密责任，不得将其他两方的业务情况透露给三方以外的其他单位或个人。</w:t>
      </w:r>
    </w:p>
    <w:p w14:paraId="5C86B5D1">
      <w:pPr>
        <w:pageBreakBefore w:val="0"/>
        <w:numPr>
          <w:ilvl w:val="0"/>
          <w:numId w:val="23"/>
        </w:numPr>
        <w:tabs>
          <w:tab w:val="left" w:pos="1164"/>
        </w:tabs>
        <w:kinsoku/>
        <w:wordWrap/>
        <w:overflowPunct/>
        <w:topLinePunct w:val="0"/>
        <w:autoSpaceDE w:val="0"/>
        <w:autoSpaceDN w:val="0"/>
        <w:bidi w:val="0"/>
        <w:adjustRightInd/>
        <w:snapToGrid/>
        <w:spacing w:line="320" w:lineRule="exact"/>
        <w:ind w:right="466" w:firstLine="472"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2"/>
          <w:kern w:val="0"/>
          <w:sz w:val="24"/>
          <w:szCs w:val="24"/>
          <w:highlight w:val="none"/>
          <w:lang w:val="zh-CN" w:bidi="zh-CN"/>
        </w:rPr>
        <w:t>本协议有效期自乙方在丙方开户起，至工程交工验收甲方向乙方颁发交工验收证书后结束。</w:t>
      </w:r>
    </w:p>
    <w:p w14:paraId="4972BF88">
      <w:pPr>
        <w:pageBreakBefore w:val="0"/>
        <w:numPr>
          <w:ilvl w:val="0"/>
          <w:numId w:val="23"/>
        </w:numPr>
        <w:tabs>
          <w:tab w:val="left" w:pos="1164"/>
        </w:tabs>
        <w:kinsoku/>
        <w:wordWrap/>
        <w:overflowPunct/>
        <w:topLinePunct w:val="0"/>
        <w:autoSpaceDE w:val="0"/>
        <w:autoSpaceDN w:val="0"/>
        <w:bidi w:val="0"/>
        <w:adjustRightInd/>
        <w:snapToGrid/>
        <w:spacing w:before="3"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本协议未尽事宜，由甲方牵头，三方协商解决。</w:t>
      </w:r>
    </w:p>
    <w:p w14:paraId="6D98876A">
      <w:pPr>
        <w:pageBreakBefore w:val="0"/>
        <w:numPr>
          <w:ilvl w:val="0"/>
          <w:numId w:val="23"/>
        </w:numPr>
        <w:tabs>
          <w:tab w:val="left" w:pos="1164"/>
        </w:tabs>
        <w:kinsoku/>
        <w:wordWrap/>
        <w:overflowPunct/>
        <w:topLinePunct w:val="0"/>
        <w:autoSpaceDE w:val="0"/>
        <w:autoSpaceDN w:val="0"/>
        <w:bidi w:val="0"/>
        <w:adjustRightInd/>
        <w:snapToGrid/>
        <w:spacing w:before="72" w:line="320" w:lineRule="exact"/>
        <w:ind w:right="466" w:firstLine="476"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spacing w:val="-1"/>
          <w:kern w:val="0"/>
          <w:sz w:val="24"/>
          <w:szCs w:val="24"/>
          <w:highlight w:val="none"/>
          <w:lang w:val="zh-CN" w:bidi="zh-CN"/>
        </w:rPr>
        <w:t>本协议正本三份、副本</w:t>
      </w:r>
      <w:r>
        <w:rPr>
          <w:rFonts w:hint="eastAsia" w:asciiTheme="minorEastAsia" w:hAnsiTheme="minorEastAsia" w:eastAsiaTheme="minorEastAsia" w:cstheme="minorEastAsia"/>
          <w:spacing w:val="3"/>
          <w:kern w:val="0"/>
          <w:sz w:val="24"/>
          <w:szCs w:val="24"/>
          <w:highlight w:val="none"/>
          <w:lang w:val="zh-CN" w:bidi="zh-CN"/>
        </w:rPr>
        <w:t xml:space="preserve"> 份。合同三方各执正本一份、副本</w:t>
      </w:r>
      <w:r>
        <w:rPr>
          <w:rFonts w:hint="eastAsia" w:asciiTheme="minorEastAsia" w:hAnsiTheme="minorEastAsia" w:eastAsiaTheme="minorEastAsia" w:cstheme="minorEastAsia"/>
          <w:spacing w:val="14"/>
          <w:kern w:val="0"/>
          <w:sz w:val="24"/>
          <w:szCs w:val="24"/>
          <w:highlight w:val="none"/>
          <w:lang w:val="zh-CN" w:bidi="zh-CN"/>
        </w:rPr>
        <w:t xml:space="preserve"> 份，当正本与副本内容不一致时，以正本为准。</w:t>
      </w:r>
    </w:p>
    <w:p w14:paraId="4E105816">
      <w:pPr>
        <w:pageBreakBefore w:val="0"/>
        <w:kinsoku/>
        <w:wordWrap/>
        <w:overflowPunct/>
        <w:topLinePunct w:val="0"/>
        <w:autoSpaceDE w:val="0"/>
        <w:autoSpaceDN w:val="0"/>
        <w:bidi w:val="0"/>
        <w:adjustRightInd/>
        <w:snapToGrid/>
        <w:spacing w:before="9" w:line="320" w:lineRule="exact"/>
        <w:ind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p>
    <w:p w14:paraId="729B37BA">
      <w:pPr>
        <w:pageBreakBefore w:val="0"/>
        <w:tabs>
          <w:tab w:val="left" w:pos="4663"/>
          <w:tab w:val="left" w:pos="5143"/>
        </w:tabs>
        <w:kinsoku/>
        <w:wordWrap/>
        <w:overflowPunct/>
        <w:topLinePunct w:val="0"/>
        <w:autoSpaceDE w:val="0"/>
        <w:autoSpaceDN w:val="0"/>
        <w:bidi w:val="0"/>
        <w:adjustRightInd/>
        <w:snapToGrid/>
        <w:spacing w:line="320" w:lineRule="exact"/>
        <w:ind w:left="2204" w:leftChars="478" w:right="3421" w:hanging="1200" w:hangingChars="5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发包人：</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lang w:val="zh-CN" w:bidi="zh-CN"/>
        </w:rPr>
        <w:t xml:space="preserve">（盖单位章） </w:t>
      </w:r>
    </w:p>
    <w:p w14:paraId="6BD7A227">
      <w:pPr>
        <w:pageBreakBefore w:val="0"/>
        <w:tabs>
          <w:tab w:val="left" w:pos="4663"/>
          <w:tab w:val="left" w:pos="5143"/>
        </w:tabs>
        <w:kinsoku/>
        <w:wordWrap/>
        <w:overflowPunct/>
        <w:topLinePunct w:val="0"/>
        <w:autoSpaceDE w:val="0"/>
        <w:autoSpaceDN w:val="0"/>
        <w:bidi w:val="0"/>
        <w:adjustRightInd/>
        <w:snapToGrid/>
        <w:spacing w:line="320" w:lineRule="exact"/>
        <w:ind w:right="3421" w:firstLine="1176" w:firstLineChars="49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法定代表人或其委托代理人：</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（签字）</w:t>
      </w:r>
    </w:p>
    <w:p w14:paraId="3C260939">
      <w:pPr>
        <w:pageBreakBefore w:val="0"/>
        <w:tabs>
          <w:tab w:val="left" w:pos="3623"/>
          <w:tab w:val="left" w:pos="4703"/>
          <w:tab w:val="left" w:pos="5603"/>
        </w:tabs>
        <w:kinsoku/>
        <w:wordWrap/>
        <w:overflowPunct/>
        <w:topLinePunct w:val="0"/>
        <w:autoSpaceDE w:val="0"/>
        <w:autoSpaceDN w:val="0"/>
        <w:bidi w:val="0"/>
        <w:adjustRightInd/>
        <w:snapToGrid/>
        <w:spacing w:before="3" w:line="320" w:lineRule="exact"/>
        <w:ind w:left="2543"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年</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月</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日</w:t>
      </w:r>
    </w:p>
    <w:p w14:paraId="17D06472">
      <w:pPr>
        <w:pageBreakBefore w:val="0"/>
        <w:tabs>
          <w:tab w:val="left" w:pos="4663"/>
          <w:tab w:val="left" w:pos="5143"/>
        </w:tabs>
        <w:kinsoku/>
        <w:wordWrap/>
        <w:overflowPunct/>
        <w:topLinePunct w:val="0"/>
        <w:autoSpaceDE w:val="0"/>
        <w:autoSpaceDN w:val="0"/>
        <w:bidi w:val="0"/>
        <w:adjustRightInd/>
        <w:snapToGrid/>
        <w:spacing w:line="320" w:lineRule="exact"/>
        <w:ind w:left="3164" w:leftChars="478" w:right="3421" w:hanging="2160" w:hangingChars="9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承包人：</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 xml:space="preserve">（盖单位章） </w:t>
      </w:r>
    </w:p>
    <w:p w14:paraId="7F756ECA">
      <w:pPr>
        <w:pageBreakBefore w:val="0"/>
        <w:tabs>
          <w:tab w:val="left" w:pos="4663"/>
          <w:tab w:val="left" w:pos="5143"/>
        </w:tabs>
        <w:kinsoku/>
        <w:wordWrap/>
        <w:overflowPunct/>
        <w:topLinePunct w:val="0"/>
        <w:autoSpaceDE w:val="0"/>
        <w:autoSpaceDN w:val="0"/>
        <w:bidi w:val="0"/>
        <w:adjustRightInd/>
        <w:snapToGrid/>
        <w:spacing w:line="320" w:lineRule="exact"/>
        <w:ind w:left="3164" w:leftChars="478" w:right="3421" w:hanging="2160" w:hangingChars="9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法定代表人或其委托代理人：</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（签字）</w:t>
      </w:r>
    </w:p>
    <w:p w14:paraId="55F8D33B">
      <w:pPr>
        <w:pageBreakBefore w:val="0"/>
        <w:tabs>
          <w:tab w:val="left" w:pos="3623"/>
          <w:tab w:val="left" w:pos="4703"/>
          <w:tab w:val="left" w:pos="5603"/>
        </w:tabs>
        <w:kinsoku/>
        <w:wordWrap/>
        <w:overflowPunct/>
        <w:topLinePunct w:val="0"/>
        <w:autoSpaceDE w:val="0"/>
        <w:autoSpaceDN w:val="0"/>
        <w:bidi w:val="0"/>
        <w:adjustRightInd/>
        <w:snapToGrid/>
        <w:spacing w:line="320" w:lineRule="exact"/>
        <w:ind w:left="2543"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年</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月</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日</w:t>
      </w:r>
    </w:p>
    <w:p w14:paraId="218493B5">
      <w:pPr>
        <w:pageBreakBefore w:val="0"/>
        <w:tabs>
          <w:tab w:val="left" w:pos="4663"/>
          <w:tab w:val="left" w:pos="5143"/>
        </w:tabs>
        <w:kinsoku/>
        <w:wordWrap/>
        <w:overflowPunct/>
        <w:topLinePunct w:val="0"/>
        <w:autoSpaceDE w:val="0"/>
        <w:autoSpaceDN w:val="0"/>
        <w:bidi w:val="0"/>
        <w:adjustRightInd/>
        <w:snapToGrid/>
        <w:spacing w:line="320" w:lineRule="exact"/>
        <w:ind w:left="2444" w:leftChars="478" w:right="3421" w:hanging="1440" w:hangingChars="6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经办银行：</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lang w:val="zh-CN" w:bidi="zh-CN"/>
        </w:rPr>
        <w:t xml:space="preserve">（盖单位章） </w:t>
      </w:r>
    </w:p>
    <w:p w14:paraId="354103B5">
      <w:pPr>
        <w:pageBreakBefore w:val="0"/>
        <w:tabs>
          <w:tab w:val="left" w:pos="4663"/>
          <w:tab w:val="left" w:pos="5143"/>
        </w:tabs>
        <w:kinsoku/>
        <w:wordWrap/>
        <w:overflowPunct/>
        <w:topLinePunct w:val="0"/>
        <w:autoSpaceDE w:val="0"/>
        <w:autoSpaceDN w:val="0"/>
        <w:bidi w:val="0"/>
        <w:adjustRightInd/>
        <w:snapToGrid/>
        <w:spacing w:line="320" w:lineRule="exact"/>
        <w:ind w:left="2444" w:leftChars="478" w:right="3421" w:hanging="1440" w:hangingChars="6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lang w:val="zh-CN" w:bidi="zh-CN"/>
        </w:rPr>
        <w:t>法定代表人或其委托代理人：</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（签字）</w:t>
      </w:r>
    </w:p>
    <w:p w14:paraId="62FDABA8">
      <w:pPr>
        <w:pageBreakBefore w:val="0"/>
        <w:tabs>
          <w:tab w:val="left" w:pos="3623"/>
          <w:tab w:val="left" w:pos="4703"/>
          <w:tab w:val="left" w:pos="5603"/>
        </w:tabs>
        <w:kinsoku/>
        <w:wordWrap/>
        <w:overflowPunct/>
        <w:topLinePunct w:val="0"/>
        <w:autoSpaceDE w:val="0"/>
        <w:autoSpaceDN w:val="0"/>
        <w:bidi w:val="0"/>
        <w:adjustRightInd/>
        <w:snapToGrid/>
        <w:spacing w:line="320" w:lineRule="exact"/>
        <w:ind w:left="2543"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年</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月</w:t>
      </w:r>
      <w:r>
        <w:rPr>
          <w:rFonts w:hint="eastAsia" w:asciiTheme="minorEastAsia" w:hAnsiTheme="minorEastAsia" w:eastAsiaTheme="minorEastAsia" w:cstheme="minorEastAsia"/>
          <w:kern w:val="0"/>
          <w:sz w:val="24"/>
          <w:szCs w:val="24"/>
          <w:highlight w:val="none"/>
          <w:u w:val="single"/>
          <w:lang w:val="zh-CN" w:bidi="zh-CN"/>
        </w:rPr>
        <w:t xml:space="preserve"> </w:t>
      </w:r>
      <w:r>
        <w:rPr>
          <w:rFonts w:hint="eastAsia" w:asciiTheme="minorEastAsia" w:hAnsiTheme="minorEastAsia" w:eastAsiaTheme="minorEastAsia" w:cstheme="minorEastAsia"/>
          <w:kern w:val="0"/>
          <w:sz w:val="24"/>
          <w:szCs w:val="24"/>
          <w:highlight w:val="none"/>
          <w:u w:val="single"/>
          <w:lang w:val="zh-CN" w:bidi="zh-CN"/>
        </w:rPr>
        <w:tab/>
      </w:r>
      <w:r>
        <w:rPr>
          <w:rFonts w:hint="eastAsia" w:asciiTheme="minorEastAsia" w:hAnsiTheme="minorEastAsia" w:eastAsiaTheme="minorEastAsia" w:cstheme="minorEastAsia"/>
          <w:kern w:val="0"/>
          <w:sz w:val="24"/>
          <w:szCs w:val="24"/>
          <w:highlight w:val="none"/>
          <w:lang w:val="zh-CN" w:bidi="zh-CN"/>
        </w:rPr>
        <w:t>日</w:t>
      </w:r>
    </w:p>
    <w:p w14:paraId="163FF9FF">
      <w:pPr>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color w:val="000080"/>
          <w:sz w:val="24"/>
          <w:szCs w:val="24"/>
          <w:highlight w:val="none"/>
        </w:rPr>
      </w:pPr>
      <w:r>
        <w:rPr>
          <w:rFonts w:hint="eastAsia" w:asciiTheme="minorEastAsia" w:hAnsiTheme="minorEastAsia" w:eastAsiaTheme="minorEastAsia" w:cstheme="minorEastAsia"/>
          <w:color w:val="000080"/>
          <w:sz w:val="24"/>
          <w:szCs w:val="24"/>
          <w:highlight w:val="none"/>
        </w:rPr>
        <w:t xml:space="preserve"> </w:t>
      </w:r>
      <w:bookmarkEnd w:id="401"/>
    </w:p>
    <w:p w14:paraId="3B58CBE3">
      <w:pPr>
        <w:pStyle w:val="23"/>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rPr>
      </w:pPr>
    </w:p>
    <w:p w14:paraId="66897804">
      <w:pPr>
        <w:pStyle w:val="23"/>
        <w:pageBreakBefore w:val="0"/>
        <w:kinsoku/>
        <w:wordWrap/>
        <w:overflowPunct/>
        <w:topLinePunct w:val="0"/>
        <w:bidi w:val="0"/>
        <w:adjustRightInd/>
        <w:snapToGrid/>
        <w:spacing w:line="320" w:lineRule="exact"/>
        <w:textAlignment w:val="auto"/>
        <w:outlineLvl w:val="9"/>
        <w:rPr>
          <w:rFonts w:hint="eastAsia" w:asciiTheme="minorEastAsia" w:hAnsiTheme="minorEastAsia" w:eastAsiaTheme="minorEastAsia" w:cstheme="minorEastAsia"/>
          <w:sz w:val="24"/>
          <w:szCs w:val="24"/>
          <w:highlight w:val="none"/>
        </w:rPr>
      </w:pPr>
    </w:p>
    <w:sectPr>
      <w:pgSz w:w="11906" w:h="16838"/>
      <w:pgMar w:top="1440" w:right="1803" w:bottom="1440" w:left="1803" w:header="720" w:footer="998"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5EBCF">
    <w:pPr>
      <w:pStyle w:val="15"/>
      <w:ind w:right="360" w:firstLine="360"/>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F3500">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9CF3500">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644CD">
    <w:pPr>
      <w:pStyle w:val="15"/>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8FAA0">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38FAA0">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0A26C">
    <w:pPr>
      <w:pStyle w:val="15"/>
      <w:tabs>
        <w:tab w:val="center" w:pos="4873"/>
        <w:tab w:val="right" w:pos="9506"/>
      </w:tabs>
      <w:ind w:right="360" w:firstLine="360"/>
      <w:jc w:val="lef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342BB">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FD342BB">
                    <w:pPr>
                      <w:pStyle w:val="15"/>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B48EA">
    <w:pPr>
      <w:spacing w:line="230" w:lineRule="auto"/>
      <w:ind w:left="4519"/>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12698">
                          <w:pPr>
                            <w:pStyle w:val="15"/>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1912698">
                    <w:pPr>
                      <w:pStyle w:val="15"/>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B8DA2">
    <w:pPr>
      <w:pStyle w:val="61"/>
      <w:tabs>
        <w:tab w:val="clear" w:pos="4153"/>
        <w:tab w:val="clear" w:pos="8306"/>
      </w:tabs>
      <w:wordWrap w:val="0"/>
      <w:ind w:right="360" w:firstLine="360"/>
      <w:jc w:val="both"/>
      <w:rPr>
        <w:rFonts w:hint="default" w:eastAsia="宋体"/>
        <w:sz w:val="18"/>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4E0EA">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684E0EA">
                    <w:pPr>
                      <w:pStyle w:val="15"/>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eastAsia="宋体"/>
        <w:sz w:val="18"/>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4A6C8">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490EC">
                          <w:pPr>
                            <w:pStyle w:val="1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D4490EC">
                    <w:pPr>
                      <w:pStyle w:val="1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A8A4D">
    <w:pPr>
      <w:pStyle w:val="15"/>
      <w:framePr w:wrap="around" w:vAnchor="text" w:hAnchor="margin" w:xAlign="center" w:y="1"/>
      <w:rPr>
        <w:rStyle w:val="28"/>
      </w:rPr>
    </w:pPr>
    <w:r>
      <w:fldChar w:fldCharType="begin"/>
    </w:r>
    <w:r>
      <w:rPr>
        <w:rStyle w:val="28"/>
      </w:rPr>
      <w:instrText xml:space="preserve">PAGE  </w:instrText>
    </w:r>
    <w:r>
      <w:fldChar w:fldCharType="end"/>
    </w:r>
  </w:p>
  <w:p w14:paraId="1DC1D8F0">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5AC06">
    <w:pPr>
      <w:pStyle w:val="15"/>
      <w:rPr>
        <w:rFonts w:hint="eastAsia" w:cs="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A454F">
                          <w:pPr>
                            <w:pStyle w:val="15"/>
                          </w:pPr>
                          <w:r>
                            <w:fldChar w:fldCharType="begin"/>
                          </w:r>
                          <w:r>
                            <w:instrText xml:space="preserve"> PAGE  \* MERGEFORMAT </w:instrText>
                          </w:r>
                          <w:r>
                            <w:fldChar w:fldCharType="separate"/>
                          </w:r>
                          <w:r>
                            <w:t>- 70 -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ABA454F">
                    <w:pPr>
                      <w:pStyle w:val="15"/>
                    </w:pPr>
                    <w:r>
                      <w:fldChar w:fldCharType="begin"/>
                    </w:r>
                    <w:r>
                      <w:instrText xml:space="preserve"> PAGE  \* MERGEFORMAT </w:instrText>
                    </w:r>
                    <w:r>
                      <w:fldChar w:fldCharType="separate"/>
                    </w:r>
                    <w:r>
                      <w:t>- 70 -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3277">
    <w:pPr>
      <w:pStyle w:val="1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82051">
                          <w:pPr>
                            <w:pStyle w:val="15"/>
                          </w:pPr>
                          <w:r>
                            <w:fldChar w:fldCharType="begin"/>
                          </w:r>
                          <w:r>
                            <w:instrText xml:space="preserve"> PAGE  \* MERGEFORMAT </w:instrText>
                          </w:r>
                          <w:r>
                            <w:fldChar w:fldCharType="separate"/>
                          </w:r>
                          <w:r>
                            <w:t>- 69 -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6282051">
                    <w:pPr>
                      <w:pStyle w:val="15"/>
                    </w:pPr>
                    <w:r>
                      <w:fldChar w:fldCharType="begin"/>
                    </w:r>
                    <w:r>
                      <w:instrText xml:space="preserve"> PAGE  \* MERGEFORMAT </w:instrText>
                    </w:r>
                    <w:r>
                      <w:fldChar w:fldCharType="separate"/>
                    </w:r>
                    <w:r>
                      <w:t>- 69 -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6E56B">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AA3C8">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3A4B0"/>
    <w:multiLevelType w:val="multilevel"/>
    <w:tmpl w:val="E093A4B0"/>
    <w:lvl w:ilvl="0" w:tentative="0">
      <w:start w:val="5"/>
      <w:numFmt w:val="decimal"/>
      <w:lvlText w:val="%1"/>
      <w:lvlJc w:val="left"/>
      <w:pPr>
        <w:ind w:left="980" w:hanging="725"/>
        <w:jc w:val="left"/>
      </w:pPr>
      <w:rPr>
        <w:lang w:val="zh-CN" w:eastAsia="zh-CN" w:bidi="zh-CN"/>
      </w:rPr>
    </w:lvl>
    <w:lvl w:ilvl="1" w:tentative="0">
      <w:start w:val="2"/>
      <w:numFmt w:val="decimal"/>
      <w:lvlText w:val="%1-%2"/>
      <w:lvlJc w:val="left"/>
      <w:pPr>
        <w:ind w:left="980" w:hanging="725"/>
        <w:jc w:val="left"/>
      </w:pPr>
      <w:rPr>
        <w:rFonts w:ascii="仿宋" w:hAnsi="仿宋" w:eastAsia="仿宋"/>
        <w:b/>
        <w:bCs/>
        <w:spacing w:val="0"/>
        <w:w w:val="99"/>
        <w:sz w:val="24"/>
        <w:szCs w:val="24"/>
        <w:lang w:val="zh-CN" w:eastAsia="zh-CN" w:bidi="zh-CN"/>
      </w:rPr>
    </w:lvl>
    <w:lvl w:ilvl="2" w:tentative="0">
      <w:start w:val="1"/>
      <w:numFmt w:val="decimal"/>
      <w:lvlText w:val="（%3）"/>
      <w:lvlJc w:val="left"/>
      <w:pPr>
        <w:ind w:left="1337" w:hanging="601"/>
        <w:jc w:val="left"/>
      </w:pPr>
      <w:rPr>
        <w:rFonts w:ascii="仿宋" w:hAnsi="仿宋" w:eastAsia="仿宋"/>
        <w:w w:val="100"/>
        <w:sz w:val="22"/>
        <w:szCs w:val="22"/>
        <w:lang w:val="zh-CN" w:eastAsia="zh-CN" w:bidi="zh-CN"/>
      </w:rPr>
    </w:lvl>
    <w:lvl w:ilvl="3" w:tentative="0">
      <w:start w:val="0"/>
      <w:numFmt w:val="bullet"/>
      <w:lvlText w:val="•"/>
      <w:lvlJc w:val="left"/>
      <w:pPr>
        <w:ind w:left="3345" w:hanging="601"/>
      </w:pPr>
      <w:rPr>
        <w:lang w:val="zh-CN" w:eastAsia="zh-CN" w:bidi="zh-CN"/>
      </w:rPr>
    </w:lvl>
    <w:lvl w:ilvl="4" w:tentative="0">
      <w:start w:val="0"/>
      <w:numFmt w:val="bullet"/>
      <w:lvlText w:val="•"/>
      <w:lvlJc w:val="left"/>
      <w:pPr>
        <w:ind w:left="4348" w:hanging="601"/>
      </w:pPr>
      <w:rPr>
        <w:lang w:val="zh-CN" w:eastAsia="zh-CN" w:bidi="zh-CN"/>
      </w:rPr>
    </w:lvl>
    <w:lvl w:ilvl="5" w:tentative="0">
      <w:start w:val="0"/>
      <w:numFmt w:val="bullet"/>
      <w:lvlText w:val="•"/>
      <w:lvlJc w:val="left"/>
      <w:pPr>
        <w:ind w:left="5351" w:hanging="601"/>
      </w:pPr>
      <w:rPr>
        <w:lang w:val="zh-CN" w:eastAsia="zh-CN" w:bidi="zh-CN"/>
      </w:rPr>
    </w:lvl>
    <w:lvl w:ilvl="6" w:tentative="0">
      <w:start w:val="0"/>
      <w:numFmt w:val="bullet"/>
      <w:lvlText w:val="•"/>
      <w:lvlJc w:val="left"/>
      <w:pPr>
        <w:ind w:left="6354" w:hanging="601"/>
      </w:pPr>
      <w:rPr>
        <w:lang w:val="zh-CN" w:eastAsia="zh-CN" w:bidi="zh-CN"/>
      </w:rPr>
    </w:lvl>
    <w:lvl w:ilvl="7" w:tentative="0">
      <w:start w:val="0"/>
      <w:numFmt w:val="bullet"/>
      <w:lvlText w:val="•"/>
      <w:lvlJc w:val="left"/>
      <w:pPr>
        <w:ind w:left="7357" w:hanging="601"/>
      </w:pPr>
      <w:rPr>
        <w:lang w:val="zh-CN" w:eastAsia="zh-CN" w:bidi="zh-CN"/>
      </w:rPr>
    </w:lvl>
    <w:lvl w:ilvl="8" w:tentative="0">
      <w:start w:val="0"/>
      <w:numFmt w:val="bullet"/>
      <w:lvlText w:val="•"/>
      <w:lvlJc w:val="left"/>
      <w:pPr>
        <w:ind w:left="8360" w:hanging="601"/>
      </w:pPr>
      <w:rPr>
        <w:lang w:val="zh-CN" w:eastAsia="zh-CN" w:bidi="zh-CN"/>
      </w:rPr>
    </w:lvl>
  </w:abstractNum>
  <w:abstractNum w:abstractNumId="1">
    <w:nsid w:val="E23C37C2"/>
    <w:multiLevelType w:val="singleLevel"/>
    <w:tmpl w:val="E23C37C2"/>
    <w:lvl w:ilvl="0" w:tentative="0">
      <w:start w:val="2"/>
      <w:numFmt w:val="decimal"/>
      <w:suff w:val="nothing"/>
      <w:lvlText w:val="%1、"/>
      <w:lvlJc w:val="left"/>
    </w:lvl>
  </w:abstractNum>
  <w:abstractNum w:abstractNumId="2">
    <w:nsid w:val="01E967D5"/>
    <w:multiLevelType w:val="multilevel"/>
    <w:tmpl w:val="01E967D5"/>
    <w:lvl w:ilvl="0" w:tentative="0">
      <w:start w:val="1"/>
      <w:numFmt w:val="chineseCountingThousand"/>
      <w:pStyle w:val="43"/>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4">
    <w:nsid w:val="12D18E14"/>
    <w:multiLevelType w:val="singleLevel"/>
    <w:tmpl w:val="12D18E14"/>
    <w:lvl w:ilvl="0" w:tentative="0">
      <w:start w:val="7"/>
      <w:numFmt w:val="decimal"/>
      <w:suff w:val="nothing"/>
      <w:lvlText w:val="%1、"/>
      <w:lvlJc w:val="left"/>
    </w:lvl>
  </w:abstractNum>
  <w:abstractNum w:abstractNumId="5">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6">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7">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29DEEEEB"/>
    <w:multiLevelType w:val="multilevel"/>
    <w:tmpl w:val="29DEEEEB"/>
    <w:lvl w:ilvl="0" w:tentative="0">
      <w:start w:val="5"/>
      <w:numFmt w:val="decimal"/>
      <w:lvlText w:val="%1"/>
      <w:lvlJc w:val="left"/>
      <w:pPr>
        <w:ind w:left="384" w:hanging="540"/>
      </w:pPr>
    </w:lvl>
    <w:lvl w:ilvl="1" w:tentative="0">
      <w:start w:val="1"/>
      <w:numFmt w:val="decimal"/>
      <w:lvlText w:val="%1.%2"/>
      <w:lvlJc w:val="left"/>
      <w:pPr>
        <w:ind w:left="384" w:hanging="540"/>
      </w:pPr>
      <w:rPr>
        <w:rFonts w:hint="default" w:ascii="Times New Roman" w:hAnsi="Times New Roman" w:eastAsia="Times New Roman" w:cs="Times New Roman"/>
        <w:spacing w:val="-24"/>
        <w:w w:val="100"/>
        <w:sz w:val="24"/>
        <w:szCs w:val="24"/>
      </w:rPr>
    </w:lvl>
    <w:lvl w:ilvl="2" w:tentative="0">
      <w:start w:val="0"/>
      <w:numFmt w:val="bullet"/>
      <w:lvlText w:val="•"/>
      <w:lvlJc w:val="left"/>
      <w:pPr>
        <w:ind w:left="2209" w:hanging="540"/>
      </w:pPr>
    </w:lvl>
    <w:lvl w:ilvl="3" w:tentative="0">
      <w:start w:val="0"/>
      <w:numFmt w:val="bullet"/>
      <w:lvlText w:val="•"/>
      <w:lvlJc w:val="left"/>
      <w:pPr>
        <w:ind w:left="3124" w:hanging="540"/>
      </w:pPr>
    </w:lvl>
    <w:lvl w:ilvl="4" w:tentative="0">
      <w:start w:val="0"/>
      <w:numFmt w:val="bullet"/>
      <w:lvlText w:val="•"/>
      <w:lvlJc w:val="left"/>
      <w:pPr>
        <w:ind w:left="4038" w:hanging="540"/>
      </w:pPr>
    </w:lvl>
    <w:lvl w:ilvl="5" w:tentative="0">
      <w:start w:val="0"/>
      <w:numFmt w:val="bullet"/>
      <w:lvlText w:val="•"/>
      <w:lvlJc w:val="left"/>
      <w:pPr>
        <w:ind w:left="4953" w:hanging="540"/>
      </w:pPr>
    </w:lvl>
    <w:lvl w:ilvl="6" w:tentative="0">
      <w:start w:val="0"/>
      <w:numFmt w:val="bullet"/>
      <w:lvlText w:val="•"/>
      <w:lvlJc w:val="left"/>
      <w:pPr>
        <w:ind w:left="5868" w:hanging="540"/>
      </w:pPr>
    </w:lvl>
    <w:lvl w:ilvl="7" w:tentative="0">
      <w:start w:val="0"/>
      <w:numFmt w:val="bullet"/>
      <w:lvlText w:val="•"/>
      <w:lvlJc w:val="left"/>
      <w:pPr>
        <w:ind w:left="6782" w:hanging="540"/>
      </w:pPr>
    </w:lvl>
    <w:lvl w:ilvl="8" w:tentative="0">
      <w:start w:val="0"/>
      <w:numFmt w:val="bullet"/>
      <w:lvlText w:val="•"/>
      <w:lvlJc w:val="left"/>
      <w:pPr>
        <w:ind w:left="7697" w:hanging="540"/>
      </w:pPr>
    </w:lvl>
  </w:abstractNum>
  <w:abstractNum w:abstractNumId="9">
    <w:nsid w:val="2B6B1DF2"/>
    <w:multiLevelType w:val="singleLevel"/>
    <w:tmpl w:val="2B6B1DF2"/>
    <w:lvl w:ilvl="0" w:tentative="0">
      <w:start w:val="4"/>
      <w:numFmt w:val="chineseCounting"/>
      <w:suff w:val="nothing"/>
      <w:lvlText w:val="%1、"/>
      <w:lvlJc w:val="left"/>
      <w:rPr>
        <w:rFonts w:hint="eastAsia"/>
      </w:rPr>
    </w:lvl>
  </w:abstractNum>
  <w:abstractNum w:abstractNumId="10">
    <w:nsid w:val="3AA800C6"/>
    <w:multiLevelType w:val="multilevel"/>
    <w:tmpl w:val="3AA800C6"/>
    <w:lvl w:ilvl="0" w:tentative="0">
      <w:start w:val="1"/>
      <w:numFmt w:val="decimal"/>
      <w:pStyle w:val="47"/>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1">
    <w:nsid w:val="4E26490F"/>
    <w:multiLevelType w:val="multilevel"/>
    <w:tmpl w:val="4E26490F"/>
    <w:lvl w:ilvl="0" w:tentative="0">
      <w:start w:val="1"/>
      <w:numFmt w:val="decimal"/>
      <w:lvlText w:val="%1."/>
      <w:lvlJc w:val="left"/>
      <w:pPr>
        <w:ind w:left="384" w:hanging="300"/>
      </w:pPr>
      <w:rPr>
        <w:rFonts w:hint="default" w:ascii="Times New Roman" w:hAnsi="Times New Roman" w:eastAsia="Times New Roman" w:cs="Times New Roman"/>
        <w:w w:val="100"/>
        <w:sz w:val="24"/>
        <w:szCs w:val="24"/>
      </w:rPr>
    </w:lvl>
    <w:lvl w:ilvl="1" w:tentative="0">
      <w:start w:val="0"/>
      <w:numFmt w:val="bullet"/>
      <w:lvlText w:val="•"/>
      <w:lvlJc w:val="left"/>
      <w:pPr>
        <w:ind w:left="1580" w:hanging="300"/>
      </w:pPr>
      <w:rPr>
        <w:rFonts w:hint="default"/>
      </w:rPr>
    </w:lvl>
    <w:lvl w:ilvl="2" w:tentative="0">
      <w:start w:val="0"/>
      <w:numFmt w:val="bullet"/>
      <w:lvlText w:val="•"/>
      <w:lvlJc w:val="left"/>
      <w:pPr>
        <w:ind w:left="2456" w:hanging="300"/>
      </w:pPr>
      <w:rPr>
        <w:rFonts w:hint="default"/>
      </w:rPr>
    </w:lvl>
    <w:lvl w:ilvl="3" w:tentative="0">
      <w:start w:val="0"/>
      <w:numFmt w:val="bullet"/>
      <w:lvlText w:val="•"/>
      <w:lvlJc w:val="left"/>
      <w:pPr>
        <w:ind w:left="3332" w:hanging="300"/>
      </w:pPr>
      <w:rPr>
        <w:rFonts w:hint="default"/>
      </w:rPr>
    </w:lvl>
    <w:lvl w:ilvl="4" w:tentative="0">
      <w:start w:val="0"/>
      <w:numFmt w:val="bullet"/>
      <w:lvlText w:val="•"/>
      <w:lvlJc w:val="left"/>
      <w:pPr>
        <w:ind w:left="4209" w:hanging="300"/>
      </w:pPr>
      <w:rPr>
        <w:rFonts w:hint="default"/>
      </w:rPr>
    </w:lvl>
    <w:lvl w:ilvl="5" w:tentative="0">
      <w:start w:val="0"/>
      <w:numFmt w:val="bullet"/>
      <w:lvlText w:val="•"/>
      <w:lvlJc w:val="left"/>
      <w:pPr>
        <w:ind w:left="5085" w:hanging="300"/>
      </w:pPr>
      <w:rPr>
        <w:rFonts w:hint="default"/>
      </w:rPr>
    </w:lvl>
    <w:lvl w:ilvl="6" w:tentative="0">
      <w:start w:val="0"/>
      <w:numFmt w:val="bullet"/>
      <w:lvlText w:val="•"/>
      <w:lvlJc w:val="left"/>
      <w:pPr>
        <w:ind w:left="5961" w:hanging="300"/>
      </w:pPr>
      <w:rPr>
        <w:rFonts w:hint="default"/>
      </w:rPr>
    </w:lvl>
    <w:lvl w:ilvl="7" w:tentative="0">
      <w:start w:val="0"/>
      <w:numFmt w:val="bullet"/>
      <w:lvlText w:val="•"/>
      <w:lvlJc w:val="left"/>
      <w:pPr>
        <w:ind w:left="6838" w:hanging="300"/>
      </w:pPr>
      <w:rPr>
        <w:rFonts w:hint="default"/>
      </w:rPr>
    </w:lvl>
    <w:lvl w:ilvl="8" w:tentative="0">
      <w:start w:val="0"/>
      <w:numFmt w:val="bullet"/>
      <w:lvlText w:val="•"/>
      <w:lvlJc w:val="left"/>
      <w:pPr>
        <w:ind w:left="7714" w:hanging="300"/>
      </w:pPr>
      <w:rPr>
        <w:rFonts w:hint="default"/>
      </w:rPr>
    </w:lvl>
  </w:abstractNum>
  <w:abstractNum w:abstractNumId="12">
    <w:nsid w:val="60F201CB"/>
    <w:multiLevelType w:val="multilevel"/>
    <w:tmpl w:val="60F201CB"/>
    <w:lvl w:ilvl="0" w:tentative="0">
      <w:start w:val="1"/>
      <w:numFmt w:val="decimal"/>
      <w:lvlText w:val="%1."/>
      <w:lvlJc w:val="left"/>
      <w:pPr>
        <w:ind w:left="384" w:hanging="300"/>
      </w:pPr>
      <w:rPr>
        <w:rFonts w:hint="default" w:ascii="Times New Roman" w:hAnsi="Times New Roman" w:eastAsia="Times New Roman" w:cs="Times New Roman"/>
        <w:w w:val="100"/>
        <w:sz w:val="24"/>
        <w:szCs w:val="24"/>
      </w:rPr>
    </w:lvl>
    <w:lvl w:ilvl="1" w:tentative="0">
      <w:start w:val="0"/>
      <w:numFmt w:val="bullet"/>
      <w:lvlText w:val="•"/>
      <w:lvlJc w:val="left"/>
      <w:pPr>
        <w:ind w:left="1294" w:hanging="300"/>
      </w:pPr>
      <w:rPr>
        <w:rFonts w:hint="default"/>
      </w:rPr>
    </w:lvl>
    <w:lvl w:ilvl="2" w:tentative="0">
      <w:start w:val="0"/>
      <w:numFmt w:val="bullet"/>
      <w:lvlText w:val="•"/>
      <w:lvlJc w:val="left"/>
      <w:pPr>
        <w:ind w:left="2209" w:hanging="300"/>
      </w:pPr>
      <w:rPr>
        <w:rFonts w:hint="default"/>
      </w:rPr>
    </w:lvl>
    <w:lvl w:ilvl="3" w:tentative="0">
      <w:start w:val="0"/>
      <w:numFmt w:val="bullet"/>
      <w:lvlText w:val="•"/>
      <w:lvlJc w:val="left"/>
      <w:pPr>
        <w:ind w:left="3124" w:hanging="300"/>
      </w:pPr>
      <w:rPr>
        <w:rFonts w:hint="default"/>
      </w:rPr>
    </w:lvl>
    <w:lvl w:ilvl="4" w:tentative="0">
      <w:start w:val="0"/>
      <w:numFmt w:val="bullet"/>
      <w:lvlText w:val="•"/>
      <w:lvlJc w:val="left"/>
      <w:pPr>
        <w:ind w:left="4038" w:hanging="300"/>
      </w:pPr>
      <w:rPr>
        <w:rFonts w:hint="default"/>
      </w:rPr>
    </w:lvl>
    <w:lvl w:ilvl="5" w:tentative="0">
      <w:start w:val="0"/>
      <w:numFmt w:val="bullet"/>
      <w:lvlText w:val="•"/>
      <w:lvlJc w:val="left"/>
      <w:pPr>
        <w:ind w:left="4953" w:hanging="300"/>
      </w:pPr>
      <w:rPr>
        <w:rFonts w:hint="default"/>
      </w:rPr>
    </w:lvl>
    <w:lvl w:ilvl="6" w:tentative="0">
      <w:start w:val="0"/>
      <w:numFmt w:val="bullet"/>
      <w:lvlText w:val="•"/>
      <w:lvlJc w:val="left"/>
      <w:pPr>
        <w:ind w:left="5868" w:hanging="300"/>
      </w:pPr>
      <w:rPr>
        <w:rFonts w:hint="default"/>
      </w:rPr>
    </w:lvl>
    <w:lvl w:ilvl="7" w:tentative="0">
      <w:start w:val="0"/>
      <w:numFmt w:val="bullet"/>
      <w:lvlText w:val="•"/>
      <w:lvlJc w:val="left"/>
      <w:pPr>
        <w:ind w:left="6782" w:hanging="300"/>
      </w:pPr>
      <w:rPr>
        <w:rFonts w:hint="default"/>
      </w:rPr>
    </w:lvl>
    <w:lvl w:ilvl="8" w:tentative="0">
      <w:start w:val="0"/>
      <w:numFmt w:val="bullet"/>
      <w:lvlText w:val="•"/>
      <w:lvlJc w:val="left"/>
      <w:pPr>
        <w:ind w:left="7697" w:hanging="300"/>
      </w:pPr>
      <w:rPr>
        <w:rFonts w:hint="default"/>
      </w:rPr>
    </w:lvl>
  </w:abstractNum>
  <w:abstractNum w:abstractNumId="13">
    <w:nsid w:val="61B51AE7"/>
    <w:multiLevelType w:val="multilevel"/>
    <w:tmpl w:val="61B51AE7"/>
    <w:lvl w:ilvl="0" w:tentative="0">
      <w:start w:val="1"/>
      <w:numFmt w:val="decimal"/>
      <w:lvlText w:val="%1."/>
      <w:lvlJc w:val="left"/>
      <w:pPr>
        <w:ind w:left="384" w:hanging="300"/>
      </w:pPr>
      <w:rPr>
        <w:rFonts w:hint="default" w:ascii="Times New Roman" w:hAnsi="Times New Roman" w:eastAsia="Times New Roman" w:cs="Times New Roman"/>
        <w:w w:val="100"/>
        <w:sz w:val="24"/>
        <w:szCs w:val="24"/>
      </w:rPr>
    </w:lvl>
    <w:lvl w:ilvl="1" w:tentative="0">
      <w:start w:val="0"/>
      <w:numFmt w:val="bullet"/>
      <w:lvlText w:val="•"/>
      <w:lvlJc w:val="left"/>
      <w:pPr>
        <w:ind w:left="1294" w:hanging="300"/>
      </w:pPr>
      <w:rPr>
        <w:rFonts w:hint="default"/>
      </w:rPr>
    </w:lvl>
    <w:lvl w:ilvl="2" w:tentative="0">
      <w:start w:val="0"/>
      <w:numFmt w:val="bullet"/>
      <w:lvlText w:val="•"/>
      <w:lvlJc w:val="left"/>
      <w:pPr>
        <w:ind w:left="2209" w:hanging="300"/>
      </w:pPr>
      <w:rPr>
        <w:rFonts w:hint="default"/>
      </w:rPr>
    </w:lvl>
    <w:lvl w:ilvl="3" w:tentative="0">
      <w:start w:val="0"/>
      <w:numFmt w:val="bullet"/>
      <w:lvlText w:val="•"/>
      <w:lvlJc w:val="left"/>
      <w:pPr>
        <w:ind w:left="3124" w:hanging="300"/>
      </w:pPr>
      <w:rPr>
        <w:rFonts w:hint="default"/>
      </w:rPr>
    </w:lvl>
    <w:lvl w:ilvl="4" w:tentative="0">
      <w:start w:val="0"/>
      <w:numFmt w:val="bullet"/>
      <w:lvlText w:val="•"/>
      <w:lvlJc w:val="left"/>
      <w:pPr>
        <w:ind w:left="4038" w:hanging="300"/>
      </w:pPr>
      <w:rPr>
        <w:rFonts w:hint="default"/>
      </w:rPr>
    </w:lvl>
    <w:lvl w:ilvl="5" w:tentative="0">
      <w:start w:val="0"/>
      <w:numFmt w:val="bullet"/>
      <w:lvlText w:val="•"/>
      <w:lvlJc w:val="left"/>
      <w:pPr>
        <w:ind w:left="4953" w:hanging="300"/>
      </w:pPr>
      <w:rPr>
        <w:rFonts w:hint="default"/>
      </w:rPr>
    </w:lvl>
    <w:lvl w:ilvl="6" w:tentative="0">
      <w:start w:val="0"/>
      <w:numFmt w:val="bullet"/>
      <w:lvlText w:val="•"/>
      <w:lvlJc w:val="left"/>
      <w:pPr>
        <w:ind w:left="5868" w:hanging="300"/>
      </w:pPr>
      <w:rPr>
        <w:rFonts w:hint="default"/>
      </w:rPr>
    </w:lvl>
    <w:lvl w:ilvl="7" w:tentative="0">
      <w:start w:val="0"/>
      <w:numFmt w:val="bullet"/>
      <w:lvlText w:val="•"/>
      <w:lvlJc w:val="left"/>
      <w:pPr>
        <w:ind w:left="6782" w:hanging="300"/>
      </w:pPr>
      <w:rPr>
        <w:rFonts w:hint="default"/>
      </w:rPr>
    </w:lvl>
    <w:lvl w:ilvl="8" w:tentative="0">
      <w:start w:val="0"/>
      <w:numFmt w:val="bullet"/>
      <w:lvlText w:val="•"/>
      <w:lvlJc w:val="left"/>
      <w:pPr>
        <w:ind w:left="7697" w:hanging="300"/>
      </w:pPr>
      <w:rPr>
        <w:rFonts w:hint="default"/>
      </w:rPr>
    </w:lvl>
  </w:abstractNum>
  <w:abstractNum w:abstractNumId="14">
    <w:nsid w:val="62687BB6"/>
    <w:multiLevelType w:val="multilevel"/>
    <w:tmpl w:val="62687BB6"/>
    <w:lvl w:ilvl="0" w:tentative="0">
      <w:start w:val="1"/>
      <w:numFmt w:val="decimal"/>
      <w:pStyle w:val="53"/>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5">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6">
    <w:nsid w:val="6AC75505"/>
    <w:multiLevelType w:val="singleLevel"/>
    <w:tmpl w:val="6AC75505"/>
    <w:lvl w:ilvl="0" w:tentative="0">
      <w:start w:val="2"/>
      <w:numFmt w:val="decimal"/>
      <w:suff w:val="nothing"/>
      <w:lvlText w:val="%1、"/>
      <w:lvlJc w:val="left"/>
    </w:lvl>
  </w:abstractNum>
  <w:abstractNum w:abstractNumId="17">
    <w:nsid w:val="6E87019F"/>
    <w:multiLevelType w:val="multilevel"/>
    <w:tmpl w:val="6E87019F"/>
    <w:lvl w:ilvl="0" w:tentative="0">
      <w:start w:val="1"/>
      <w:numFmt w:val="chineseCountingThousand"/>
      <w:pStyle w:val="45"/>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8">
    <w:nsid w:val="6F8D4CB1"/>
    <w:multiLevelType w:val="multilevel"/>
    <w:tmpl w:val="6F8D4CB1"/>
    <w:lvl w:ilvl="0" w:tentative="0">
      <w:start w:val="4"/>
      <w:numFmt w:val="decimal"/>
      <w:lvlText w:val="%1."/>
      <w:lvlJc w:val="left"/>
      <w:pPr>
        <w:ind w:left="384" w:hanging="300"/>
      </w:pPr>
      <w:rPr>
        <w:rFonts w:hint="default" w:ascii="Times New Roman" w:hAnsi="Times New Roman" w:eastAsia="Times New Roman" w:cs="Times New Roman"/>
        <w:spacing w:val="-24"/>
        <w:w w:val="100"/>
        <w:sz w:val="24"/>
        <w:szCs w:val="24"/>
      </w:rPr>
    </w:lvl>
    <w:lvl w:ilvl="1" w:tentative="0">
      <w:start w:val="0"/>
      <w:numFmt w:val="bullet"/>
      <w:lvlText w:val="•"/>
      <w:lvlJc w:val="left"/>
      <w:pPr>
        <w:ind w:left="1294" w:hanging="300"/>
      </w:pPr>
      <w:rPr>
        <w:rFonts w:hint="default"/>
      </w:rPr>
    </w:lvl>
    <w:lvl w:ilvl="2" w:tentative="0">
      <w:start w:val="0"/>
      <w:numFmt w:val="bullet"/>
      <w:lvlText w:val="•"/>
      <w:lvlJc w:val="left"/>
      <w:pPr>
        <w:ind w:left="2209" w:hanging="300"/>
      </w:pPr>
      <w:rPr>
        <w:rFonts w:hint="default"/>
      </w:rPr>
    </w:lvl>
    <w:lvl w:ilvl="3" w:tentative="0">
      <w:start w:val="0"/>
      <w:numFmt w:val="bullet"/>
      <w:lvlText w:val="•"/>
      <w:lvlJc w:val="left"/>
      <w:pPr>
        <w:ind w:left="3124" w:hanging="300"/>
      </w:pPr>
      <w:rPr>
        <w:rFonts w:hint="default"/>
      </w:rPr>
    </w:lvl>
    <w:lvl w:ilvl="4" w:tentative="0">
      <w:start w:val="0"/>
      <w:numFmt w:val="bullet"/>
      <w:lvlText w:val="•"/>
      <w:lvlJc w:val="left"/>
      <w:pPr>
        <w:ind w:left="4038" w:hanging="300"/>
      </w:pPr>
      <w:rPr>
        <w:rFonts w:hint="default"/>
      </w:rPr>
    </w:lvl>
    <w:lvl w:ilvl="5" w:tentative="0">
      <w:start w:val="0"/>
      <w:numFmt w:val="bullet"/>
      <w:lvlText w:val="•"/>
      <w:lvlJc w:val="left"/>
      <w:pPr>
        <w:ind w:left="4953" w:hanging="300"/>
      </w:pPr>
      <w:rPr>
        <w:rFonts w:hint="default"/>
      </w:rPr>
    </w:lvl>
    <w:lvl w:ilvl="6" w:tentative="0">
      <w:start w:val="0"/>
      <w:numFmt w:val="bullet"/>
      <w:lvlText w:val="•"/>
      <w:lvlJc w:val="left"/>
      <w:pPr>
        <w:ind w:left="5868" w:hanging="300"/>
      </w:pPr>
      <w:rPr>
        <w:rFonts w:hint="default"/>
      </w:rPr>
    </w:lvl>
    <w:lvl w:ilvl="7" w:tentative="0">
      <w:start w:val="0"/>
      <w:numFmt w:val="bullet"/>
      <w:lvlText w:val="•"/>
      <w:lvlJc w:val="left"/>
      <w:pPr>
        <w:ind w:left="6782" w:hanging="300"/>
      </w:pPr>
      <w:rPr>
        <w:rFonts w:hint="default"/>
      </w:rPr>
    </w:lvl>
    <w:lvl w:ilvl="8" w:tentative="0">
      <w:start w:val="0"/>
      <w:numFmt w:val="bullet"/>
      <w:lvlText w:val="•"/>
      <w:lvlJc w:val="left"/>
      <w:pPr>
        <w:ind w:left="7697" w:hanging="300"/>
      </w:pPr>
      <w:rPr>
        <w:rFonts w:hint="default"/>
      </w:rPr>
    </w:lvl>
  </w:abstractNum>
  <w:abstractNum w:abstractNumId="19">
    <w:nsid w:val="754431B7"/>
    <w:multiLevelType w:val="singleLevel"/>
    <w:tmpl w:val="754431B7"/>
    <w:lvl w:ilvl="0" w:tentative="0">
      <w:start w:val="3"/>
      <w:numFmt w:val="decimal"/>
      <w:suff w:val="space"/>
      <w:lvlText w:val="%1）"/>
      <w:lvlJc w:val="left"/>
    </w:lvl>
  </w:abstractNum>
  <w:abstractNum w:abstractNumId="20">
    <w:nsid w:val="7B868A5E"/>
    <w:multiLevelType w:val="singleLevel"/>
    <w:tmpl w:val="7B868A5E"/>
    <w:lvl w:ilvl="0" w:tentative="0">
      <w:start w:val="1"/>
      <w:numFmt w:val="decimal"/>
      <w:suff w:val="nothing"/>
      <w:lvlText w:val="%1、"/>
      <w:lvlJc w:val="left"/>
    </w:lvl>
  </w:abstractNum>
  <w:abstractNum w:abstractNumId="21">
    <w:nsid w:val="7BFB96C5"/>
    <w:multiLevelType w:val="singleLevel"/>
    <w:tmpl w:val="7BFB96C5"/>
    <w:lvl w:ilvl="0" w:tentative="0">
      <w:start w:val="5"/>
      <w:numFmt w:val="decimal"/>
      <w:suff w:val="nothing"/>
      <w:lvlText w:val="%1、"/>
      <w:lvlJc w:val="left"/>
    </w:lvl>
  </w:abstractNum>
  <w:num w:numId="1">
    <w:abstractNumId w:val="2"/>
  </w:num>
  <w:num w:numId="2">
    <w:abstractNumId w:val="17"/>
  </w:num>
  <w:num w:numId="3">
    <w:abstractNumId w:val="10"/>
  </w:num>
  <w:num w:numId="4">
    <w:abstractNumId w:val="6"/>
    <w:lvlOverride w:ilvl="0">
      <w:lvl w:ilvl="0" w:tentative="1">
        <w:start w:val="1"/>
        <w:numFmt w:val="decimal"/>
        <w:lvlText w:val="第%1条"/>
        <w:lvlJc w:val="left"/>
        <w:pPr>
          <w:ind w:left="0" w:firstLine="0"/>
        </w:pPr>
      </w:lvl>
    </w:lvlOverride>
    <w:lvlOverride w:ilvl="1">
      <w:lvl w:ilvl="1" w:tentative="1">
        <w:start w:val="1"/>
        <w:numFmt w:val="decimal"/>
        <w:pStyle w:val="48"/>
        <w:lvlText w:val="%1.%2"/>
        <w:lvlJc w:val="left"/>
        <w:pPr>
          <w:ind w:left="1843" w:firstLine="0"/>
        </w:pPr>
      </w:lvl>
    </w:lvlOverride>
    <w:lvlOverride w:ilvl="2">
      <w:lvl w:ilvl="2" w:tentative="1">
        <w:start w:val="1"/>
        <w:numFmt w:val="decimal"/>
        <w:pStyle w:val="49"/>
        <w:lvlText w:val="%1.%2.%3"/>
        <w:lvlJc w:val="left"/>
        <w:pPr>
          <w:ind w:left="2126" w:firstLine="0"/>
        </w:pPr>
      </w:lvl>
    </w:lvlOverride>
    <w:lvlOverride w:ilvl="3">
      <w:lvl w:ilvl="3" w:tentative="1">
        <w:start w:val="1"/>
        <w:numFmt w:val="decimal"/>
        <w:pStyle w:val="50"/>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5">
    <w:abstractNumId w:val="6"/>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51"/>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6">
    <w:abstractNumId w:val="14"/>
  </w:num>
  <w:num w:numId="7">
    <w:abstractNumId w:val="3"/>
  </w:num>
  <w:num w:numId="8">
    <w:abstractNumId w:val="7"/>
  </w:num>
  <w:num w:numId="9">
    <w:abstractNumId w:val="15"/>
  </w:num>
  <w:num w:numId="10">
    <w:abstractNumId w:val="5"/>
  </w:num>
  <w:num w:numId="11">
    <w:abstractNumId w:val="4"/>
  </w:num>
  <w:num w:numId="12">
    <w:abstractNumId w:val="21"/>
  </w:num>
  <w:num w:numId="13">
    <w:abstractNumId w:val="1"/>
  </w:num>
  <w:num w:numId="14">
    <w:abstractNumId w:val="19"/>
  </w:num>
  <w:num w:numId="15">
    <w:abstractNumId w:val="16"/>
  </w:num>
  <w:num w:numId="16">
    <w:abstractNumId w:val="0"/>
  </w:num>
  <w:num w:numId="17">
    <w:abstractNumId w:val="9"/>
  </w:num>
  <w:num w:numId="18">
    <w:abstractNumId w:val="20"/>
  </w:num>
  <w:num w:numId="19">
    <w:abstractNumId w:val="8"/>
  </w:num>
  <w:num w:numId="20">
    <w:abstractNumId w:val="13"/>
  </w:num>
  <w:num w:numId="21">
    <w:abstractNumId w:val="18"/>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ZTc1OWQwMDc1NDhiZTdlZjkyNzQwNTQyZTgyNWYifQ=="/>
  </w:docVars>
  <w:rsids>
    <w:rsidRoot w:val="255D5175"/>
    <w:rsid w:val="000876D1"/>
    <w:rsid w:val="0009131C"/>
    <w:rsid w:val="001B6659"/>
    <w:rsid w:val="00213E75"/>
    <w:rsid w:val="002E1D42"/>
    <w:rsid w:val="004717DD"/>
    <w:rsid w:val="00567B1C"/>
    <w:rsid w:val="0060283F"/>
    <w:rsid w:val="00643BE3"/>
    <w:rsid w:val="00773916"/>
    <w:rsid w:val="00CE47E9"/>
    <w:rsid w:val="00FE0930"/>
    <w:rsid w:val="01252ACE"/>
    <w:rsid w:val="015C2B0C"/>
    <w:rsid w:val="0160084E"/>
    <w:rsid w:val="016619A9"/>
    <w:rsid w:val="018A1427"/>
    <w:rsid w:val="01950462"/>
    <w:rsid w:val="01954136"/>
    <w:rsid w:val="01C963F3"/>
    <w:rsid w:val="01CD7566"/>
    <w:rsid w:val="01D32DCE"/>
    <w:rsid w:val="01D37272"/>
    <w:rsid w:val="01F72783"/>
    <w:rsid w:val="01FB40D3"/>
    <w:rsid w:val="02140191"/>
    <w:rsid w:val="021F4265"/>
    <w:rsid w:val="02247ACE"/>
    <w:rsid w:val="02621626"/>
    <w:rsid w:val="026305F6"/>
    <w:rsid w:val="02761F3B"/>
    <w:rsid w:val="02805737"/>
    <w:rsid w:val="028473FB"/>
    <w:rsid w:val="02A36DD0"/>
    <w:rsid w:val="02BF15A4"/>
    <w:rsid w:val="02D7069C"/>
    <w:rsid w:val="02F82BEF"/>
    <w:rsid w:val="032064E7"/>
    <w:rsid w:val="034545BF"/>
    <w:rsid w:val="03551C9E"/>
    <w:rsid w:val="0356629A"/>
    <w:rsid w:val="038500F8"/>
    <w:rsid w:val="03A367D0"/>
    <w:rsid w:val="03B05F2D"/>
    <w:rsid w:val="03D83D1B"/>
    <w:rsid w:val="03DE3CAC"/>
    <w:rsid w:val="03F67333"/>
    <w:rsid w:val="04102FB9"/>
    <w:rsid w:val="041E08AC"/>
    <w:rsid w:val="042B06E2"/>
    <w:rsid w:val="04390A47"/>
    <w:rsid w:val="04491B77"/>
    <w:rsid w:val="044B5C73"/>
    <w:rsid w:val="044C0C16"/>
    <w:rsid w:val="0495080F"/>
    <w:rsid w:val="049F168E"/>
    <w:rsid w:val="04A42321"/>
    <w:rsid w:val="04BC5D9C"/>
    <w:rsid w:val="04CB2C07"/>
    <w:rsid w:val="04D07A99"/>
    <w:rsid w:val="04D71F2D"/>
    <w:rsid w:val="04EA30AF"/>
    <w:rsid w:val="05096B07"/>
    <w:rsid w:val="053D3F9B"/>
    <w:rsid w:val="054F6C10"/>
    <w:rsid w:val="05500BDA"/>
    <w:rsid w:val="05545FD4"/>
    <w:rsid w:val="05720B50"/>
    <w:rsid w:val="05760640"/>
    <w:rsid w:val="05924D4E"/>
    <w:rsid w:val="05950780"/>
    <w:rsid w:val="059652F0"/>
    <w:rsid w:val="05A827C4"/>
    <w:rsid w:val="05C77574"/>
    <w:rsid w:val="05C90B16"/>
    <w:rsid w:val="05D0452E"/>
    <w:rsid w:val="05D778DE"/>
    <w:rsid w:val="05DA0C0E"/>
    <w:rsid w:val="05DD0905"/>
    <w:rsid w:val="05ED32BD"/>
    <w:rsid w:val="060317A8"/>
    <w:rsid w:val="062460F4"/>
    <w:rsid w:val="062879BF"/>
    <w:rsid w:val="06487E32"/>
    <w:rsid w:val="064A4A09"/>
    <w:rsid w:val="066E57BB"/>
    <w:rsid w:val="066F6E3E"/>
    <w:rsid w:val="0685160E"/>
    <w:rsid w:val="06AC0092"/>
    <w:rsid w:val="06C947A0"/>
    <w:rsid w:val="06D329A8"/>
    <w:rsid w:val="06DC0977"/>
    <w:rsid w:val="06EE4206"/>
    <w:rsid w:val="0704648C"/>
    <w:rsid w:val="073C3D1C"/>
    <w:rsid w:val="0758433E"/>
    <w:rsid w:val="076927D6"/>
    <w:rsid w:val="0774295E"/>
    <w:rsid w:val="077E5E66"/>
    <w:rsid w:val="077F1302"/>
    <w:rsid w:val="07826680"/>
    <w:rsid w:val="07DE2796"/>
    <w:rsid w:val="07F65E0D"/>
    <w:rsid w:val="07F96AAF"/>
    <w:rsid w:val="080041F1"/>
    <w:rsid w:val="08147C9D"/>
    <w:rsid w:val="08361E0D"/>
    <w:rsid w:val="0837113D"/>
    <w:rsid w:val="08741249"/>
    <w:rsid w:val="088A5FAE"/>
    <w:rsid w:val="08AE1E9F"/>
    <w:rsid w:val="08BB280E"/>
    <w:rsid w:val="08C211D8"/>
    <w:rsid w:val="08DD1D45"/>
    <w:rsid w:val="08E32BEA"/>
    <w:rsid w:val="08E65ADD"/>
    <w:rsid w:val="08F4633C"/>
    <w:rsid w:val="091C6CEE"/>
    <w:rsid w:val="09242161"/>
    <w:rsid w:val="09420839"/>
    <w:rsid w:val="09497E1A"/>
    <w:rsid w:val="097A4477"/>
    <w:rsid w:val="098370AB"/>
    <w:rsid w:val="098E47D6"/>
    <w:rsid w:val="099948FD"/>
    <w:rsid w:val="09AB4631"/>
    <w:rsid w:val="09C42541"/>
    <w:rsid w:val="09FE29B2"/>
    <w:rsid w:val="0A03446D"/>
    <w:rsid w:val="0A0F59BC"/>
    <w:rsid w:val="0A157A36"/>
    <w:rsid w:val="0A214968"/>
    <w:rsid w:val="0A257965"/>
    <w:rsid w:val="0A334D52"/>
    <w:rsid w:val="0A345619"/>
    <w:rsid w:val="0A592595"/>
    <w:rsid w:val="0A5D0424"/>
    <w:rsid w:val="0A5F32D2"/>
    <w:rsid w:val="0A65393A"/>
    <w:rsid w:val="0A8E1FE3"/>
    <w:rsid w:val="0AB3330B"/>
    <w:rsid w:val="0ABB6AF5"/>
    <w:rsid w:val="0AD55E09"/>
    <w:rsid w:val="0AE15AA2"/>
    <w:rsid w:val="0AEC54C8"/>
    <w:rsid w:val="0AF3628F"/>
    <w:rsid w:val="0B022976"/>
    <w:rsid w:val="0B296F72"/>
    <w:rsid w:val="0B2C354F"/>
    <w:rsid w:val="0B3D575C"/>
    <w:rsid w:val="0B4A5EBE"/>
    <w:rsid w:val="0B6902FF"/>
    <w:rsid w:val="0B753148"/>
    <w:rsid w:val="0B797046"/>
    <w:rsid w:val="0B916712"/>
    <w:rsid w:val="0BB35A1E"/>
    <w:rsid w:val="0BB91287"/>
    <w:rsid w:val="0BB9777C"/>
    <w:rsid w:val="0BE81B6C"/>
    <w:rsid w:val="0C152235"/>
    <w:rsid w:val="0C4072B2"/>
    <w:rsid w:val="0C430577"/>
    <w:rsid w:val="0C452A7D"/>
    <w:rsid w:val="0C5E65EE"/>
    <w:rsid w:val="0C716507"/>
    <w:rsid w:val="0C97746C"/>
    <w:rsid w:val="0CA2349B"/>
    <w:rsid w:val="0CBB2DDD"/>
    <w:rsid w:val="0CCF36F1"/>
    <w:rsid w:val="0CD36378"/>
    <w:rsid w:val="0CEF6CAA"/>
    <w:rsid w:val="0D097FEC"/>
    <w:rsid w:val="0D122244"/>
    <w:rsid w:val="0D1D5299"/>
    <w:rsid w:val="0D280BF6"/>
    <w:rsid w:val="0D31309F"/>
    <w:rsid w:val="0D4D2EB6"/>
    <w:rsid w:val="0D6D4DC9"/>
    <w:rsid w:val="0D8476AE"/>
    <w:rsid w:val="0D86163D"/>
    <w:rsid w:val="0D9D0734"/>
    <w:rsid w:val="0DA90E87"/>
    <w:rsid w:val="0DF5231E"/>
    <w:rsid w:val="0DF70EC9"/>
    <w:rsid w:val="0DF84B22"/>
    <w:rsid w:val="0E13441A"/>
    <w:rsid w:val="0E2826F4"/>
    <w:rsid w:val="0E5437D2"/>
    <w:rsid w:val="0E6A4ABA"/>
    <w:rsid w:val="0EA16852"/>
    <w:rsid w:val="0EA24254"/>
    <w:rsid w:val="0EB67D00"/>
    <w:rsid w:val="0EB70F20"/>
    <w:rsid w:val="0EE632F1"/>
    <w:rsid w:val="0EF645A0"/>
    <w:rsid w:val="0F2658B3"/>
    <w:rsid w:val="0F5C7A3F"/>
    <w:rsid w:val="0F6E6A60"/>
    <w:rsid w:val="0F916077"/>
    <w:rsid w:val="0F927EDC"/>
    <w:rsid w:val="0FA47B58"/>
    <w:rsid w:val="0FAE1762"/>
    <w:rsid w:val="0FBB1757"/>
    <w:rsid w:val="0FBB1D14"/>
    <w:rsid w:val="0FC0066A"/>
    <w:rsid w:val="0FD85A54"/>
    <w:rsid w:val="10085FDC"/>
    <w:rsid w:val="10317656"/>
    <w:rsid w:val="10484987"/>
    <w:rsid w:val="105F7E70"/>
    <w:rsid w:val="107C6D27"/>
    <w:rsid w:val="10825B2E"/>
    <w:rsid w:val="1088295E"/>
    <w:rsid w:val="10D60878"/>
    <w:rsid w:val="10D61FB9"/>
    <w:rsid w:val="10F13271"/>
    <w:rsid w:val="10F60887"/>
    <w:rsid w:val="1125733D"/>
    <w:rsid w:val="11427629"/>
    <w:rsid w:val="114F1D45"/>
    <w:rsid w:val="11563A5D"/>
    <w:rsid w:val="11567578"/>
    <w:rsid w:val="115B1C24"/>
    <w:rsid w:val="116A6B7F"/>
    <w:rsid w:val="11A26319"/>
    <w:rsid w:val="11BA7B07"/>
    <w:rsid w:val="11C24C0D"/>
    <w:rsid w:val="11DF1C1B"/>
    <w:rsid w:val="124476CA"/>
    <w:rsid w:val="12506515"/>
    <w:rsid w:val="12597320"/>
    <w:rsid w:val="128E4CD4"/>
    <w:rsid w:val="12944E29"/>
    <w:rsid w:val="12A33949"/>
    <w:rsid w:val="12B64F38"/>
    <w:rsid w:val="12D60970"/>
    <w:rsid w:val="12DF1059"/>
    <w:rsid w:val="12FA1D4C"/>
    <w:rsid w:val="1305256E"/>
    <w:rsid w:val="130B7EEE"/>
    <w:rsid w:val="13765CAF"/>
    <w:rsid w:val="13887B1A"/>
    <w:rsid w:val="138A52B7"/>
    <w:rsid w:val="139525D9"/>
    <w:rsid w:val="13B54A2A"/>
    <w:rsid w:val="13E1587A"/>
    <w:rsid w:val="13FA243C"/>
    <w:rsid w:val="13FD1F2D"/>
    <w:rsid w:val="13FF20B8"/>
    <w:rsid w:val="14292D22"/>
    <w:rsid w:val="142F2CAE"/>
    <w:rsid w:val="143D057B"/>
    <w:rsid w:val="14411E19"/>
    <w:rsid w:val="14586DD6"/>
    <w:rsid w:val="146733E2"/>
    <w:rsid w:val="146E4BD8"/>
    <w:rsid w:val="14934F22"/>
    <w:rsid w:val="14E3256D"/>
    <w:rsid w:val="15094A15"/>
    <w:rsid w:val="151412DC"/>
    <w:rsid w:val="15436065"/>
    <w:rsid w:val="15512530"/>
    <w:rsid w:val="15542020"/>
    <w:rsid w:val="15652DAA"/>
    <w:rsid w:val="15697714"/>
    <w:rsid w:val="156A6FD9"/>
    <w:rsid w:val="15AA33D4"/>
    <w:rsid w:val="15AE0D10"/>
    <w:rsid w:val="15BF56EC"/>
    <w:rsid w:val="15C54CCC"/>
    <w:rsid w:val="15D427AB"/>
    <w:rsid w:val="160B0182"/>
    <w:rsid w:val="160E7BD1"/>
    <w:rsid w:val="16354792"/>
    <w:rsid w:val="164756E1"/>
    <w:rsid w:val="166444E5"/>
    <w:rsid w:val="16663DB9"/>
    <w:rsid w:val="166A5060"/>
    <w:rsid w:val="16734728"/>
    <w:rsid w:val="16783AEC"/>
    <w:rsid w:val="1683496B"/>
    <w:rsid w:val="169D35D4"/>
    <w:rsid w:val="16A86180"/>
    <w:rsid w:val="16AB6BEF"/>
    <w:rsid w:val="16AD6EF0"/>
    <w:rsid w:val="16D11963"/>
    <w:rsid w:val="16D174BE"/>
    <w:rsid w:val="16E66CA8"/>
    <w:rsid w:val="16E80C72"/>
    <w:rsid w:val="16EA4E0B"/>
    <w:rsid w:val="170A4CC0"/>
    <w:rsid w:val="171B1048"/>
    <w:rsid w:val="171B2DF6"/>
    <w:rsid w:val="17365E81"/>
    <w:rsid w:val="174521C8"/>
    <w:rsid w:val="175C78D1"/>
    <w:rsid w:val="17713B83"/>
    <w:rsid w:val="1772678E"/>
    <w:rsid w:val="17A405FA"/>
    <w:rsid w:val="17AC1CA0"/>
    <w:rsid w:val="17C90AA4"/>
    <w:rsid w:val="17E23913"/>
    <w:rsid w:val="17E62C77"/>
    <w:rsid w:val="17EE050A"/>
    <w:rsid w:val="180D1D84"/>
    <w:rsid w:val="181B1EAC"/>
    <w:rsid w:val="18371EB1"/>
    <w:rsid w:val="186500A0"/>
    <w:rsid w:val="18822A00"/>
    <w:rsid w:val="18D06B39"/>
    <w:rsid w:val="18DF1F83"/>
    <w:rsid w:val="18FD6771"/>
    <w:rsid w:val="1921046B"/>
    <w:rsid w:val="193F7D58"/>
    <w:rsid w:val="194727AC"/>
    <w:rsid w:val="19487651"/>
    <w:rsid w:val="19510D51"/>
    <w:rsid w:val="19535CE3"/>
    <w:rsid w:val="195720DF"/>
    <w:rsid w:val="19574D5C"/>
    <w:rsid w:val="19706CFD"/>
    <w:rsid w:val="197B5DCD"/>
    <w:rsid w:val="19921369"/>
    <w:rsid w:val="1995403F"/>
    <w:rsid w:val="19B21EB0"/>
    <w:rsid w:val="19D13C3F"/>
    <w:rsid w:val="19D35C0A"/>
    <w:rsid w:val="1A2F18F5"/>
    <w:rsid w:val="1A315D76"/>
    <w:rsid w:val="1A383CBF"/>
    <w:rsid w:val="1A3C32CC"/>
    <w:rsid w:val="1A635396"/>
    <w:rsid w:val="1A985A77"/>
    <w:rsid w:val="1AB555B2"/>
    <w:rsid w:val="1AB60E27"/>
    <w:rsid w:val="1AE22A56"/>
    <w:rsid w:val="1AFA2EBD"/>
    <w:rsid w:val="1AFC6A9A"/>
    <w:rsid w:val="1B06750C"/>
    <w:rsid w:val="1B11067B"/>
    <w:rsid w:val="1B177D78"/>
    <w:rsid w:val="1B2B55D1"/>
    <w:rsid w:val="1B3D7BBC"/>
    <w:rsid w:val="1B3F4987"/>
    <w:rsid w:val="1B6F1962"/>
    <w:rsid w:val="1B707488"/>
    <w:rsid w:val="1BD51B4F"/>
    <w:rsid w:val="1BF6798D"/>
    <w:rsid w:val="1C026332"/>
    <w:rsid w:val="1C093B64"/>
    <w:rsid w:val="1C4921B3"/>
    <w:rsid w:val="1C501EB6"/>
    <w:rsid w:val="1C9345C7"/>
    <w:rsid w:val="1C9571A6"/>
    <w:rsid w:val="1CA76EDA"/>
    <w:rsid w:val="1CB533A4"/>
    <w:rsid w:val="1CE5103E"/>
    <w:rsid w:val="1CED48B5"/>
    <w:rsid w:val="1CFF32CC"/>
    <w:rsid w:val="1D083BD1"/>
    <w:rsid w:val="1D13456F"/>
    <w:rsid w:val="1D2015CB"/>
    <w:rsid w:val="1D473AE2"/>
    <w:rsid w:val="1D4B204B"/>
    <w:rsid w:val="1D7A0D4D"/>
    <w:rsid w:val="1D8748F4"/>
    <w:rsid w:val="1D9464E3"/>
    <w:rsid w:val="1DA4570D"/>
    <w:rsid w:val="1DC7406B"/>
    <w:rsid w:val="1DE0090E"/>
    <w:rsid w:val="1DEA52D0"/>
    <w:rsid w:val="1DF50A5E"/>
    <w:rsid w:val="1E022DD7"/>
    <w:rsid w:val="1E0B5445"/>
    <w:rsid w:val="1E2D15D1"/>
    <w:rsid w:val="1E5906A7"/>
    <w:rsid w:val="1E5A4EA5"/>
    <w:rsid w:val="1E6037E4"/>
    <w:rsid w:val="1E7554E1"/>
    <w:rsid w:val="1E805C34"/>
    <w:rsid w:val="1E85437A"/>
    <w:rsid w:val="1EC209D7"/>
    <w:rsid w:val="1F046865"/>
    <w:rsid w:val="1F10520A"/>
    <w:rsid w:val="1F2D0D63"/>
    <w:rsid w:val="1F52137F"/>
    <w:rsid w:val="1F710EEF"/>
    <w:rsid w:val="1F764D93"/>
    <w:rsid w:val="1F7C4B1C"/>
    <w:rsid w:val="1FB5190D"/>
    <w:rsid w:val="1FC86644"/>
    <w:rsid w:val="1FE87F35"/>
    <w:rsid w:val="20112FE8"/>
    <w:rsid w:val="20340A84"/>
    <w:rsid w:val="204038CD"/>
    <w:rsid w:val="204F11D1"/>
    <w:rsid w:val="20591670"/>
    <w:rsid w:val="206B5BA9"/>
    <w:rsid w:val="207337EB"/>
    <w:rsid w:val="207822AF"/>
    <w:rsid w:val="20AB5E72"/>
    <w:rsid w:val="20B3409F"/>
    <w:rsid w:val="20B65C9E"/>
    <w:rsid w:val="20BA0959"/>
    <w:rsid w:val="20CE30C2"/>
    <w:rsid w:val="20DA0DA7"/>
    <w:rsid w:val="20FA5CCF"/>
    <w:rsid w:val="210743EB"/>
    <w:rsid w:val="21252652"/>
    <w:rsid w:val="212E7BC9"/>
    <w:rsid w:val="214061FD"/>
    <w:rsid w:val="215533A8"/>
    <w:rsid w:val="21701F90"/>
    <w:rsid w:val="218900C9"/>
    <w:rsid w:val="21A165ED"/>
    <w:rsid w:val="21AC1DDA"/>
    <w:rsid w:val="21B77BBF"/>
    <w:rsid w:val="21BA3BCC"/>
    <w:rsid w:val="21C244AB"/>
    <w:rsid w:val="21C422DC"/>
    <w:rsid w:val="21E62B8F"/>
    <w:rsid w:val="21EB16DE"/>
    <w:rsid w:val="21FE759C"/>
    <w:rsid w:val="22034BB2"/>
    <w:rsid w:val="220628F4"/>
    <w:rsid w:val="221E379A"/>
    <w:rsid w:val="22347461"/>
    <w:rsid w:val="227B370D"/>
    <w:rsid w:val="227D6639"/>
    <w:rsid w:val="228E6279"/>
    <w:rsid w:val="22A16179"/>
    <w:rsid w:val="22AD77BF"/>
    <w:rsid w:val="22AE0FC2"/>
    <w:rsid w:val="22FF35CB"/>
    <w:rsid w:val="230230BC"/>
    <w:rsid w:val="2318643B"/>
    <w:rsid w:val="233139A1"/>
    <w:rsid w:val="234B4D59"/>
    <w:rsid w:val="235558E1"/>
    <w:rsid w:val="23566F63"/>
    <w:rsid w:val="238D07BB"/>
    <w:rsid w:val="239D4B92"/>
    <w:rsid w:val="23A87B77"/>
    <w:rsid w:val="23D064DF"/>
    <w:rsid w:val="23D762F6"/>
    <w:rsid w:val="23F32A04"/>
    <w:rsid w:val="240D6935"/>
    <w:rsid w:val="24335835"/>
    <w:rsid w:val="24547947"/>
    <w:rsid w:val="24942331"/>
    <w:rsid w:val="24A4217B"/>
    <w:rsid w:val="24A81A41"/>
    <w:rsid w:val="24B74C6F"/>
    <w:rsid w:val="24C07CDC"/>
    <w:rsid w:val="24C518D9"/>
    <w:rsid w:val="250A52F0"/>
    <w:rsid w:val="250C70FA"/>
    <w:rsid w:val="251610A0"/>
    <w:rsid w:val="252A3826"/>
    <w:rsid w:val="253D03DB"/>
    <w:rsid w:val="254C1EBB"/>
    <w:rsid w:val="255676EF"/>
    <w:rsid w:val="255D5175"/>
    <w:rsid w:val="2585741F"/>
    <w:rsid w:val="25DD15C5"/>
    <w:rsid w:val="261F21D6"/>
    <w:rsid w:val="261F5D33"/>
    <w:rsid w:val="26355050"/>
    <w:rsid w:val="263E265D"/>
    <w:rsid w:val="26416061"/>
    <w:rsid w:val="264848D9"/>
    <w:rsid w:val="26653A59"/>
    <w:rsid w:val="267C13D7"/>
    <w:rsid w:val="268F110A"/>
    <w:rsid w:val="26914CC1"/>
    <w:rsid w:val="269F63A0"/>
    <w:rsid w:val="26CA2142"/>
    <w:rsid w:val="26E8614E"/>
    <w:rsid w:val="271D6795"/>
    <w:rsid w:val="272B6DA7"/>
    <w:rsid w:val="276713B8"/>
    <w:rsid w:val="278C433D"/>
    <w:rsid w:val="27915427"/>
    <w:rsid w:val="27B32BD6"/>
    <w:rsid w:val="27BD5803"/>
    <w:rsid w:val="27E576B4"/>
    <w:rsid w:val="27F43B54"/>
    <w:rsid w:val="281D44F4"/>
    <w:rsid w:val="2835183D"/>
    <w:rsid w:val="28475135"/>
    <w:rsid w:val="28692EF4"/>
    <w:rsid w:val="286F00D7"/>
    <w:rsid w:val="287A4646"/>
    <w:rsid w:val="289A78F2"/>
    <w:rsid w:val="28B12207"/>
    <w:rsid w:val="28C57065"/>
    <w:rsid w:val="28E11BEC"/>
    <w:rsid w:val="28F434A6"/>
    <w:rsid w:val="29007AF6"/>
    <w:rsid w:val="29023E15"/>
    <w:rsid w:val="290A0F1C"/>
    <w:rsid w:val="290A2CCA"/>
    <w:rsid w:val="290D6316"/>
    <w:rsid w:val="297D349C"/>
    <w:rsid w:val="298567F4"/>
    <w:rsid w:val="298C1931"/>
    <w:rsid w:val="29947037"/>
    <w:rsid w:val="299D24FB"/>
    <w:rsid w:val="29B449E4"/>
    <w:rsid w:val="29B50E88"/>
    <w:rsid w:val="29C4731D"/>
    <w:rsid w:val="29C64DDF"/>
    <w:rsid w:val="29D86924"/>
    <w:rsid w:val="29DD3F3B"/>
    <w:rsid w:val="29DF1A3C"/>
    <w:rsid w:val="29EF5C97"/>
    <w:rsid w:val="2A685EFA"/>
    <w:rsid w:val="2A7F4FF2"/>
    <w:rsid w:val="2A866380"/>
    <w:rsid w:val="2A9767DF"/>
    <w:rsid w:val="2A9F7442"/>
    <w:rsid w:val="2ABC4498"/>
    <w:rsid w:val="2AD7169A"/>
    <w:rsid w:val="2AFA0B1C"/>
    <w:rsid w:val="2AFC6642"/>
    <w:rsid w:val="2B2654FC"/>
    <w:rsid w:val="2B3902DC"/>
    <w:rsid w:val="2B3F6358"/>
    <w:rsid w:val="2B5C253D"/>
    <w:rsid w:val="2B893253"/>
    <w:rsid w:val="2B9A264F"/>
    <w:rsid w:val="2BAA42F0"/>
    <w:rsid w:val="2BB7435A"/>
    <w:rsid w:val="2BBA4EA2"/>
    <w:rsid w:val="2BC25ADE"/>
    <w:rsid w:val="2BCF0352"/>
    <w:rsid w:val="2BD4296D"/>
    <w:rsid w:val="2BDE2CA7"/>
    <w:rsid w:val="2BE271C7"/>
    <w:rsid w:val="2BEC2B5B"/>
    <w:rsid w:val="2BFC0D12"/>
    <w:rsid w:val="2C093F4C"/>
    <w:rsid w:val="2C2330D5"/>
    <w:rsid w:val="2C2C4E3F"/>
    <w:rsid w:val="2C2C764B"/>
    <w:rsid w:val="2C3047F6"/>
    <w:rsid w:val="2C340A76"/>
    <w:rsid w:val="2C46226B"/>
    <w:rsid w:val="2C5A7AC4"/>
    <w:rsid w:val="2C626979"/>
    <w:rsid w:val="2C695F59"/>
    <w:rsid w:val="2C72537A"/>
    <w:rsid w:val="2C7E7C57"/>
    <w:rsid w:val="2C8D23BC"/>
    <w:rsid w:val="2CD31625"/>
    <w:rsid w:val="2CDC5564"/>
    <w:rsid w:val="2CDF621C"/>
    <w:rsid w:val="2CE17F03"/>
    <w:rsid w:val="2D0F6B01"/>
    <w:rsid w:val="2D183785"/>
    <w:rsid w:val="2D1A7254"/>
    <w:rsid w:val="2D5371B1"/>
    <w:rsid w:val="2D79041E"/>
    <w:rsid w:val="2D984D48"/>
    <w:rsid w:val="2DAA682A"/>
    <w:rsid w:val="2DD32698"/>
    <w:rsid w:val="2DD90EBD"/>
    <w:rsid w:val="2DE27352"/>
    <w:rsid w:val="2E00469C"/>
    <w:rsid w:val="2E1F0F37"/>
    <w:rsid w:val="2E474078"/>
    <w:rsid w:val="2E50117F"/>
    <w:rsid w:val="2E562260"/>
    <w:rsid w:val="2E5A7BB6"/>
    <w:rsid w:val="2E67471B"/>
    <w:rsid w:val="2E7C6D05"/>
    <w:rsid w:val="2E8754F3"/>
    <w:rsid w:val="2EB05D70"/>
    <w:rsid w:val="2EBF6305"/>
    <w:rsid w:val="2EE30245"/>
    <w:rsid w:val="2EE60E75"/>
    <w:rsid w:val="2EF04710"/>
    <w:rsid w:val="2F0B6F80"/>
    <w:rsid w:val="2F2A645B"/>
    <w:rsid w:val="2F4405B8"/>
    <w:rsid w:val="2F7C41F6"/>
    <w:rsid w:val="2F860BD0"/>
    <w:rsid w:val="2F912749"/>
    <w:rsid w:val="2FB656B2"/>
    <w:rsid w:val="2FC60198"/>
    <w:rsid w:val="2FD4544B"/>
    <w:rsid w:val="2FDD4C94"/>
    <w:rsid w:val="2FE36023"/>
    <w:rsid w:val="2FEF6776"/>
    <w:rsid w:val="30185CCC"/>
    <w:rsid w:val="30286438"/>
    <w:rsid w:val="303207AB"/>
    <w:rsid w:val="305A4537"/>
    <w:rsid w:val="307A0D29"/>
    <w:rsid w:val="309061AB"/>
    <w:rsid w:val="30AB2368"/>
    <w:rsid w:val="30BA3228"/>
    <w:rsid w:val="30C563E3"/>
    <w:rsid w:val="30C776F3"/>
    <w:rsid w:val="30CE7357"/>
    <w:rsid w:val="30D05749"/>
    <w:rsid w:val="310B6367"/>
    <w:rsid w:val="312270ED"/>
    <w:rsid w:val="31817DBF"/>
    <w:rsid w:val="318625B8"/>
    <w:rsid w:val="3195630C"/>
    <w:rsid w:val="31A37290"/>
    <w:rsid w:val="31A921C3"/>
    <w:rsid w:val="31C7382E"/>
    <w:rsid w:val="320A0620"/>
    <w:rsid w:val="320A5AE9"/>
    <w:rsid w:val="320C5B6C"/>
    <w:rsid w:val="32364B30"/>
    <w:rsid w:val="32477D53"/>
    <w:rsid w:val="328E671A"/>
    <w:rsid w:val="329F4483"/>
    <w:rsid w:val="329F4B49"/>
    <w:rsid w:val="32BA4DA7"/>
    <w:rsid w:val="32C739DA"/>
    <w:rsid w:val="32D560F7"/>
    <w:rsid w:val="32ED45E0"/>
    <w:rsid w:val="33191903"/>
    <w:rsid w:val="3369683F"/>
    <w:rsid w:val="338A3477"/>
    <w:rsid w:val="338D69D1"/>
    <w:rsid w:val="33AB6E58"/>
    <w:rsid w:val="33C474DD"/>
    <w:rsid w:val="33C817B8"/>
    <w:rsid w:val="33F669DA"/>
    <w:rsid w:val="340C601C"/>
    <w:rsid w:val="341E7629"/>
    <w:rsid w:val="342069D0"/>
    <w:rsid w:val="3422536C"/>
    <w:rsid w:val="34B34216"/>
    <w:rsid w:val="34BB24A6"/>
    <w:rsid w:val="34F40B53"/>
    <w:rsid w:val="35103416"/>
    <w:rsid w:val="35104F87"/>
    <w:rsid w:val="351F3659"/>
    <w:rsid w:val="352A3E47"/>
    <w:rsid w:val="355D14AF"/>
    <w:rsid w:val="35645510"/>
    <w:rsid w:val="358A6C10"/>
    <w:rsid w:val="35B32C85"/>
    <w:rsid w:val="35BF6BEA"/>
    <w:rsid w:val="35E47D52"/>
    <w:rsid w:val="35F745D6"/>
    <w:rsid w:val="35FB40C6"/>
    <w:rsid w:val="360F36CE"/>
    <w:rsid w:val="3627760C"/>
    <w:rsid w:val="365732C7"/>
    <w:rsid w:val="36796692"/>
    <w:rsid w:val="367B7537"/>
    <w:rsid w:val="369B2589"/>
    <w:rsid w:val="36A24542"/>
    <w:rsid w:val="36A47313"/>
    <w:rsid w:val="36D52B69"/>
    <w:rsid w:val="36D63D83"/>
    <w:rsid w:val="36DB7A54"/>
    <w:rsid w:val="36DD032D"/>
    <w:rsid w:val="36F17277"/>
    <w:rsid w:val="37021484"/>
    <w:rsid w:val="371A4A20"/>
    <w:rsid w:val="371B30D2"/>
    <w:rsid w:val="37304B39"/>
    <w:rsid w:val="373D4822"/>
    <w:rsid w:val="374101FF"/>
    <w:rsid w:val="37503F9E"/>
    <w:rsid w:val="37623CD1"/>
    <w:rsid w:val="37666039"/>
    <w:rsid w:val="381811C2"/>
    <w:rsid w:val="381D73E6"/>
    <w:rsid w:val="382F44FB"/>
    <w:rsid w:val="3848736B"/>
    <w:rsid w:val="385F5B49"/>
    <w:rsid w:val="38710670"/>
    <w:rsid w:val="38890D7F"/>
    <w:rsid w:val="38945D88"/>
    <w:rsid w:val="38AE1EB9"/>
    <w:rsid w:val="38C1082C"/>
    <w:rsid w:val="38C22C79"/>
    <w:rsid w:val="38CF183A"/>
    <w:rsid w:val="38D46E50"/>
    <w:rsid w:val="38E52E0C"/>
    <w:rsid w:val="38F60D15"/>
    <w:rsid w:val="39455658"/>
    <w:rsid w:val="394E09B1"/>
    <w:rsid w:val="396957EB"/>
    <w:rsid w:val="399F120C"/>
    <w:rsid w:val="39A93E39"/>
    <w:rsid w:val="39D03012"/>
    <w:rsid w:val="39E405BF"/>
    <w:rsid w:val="3A3A3FB7"/>
    <w:rsid w:val="3A3E1B73"/>
    <w:rsid w:val="3A577D39"/>
    <w:rsid w:val="3A9028D6"/>
    <w:rsid w:val="3AA82343"/>
    <w:rsid w:val="3AC23843"/>
    <w:rsid w:val="3B0C28D2"/>
    <w:rsid w:val="3B182C4B"/>
    <w:rsid w:val="3B1A5418"/>
    <w:rsid w:val="3B3D2A8B"/>
    <w:rsid w:val="3B5878C5"/>
    <w:rsid w:val="3B9823B7"/>
    <w:rsid w:val="3B9C1EA7"/>
    <w:rsid w:val="3BA26809"/>
    <w:rsid w:val="3BA743A8"/>
    <w:rsid w:val="3BAE5737"/>
    <w:rsid w:val="3BD54603"/>
    <w:rsid w:val="3BD6697D"/>
    <w:rsid w:val="3BDF1D94"/>
    <w:rsid w:val="3BE24F59"/>
    <w:rsid w:val="3BF33A92"/>
    <w:rsid w:val="3BF84C04"/>
    <w:rsid w:val="3C1361CC"/>
    <w:rsid w:val="3C333E8E"/>
    <w:rsid w:val="3C445EFD"/>
    <w:rsid w:val="3C974F46"/>
    <w:rsid w:val="3CB45A42"/>
    <w:rsid w:val="3D1C6598"/>
    <w:rsid w:val="3D3805DF"/>
    <w:rsid w:val="3D472574"/>
    <w:rsid w:val="3DAE7197"/>
    <w:rsid w:val="3DB01C3A"/>
    <w:rsid w:val="3DBA32DD"/>
    <w:rsid w:val="3DC15BF5"/>
    <w:rsid w:val="3DC65122"/>
    <w:rsid w:val="3DCC00F6"/>
    <w:rsid w:val="3DE47B36"/>
    <w:rsid w:val="3E1E20ED"/>
    <w:rsid w:val="3E34543B"/>
    <w:rsid w:val="3E422617"/>
    <w:rsid w:val="3E574293"/>
    <w:rsid w:val="3E5C147A"/>
    <w:rsid w:val="3E615979"/>
    <w:rsid w:val="3E693B97"/>
    <w:rsid w:val="3EA74560"/>
    <w:rsid w:val="3EAA48DB"/>
    <w:rsid w:val="3EB50271"/>
    <w:rsid w:val="3EC9643A"/>
    <w:rsid w:val="3EE97B57"/>
    <w:rsid w:val="3F076217"/>
    <w:rsid w:val="3F0B1F26"/>
    <w:rsid w:val="3F1F07C0"/>
    <w:rsid w:val="3F2C4370"/>
    <w:rsid w:val="3F2F005E"/>
    <w:rsid w:val="3F336D85"/>
    <w:rsid w:val="3F520ACF"/>
    <w:rsid w:val="3F577E93"/>
    <w:rsid w:val="3F5940AC"/>
    <w:rsid w:val="3F825DC5"/>
    <w:rsid w:val="3F861E85"/>
    <w:rsid w:val="3FB778B9"/>
    <w:rsid w:val="3FC30B40"/>
    <w:rsid w:val="3FCD404B"/>
    <w:rsid w:val="3FE91B05"/>
    <w:rsid w:val="3FEC0F24"/>
    <w:rsid w:val="3FF619EC"/>
    <w:rsid w:val="3FF76205"/>
    <w:rsid w:val="3FFA719D"/>
    <w:rsid w:val="400D3374"/>
    <w:rsid w:val="401E3034"/>
    <w:rsid w:val="40267F92"/>
    <w:rsid w:val="40270D28"/>
    <w:rsid w:val="402D7330"/>
    <w:rsid w:val="40300A76"/>
    <w:rsid w:val="405821C2"/>
    <w:rsid w:val="405E3BCF"/>
    <w:rsid w:val="406C796F"/>
    <w:rsid w:val="409A0980"/>
    <w:rsid w:val="40B13A14"/>
    <w:rsid w:val="40BC08F6"/>
    <w:rsid w:val="40C0243F"/>
    <w:rsid w:val="40C5268D"/>
    <w:rsid w:val="410127AD"/>
    <w:rsid w:val="41160006"/>
    <w:rsid w:val="41390A92"/>
    <w:rsid w:val="41562AF9"/>
    <w:rsid w:val="41707B1A"/>
    <w:rsid w:val="418C651A"/>
    <w:rsid w:val="41A05308"/>
    <w:rsid w:val="41C2018E"/>
    <w:rsid w:val="41C9617D"/>
    <w:rsid w:val="41EA3241"/>
    <w:rsid w:val="41F85914"/>
    <w:rsid w:val="42044303"/>
    <w:rsid w:val="422603E6"/>
    <w:rsid w:val="422B43FB"/>
    <w:rsid w:val="423F533B"/>
    <w:rsid w:val="4251506E"/>
    <w:rsid w:val="42547C66"/>
    <w:rsid w:val="42BF46CD"/>
    <w:rsid w:val="42D3291C"/>
    <w:rsid w:val="42DC5952"/>
    <w:rsid w:val="42DF08CC"/>
    <w:rsid w:val="433724B6"/>
    <w:rsid w:val="4348021F"/>
    <w:rsid w:val="439A5E95"/>
    <w:rsid w:val="43A0005B"/>
    <w:rsid w:val="43B835F7"/>
    <w:rsid w:val="43C82E99"/>
    <w:rsid w:val="43CC7746"/>
    <w:rsid w:val="43E443EC"/>
    <w:rsid w:val="44022AC4"/>
    <w:rsid w:val="44395BB4"/>
    <w:rsid w:val="44513192"/>
    <w:rsid w:val="44760DBC"/>
    <w:rsid w:val="447E4DF0"/>
    <w:rsid w:val="4494321F"/>
    <w:rsid w:val="44C77869"/>
    <w:rsid w:val="44CE55F5"/>
    <w:rsid w:val="44DF662C"/>
    <w:rsid w:val="44F00B6E"/>
    <w:rsid w:val="44FE2949"/>
    <w:rsid w:val="45246A6A"/>
    <w:rsid w:val="452D27FE"/>
    <w:rsid w:val="459C7A87"/>
    <w:rsid w:val="459D5F2E"/>
    <w:rsid w:val="45A02594"/>
    <w:rsid w:val="45BF265B"/>
    <w:rsid w:val="45FC4BE5"/>
    <w:rsid w:val="46386C71"/>
    <w:rsid w:val="464C6278"/>
    <w:rsid w:val="464E0242"/>
    <w:rsid w:val="46683A1F"/>
    <w:rsid w:val="466C691A"/>
    <w:rsid w:val="46780E1B"/>
    <w:rsid w:val="468972B4"/>
    <w:rsid w:val="46A06BC1"/>
    <w:rsid w:val="46B23AEC"/>
    <w:rsid w:val="46B53E1D"/>
    <w:rsid w:val="46C87FF5"/>
    <w:rsid w:val="46FF32EA"/>
    <w:rsid w:val="47044DA5"/>
    <w:rsid w:val="47266AC9"/>
    <w:rsid w:val="47392360"/>
    <w:rsid w:val="474922D4"/>
    <w:rsid w:val="474F4272"/>
    <w:rsid w:val="47507FEA"/>
    <w:rsid w:val="47583F97"/>
    <w:rsid w:val="475C698F"/>
    <w:rsid w:val="475E44B5"/>
    <w:rsid w:val="47971955"/>
    <w:rsid w:val="479C1C2E"/>
    <w:rsid w:val="47C60AA0"/>
    <w:rsid w:val="47E37F9F"/>
    <w:rsid w:val="47FB1D04"/>
    <w:rsid w:val="48035BB1"/>
    <w:rsid w:val="480B4DC3"/>
    <w:rsid w:val="4812721D"/>
    <w:rsid w:val="481C1C7A"/>
    <w:rsid w:val="483671E0"/>
    <w:rsid w:val="4847319B"/>
    <w:rsid w:val="4876582E"/>
    <w:rsid w:val="48873845"/>
    <w:rsid w:val="488A12DA"/>
    <w:rsid w:val="489A776F"/>
    <w:rsid w:val="48A405ED"/>
    <w:rsid w:val="48AF2AEE"/>
    <w:rsid w:val="48BA396D"/>
    <w:rsid w:val="48F01075"/>
    <w:rsid w:val="48FA4819"/>
    <w:rsid w:val="491237A9"/>
    <w:rsid w:val="49267254"/>
    <w:rsid w:val="493C1C28"/>
    <w:rsid w:val="495D254A"/>
    <w:rsid w:val="4961203A"/>
    <w:rsid w:val="498E4A44"/>
    <w:rsid w:val="499D79D3"/>
    <w:rsid w:val="49B900C8"/>
    <w:rsid w:val="49C600F0"/>
    <w:rsid w:val="4A080708"/>
    <w:rsid w:val="4A296BD1"/>
    <w:rsid w:val="4A345435"/>
    <w:rsid w:val="4A3541D0"/>
    <w:rsid w:val="4A471230"/>
    <w:rsid w:val="4A632331"/>
    <w:rsid w:val="4A6C0C97"/>
    <w:rsid w:val="4A6C6EE9"/>
    <w:rsid w:val="4A7B39D0"/>
    <w:rsid w:val="4AB10DA0"/>
    <w:rsid w:val="4AB12B4E"/>
    <w:rsid w:val="4AB67ADC"/>
    <w:rsid w:val="4B4D6D1A"/>
    <w:rsid w:val="4B685902"/>
    <w:rsid w:val="4B7331D8"/>
    <w:rsid w:val="4B7F2C4C"/>
    <w:rsid w:val="4B9E7576"/>
    <w:rsid w:val="4B9F58B7"/>
    <w:rsid w:val="4BAB3A41"/>
    <w:rsid w:val="4BB6798F"/>
    <w:rsid w:val="4BBF1980"/>
    <w:rsid w:val="4BC33A7B"/>
    <w:rsid w:val="4BC66E74"/>
    <w:rsid w:val="4BDE13C6"/>
    <w:rsid w:val="4BF21526"/>
    <w:rsid w:val="4C5B7215"/>
    <w:rsid w:val="4C650094"/>
    <w:rsid w:val="4C746DC9"/>
    <w:rsid w:val="4C901FE1"/>
    <w:rsid w:val="4CB05B92"/>
    <w:rsid w:val="4CB54D28"/>
    <w:rsid w:val="4CCF550D"/>
    <w:rsid w:val="4CD40D75"/>
    <w:rsid w:val="4D21045F"/>
    <w:rsid w:val="4D5C1497"/>
    <w:rsid w:val="4D6245D3"/>
    <w:rsid w:val="4D7A3108"/>
    <w:rsid w:val="4D801963"/>
    <w:rsid w:val="4D8C3B86"/>
    <w:rsid w:val="4E1D7FC3"/>
    <w:rsid w:val="4E277EDC"/>
    <w:rsid w:val="4E3E6DEE"/>
    <w:rsid w:val="4E3F065B"/>
    <w:rsid w:val="4E41068C"/>
    <w:rsid w:val="4E726A98"/>
    <w:rsid w:val="4E8452B7"/>
    <w:rsid w:val="4E936A70"/>
    <w:rsid w:val="4EA01857"/>
    <w:rsid w:val="4EB329FB"/>
    <w:rsid w:val="4EC62DAA"/>
    <w:rsid w:val="4EC679A6"/>
    <w:rsid w:val="4ED65401"/>
    <w:rsid w:val="4EE31744"/>
    <w:rsid w:val="4EEA0D24"/>
    <w:rsid w:val="4F03120B"/>
    <w:rsid w:val="4F251B9C"/>
    <w:rsid w:val="4F294349"/>
    <w:rsid w:val="4F343D4D"/>
    <w:rsid w:val="4F3B332E"/>
    <w:rsid w:val="4F6165AB"/>
    <w:rsid w:val="4F6E725F"/>
    <w:rsid w:val="4F7459ED"/>
    <w:rsid w:val="4FA42C81"/>
    <w:rsid w:val="4FE01C4C"/>
    <w:rsid w:val="4FF87D23"/>
    <w:rsid w:val="5001120A"/>
    <w:rsid w:val="500F69BB"/>
    <w:rsid w:val="50275F90"/>
    <w:rsid w:val="5039786D"/>
    <w:rsid w:val="505A2BAF"/>
    <w:rsid w:val="507B4F35"/>
    <w:rsid w:val="507D6E7C"/>
    <w:rsid w:val="50A1347E"/>
    <w:rsid w:val="50B42B1A"/>
    <w:rsid w:val="50DC644B"/>
    <w:rsid w:val="50FB4B23"/>
    <w:rsid w:val="51046058"/>
    <w:rsid w:val="51184BB9"/>
    <w:rsid w:val="511B51C5"/>
    <w:rsid w:val="511D6E11"/>
    <w:rsid w:val="51254D76"/>
    <w:rsid w:val="515940F5"/>
    <w:rsid w:val="51840FBC"/>
    <w:rsid w:val="51A32849"/>
    <w:rsid w:val="51AF0400"/>
    <w:rsid w:val="51DD41D3"/>
    <w:rsid w:val="52081BED"/>
    <w:rsid w:val="52287B99"/>
    <w:rsid w:val="52541547"/>
    <w:rsid w:val="5255058E"/>
    <w:rsid w:val="525954D6"/>
    <w:rsid w:val="527B23BF"/>
    <w:rsid w:val="529C3096"/>
    <w:rsid w:val="529E1C09"/>
    <w:rsid w:val="52A067F5"/>
    <w:rsid w:val="52A766E1"/>
    <w:rsid w:val="52CA6EA2"/>
    <w:rsid w:val="52D42205"/>
    <w:rsid w:val="530C1269"/>
    <w:rsid w:val="530F2B07"/>
    <w:rsid w:val="536A41E2"/>
    <w:rsid w:val="536A66F2"/>
    <w:rsid w:val="536E7008"/>
    <w:rsid w:val="539B02BB"/>
    <w:rsid w:val="53B74A8B"/>
    <w:rsid w:val="53E43F94"/>
    <w:rsid w:val="54065CB8"/>
    <w:rsid w:val="540C7047"/>
    <w:rsid w:val="54387E3C"/>
    <w:rsid w:val="54413194"/>
    <w:rsid w:val="54446FC0"/>
    <w:rsid w:val="544B7B6F"/>
    <w:rsid w:val="544F5A5E"/>
    <w:rsid w:val="54556C40"/>
    <w:rsid w:val="54667296"/>
    <w:rsid w:val="54682CE5"/>
    <w:rsid w:val="54684BC5"/>
    <w:rsid w:val="5488491F"/>
    <w:rsid w:val="54C33BA9"/>
    <w:rsid w:val="54D758A7"/>
    <w:rsid w:val="54EA0F6C"/>
    <w:rsid w:val="54FE1085"/>
    <w:rsid w:val="55077F39"/>
    <w:rsid w:val="55085A60"/>
    <w:rsid w:val="551C62F0"/>
    <w:rsid w:val="554051FA"/>
    <w:rsid w:val="55410F72"/>
    <w:rsid w:val="5543456C"/>
    <w:rsid w:val="55474366"/>
    <w:rsid w:val="554931DE"/>
    <w:rsid w:val="55542B06"/>
    <w:rsid w:val="556A04C9"/>
    <w:rsid w:val="55702645"/>
    <w:rsid w:val="55937A20"/>
    <w:rsid w:val="55BE30DF"/>
    <w:rsid w:val="55C117A3"/>
    <w:rsid w:val="55F20A7E"/>
    <w:rsid w:val="55FD133D"/>
    <w:rsid w:val="56151E85"/>
    <w:rsid w:val="562C1C22"/>
    <w:rsid w:val="56310FE7"/>
    <w:rsid w:val="56374307"/>
    <w:rsid w:val="56424FA2"/>
    <w:rsid w:val="565F3DA6"/>
    <w:rsid w:val="568B06F7"/>
    <w:rsid w:val="56A17F1A"/>
    <w:rsid w:val="56A87CBD"/>
    <w:rsid w:val="56BD287A"/>
    <w:rsid w:val="56EB38E4"/>
    <w:rsid w:val="56F52014"/>
    <w:rsid w:val="56F60510"/>
    <w:rsid w:val="570E7A86"/>
    <w:rsid w:val="572D5C52"/>
    <w:rsid w:val="576F1DC6"/>
    <w:rsid w:val="57706B54"/>
    <w:rsid w:val="57832294"/>
    <w:rsid w:val="57AE25BB"/>
    <w:rsid w:val="57AF48B9"/>
    <w:rsid w:val="57D12A81"/>
    <w:rsid w:val="57E6512F"/>
    <w:rsid w:val="58003366"/>
    <w:rsid w:val="580D7ADE"/>
    <w:rsid w:val="581035A9"/>
    <w:rsid w:val="581B3CFC"/>
    <w:rsid w:val="58414AFB"/>
    <w:rsid w:val="58675193"/>
    <w:rsid w:val="58693541"/>
    <w:rsid w:val="5889510A"/>
    <w:rsid w:val="58AE4B70"/>
    <w:rsid w:val="58B4552F"/>
    <w:rsid w:val="58C61EBA"/>
    <w:rsid w:val="58CA7BFC"/>
    <w:rsid w:val="58CC62FA"/>
    <w:rsid w:val="58D520FD"/>
    <w:rsid w:val="58D53D2A"/>
    <w:rsid w:val="58DC7930"/>
    <w:rsid w:val="58DD68BA"/>
    <w:rsid w:val="58DE7204"/>
    <w:rsid w:val="5907605D"/>
    <w:rsid w:val="59162E41"/>
    <w:rsid w:val="59305585"/>
    <w:rsid w:val="59337635"/>
    <w:rsid w:val="5937299B"/>
    <w:rsid w:val="594A6647"/>
    <w:rsid w:val="599B3E92"/>
    <w:rsid w:val="59C77C98"/>
    <w:rsid w:val="59C91380"/>
    <w:rsid w:val="59F1740B"/>
    <w:rsid w:val="5A1866DC"/>
    <w:rsid w:val="5A4412E8"/>
    <w:rsid w:val="5A492DA3"/>
    <w:rsid w:val="5A4C66C1"/>
    <w:rsid w:val="5A664E37"/>
    <w:rsid w:val="5A7E6895"/>
    <w:rsid w:val="5A817655"/>
    <w:rsid w:val="5A940ED3"/>
    <w:rsid w:val="5ADF1011"/>
    <w:rsid w:val="5AE2724E"/>
    <w:rsid w:val="5AF34ABD"/>
    <w:rsid w:val="5B260E3B"/>
    <w:rsid w:val="5B374FE5"/>
    <w:rsid w:val="5B612019"/>
    <w:rsid w:val="5B64485F"/>
    <w:rsid w:val="5B8F1C47"/>
    <w:rsid w:val="5B983FD5"/>
    <w:rsid w:val="5BAA6A15"/>
    <w:rsid w:val="5BBB7CD0"/>
    <w:rsid w:val="5BCA03D2"/>
    <w:rsid w:val="5BCB0B78"/>
    <w:rsid w:val="5BD24970"/>
    <w:rsid w:val="5BD46EBF"/>
    <w:rsid w:val="5BE56AFB"/>
    <w:rsid w:val="5BF353EE"/>
    <w:rsid w:val="5C0158F6"/>
    <w:rsid w:val="5C282F44"/>
    <w:rsid w:val="5C2E1802"/>
    <w:rsid w:val="5C9D4995"/>
    <w:rsid w:val="5CA5200E"/>
    <w:rsid w:val="5CB00EB7"/>
    <w:rsid w:val="5CBF559E"/>
    <w:rsid w:val="5CC25352"/>
    <w:rsid w:val="5CD221E0"/>
    <w:rsid w:val="5D125F25"/>
    <w:rsid w:val="5D223C5B"/>
    <w:rsid w:val="5D227362"/>
    <w:rsid w:val="5D301FF8"/>
    <w:rsid w:val="5D5B2B0C"/>
    <w:rsid w:val="5D964551"/>
    <w:rsid w:val="5DBE5856"/>
    <w:rsid w:val="5DC015CE"/>
    <w:rsid w:val="5DD21301"/>
    <w:rsid w:val="5DD45079"/>
    <w:rsid w:val="5DD72473"/>
    <w:rsid w:val="5DE9180A"/>
    <w:rsid w:val="5DEC4171"/>
    <w:rsid w:val="5E1E6018"/>
    <w:rsid w:val="5E251431"/>
    <w:rsid w:val="5E255A27"/>
    <w:rsid w:val="5E272947"/>
    <w:rsid w:val="5E2751A9"/>
    <w:rsid w:val="5E6B1115"/>
    <w:rsid w:val="5E7423B8"/>
    <w:rsid w:val="5E8343A9"/>
    <w:rsid w:val="5EA736AF"/>
    <w:rsid w:val="5EA91D5E"/>
    <w:rsid w:val="5EC61458"/>
    <w:rsid w:val="5ED22BFF"/>
    <w:rsid w:val="5ED6087B"/>
    <w:rsid w:val="5EE74938"/>
    <w:rsid w:val="5EF231C3"/>
    <w:rsid w:val="5EFB19BE"/>
    <w:rsid w:val="5EFB4E79"/>
    <w:rsid w:val="5F090328"/>
    <w:rsid w:val="5F1C2834"/>
    <w:rsid w:val="5F223BC2"/>
    <w:rsid w:val="5F2E07B9"/>
    <w:rsid w:val="5F35048A"/>
    <w:rsid w:val="5F3C4C84"/>
    <w:rsid w:val="5F487ACD"/>
    <w:rsid w:val="5F64242D"/>
    <w:rsid w:val="5F93439A"/>
    <w:rsid w:val="5F995022"/>
    <w:rsid w:val="5F9D6642"/>
    <w:rsid w:val="5FAA6092"/>
    <w:rsid w:val="5FB7255D"/>
    <w:rsid w:val="5FB73AEF"/>
    <w:rsid w:val="5FD25F5F"/>
    <w:rsid w:val="5FE247F5"/>
    <w:rsid w:val="5FFC4413"/>
    <w:rsid w:val="5FFD4215"/>
    <w:rsid w:val="60163727"/>
    <w:rsid w:val="6018063D"/>
    <w:rsid w:val="60506858"/>
    <w:rsid w:val="606D5311"/>
    <w:rsid w:val="60805044"/>
    <w:rsid w:val="608C1246"/>
    <w:rsid w:val="60917251"/>
    <w:rsid w:val="60B60A66"/>
    <w:rsid w:val="60C43183"/>
    <w:rsid w:val="60C93845"/>
    <w:rsid w:val="60D809DC"/>
    <w:rsid w:val="612400C6"/>
    <w:rsid w:val="61370C95"/>
    <w:rsid w:val="61380774"/>
    <w:rsid w:val="61673475"/>
    <w:rsid w:val="616B35FF"/>
    <w:rsid w:val="616E7593"/>
    <w:rsid w:val="6192502F"/>
    <w:rsid w:val="61A12E05"/>
    <w:rsid w:val="61FA1C41"/>
    <w:rsid w:val="620A72BB"/>
    <w:rsid w:val="620D13F5"/>
    <w:rsid w:val="620E380F"/>
    <w:rsid w:val="62402CDD"/>
    <w:rsid w:val="62414A50"/>
    <w:rsid w:val="624C05D4"/>
    <w:rsid w:val="6250783A"/>
    <w:rsid w:val="62562501"/>
    <w:rsid w:val="62595B4D"/>
    <w:rsid w:val="625B18C5"/>
    <w:rsid w:val="626210FE"/>
    <w:rsid w:val="6280757E"/>
    <w:rsid w:val="628E6AEB"/>
    <w:rsid w:val="62A414BE"/>
    <w:rsid w:val="62C84A81"/>
    <w:rsid w:val="62D60F4C"/>
    <w:rsid w:val="62D81168"/>
    <w:rsid w:val="62EA2C49"/>
    <w:rsid w:val="62FC0898"/>
    <w:rsid w:val="63021763"/>
    <w:rsid w:val="630C0E11"/>
    <w:rsid w:val="630D7CD1"/>
    <w:rsid w:val="632945F8"/>
    <w:rsid w:val="634E31D8"/>
    <w:rsid w:val="63B3434A"/>
    <w:rsid w:val="63CE60C7"/>
    <w:rsid w:val="63D47B81"/>
    <w:rsid w:val="63E63410"/>
    <w:rsid w:val="63EE5208"/>
    <w:rsid w:val="640B2E77"/>
    <w:rsid w:val="641307EF"/>
    <w:rsid w:val="646A497D"/>
    <w:rsid w:val="64947310"/>
    <w:rsid w:val="64992B79"/>
    <w:rsid w:val="649F57CB"/>
    <w:rsid w:val="64A84B6A"/>
    <w:rsid w:val="64EE4C72"/>
    <w:rsid w:val="64F34037"/>
    <w:rsid w:val="65077AE2"/>
    <w:rsid w:val="65297AD2"/>
    <w:rsid w:val="65414339"/>
    <w:rsid w:val="655A0B79"/>
    <w:rsid w:val="655B398A"/>
    <w:rsid w:val="655D5954"/>
    <w:rsid w:val="655D7702"/>
    <w:rsid w:val="65936D6A"/>
    <w:rsid w:val="65953CD1"/>
    <w:rsid w:val="65C51AB0"/>
    <w:rsid w:val="65D255D6"/>
    <w:rsid w:val="65DD0843"/>
    <w:rsid w:val="65DF1753"/>
    <w:rsid w:val="65DF6369"/>
    <w:rsid w:val="65E52392"/>
    <w:rsid w:val="65E6594A"/>
    <w:rsid w:val="65EC181B"/>
    <w:rsid w:val="66291020"/>
    <w:rsid w:val="662D4ABF"/>
    <w:rsid w:val="662F2349"/>
    <w:rsid w:val="663A7A43"/>
    <w:rsid w:val="66636F9A"/>
    <w:rsid w:val="66650F64"/>
    <w:rsid w:val="66682803"/>
    <w:rsid w:val="668D2269"/>
    <w:rsid w:val="6694184A"/>
    <w:rsid w:val="66AB0941"/>
    <w:rsid w:val="66C043ED"/>
    <w:rsid w:val="67095D94"/>
    <w:rsid w:val="67220C03"/>
    <w:rsid w:val="67280181"/>
    <w:rsid w:val="6736152D"/>
    <w:rsid w:val="6736645D"/>
    <w:rsid w:val="67405D33"/>
    <w:rsid w:val="67535261"/>
    <w:rsid w:val="6764121C"/>
    <w:rsid w:val="67827100"/>
    <w:rsid w:val="67914B19"/>
    <w:rsid w:val="67B30841"/>
    <w:rsid w:val="67BF6452"/>
    <w:rsid w:val="67C47F0C"/>
    <w:rsid w:val="67DC0256"/>
    <w:rsid w:val="680430BC"/>
    <w:rsid w:val="681263A4"/>
    <w:rsid w:val="687B6E0D"/>
    <w:rsid w:val="688D02FE"/>
    <w:rsid w:val="68AD6BF3"/>
    <w:rsid w:val="68B50E78"/>
    <w:rsid w:val="68CF1BD1"/>
    <w:rsid w:val="68E3245D"/>
    <w:rsid w:val="68F01585"/>
    <w:rsid w:val="68F91E38"/>
    <w:rsid w:val="691314C2"/>
    <w:rsid w:val="69193166"/>
    <w:rsid w:val="691B3B5C"/>
    <w:rsid w:val="69216C99"/>
    <w:rsid w:val="6922138F"/>
    <w:rsid w:val="6923313C"/>
    <w:rsid w:val="694330B3"/>
    <w:rsid w:val="69472BA3"/>
    <w:rsid w:val="69482E3A"/>
    <w:rsid w:val="694B00EB"/>
    <w:rsid w:val="694B4177"/>
    <w:rsid w:val="69540E1C"/>
    <w:rsid w:val="69547784"/>
    <w:rsid w:val="69564B94"/>
    <w:rsid w:val="695A71C9"/>
    <w:rsid w:val="698A2A90"/>
    <w:rsid w:val="69935DE8"/>
    <w:rsid w:val="699C1AD0"/>
    <w:rsid w:val="69A578CA"/>
    <w:rsid w:val="69C52442"/>
    <w:rsid w:val="69CF3EED"/>
    <w:rsid w:val="69FA4EB0"/>
    <w:rsid w:val="6A1011E7"/>
    <w:rsid w:val="6A3C6480"/>
    <w:rsid w:val="6A415C03"/>
    <w:rsid w:val="6A575677"/>
    <w:rsid w:val="6A6872A3"/>
    <w:rsid w:val="6A7B1D86"/>
    <w:rsid w:val="6A7D1238"/>
    <w:rsid w:val="6A902328"/>
    <w:rsid w:val="6A914417"/>
    <w:rsid w:val="6AC83870"/>
    <w:rsid w:val="6AE2361C"/>
    <w:rsid w:val="6AEC7DCD"/>
    <w:rsid w:val="6AF64881"/>
    <w:rsid w:val="6AF91E48"/>
    <w:rsid w:val="6AFD711C"/>
    <w:rsid w:val="6B1540BF"/>
    <w:rsid w:val="6B2036AC"/>
    <w:rsid w:val="6B234D4D"/>
    <w:rsid w:val="6B2A62D8"/>
    <w:rsid w:val="6B2B3DFF"/>
    <w:rsid w:val="6B2C6D36"/>
    <w:rsid w:val="6B39651C"/>
    <w:rsid w:val="6B4145E2"/>
    <w:rsid w:val="6B4820C3"/>
    <w:rsid w:val="6B596175"/>
    <w:rsid w:val="6B5C79D9"/>
    <w:rsid w:val="6B7D0AFE"/>
    <w:rsid w:val="6B813E1D"/>
    <w:rsid w:val="6B841E8D"/>
    <w:rsid w:val="6BB83C0E"/>
    <w:rsid w:val="6BC90788"/>
    <w:rsid w:val="6BCF16A3"/>
    <w:rsid w:val="6BD34BC2"/>
    <w:rsid w:val="6BD44496"/>
    <w:rsid w:val="6BDF5315"/>
    <w:rsid w:val="6BFB1A23"/>
    <w:rsid w:val="6C0624A1"/>
    <w:rsid w:val="6C0A1EBF"/>
    <w:rsid w:val="6C0A7EB8"/>
    <w:rsid w:val="6C2B67AC"/>
    <w:rsid w:val="6C375151"/>
    <w:rsid w:val="6C4B29AA"/>
    <w:rsid w:val="6C5A4FAB"/>
    <w:rsid w:val="6C5A5B65"/>
    <w:rsid w:val="6C7F1300"/>
    <w:rsid w:val="6CB322FE"/>
    <w:rsid w:val="6CD504C6"/>
    <w:rsid w:val="6CFC5A53"/>
    <w:rsid w:val="6D036DE1"/>
    <w:rsid w:val="6D0B213A"/>
    <w:rsid w:val="6D3A0D36"/>
    <w:rsid w:val="6D6B5889"/>
    <w:rsid w:val="6D7E4B8F"/>
    <w:rsid w:val="6D8343C6"/>
    <w:rsid w:val="6D8707CD"/>
    <w:rsid w:val="6DB93944"/>
    <w:rsid w:val="6DC26C9C"/>
    <w:rsid w:val="6DE74955"/>
    <w:rsid w:val="6DF467E4"/>
    <w:rsid w:val="6DF5133D"/>
    <w:rsid w:val="6DF64B98"/>
    <w:rsid w:val="6E113780"/>
    <w:rsid w:val="6E11552E"/>
    <w:rsid w:val="6E1D0376"/>
    <w:rsid w:val="6E3B2CD7"/>
    <w:rsid w:val="6EB760D5"/>
    <w:rsid w:val="6EC26274"/>
    <w:rsid w:val="6EE23C40"/>
    <w:rsid w:val="6EED5F9B"/>
    <w:rsid w:val="6EF07839"/>
    <w:rsid w:val="6EFD40B5"/>
    <w:rsid w:val="6EFE3D04"/>
    <w:rsid w:val="6F094457"/>
    <w:rsid w:val="6F3B19E5"/>
    <w:rsid w:val="6F423858"/>
    <w:rsid w:val="6F82357D"/>
    <w:rsid w:val="6FBD3BBF"/>
    <w:rsid w:val="6FC22F83"/>
    <w:rsid w:val="6FC56BB6"/>
    <w:rsid w:val="6FC64075"/>
    <w:rsid w:val="6FD9332A"/>
    <w:rsid w:val="6FE86762"/>
    <w:rsid w:val="6FEA3D0F"/>
    <w:rsid w:val="6FFA03B4"/>
    <w:rsid w:val="70074E3A"/>
    <w:rsid w:val="701B388E"/>
    <w:rsid w:val="701D465E"/>
    <w:rsid w:val="703A6FBE"/>
    <w:rsid w:val="70453BB5"/>
    <w:rsid w:val="70490941"/>
    <w:rsid w:val="704E7777"/>
    <w:rsid w:val="70691651"/>
    <w:rsid w:val="706933FF"/>
    <w:rsid w:val="707372A5"/>
    <w:rsid w:val="708A15C7"/>
    <w:rsid w:val="70D54F38"/>
    <w:rsid w:val="70EB6D00"/>
    <w:rsid w:val="70ED70CB"/>
    <w:rsid w:val="7101304E"/>
    <w:rsid w:val="710475CC"/>
    <w:rsid w:val="71063344"/>
    <w:rsid w:val="710F044A"/>
    <w:rsid w:val="711054CC"/>
    <w:rsid w:val="712A5284"/>
    <w:rsid w:val="714F74BF"/>
    <w:rsid w:val="71687ABE"/>
    <w:rsid w:val="71710E2B"/>
    <w:rsid w:val="71713B40"/>
    <w:rsid w:val="718129CA"/>
    <w:rsid w:val="71873565"/>
    <w:rsid w:val="719D061C"/>
    <w:rsid w:val="71A35864"/>
    <w:rsid w:val="71AD28EC"/>
    <w:rsid w:val="71CC1E85"/>
    <w:rsid w:val="71E72371"/>
    <w:rsid w:val="720553A9"/>
    <w:rsid w:val="7232041A"/>
    <w:rsid w:val="726522EC"/>
    <w:rsid w:val="72B3123B"/>
    <w:rsid w:val="72BA6194"/>
    <w:rsid w:val="72BD11C8"/>
    <w:rsid w:val="72D548F7"/>
    <w:rsid w:val="72E25D91"/>
    <w:rsid w:val="72E74AAF"/>
    <w:rsid w:val="72E94CCB"/>
    <w:rsid w:val="72F71196"/>
    <w:rsid w:val="7302449E"/>
    <w:rsid w:val="73130E5A"/>
    <w:rsid w:val="731F4F1F"/>
    <w:rsid w:val="73277553"/>
    <w:rsid w:val="732E6B82"/>
    <w:rsid w:val="73334198"/>
    <w:rsid w:val="734B14E2"/>
    <w:rsid w:val="734D4A36"/>
    <w:rsid w:val="735B1865"/>
    <w:rsid w:val="73660A9B"/>
    <w:rsid w:val="738B5C9F"/>
    <w:rsid w:val="738D272C"/>
    <w:rsid w:val="73902015"/>
    <w:rsid w:val="73963495"/>
    <w:rsid w:val="73A10D2D"/>
    <w:rsid w:val="73AA6208"/>
    <w:rsid w:val="73B12917"/>
    <w:rsid w:val="73F27BAF"/>
    <w:rsid w:val="73FC4AB5"/>
    <w:rsid w:val="743326A2"/>
    <w:rsid w:val="74381A66"/>
    <w:rsid w:val="745B7A81"/>
    <w:rsid w:val="74602D6B"/>
    <w:rsid w:val="746A144B"/>
    <w:rsid w:val="747E1101"/>
    <w:rsid w:val="74806364"/>
    <w:rsid w:val="74A37973"/>
    <w:rsid w:val="74AA4330"/>
    <w:rsid w:val="74B95BC7"/>
    <w:rsid w:val="74DE053D"/>
    <w:rsid w:val="74EB0BF3"/>
    <w:rsid w:val="750E6C6B"/>
    <w:rsid w:val="75175B20"/>
    <w:rsid w:val="752C5615"/>
    <w:rsid w:val="75355FA6"/>
    <w:rsid w:val="754101D4"/>
    <w:rsid w:val="754C4C49"/>
    <w:rsid w:val="755F1275"/>
    <w:rsid w:val="75671722"/>
    <w:rsid w:val="75680129"/>
    <w:rsid w:val="756D1BE3"/>
    <w:rsid w:val="75703482"/>
    <w:rsid w:val="75854C2F"/>
    <w:rsid w:val="758D46EB"/>
    <w:rsid w:val="75A1188D"/>
    <w:rsid w:val="75A56BB9"/>
    <w:rsid w:val="75BA294F"/>
    <w:rsid w:val="75EA3234"/>
    <w:rsid w:val="760A0A74"/>
    <w:rsid w:val="760B2304"/>
    <w:rsid w:val="763B583E"/>
    <w:rsid w:val="76544F52"/>
    <w:rsid w:val="76AE6010"/>
    <w:rsid w:val="76C021E7"/>
    <w:rsid w:val="76C92E49"/>
    <w:rsid w:val="76DD68F5"/>
    <w:rsid w:val="76EC08E6"/>
    <w:rsid w:val="76F86756"/>
    <w:rsid w:val="7731279D"/>
    <w:rsid w:val="77315C25"/>
    <w:rsid w:val="773418AC"/>
    <w:rsid w:val="773B7C6A"/>
    <w:rsid w:val="773E27E4"/>
    <w:rsid w:val="77640DC4"/>
    <w:rsid w:val="776D41EB"/>
    <w:rsid w:val="77776BCA"/>
    <w:rsid w:val="777F5BFE"/>
    <w:rsid w:val="77C61D92"/>
    <w:rsid w:val="77CA5397"/>
    <w:rsid w:val="77D91CD4"/>
    <w:rsid w:val="77DF156A"/>
    <w:rsid w:val="77E65C7D"/>
    <w:rsid w:val="781241AC"/>
    <w:rsid w:val="782A74C7"/>
    <w:rsid w:val="782C253B"/>
    <w:rsid w:val="78306EF8"/>
    <w:rsid w:val="783C589D"/>
    <w:rsid w:val="784663F3"/>
    <w:rsid w:val="785573E0"/>
    <w:rsid w:val="78695177"/>
    <w:rsid w:val="787E346E"/>
    <w:rsid w:val="78801C2E"/>
    <w:rsid w:val="78843953"/>
    <w:rsid w:val="7891516A"/>
    <w:rsid w:val="78A45DF1"/>
    <w:rsid w:val="78A811EC"/>
    <w:rsid w:val="78AA7474"/>
    <w:rsid w:val="78D22F19"/>
    <w:rsid w:val="78D4396D"/>
    <w:rsid w:val="78E6547C"/>
    <w:rsid w:val="79020895"/>
    <w:rsid w:val="7906346F"/>
    <w:rsid w:val="791413A5"/>
    <w:rsid w:val="791B3704"/>
    <w:rsid w:val="7920024A"/>
    <w:rsid w:val="792265D2"/>
    <w:rsid w:val="792A3948"/>
    <w:rsid w:val="793D367B"/>
    <w:rsid w:val="794E1260"/>
    <w:rsid w:val="795C61F7"/>
    <w:rsid w:val="796727BD"/>
    <w:rsid w:val="79694039"/>
    <w:rsid w:val="79797DE9"/>
    <w:rsid w:val="79AE1580"/>
    <w:rsid w:val="79C67B14"/>
    <w:rsid w:val="79D833A4"/>
    <w:rsid w:val="79E85CDC"/>
    <w:rsid w:val="79F93A46"/>
    <w:rsid w:val="7A044199"/>
    <w:rsid w:val="7A0A1954"/>
    <w:rsid w:val="7A3A5E0C"/>
    <w:rsid w:val="7A3E3B4E"/>
    <w:rsid w:val="7A50522C"/>
    <w:rsid w:val="7A6335B5"/>
    <w:rsid w:val="7A6E0921"/>
    <w:rsid w:val="7A9C2623"/>
    <w:rsid w:val="7AA32E3A"/>
    <w:rsid w:val="7ABA2583"/>
    <w:rsid w:val="7AF6596A"/>
    <w:rsid w:val="7AFE2912"/>
    <w:rsid w:val="7B0E14C5"/>
    <w:rsid w:val="7B205002"/>
    <w:rsid w:val="7B270806"/>
    <w:rsid w:val="7B2C6071"/>
    <w:rsid w:val="7B2F1799"/>
    <w:rsid w:val="7B364826"/>
    <w:rsid w:val="7B4C229B"/>
    <w:rsid w:val="7B694BFB"/>
    <w:rsid w:val="7B75534E"/>
    <w:rsid w:val="7B762E74"/>
    <w:rsid w:val="7B89704B"/>
    <w:rsid w:val="7BC167E5"/>
    <w:rsid w:val="7BCC20B9"/>
    <w:rsid w:val="7C0B51B3"/>
    <w:rsid w:val="7C134B67"/>
    <w:rsid w:val="7C18217D"/>
    <w:rsid w:val="7C26752C"/>
    <w:rsid w:val="7C27765C"/>
    <w:rsid w:val="7C417926"/>
    <w:rsid w:val="7C6A0C2B"/>
    <w:rsid w:val="7C6D24C9"/>
    <w:rsid w:val="7C7575D0"/>
    <w:rsid w:val="7C7A4BE6"/>
    <w:rsid w:val="7C831CEC"/>
    <w:rsid w:val="7C8E2A19"/>
    <w:rsid w:val="7C9B417F"/>
    <w:rsid w:val="7CB00608"/>
    <w:rsid w:val="7CBB76D8"/>
    <w:rsid w:val="7CD6006E"/>
    <w:rsid w:val="7CD74885"/>
    <w:rsid w:val="7CE47AB2"/>
    <w:rsid w:val="7CF60157"/>
    <w:rsid w:val="7CF64F6C"/>
    <w:rsid w:val="7D012C11"/>
    <w:rsid w:val="7D172CCD"/>
    <w:rsid w:val="7D2012E9"/>
    <w:rsid w:val="7D2D3A06"/>
    <w:rsid w:val="7D3A16E9"/>
    <w:rsid w:val="7D4551F4"/>
    <w:rsid w:val="7D717D97"/>
    <w:rsid w:val="7D9F66B2"/>
    <w:rsid w:val="7DA95783"/>
    <w:rsid w:val="7DB06B11"/>
    <w:rsid w:val="7DB67EC7"/>
    <w:rsid w:val="7DC4191F"/>
    <w:rsid w:val="7DC94B90"/>
    <w:rsid w:val="7DE23D11"/>
    <w:rsid w:val="7DEF35CD"/>
    <w:rsid w:val="7DF674AC"/>
    <w:rsid w:val="7DF85062"/>
    <w:rsid w:val="7DFC3B04"/>
    <w:rsid w:val="7E042BB0"/>
    <w:rsid w:val="7E121712"/>
    <w:rsid w:val="7E462FD2"/>
    <w:rsid w:val="7E4D63EE"/>
    <w:rsid w:val="7E4E04C2"/>
    <w:rsid w:val="7E5356EF"/>
    <w:rsid w:val="7E5C45A3"/>
    <w:rsid w:val="7E663674"/>
    <w:rsid w:val="7E7062A0"/>
    <w:rsid w:val="7E8A490B"/>
    <w:rsid w:val="7E951838"/>
    <w:rsid w:val="7EE03426"/>
    <w:rsid w:val="7EE34CC4"/>
    <w:rsid w:val="7EF53812"/>
    <w:rsid w:val="7EF80581"/>
    <w:rsid w:val="7EFF5614"/>
    <w:rsid w:val="7F1D01D6"/>
    <w:rsid w:val="7F2151A4"/>
    <w:rsid w:val="7F2333F9"/>
    <w:rsid w:val="7F235D0D"/>
    <w:rsid w:val="7F271055"/>
    <w:rsid w:val="7F444186"/>
    <w:rsid w:val="7F686F78"/>
    <w:rsid w:val="7F74612B"/>
    <w:rsid w:val="7F7973D7"/>
    <w:rsid w:val="7F853FCE"/>
    <w:rsid w:val="7F983D01"/>
    <w:rsid w:val="7FD728F7"/>
    <w:rsid w:val="7FDA7E75"/>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宋体"/>
      <w:b/>
      <w:kern w:val="0"/>
      <w:sz w:val="28"/>
      <w:szCs w:val="20"/>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宋体"/>
      <w:b/>
      <w:bCs/>
      <w:sz w:val="21"/>
      <w:szCs w:val="28"/>
    </w:rPr>
  </w:style>
  <w:style w:type="paragraph" w:styleId="6">
    <w:name w:val="heading 5"/>
    <w:basedOn w:val="1"/>
    <w:next w:val="1"/>
    <w:autoRedefine/>
    <w:qFormat/>
    <w:uiPriority w:val="0"/>
    <w:pPr>
      <w:keepNext/>
      <w:keepLines/>
      <w:spacing w:before="280" w:beforeLines="0" w:after="290" w:afterLines="0" w:line="372" w:lineRule="auto"/>
      <w:outlineLvl w:val="4"/>
    </w:pPr>
    <w:rPr>
      <w:b/>
      <w:bCs/>
      <w:sz w:val="28"/>
      <w:szCs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8"/>
    <w:autoRedefine/>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autoRedefine/>
    <w:qFormat/>
    <w:uiPriority w:val="99"/>
    <w:pPr>
      <w:jc w:val="left"/>
    </w:pPr>
  </w:style>
  <w:style w:type="paragraph" w:styleId="10">
    <w:name w:val="Body Text"/>
    <w:basedOn w:val="1"/>
    <w:autoRedefine/>
    <w:qFormat/>
    <w:uiPriority w:val="0"/>
    <w:pPr>
      <w:tabs>
        <w:tab w:val="left" w:pos="567"/>
      </w:tabs>
      <w:spacing w:before="120" w:line="22" w:lineRule="atLeast"/>
    </w:pPr>
    <w:rPr>
      <w:rFonts w:ascii="宋体" w:hAnsi="宋体"/>
      <w:sz w:val="24"/>
    </w:rPr>
  </w:style>
  <w:style w:type="paragraph" w:styleId="11">
    <w:name w:val="Body Text Indent"/>
    <w:basedOn w:val="1"/>
    <w:next w:val="1"/>
    <w:qFormat/>
    <w:uiPriority w:val="0"/>
    <w:pPr>
      <w:spacing w:line="360" w:lineRule="auto"/>
      <w:ind w:firstLine="570"/>
    </w:pPr>
    <w:rPr>
      <w:sz w:val="24"/>
    </w:rPr>
  </w:style>
  <w:style w:type="paragraph" w:styleId="12">
    <w:name w:val="Plain Text"/>
    <w:basedOn w:val="1"/>
    <w:next w:val="13"/>
    <w:qFormat/>
    <w:uiPriority w:val="0"/>
    <w:rPr>
      <w:rFonts w:ascii="宋体" w:hAnsi="Courier New"/>
      <w:szCs w:val="20"/>
    </w:rPr>
  </w:style>
  <w:style w:type="paragraph" w:styleId="13">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4">
    <w:name w:val="Body Text Indent 2"/>
    <w:basedOn w:val="1"/>
    <w:autoRedefine/>
    <w:qFormat/>
    <w:uiPriority w:val="0"/>
    <w:pPr>
      <w:ind w:firstLine="480" w:firstLineChars="200"/>
    </w:pPr>
    <w:rPr>
      <w:rFonts w:ascii="仿宋_GB2312" w:eastAsia="仿宋_GB2312"/>
      <w:sz w:val="24"/>
    </w:rPr>
  </w:style>
  <w:style w:type="paragraph" w:styleId="15">
    <w:name w:val="footer"/>
    <w:basedOn w:val="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6">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footnote text"/>
    <w:basedOn w:val="1"/>
    <w:next w:val="10"/>
    <w:autoRedefine/>
    <w:qFormat/>
    <w:uiPriority w:val="0"/>
    <w:pPr>
      <w:snapToGrid w:val="0"/>
      <w:jc w:val="left"/>
    </w:pPr>
    <w:rPr>
      <w:sz w:val="18"/>
    </w:rPr>
  </w:style>
  <w:style w:type="paragraph" w:styleId="19">
    <w:name w:val="index 7"/>
    <w:basedOn w:val="1"/>
    <w:next w:val="1"/>
    <w:unhideWhenUsed/>
    <w:qFormat/>
    <w:uiPriority w:val="0"/>
    <w:pPr>
      <w:adjustRightInd w:val="0"/>
      <w:spacing w:beforeLines="0" w:afterLines="0" w:line="315" w:lineRule="atLeast"/>
      <w:ind w:left="2520"/>
      <w:jc w:val="left"/>
      <w:textAlignment w:val="baseline"/>
    </w:pPr>
    <w:rPr>
      <w:rFonts w:hint="eastAsia" w:ascii="宋体"/>
      <w:kern w:val="0"/>
      <w:sz w:val="21"/>
    </w:rPr>
  </w:style>
  <w:style w:type="paragraph" w:styleId="20">
    <w:name w:val="toc 2"/>
    <w:basedOn w:val="1"/>
    <w:next w:val="1"/>
    <w:qFormat/>
    <w:uiPriority w:val="0"/>
    <w:pPr>
      <w:ind w:left="420" w:leftChars="200"/>
    </w:pPr>
  </w:style>
  <w:style w:type="paragraph" w:styleId="21">
    <w:name w:val="Normal (Web)"/>
    <w:basedOn w:val="1"/>
    <w:next w:val="22"/>
    <w:autoRedefine/>
    <w:qFormat/>
    <w:uiPriority w:val="99"/>
    <w:pPr>
      <w:widowControl/>
      <w:jc w:val="left"/>
    </w:pPr>
    <w:rPr>
      <w:rFonts w:ascii="宋体" w:hAnsi="宋体" w:cs="宋体"/>
      <w:kern w:val="0"/>
      <w:sz w:val="24"/>
      <w:szCs w:val="24"/>
    </w:rPr>
  </w:style>
  <w:style w:type="paragraph" w:customStyle="1" w:styleId="22">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23">
    <w:name w:val="Body Text First Indent"/>
    <w:basedOn w:val="10"/>
    <w:autoRedefine/>
    <w:unhideWhenUsed/>
    <w:qFormat/>
    <w:uiPriority w:val="99"/>
    <w:pPr>
      <w:ind w:firstLine="420" w:firstLineChars="100"/>
    </w:pPr>
  </w:style>
  <w:style w:type="paragraph" w:styleId="24">
    <w:name w:val="Body Text First Indent 2"/>
    <w:basedOn w:val="11"/>
    <w:next w:val="23"/>
    <w:autoRedefine/>
    <w:unhideWhenUsed/>
    <w:qFormat/>
    <w:uiPriority w:val="99"/>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paragraph" w:customStyle="1" w:styleId="29">
    <w:name w:val="表格文字"/>
    <w:basedOn w:val="1"/>
    <w:next w:val="10"/>
    <w:autoRedefine/>
    <w:qFormat/>
    <w:uiPriority w:val="0"/>
    <w:pPr>
      <w:spacing w:before="25" w:after="25"/>
      <w:jc w:val="left"/>
    </w:pPr>
    <w:rPr>
      <w:bCs/>
      <w:spacing w:val="10"/>
      <w:kern w:val="0"/>
      <w:sz w:val="24"/>
      <w:szCs w:val="20"/>
    </w:rPr>
  </w:style>
  <w:style w:type="paragraph" w:customStyle="1" w:styleId="30">
    <w:name w:val="Default"/>
    <w:next w:val="19"/>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1">
    <w:name w:val="列出段落1"/>
    <w:basedOn w:val="1"/>
    <w:autoRedefine/>
    <w:qFormat/>
    <w:uiPriority w:val="99"/>
    <w:pPr>
      <w:ind w:firstLine="420" w:firstLineChars="200"/>
    </w:pPr>
  </w:style>
  <w:style w:type="paragraph" w:customStyle="1" w:styleId="32">
    <w:name w:val="_Style 1"/>
    <w:qFormat/>
    <w:uiPriority w:val="99"/>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character" w:customStyle="1" w:styleId="33">
    <w:name w:val="NormalCharacter"/>
    <w:autoRedefine/>
    <w:semiHidden/>
    <w:qFormat/>
    <w:uiPriority w:val="0"/>
  </w:style>
  <w:style w:type="paragraph" w:customStyle="1" w:styleId="34">
    <w:name w:val="WPSOffice手动目录 1"/>
    <w:autoRedefine/>
    <w:qFormat/>
    <w:uiPriority w:val="0"/>
    <w:pPr>
      <w:ind w:leftChars="0"/>
    </w:pPr>
    <w:rPr>
      <w:rFonts w:ascii="Times New Roman" w:hAnsi="Times New Roman" w:eastAsia="宋体" w:cs="Times New Roman"/>
      <w:sz w:val="20"/>
      <w:szCs w:val="20"/>
    </w:rPr>
  </w:style>
  <w:style w:type="paragraph" w:customStyle="1" w:styleId="35">
    <w:name w:val="WPSOffice手动目录 2"/>
    <w:autoRedefine/>
    <w:qFormat/>
    <w:uiPriority w:val="0"/>
    <w:pPr>
      <w:ind w:leftChars="200"/>
    </w:pPr>
    <w:rPr>
      <w:rFonts w:ascii="Times New Roman" w:hAnsi="Times New Roman" w:eastAsia="宋体" w:cs="Times New Roman"/>
      <w:sz w:val="20"/>
      <w:szCs w:val="20"/>
    </w:rPr>
  </w:style>
  <w:style w:type="paragraph" w:customStyle="1" w:styleId="36">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szCs w:val="20"/>
      <w:lang w:bidi="ar-SA"/>
    </w:rPr>
  </w:style>
  <w:style w:type="paragraph" w:customStyle="1" w:styleId="37">
    <w:name w:val="样式 标题 3 + (中文) 黑体 小四 非加粗 段前: 7.8 磅 段后: 0 磅 行距: 固定值 20 磅"/>
    <w:basedOn w:val="4"/>
    <w:autoRedefine/>
    <w:qFormat/>
    <w:uiPriority w:val="0"/>
    <w:pPr>
      <w:spacing w:before="0" w:after="0" w:line="400" w:lineRule="exact"/>
    </w:pPr>
    <w:rPr>
      <w:rFonts w:eastAsia="黑体" w:cs="宋体"/>
      <w:b w:val="0"/>
      <w:sz w:val="24"/>
      <w:szCs w:val="20"/>
      <w:lang w:bidi="ar-SA"/>
    </w:rPr>
  </w:style>
  <w:style w:type="paragraph" w:customStyle="1" w:styleId="38">
    <w:name w:val="缺省文本"/>
    <w:autoRedefine/>
    <w:qFormat/>
    <w:uiPriority w:val="99"/>
    <w:pPr>
      <w:widowControl w:val="0"/>
      <w:autoSpaceDE w:val="0"/>
      <w:autoSpaceDN w:val="0"/>
      <w:adjustRightInd w:val="0"/>
    </w:pPr>
    <w:rPr>
      <w:rFonts w:ascii="Calibri" w:hAnsi="Calibri" w:eastAsia="宋体" w:cs="Times New Roman"/>
      <w:color w:val="000000"/>
      <w:szCs w:val="24"/>
      <w:lang w:val="en-US" w:eastAsia="zh-CN" w:bidi="ar-SA"/>
    </w:rPr>
  </w:style>
  <w:style w:type="paragraph" w:styleId="39">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40">
    <w:name w:val="Table Paragraph"/>
    <w:basedOn w:val="1"/>
    <w:autoRedefine/>
    <w:qFormat/>
    <w:uiPriority w:val="1"/>
    <w:rPr>
      <w:rFonts w:ascii="仿宋" w:hAnsi="仿宋" w:eastAsia="仿宋" w:cs="仿宋"/>
      <w:lang w:val="zh-CN" w:eastAsia="zh-CN" w:bidi="zh-CN"/>
    </w:rPr>
  </w:style>
  <w:style w:type="paragraph" w:customStyle="1" w:styleId="41">
    <w:name w:val="WPS Plain"/>
    <w:autoRedefine/>
    <w:qFormat/>
    <w:uiPriority w:val="0"/>
    <w:rPr>
      <w:rFonts w:ascii="Times New Roman" w:hAnsi="Times New Roman" w:eastAsia="宋体" w:cs="Times New Roman"/>
      <w:lang w:val="en-US" w:eastAsia="zh-CN" w:bidi="ar-SA"/>
    </w:rPr>
  </w:style>
  <w:style w:type="paragraph" w:customStyle="1" w:styleId="42">
    <w:name w:val="Main Title"/>
    <w:next w:val="1"/>
    <w:autoRedefine/>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43">
    <w:name w:val="附件标题1"/>
    <w:next w:val="1"/>
    <w:qFormat/>
    <w:uiPriority w:val="0"/>
    <w:pPr>
      <w:numPr>
        <w:ilvl w:val="0"/>
        <w:numId w:val="1"/>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44">
    <w:name w:val="TOC 标题2"/>
    <w:basedOn w:val="2"/>
    <w:next w:val="1"/>
    <w:qFormat/>
    <w:uiPriority w:val="0"/>
    <w:pPr>
      <w:keepNext/>
      <w:keepLines/>
      <w:widowControl w:val="0"/>
      <w:adjustRightInd/>
      <w:snapToGrid/>
      <w:spacing w:before="260" w:after="260" w:line="413" w:lineRule="auto"/>
    </w:pPr>
    <w:rPr>
      <w:rFonts w:ascii="宋体" w:hAnsi="宋体" w:eastAsia="宋体" w:cs="Times New Roman"/>
      <w:bCs/>
      <w:sz w:val="36"/>
      <w:szCs w:val="44"/>
      <w:lang w:val="zh-CN"/>
    </w:rPr>
  </w:style>
  <w:style w:type="paragraph" w:customStyle="1" w:styleId="45">
    <w:name w:val="协议书标题2"/>
    <w:basedOn w:val="3"/>
    <w:next w:val="1"/>
    <w:qFormat/>
    <w:uiPriority w:val="0"/>
    <w:pPr>
      <w:keepNext w:val="0"/>
      <w:keepLines w:val="0"/>
      <w:numPr>
        <w:ilvl w:val="0"/>
        <w:numId w:val="2"/>
      </w:numPr>
      <w:tabs>
        <w:tab w:val="left" w:pos="567"/>
      </w:tabs>
      <w:spacing w:line="360" w:lineRule="auto"/>
      <w:ind w:firstLine="0" w:firstLineChars="0"/>
      <w:jc w:val="left"/>
    </w:pPr>
    <w:rPr>
      <w:rFonts w:ascii="宋体" w:hAnsi="宋体" w:eastAsia="宋体"/>
      <w:sz w:val="24"/>
    </w:rPr>
  </w:style>
  <w:style w:type="paragraph" w:customStyle="1" w:styleId="46">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47">
    <w:name w:val="通用标题2"/>
    <w:basedOn w:val="3"/>
    <w:next w:val="1"/>
    <w:autoRedefine/>
    <w:qFormat/>
    <w:uiPriority w:val="0"/>
    <w:pPr>
      <w:keepNext w:val="0"/>
      <w:keepLines w:val="0"/>
      <w:numPr>
        <w:ilvl w:val="0"/>
        <w:numId w:val="3"/>
      </w:numPr>
      <w:tabs>
        <w:tab w:val="left" w:pos="993"/>
      </w:tabs>
      <w:spacing w:line="360" w:lineRule="auto"/>
      <w:ind w:firstLineChars="0"/>
    </w:pPr>
    <w:rPr>
      <w:rFonts w:ascii="黑体" w:hAnsi="黑体"/>
    </w:rPr>
  </w:style>
  <w:style w:type="paragraph" w:customStyle="1" w:styleId="48">
    <w:name w:val="通用标题3"/>
    <w:next w:val="1"/>
    <w:qFormat/>
    <w:uiPriority w:val="0"/>
    <w:pPr>
      <w:widowControl w:val="0"/>
      <w:numPr>
        <w:ilvl w:val="1"/>
        <w:numId w:val="4"/>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49">
    <w:name w:val="通用标题4"/>
    <w:next w:val="1"/>
    <w:qFormat/>
    <w:uiPriority w:val="0"/>
    <w:pPr>
      <w:numPr>
        <w:ilvl w:val="2"/>
        <w:numId w:val="4"/>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50">
    <w:name w:val="通用标题5"/>
    <w:qFormat/>
    <w:uiPriority w:val="0"/>
    <w:pPr>
      <w:widowControl w:val="0"/>
      <w:numPr>
        <w:ilvl w:val="3"/>
        <w:numId w:val="4"/>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51">
    <w:name w:val="通用标题6"/>
    <w:basedOn w:val="1"/>
    <w:qFormat/>
    <w:uiPriority w:val="0"/>
    <w:pPr>
      <w:numPr>
        <w:ilvl w:val="4"/>
        <w:numId w:val="5"/>
      </w:numPr>
      <w:tabs>
        <w:tab w:val="left" w:pos="993"/>
      </w:tabs>
      <w:wordWrap/>
      <w:topLinePunct w:val="0"/>
      <w:ind w:firstLine="0" w:firstLineChars="0"/>
    </w:pPr>
  </w:style>
  <w:style w:type="paragraph" w:customStyle="1" w:styleId="52">
    <w:name w:val="专用标题2"/>
    <w:basedOn w:val="3"/>
    <w:next w:val="1"/>
    <w:autoRedefine/>
    <w:qFormat/>
    <w:uiPriority w:val="0"/>
    <w:pPr>
      <w:keepNext w:val="0"/>
      <w:keepLines w:val="0"/>
      <w:tabs>
        <w:tab w:val="left" w:pos="993"/>
      </w:tabs>
      <w:wordWrap/>
      <w:topLinePunct w:val="0"/>
      <w:spacing w:line="360" w:lineRule="auto"/>
      <w:ind w:firstLine="0" w:firstLineChars="0"/>
    </w:pPr>
    <w:rPr>
      <w:rFonts w:ascii="宋体" w:hAnsi="宋体" w:eastAsia="宋体" w:cs="Times"/>
    </w:rPr>
  </w:style>
  <w:style w:type="paragraph" w:customStyle="1" w:styleId="53">
    <w:name w:val="附件标题"/>
    <w:basedOn w:val="3"/>
    <w:next w:val="1"/>
    <w:qFormat/>
    <w:uiPriority w:val="0"/>
    <w:pPr>
      <w:numPr>
        <w:ilvl w:val="0"/>
        <w:numId w:val="6"/>
      </w:numPr>
      <w:tabs>
        <w:tab w:val="left" w:pos="1134"/>
      </w:tabs>
      <w:spacing w:line="360" w:lineRule="auto"/>
      <w:ind w:firstLine="0" w:firstLineChars="0"/>
      <w:jc w:val="center"/>
    </w:pPr>
    <w:rPr>
      <w:rFonts w:ascii="黑体" w:hAnsi="黑体"/>
      <w:sz w:val="30"/>
      <w:szCs w:val="30"/>
    </w:rPr>
  </w:style>
  <w:style w:type="paragraph" w:customStyle="1" w:styleId="54">
    <w:name w:val="页脚_3"/>
    <w:basedOn w:val="55"/>
    <w:semiHidden/>
    <w:qFormat/>
    <w:uiPriority w:val="0"/>
    <w:pPr>
      <w:snapToGrid w:val="0"/>
      <w:jc w:val="left"/>
    </w:pPr>
    <w:rPr>
      <w:rFonts w:ascii="Times New Roman" w:hAnsi="Times New Roman" w:eastAsia="宋体"/>
      <w:sz w:val="18"/>
      <w:szCs w:val="18"/>
    </w:rPr>
  </w:style>
  <w:style w:type="paragraph" w:customStyle="1" w:styleId="55">
    <w:name w:val="正文_6_0_0"/>
    <w:basedOn w:val="56"/>
    <w:next w:val="54"/>
    <w:qFormat/>
    <w:uiPriority w:val="0"/>
    <w:rPr>
      <w:rFonts w:ascii="Times New Roman" w:hAnsi="Times New Roman" w:eastAsia="宋体"/>
      <w:szCs w:val="21"/>
    </w:rPr>
  </w:style>
  <w:style w:type="paragraph" w:customStyle="1" w:styleId="5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Table Text"/>
    <w:basedOn w:val="1"/>
    <w:semiHidden/>
    <w:qFormat/>
    <w:uiPriority w:val="0"/>
    <w:rPr>
      <w:rFonts w:ascii="仿宋" w:hAnsi="仿宋" w:eastAsia="仿宋" w:cs="仿宋"/>
      <w:sz w:val="20"/>
      <w:szCs w:val="20"/>
      <w:lang w:val="en-US" w:eastAsia="en-US" w:bidi="ar-SA"/>
    </w:rPr>
  </w:style>
  <w:style w:type="table" w:customStyle="1" w:styleId="58">
    <w:name w:val="Table Normal"/>
    <w:semiHidden/>
    <w:unhideWhenUsed/>
    <w:qFormat/>
    <w:uiPriority w:val="0"/>
    <w:tblPr>
      <w:tblCellMar>
        <w:top w:w="0" w:type="dxa"/>
        <w:left w:w="0" w:type="dxa"/>
        <w:bottom w:w="0" w:type="dxa"/>
        <w:right w:w="0" w:type="dxa"/>
      </w:tblCellMar>
    </w:tblPr>
  </w:style>
  <w:style w:type="paragraph" w:customStyle="1" w:styleId="59">
    <w:name w:val="正文缩进11"/>
    <w:basedOn w:val="1"/>
    <w:qFormat/>
    <w:uiPriority w:val="0"/>
    <w:pPr>
      <w:autoSpaceDE w:val="0"/>
      <w:autoSpaceDN w:val="0"/>
      <w:ind w:firstLine="420"/>
      <w:jc w:val="left"/>
    </w:pPr>
    <w:rPr>
      <w:rFonts w:ascii="宋体"/>
      <w:kern w:val="0"/>
      <w:sz w:val="24"/>
      <w:szCs w:val="20"/>
    </w:rPr>
  </w:style>
  <w:style w:type="paragraph" w:customStyle="1" w:styleId="60">
    <w:name w:val="正文文本1"/>
    <w:basedOn w:val="1"/>
    <w:qFormat/>
    <w:uiPriority w:val="0"/>
    <w:pPr>
      <w:tabs>
        <w:tab w:val="left" w:pos="567"/>
      </w:tabs>
      <w:spacing w:before="120" w:line="22" w:lineRule="atLeast"/>
    </w:pPr>
    <w:rPr>
      <w:rFonts w:ascii="宋体" w:hAnsi="宋体"/>
      <w:sz w:val="24"/>
    </w:rPr>
  </w:style>
  <w:style w:type="paragraph" w:customStyle="1" w:styleId="61">
    <w:name w:val="页脚1"/>
    <w:basedOn w:val="1"/>
    <w:qFormat/>
    <w:uiPriority w:val="0"/>
    <w:pPr>
      <w:tabs>
        <w:tab w:val="center" w:pos="4153"/>
        <w:tab w:val="right" w:pos="8306"/>
      </w:tabs>
      <w:autoSpaceDE w:val="0"/>
      <w:autoSpaceDN w:val="0"/>
      <w:snapToGrid w:val="0"/>
      <w:jc w:val="left"/>
    </w:pPr>
    <w:rPr>
      <w:rFonts w:ascii="宋体"/>
      <w:kern w:val="0"/>
      <w:sz w:val="18"/>
      <w:szCs w:val="20"/>
    </w:rPr>
  </w:style>
  <w:style w:type="paragraph" w:customStyle="1" w:styleId="62">
    <w:name w:val="脚注文本1"/>
    <w:basedOn w:val="1"/>
    <w:qFormat/>
    <w:uiPriority w:val="0"/>
    <w:pPr>
      <w:snapToGrid w:val="0"/>
      <w:jc w:val="left"/>
    </w:pPr>
    <w:rPr>
      <w:sz w:val="18"/>
    </w:rPr>
  </w:style>
  <w:style w:type="paragraph" w:customStyle="1" w:styleId="63">
    <w:name w:val="列表1"/>
    <w:basedOn w:val="1"/>
    <w:qFormat/>
    <w:uiPriority w:val="0"/>
    <w:pPr>
      <w:ind w:left="200" w:hanging="200" w:hangingChars="200"/>
      <w:jc w:val="both"/>
    </w:pPr>
    <w:rPr>
      <w:rFonts w:ascii="Times New Roman" w:hAnsi="Times New Roman"/>
      <w:kern w:val="2"/>
      <w:sz w:val="21"/>
      <w:szCs w:val="20"/>
      <w:lang w:eastAsia="zh-CN"/>
    </w:rPr>
  </w:style>
  <w:style w:type="paragraph" w:styleId="64">
    <w:name w:val="List Paragraph"/>
    <w:basedOn w:val="1"/>
    <w:qFormat/>
    <w:uiPriority w:val="0"/>
    <w:pPr>
      <w:spacing w:before="81"/>
      <w:ind w:left="907" w:hanging="680"/>
    </w:pPr>
    <w:rPr>
      <w:rFonts w:ascii="宋体" w:hAnsi="宋体" w:eastAsia="宋体"/>
      <w:lang w:val="zh-CN" w:eastAsia="zh-CN" w:bidi="zh-CN"/>
    </w:rPr>
  </w:style>
  <w:style w:type="paragraph" w:customStyle="1" w:styleId="65">
    <w:name w:val="纯文本11"/>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18441</Words>
  <Characters>19873</Characters>
  <Lines>0</Lines>
  <Paragraphs>0</Paragraphs>
  <TotalTime>7</TotalTime>
  <ScaleCrop>false</ScaleCrop>
  <LinksUpToDate>false</LinksUpToDate>
  <CharactersWithSpaces>22643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2022-06-08T14:04:00Z</dcterms:created>
  <dc:creator>888888</dc:creator>
  <cp:lastModifiedBy>难拥有i</cp:lastModifiedBy>
  <cp:lastPrinted>2025-03-13T09:21:00Z</cp:lastPrinted>
  <dcterms:modified xsi:type="dcterms:W3CDTF">2025-07-02T09:32:25Z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B753A89F4EA64E14A84310E4E20A261B_13</vt:lpwstr>
  </property>
  <property fmtid="{D5CDD505-2E9C-101B-9397-08002B2CF9AE}" pid="4" name="KSOTemplateDocerSaveRecord">
    <vt:lpwstr>eyJoZGlkIjoiOTc3M2Y5NzIzMDFlZjAyY2Q4Njk5ODkyYjFjNzBiNTQiLCJ1c2VySWQiOiI1MzQyNjMzMTYifQ==</vt:lpwstr>
  </property>
</Properties>
</file>