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C1AEE">
      <w:pPr>
        <w:spacing w:line="418" w:lineRule="auto"/>
        <w:rPr>
          <w:rFonts w:ascii="Arial"/>
          <w:color w:val="auto"/>
          <w:sz w:val="21"/>
          <w:highlight w:val="none"/>
        </w:rPr>
      </w:pPr>
    </w:p>
    <w:p w14:paraId="495C254F">
      <w:pPr>
        <w:pStyle w:val="2"/>
        <w:spacing w:before="58" w:line="212" w:lineRule="auto"/>
        <w:ind w:left="36"/>
        <w:rPr>
          <w:color w:val="auto"/>
          <w:sz w:val="18"/>
          <w:szCs w:val="18"/>
          <w:highlight w:val="none"/>
        </w:rPr>
      </w:pPr>
    </w:p>
    <w:p w14:paraId="574B2906">
      <w:pPr>
        <w:spacing w:line="264" w:lineRule="auto"/>
        <w:rPr>
          <w:rFonts w:ascii="Arial"/>
          <w:color w:val="auto"/>
          <w:sz w:val="21"/>
          <w:highlight w:val="none"/>
        </w:rPr>
      </w:pPr>
      <w:r>
        <w:rPr>
          <w:color w:val="auto"/>
          <w:highlight w:val="none"/>
        </w:rPr>
        <w:pict>
          <v:shape id="_x0000_s1026" o:spid="_x0000_s1026" style="position:absolute;left:0pt;margin-left:0.35pt;margin-top:1.25pt;height:0.75pt;width:418.25pt;z-index:251665408;mso-width-relative:page;mso-height-relative:page;" filled="f" stroked="t" coordsize="8365,15" path="m0,7l8364,7e">
            <v:fill on="f" focussize="0,0"/>
            <v:stroke color="#000000" miterlimit="10" joinstyle="miter"/>
            <v:imagedata o:title=""/>
            <o:lock v:ext="edit"/>
          </v:shape>
        </w:pict>
      </w:r>
    </w:p>
    <w:p w14:paraId="76018737">
      <w:pPr>
        <w:spacing w:line="265" w:lineRule="auto"/>
        <w:rPr>
          <w:rFonts w:ascii="Arial"/>
          <w:color w:val="auto"/>
          <w:sz w:val="21"/>
          <w:highlight w:val="none"/>
        </w:rPr>
      </w:pPr>
    </w:p>
    <w:p w14:paraId="5BE4D427">
      <w:pPr>
        <w:spacing w:line="265" w:lineRule="auto"/>
        <w:rPr>
          <w:rFonts w:ascii="Arial"/>
          <w:color w:val="auto"/>
          <w:sz w:val="21"/>
          <w:highlight w:val="none"/>
        </w:rPr>
      </w:pPr>
    </w:p>
    <w:p w14:paraId="0ED48238">
      <w:pPr>
        <w:spacing w:line="265" w:lineRule="auto"/>
        <w:rPr>
          <w:rFonts w:ascii="Arial"/>
          <w:color w:val="auto"/>
          <w:sz w:val="21"/>
          <w:highlight w:val="none"/>
        </w:rPr>
      </w:pPr>
    </w:p>
    <w:p w14:paraId="0E1810CC">
      <w:pPr>
        <w:spacing w:line="265" w:lineRule="auto"/>
        <w:rPr>
          <w:rFonts w:ascii="Arial"/>
          <w:color w:val="auto"/>
          <w:sz w:val="21"/>
          <w:highlight w:val="none"/>
        </w:rPr>
      </w:pPr>
    </w:p>
    <w:p w14:paraId="2F099639">
      <w:pPr>
        <w:pStyle w:val="2"/>
        <w:spacing w:before="169" w:line="219" w:lineRule="auto"/>
        <w:ind w:left="1020"/>
        <w:jc w:val="center"/>
        <w:outlineLvl w:val="0"/>
        <w:rPr>
          <w:rFonts w:hint="eastAsia"/>
          <w:b/>
          <w:bCs/>
          <w:color w:val="auto"/>
          <w:spacing w:val="-6"/>
          <w:sz w:val="52"/>
          <w:szCs w:val="52"/>
          <w:highlight w:val="none"/>
          <w:lang w:eastAsia="zh-CN"/>
        </w:rPr>
      </w:pPr>
      <w:r>
        <w:rPr>
          <w:rFonts w:hint="eastAsia"/>
          <w:b/>
          <w:bCs/>
          <w:color w:val="auto"/>
          <w:spacing w:val="-6"/>
          <w:sz w:val="52"/>
          <w:szCs w:val="52"/>
          <w:highlight w:val="none"/>
          <w:lang w:eastAsia="zh-CN"/>
        </w:rPr>
        <w:t>麦盖提县专业人才合作项目</w:t>
      </w:r>
    </w:p>
    <w:p w14:paraId="1DE357CC">
      <w:pPr>
        <w:pStyle w:val="2"/>
        <w:spacing w:before="169" w:line="219" w:lineRule="auto"/>
        <w:ind w:left="1020"/>
        <w:jc w:val="center"/>
        <w:outlineLvl w:val="0"/>
        <w:rPr>
          <w:rFonts w:hint="eastAsia" w:eastAsia="宋体"/>
          <w:color w:val="auto"/>
          <w:sz w:val="52"/>
          <w:szCs w:val="52"/>
          <w:highlight w:val="none"/>
          <w:lang w:eastAsia="zh-CN"/>
        </w:rPr>
      </w:pPr>
      <w:r>
        <w:rPr>
          <w:rFonts w:hint="eastAsia"/>
          <w:b/>
          <w:bCs/>
          <w:color w:val="auto"/>
          <w:spacing w:val="-6"/>
          <w:sz w:val="52"/>
          <w:szCs w:val="52"/>
          <w:highlight w:val="none"/>
          <w:lang w:eastAsia="zh-CN"/>
        </w:rPr>
        <w:t>（二次）</w:t>
      </w:r>
    </w:p>
    <w:p w14:paraId="0A7D7047">
      <w:pPr>
        <w:spacing w:line="304" w:lineRule="auto"/>
        <w:rPr>
          <w:rFonts w:ascii="Arial"/>
          <w:color w:val="auto"/>
          <w:sz w:val="21"/>
          <w:highlight w:val="none"/>
        </w:rPr>
      </w:pPr>
    </w:p>
    <w:p w14:paraId="76328607">
      <w:pPr>
        <w:spacing w:line="304" w:lineRule="auto"/>
        <w:rPr>
          <w:rFonts w:ascii="Arial"/>
          <w:color w:val="auto"/>
          <w:sz w:val="21"/>
          <w:highlight w:val="none"/>
        </w:rPr>
      </w:pPr>
    </w:p>
    <w:p w14:paraId="53084504">
      <w:pPr>
        <w:spacing w:line="305" w:lineRule="auto"/>
        <w:rPr>
          <w:rFonts w:ascii="Arial"/>
          <w:color w:val="auto"/>
          <w:sz w:val="21"/>
          <w:highlight w:val="none"/>
        </w:rPr>
      </w:pPr>
    </w:p>
    <w:p w14:paraId="25CA3C6A">
      <w:pPr>
        <w:pStyle w:val="2"/>
        <w:spacing w:before="234" w:line="220" w:lineRule="auto"/>
        <w:ind w:left="2221"/>
        <w:outlineLvl w:val="0"/>
        <w:rPr>
          <w:color w:val="auto"/>
          <w:sz w:val="72"/>
          <w:szCs w:val="72"/>
          <w:highlight w:val="none"/>
        </w:rPr>
      </w:pPr>
      <w:r>
        <w:rPr>
          <w:b/>
          <w:bCs/>
          <w:color w:val="auto"/>
          <w:spacing w:val="-33"/>
          <w:sz w:val="72"/>
          <w:szCs w:val="72"/>
          <w:highlight w:val="none"/>
        </w:rPr>
        <w:t>磋</w:t>
      </w:r>
      <w:r>
        <w:rPr>
          <w:color w:val="auto"/>
          <w:spacing w:val="48"/>
          <w:sz w:val="72"/>
          <w:szCs w:val="72"/>
          <w:highlight w:val="none"/>
        </w:rPr>
        <w:t xml:space="preserve"> </w:t>
      </w:r>
      <w:r>
        <w:rPr>
          <w:b/>
          <w:bCs/>
          <w:color w:val="auto"/>
          <w:spacing w:val="-33"/>
          <w:sz w:val="72"/>
          <w:szCs w:val="72"/>
          <w:highlight w:val="none"/>
        </w:rPr>
        <w:t>商</w:t>
      </w:r>
      <w:r>
        <w:rPr>
          <w:color w:val="auto"/>
          <w:spacing w:val="39"/>
          <w:sz w:val="72"/>
          <w:szCs w:val="72"/>
          <w:highlight w:val="none"/>
        </w:rPr>
        <w:t xml:space="preserve"> </w:t>
      </w:r>
      <w:r>
        <w:rPr>
          <w:b/>
          <w:bCs/>
          <w:color w:val="auto"/>
          <w:spacing w:val="-33"/>
          <w:sz w:val="72"/>
          <w:szCs w:val="72"/>
          <w:highlight w:val="none"/>
        </w:rPr>
        <w:t>文</w:t>
      </w:r>
      <w:r>
        <w:rPr>
          <w:color w:val="auto"/>
          <w:spacing w:val="30"/>
          <w:sz w:val="72"/>
          <w:szCs w:val="72"/>
          <w:highlight w:val="none"/>
        </w:rPr>
        <w:t xml:space="preserve"> </w:t>
      </w:r>
      <w:r>
        <w:rPr>
          <w:b/>
          <w:bCs/>
          <w:color w:val="auto"/>
          <w:spacing w:val="-33"/>
          <w:sz w:val="72"/>
          <w:szCs w:val="72"/>
          <w:highlight w:val="none"/>
        </w:rPr>
        <w:t>件</w:t>
      </w:r>
    </w:p>
    <w:p w14:paraId="2BD4DDD5">
      <w:pPr>
        <w:spacing w:line="315" w:lineRule="auto"/>
        <w:rPr>
          <w:rFonts w:ascii="Arial"/>
          <w:color w:val="auto"/>
          <w:sz w:val="21"/>
          <w:highlight w:val="none"/>
        </w:rPr>
      </w:pPr>
    </w:p>
    <w:p w14:paraId="4831F0AB">
      <w:pPr>
        <w:spacing w:line="315" w:lineRule="auto"/>
        <w:rPr>
          <w:rFonts w:ascii="Arial"/>
          <w:color w:val="auto"/>
          <w:sz w:val="21"/>
          <w:highlight w:val="none"/>
        </w:rPr>
      </w:pPr>
    </w:p>
    <w:p w14:paraId="4E3FC793">
      <w:pPr>
        <w:spacing w:line="316" w:lineRule="auto"/>
        <w:rPr>
          <w:rFonts w:ascii="Arial"/>
          <w:color w:val="auto"/>
          <w:sz w:val="21"/>
          <w:highlight w:val="none"/>
        </w:rPr>
      </w:pPr>
    </w:p>
    <w:p w14:paraId="545F4D43">
      <w:pPr>
        <w:pStyle w:val="2"/>
        <w:spacing w:before="104" w:line="218" w:lineRule="auto"/>
        <w:ind w:left="1663"/>
        <w:outlineLvl w:val="1"/>
        <w:rPr>
          <w:rFonts w:hint="eastAsia" w:eastAsia="宋体"/>
          <w:color w:val="auto"/>
          <w:sz w:val="32"/>
          <w:szCs w:val="32"/>
          <w:highlight w:val="none"/>
          <w:lang w:eastAsia="zh-CN"/>
        </w:rPr>
      </w:pPr>
      <w:r>
        <w:rPr>
          <w:b/>
          <w:bCs/>
          <w:color w:val="auto"/>
          <w:spacing w:val="-3"/>
          <w:sz w:val="32"/>
          <w:szCs w:val="32"/>
          <w:highlight w:val="none"/>
        </w:rPr>
        <w:t>项目编号：</w:t>
      </w:r>
      <w:r>
        <w:rPr>
          <w:rFonts w:hint="eastAsia"/>
          <w:b/>
          <w:bCs/>
          <w:color w:val="auto"/>
          <w:spacing w:val="-3"/>
          <w:sz w:val="32"/>
          <w:szCs w:val="32"/>
          <w:highlight w:val="none"/>
          <w:lang w:eastAsia="zh-CN"/>
        </w:rPr>
        <w:t>XJBT-MGTX(CS)2025-08 号</w:t>
      </w:r>
    </w:p>
    <w:p w14:paraId="54CD77D0">
      <w:pPr>
        <w:spacing w:line="248" w:lineRule="auto"/>
        <w:rPr>
          <w:rFonts w:ascii="Arial"/>
          <w:color w:val="auto"/>
          <w:sz w:val="21"/>
          <w:highlight w:val="none"/>
        </w:rPr>
      </w:pPr>
    </w:p>
    <w:p w14:paraId="536EDC9F">
      <w:pPr>
        <w:spacing w:line="248" w:lineRule="auto"/>
        <w:rPr>
          <w:rFonts w:ascii="Arial"/>
          <w:color w:val="auto"/>
          <w:sz w:val="21"/>
          <w:highlight w:val="none"/>
        </w:rPr>
      </w:pPr>
    </w:p>
    <w:p w14:paraId="69812808">
      <w:pPr>
        <w:spacing w:line="248" w:lineRule="auto"/>
        <w:rPr>
          <w:rFonts w:ascii="Arial"/>
          <w:color w:val="auto"/>
          <w:sz w:val="21"/>
          <w:highlight w:val="none"/>
        </w:rPr>
      </w:pPr>
    </w:p>
    <w:p w14:paraId="6DA32D63">
      <w:pPr>
        <w:spacing w:line="249" w:lineRule="auto"/>
        <w:rPr>
          <w:rFonts w:ascii="Arial"/>
          <w:color w:val="auto"/>
          <w:sz w:val="21"/>
          <w:highlight w:val="none"/>
        </w:rPr>
      </w:pPr>
    </w:p>
    <w:p w14:paraId="734E1897">
      <w:pPr>
        <w:spacing w:line="249" w:lineRule="auto"/>
        <w:rPr>
          <w:rFonts w:ascii="Arial"/>
          <w:color w:val="auto"/>
          <w:sz w:val="21"/>
          <w:highlight w:val="none"/>
        </w:rPr>
      </w:pPr>
    </w:p>
    <w:p w14:paraId="631A8165">
      <w:pPr>
        <w:pStyle w:val="2"/>
        <w:spacing w:before="98" w:line="219" w:lineRule="auto"/>
        <w:rPr>
          <w:rFonts w:hint="eastAsia" w:eastAsia="宋体"/>
          <w:color w:val="auto"/>
          <w:highlight w:val="none"/>
          <w:lang w:eastAsia="zh-CN"/>
        </w:rPr>
      </w:pPr>
      <w:r>
        <w:rPr>
          <w:b/>
          <w:bCs/>
          <w:color w:val="auto"/>
          <w:spacing w:val="-3"/>
          <w:highlight w:val="none"/>
        </w:rPr>
        <w:t>采</w:t>
      </w:r>
      <w:r>
        <w:rPr>
          <w:color w:val="auto"/>
          <w:spacing w:val="-3"/>
          <w:highlight w:val="none"/>
        </w:rPr>
        <w:t xml:space="preserve"> </w:t>
      </w:r>
      <w:r>
        <w:rPr>
          <w:b/>
          <w:bCs/>
          <w:color w:val="auto"/>
          <w:spacing w:val="-3"/>
          <w:highlight w:val="none"/>
        </w:rPr>
        <w:t>购</w:t>
      </w:r>
      <w:r>
        <w:rPr>
          <w:color w:val="auto"/>
          <w:spacing w:val="-3"/>
          <w:highlight w:val="none"/>
        </w:rPr>
        <w:t xml:space="preserve"> </w:t>
      </w:r>
      <w:r>
        <w:rPr>
          <w:b/>
          <w:bCs/>
          <w:color w:val="auto"/>
          <w:spacing w:val="-3"/>
          <w:highlight w:val="none"/>
        </w:rPr>
        <w:t>人：</w:t>
      </w:r>
      <w:r>
        <w:rPr>
          <w:rFonts w:hint="eastAsia"/>
          <w:b/>
          <w:bCs/>
          <w:color w:val="auto"/>
          <w:spacing w:val="-3"/>
          <w:highlight w:val="none"/>
          <w:u w:val="single" w:color="auto"/>
          <w:lang w:eastAsia="zh-CN"/>
        </w:rPr>
        <w:t>麦盖提县发展和改革委员会</w:t>
      </w:r>
    </w:p>
    <w:p w14:paraId="21A1321D">
      <w:pPr>
        <w:pStyle w:val="2"/>
        <w:spacing w:before="269" w:line="220" w:lineRule="auto"/>
        <w:rPr>
          <w:rFonts w:hint="default" w:eastAsia="宋体"/>
          <w:color w:val="auto"/>
          <w:highlight w:val="none"/>
          <w:u w:val="single"/>
          <w:lang w:val="en-US" w:eastAsia="zh-CN"/>
        </w:rPr>
      </w:pPr>
      <w:r>
        <w:rPr>
          <w:b/>
          <w:bCs/>
          <w:color w:val="auto"/>
          <w:spacing w:val="-6"/>
          <w:highlight w:val="none"/>
        </w:rPr>
        <w:t>联</w:t>
      </w:r>
      <w:r>
        <w:rPr>
          <w:color w:val="auto"/>
          <w:spacing w:val="-6"/>
          <w:highlight w:val="none"/>
        </w:rPr>
        <w:t xml:space="preserve"> </w:t>
      </w:r>
      <w:r>
        <w:rPr>
          <w:b/>
          <w:bCs/>
          <w:color w:val="auto"/>
          <w:spacing w:val="-6"/>
          <w:highlight w:val="none"/>
        </w:rPr>
        <w:t>系</w:t>
      </w:r>
      <w:r>
        <w:rPr>
          <w:color w:val="auto"/>
          <w:spacing w:val="23"/>
          <w:highlight w:val="none"/>
        </w:rPr>
        <w:t xml:space="preserve"> </w:t>
      </w:r>
      <w:r>
        <w:rPr>
          <w:b/>
          <w:bCs/>
          <w:color w:val="auto"/>
          <w:spacing w:val="-6"/>
          <w:highlight w:val="none"/>
        </w:rPr>
        <w:t>人：</w:t>
      </w:r>
      <w:r>
        <w:rPr>
          <w:rFonts w:hint="eastAsia"/>
          <w:b/>
          <w:bCs/>
          <w:color w:val="auto"/>
          <w:spacing w:val="-6"/>
          <w:highlight w:val="none"/>
          <w:u w:val="single"/>
          <w:lang w:val="en-US" w:eastAsia="zh-CN"/>
        </w:rPr>
        <w:t>张亚莉</w:t>
      </w:r>
    </w:p>
    <w:p w14:paraId="74CA9741">
      <w:pPr>
        <w:pStyle w:val="2"/>
        <w:spacing w:before="266" w:line="222" w:lineRule="auto"/>
        <w:rPr>
          <w:rFonts w:hint="default" w:ascii="Calibri" w:hAnsi="Calibri" w:eastAsia="宋体" w:cs="Calibri"/>
          <w:color w:val="auto"/>
          <w:highlight w:val="none"/>
          <w:u w:val="single"/>
          <w:lang w:val="en-US" w:eastAsia="zh-CN"/>
        </w:rPr>
      </w:pPr>
      <w:r>
        <w:rPr>
          <w:b/>
          <w:bCs/>
          <w:color w:val="auto"/>
          <w:spacing w:val="-2"/>
          <w:highlight w:val="none"/>
        </w:rPr>
        <w:t>联系电话：</w:t>
      </w:r>
      <w:r>
        <w:rPr>
          <w:rFonts w:hint="eastAsia"/>
          <w:b/>
          <w:bCs/>
          <w:color w:val="auto"/>
          <w:spacing w:val="-2"/>
          <w:highlight w:val="none"/>
          <w:u w:val="single"/>
          <w:lang w:val="en-US" w:eastAsia="zh-CN"/>
        </w:rPr>
        <w:t>15009310261</w:t>
      </w:r>
    </w:p>
    <w:p w14:paraId="30C4477B">
      <w:pPr>
        <w:spacing w:line="278" w:lineRule="auto"/>
        <w:rPr>
          <w:rFonts w:ascii="Arial"/>
          <w:color w:val="auto"/>
          <w:sz w:val="21"/>
          <w:highlight w:val="none"/>
        </w:rPr>
      </w:pPr>
    </w:p>
    <w:p w14:paraId="41197651">
      <w:pPr>
        <w:spacing w:line="278" w:lineRule="auto"/>
        <w:rPr>
          <w:rFonts w:ascii="Arial"/>
          <w:color w:val="auto"/>
          <w:sz w:val="21"/>
          <w:highlight w:val="none"/>
        </w:rPr>
      </w:pPr>
    </w:p>
    <w:p w14:paraId="536E873A">
      <w:pPr>
        <w:spacing w:line="278" w:lineRule="auto"/>
        <w:rPr>
          <w:rFonts w:ascii="Arial"/>
          <w:color w:val="auto"/>
          <w:sz w:val="21"/>
          <w:highlight w:val="none"/>
        </w:rPr>
      </w:pPr>
    </w:p>
    <w:p w14:paraId="297FFA86">
      <w:pPr>
        <w:pStyle w:val="2"/>
        <w:spacing w:before="97" w:line="371" w:lineRule="auto"/>
        <w:ind w:right="1418"/>
        <w:rPr>
          <w:color w:val="auto"/>
          <w:spacing w:val="2"/>
          <w:highlight w:val="none"/>
        </w:rPr>
      </w:pPr>
      <w:r>
        <w:rPr>
          <w:b/>
          <w:bCs/>
          <w:color w:val="auto"/>
          <w:spacing w:val="-3"/>
          <w:highlight w:val="none"/>
        </w:rPr>
        <w:t>代理机构：</w:t>
      </w:r>
      <w:r>
        <w:rPr>
          <w:rFonts w:hint="eastAsia"/>
          <w:b/>
          <w:bCs/>
          <w:color w:val="auto"/>
          <w:spacing w:val="-3"/>
          <w:highlight w:val="none"/>
          <w:u w:val="single" w:color="auto"/>
          <w:lang w:eastAsia="zh-CN"/>
        </w:rPr>
        <w:t>新疆邦泰工程咨询有限公司</w:t>
      </w:r>
      <w:r>
        <w:rPr>
          <w:color w:val="auto"/>
          <w:spacing w:val="2"/>
          <w:highlight w:val="none"/>
        </w:rPr>
        <w:t xml:space="preserve"> </w:t>
      </w:r>
    </w:p>
    <w:p w14:paraId="44CE7DF6">
      <w:pPr>
        <w:pStyle w:val="2"/>
        <w:spacing w:before="97" w:line="371" w:lineRule="auto"/>
        <w:ind w:right="1418"/>
        <w:rPr>
          <w:rFonts w:hint="default" w:eastAsia="宋体"/>
          <w:b/>
          <w:bCs/>
          <w:color w:val="auto"/>
          <w:highlight w:val="none"/>
          <w:lang w:val="en-US" w:eastAsia="zh-CN"/>
        </w:rPr>
      </w:pPr>
      <w:r>
        <w:rPr>
          <w:b/>
          <w:bCs/>
          <w:color w:val="auto"/>
          <w:spacing w:val="-16"/>
          <w:highlight w:val="none"/>
        </w:rPr>
        <w:t>联</w:t>
      </w:r>
      <w:r>
        <w:rPr>
          <w:color w:val="auto"/>
          <w:spacing w:val="-16"/>
          <w:highlight w:val="none"/>
        </w:rPr>
        <w:t xml:space="preserve"> </w:t>
      </w:r>
      <w:r>
        <w:rPr>
          <w:b/>
          <w:bCs/>
          <w:color w:val="auto"/>
          <w:spacing w:val="-16"/>
          <w:highlight w:val="none"/>
        </w:rPr>
        <w:t>系</w:t>
      </w:r>
      <w:r>
        <w:rPr>
          <w:color w:val="auto"/>
          <w:spacing w:val="25"/>
          <w:highlight w:val="none"/>
        </w:rPr>
        <w:t xml:space="preserve"> </w:t>
      </w:r>
      <w:r>
        <w:rPr>
          <w:b/>
          <w:bCs/>
          <w:color w:val="auto"/>
          <w:spacing w:val="-16"/>
          <w:highlight w:val="none"/>
        </w:rPr>
        <w:t>人：</w:t>
      </w:r>
      <w:r>
        <w:rPr>
          <w:rFonts w:hint="eastAsia"/>
          <w:b/>
          <w:bCs/>
          <w:color w:val="auto"/>
          <w:spacing w:val="-16"/>
          <w:highlight w:val="none"/>
          <w:u w:val="single" w:color="auto"/>
          <w:lang w:eastAsia="zh-CN"/>
        </w:rPr>
        <w:t xml:space="preserve">刘士曹  </w:t>
      </w:r>
      <w:r>
        <w:rPr>
          <w:rFonts w:hint="eastAsia"/>
          <w:b/>
          <w:bCs/>
          <w:color w:val="auto"/>
          <w:spacing w:val="-16"/>
          <w:highlight w:val="none"/>
          <w:u w:val="single" w:color="auto"/>
          <w:lang w:val="en-US" w:eastAsia="zh-CN"/>
        </w:rPr>
        <w:t xml:space="preserve">                   </w:t>
      </w:r>
    </w:p>
    <w:p w14:paraId="7D0D56E7">
      <w:pPr>
        <w:pStyle w:val="2"/>
        <w:spacing w:before="43" w:line="222" w:lineRule="auto"/>
        <w:rPr>
          <w:rFonts w:hint="default" w:ascii="Calibri" w:hAnsi="Calibri" w:eastAsia="宋体" w:cs="Calibri"/>
          <w:color w:val="auto"/>
          <w:highlight w:val="none"/>
          <w:lang w:val="en-US" w:eastAsia="zh-CN"/>
        </w:rPr>
      </w:pPr>
      <w:r>
        <w:rPr>
          <w:b/>
          <w:bCs/>
          <w:color w:val="auto"/>
          <w:spacing w:val="-2"/>
          <w:highlight w:val="none"/>
        </w:rPr>
        <w:t>联系电话：</w:t>
      </w:r>
      <w:r>
        <w:rPr>
          <w:rFonts w:hint="eastAsia" w:ascii="Calibri" w:hAnsi="Calibri" w:cs="Calibri"/>
          <w:b/>
          <w:bCs/>
          <w:color w:val="auto"/>
          <w:spacing w:val="-2"/>
          <w:highlight w:val="none"/>
          <w:u w:val="single" w:color="auto"/>
          <w:lang w:eastAsia="zh-CN"/>
        </w:rPr>
        <w:t>1</w:t>
      </w:r>
      <w:r>
        <w:rPr>
          <w:rFonts w:hint="eastAsia" w:ascii="Calibri" w:hAnsi="Calibri" w:cs="Calibri"/>
          <w:b/>
          <w:bCs/>
          <w:color w:val="auto"/>
          <w:spacing w:val="-2"/>
          <w:highlight w:val="none"/>
          <w:u w:val="single" w:color="auto"/>
          <w:lang w:val="en-US" w:eastAsia="zh-CN"/>
        </w:rPr>
        <w:t xml:space="preserve">5199888238                              </w:t>
      </w:r>
    </w:p>
    <w:p w14:paraId="000FBE71">
      <w:pPr>
        <w:pStyle w:val="2"/>
        <w:spacing w:before="145" w:line="220" w:lineRule="auto"/>
        <w:rPr>
          <w:b/>
          <w:bCs/>
          <w:color w:val="auto"/>
          <w:spacing w:val="-6"/>
          <w:highlight w:val="none"/>
        </w:rPr>
      </w:pPr>
    </w:p>
    <w:p w14:paraId="7450399D">
      <w:pPr>
        <w:pStyle w:val="2"/>
        <w:spacing w:before="145" w:line="220" w:lineRule="auto"/>
        <w:rPr>
          <w:b/>
          <w:bCs/>
          <w:color w:val="auto"/>
          <w:spacing w:val="-6"/>
          <w:highlight w:val="none"/>
        </w:rPr>
      </w:pPr>
    </w:p>
    <w:p w14:paraId="5408C068">
      <w:pPr>
        <w:spacing w:line="242" w:lineRule="auto"/>
        <w:rPr>
          <w:color w:val="auto"/>
          <w:spacing w:val="-61"/>
          <w:sz w:val="30"/>
          <w:szCs w:val="30"/>
          <w:highlight w:val="none"/>
          <w:u w:val="single" w:color="auto"/>
        </w:rPr>
      </w:pPr>
      <w:r>
        <w:rPr>
          <w:b/>
          <w:bCs/>
          <w:color w:val="auto"/>
          <w:spacing w:val="-6"/>
          <w:sz w:val="30"/>
          <w:szCs w:val="30"/>
          <w:highlight w:val="none"/>
        </w:rPr>
        <w:t>发出日期：</w:t>
      </w:r>
      <w:r>
        <w:rPr>
          <w:rFonts w:ascii="Calibri" w:hAnsi="Calibri" w:eastAsia="Calibri" w:cs="Calibri"/>
          <w:b/>
          <w:bCs/>
          <w:color w:val="auto"/>
          <w:spacing w:val="-6"/>
          <w:sz w:val="30"/>
          <w:szCs w:val="30"/>
          <w:highlight w:val="none"/>
          <w:u w:val="single" w:color="auto"/>
        </w:rPr>
        <w:t>202</w:t>
      </w:r>
      <w:r>
        <w:rPr>
          <w:rFonts w:hint="eastAsia" w:ascii="Calibri" w:hAnsi="Calibri" w:cs="Calibri"/>
          <w:b/>
          <w:bCs/>
          <w:color w:val="auto"/>
          <w:spacing w:val="-6"/>
          <w:sz w:val="30"/>
          <w:szCs w:val="30"/>
          <w:highlight w:val="none"/>
          <w:u w:val="single" w:color="auto"/>
          <w:lang w:val="en-US" w:eastAsia="zh-CN"/>
        </w:rPr>
        <w:t>5</w:t>
      </w:r>
      <w:r>
        <w:rPr>
          <w:rFonts w:ascii="Calibri" w:hAnsi="Calibri" w:eastAsia="Calibri" w:cs="Calibri"/>
          <w:b/>
          <w:bCs/>
          <w:color w:val="auto"/>
          <w:spacing w:val="27"/>
          <w:w w:val="101"/>
          <w:sz w:val="30"/>
          <w:szCs w:val="30"/>
          <w:highlight w:val="none"/>
          <w:u w:val="single" w:color="auto"/>
        </w:rPr>
        <w:t xml:space="preserve"> </w:t>
      </w:r>
      <w:r>
        <w:rPr>
          <w:b/>
          <w:bCs/>
          <w:color w:val="auto"/>
          <w:spacing w:val="-6"/>
          <w:sz w:val="30"/>
          <w:szCs w:val="30"/>
          <w:highlight w:val="none"/>
          <w:u w:val="single" w:color="auto"/>
        </w:rPr>
        <w:t>年</w:t>
      </w:r>
      <w:r>
        <w:rPr>
          <w:rFonts w:ascii="Calibri" w:hAnsi="Calibri" w:eastAsia="Calibri" w:cs="Calibri"/>
          <w:b/>
          <w:bCs/>
          <w:color w:val="auto"/>
          <w:spacing w:val="-6"/>
          <w:sz w:val="30"/>
          <w:szCs w:val="30"/>
          <w:highlight w:val="none"/>
          <w:u w:val="single" w:color="auto"/>
        </w:rPr>
        <w:t xml:space="preserve"> </w:t>
      </w:r>
      <w:r>
        <w:rPr>
          <w:rFonts w:hint="eastAsia" w:ascii="Calibri" w:hAnsi="Calibri" w:eastAsia="Calibri" w:cs="Calibri"/>
          <w:b/>
          <w:bCs/>
          <w:color w:val="auto"/>
          <w:spacing w:val="-6"/>
          <w:sz w:val="30"/>
          <w:szCs w:val="30"/>
          <w:highlight w:val="none"/>
          <w:u w:val="single" w:color="auto"/>
          <w:lang w:val="en-US" w:eastAsia="zh-CN"/>
        </w:rPr>
        <w:t xml:space="preserve">6  </w:t>
      </w:r>
      <w:r>
        <w:rPr>
          <w:b/>
          <w:bCs/>
          <w:color w:val="auto"/>
          <w:spacing w:val="-6"/>
          <w:sz w:val="30"/>
          <w:szCs w:val="30"/>
          <w:highlight w:val="none"/>
          <w:u w:val="single" w:color="auto"/>
        </w:rPr>
        <w:t>月</w:t>
      </w:r>
      <w:r>
        <w:rPr>
          <w:color w:val="auto"/>
          <w:spacing w:val="-61"/>
          <w:sz w:val="30"/>
          <w:szCs w:val="30"/>
          <w:highlight w:val="none"/>
          <w:u w:val="single" w:color="auto"/>
        </w:rPr>
        <w:t xml:space="preserve"> </w:t>
      </w:r>
    </w:p>
    <w:p w14:paraId="381DAEBA">
      <w:pPr>
        <w:spacing w:line="242" w:lineRule="auto"/>
        <w:rPr>
          <w:color w:val="auto"/>
          <w:spacing w:val="-61"/>
          <w:highlight w:val="none"/>
          <w:u w:val="single" w:color="auto"/>
        </w:rPr>
      </w:pPr>
    </w:p>
    <w:p w14:paraId="1EACAAE8">
      <w:pPr>
        <w:spacing w:line="242" w:lineRule="auto"/>
        <w:rPr>
          <w:color w:val="auto"/>
          <w:spacing w:val="-61"/>
          <w:highlight w:val="none"/>
          <w:u w:val="single" w:color="auto"/>
        </w:rPr>
      </w:pPr>
    </w:p>
    <w:p w14:paraId="1D56AD36">
      <w:pPr>
        <w:spacing w:line="242" w:lineRule="auto"/>
        <w:rPr>
          <w:color w:val="auto"/>
          <w:spacing w:val="-61"/>
          <w:highlight w:val="none"/>
          <w:u w:val="single" w:color="auto"/>
        </w:rPr>
      </w:pPr>
    </w:p>
    <w:p w14:paraId="1AE8F27E">
      <w:pPr>
        <w:spacing w:line="242" w:lineRule="auto"/>
        <w:rPr>
          <w:color w:val="auto"/>
          <w:spacing w:val="-61"/>
          <w:highlight w:val="none"/>
          <w:u w:val="single" w:color="auto"/>
        </w:rPr>
      </w:pPr>
    </w:p>
    <w:p w14:paraId="18D320E4">
      <w:pPr>
        <w:spacing w:line="242" w:lineRule="auto"/>
        <w:rPr>
          <w:color w:val="auto"/>
          <w:spacing w:val="-61"/>
          <w:highlight w:val="none"/>
          <w:u w:val="single" w:color="auto"/>
        </w:rPr>
      </w:pPr>
    </w:p>
    <w:p w14:paraId="35012FB7">
      <w:pPr>
        <w:spacing w:line="242" w:lineRule="auto"/>
        <w:rPr>
          <w:color w:val="auto"/>
          <w:spacing w:val="-61"/>
          <w:highlight w:val="none"/>
          <w:u w:val="single" w:color="auto"/>
        </w:rPr>
      </w:pPr>
    </w:p>
    <w:p w14:paraId="48BE9C9F">
      <w:pPr>
        <w:spacing w:line="242" w:lineRule="auto"/>
        <w:rPr>
          <w:color w:val="auto"/>
          <w:spacing w:val="-61"/>
          <w:highlight w:val="none"/>
          <w:u w:val="single" w:color="auto"/>
        </w:rPr>
      </w:pPr>
    </w:p>
    <w:p w14:paraId="4328507A">
      <w:pPr>
        <w:pStyle w:val="2"/>
        <w:spacing w:before="130" w:line="222" w:lineRule="auto"/>
        <w:ind w:left="3875"/>
        <w:outlineLvl w:val="1"/>
        <w:rPr>
          <w:color w:val="auto"/>
          <w:sz w:val="40"/>
          <w:szCs w:val="40"/>
          <w:highlight w:val="none"/>
        </w:rPr>
      </w:pPr>
      <w:r>
        <w:rPr>
          <w:b/>
          <w:bCs/>
          <w:color w:val="auto"/>
          <w:spacing w:val="-50"/>
          <w:sz w:val="40"/>
          <w:szCs w:val="40"/>
          <w:highlight w:val="none"/>
        </w:rPr>
        <w:t>目录</w:t>
      </w:r>
    </w:p>
    <w:p w14:paraId="6FFE03ED">
      <w:pPr>
        <w:spacing w:before="80" w:line="184" w:lineRule="auto"/>
        <w:ind w:left="29"/>
        <w:outlineLvl w:val="2"/>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第一章</w:t>
      </w:r>
      <w:r>
        <w:rPr>
          <w:rFonts w:ascii="微软雅黑" w:hAnsi="微软雅黑" w:eastAsia="微软雅黑" w:cs="微软雅黑"/>
          <w:b/>
          <w:bCs/>
          <w:color w:val="auto"/>
          <w:spacing w:val="10"/>
          <w:sz w:val="24"/>
          <w:szCs w:val="24"/>
          <w:highlight w:val="none"/>
        </w:rPr>
        <w:t xml:space="preserve">   </w:t>
      </w:r>
      <w:r>
        <w:rPr>
          <w:rFonts w:ascii="微软雅黑" w:hAnsi="微软雅黑" w:eastAsia="微软雅黑" w:cs="微软雅黑"/>
          <w:b/>
          <w:bCs/>
          <w:color w:val="auto"/>
          <w:spacing w:val="-1"/>
          <w:sz w:val="24"/>
          <w:szCs w:val="24"/>
          <w:highlight w:val="none"/>
        </w:rPr>
        <w:t>供应商须知</w:t>
      </w:r>
    </w:p>
    <w:p w14:paraId="3B47F326">
      <w:pPr>
        <w:spacing w:before="97" w:line="183" w:lineRule="auto"/>
        <w:ind w:left="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一</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3"/>
          <w:sz w:val="24"/>
          <w:szCs w:val="24"/>
          <w:highlight w:val="none"/>
        </w:rPr>
        <w:t>总</w:t>
      </w:r>
      <w:r>
        <w:rPr>
          <w:rFonts w:ascii="微软雅黑" w:hAnsi="微软雅黑" w:eastAsia="微软雅黑" w:cs="微软雅黑"/>
          <w:color w:val="auto"/>
          <w:spacing w:val="11"/>
          <w:sz w:val="24"/>
          <w:szCs w:val="24"/>
          <w:highlight w:val="none"/>
        </w:rPr>
        <w:t xml:space="preserve">   </w:t>
      </w:r>
      <w:r>
        <w:rPr>
          <w:rFonts w:ascii="微软雅黑" w:hAnsi="微软雅黑" w:eastAsia="微软雅黑" w:cs="微软雅黑"/>
          <w:color w:val="auto"/>
          <w:spacing w:val="-3"/>
          <w:sz w:val="24"/>
          <w:szCs w:val="24"/>
          <w:highlight w:val="none"/>
        </w:rPr>
        <w:t>则</w:t>
      </w:r>
    </w:p>
    <w:p w14:paraId="0FF079D0">
      <w:pPr>
        <w:spacing w:before="97" w:line="183" w:lineRule="auto"/>
        <w:ind w:left="3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二     磋商文件</w:t>
      </w:r>
    </w:p>
    <w:p w14:paraId="5D037940">
      <w:pPr>
        <w:spacing w:before="96"/>
        <w:ind w:left="33" w:right="6060" w:firstLine="2"/>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三</w:t>
      </w:r>
      <w:r>
        <w:rPr>
          <w:rFonts w:ascii="微软雅黑" w:hAnsi="微软雅黑" w:eastAsia="微软雅黑" w:cs="微软雅黑"/>
          <w:color w:val="auto"/>
          <w:spacing w:val="4"/>
          <w:sz w:val="24"/>
          <w:szCs w:val="24"/>
          <w:highlight w:val="none"/>
        </w:rPr>
        <w:t xml:space="preserve">     </w:t>
      </w:r>
      <w:r>
        <w:rPr>
          <w:rFonts w:ascii="微软雅黑" w:hAnsi="微软雅黑" w:eastAsia="微软雅黑" w:cs="微软雅黑"/>
          <w:color w:val="auto"/>
          <w:spacing w:val="-3"/>
          <w:sz w:val="24"/>
          <w:szCs w:val="24"/>
          <w:highlight w:val="none"/>
        </w:rPr>
        <w:t>响应文件的编制</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四</w:t>
      </w:r>
      <w:r>
        <w:rPr>
          <w:rFonts w:ascii="微软雅黑" w:hAnsi="微软雅黑" w:eastAsia="微软雅黑" w:cs="微软雅黑"/>
          <w:color w:val="auto"/>
          <w:spacing w:val="4"/>
          <w:sz w:val="24"/>
          <w:szCs w:val="24"/>
          <w:highlight w:val="none"/>
        </w:rPr>
        <w:t xml:space="preserve">     </w:t>
      </w:r>
      <w:r>
        <w:rPr>
          <w:rFonts w:ascii="微软雅黑" w:hAnsi="微软雅黑" w:eastAsia="微软雅黑" w:cs="微软雅黑"/>
          <w:color w:val="auto"/>
          <w:spacing w:val="-3"/>
          <w:sz w:val="24"/>
          <w:szCs w:val="24"/>
          <w:highlight w:val="none"/>
        </w:rPr>
        <w:t>响应文件的递交</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z w:val="24"/>
          <w:szCs w:val="24"/>
          <w:highlight w:val="none"/>
        </w:rPr>
        <w:t>五     磋商及评标</w:t>
      </w:r>
    </w:p>
    <w:p w14:paraId="63DBFD0D">
      <w:pPr>
        <w:spacing w:before="1" w:line="183" w:lineRule="auto"/>
        <w:ind w:left="3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六     确定成交</w:t>
      </w:r>
    </w:p>
    <w:p w14:paraId="5D94A3B9">
      <w:pPr>
        <w:spacing w:before="96" w:line="184" w:lineRule="auto"/>
        <w:ind w:left="29"/>
        <w:outlineLvl w:val="2"/>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第二章</w:t>
      </w:r>
      <w:r>
        <w:rPr>
          <w:rFonts w:ascii="微软雅黑" w:hAnsi="微软雅黑" w:eastAsia="微软雅黑" w:cs="微软雅黑"/>
          <w:b/>
          <w:bCs/>
          <w:color w:val="auto"/>
          <w:spacing w:val="14"/>
          <w:sz w:val="24"/>
          <w:szCs w:val="24"/>
          <w:highlight w:val="none"/>
        </w:rPr>
        <w:t xml:space="preserve">   </w:t>
      </w:r>
      <w:r>
        <w:rPr>
          <w:rFonts w:ascii="微软雅黑" w:hAnsi="微软雅黑" w:eastAsia="微软雅黑" w:cs="微软雅黑"/>
          <w:b/>
          <w:bCs/>
          <w:color w:val="auto"/>
          <w:spacing w:val="-2"/>
          <w:sz w:val="24"/>
          <w:szCs w:val="24"/>
          <w:highlight w:val="none"/>
        </w:rPr>
        <w:t>响应文件格式</w:t>
      </w:r>
    </w:p>
    <w:p w14:paraId="25AE59ED">
      <w:pPr>
        <w:spacing w:before="98" w:line="183" w:lineRule="auto"/>
        <w:ind w:left="29"/>
        <w:rPr>
          <w:rFonts w:ascii="微软雅黑" w:hAnsi="微软雅黑" w:eastAsia="微软雅黑" w:cs="微软雅黑"/>
          <w:color w:val="auto"/>
          <w:sz w:val="24"/>
          <w:szCs w:val="24"/>
          <w:highlight w:val="none"/>
        </w:rPr>
      </w:pPr>
      <w:r>
        <w:rPr>
          <w:rFonts w:ascii="微软雅黑" w:hAnsi="微软雅黑" w:eastAsia="微软雅黑" w:cs="微软雅黑"/>
          <w:b/>
          <w:bCs/>
          <w:color w:val="auto"/>
          <w:sz w:val="24"/>
          <w:szCs w:val="24"/>
          <w:highlight w:val="none"/>
        </w:rPr>
        <w:t>第一部分 磋商一览表及资格证明</w:t>
      </w:r>
      <w:r>
        <w:rPr>
          <w:rFonts w:ascii="微软雅黑" w:hAnsi="微软雅黑" w:eastAsia="微软雅黑" w:cs="微软雅黑"/>
          <w:b/>
          <w:bCs/>
          <w:color w:val="auto"/>
          <w:spacing w:val="-1"/>
          <w:sz w:val="24"/>
          <w:szCs w:val="24"/>
          <w:highlight w:val="none"/>
        </w:rPr>
        <w:t>文件</w:t>
      </w:r>
    </w:p>
    <w:p w14:paraId="47AE5FE7">
      <w:pPr>
        <w:spacing w:before="98" w:line="183" w:lineRule="auto"/>
        <w:ind w:left="29"/>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第二部分</w:t>
      </w:r>
      <w:r>
        <w:rPr>
          <w:rFonts w:ascii="微软雅黑" w:hAnsi="微软雅黑" w:eastAsia="微软雅黑" w:cs="微软雅黑"/>
          <w:b/>
          <w:bCs/>
          <w:color w:val="auto"/>
          <w:spacing w:val="11"/>
          <w:sz w:val="24"/>
          <w:szCs w:val="24"/>
          <w:highlight w:val="none"/>
        </w:rPr>
        <w:t xml:space="preserve">   </w:t>
      </w:r>
      <w:r>
        <w:rPr>
          <w:rFonts w:ascii="微软雅黑" w:hAnsi="微软雅黑" w:eastAsia="微软雅黑" w:cs="微软雅黑"/>
          <w:b/>
          <w:bCs/>
          <w:color w:val="auto"/>
          <w:spacing w:val="-1"/>
          <w:sz w:val="24"/>
          <w:szCs w:val="24"/>
          <w:highlight w:val="none"/>
        </w:rPr>
        <w:t>商务及技术文件</w:t>
      </w:r>
    </w:p>
    <w:p w14:paraId="77E47507">
      <w:pPr>
        <w:spacing w:before="97"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1.磋商书</w:t>
      </w:r>
    </w:p>
    <w:p w14:paraId="5112C4A4">
      <w:pPr>
        <w:spacing w:before="95"/>
        <w:ind w:left="53" w:right="3822" w:hanging="13"/>
        <w:rPr>
          <w:rFonts w:ascii="微软雅黑" w:hAnsi="微软雅黑" w:eastAsia="微软雅黑" w:cs="微软雅黑"/>
          <w:color w:val="auto"/>
          <w:spacing w:val="-2"/>
          <w:sz w:val="24"/>
          <w:szCs w:val="24"/>
          <w:highlight w:val="none"/>
        </w:rPr>
      </w:pPr>
      <w:r>
        <w:rPr>
          <w:rFonts w:ascii="微软雅黑" w:hAnsi="微软雅黑" w:eastAsia="微软雅黑" w:cs="微软雅黑"/>
          <w:color w:val="auto"/>
          <w:spacing w:val="-2"/>
          <w:sz w:val="24"/>
          <w:szCs w:val="24"/>
          <w:highlight w:val="none"/>
        </w:rPr>
        <w:t>2.磋商分项报价表</w:t>
      </w:r>
    </w:p>
    <w:p w14:paraId="087EBB30">
      <w:pPr>
        <w:spacing w:before="95"/>
        <w:ind w:left="53" w:right="3822" w:hanging="13"/>
        <w:rPr>
          <w:rFonts w:ascii="微软雅黑" w:hAnsi="微软雅黑" w:eastAsia="微软雅黑" w:cs="微软雅黑"/>
          <w:color w:val="auto"/>
          <w:spacing w:val="-1"/>
          <w:sz w:val="24"/>
          <w:szCs w:val="24"/>
          <w:highlight w:val="none"/>
        </w:rPr>
      </w:pP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1"/>
          <w:sz w:val="24"/>
          <w:szCs w:val="24"/>
          <w:highlight w:val="none"/>
        </w:rPr>
        <w:t>3.服务说明一览表</w:t>
      </w:r>
    </w:p>
    <w:p w14:paraId="021DC6E1">
      <w:pPr>
        <w:spacing w:before="95"/>
        <w:ind w:left="53" w:right="3822" w:hanging="13"/>
        <w:rPr>
          <w:rFonts w:ascii="微软雅黑" w:hAnsi="微软雅黑" w:eastAsia="微软雅黑" w:cs="微软雅黑"/>
          <w:color w:val="auto"/>
          <w:spacing w:val="-1"/>
          <w:sz w:val="24"/>
          <w:szCs w:val="24"/>
          <w:highlight w:val="none"/>
        </w:rPr>
      </w:pPr>
      <w:r>
        <w:rPr>
          <w:rFonts w:ascii="微软雅黑" w:hAnsi="微软雅黑" w:eastAsia="微软雅黑" w:cs="微软雅黑"/>
          <w:color w:val="auto"/>
          <w:spacing w:val="6"/>
          <w:sz w:val="24"/>
          <w:szCs w:val="24"/>
          <w:highlight w:val="none"/>
        </w:rPr>
        <w:t xml:space="preserve"> </w:t>
      </w:r>
      <w:r>
        <w:rPr>
          <w:rFonts w:ascii="微软雅黑" w:hAnsi="微软雅黑" w:eastAsia="微软雅黑" w:cs="微软雅黑"/>
          <w:color w:val="auto"/>
          <w:spacing w:val="-1"/>
          <w:sz w:val="24"/>
          <w:szCs w:val="24"/>
          <w:highlight w:val="none"/>
        </w:rPr>
        <w:t>4.服务要求偏离表</w:t>
      </w:r>
    </w:p>
    <w:p w14:paraId="080171F5">
      <w:pPr>
        <w:spacing w:before="95"/>
        <w:ind w:left="53" w:right="3822" w:hanging="13"/>
        <w:rPr>
          <w:rFonts w:ascii="微软雅黑" w:hAnsi="微软雅黑" w:eastAsia="微软雅黑" w:cs="微软雅黑"/>
          <w:color w:val="auto"/>
          <w:spacing w:val="-1"/>
          <w:sz w:val="24"/>
          <w:szCs w:val="24"/>
          <w:highlight w:val="none"/>
        </w:rPr>
      </w:pPr>
      <w:r>
        <w:rPr>
          <w:rFonts w:ascii="微软雅黑" w:hAnsi="微软雅黑" w:eastAsia="微软雅黑" w:cs="微软雅黑"/>
          <w:color w:val="auto"/>
          <w:spacing w:val="6"/>
          <w:sz w:val="24"/>
          <w:szCs w:val="24"/>
          <w:highlight w:val="none"/>
        </w:rPr>
        <w:t xml:space="preserve"> </w:t>
      </w:r>
      <w:r>
        <w:rPr>
          <w:rFonts w:ascii="微软雅黑" w:hAnsi="微软雅黑" w:eastAsia="微软雅黑" w:cs="微软雅黑"/>
          <w:color w:val="auto"/>
          <w:spacing w:val="-1"/>
          <w:sz w:val="24"/>
          <w:szCs w:val="24"/>
          <w:highlight w:val="none"/>
        </w:rPr>
        <w:t>5.商务条款偏离表</w:t>
      </w:r>
    </w:p>
    <w:p w14:paraId="5EAA654F">
      <w:pPr>
        <w:spacing w:before="95"/>
        <w:ind w:left="53" w:right="3822" w:hanging="13"/>
        <w:rPr>
          <w:rFonts w:ascii="微软雅黑" w:hAnsi="微软雅黑" w:eastAsia="微软雅黑" w:cs="微软雅黑"/>
          <w:color w:val="auto"/>
          <w:spacing w:val="-1"/>
          <w:sz w:val="24"/>
          <w:szCs w:val="24"/>
          <w:highlight w:val="none"/>
        </w:rPr>
      </w:pPr>
      <w:r>
        <w:rPr>
          <w:rFonts w:ascii="微软雅黑" w:hAnsi="微软雅黑" w:eastAsia="微软雅黑" w:cs="微软雅黑"/>
          <w:color w:val="auto"/>
          <w:spacing w:val="-1"/>
          <w:sz w:val="24"/>
          <w:szCs w:val="24"/>
          <w:highlight w:val="none"/>
        </w:rPr>
        <w:t>6、投入本项目人员配置表</w:t>
      </w:r>
    </w:p>
    <w:p w14:paraId="3D10C99D">
      <w:pPr>
        <w:spacing w:before="95"/>
        <w:ind w:left="53" w:right="3822" w:hanging="13"/>
        <w:rPr>
          <w:rFonts w:ascii="微软雅黑" w:hAnsi="微软雅黑" w:eastAsia="微软雅黑" w:cs="微软雅黑"/>
          <w:spacing w:val="-3"/>
          <w:sz w:val="24"/>
          <w:szCs w:val="24"/>
          <w:highlight w:val="none"/>
        </w:rPr>
      </w:pPr>
      <w:r>
        <w:rPr>
          <w:rFonts w:ascii="微软雅黑" w:hAnsi="微软雅黑" w:eastAsia="微软雅黑" w:cs="微软雅黑"/>
          <w:color w:val="auto"/>
          <w:spacing w:val="-1"/>
          <w:sz w:val="24"/>
          <w:szCs w:val="24"/>
          <w:highlight w:val="none"/>
        </w:rPr>
        <w:t>7-1</w:t>
      </w:r>
      <w:r>
        <w:rPr>
          <w:rFonts w:ascii="微软雅黑" w:hAnsi="微软雅黑" w:eastAsia="微软雅黑" w:cs="微软雅黑"/>
          <w:spacing w:val="-3"/>
          <w:sz w:val="24"/>
          <w:szCs w:val="24"/>
          <w:highlight w:val="none"/>
        </w:rPr>
        <w:t>中小企业声明函（服务）</w:t>
      </w:r>
    </w:p>
    <w:p w14:paraId="4E3DC548">
      <w:pPr>
        <w:spacing w:before="95"/>
        <w:ind w:left="53" w:right="3822" w:hanging="13"/>
        <w:rPr>
          <w:rFonts w:ascii="微软雅黑" w:hAnsi="微软雅黑" w:eastAsia="微软雅黑" w:cs="微软雅黑"/>
          <w:color w:val="auto"/>
          <w:spacing w:val="-1"/>
          <w:sz w:val="24"/>
          <w:szCs w:val="24"/>
          <w:highlight w:val="none"/>
        </w:rPr>
      </w:pPr>
      <w:r>
        <w:rPr>
          <w:rFonts w:ascii="微软雅黑" w:hAnsi="微软雅黑" w:eastAsia="微软雅黑" w:cs="微软雅黑"/>
          <w:color w:val="auto"/>
          <w:spacing w:val="-1"/>
          <w:sz w:val="24"/>
          <w:szCs w:val="24"/>
          <w:highlight w:val="none"/>
        </w:rPr>
        <w:t xml:space="preserve"> 7-2 残疾人福利性单位声明函</w:t>
      </w:r>
    </w:p>
    <w:p w14:paraId="531D5464">
      <w:pPr>
        <w:spacing w:before="15" w:line="183" w:lineRule="auto"/>
        <w:ind w:left="4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8.供应商关联单位的说明（格式自拟）</w:t>
      </w:r>
    </w:p>
    <w:p w14:paraId="6AED939F">
      <w:pPr>
        <w:spacing w:before="95"/>
        <w:ind w:left="53" w:right="3822" w:hanging="13"/>
        <w:rPr>
          <w:rFonts w:hint="eastAsia" w:ascii="微软雅黑" w:hAnsi="微软雅黑" w:eastAsia="微软雅黑" w:cs="微软雅黑"/>
          <w:color w:val="auto"/>
          <w:sz w:val="24"/>
          <w:szCs w:val="24"/>
          <w:highlight w:val="none"/>
          <w:lang w:val="en-US" w:eastAsia="zh-CN"/>
        </w:rPr>
      </w:pPr>
      <w:r>
        <w:rPr>
          <w:rFonts w:ascii="微软雅黑" w:hAnsi="微软雅黑" w:eastAsia="微软雅黑" w:cs="微软雅黑"/>
          <w:color w:val="auto"/>
          <w:spacing w:val="-1"/>
          <w:sz w:val="24"/>
          <w:szCs w:val="24"/>
          <w:highlight w:val="none"/>
        </w:rPr>
        <w:t>9.供应商可提供有利于磋商的其他证明材料</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3"/>
          <w:sz w:val="24"/>
          <w:szCs w:val="24"/>
          <w:highlight w:val="none"/>
        </w:rPr>
        <w:t>10.响应文件格式范</w:t>
      </w:r>
      <w:r>
        <w:rPr>
          <w:rFonts w:hint="eastAsia" w:ascii="微软雅黑" w:hAnsi="微软雅黑" w:eastAsia="微软雅黑" w:cs="微软雅黑"/>
          <w:color w:val="auto"/>
          <w:spacing w:val="-3"/>
          <w:sz w:val="24"/>
          <w:szCs w:val="24"/>
          <w:highlight w:val="none"/>
          <w:lang w:val="en-US" w:eastAsia="zh-CN"/>
        </w:rPr>
        <w:t>本</w:t>
      </w:r>
    </w:p>
    <w:p w14:paraId="708C7420">
      <w:pPr>
        <w:spacing w:before="3"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11、二轮报价表（此表用于磋商现场）</w:t>
      </w:r>
    </w:p>
    <w:p w14:paraId="6C8DCC2D">
      <w:pPr>
        <w:spacing w:before="96" w:line="184" w:lineRule="auto"/>
        <w:ind w:left="29"/>
        <w:outlineLvl w:val="2"/>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第三章</w:t>
      </w:r>
      <w:r>
        <w:rPr>
          <w:rFonts w:ascii="微软雅黑" w:hAnsi="微软雅黑" w:eastAsia="微软雅黑" w:cs="微软雅黑"/>
          <w:b/>
          <w:bCs/>
          <w:color w:val="auto"/>
          <w:spacing w:val="10"/>
          <w:sz w:val="24"/>
          <w:szCs w:val="24"/>
          <w:highlight w:val="none"/>
        </w:rPr>
        <w:t xml:space="preserve">   </w:t>
      </w:r>
      <w:r>
        <w:rPr>
          <w:rFonts w:ascii="微软雅黑" w:hAnsi="微软雅黑" w:eastAsia="微软雅黑" w:cs="微软雅黑"/>
          <w:b/>
          <w:bCs/>
          <w:color w:val="auto"/>
          <w:spacing w:val="-1"/>
          <w:sz w:val="24"/>
          <w:szCs w:val="24"/>
          <w:highlight w:val="none"/>
        </w:rPr>
        <w:t>磋商邀请</w:t>
      </w:r>
    </w:p>
    <w:p w14:paraId="425F47AF">
      <w:pPr>
        <w:spacing w:before="96" w:line="184" w:lineRule="auto"/>
        <w:ind w:left="29"/>
        <w:outlineLvl w:val="2"/>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第四章</w:t>
      </w:r>
      <w:r>
        <w:rPr>
          <w:rFonts w:ascii="微软雅黑" w:hAnsi="微软雅黑" w:eastAsia="微软雅黑" w:cs="微软雅黑"/>
          <w:b/>
          <w:bCs/>
          <w:color w:val="auto"/>
          <w:spacing w:val="11"/>
          <w:sz w:val="24"/>
          <w:szCs w:val="24"/>
          <w:highlight w:val="none"/>
        </w:rPr>
        <w:t xml:space="preserve">   </w:t>
      </w:r>
      <w:r>
        <w:rPr>
          <w:rFonts w:ascii="微软雅黑" w:hAnsi="微软雅黑" w:eastAsia="微软雅黑" w:cs="微软雅黑"/>
          <w:b/>
          <w:bCs/>
          <w:color w:val="auto"/>
          <w:spacing w:val="-1"/>
          <w:sz w:val="24"/>
          <w:szCs w:val="24"/>
          <w:highlight w:val="none"/>
        </w:rPr>
        <w:t>供应商须知资料表</w:t>
      </w:r>
    </w:p>
    <w:p w14:paraId="1E12BF58">
      <w:pPr>
        <w:spacing w:before="96" w:line="184" w:lineRule="auto"/>
        <w:ind w:left="29"/>
        <w:outlineLvl w:val="2"/>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第五章 服务需求及项目要求</w:t>
      </w:r>
    </w:p>
    <w:p w14:paraId="0BF174CD">
      <w:pPr>
        <w:spacing w:before="96" w:line="184" w:lineRule="auto"/>
        <w:ind w:left="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一、服务需求</w:t>
      </w:r>
    </w:p>
    <w:p w14:paraId="31800F7D">
      <w:pPr>
        <w:spacing w:before="96" w:line="184" w:lineRule="auto"/>
        <w:ind w:left="29"/>
        <w:outlineLvl w:val="2"/>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第六章 评审方法和标准</w:t>
      </w:r>
    </w:p>
    <w:p w14:paraId="4B55F1BD">
      <w:pPr>
        <w:spacing w:before="98" w:line="239" w:lineRule="auto"/>
        <w:ind w:left="31" w:right="5837"/>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初步评审-资格性审查表</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1"/>
          <w:sz w:val="24"/>
          <w:szCs w:val="24"/>
          <w:highlight w:val="none"/>
        </w:rPr>
        <w:t>初步评审-符合性审查表</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1"/>
          <w:sz w:val="24"/>
          <w:szCs w:val="24"/>
          <w:highlight w:val="none"/>
        </w:rPr>
        <w:t>综合评分表</w:t>
      </w:r>
    </w:p>
    <w:p w14:paraId="41235110">
      <w:pPr>
        <w:spacing w:before="2" w:line="184" w:lineRule="auto"/>
        <w:ind w:left="29"/>
        <w:outlineLvl w:val="2"/>
        <w:rPr>
          <w:rFonts w:hint="eastAsia" w:eastAsia="宋体"/>
          <w:color w:val="auto"/>
          <w:highlight w:val="none"/>
          <w:lang w:val="en-US" w:eastAsia="zh-CN"/>
        </w:rPr>
        <w:sectPr>
          <w:footerReference r:id="rId5" w:type="default"/>
          <w:pgSz w:w="11906" w:h="16839"/>
          <w:pgMar w:top="1127" w:right="1767" w:bottom="1162" w:left="1768" w:header="870" w:footer="985" w:gutter="0"/>
          <w:pgNumType w:fmt="decimal" w:start="1"/>
          <w:cols w:space="720" w:num="1"/>
        </w:sectPr>
      </w:pPr>
      <w:r>
        <w:rPr>
          <w:rFonts w:ascii="微软雅黑" w:hAnsi="微软雅黑" w:eastAsia="微软雅黑" w:cs="微软雅黑"/>
          <w:b/>
          <w:bCs/>
          <w:color w:val="auto"/>
          <w:spacing w:val="-1"/>
          <w:sz w:val="24"/>
          <w:szCs w:val="24"/>
          <w:highlight w:val="none"/>
        </w:rPr>
        <w:t>第七章 政府采购合同</w:t>
      </w:r>
      <w:r>
        <w:rPr>
          <w:rFonts w:hint="eastAsia" w:eastAsia="宋体"/>
          <w:color w:val="auto"/>
          <w:highlight w:val="none"/>
          <w:lang w:val="en-US" w:eastAsia="zh-CN"/>
        </w:rPr>
        <w:tab/>
      </w:r>
    </w:p>
    <w:p w14:paraId="04E5C109">
      <w:pPr>
        <w:spacing w:line="254" w:lineRule="auto"/>
        <w:rPr>
          <w:rFonts w:ascii="Arial"/>
          <w:color w:val="auto"/>
          <w:sz w:val="21"/>
          <w:highlight w:val="none"/>
        </w:rPr>
      </w:pPr>
    </w:p>
    <w:p w14:paraId="3416058A">
      <w:pPr>
        <w:spacing w:line="254" w:lineRule="auto"/>
        <w:rPr>
          <w:rFonts w:ascii="Arial"/>
          <w:color w:val="auto"/>
          <w:sz w:val="21"/>
          <w:highlight w:val="none"/>
        </w:rPr>
      </w:pPr>
    </w:p>
    <w:p w14:paraId="337CFEE6">
      <w:pPr>
        <w:spacing w:line="254" w:lineRule="auto"/>
        <w:rPr>
          <w:rFonts w:ascii="Arial"/>
          <w:color w:val="auto"/>
          <w:sz w:val="21"/>
          <w:highlight w:val="none"/>
        </w:rPr>
      </w:pPr>
    </w:p>
    <w:p w14:paraId="7E4C819E">
      <w:pPr>
        <w:spacing w:line="254" w:lineRule="auto"/>
        <w:rPr>
          <w:rFonts w:ascii="Arial"/>
          <w:color w:val="auto"/>
          <w:sz w:val="21"/>
          <w:highlight w:val="none"/>
        </w:rPr>
      </w:pPr>
    </w:p>
    <w:p w14:paraId="22EBF883">
      <w:pPr>
        <w:spacing w:line="254" w:lineRule="auto"/>
        <w:rPr>
          <w:rFonts w:ascii="Arial"/>
          <w:color w:val="auto"/>
          <w:sz w:val="21"/>
          <w:highlight w:val="none"/>
        </w:rPr>
      </w:pPr>
    </w:p>
    <w:p w14:paraId="510762F7">
      <w:pPr>
        <w:spacing w:line="254" w:lineRule="auto"/>
        <w:rPr>
          <w:rFonts w:ascii="Arial"/>
          <w:color w:val="auto"/>
          <w:sz w:val="21"/>
          <w:highlight w:val="none"/>
        </w:rPr>
      </w:pPr>
    </w:p>
    <w:p w14:paraId="035AAD1F">
      <w:pPr>
        <w:spacing w:line="254" w:lineRule="auto"/>
        <w:rPr>
          <w:rFonts w:ascii="Arial"/>
          <w:color w:val="auto"/>
          <w:sz w:val="21"/>
          <w:highlight w:val="none"/>
        </w:rPr>
      </w:pPr>
    </w:p>
    <w:p w14:paraId="6216EB8D">
      <w:pPr>
        <w:spacing w:line="254" w:lineRule="auto"/>
        <w:rPr>
          <w:rFonts w:ascii="Arial"/>
          <w:color w:val="auto"/>
          <w:sz w:val="21"/>
          <w:highlight w:val="none"/>
        </w:rPr>
      </w:pPr>
    </w:p>
    <w:p w14:paraId="523668F4">
      <w:pPr>
        <w:spacing w:line="254" w:lineRule="auto"/>
        <w:rPr>
          <w:rFonts w:ascii="Arial"/>
          <w:color w:val="auto"/>
          <w:sz w:val="21"/>
          <w:highlight w:val="none"/>
        </w:rPr>
      </w:pPr>
    </w:p>
    <w:p w14:paraId="41B0B6B3">
      <w:pPr>
        <w:spacing w:line="255" w:lineRule="auto"/>
        <w:rPr>
          <w:rFonts w:ascii="Arial"/>
          <w:color w:val="auto"/>
          <w:sz w:val="21"/>
          <w:highlight w:val="none"/>
        </w:rPr>
      </w:pPr>
    </w:p>
    <w:p w14:paraId="36E68D7E">
      <w:pPr>
        <w:pStyle w:val="2"/>
        <w:spacing w:before="143" w:line="220" w:lineRule="auto"/>
        <w:ind w:left="2986"/>
        <w:outlineLvl w:val="1"/>
        <w:rPr>
          <w:color w:val="auto"/>
          <w:sz w:val="44"/>
          <w:szCs w:val="44"/>
          <w:highlight w:val="none"/>
        </w:rPr>
      </w:pPr>
      <w:r>
        <w:rPr>
          <w:b/>
          <w:bCs/>
          <w:color w:val="auto"/>
          <w:spacing w:val="-21"/>
          <w:sz w:val="44"/>
          <w:szCs w:val="44"/>
          <w:highlight w:val="none"/>
        </w:rPr>
        <w:t>磋</w:t>
      </w:r>
      <w:r>
        <w:rPr>
          <w:color w:val="auto"/>
          <w:spacing w:val="31"/>
          <w:sz w:val="44"/>
          <w:szCs w:val="44"/>
          <w:highlight w:val="none"/>
        </w:rPr>
        <w:t xml:space="preserve"> </w:t>
      </w:r>
      <w:r>
        <w:rPr>
          <w:b/>
          <w:bCs/>
          <w:color w:val="auto"/>
          <w:spacing w:val="-21"/>
          <w:sz w:val="44"/>
          <w:szCs w:val="44"/>
          <w:highlight w:val="none"/>
        </w:rPr>
        <w:t>商</w:t>
      </w:r>
      <w:r>
        <w:rPr>
          <w:color w:val="auto"/>
          <w:spacing w:val="25"/>
          <w:sz w:val="44"/>
          <w:szCs w:val="44"/>
          <w:highlight w:val="none"/>
        </w:rPr>
        <w:t xml:space="preserve"> </w:t>
      </w:r>
      <w:r>
        <w:rPr>
          <w:b/>
          <w:bCs/>
          <w:color w:val="auto"/>
          <w:spacing w:val="-21"/>
          <w:sz w:val="44"/>
          <w:szCs w:val="44"/>
          <w:highlight w:val="none"/>
        </w:rPr>
        <w:t>文</w:t>
      </w:r>
      <w:r>
        <w:rPr>
          <w:color w:val="auto"/>
          <w:spacing w:val="18"/>
          <w:sz w:val="44"/>
          <w:szCs w:val="44"/>
          <w:highlight w:val="none"/>
        </w:rPr>
        <w:t xml:space="preserve"> </w:t>
      </w:r>
      <w:r>
        <w:rPr>
          <w:b/>
          <w:bCs/>
          <w:color w:val="auto"/>
          <w:spacing w:val="-21"/>
          <w:sz w:val="44"/>
          <w:szCs w:val="44"/>
          <w:highlight w:val="none"/>
        </w:rPr>
        <w:t>件</w:t>
      </w:r>
    </w:p>
    <w:p w14:paraId="42C6AF27">
      <w:pPr>
        <w:spacing w:line="427" w:lineRule="auto"/>
        <w:rPr>
          <w:rFonts w:ascii="Arial"/>
          <w:color w:val="auto"/>
          <w:sz w:val="21"/>
          <w:highlight w:val="none"/>
        </w:rPr>
      </w:pPr>
    </w:p>
    <w:p w14:paraId="3E195047">
      <w:pPr>
        <w:pStyle w:val="2"/>
        <w:spacing w:before="130" w:line="218" w:lineRule="auto"/>
        <w:ind w:left="1037"/>
        <w:rPr>
          <w:rFonts w:hint="eastAsia" w:eastAsia="宋体"/>
          <w:color w:val="auto"/>
          <w:sz w:val="40"/>
          <w:szCs w:val="40"/>
          <w:highlight w:val="none"/>
          <w:lang w:eastAsia="zh-CN"/>
        </w:rPr>
      </w:pPr>
      <w:r>
        <w:rPr>
          <w:b/>
          <w:bCs/>
          <w:color w:val="auto"/>
          <w:spacing w:val="-4"/>
          <w:sz w:val="40"/>
          <w:szCs w:val="40"/>
          <w:highlight w:val="none"/>
        </w:rPr>
        <w:t>项目编号：</w:t>
      </w:r>
      <w:r>
        <w:rPr>
          <w:rFonts w:hint="eastAsia"/>
          <w:b/>
          <w:bCs/>
          <w:color w:val="auto"/>
          <w:spacing w:val="-4"/>
          <w:sz w:val="40"/>
          <w:szCs w:val="40"/>
          <w:highlight w:val="none"/>
          <w:lang w:eastAsia="zh-CN"/>
        </w:rPr>
        <w:t>XJBT-MGTX(CS)2025-08 号</w:t>
      </w:r>
    </w:p>
    <w:p w14:paraId="28ABCBF5">
      <w:pPr>
        <w:spacing w:line="302" w:lineRule="auto"/>
        <w:rPr>
          <w:rFonts w:ascii="Arial"/>
          <w:color w:val="auto"/>
          <w:sz w:val="21"/>
          <w:highlight w:val="none"/>
        </w:rPr>
      </w:pPr>
    </w:p>
    <w:p w14:paraId="5EC493AD">
      <w:pPr>
        <w:spacing w:line="302" w:lineRule="auto"/>
        <w:rPr>
          <w:rFonts w:ascii="Arial"/>
          <w:color w:val="auto"/>
          <w:sz w:val="21"/>
          <w:highlight w:val="none"/>
        </w:rPr>
      </w:pPr>
    </w:p>
    <w:p w14:paraId="5B06B8CF">
      <w:pPr>
        <w:pStyle w:val="2"/>
        <w:spacing w:before="143" w:line="220" w:lineRule="auto"/>
        <w:ind w:left="3319"/>
        <w:outlineLvl w:val="1"/>
        <w:rPr>
          <w:color w:val="auto"/>
          <w:sz w:val="44"/>
          <w:szCs w:val="44"/>
          <w:highlight w:val="none"/>
        </w:rPr>
      </w:pPr>
      <w:r>
        <w:rPr>
          <w:b/>
          <w:bCs/>
          <w:color w:val="auto"/>
          <w:spacing w:val="-19"/>
          <w:sz w:val="44"/>
          <w:szCs w:val="44"/>
          <w:highlight w:val="none"/>
        </w:rPr>
        <w:t>第</w:t>
      </w:r>
      <w:r>
        <w:rPr>
          <w:color w:val="auto"/>
          <w:spacing w:val="28"/>
          <w:sz w:val="44"/>
          <w:szCs w:val="44"/>
          <w:highlight w:val="none"/>
        </w:rPr>
        <w:t xml:space="preserve"> </w:t>
      </w:r>
      <w:r>
        <w:rPr>
          <w:b/>
          <w:bCs/>
          <w:color w:val="auto"/>
          <w:spacing w:val="-19"/>
          <w:sz w:val="44"/>
          <w:szCs w:val="44"/>
          <w:highlight w:val="none"/>
        </w:rPr>
        <w:t>一</w:t>
      </w:r>
      <w:r>
        <w:rPr>
          <w:color w:val="auto"/>
          <w:spacing w:val="21"/>
          <w:sz w:val="44"/>
          <w:szCs w:val="44"/>
          <w:highlight w:val="none"/>
        </w:rPr>
        <w:t xml:space="preserve"> </w:t>
      </w:r>
      <w:r>
        <w:rPr>
          <w:b/>
          <w:bCs/>
          <w:color w:val="auto"/>
          <w:spacing w:val="-19"/>
          <w:sz w:val="44"/>
          <w:szCs w:val="44"/>
          <w:highlight w:val="none"/>
        </w:rPr>
        <w:t>册</w:t>
      </w:r>
    </w:p>
    <w:p w14:paraId="18486E6D">
      <w:pPr>
        <w:spacing w:line="249" w:lineRule="auto"/>
        <w:rPr>
          <w:rFonts w:ascii="Arial"/>
          <w:color w:val="auto"/>
          <w:sz w:val="21"/>
          <w:highlight w:val="none"/>
        </w:rPr>
      </w:pPr>
    </w:p>
    <w:p w14:paraId="3BD97E12">
      <w:pPr>
        <w:spacing w:line="249" w:lineRule="auto"/>
        <w:rPr>
          <w:rFonts w:ascii="Arial"/>
          <w:color w:val="auto"/>
          <w:sz w:val="21"/>
          <w:highlight w:val="none"/>
        </w:rPr>
      </w:pPr>
    </w:p>
    <w:p w14:paraId="1392C00F">
      <w:pPr>
        <w:spacing w:line="249" w:lineRule="auto"/>
        <w:rPr>
          <w:rFonts w:ascii="Arial"/>
          <w:color w:val="auto"/>
          <w:sz w:val="21"/>
          <w:highlight w:val="none"/>
        </w:rPr>
      </w:pPr>
    </w:p>
    <w:p w14:paraId="51C6B1B1">
      <w:pPr>
        <w:spacing w:line="249" w:lineRule="auto"/>
        <w:rPr>
          <w:rFonts w:ascii="Arial"/>
          <w:color w:val="auto"/>
          <w:sz w:val="21"/>
          <w:highlight w:val="none"/>
        </w:rPr>
      </w:pPr>
    </w:p>
    <w:p w14:paraId="60FF9808">
      <w:pPr>
        <w:spacing w:line="249" w:lineRule="auto"/>
        <w:rPr>
          <w:rFonts w:ascii="Arial"/>
          <w:color w:val="auto"/>
          <w:sz w:val="21"/>
          <w:highlight w:val="none"/>
        </w:rPr>
      </w:pPr>
    </w:p>
    <w:p w14:paraId="22FEC514">
      <w:pPr>
        <w:spacing w:line="249" w:lineRule="auto"/>
        <w:rPr>
          <w:rFonts w:ascii="Arial"/>
          <w:color w:val="auto"/>
          <w:sz w:val="21"/>
          <w:highlight w:val="none"/>
        </w:rPr>
      </w:pPr>
    </w:p>
    <w:p w14:paraId="1B339766">
      <w:pPr>
        <w:spacing w:line="249" w:lineRule="auto"/>
        <w:rPr>
          <w:rFonts w:ascii="Arial"/>
          <w:color w:val="auto"/>
          <w:sz w:val="21"/>
          <w:highlight w:val="none"/>
        </w:rPr>
      </w:pPr>
    </w:p>
    <w:p w14:paraId="64E8D0C4">
      <w:pPr>
        <w:spacing w:line="249" w:lineRule="auto"/>
        <w:rPr>
          <w:rFonts w:ascii="Arial"/>
          <w:color w:val="auto"/>
          <w:sz w:val="21"/>
          <w:highlight w:val="none"/>
        </w:rPr>
      </w:pPr>
    </w:p>
    <w:p w14:paraId="31249F57">
      <w:pPr>
        <w:spacing w:line="249" w:lineRule="auto"/>
        <w:rPr>
          <w:rFonts w:ascii="Arial"/>
          <w:color w:val="auto"/>
          <w:sz w:val="21"/>
          <w:highlight w:val="none"/>
        </w:rPr>
      </w:pPr>
    </w:p>
    <w:p w14:paraId="42C23E4D">
      <w:pPr>
        <w:spacing w:line="249" w:lineRule="auto"/>
        <w:rPr>
          <w:rFonts w:ascii="Arial"/>
          <w:color w:val="auto"/>
          <w:sz w:val="21"/>
          <w:highlight w:val="none"/>
        </w:rPr>
      </w:pPr>
    </w:p>
    <w:p w14:paraId="41875B1F">
      <w:pPr>
        <w:spacing w:line="249" w:lineRule="auto"/>
        <w:rPr>
          <w:rFonts w:ascii="Arial"/>
          <w:color w:val="auto"/>
          <w:sz w:val="21"/>
          <w:highlight w:val="none"/>
        </w:rPr>
      </w:pPr>
    </w:p>
    <w:p w14:paraId="75E086A3">
      <w:pPr>
        <w:spacing w:line="249" w:lineRule="auto"/>
        <w:rPr>
          <w:rFonts w:ascii="Arial"/>
          <w:color w:val="auto"/>
          <w:sz w:val="21"/>
          <w:highlight w:val="none"/>
        </w:rPr>
      </w:pPr>
    </w:p>
    <w:p w14:paraId="33DC3C5B">
      <w:pPr>
        <w:spacing w:line="249" w:lineRule="auto"/>
        <w:rPr>
          <w:rFonts w:ascii="Arial"/>
          <w:color w:val="auto"/>
          <w:sz w:val="21"/>
          <w:highlight w:val="none"/>
        </w:rPr>
      </w:pPr>
    </w:p>
    <w:p w14:paraId="2C755942">
      <w:pPr>
        <w:spacing w:line="249" w:lineRule="auto"/>
        <w:rPr>
          <w:rFonts w:ascii="Arial"/>
          <w:color w:val="auto"/>
          <w:sz w:val="21"/>
          <w:highlight w:val="none"/>
        </w:rPr>
      </w:pPr>
    </w:p>
    <w:p w14:paraId="01499623">
      <w:pPr>
        <w:spacing w:line="249" w:lineRule="auto"/>
        <w:rPr>
          <w:rFonts w:ascii="Arial"/>
          <w:color w:val="auto"/>
          <w:sz w:val="21"/>
          <w:highlight w:val="none"/>
        </w:rPr>
      </w:pPr>
    </w:p>
    <w:p w14:paraId="05C3E128">
      <w:pPr>
        <w:spacing w:before="1" w:line="2400" w:lineRule="exact"/>
        <w:ind w:firstLine="4631"/>
        <w:rPr>
          <w:color w:val="auto"/>
          <w:highlight w:val="none"/>
        </w:rPr>
      </w:pPr>
    </w:p>
    <w:p w14:paraId="78B6B2BE">
      <w:pPr>
        <w:spacing w:line="2400" w:lineRule="exact"/>
        <w:rPr>
          <w:color w:val="auto"/>
          <w:highlight w:val="none"/>
        </w:rPr>
        <w:sectPr>
          <w:footerReference r:id="rId6" w:type="default"/>
          <w:pgSz w:w="11906" w:h="16839"/>
          <w:pgMar w:top="1127" w:right="1767" w:bottom="1162" w:left="1768" w:header="870" w:footer="985" w:gutter="0"/>
          <w:pgNumType w:fmt="decimal"/>
          <w:cols w:space="720" w:num="1"/>
        </w:sectPr>
      </w:pPr>
    </w:p>
    <w:p w14:paraId="77A81B82">
      <w:pPr>
        <w:pStyle w:val="2"/>
        <w:spacing w:before="104" w:line="219" w:lineRule="auto"/>
        <w:ind w:left="2912"/>
        <w:outlineLvl w:val="1"/>
        <w:rPr>
          <w:b/>
          <w:bCs/>
          <w:color w:val="auto"/>
          <w:spacing w:val="-4"/>
          <w:sz w:val="32"/>
          <w:szCs w:val="32"/>
          <w:highlight w:val="none"/>
        </w:rPr>
      </w:pPr>
    </w:p>
    <w:p w14:paraId="022B18EE">
      <w:pPr>
        <w:pStyle w:val="2"/>
        <w:spacing w:before="104" w:line="219" w:lineRule="auto"/>
        <w:ind w:left="2912"/>
        <w:outlineLvl w:val="1"/>
        <w:rPr>
          <w:color w:val="auto"/>
          <w:sz w:val="32"/>
          <w:szCs w:val="32"/>
          <w:highlight w:val="none"/>
        </w:rPr>
      </w:pPr>
      <w:r>
        <w:rPr>
          <w:b/>
          <w:bCs/>
          <w:color w:val="auto"/>
          <w:spacing w:val="-4"/>
          <w:sz w:val="32"/>
          <w:szCs w:val="32"/>
          <w:highlight w:val="none"/>
        </w:rPr>
        <w:t>第1章</w:t>
      </w:r>
      <w:r>
        <w:rPr>
          <w:color w:val="auto"/>
          <w:spacing w:val="-4"/>
          <w:sz w:val="32"/>
          <w:szCs w:val="32"/>
          <w:highlight w:val="none"/>
        </w:rPr>
        <w:t xml:space="preserve"> </w:t>
      </w:r>
      <w:r>
        <w:rPr>
          <w:b/>
          <w:bCs/>
          <w:color w:val="auto"/>
          <w:spacing w:val="-4"/>
          <w:sz w:val="32"/>
          <w:szCs w:val="32"/>
          <w:highlight w:val="none"/>
        </w:rPr>
        <w:t>供应商须知</w:t>
      </w:r>
    </w:p>
    <w:p w14:paraId="5D45B9B3">
      <w:pPr>
        <w:pStyle w:val="2"/>
        <w:spacing w:before="33" w:line="220" w:lineRule="auto"/>
        <w:ind w:left="3768"/>
        <w:outlineLvl w:val="1"/>
        <w:rPr>
          <w:color w:val="auto"/>
          <w:sz w:val="28"/>
          <w:szCs w:val="28"/>
          <w:highlight w:val="none"/>
        </w:rPr>
      </w:pPr>
      <w:r>
        <w:rPr>
          <w:b/>
          <w:bCs/>
          <w:color w:val="auto"/>
          <w:spacing w:val="-15"/>
          <w:sz w:val="28"/>
          <w:szCs w:val="28"/>
          <w:highlight w:val="none"/>
        </w:rPr>
        <w:t>一</w:t>
      </w:r>
      <w:r>
        <w:rPr>
          <w:color w:val="auto"/>
          <w:spacing w:val="6"/>
          <w:sz w:val="28"/>
          <w:szCs w:val="28"/>
          <w:highlight w:val="none"/>
        </w:rPr>
        <w:t xml:space="preserve">   </w:t>
      </w:r>
      <w:r>
        <w:rPr>
          <w:b/>
          <w:bCs/>
          <w:color w:val="auto"/>
          <w:spacing w:val="-15"/>
          <w:sz w:val="28"/>
          <w:szCs w:val="28"/>
          <w:highlight w:val="none"/>
        </w:rPr>
        <w:t>总</w:t>
      </w:r>
      <w:r>
        <w:rPr>
          <w:color w:val="auto"/>
          <w:spacing w:val="21"/>
          <w:sz w:val="28"/>
          <w:szCs w:val="28"/>
          <w:highlight w:val="none"/>
        </w:rPr>
        <w:t xml:space="preserve"> </w:t>
      </w:r>
      <w:r>
        <w:rPr>
          <w:b/>
          <w:bCs/>
          <w:color w:val="auto"/>
          <w:spacing w:val="-15"/>
          <w:sz w:val="28"/>
          <w:szCs w:val="28"/>
          <w:highlight w:val="none"/>
        </w:rPr>
        <w:t>则</w:t>
      </w:r>
    </w:p>
    <w:p w14:paraId="3A0DF937">
      <w:pPr>
        <w:spacing w:before="62" w:line="183" w:lineRule="auto"/>
        <w:ind w:left="5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1.采购人、采购代理机构及供应商</w:t>
      </w:r>
    </w:p>
    <w:p w14:paraId="6B2FDFC6">
      <w:pPr>
        <w:spacing w:before="44" w:line="197" w:lineRule="auto"/>
        <w:ind w:left="32" w:right="117" w:firstLine="2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1.1      采购人：是指依法开展政府采购活动的国家机关、事业单位、团</w:t>
      </w:r>
      <w:r>
        <w:rPr>
          <w:rFonts w:ascii="微软雅黑" w:hAnsi="微软雅黑" w:eastAsia="微软雅黑" w:cs="微软雅黑"/>
          <w:color w:val="auto"/>
          <w:spacing w:val="-3"/>
          <w:sz w:val="24"/>
          <w:szCs w:val="24"/>
          <w:highlight w:val="none"/>
        </w:rPr>
        <w:t>体组织。</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本项目的采购人见</w:t>
      </w:r>
      <w:r>
        <w:rPr>
          <w:rFonts w:ascii="微软雅黑" w:hAnsi="微软雅黑" w:eastAsia="微软雅黑" w:cs="微软雅黑"/>
          <w:color w:val="auto"/>
          <w:spacing w:val="-1"/>
          <w:sz w:val="24"/>
          <w:szCs w:val="24"/>
          <w:highlight w:val="none"/>
          <w:u w:val="single" w:color="auto"/>
        </w:rPr>
        <w:t>供应商须知资料表</w:t>
      </w:r>
      <w:r>
        <w:rPr>
          <w:rFonts w:ascii="微软雅黑" w:hAnsi="微软雅黑" w:eastAsia="微软雅黑" w:cs="微软雅黑"/>
          <w:color w:val="auto"/>
          <w:spacing w:val="-1"/>
          <w:sz w:val="24"/>
          <w:szCs w:val="24"/>
          <w:highlight w:val="none"/>
        </w:rPr>
        <w:t>。</w:t>
      </w:r>
    </w:p>
    <w:p w14:paraId="00C51213">
      <w:pPr>
        <w:spacing w:before="44" w:line="197" w:lineRule="auto"/>
        <w:ind w:left="931" w:right="192" w:hanging="87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1.2      采购代理机构：是指在集中采购机构或从事采购代理业务的社会中介机</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构。本项目的采购代理机构见</w:t>
      </w:r>
      <w:r>
        <w:rPr>
          <w:rFonts w:ascii="微软雅黑" w:hAnsi="微软雅黑" w:eastAsia="微软雅黑" w:cs="微软雅黑"/>
          <w:color w:val="auto"/>
          <w:spacing w:val="-1"/>
          <w:sz w:val="24"/>
          <w:szCs w:val="24"/>
          <w:highlight w:val="none"/>
          <w:u w:val="single" w:color="auto"/>
        </w:rPr>
        <w:t>供应商须知资料表</w:t>
      </w:r>
      <w:r>
        <w:rPr>
          <w:rFonts w:ascii="微软雅黑" w:hAnsi="微软雅黑" w:eastAsia="微软雅黑" w:cs="微软雅黑"/>
          <w:color w:val="auto"/>
          <w:spacing w:val="-1"/>
          <w:sz w:val="24"/>
          <w:szCs w:val="24"/>
          <w:highlight w:val="none"/>
        </w:rPr>
        <w:t>。</w:t>
      </w:r>
    </w:p>
    <w:p w14:paraId="0734D54B">
      <w:pPr>
        <w:spacing w:before="44" w:line="197" w:lineRule="auto"/>
        <w:ind w:left="957" w:right="192" w:hanging="90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1.3     供应商：是指向采购人提供货物、工程或者服务的法</w:t>
      </w:r>
      <w:r>
        <w:rPr>
          <w:rFonts w:ascii="微软雅黑" w:hAnsi="微软雅黑" w:eastAsia="微软雅黑" w:cs="微软雅黑"/>
          <w:color w:val="auto"/>
          <w:spacing w:val="-3"/>
          <w:sz w:val="24"/>
          <w:szCs w:val="24"/>
          <w:highlight w:val="none"/>
        </w:rPr>
        <w:t>人、非法人组织或者</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自然人。本项目的供应商及其服务须满足以下</w:t>
      </w:r>
      <w:r>
        <w:rPr>
          <w:rFonts w:ascii="微软雅黑" w:hAnsi="微软雅黑" w:eastAsia="微软雅黑" w:cs="微软雅黑"/>
          <w:color w:val="auto"/>
          <w:spacing w:val="-4"/>
          <w:sz w:val="24"/>
          <w:szCs w:val="24"/>
          <w:highlight w:val="none"/>
        </w:rPr>
        <w:t>条件：</w:t>
      </w:r>
    </w:p>
    <w:p w14:paraId="54F43849">
      <w:pPr>
        <w:spacing w:before="44"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1.3.1     在中华人民共和国境内注册，能够独立承担民事责任，有</w:t>
      </w:r>
      <w:r>
        <w:rPr>
          <w:rFonts w:ascii="微软雅黑" w:hAnsi="微软雅黑" w:eastAsia="微软雅黑" w:cs="微软雅黑"/>
          <w:color w:val="auto"/>
          <w:spacing w:val="-2"/>
          <w:sz w:val="24"/>
          <w:szCs w:val="24"/>
          <w:highlight w:val="none"/>
        </w:rPr>
        <w:t>生产或供应能</w:t>
      </w:r>
    </w:p>
    <w:p w14:paraId="18AF4AA6">
      <w:pPr>
        <w:spacing w:before="46" w:line="183" w:lineRule="auto"/>
        <w:ind w:left="93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6"/>
          <w:sz w:val="24"/>
          <w:szCs w:val="24"/>
          <w:highlight w:val="none"/>
        </w:rPr>
        <w:t>力的本国供应商。</w:t>
      </w:r>
    </w:p>
    <w:p w14:paraId="31D2E8AE">
      <w:pPr>
        <w:spacing w:before="45" w:line="184" w:lineRule="auto"/>
        <w:jc w:val="right"/>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1.3.2   具备《中华人民共和国政府采购法》第二十二条关于供应商条件的规定，</w:t>
      </w:r>
    </w:p>
    <w:p w14:paraId="7593C8FC">
      <w:pPr>
        <w:spacing w:before="46" w:line="183" w:lineRule="auto"/>
        <w:ind w:left="9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遵守本项目采购人本级和上级财政部门政府采购的有关规定。</w:t>
      </w:r>
    </w:p>
    <w:p w14:paraId="6F5C1EFA">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1.3.3     以采购代理机构认可的方式获得了本项目的磋商文件。</w:t>
      </w:r>
    </w:p>
    <w:p w14:paraId="0BA457DC">
      <w:pPr>
        <w:spacing w:before="44"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1.3.4     符合</w:t>
      </w:r>
      <w:r>
        <w:rPr>
          <w:rFonts w:ascii="微软雅黑" w:hAnsi="微软雅黑" w:eastAsia="微软雅黑" w:cs="微软雅黑"/>
          <w:color w:val="auto"/>
          <w:spacing w:val="-2"/>
          <w:sz w:val="24"/>
          <w:szCs w:val="24"/>
          <w:highlight w:val="none"/>
          <w:u w:val="single" w:color="auto"/>
        </w:rPr>
        <w:t>供应商须知资料表</w:t>
      </w:r>
      <w:r>
        <w:rPr>
          <w:rFonts w:ascii="微软雅黑" w:hAnsi="微软雅黑" w:eastAsia="微软雅黑" w:cs="微软雅黑"/>
          <w:color w:val="auto"/>
          <w:spacing w:val="-2"/>
          <w:sz w:val="24"/>
          <w:szCs w:val="24"/>
          <w:highlight w:val="none"/>
        </w:rPr>
        <w:t>中规定的其他要</w:t>
      </w:r>
      <w:r>
        <w:rPr>
          <w:rFonts w:ascii="微软雅黑" w:hAnsi="微软雅黑" w:eastAsia="微软雅黑" w:cs="微软雅黑"/>
          <w:color w:val="auto"/>
          <w:spacing w:val="-3"/>
          <w:sz w:val="24"/>
          <w:szCs w:val="24"/>
          <w:highlight w:val="none"/>
        </w:rPr>
        <w:t>求。</w:t>
      </w:r>
    </w:p>
    <w:p w14:paraId="2585D989">
      <w:pPr>
        <w:spacing w:before="44"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1.4      如</w:t>
      </w:r>
      <w:r>
        <w:rPr>
          <w:rFonts w:ascii="微软雅黑" w:hAnsi="微软雅黑" w:eastAsia="微软雅黑" w:cs="微软雅黑"/>
          <w:color w:val="auto"/>
          <w:sz w:val="24"/>
          <w:szCs w:val="24"/>
          <w:highlight w:val="none"/>
          <w:u w:val="single" w:color="auto"/>
        </w:rPr>
        <w:t>供应商须知资料表</w:t>
      </w:r>
      <w:r>
        <w:rPr>
          <w:rFonts w:ascii="微软雅黑" w:hAnsi="微软雅黑" w:eastAsia="微软雅黑" w:cs="微软雅黑"/>
          <w:color w:val="auto"/>
          <w:sz w:val="24"/>
          <w:szCs w:val="24"/>
          <w:highlight w:val="none"/>
        </w:rPr>
        <w:t>中允许联</w:t>
      </w:r>
      <w:r>
        <w:rPr>
          <w:rFonts w:ascii="微软雅黑" w:hAnsi="微软雅黑" w:eastAsia="微软雅黑" w:cs="微软雅黑"/>
          <w:color w:val="auto"/>
          <w:spacing w:val="-1"/>
          <w:sz w:val="24"/>
          <w:szCs w:val="24"/>
          <w:highlight w:val="none"/>
        </w:rPr>
        <w:t>合体磋商，对联合体规定如下：</w:t>
      </w:r>
    </w:p>
    <w:p w14:paraId="6622673E">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1.4.1     两个以上供应商可以</w:t>
      </w:r>
      <w:r>
        <w:rPr>
          <w:rFonts w:ascii="微软雅黑" w:hAnsi="微软雅黑" w:eastAsia="微软雅黑" w:cs="微软雅黑"/>
          <w:color w:val="auto"/>
          <w:spacing w:val="-2"/>
          <w:sz w:val="24"/>
          <w:szCs w:val="24"/>
          <w:highlight w:val="none"/>
        </w:rPr>
        <w:t>组成一个磋商联合体，以一个供应商的身份磋商。</w:t>
      </w:r>
    </w:p>
    <w:p w14:paraId="43C6D44B">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1.4.2     联合体各方均应符合《中华人民共和国政府采购法》第二</w:t>
      </w:r>
      <w:r>
        <w:rPr>
          <w:rFonts w:ascii="微软雅黑" w:hAnsi="微软雅黑" w:eastAsia="微软雅黑" w:cs="微软雅黑"/>
          <w:color w:val="auto"/>
          <w:spacing w:val="-2"/>
          <w:sz w:val="24"/>
          <w:szCs w:val="24"/>
          <w:highlight w:val="none"/>
        </w:rPr>
        <w:t>十二条规定的</w:t>
      </w:r>
    </w:p>
    <w:p w14:paraId="3941EC74">
      <w:pPr>
        <w:spacing w:before="48" w:line="182" w:lineRule="auto"/>
        <w:ind w:left="9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1"/>
          <w:sz w:val="24"/>
          <w:szCs w:val="24"/>
          <w:highlight w:val="none"/>
        </w:rPr>
        <w:t>条件。</w:t>
      </w:r>
    </w:p>
    <w:p w14:paraId="5B448053">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1.4.3     采购人根据采购项目对供应商的特殊要求，联合体中至少</w:t>
      </w:r>
      <w:r>
        <w:rPr>
          <w:rFonts w:ascii="微软雅黑" w:hAnsi="微软雅黑" w:eastAsia="微软雅黑" w:cs="微软雅黑"/>
          <w:color w:val="auto"/>
          <w:spacing w:val="-2"/>
          <w:sz w:val="24"/>
          <w:szCs w:val="24"/>
          <w:highlight w:val="none"/>
        </w:rPr>
        <w:t>应当有一方符</w:t>
      </w:r>
    </w:p>
    <w:p w14:paraId="10E6F807">
      <w:pPr>
        <w:spacing w:before="46" w:line="183" w:lineRule="auto"/>
        <w:ind w:left="9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合相关规定。</w:t>
      </w:r>
    </w:p>
    <w:p w14:paraId="6F63D902">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1.4.4     联合体各方应签订共同磋商协议，明确约定联合体各方承担</w:t>
      </w:r>
      <w:r>
        <w:rPr>
          <w:rFonts w:ascii="微软雅黑" w:hAnsi="微软雅黑" w:eastAsia="微软雅黑" w:cs="微软雅黑"/>
          <w:color w:val="auto"/>
          <w:spacing w:val="-2"/>
          <w:sz w:val="24"/>
          <w:szCs w:val="24"/>
          <w:highlight w:val="none"/>
        </w:rPr>
        <w:t>的工作和相</w:t>
      </w:r>
    </w:p>
    <w:p w14:paraId="1B79A623">
      <w:pPr>
        <w:spacing w:before="46" w:line="183" w:lineRule="auto"/>
        <w:ind w:left="92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应的责任，并将共同磋商协议连同作为响应</w:t>
      </w:r>
      <w:r>
        <w:rPr>
          <w:rFonts w:ascii="微软雅黑" w:hAnsi="微软雅黑" w:eastAsia="微软雅黑" w:cs="微软雅黑"/>
          <w:color w:val="auto"/>
          <w:spacing w:val="-2"/>
          <w:sz w:val="24"/>
          <w:szCs w:val="24"/>
          <w:highlight w:val="none"/>
        </w:rPr>
        <w:t>文件第一部分的内容提交。</w:t>
      </w:r>
    </w:p>
    <w:p w14:paraId="0996F0B1">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1.4.5     大中型企业、其他自然人、法人或者非法人组织与小型、</w:t>
      </w:r>
      <w:r>
        <w:rPr>
          <w:rFonts w:ascii="微软雅黑" w:hAnsi="微软雅黑" w:eastAsia="微软雅黑" w:cs="微软雅黑"/>
          <w:color w:val="auto"/>
          <w:spacing w:val="-2"/>
          <w:sz w:val="24"/>
          <w:szCs w:val="24"/>
          <w:highlight w:val="none"/>
        </w:rPr>
        <w:t>微型企业组成</w:t>
      </w:r>
    </w:p>
    <w:p w14:paraId="463B8EA2">
      <w:pPr>
        <w:spacing w:before="47" w:line="209" w:lineRule="auto"/>
        <w:ind w:left="948" w:right="192" w:hanging="1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联合体共同参加磋商，共同磋商协议中应写明小型、微型企业的协</w:t>
      </w:r>
      <w:r>
        <w:rPr>
          <w:rFonts w:ascii="微软雅黑" w:hAnsi="微软雅黑" w:eastAsia="微软雅黑" w:cs="微软雅黑"/>
          <w:color w:val="auto"/>
          <w:spacing w:val="-2"/>
          <w:sz w:val="24"/>
          <w:szCs w:val="24"/>
          <w:highlight w:val="none"/>
        </w:rPr>
        <w:t>议合</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4"/>
          <w:sz w:val="24"/>
          <w:szCs w:val="24"/>
          <w:highlight w:val="none"/>
        </w:rPr>
        <w:t>同金额占到共同磋商协议磋商总金额的比例。</w:t>
      </w:r>
    </w:p>
    <w:p w14:paraId="194FF0BE">
      <w:pPr>
        <w:spacing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1.4.6   联合体中有同类资质的供应商按照联合体分工承担相同工作的，按照较</w:t>
      </w:r>
    </w:p>
    <w:p w14:paraId="2D1304DA">
      <w:pPr>
        <w:spacing w:before="45" w:line="184" w:lineRule="auto"/>
        <w:ind w:left="93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低的资质等级确定联合体的资质等级。</w:t>
      </w:r>
    </w:p>
    <w:p w14:paraId="78FD1823">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1.4.7   以联合体形式参加政府采购活动的，联合体各方不得再单独参加或者与</w:t>
      </w:r>
    </w:p>
    <w:p w14:paraId="7567A925">
      <w:pPr>
        <w:spacing w:before="44" w:line="209" w:lineRule="auto"/>
        <w:ind w:left="930" w:right="192" w:firstLine="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其他供应商另外组成联合体参加本项目磋商，否则相关磋商将被认</w:t>
      </w:r>
      <w:r>
        <w:rPr>
          <w:rFonts w:ascii="微软雅黑" w:hAnsi="微软雅黑" w:eastAsia="微软雅黑" w:cs="微软雅黑"/>
          <w:color w:val="auto"/>
          <w:spacing w:val="-2"/>
          <w:sz w:val="24"/>
          <w:szCs w:val="24"/>
          <w:highlight w:val="none"/>
        </w:rPr>
        <w:t>定为</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b/>
          <w:bCs/>
          <w:color w:val="auto"/>
          <w:spacing w:val="-1"/>
          <w:sz w:val="24"/>
          <w:szCs w:val="24"/>
          <w:highlight w:val="none"/>
        </w:rPr>
        <w:t>磋商无效</w:t>
      </w:r>
      <w:r>
        <w:rPr>
          <w:rFonts w:ascii="微软雅黑" w:hAnsi="微软雅黑" w:eastAsia="微软雅黑" w:cs="微软雅黑"/>
          <w:color w:val="auto"/>
          <w:spacing w:val="-1"/>
          <w:sz w:val="24"/>
          <w:szCs w:val="24"/>
          <w:highlight w:val="none"/>
        </w:rPr>
        <w:t>。</w:t>
      </w:r>
    </w:p>
    <w:p w14:paraId="57C0FD0A">
      <w:pPr>
        <w:spacing w:before="3"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1.4.8     对联合体磋商的其他资格要求见</w:t>
      </w:r>
      <w:r>
        <w:rPr>
          <w:rFonts w:ascii="微软雅黑" w:hAnsi="微软雅黑" w:eastAsia="微软雅黑" w:cs="微软雅黑"/>
          <w:color w:val="auto"/>
          <w:spacing w:val="-1"/>
          <w:sz w:val="24"/>
          <w:szCs w:val="24"/>
          <w:highlight w:val="none"/>
          <w:u w:val="single" w:color="auto"/>
        </w:rPr>
        <w:t>供应商须知资料表</w:t>
      </w:r>
      <w:r>
        <w:rPr>
          <w:rFonts w:ascii="微软雅黑" w:hAnsi="微软雅黑" w:eastAsia="微软雅黑" w:cs="微软雅黑"/>
          <w:color w:val="auto"/>
          <w:spacing w:val="-1"/>
          <w:sz w:val="24"/>
          <w:szCs w:val="24"/>
          <w:highlight w:val="none"/>
        </w:rPr>
        <w:t>。</w:t>
      </w:r>
    </w:p>
    <w:p w14:paraId="11B8FEDB">
      <w:pPr>
        <w:spacing w:before="44" w:line="197" w:lineRule="auto"/>
        <w:ind w:left="933" w:right="192" w:hanging="88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1.5      单位负责人为同一人或者存在直接控股、管理关系的不同供应商，其相</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关磋商将被认定为</w:t>
      </w:r>
      <w:r>
        <w:rPr>
          <w:rFonts w:ascii="微软雅黑" w:hAnsi="微软雅黑" w:eastAsia="微软雅黑" w:cs="微软雅黑"/>
          <w:b/>
          <w:bCs/>
          <w:color w:val="auto"/>
          <w:spacing w:val="-1"/>
          <w:sz w:val="24"/>
          <w:szCs w:val="24"/>
          <w:highlight w:val="none"/>
        </w:rPr>
        <w:t>磋商无效</w:t>
      </w:r>
      <w:r>
        <w:rPr>
          <w:rFonts w:ascii="微软雅黑" w:hAnsi="微软雅黑" w:eastAsia="微软雅黑" w:cs="微软雅黑"/>
          <w:color w:val="auto"/>
          <w:spacing w:val="-1"/>
          <w:sz w:val="24"/>
          <w:szCs w:val="24"/>
          <w:highlight w:val="none"/>
        </w:rPr>
        <w:t>。</w:t>
      </w:r>
    </w:p>
    <w:p w14:paraId="063FD0F3">
      <w:pPr>
        <w:spacing w:before="44" w:line="197" w:lineRule="auto"/>
        <w:ind w:left="931" w:right="192" w:hanging="87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1.6      供应商在磋商过程中不得向采购人提供、给予任何有价值的物品，影响</w:t>
      </w:r>
      <w:r>
        <w:rPr>
          <w:rFonts w:ascii="微软雅黑" w:hAnsi="微软雅黑" w:eastAsia="微软雅黑" w:cs="微软雅黑"/>
          <w:color w:val="auto"/>
          <w:sz w:val="24"/>
          <w:szCs w:val="24"/>
          <w:highlight w:val="none"/>
        </w:rPr>
        <w:t xml:space="preserve"> 其正常决策行为。一经发现，其将被认定为</w:t>
      </w:r>
      <w:r>
        <w:rPr>
          <w:rFonts w:ascii="微软雅黑" w:hAnsi="微软雅黑" w:eastAsia="微软雅黑" w:cs="微软雅黑"/>
          <w:b/>
          <w:bCs/>
          <w:color w:val="auto"/>
          <w:spacing w:val="-1"/>
          <w:sz w:val="24"/>
          <w:szCs w:val="24"/>
          <w:highlight w:val="none"/>
        </w:rPr>
        <w:t>磋商无效</w:t>
      </w:r>
      <w:r>
        <w:rPr>
          <w:rFonts w:ascii="微软雅黑" w:hAnsi="微软雅黑" w:eastAsia="微软雅黑" w:cs="微软雅黑"/>
          <w:color w:val="auto"/>
          <w:spacing w:val="-1"/>
          <w:sz w:val="24"/>
          <w:szCs w:val="24"/>
          <w:highlight w:val="none"/>
        </w:rPr>
        <w:t>。</w:t>
      </w:r>
    </w:p>
    <w:p w14:paraId="5B8D7B18">
      <w:pPr>
        <w:spacing w:before="46" w:line="183" w:lineRule="auto"/>
        <w:ind w:left="4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2.资金来源</w:t>
      </w:r>
    </w:p>
    <w:p w14:paraId="0A80F039">
      <w:pPr>
        <w:spacing w:before="44" w:line="184" w:lineRule="auto"/>
        <w:ind w:left="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2.1       本项目的采购人已获得</w:t>
      </w:r>
      <w:r>
        <w:rPr>
          <w:rFonts w:ascii="微软雅黑" w:hAnsi="微软雅黑" w:eastAsia="微软雅黑" w:cs="微软雅黑"/>
          <w:color w:val="auto"/>
          <w:spacing w:val="6"/>
          <w:sz w:val="24"/>
          <w:szCs w:val="24"/>
          <w:highlight w:val="none"/>
        </w:rPr>
        <w:t>足以支付本次招标后所签订的合同项下的资金</w:t>
      </w:r>
    </w:p>
    <w:p w14:paraId="5934A189">
      <w:pPr>
        <w:pStyle w:val="2"/>
        <w:tabs>
          <w:tab w:val="left" w:pos="4084"/>
        </w:tabs>
        <w:spacing w:before="59" w:line="181" w:lineRule="auto"/>
        <w:rPr>
          <w:color w:val="auto"/>
          <w:sz w:val="18"/>
          <w:szCs w:val="18"/>
          <w:highlight w:val="none"/>
        </w:rPr>
        <w:sectPr>
          <w:footerReference r:id="rId7" w:type="default"/>
          <w:pgSz w:w="11906" w:h="16839"/>
          <w:pgMar w:top="1134" w:right="1605" w:bottom="1134" w:left="1768" w:header="0" w:footer="0" w:gutter="0"/>
          <w:pgNumType w:fmt="decimal"/>
          <w:cols w:space="720" w:num="1"/>
        </w:sectPr>
      </w:pPr>
    </w:p>
    <w:p w14:paraId="0565C7AD">
      <w:pPr>
        <w:spacing w:before="103" w:line="210" w:lineRule="auto"/>
        <w:ind w:right="105"/>
        <w:rPr>
          <w:rFonts w:hint="eastAsia" w:ascii="微软雅黑" w:hAnsi="微软雅黑" w:eastAsia="微软雅黑" w:cs="微软雅黑"/>
          <w:color w:val="auto"/>
          <w:sz w:val="24"/>
          <w:szCs w:val="24"/>
          <w:highlight w:val="none"/>
          <w:lang w:eastAsia="zh-CN"/>
        </w:rPr>
      </w:pPr>
      <w:r>
        <w:rPr>
          <w:rFonts w:ascii="微软雅黑" w:hAnsi="微软雅黑" w:eastAsia="微软雅黑" w:cs="微软雅黑"/>
          <w:color w:val="auto"/>
          <w:spacing w:val="6"/>
          <w:sz w:val="24"/>
          <w:szCs w:val="24"/>
          <w:highlight w:val="none"/>
        </w:rPr>
        <w:t>（包括财政性资金和本项目采购中无法与财政性</w:t>
      </w:r>
      <w:r>
        <w:rPr>
          <w:rFonts w:ascii="微软雅黑" w:hAnsi="微软雅黑" w:eastAsia="微软雅黑" w:cs="微软雅黑"/>
          <w:color w:val="auto"/>
          <w:spacing w:val="5"/>
          <w:sz w:val="24"/>
          <w:szCs w:val="24"/>
          <w:highlight w:val="none"/>
        </w:rPr>
        <w:t>资金分割的非财政性</w:t>
      </w:r>
      <w:r>
        <w:rPr>
          <w:rFonts w:ascii="微软雅黑" w:hAnsi="微软雅黑" w:eastAsia="微软雅黑" w:cs="微软雅黑"/>
          <w:color w:val="auto"/>
          <w:spacing w:val="-10"/>
          <w:sz w:val="24"/>
          <w:szCs w:val="24"/>
          <w:highlight w:val="none"/>
        </w:rPr>
        <w:t>资金）</w:t>
      </w:r>
      <w:r>
        <w:rPr>
          <w:rFonts w:hint="eastAsia" w:ascii="微软雅黑" w:hAnsi="微软雅黑" w:eastAsia="微软雅黑" w:cs="微软雅黑"/>
          <w:color w:val="auto"/>
          <w:spacing w:val="-10"/>
          <w:sz w:val="24"/>
          <w:szCs w:val="24"/>
          <w:highlight w:val="none"/>
          <w:lang w:eastAsia="zh-CN"/>
        </w:rPr>
        <w:t>。</w:t>
      </w:r>
    </w:p>
    <w:p w14:paraId="72F00D7D">
      <w:pPr>
        <w:spacing w:before="43" w:line="184" w:lineRule="auto"/>
        <w:ind w:left="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2.2      项目预算金额和分项或分包最高限价</w:t>
      </w:r>
      <w:r>
        <w:rPr>
          <w:rFonts w:ascii="微软雅黑" w:hAnsi="微软雅黑" w:eastAsia="微软雅黑" w:cs="微软雅黑"/>
          <w:color w:val="auto"/>
          <w:spacing w:val="1"/>
          <w:sz w:val="24"/>
          <w:szCs w:val="24"/>
          <w:highlight w:val="none"/>
          <w:u w:val="single" w:color="auto"/>
        </w:rPr>
        <w:t>见供应商须知资料表</w:t>
      </w:r>
      <w:r>
        <w:rPr>
          <w:rFonts w:ascii="微软雅黑" w:hAnsi="微软雅黑" w:eastAsia="微软雅黑" w:cs="微软雅黑"/>
          <w:color w:val="auto"/>
          <w:spacing w:val="1"/>
          <w:sz w:val="24"/>
          <w:szCs w:val="24"/>
          <w:highlight w:val="none"/>
        </w:rPr>
        <w:t>。</w:t>
      </w:r>
    </w:p>
    <w:p w14:paraId="585F798D">
      <w:pPr>
        <w:spacing w:before="43" w:line="197" w:lineRule="auto"/>
        <w:ind w:left="931" w:right="149" w:hanging="88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2.3      供应商报价超过磋商文件规定的预算金额或者分项、分包最高限价的，</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1"/>
          <w:sz w:val="24"/>
          <w:szCs w:val="24"/>
          <w:highlight w:val="none"/>
        </w:rPr>
        <w:t>其磋商将被认定为</w:t>
      </w:r>
      <w:r>
        <w:rPr>
          <w:rFonts w:ascii="微软雅黑" w:hAnsi="微软雅黑" w:eastAsia="微软雅黑" w:cs="微软雅黑"/>
          <w:b/>
          <w:bCs/>
          <w:color w:val="auto"/>
          <w:spacing w:val="-1"/>
          <w:sz w:val="24"/>
          <w:szCs w:val="24"/>
          <w:highlight w:val="none"/>
        </w:rPr>
        <w:t>磋商无效</w:t>
      </w:r>
      <w:r>
        <w:rPr>
          <w:rFonts w:ascii="微软雅黑" w:hAnsi="微软雅黑" w:eastAsia="微软雅黑" w:cs="微软雅黑"/>
          <w:color w:val="auto"/>
          <w:spacing w:val="-1"/>
          <w:sz w:val="24"/>
          <w:szCs w:val="24"/>
          <w:highlight w:val="none"/>
        </w:rPr>
        <w:t>。</w:t>
      </w:r>
    </w:p>
    <w:p w14:paraId="7B4ED4FF">
      <w:pPr>
        <w:spacing w:before="46" w:line="183" w:lineRule="auto"/>
        <w:ind w:left="47"/>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rPr>
        <w:t>3.磋商费用</w:t>
      </w:r>
    </w:p>
    <w:p w14:paraId="5953754B">
      <w:pPr>
        <w:spacing w:before="44" w:line="184" w:lineRule="auto"/>
        <w:jc w:val="right"/>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不论磋商的结果如何，供应商应承担所有与准备和参</w:t>
      </w:r>
      <w:r>
        <w:rPr>
          <w:rFonts w:ascii="微软雅黑" w:hAnsi="微软雅黑" w:eastAsia="微软雅黑" w:cs="微软雅黑"/>
          <w:color w:val="auto"/>
          <w:spacing w:val="-6"/>
          <w:sz w:val="24"/>
          <w:szCs w:val="24"/>
          <w:highlight w:val="none"/>
        </w:rPr>
        <w:t>加磋商有关的费用。</w:t>
      </w:r>
    </w:p>
    <w:p w14:paraId="0B81F1E5">
      <w:pPr>
        <w:spacing w:before="46" w:line="183" w:lineRule="auto"/>
        <w:ind w:left="32"/>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4.适用法律</w:t>
      </w:r>
    </w:p>
    <w:p w14:paraId="28A52B5E">
      <w:pPr>
        <w:spacing w:before="50" w:line="209" w:lineRule="auto"/>
        <w:ind w:left="931" w:right="102" w:hanging="59"/>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本项目采购人、采购代理机构、供应商、磋商小组的相关行为</w:t>
      </w:r>
      <w:r>
        <w:rPr>
          <w:rFonts w:ascii="微软雅黑" w:hAnsi="微软雅黑" w:eastAsia="微软雅黑" w:cs="微软雅黑"/>
          <w:color w:val="auto"/>
          <w:sz w:val="24"/>
          <w:szCs w:val="24"/>
          <w:highlight w:val="none"/>
        </w:rPr>
        <w:t xml:space="preserve">均受《中 </w:t>
      </w:r>
      <w:r>
        <w:rPr>
          <w:rFonts w:ascii="微软雅黑" w:hAnsi="微软雅黑" w:eastAsia="微软雅黑" w:cs="微软雅黑"/>
          <w:color w:val="auto"/>
          <w:spacing w:val="15"/>
          <w:sz w:val="24"/>
          <w:szCs w:val="24"/>
          <w:highlight w:val="none"/>
        </w:rPr>
        <w:t>华人民共和国政府采购法》、《中华人民共和国政府采购法实施条</w:t>
      </w:r>
      <w:r>
        <w:rPr>
          <w:rFonts w:ascii="微软雅黑" w:hAnsi="微软雅黑" w:eastAsia="微软雅黑" w:cs="微软雅黑"/>
          <w:color w:val="auto"/>
          <w:spacing w:val="12"/>
          <w:sz w:val="24"/>
          <w:szCs w:val="24"/>
          <w:highlight w:val="none"/>
        </w:rPr>
        <w:t xml:space="preserve"> </w:t>
      </w:r>
      <w:r>
        <w:rPr>
          <w:rFonts w:ascii="微软雅黑" w:hAnsi="微软雅黑" w:eastAsia="微软雅黑" w:cs="微软雅黑"/>
          <w:color w:val="auto"/>
          <w:spacing w:val="1"/>
          <w:sz w:val="24"/>
          <w:szCs w:val="24"/>
          <w:highlight w:val="none"/>
        </w:rPr>
        <w:t>例》、中华人民共和国财政部令 74 号《政府采购</w:t>
      </w:r>
      <w:r>
        <w:rPr>
          <w:rFonts w:ascii="微软雅黑" w:hAnsi="微软雅黑" w:eastAsia="微软雅黑" w:cs="微软雅黑"/>
          <w:color w:val="auto"/>
          <w:sz w:val="24"/>
          <w:szCs w:val="24"/>
          <w:highlight w:val="none"/>
        </w:rPr>
        <w:t xml:space="preserve">非招标采购方式管理 </w:t>
      </w:r>
      <w:r>
        <w:rPr>
          <w:rFonts w:ascii="微软雅黑" w:hAnsi="微软雅黑" w:eastAsia="微软雅黑" w:cs="微软雅黑"/>
          <w:color w:val="auto"/>
          <w:spacing w:val="-4"/>
          <w:sz w:val="24"/>
          <w:szCs w:val="24"/>
          <w:highlight w:val="none"/>
        </w:rPr>
        <w:t>办法》及本项目本级和上级财政部门政府采购有关规定的约束，</w:t>
      </w:r>
      <w:r>
        <w:rPr>
          <w:rFonts w:ascii="微软雅黑" w:hAnsi="微软雅黑" w:eastAsia="微软雅黑" w:cs="微软雅黑"/>
          <w:color w:val="auto"/>
          <w:spacing w:val="20"/>
          <w:sz w:val="24"/>
          <w:szCs w:val="24"/>
          <w:highlight w:val="none"/>
        </w:rPr>
        <w:t xml:space="preserve"> </w:t>
      </w:r>
      <w:r>
        <w:rPr>
          <w:rFonts w:ascii="微软雅黑" w:hAnsi="微软雅黑" w:eastAsia="微软雅黑" w:cs="微软雅黑"/>
          <w:color w:val="auto"/>
          <w:spacing w:val="-4"/>
          <w:sz w:val="24"/>
          <w:szCs w:val="24"/>
          <w:highlight w:val="none"/>
        </w:rPr>
        <w:t>其权利</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4"/>
          <w:sz w:val="24"/>
          <w:szCs w:val="24"/>
          <w:highlight w:val="none"/>
        </w:rPr>
        <w:t>受到上述法律法规的保护。</w:t>
      </w:r>
    </w:p>
    <w:p w14:paraId="06CD9B94">
      <w:pPr>
        <w:spacing w:before="329" w:line="183" w:lineRule="auto"/>
        <w:ind w:left="3553"/>
        <w:outlineLvl w:val="1"/>
        <w:rPr>
          <w:rFonts w:ascii="微软雅黑" w:hAnsi="微软雅黑" w:eastAsia="微软雅黑" w:cs="微软雅黑"/>
          <w:color w:val="auto"/>
          <w:sz w:val="28"/>
          <w:szCs w:val="28"/>
          <w:highlight w:val="none"/>
        </w:rPr>
      </w:pPr>
      <w:r>
        <w:rPr>
          <w:rFonts w:ascii="微软雅黑" w:hAnsi="微软雅黑" w:eastAsia="微软雅黑" w:cs="微软雅黑"/>
          <w:b/>
          <w:bCs/>
          <w:color w:val="auto"/>
          <w:spacing w:val="-1"/>
          <w:sz w:val="28"/>
          <w:szCs w:val="28"/>
          <w:highlight w:val="none"/>
        </w:rPr>
        <w:t>二     磋商文件</w:t>
      </w:r>
    </w:p>
    <w:p w14:paraId="28DB3079">
      <w:pPr>
        <w:spacing w:before="28" w:line="183" w:lineRule="auto"/>
        <w:ind w:left="49"/>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5.磋商文件构成</w:t>
      </w:r>
    </w:p>
    <w:p w14:paraId="4A417665">
      <w:pPr>
        <w:spacing w:before="46" w:line="209" w:lineRule="auto"/>
        <w:ind w:left="30" w:right="3458" w:firstLine="1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5.1   磋商文件分为三册共 7 章</w:t>
      </w:r>
      <w:r>
        <w:rPr>
          <w:rFonts w:ascii="微软雅黑" w:hAnsi="微软雅黑" w:eastAsia="微软雅黑" w:cs="微软雅黑"/>
          <w:color w:val="auto"/>
          <w:spacing w:val="-4"/>
          <w:sz w:val="24"/>
          <w:szCs w:val="24"/>
          <w:highlight w:val="none"/>
        </w:rPr>
        <w:t>，内容如下：</w:t>
      </w:r>
      <w:r>
        <w:rPr>
          <w:rFonts w:ascii="微软雅黑" w:hAnsi="微软雅黑" w:eastAsia="微软雅黑" w:cs="微软雅黑"/>
          <w:color w:val="auto"/>
          <w:sz w:val="24"/>
          <w:szCs w:val="24"/>
          <w:highlight w:val="none"/>
        </w:rPr>
        <w:t xml:space="preserve"> </w:t>
      </w:r>
    </w:p>
    <w:p w14:paraId="094BC0C2">
      <w:pPr>
        <w:spacing w:before="46" w:line="209" w:lineRule="auto"/>
        <w:ind w:left="30" w:right="3458" w:firstLine="1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第一册</w:t>
      </w:r>
    </w:p>
    <w:p w14:paraId="5E610CD3">
      <w:pPr>
        <w:spacing w:before="1" w:line="184" w:lineRule="auto"/>
        <w:ind w:left="3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第 1 章 供应商须知</w:t>
      </w:r>
    </w:p>
    <w:p w14:paraId="14F051AC">
      <w:pPr>
        <w:spacing w:before="44" w:line="210" w:lineRule="auto"/>
        <w:ind w:left="30" w:right="616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第 2 章 响应文件格式</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第二册</w:t>
      </w:r>
    </w:p>
    <w:p w14:paraId="175F187E">
      <w:pPr>
        <w:spacing w:before="2" w:line="183" w:lineRule="auto"/>
        <w:ind w:left="3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第 3 章 磋商邀请</w:t>
      </w:r>
    </w:p>
    <w:p w14:paraId="02D845D5">
      <w:pPr>
        <w:spacing w:before="44" w:line="184" w:lineRule="auto"/>
        <w:ind w:left="3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第 4 章 供应商须知资料表</w:t>
      </w:r>
    </w:p>
    <w:p w14:paraId="3E195185">
      <w:pPr>
        <w:spacing w:before="44" w:line="184" w:lineRule="auto"/>
        <w:ind w:left="3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第 5 章 服务需求及项目要求</w:t>
      </w:r>
    </w:p>
    <w:p w14:paraId="0FFD83AC">
      <w:pPr>
        <w:spacing w:before="44" w:line="210" w:lineRule="auto"/>
        <w:ind w:left="30" w:right="592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第 6 章 评标方法和标准</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1"/>
          <w:sz w:val="24"/>
          <w:szCs w:val="24"/>
          <w:highlight w:val="none"/>
        </w:rPr>
        <w:t>第三册</w:t>
      </w:r>
    </w:p>
    <w:p w14:paraId="65A7F328">
      <w:pPr>
        <w:spacing w:line="184" w:lineRule="auto"/>
        <w:ind w:left="3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第 7 章 政府采购合同格</w:t>
      </w:r>
    </w:p>
    <w:p w14:paraId="44B79D10">
      <w:pPr>
        <w:spacing w:before="46" w:line="183" w:lineRule="auto"/>
        <w:ind w:left="4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5.2        如本文件的前后内容不一致，以</w:t>
      </w:r>
      <w:r>
        <w:rPr>
          <w:rFonts w:ascii="微软雅黑" w:hAnsi="微软雅黑" w:eastAsia="微软雅黑" w:cs="微软雅黑"/>
          <w:color w:val="auto"/>
          <w:spacing w:val="-3"/>
          <w:sz w:val="24"/>
          <w:szCs w:val="24"/>
          <w:highlight w:val="none"/>
        </w:rPr>
        <w:t>最后描述为准。</w:t>
      </w:r>
    </w:p>
    <w:p w14:paraId="22D89B9A">
      <w:pPr>
        <w:spacing w:before="45" w:line="201" w:lineRule="auto"/>
        <w:ind w:left="929" w:hanging="88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 xml:space="preserve">5.3      供应商应认真阅读磋商文件所有的事项、格式、条款和技术规范等。如  </w:t>
      </w:r>
      <w:r>
        <w:rPr>
          <w:rFonts w:ascii="微软雅黑" w:hAnsi="微软雅黑" w:eastAsia="微软雅黑" w:cs="微软雅黑"/>
          <w:color w:val="auto"/>
          <w:spacing w:val="-1"/>
          <w:sz w:val="24"/>
          <w:szCs w:val="24"/>
          <w:highlight w:val="none"/>
        </w:rPr>
        <w:t>供应商没有按照磋商文件要求提交全部资料，或者响应文件没有对磋商</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5"/>
          <w:sz w:val="24"/>
          <w:szCs w:val="24"/>
          <w:highlight w:val="none"/>
        </w:rPr>
        <w:t>文件在各方面都做出实质性响应，可能导致其磋商将被</w:t>
      </w:r>
      <w:r>
        <w:rPr>
          <w:rFonts w:ascii="微软雅黑" w:hAnsi="微软雅黑" w:eastAsia="微软雅黑" w:cs="微软雅黑"/>
          <w:color w:val="auto"/>
          <w:spacing w:val="-6"/>
          <w:sz w:val="24"/>
          <w:szCs w:val="24"/>
          <w:highlight w:val="none"/>
        </w:rPr>
        <w:t>认定为</w:t>
      </w:r>
      <w:r>
        <w:rPr>
          <w:rFonts w:ascii="微软雅黑" w:hAnsi="微软雅黑" w:eastAsia="微软雅黑" w:cs="微软雅黑"/>
          <w:b/>
          <w:bCs/>
          <w:color w:val="auto"/>
          <w:spacing w:val="-6"/>
          <w:sz w:val="24"/>
          <w:szCs w:val="24"/>
          <w:highlight w:val="none"/>
        </w:rPr>
        <w:t>磋商无效</w:t>
      </w:r>
      <w:r>
        <w:rPr>
          <w:rFonts w:ascii="微软雅黑" w:hAnsi="微软雅黑" w:eastAsia="微软雅黑" w:cs="微软雅黑"/>
          <w:color w:val="auto"/>
          <w:spacing w:val="-6"/>
          <w:sz w:val="24"/>
          <w:szCs w:val="24"/>
          <w:highlight w:val="none"/>
        </w:rPr>
        <w:t>。</w:t>
      </w:r>
    </w:p>
    <w:p w14:paraId="21075EB3">
      <w:pPr>
        <w:spacing w:before="46" w:line="183" w:lineRule="auto"/>
        <w:ind w:left="4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6.磋商文件的澄清与修改</w:t>
      </w:r>
    </w:p>
    <w:p w14:paraId="0E000B1F">
      <w:pPr>
        <w:spacing w:before="46" w:line="201" w:lineRule="auto"/>
        <w:ind w:left="870" w:right="134" w:hanging="82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6.1      为了保证对磋商文件的澄清和修改满足法律的时限要求，任何要求对磋</w:t>
      </w:r>
      <w:r>
        <w:rPr>
          <w:rFonts w:ascii="微软雅黑" w:hAnsi="微软雅黑" w:eastAsia="微软雅黑" w:cs="微软雅黑"/>
          <w:color w:val="auto"/>
          <w:sz w:val="24"/>
          <w:szCs w:val="24"/>
          <w:highlight w:val="none"/>
        </w:rPr>
        <w:t xml:space="preserve"> 商文件进行澄清的供应商，均应在磋商截止时间五个工作日前</w:t>
      </w:r>
      <w:r>
        <w:rPr>
          <w:rFonts w:ascii="微软雅黑" w:hAnsi="微软雅黑" w:eastAsia="微软雅黑" w:cs="微软雅黑"/>
          <w:color w:val="auto"/>
          <w:spacing w:val="-1"/>
          <w:sz w:val="24"/>
          <w:szCs w:val="24"/>
          <w:highlight w:val="none"/>
        </w:rPr>
        <w:t>，以书面</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形式将澄清要求通知采购人或采购代理机构。</w:t>
      </w:r>
    </w:p>
    <w:p w14:paraId="0112B7CD">
      <w:pPr>
        <w:spacing w:before="45" w:line="201" w:lineRule="auto"/>
        <w:ind w:left="868" w:right="134" w:hanging="826"/>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6.2       采购人可主动地或在解答供应商提出的澄清</w:t>
      </w:r>
      <w:r>
        <w:rPr>
          <w:rFonts w:ascii="微软雅黑" w:hAnsi="微软雅黑" w:eastAsia="微软雅黑" w:cs="微软雅黑"/>
          <w:color w:val="auto"/>
          <w:spacing w:val="-1"/>
          <w:sz w:val="24"/>
          <w:szCs w:val="24"/>
          <w:highlight w:val="none"/>
        </w:rPr>
        <w:t>问题时对磋商文件进行澄清</w:t>
      </w:r>
      <w:r>
        <w:rPr>
          <w:rFonts w:ascii="微软雅黑" w:hAnsi="微软雅黑" w:eastAsia="微软雅黑" w:cs="微软雅黑"/>
          <w:color w:val="auto"/>
          <w:sz w:val="24"/>
          <w:szCs w:val="24"/>
          <w:highlight w:val="none"/>
        </w:rPr>
        <w:t xml:space="preserve"> 或修改。采购代理机构将以发布澄清（更正）公告的方式，澄清或</w:t>
      </w:r>
      <w:r>
        <w:rPr>
          <w:rFonts w:ascii="微软雅黑" w:hAnsi="微软雅黑" w:eastAsia="微软雅黑" w:cs="微软雅黑"/>
          <w:color w:val="auto"/>
          <w:spacing w:val="-1"/>
          <w:sz w:val="24"/>
          <w:szCs w:val="24"/>
          <w:highlight w:val="none"/>
        </w:rPr>
        <w:t>修改</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磋商文件，澄清或修改内容作为磋商文件的组成部分。</w:t>
      </w:r>
    </w:p>
    <w:p w14:paraId="192B2871">
      <w:pPr>
        <w:spacing w:line="457" w:lineRule="auto"/>
        <w:rPr>
          <w:rFonts w:ascii="Arial"/>
          <w:color w:val="auto"/>
          <w:sz w:val="21"/>
          <w:highlight w:val="none"/>
        </w:rPr>
      </w:pPr>
    </w:p>
    <w:p w14:paraId="0749F7D4">
      <w:pPr>
        <w:pStyle w:val="2"/>
        <w:spacing w:before="59" w:line="180" w:lineRule="auto"/>
        <w:ind w:left="4150"/>
        <w:rPr>
          <w:color w:val="auto"/>
          <w:sz w:val="18"/>
          <w:szCs w:val="18"/>
          <w:highlight w:val="none"/>
        </w:rPr>
      </w:pPr>
    </w:p>
    <w:p w14:paraId="6A15A571">
      <w:pPr>
        <w:spacing w:line="180" w:lineRule="auto"/>
        <w:rPr>
          <w:color w:val="auto"/>
          <w:sz w:val="18"/>
          <w:szCs w:val="18"/>
          <w:highlight w:val="none"/>
        </w:rPr>
        <w:sectPr>
          <w:footerReference r:id="rId8" w:type="default"/>
          <w:pgSz w:w="11906" w:h="16839"/>
          <w:pgMar w:top="1417" w:right="1694" w:bottom="1417" w:left="1768" w:header="0" w:footer="0" w:gutter="0"/>
          <w:pgNumType w:fmt="decimal"/>
          <w:cols w:space="720" w:num="1"/>
        </w:sectPr>
      </w:pPr>
    </w:p>
    <w:p w14:paraId="5D652F7D">
      <w:pPr>
        <w:spacing w:before="102" w:line="209" w:lineRule="auto"/>
        <w:ind w:left="870" w:right="276" w:hanging="828"/>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6.3       澄清或者修改的内容可能影响响应文件编制</w:t>
      </w:r>
      <w:r>
        <w:rPr>
          <w:rFonts w:ascii="微软雅黑" w:hAnsi="微软雅黑" w:eastAsia="微软雅黑" w:cs="微软雅黑"/>
          <w:color w:val="auto"/>
          <w:spacing w:val="-1"/>
          <w:sz w:val="24"/>
          <w:szCs w:val="24"/>
          <w:highlight w:val="none"/>
        </w:rPr>
        <w:t>的，采购代理机构将以书面</w:t>
      </w:r>
      <w:r>
        <w:rPr>
          <w:rFonts w:ascii="微软雅黑" w:hAnsi="微软雅黑" w:eastAsia="微软雅黑" w:cs="微软雅黑"/>
          <w:color w:val="auto"/>
          <w:sz w:val="24"/>
          <w:szCs w:val="24"/>
          <w:highlight w:val="none"/>
        </w:rPr>
        <w:t xml:space="preserve"> 形式通知所有购买磋商文件的潜在供应商，并对其具有约束力</w:t>
      </w:r>
      <w:r>
        <w:rPr>
          <w:rFonts w:ascii="微软雅黑" w:hAnsi="微软雅黑" w:eastAsia="微软雅黑" w:cs="微软雅黑"/>
          <w:color w:val="auto"/>
          <w:spacing w:val="-1"/>
          <w:sz w:val="24"/>
          <w:szCs w:val="24"/>
          <w:highlight w:val="none"/>
        </w:rPr>
        <w:t>。供应商</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在收到上述通知后，应及时向采购代理机构回函确认。</w:t>
      </w:r>
    </w:p>
    <w:p w14:paraId="1E996D56">
      <w:pPr>
        <w:spacing w:before="3" w:line="183" w:lineRule="auto"/>
        <w:ind w:left="40"/>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7.磋商截止时间的顺延</w:t>
      </w:r>
    </w:p>
    <w:p w14:paraId="3FFB67F1">
      <w:pPr>
        <w:spacing w:before="44" w:line="209" w:lineRule="auto"/>
        <w:ind w:left="931" w:right="244" w:firstLine="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为使供应商准备磋商时有足够的时间对磋商文件的</w:t>
      </w:r>
      <w:r>
        <w:rPr>
          <w:rFonts w:ascii="微软雅黑" w:hAnsi="微软雅黑" w:eastAsia="微软雅黑" w:cs="微软雅黑"/>
          <w:color w:val="auto"/>
          <w:spacing w:val="6"/>
          <w:sz w:val="24"/>
          <w:szCs w:val="24"/>
          <w:highlight w:val="none"/>
        </w:rPr>
        <w:t>澄清或者修改部分</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进行研究，采购人将依法决定是否顺延磋商截止时间。</w:t>
      </w:r>
    </w:p>
    <w:p w14:paraId="1BFD2311">
      <w:pPr>
        <w:spacing w:before="330" w:line="183" w:lineRule="auto"/>
        <w:ind w:left="3132"/>
        <w:rPr>
          <w:rFonts w:ascii="微软雅黑" w:hAnsi="微软雅黑" w:eastAsia="微软雅黑" w:cs="微软雅黑"/>
          <w:color w:val="auto"/>
          <w:sz w:val="28"/>
          <w:szCs w:val="28"/>
          <w:highlight w:val="none"/>
        </w:rPr>
      </w:pPr>
      <w:r>
        <w:rPr>
          <w:rFonts w:ascii="微软雅黑" w:hAnsi="微软雅黑" w:eastAsia="微软雅黑" w:cs="微软雅黑"/>
          <w:b/>
          <w:bCs/>
          <w:color w:val="auto"/>
          <w:spacing w:val="-1"/>
          <w:sz w:val="28"/>
          <w:szCs w:val="28"/>
          <w:highlight w:val="none"/>
        </w:rPr>
        <w:t>三     响应文件的编制</w:t>
      </w:r>
    </w:p>
    <w:p w14:paraId="0211C38C">
      <w:pPr>
        <w:spacing w:before="26" w:line="184" w:lineRule="auto"/>
        <w:ind w:left="39"/>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8.磋商范围及响应文件成交准和计量单位的使用</w:t>
      </w:r>
    </w:p>
    <w:p w14:paraId="5C2D250B">
      <w:pPr>
        <w:spacing w:before="44" w:line="197" w:lineRule="auto"/>
        <w:ind w:left="933" w:right="244" w:hanging="89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8.1       项目有分包的，供应商可对磋</w:t>
      </w:r>
      <w:r>
        <w:rPr>
          <w:rFonts w:ascii="微软雅黑" w:hAnsi="微软雅黑" w:eastAsia="微软雅黑" w:cs="微软雅黑"/>
          <w:color w:val="auto"/>
          <w:sz w:val="24"/>
          <w:szCs w:val="24"/>
          <w:highlight w:val="none"/>
        </w:rPr>
        <w:t xml:space="preserve">商文件其中某一个或几个分包服务进行磋 </w:t>
      </w:r>
      <w:r>
        <w:rPr>
          <w:rFonts w:ascii="微软雅黑" w:hAnsi="微软雅黑" w:eastAsia="微软雅黑" w:cs="微软雅黑"/>
          <w:color w:val="auto"/>
          <w:spacing w:val="-3"/>
          <w:sz w:val="24"/>
          <w:szCs w:val="24"/>
          <w:highlight w:val="none"/>
        </w:rPr>
        <w:t>商，除非在</w:t>
      </w:r>
      <w:r>
        <w:rPr>
          <w:rFonts w:ascii="微软雅黑" w:hAnsi="微软雅黑" w:eastAsia="微软雅黑" w:cs="微软雅黑"/>
          <w:color w:val="auto"/>
          <w:spacing w:val="-3"/>
          <w:sz w:val="24"/>
          <w:szCs w:val="24"/>
          <w:highlight w:val="none"/>
          <w:u w:val="single" w:color="auto"/>
        </w:rPr>
        <w:t>供应商须知资料表</w:t>
      </w:r>
      <w:r>
        <w:rPr>
          <w:rFonts w:ascii="微软雅黑" w:hAnsi="微软雅黑" w:eastAsia="微软雅黑" w:cs="微软雅黑"/>
          <w:color w:val="auto"/>
          <w:spacing w:val="-3"/>
          <w:sz w:val="24"/>
          <w:szCs w:val="24"/>
          <w:highlight w:val="none"/>
        </w:rPr>
        <w:t>中另有规定。</w:t>
      </w:r>
    </w:p>
    <w:p w14:paraId="6AD89484">
      <w:pPr>
        <w:spacing w:before="46" w:line="201" w:lineRule="auto"/>
        <w:ind w:left="937" w:right="244" w:hanging="89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8.2        供应商应当对所投分包磋商文件中“服务需求及项目要求</w:t>
      </w:r>
      <w:r>
        <w:rPr>
          <w:rFonts w:ascii="微软雅黑" w:hAnsi="微软雅黑" w:eastAsia="微软雅黑" w:cs="微软雅黑"/>
          <w:color w:val="auto"/>
          <w:spacing w:val="-2"/>
          <w:sz w:val="24"/>
          <w:szCs w:val="24"/>
          <w:highlight w:val="none"/>
        </w:rPr>
        <w:t>”所列的所有</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内容进行磋商，如仅响应某一标项中的部分内容，其磋</w:t>
      </w:r>
      <w:r>
        <w:rPr>
          <w:rFonts w:ascii="微软雅黑" w:hAnsi="微软雅黑" w:eastAsia="微软雅黑" w:cs="微软雅黑"/>
          <w:color w:val="auto"/>
          <w:spacing w:val="-2"/>
          <w:sz w:val="24"/>
          <w:szCs w:val="24"/>
          <w:highlight w:val="none"/>
        </w:rPr>
        <w:t>商将被认定为</w:t>
      </w:r>
      <w:r>
        <w:rPr>
          <w:rFonts w:ascii="微软雅黑" w:hAnsi="微软雅黑" w:eastAsia="微软雅黑" w:cs="微软雅黑"/>
          <w:b/>
          <w:bCs/>
          <w:color w:val="auto"/>
          <w:spacing w:val="-2"/>
          <w:sz w:val="24"/>
          <w:szCs w:val="24"/>
          <w:highlight w:val="none"/>
        </w:rPr>
        <w:t>磋</w:t>
      </w:r>
      <w:r>
        <w:rPr>
          <w:rFonts w:ascii="微软雅黑" w:hAnsi="微软雅黑" w:eastAsia="微软雅黑" w:cs="微软雅黑"/>
          <w:b/>
          <w:bCs/>
          <w:color w:val="auto"/>
          <w:sz w:val="24"/>
          <w:szCs w:val="24"/>
          <w:highlight w:val="none"/>
        </w:rPr>
        <w:t xml:space="preserve"> </w:t>
      </w:r>
      <w:r>
        <w:rPr>
          <w:rFonts w:ascii="微软雅黑" w:hAnsi="微软雅黑" w:eastAsia="微软雅黑" w:cs="微软雅黑"/>
          <w:b/>
          <w:bCs/>
          <w:color w:val="auto"/>
          <w:spacing w:val="-3"/>
          <w:sz w:val="24"/>
          <w:szCs w:val="24"/>
          <w:highlight w:val="none"/>
        </w:rPr>
        <w:t>商无效</w:t>
      </w:r>
      <w:r>
        <w:rPr>
          <w:rFonts w:ascii="微软雅黑" w:hAnsi="微软雅黑" w:eastAsia="微软雅黑" w:cs="微软雅黑"/>
          <w:color w:val="auto"/>
          <w:spacing w:val="-3"/>
          <w:sz w:val="24"/>
          <w:szCs w:val="24"/>
          <w:highlight w:val="none"/>
        </w:rPr>
        <w:t>。</w:t>
      </w:r>
    </w:p>
    <w:p w14:paraId="3C5072AD">
      <w:pPr>
        <w:spacing w:before="44" w:line="197" w:lineRule="auto"/>
        <w:ind w:left="933" w:right="244" w:hanging="89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8.3        除磋商文件中有特殊要求外，响应文件中所使用的计量单</w:t>
      </w:r>
      <w:r>
        <w:rPr>
          <w:rFonts w:ascii="微软雅黑" w:hAnsi="微软雅黑" w:eastAsia="微软雅黑" w:cs="微软雅黑"/>
          <w:color w:val="auto"/>
          <w:spacing w:val="-2"/>
          <w:sz w:val="24"/>
          <w:szCs w:val="24"/>
          <w:highlight w:val="none"/>
        </w:rPr>
        <w:t>位，应采用中</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4"/>
          <w:sz w:val="24"/>
          <w:szCs w:val="24"/>
          <w:highlight w:val="none"/>
        </w:rPr>
        <w:t>华人民共和国法定计量单位。</w:t>
      </w:r>
    </w:p>
    <w:p w14:paraId="123D855A">
      <w:pPr>
        <w:spacing w:before="46" w:line="183" w:lineRule="auto"/>
        <w:ind w:left="39"/>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9.响应文件构成</w:t>
      </w:r>
    </w:p>
    <w:p w14:paraId="265F7FE8">
      <w:pPr>
        <w:spacing w:before="44" w:line="197" w:lineRule="auto"/>
        <w:ind w:left="991" w:hanging="95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 xml:space="preserve">9.1      </w:t>
      </w:r>
      <w:r>
        <w:rPr>
          <w:rFonts w:ascii="微软雅黑" w:hAnsi="微软雅黑" w:eastAsia="微软雅黑" w:cs="微软雅黑"/>
          <w:b/>
          <w:bCs/>
          <w:color w:val="auto"/>
          <w:spacing w:val="5"/>
          <w:sz w:val="24"/>
          <w:szCs w:val="24"/>
          <w:highlight w:val="none"/>
          <w:u w:val="single" w:color="auto"/>
        </w:rPr>
        <w:t xml:space="preserve">  供应商应完整地按磋商文件提供的响</w:t>
      </w:r>
      <w:r>
        <w:rPr>
          <w:rFonts w:ascii="微软雅黑" w:hAnsi="微软雅黑" w:eastAsia="微软雅黑" w:cs="微软雅黑"/>
          <w:b/>
          <w:bCs/>
          <w:color w:val="auto"/>
          <w:spacing w:val="4"/>
          <w:sz w:val="24"/>
          <w:szCs w:val="24"/>
          <w:highlight w:val="none"/>
          <w:u w:val="single" w:color="auto"/>
        </w:rPr>
        <w:t>应文件格式及要求编写响应文件，</w:t>
      </w:r>
      <w:r>
        <w:rPr>
          <w:rFonts w:ascii="微软雅黑" w:hAnsi="微软雅黑" w:eastAsia="微软雅黑" w:cs="微软雅黑"/>
          <w:b/>
          <w:bCs/>
          <w:color w:val="auto"/>
          <w:sz w:val="24"/>
          <w:szCs w:val="24"/>
          <w:highlight w:val="none"/>
        </w:rPr>
        <w:t xml:space="preserve"> </w:t>
      </w:r>
      <w:r>
        <w:rPr>
          <w:rFonts w:ascii="微软雅黑" w:hAnsi="微软雅黑" w:eastAsia="微软雅黑" w:cs="微软雅黑"/>
          <w:b/>
          <w:bCs/>
          <w:color w:val="auto"/>
          <w:spacing w:val="-3"/>
          <w:sz w:val="24"/>
          <w:szCs w:val="24"/>
          <w:highlight w:val="none"/>
          <w:u w:val="single" w:color="auto"/>
        </w:rPr>
        <w:t>根据平台关联点上传对应佐证资料，响应文件应包括“磋商一览表及资</w:t>
      </w:r>
    </w:p>
    <w:p w14:paraId="2B0E2B7C">
      <w:pPr>
        <w:spacing w:before="47" w:line="196" w:lineRule="auto"/>
        <w:ind w:left="991" w:right="244"/>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u w:val="single" w:color="auto"/>
        </w:rPr>
        <w:t>格证明文件”和“商务及技术文件”两部分，两部分合并成完整一册上</w:t>
      </w:r>
      <w:r>
        <w:rPr>
          <w:rFonts w:ascii="微软雅黑" w:hAnsi="微软雅黑" w:eastAsia="微软雅黑" w:cs="微软雅黑"/>
          <w:b/>
          <w:bCs/>
          <w:color w:val="auto"/>
          <w:spacing w:val="1"/>
          <w:sz w:val="24"/>
          <w:szCs w:val="24"/>
          <w:highlight w:val="none"/>
        </w:rPr>
        <w:t xml:space="preserve"> </w:t>
      </w:r>
      <w:r>
        <w:rPr>
          <w:rFonts w:ascii="微软雅黑" w:hAnsi="微软雅黑" w:eastAsia="微软雅黑" w:cs="微软雅黑"/>
          <w:b/>
          <w:bCs/>
          <w:color w:val="auto"/>
          <w:sz w:val="24"/>
          <w:szCs w:val="24"/>
          <w:highlight w:val="none"/>
          <w:u w:val="single" w:color="auto"/>
        </w:rPr>
        <w:t>传至政采云平台。供应商应承担上传失误产生的任</w:t>
      </w:r>
      <w:r>
        <w:rPr>
          <w:rFonts w:ascii="微软雅黑" w:hAnsi="微软雅黑" w:eastAsia="微软雅黑" w:cs="微软雅黑"/>
          <w:b/>
          <w:bCs/>
          <w:color w:val="auto"/>
          <w:spacing w:val="-1"/>
          <w:sz w:val="24"/>
          <w:szCs w:val="24"/>
          <w:highlight w:val="none"/>
          <w:u w:val="single" w:color="auto"/>
        </w:rPr>
        <w:t>何后果。</w:t>
      </w:r>
    </w:p>
    <w:p w14:paraId="56D5C9DA">
      <w:pPr>
        <w:spacing w:before="44" w:line="184" w:lineRule="auto"/>
        <w:ind w:left="4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9.2</w:t>
      </w:r>
      <w:r>
        <w:rPr>
          <w:rFonts w:ascii="微软雅黑" w:hAnsi="微软雅黑" w:eastAsia="微软雅黑" w:cs="微软雅黑"/>
          <w:color w:val="auto"/>
          <w:spacing w:val="10"/>
          <w:sz w:val="24"/>
          <w:szCs w:val="24"/>
          <w:highlight w:val="none"/>
        </w:rPr>
        <w:t xml:space="preserve">      </w:t>
      </w:r>
      <w:r>
        <w:rPr>
          <w:rFonts w:ascii="微软雅黑" w:hAnsi="微软雅黑" w:eastAsia="微软雅黑" w:cs="微软雅黑"/>
          <w:color w:val="auto"/>
          <w:spacing w:val="-2"/>
          <w:sz w:val="24"/>
          <w:szCs w:val="24"/>
          <w:highlight w:val="none"/>
        </w:rPr>
        <w:t>上述文件应按照磋商文件规定的格式填写</w:t>
      </w:r>
      <w:r>
        <w:rPr>
          <w:rFonts w:ascii="微软雅黑" w:hAnsi="微软雅黑" w:eastAsia="微软雅黑" w:cs="微软雅黑"/>
          <w:color w:val="auto"/>
          <w:spacing w:val="-3"/>
          <w:sz w:val="24"/>
          <w:szCs w:val="24"/>
          <w:highlight w:val="none"/>
        </w:rPr>
        <w:t>、签署和盖章。</w:t>
      </w:r>
    </w:p>
    <w:p w14:paraId="7C32D5B2">
      <w:pPr>
        <w:spacing w:before="46" w:line="183" w:lineRule="auto"/>
        <w:ind w:left="5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10. 证明磋商的的合格性和符合磋商文件规定的技术文件</w:t>
      </w:r>
    </w:p>
    <w:p w14:paraId="2A307293">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10.1     供应商应提交证明文件，证明其磋商内容符合磋商文件规定。该证明文</w:t>
      </w:r>
    </w:p>
    <w:p w14:paraId="327F164D">
      <w:pPr>
        <w:spacing w:before="46" w:line="183" w:lineRule="auto"/>
        <w:ind w:left="93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件是响应文件的一部分。</w:t>
      </w:r>
    </w:p>
    <w:p w14:paraId="0FD77B43">
      <w:pPr>
        <w:spacing w:before="47" w:line="208" w:lineRule="auto"/>
        <w:ind w:left="53" w:right="98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10.2      上款所述的证明文件，可以是文字资料、图纸和数据，它包括：</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10.2.1   服务主要技术指标的详细说明；</w:t>
      </w:r>
    </w:p>
    <w:p w14:paraId="00B1E490">
      <w:pPr>
        <w:spacing w:before="4" w:line="209" w:lineRule="auto"/>
        <w:ind w:left="950" w:right="244" w:hanging="89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10.2.2   对照磋商文件服务要求，逐条说明所提供服务对磋商文件</w:t>
      </w:r>
      <w:r>
        <w:rPr>
          <w:rFonts w:ascii="微软雅黑" w:hAnsi="微软雅黑" w:eastAsia="微软雅黑" w:cs="微软雅黑"/>
          <w:color w:val="auto"/>
          <w:spacing w:val="-2"/>
          <w:sz w:val="24"/>
          <w:szCs w:val="24"/>
          <w:highlight w:val="none"/>
        </w:rPr>
        <w:t>的服务要求做</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7"/>
          <w:sz w:val="24"/>
          <w:szCs w:val="24"/>
          <w:highlight w:val="none"/>
        </w:rPr>
        <w:t>出了实质性的响应。</w:t>
      </w:r>
    </w:p>
    <w:p w14:paraId="44325E96">
      <w:pPr>
        <w:spacing w:before="4" w:line="183" w:lineRule="auto"/>
        <w:ind w:left="5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rPr>
        <w:t>11.磋商报价</w:t>
      </w:r>
    </w:p>
    <w:p w14:paraId="214C6C87">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11.1      所有磋商均以人民币报价。供应商的磋商报价应遵守《中华人民共和国</w:t>
      </w:r>
    </w:p>
    <w:p w14:paraId="1B944C02">
      <w:pPr>
        <w:spacing w:before="47" w:line="209" w:lineRule="auto"/>
        <w:ind w:left="931" w:right="52"/>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 xml:space="preserve">价格法》。同时，根据《中华人民共和国政府采购法》第二条的规定， </w:t>
      </w:r>
      <w:r>
        <w:rPr>
          <w:rFonts w:ascii="微软雅黑" w:hAnsi="微软雅黑" w:eastAsia="微软雅黑" w:cs="微软雅黑"/>
          <w:color w:val="auto"/>
          <w:spacing w:val="-1"/>
          <w:sz w:val="24"/>
          <w:szCs w:val="24"/>
          <w:highlight w:val="none"/>
        </w:rPr>
        <w:t>为保证公平竞争，如有主体部分的赠与行为，其磋商将被认定为</w:t>
      </w:r>
      <w:r>
        <w:rPr>
          <w:rFonts w:ascii="微软雅黑" w:hAnsi="微软雅黑" w:eastAsia="微软雅黑" w:cs="微软雅黑"/>
          <w:b/>
          <w:bCs/>
          <w:color w:val="auto"/>
          <w:spacing w:val="-1"/>
          <w:sz w:val="24"/>
          <w:szCs w:val="24"/>
          <w:highlight w:val="none"/>
        </w:rPr>
        <w:t>磋商无</w:t>
      </w:r>
      <w:r>
        <w:rPr>
          <w:rFonts w:ascii="微软雅黑" w:hAnsi="微软雅黑" w:eastAsia="微软雅黑" w:cs="微软雅黑"/>
          <w:b/>
          <w:bCs/>
          <w:color w:val="auto"/>
          <w:sz w:val="24"/>
          <w:szCs w:val="24"/>
          <w:highlight w:val="none"/>
        </w:rPr>
        <w:t xml:space="preserve">   </w:t>
      </w:r>
      <w:r>
        <w:rPr>
          <w:rFonts w:ascii="微软雅黑" w:hAnsi="微软雅黑" w:eastAsia="微软雅黑" w:cs="微软雅黑"/>
          <w:b/>
          <w:bCs/>
          <w:color w:val="auto"/>
          <w:spacing w:val="-2"/>
          <w:sz w:val="24"/>
          <w:szCs w:val="24"/>
          <w:highlight w:val="none"/>
        </w:rPr>
        <w:t>效</w:t>
      </w:r>
      <w:r>
        <w:rPr>
          <w:rFonts w:ascii="微软雅黑" w:hAnsi="微软雅黑" w:eastAsia="微软雅黑" w:cs="微软雅黑"/>
          <w:color w:val="auto"/>
          <w:spacing w:val="-2"/>
          <w:sz w:val="24"/>
          <w:szCs w:val="24"/>
          <w:highlight w:val="none"/>
        </w:rPr>
        <w:t>。</w:t>
      </w:r>
    </w:p>
    <w:p w14:paraId="1AAC5B64">
      <w:pPr>
        <w:spacing w:before="2"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11.2     供应商应在磋商分项报价表上标明磋商相关服务的单价（如适用</w:t>
      </w:r>
      <w:r>
        <w:rPr>
          <w:rFonts w:ascii="微软雅黑" w:hAnsi="微软雅黑" w:eastAsia="微软雅黑" w:cs="微软雅黑"/>
          <w:color w:val="auto"/>
          <w:spacing w:val="-6"/>
          <w:sz w:val="24"/>
          <w:szCs w:val="24"/>
          <w:highlight w:val="none"/>
        </w:rPr>
        <w:t>），</w:t>
      </w:r>
      <w:r>
        <w:rPr>
          <w:rFonts w:ascii="微软雅黑" w:hAnsi="微软雅黑" w:eastAsia="微软雅黑" w:cs="微软雅黑"/>
          <w:color w:val="auto"/>
          <w:spacing w:val="1"/>
          <w:sz w:val="24"/>
          <w:szCs w:val="24"/>
          <w:highlight w:val="none"/>
        </w:rPr>
        <w:t>并</w:t>
      </w:r>
    </w:p>
    <w:p w14:paraId="3BFA6685">
      <w:pPr>
        <w:spacing w:before="46" w:line="183" w:lineRule="auto"/>
        <w:ind w:left="95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由法定代表人签署。</w:t>
      </w:r>
    </w:p>
    <w:p w14:paraId="2F9B1E17">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11.3</w:t>
      </w:r>
      <w:r>
        <w:rPr>
          <w:rFonts w:ascii="微软雅黑" w:hAnsi="微软雅黑" w:eastAsia="微软雅黑" w:cs="微软雅黑"/>
          <w:color w:val="auto"/>
          <w:spacing w:val="13"/>
          <w:sz w:val="24"/>
          <w:szCs w:val="24"/>
          <w:highlight w:val="none"/>
        </w:rPr>
        <w:t xml:space="preserve">     </w:t>
      </w:r>
      <w:r>
        <w:rPr>
          <w:rFonts w:ascii="微软雅黑" w:hAnsi="微软雅黑" w:eastAsia="微软雅黑" w:cs="微软雅黑"/>
          <w:color w:val="auto"/>
          <w:spacing w:val="-3"/>
          <w:sz w:val="24"/>
          <w:szCs w:val="24"/>
          <w:highlight w:val="none"/>
        </w:rPr>
        <w:t>磋商分项报价表上的价格应按下列方式填写；</w:t>
      </w:r>
    </w:p>
    <w:p w14:paraId="7BD532AB">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11.4     供应商所报的各分项磋商单价在合同履行过程中是固定不变的，不得以</w:t>
      </w:r>
    </w:p>
    <w:p w14:paraId="2F6342AF">
      <w:pPr>
        <w:spacing w:line="456" w:lineRule="auto"/>
        <w:rPr>
          <w:rFonts w:ascii="Arial"/>
          <w:color w:val="auto"/>
          <w:sz w:val="21"/>
          <w:highlight w:val="none"/>
        </w:rPr>
      </w:pPr>
    </w:p>
    <w:p w14:paraId="328EDBA0">
      <w:pPr>
        <w:pStyle w:val="2"/>
        <w:spacing w:before="59" w:line="181" w:lineRule="auto"/>
        <w:ind w:left="4148"/>
        <w:rPr>
          <w:color w:val="auto"/>
          <w:sz w:val="18"/>
          <w:szCs w:val="18"/>
          <w:highlight w:val="none"/>
        </w:rPr>
      </w:pPr>
    </w:p>
    <w:p w14:paraId="174FB853">
      <w:pPr>
        <w:spacing w:line="181" w:lineRule="auto"/>
        <w:rPr>
          <w:color w:val="auto"/>
          <w:sz w:val="18"/>
          <w:szCs w:val="18"/>
          <w:highlight w:val="none"/>
        </w:rPr>
        <w:sectPr>
          <w:pgSz w:w="11906" w:h="16839"/>
          <w:pgMar w:top="1134" w:right="1552" w:bottom="1134" w:left="1768" w:header="0" w:footer="0" w:gutter="0"/>
          <w:pgNumType w:fmt="decimal"/>
          <w:cols w:space="720" w:num="1"/>
        </w:sectPr>
      </w:pPr>
    </w:p>
    <w:p w14:paraId="1D7E89A9">
      <w:pPr>
        <w:spacing w:before="102" w:line="209" w:lineRule="auto"/>
        <w:ind w:left="930" w:right="19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 xml:space="preserve">任何理由予以变更。任何包含价格调整要求的磋商， </w:t>
      </w:r>
      <w:r>
        <w:rPr>
          <w:rFonts w:ascii="微软雅黑" w:hAnsi="微软雅黑" w:eastAsia="微软雅黑" w:cs="微软雅黑"/>
          <w:color w:val="auto"/>
          <w:spacing w:val="-6"/>
          <w:sz w:val="24"/>
          <w:szCs w:val="24"/>
          <w:highlight w:val="none"/>
        </w:rPr>
        <w:t xml:space="preserve"> 其磋商将被认定为</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b/>
          <w:bCs/>
          <w:color w:val="auto"/>
          <w:spacing w:val="-1"/>
          <w:sz w:val="24"/>
          <w:szCs w:val="24"/>
          <w:highlight w:val="none"/>
        </w:rPr>
        <w:t>磋商无效</w:t>
      </w:r>
      <w:r>
        <w:rPr>
          <w:rFonts w:ascii="微软雅黑" w:hAnsi="微软雅黑" w:eastAsia="微软雅黑" w:cs="微软雅黑"/>
          <w:color w:val="auto"/>
          <w:spacing w:val="-1"/>
          <w:sz w:val="24"/>
          <w:szCs w:val="24"/>
          <w:highlight w:val="none"/>
        </w:rPr>
        <w:t>。</w:t>
      </w:r>
    </w:p>
    <w:p w14:paraId="16D43033">
      <w:pPr>
        <w:spacing w:before="1"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11.5      每种服务只能有一个磋商报价。采购人不接受具有附加条件的报价。</w:t>
      </w:r>
    </w:p>
    <w:p w14:paraId="298ADE05">
      <w:pPr>
        <w:spacing w:before="45" w:line="183" w:lineRule="auto"/>
        <w:ind w:left="5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12.磋商保证金</w:t>
      </w:r>
    </w:p>
    <w:p w14:paraId="437EB5ED">
      <w:pPr>
        <w:spacing w:before="45"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12.1     供应商应提交供应商须知资料表中规定的磋商保证金，并作为磋商的一</w:t>
      </w:r>
    </w:p>
    <w:p w14:paraId="569782EF">
      <w:pPr>
        <w:spacing w:before="46" w:line="183" w:lineRule="auto"/>
        <w:ind w:left="93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2"/>
          <w:sz w:val="24"/>
          <w:szCs w:val="24"/>
          <w:highlight w:val="none"/>
        </w:rPr>
        <w:t>部分。</w:t>
      </w:r>
    </w:p>
    <w:p w14:paraId="7FFBD961">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12.2      供应商存在下列情形的，磋商保证金不予退还：</w:t>
      </w:r>
    </w:p>
    <w:p w14:paraId="4C5AF044">
      <w:pPr>
        <w:spacing w:before="46" w:line="183" w:lineRule="auto"/>
        <w:ind w:left="6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（1）在磋商有效期内，撤销磋商的；</w:t>
      </w:r>
    </w:p>
    <w:p w14:paraId="77D0A04C">
      <w:pPr>
        <w:spacing w:before="46" w:line="183" w:lineRule="auto"/>
        <w:ind w:left="6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（2）成交后不按本须知第 30 条的规</w:t>
      </w:r>
      <w:r>
        <w:rPr>
          <w:rFonts w:ascii="微软雅黑" w:hAnsi="微软雅黑" w:eastAsia="微软雅黑" w:cs="微软雅黑"/>
          <w:color w:val="auto"/>
          <w:spacing w:val="-4"/>
          <w:sz w:val="24"/>
          <w:szCs w:val="24"/>
          <w:highlight w:val="none"/>
        </w:rPr>
        <w:t>定与采购人签订合同的；</w:t>
      </w:r>
    </w:p>
    <w:p w14:paraId="2BB03C17">
      <w:pPr>
        <w:spacing w:before="46" w:line="183" w:lineRule="auto"/>
        <w:ind w:left="6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（3）成交后不按本须知第 31 条的规定提交履约保证金的；</w:t>
      </w:r>
    </w:p>
    <w:p w14:paraId="63385AF8">
      <w:pPr>
        <w:spacing w:before="46" w:line="183" w:lineRule="auto"/>
        <w:ind w:left="6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6"/>
          <w:sz w:val="24"/>
          <w:szCs w:val="24"/>
          <w:highlight w:val="none"/>
        </w:rPr>
        <w:t>（4）存在其他违法违规行为的。</w:t>
      </w:r>
    </w:p>
    <w:p w14:paraId="7677F63A">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12.3      政府采购信用担保试点范围</w:t>
      </w:r>
      <w:r>
        <w:rPr>
          <w:rFonts w:ascii="微软雅黑" w:hAnsi="微软雅黑" w:eastAsia="微软雅黑" w:cs="微软雅黑"/>
          <w:color w:val="auto"/>
          <w:spacing w:val="-2"/>
          <w:sz w:val="24"/>
          <w:szCs w:val="24"/>
          <w:highlight w:val="none"/>
        </w:rPr>
        <w:t>内的项目，接受符合财政部门规定的政府采</w:t>
      </w:r>
    </w:p>
    <w:p w14:paraId="1CD2CA7E">
      <w:pPr>
        <w:spacing w:before="46" w:line="183" w:lineRule="auto"/>
        <w:ind w:left="93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购磋商担保函原件。</w:t>
      </w:r>
    </w:p>
    <w:p w14:paraId="67EAC9AF">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12.4      供应商未按本须知第 12.1 和 12.3 条规定提交磋商保</w:t>
      </w:r>
      <w:r>
        <w:rPr>
          <w:rFonts w:ascii="微软雅黑" w:hAnsi="微软雅黑" w:eastAsia="微软雅黑" w:cs="微软雅黑"/>
          <w:color w:val="auto"/>
          <w:spacing w:val="-3"/>
          <w:sz w:val="24"/>
          <w:szCs w:val="24"/>
          <w:highlight w:val="none"/>
        </w:rPr>
        <w:t>证金的，其磋商将</w:t>
      </w:r>
    </w:p>
    <w:p w14:paraId="2C97BB3D">
      <w:pPr>
        <w:spacing w:before="46" w:line="183" w:lineRule="auto"/>
        <w:ind w:left="9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被认定为</w:t>
      </w:r>
      <w:r>
        <w:rPr>
          <w:rFonts w:ascii="微软雅黑" w:hAnsi="微软雅黑" w:eastAsia="微软雅黑" w:cs="微软雅黑"/>
          <w:b/>
          <w:bCs/>
          <w:color w:val="auto"/>
          <w:spacing w:val="-1"/>
          <w:sz w:val="24"/>
          <w:szCs w:val="24"/>
          <w:highlight w:val="none"/>
        </w:rPr>
        <w:t>磋商无效</w:t>
      </w:r>
      <w:r>
        <w:rPr>
          <w:rFonts w:ascii="微软雅黑" w:hAnsi="微软雅黑" w:eastAsia="微软雅黑" w:cs="微软雅黑"/>
          <w:color w:val="auto"/>
          <w:spacing w:val="-1"/>
          <w:sz w:val="24"/>
          <w:szCs w:val="24"/>
          <w:highlight w:val="none"/>
        </w:rPr>
        <w:t>。</w:t>
      </w:r>
    </w:p>
    <w:p w14:paraId="530047C3">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12.4.1   采用电汇形式的，一般可以实时入账。</w:t>
      </w:r>
    </w:p>
    <w:p w14:paraId="64909467">
      <w:pPr>
        <w:spacing w:before="46" w:line="209" w:lineRule="auto"/>
        <w:ind w:left="929" w:right="192" w:hanging="87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12.4.2   采用支票形式的，供应商则应充分考虑支票入账时间，以</w:t>
      </w:r>
      <w:r>
        <w:rPr>
          <w:rFonts w:ascii="微软雅黑" w:hAnsi="微软雅黑" w:eastAsia="微软雅黑" w:cs="微软雅黑"/>
          <w:color w:val="auto"/>
          <w:spacing w:val="-2"/>
          <w:sz w:val="24"/>
          <w:szCs w:val="24"/>
          <w:highlight w:val="none"/>
        </w:rPr>
        <w:t>确保磋商保证</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5"/>
          <w:sz w:val="24"/>
          <w:szCs w:val="24"/>
          <w:highlight w:val="none"/>
        </w:rPr>
        <w:t>金能按时进入指定账户。根据银行信息交换和付款时间</w:t>
      </w:r>
      <w:r>
        <w:rPr>
          <w:rFonts w:ascii="微软雅黑" w:hAnsi="微软雅黑" w:eastAsia="微软雅黑" w:cs="微软雅黑"/>
          <w:color w:val="auto"/>
          <w:spacing w:val="-6"/>
          <w:sz w:val="24"/>
          <w:szCs w:val="24"/>
          <w:highlight w:val="none"/>
        </w:rPr>
        <w:t>，  支票从递交至</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实际入账一般需要 4-5 个工作日。如供应商未</w:t>
      </w:r>
      <w:r>
        <w:rPr>
          <w:rFonts w:ascii="微软雅黑" w:hAnsi="微软雅黑" w:eastAsia="微软雅黑" w:cs="微软雅黑"/>
          <w:color w:val="auto"/>
          <w:spacing w:val="-3"/>
          <w:sz w:val="24"/>
          <w:szCs w:val="24"/>
          <w:highlight w:val="none"/>
        </w:rPr>
        <w:t>及时提交支票或支票不符</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合银行委托收款要求（如污损、折叠、胶装等</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pacing w:val="-1"/>
          <w:sz w:val="24"/>
          <w:szCs w:val="24"/>
          <w:highlight w:val="none"/>
        </w:rPr>
        <w:t>导致磋商保</w:t>
      </w:r>
      <w:r>
        <w:rPr>
          <w:rFonts w:ascii="微软雅黑" w:hAnsi="微软雅黑" w:eastAsia="微软雅黑" w:cs="微软雅黑"/>
          <w:color w:val="auto"/>
          <w:spacing w:val="-2"/>
          <w:sz w:val="24"/>
          <w:szCs w:val="24"/>
          <w:highlight w:val="none"/>
        </w:rPr>
        <w:t>证金不能</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按时进入指定账户的，将按照磋商文件的第 22.2 条相关规定处理。</w:t>
      </w:r>
    </w:p>
    <w:p w14:paraId="22E8BEA8">
      <w:pPr>
        <w:spacing w:before="7"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12.5     联合体磋商的，可以由联合体中的一方或者共同提交磋商保证金。以一</w:t>
      </w:r>
    </w:p>
    <w:p w14:paraId="67E99737">
      <w:pPr>
        <w:spacing w:before="46" w:line="183" w:lineRule="auto"/>
        <w:ind w:left="93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方名义提交磋商保证金的，对联合体各方均具有约束力。</w:t>
      </w:r>
    </w:p>
    <w:p w14:paraId="5C9A9E52">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12.6</w:t>
      </w:r>
      <w:r>
        <w:rPr>
          <w:rFonts w:ascii="微软雅黑" w:hAnsi="微软雅黑" w:eastAsia="微软雅黑" w:cs="微软雅黑"/>
          <w:color w:val="auto"/>
          <w:spacing w:val="14"/>
          <w:sz w:val="24"/>
          <w:szCs w:val="24"/>
          <w:highlight w:val="none"/>
        </w:rPr>
        <w:t xml:space="preserve">     </w:t>
      </w:r>
      <w:r>
        <w:rPr>
          <w:rFonts w:ascii="微软雅黑" w:hAnsi="微软雅黑" w:eastAsia="微软雅黑" w:cs="微软雅黑"/>
          <w:color w:val="auto"/>
          <w:spacing w:val="-3"/>
          <w:sz w:val="24"/>
          <w:szCs w:val="24"/>
          <w:highlight w:val="none"/>
        </w:rPr>
        <w:t>磋商保证金的退还</w:t>
      </w:r>
    </w:p>
    <w:p w14:paraId="6BF211D0">
      <w:pPr>
        <w:spacing w:before="46" w:line="209" w:lineRule="auto"/>
        <w:ind w:left="929" w:right="192" w:hanging="87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12.6.1   成交供应商应在与采购人签订合同之日起 5 个工作日内，及</w:t>
      </w:r>
      <w:r>
        <w:rPr>
          <w:rFonts w:ascii="微软雅黑" w:hAnsi="微软雅黑" w:eastAsia="微软雅黑" w:cs="微软雅黑"/>
          <w:color w:val="auto"/>
          <w:spacing w:val="-3"/>
          <w:sz w:val="24"/>
          <w:szCs w:val="24"/>
          <w:highlight w:val="none"/>
        </w:rPr>
        <w:t>时联系保证</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金收受机构办理磋商保证金无息退还手续。</w:t>
      </w:r>
    </w:p>
    <w:p w14:paraId="26B4C2B5">
      <w:pPr>
        <w:spacing w:before="3" w:line="209" w:lineRule="auto"/>
        <w:ind w:left="930" w:right="192" w:hanging="87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12.6.2   未成交供应商的磋商保证金将在成交通知书发出之日暨成交结果公告</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公布之日起 5 个工作日内无息退还。供应商应及时</w:t>
      </w:r>
      <w:r>
        <w:rPr>
          <w:rFonts w:ascii="微软雅黑" w:hAnsi="微软雅黑" w:eastAsia="微软雅黑" w:cs="微软雅黑"/>
          <w:color w:val="auto"/>
          <w:spacing w:val="-3"/>
          <w:sz w:val="24"/>
          <w:szCs w:val="24"/>
          <w:highlight w:val="none"/>
        </w:rPr>
        <w:t>联系保证金收受机构</w:t>
      </w:r>
    </w:p>
    <w:p w14:paraId="27B6114F">
      <w:pPr>
        <w:spacing w:before="2" w:line="183" w:lineRule="auto"/>
        <w:ind w:left="9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办理退还磋商保证金手续。</w:t>
      </w:r>
    </w:p>
    <w:p w14:paraId="50629735">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12.6.3   政府采购磋商担保函不予退回。</w:t>
      </w:r>
    </w:p>
    <w:p w14:paraId="44F076A4">
      <w:pPr>
        <w:spacing w:before="47"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12.7       因供应商自身原因导致无法及时退还的，采购人或采购代理</w:t>
      </w:r>
      <w:r>
        <w:rPr>
          <w:rFonts w:ascii="微软雅黑" w:hAnsi="微软雅黑" w:eastAsia="微软雅黑" w:cs="微软雅黑"/>
          <w:color w:val="auto"/>
          <w:spacing w:val="-4"/>
          <w:sz w:val="24"/>
          <w:szCs w:val="24"/>
          <w:highlight w:val="none"/>
        </w:rPr>
        <w:t>机构将不承</w:t>
      </w:r>
    </w:p>
    <w:p w14:paraId="3EBDB780">
      <w:pPr>
        <w:spacing w:before="45" w:line="183" w:lineRule="auto"/>
        <w:ind w:left="93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8"/>
          <w:sz w:val="24"/>
          <w:szCs w:val="24"/>
          <w:highlight w:val="none"/>
        </w:rPr>
        <w:t>担相应责任。</w:t>
      </w:r>
    </w:p>
    <w:p w14:paraId="44757E31">
      <w:pPr>
        <w:spacing w:before="47" w:line="183" w:lineRule="auto"/>
        <w:ind w:left="5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13.磋商有效期</w:t>
      </w:r>
    </w:p>
    <w:p w14:paraId="530E21EB">
      <w:pPr>
        <w:spacing w:before="44"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13.1     磋商应在</w:t>
      </w:r>
      <w:r>
        <w:rPr>
          <w:rFonts w:ascii="微软雅黑" w:hAnsi="微软雅黑" w:eastAsia="微软雅黑" w:cs="微软雅黑"/>
          <w:color w:val="auto"/>
          <w:sz w:val="24"/>
          <w:szCs w:val="24"/>
          <w:highlight w:val="none"/>
          <w:u w:val="single" w:color="auto"/>
        </w:rPr>
        <w:t>供应商须知资料表</w:t>
      </w:r>
      <w:r>
        <w:rPr>
          <w:rFonts w:ascii="微软雅黑" w:hAnsi="微软雅黑" w:eastAsia="微软雅黑" w:cs="微软雅黑"/>
          <w:color w:val="auto"/>
          <w:sz w:val="24"/>
          <w:szCs w:val="24"/>
          <w:highlight w:val="none"/>
        </w:rPr>
        <w:t>中规定时间内保持有效。磋商有效期不满足</w:t>
      </w:r>
    </w:p>
    <w:p w14:paraId="764B2314">
      <w:pPr>
        <w:spacing w:before="46" w:line="183" w:lineRule="auto"/>
        <w:ind w:left="9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要求的磋商，其磋商将被认定为</w:t>
      </w:r>
      <w:r>
        <w:rPr>
          <w:rFonts w:ascii="微软雅黑" w:hAnsi="微软雅黑" w:eastAsia="微软雅黑" w:cs="微软雅黑"/>
          <w:b/>
          <w:bCs/>
          <w:color w:val="auto"/>
          <w:spacing w:val="-1"/>
          <w:sz w:val="24"/>
          <w:szCs w:val="24"/>
          <w:highlight w:val="none"/>
        </w:rPr>
        <w:t>磋商无效</w:t>
      </w:r>
      <w:r>
        <w:rPr>
          <w:rFonts w:ascii="微软雅黑" w:hAnsi="微软雅黑" w:eastAsia="微软雅黑" w:cs="微软雅黑"/>
          <w:color w:val="auto"/>
          <w:spacing w:val="-1"/>
          <w:sz w:val="24"/>
          <w:szCs w:val="24"/>
          <w:highlight w:val="none"/>
        </w:rPr>
        <w:t>。</w:t>
      </w:r>
    </w:p>
    <w:p w14:paraId="5829258E">
      <w:pPr>
        <w:spacing w:before="46" w:line="183" w:lineRule="auto"/>
        <w:jc w:val="right"/>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13.2     为保证有充分时间签订合同，采购人或采购代理机构可根据实际情况，</w:t>
      </w:r>
    </w:p>
    <w:p w14:paraId="11E772BD">
      <w:pPr>
        <w:spacing w:before="44" w:line="209" w:lineRule="auto"/>
        <w:ind w:left="931" w:right="19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在原磋商有效期截止之前，要求供应商延长响应文件的有效期。接受该</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要求的供应商将不会被要求和允许修正其磋商，且本须知中有关磋</w:t>
      </w:r>
      <w:r>
        <w:rPr>
          <w:rFonts w:ascii="微软雅黑" w:hAnsi="微软雅黑" w:eastAsia="微软雅黑" w:cs="微软雅黑"/>
          <w:color w:val="auto"/>
          <w:spacing w:val="-2"/>
          <w:sz w:val="24"/>
          <w:szCs w:val="24"/>
          <w:highlight w:val="none"/>
        </w:rPr>
        <w:t>商保</w:t>
      </w:r>
    </w:p>
    <w:p w14:paraId="49E3C980">
      <w:pPr>
        <w:spacing w:line="416" w:lineRule="auto"/>
        <w:rPr>
          <w:rFonts w:ascii="Arial"/>
          <w:color w:val="auto"/>
          <w:sz w:val="21"/>
          <w:highlight w:val="none"/>
        </w:rPr>
      </w:pPr>
    </w:p>
    <w:p w14:paraId="4BA7A243">
      <w:pPr>
        <w:spacing w:line="180" w:lineRule="auto"/>
        <w:rPr>
          <w:color w:val="auto"/>
          <w:sz w:val="18"/>
          <w:szCs w:val="18"/>
          <w:highlight w:val="none"/>
        </w:rPr>
        <w:sectPr>
          <w:pgSz w:w="11906" w:h="16839"/>
          <w:pgMar w:top="1134" w:right="1604" w:bottom="1134" w:left="1768" w:header="0" w:footer="0" w:gutter="0"/>
          <w:pgNumType w:fmt="decimal"/>
          <w:cols w:space="720" w:num="1"/>
        </w:sectPr>
      </w:pPr>
    </w:p>
    <w:p w14:paraId="4CD212DE">
      <w:pPr>
        <w:spacing w:before="103" w:line="209" w:lineRule="auto"/>
        <w:ind w:left="930" w:right="29" w:firstLine="2"/>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证金的要求须在延长的有效期内继续有效。供应商可以拒绝延长磋</w:t>
      </w:r>
      <w:r>
        <w:rPr>
          <w:rFonts w:ascii="微软雅黑" w:hAnsi="微软雅黑" w:eastAsia="微软雅黑" w:cs="微软雅黑"/>
          <w:color w:val="auto"/>
          <w:spacing w:val="-2"/>
          <w:sz w:val="24"/>
          <w:szCs w:val="24"/>
          <w:highlight w:val="none"/>
        </w:rPr>
        <w:t>商有</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效期的要求，其磋商保证金将及时无息退还。上述要求和答复都应以书</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7"/>
          <w:sz w:val="24"/>
          <w:szCs w:val="24"/>
          <w:highlight w:val="none"/>
        </w:rPr>
        <w:t>面形式提交。</w:t>
      </w:r>
    </w:p>
    <w:p w14:paraId="6EF285C3">
      <w:pPr>
        <w:spacing w:before="3" w:line="183" w:lineRule="auto"/>
        <w:ind w:left="5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14.响应文件的签署及规定</w:t>
      </w:r>
    </w:p>
    <w:p w14:paraId="53B555F8">
      <w:pPr>
        <w:spacing w:before="44"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14.1</w:t>
      </w:r>
      <w:r>
        <w:rPr>
          <w:rFonts w:ascii="微软雅黑" w:hAnsi="微软雅黑" w:eastAsia="微软雅黑" w:cs="微软雅黑"/>
          <w:color w:val="auto"/>
          <w:spacing w:val="13"/>
          <w:sz w:val="24"/>
          <w:szCs w:val="24"/>
          <w:highlight w:val="none"/>
        </w:rPr>
        <w:t xml:space="preserve">     </w:t>
      </w:r>
      <w:r>
        <w:rPr>
          <w:rFonts w:ascii="微软雅黑" w:hAnsi="微软雅黑" w:eastAsia="微软雅黑" w:cs="微软雅黑"/>
          <w:color w:val="auto"/>
          <w:spacing w:val="-2"/>
          <w:sz w:val="24"/>
          <w:szCs w:val="24"/>
          <w:highlight w:val="none"/>
        </w:rPr>
        <w:t>供应商应按供应商须知资料表中的规定，准备</w:t>
      </w:r>
      <w:r>
        <w:rPr>
          <w:rFonts w:ascii="微软雅黑" w:hAnsi="微软雅黑" w:eastAsia="微软雅黑" w:cs="微软雅黑"/>
          <w:color w:val="auto"/>
          <w:spacing w:val="-3"/>
          <w:sz w:val="24"/>
          <w:szCs w:val="24"/>
          <w:highlight w:val="none"/>
        </w:rPr>
        <w:t>和上传响应文件。</w:t>
      </w:r>
    </w:p>
    <w:p w14:paraId="04B230A7">
      <w:pPr>
        <w:spacing w:before="44"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14.2</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5"/>
          <w:sz w:val="24"/>
          <w:szCs w:val="24"/>
          <w:highlight w:val="none"/>
        </w:rPr>
        <w:t>响应文件由供应商的法定代表人按磋商文件规定在响应文件上签字或</w:t>
      </w:r>
    </w:p>
    <w:p w14:paraId="1CA4F561">
      <w:pPr>
        <w:spacing w:before="45" w:line="209" w:lineRule="auto"/>
        <w:ind w:left="930" w:right="29" w:firstLine="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盖章并加盖单位印章。如对响应文件进行了修改</w:t>
      </w:r>
      <w:r>
        <w:rPr>
          <w:rFonts w:ascii="微软雅黑" w:hAnsi="微软雅黑" w:eastAsia="微软雅黑" w:cs="微软雅黑"/>
          <w:color w:val="auto"/>
          <w:spacing w:val="-6"/>
          <w:sz w:val="24"/>
          <w:szCs w:val="24"/>
          <w:highlight w:val="none"/>
        </w:rPr>
        <w:t>， 则应由供应商的法定</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4"/>
          <w:sz w:val="24"/>
          <w:szCs w:val="24"/>
          <w:highlight w:val="none"/>
        </w:rPr>
        <w:t>代表人在每一修改处签字。</w:t>
      </w:r>
    </w:p>
    <w:p w14:paraId="6853DF23">
      <w:pPr>
        <w:spacing w:before="2"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14.3     响应文件因字迹潦草、表达不清所引起的后果由供应商负责。</w:t>
      </w:r>
    </w:p>
    <w:p w14:paraId="5C595FF8">
      <w:pPr>
        <w:spacing w:line="250" w:lineRule="auto"/>
        <w:rPr>
          <w:rFonts w:ascii="Arial"/>
          <w:color w:val="auto"/>
          <w:sz w:val="21"/>
          <w:highlight w:val="none"/>
        </w:rPr>
      </w:pPr>
    </w:p>
    <w:p w14:paraId="674AECDC">
      <w:pPr>
        <w:spacing w:before="121" w:line="183" w:lineRule="auto"/>
        <w:ind w:left="3141"/>
        <w:outlineLvl w:val="1"/>
        <w:rPr>
          <w:rFonts w:ascii="微软雅黑" w:hAnsi="微软雅黑" w:eastAsia="微软雅黑" w:cs="微软雅黑"/>
          <w:color w:val="auto"/>
          <w:sz w:val="28"/>
          <w:szCs w:val="28"/>
          <w:highlight w:val="none"/>
        </w:rPr>
      </w:pPr>
      <w:r>
        <w:rPr>
          <w:rFonts w:ascii="微软雅黑" w:hAnsi="微软雅黑" w:eastAsia="微软雅黑" w:cs="微软雅黑"/>
          <w:b/>
          <w:bCs/>
          <w:color w:val="auto"/>
          <w:spacing w:val="-1"/>
          <w:sz w:val="28"/>
          <w:szCs w:val="28"/>
          <w:highlight w:val="none"/>
        </w:rPr>
        <w:t>四     响应文件的递交</w:t>
      </w:r>
    </w:p>
    <w:p w14:paraId="36E83182">
      <w:pPr>
        <w:spacing w:before="27" w:line="183" w:lineRule="auto"/>
        <w:ind w:left="5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15.响应文件的上传和标记</w:t>
      </w:r>
    </w:p>
    <w:p w14:paraId="4C3EF794">
      <w:pPr>
        <w:spacing w:before="40" w:line="208" w:lineRule="auto"/>
        <w:ind w:left="931" w:right="29" w:hanging="87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15.1   为方便评审及进行资格审查，供应商应完整地按磋</w:t>
      </w:r>
      <w:r>
        <w:rPr>
          <w:rFonts w:ascii="微软雅黑" w:hAnsi="微软雅黑" w:eastAsia="微软雅黑" w:cs="微软雅黑"/>
          <w:color w:val="auto"/>
          <w:spacing w:val="-3"/>
          <w:sz w:val="24"/>
          <w:szCs w:val="24"/>
          <w:highlight w:val="none"/>
        </w:rPr>
        <w:t>商文件提供的响应文件</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格式及要求编写响应文件，供应商须在磋商截止时间前完成在系统上</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递交电子响应文件。供应商的电子响应文件是经过 CA 证书加密后上传</w:t>
      </w:r>
      <w:r>
        <w:rPr>
          <w:rFonts w:ascii="微软雅黑" w:hAnsi="微软雅黑" w:eastAsia="微软雅黑" w:cs="微软雅黑"/>
          <w:color w:val="auto"/>
          <w:spacing w:val="9"/>
          <w:sz w:val="24"/>
          <w:szCs w:val="24"/>
          <w:highlight w:val="none"/>
        </w:rPr>
        <w:t xml:space="preserve"> </w:t>
      </w:r>
      <w:r>
        <w:rPr>
          <w:rFonts w:ascii="微软雅黑" w:hAnsi="微软雅黑" w:eastAsia="微软雅黑" w:cs="微软雅黑"/>
          <w:color w:val="auto"/>
          <w:spacing w:val="1"/>
          <w:sz w:val="24"/>
          <w:szCs w:val="24"/>
          <w:highlight w:val="none"/>
        </w:rPr>
        <w:t>提交的，任何单位或个人均无法在磋商截止时间(即磋商时间)之前查看</w:t>
      </w:r>
      <w:r>
        <w:rPr>
          <w:rFonts w:ascii="微软雅黑" w:hAnsi="微软雅黑" w:eastAsia="微软雅黑" w:cs="微软雅黑"/>
          <w:color w:val="auto"/>
          <w:spacing w:val="15"/>
          <w:sz w:val="24"/>
          <w:szCs w:val="24"/>
          <w:highlight w:val="none"/>
        </w:rPr>
        <w:t xml:space="preserve"> </w:t>
      </w:r>
      <w:r>
        <w:rPr>
          <w:rFonts w:ascii="微软雅黑" w:hAnsi="微软雅黑" w:eastAsia="微软雅黑" w:cs="微软雅黑"/>
          <w:color w:val="auto"/>
          <w:spacing w:val="-1"/>
          <w:sz w:val="24"/>
          <w:szCs w:val="24"/>
          <w:highlight w:val="none"/>
        </w:rPr>
        <w:t>或篡改，不存在泄密风险。（严格按照政采云电子磋商流</w:t>
      </w:r>
      <w:r>
        <w:rPr>
          <w:rFonts w:ascii="微软雅黑" w:hAnsi="微软雅黑" w:eastAsia="微软雅黑" w:cs="微软雅黑"/>
          <w:color w:val="auto"/>
          <w:spacing w:val="-2"/>
          <w:sz w:val="24"/>
          <w:szCs w:val="24"/>
          <w:highlight w:val="none"/>
        </w:rPr>
        <w:t>程制作并上传</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5"/>
          <w:sz w:val="24"/>
          <w:szCs w:val="24"/>
          <w:highlight w:val="none"/>
        </w:rPr>
        <w:t>电子响应文件）</w:t>
      </w:r>
    </w:p>
    <w:p w14:paraId="595957EC">
      <w:pPr>
        <w:spacing w:before="23"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15.2      供应商因自身原因导致电子</w:t>
      </w:r>
      <w:r>
        <w:rPr>
          <w:rFonts w:ascii="微软雅黑" w:hAnsi="微软雅黑" w:eastAsia="微软雅黑" w:cs="微软雅黑"/>
          <w:color w:val="auto"/>
          <w:spacing w:val="-2"/>
          <w:sz w:val="24"/>
          <w:szCs w:val="24"/>
          <w:highlight w:val="none"/>
        </w:rPr>
        <w:t>响应文件无法导入电子评标系统的，该响应</w:t>
      </w:r>
    </w:p>
    <w:p w14:paraId="03B61C76">
      <w:pPr>
        <w:spacing w:before="46" w:line="183" w:lineRule="auto"/>
        <w:ind w:left="93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6"/>
          <w:sz w:val="24"/>
          <w:szCs w:val="24"/>
          <w:highlight w:val="none"/>
        </w:rPr>
        <w:t>文件视为无效文件。</w:t>
      </w:r>
    </w:p>
    <w:p w14:paraId="0CCD31A7">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15.3     电子响应文件具有法律效力,与其他形式的响应文件</w:t>
      </w:r>
      <w:r>
        <w:rPr>
          <w:rFonts w:ascii="微软雅黑" w:hAnsi="微软雅黑" w:eastAsia="微软雅黑" w:cs="微软雅黑"/>
          <w:color w:val="auto"/>
          <w:spacing w:val="4"/>
          <w:sz w:val="24"/>
          <w:szCs w:val="24"/>
          <w:highlight w:val="none"/>
        </w:rPr>
        <w:t>在内容和格式上等</w:t>
      </w:r>
    </w:p>
    <w:p w14:paraId="491C7BFB">
      <w:pPr>
        <w:spacing w:before="46" w:line="209" w:lineRule="auto"/>
        <w:ind w:left="952" w:right="29" w:hanging="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同，若响应文件与磋商文件要求不一致，其内容影响成交结果时，责任</w:t>
      </w:r>
      <w:r>
        <w:rPr>
          <w:rFonts w:ascii="微软雅黑" w:hAnsi="微软雅黑" w:eastAsia="微软雅黑" w:cs="微软雅黑"/>
          <w:color w:val="auto"/>
          <w:spacing w:val="13"/>
          <w:sz w:val="24"/>
          <w:szCs w:val="24"/>
          <w:highlight w:val="none"/>
        </w:rPr>
        <w:t xml:space="preserve"> </w:t>
      </w:r>
      <w:r>
        <w:rPr>
          <w:rFonts w:ascii="微软雅黑" w:hAnsi="微软雅黑" w:eastAsia="微软雅黑" w:cs="微软雅黑"/>
          <w:color w:val="auto"/>
          <w:spacing w:val="-7"/>
          <w:sz w:val="24"/>
          <w:szCs w:val="24"/>
          <w:highlight w:val="none"/>
        </w:rPr>
        <w:t>由供应商自行承担。</w:t>
      </w:r>
    </w:p>
    <w:p w14:paraId="343C0395">
      <w:pPr>
        <w:spacing w:before="3" w:line="183" w:lineRule="auto"/>
        <w:ind w:left="5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rPr>
        <w:t>16.磋商截止</w:t>
      </w:r>
    </w:p>
    <w:p w14:paraId="6634675E">
      <w:pPr>
        <w:spacing w:before="44"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16.1     供应商应在供应商须知资料表中规定的磋商截止时间前，将响应文件上</w:t>
      </w:r>
    </w:p>
    <w:p w14:paraId="25217CD0">
      <w:pPr>
        <w:spacing w:before="46" w:line="183" w:lineRule="auto"/>
        <w:ind w:left="9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传到公开招标公告中规定的地点。</w:t>
      </w:r>
    </w:p>
    <w:p w14:paraId="6CAB1377">
      <w:pPr>
        <w:spacing w:before="47"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16.2      采购人和采购代理机构有</w:t>
      </w:r>
      <w:r>
        <w:rPr>
          <w:rFonts w:ascii="微软雅黑" w:hAnsi="微软雅黑" w:eastAsia="微软雅黑" w:cs="微软雅黑"/>
          <w:color w:val="auto"/>
          <w:spacing w:val="-2"/>
          <w:sz w:val="24"/>
          <w:szCs w:val="24"/>
          <w:highlight w:val="none"/>
        </w:rPr>
        <w:t>权按本须知的规定，延迟磋商截止时间。在此</w:t>
      </w:r>
    </w:p>
    <w:p w14:paraId="6B8A7E37">
      <w:pPr>
        <w:spacing w:before="45" w:line="209" w:lineRule="auto"/>
        <w:ind w:left="931" w:right="2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情况下，采购人、采购代理机构和供应商受磋商截止时间制约的所</w:t>
      </w:r>
      <w:r>
        <w:rPr>
          <w:rFonts w:ascii="微软雅黑" w:hAnsi="微软雅黑" w:eastAsia="微软雅黑" w:cs="微软雅黑"/>
          <w:color w:val="auto"/>
          <w:spacing w:val="-2"/>
          <w:sz w:val="24"/>
          <w:szCs w:val="24"/>
          <w:highlight w:val="none"/>
        </w:rPr>
        <w:t>有权</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利和义务均应延长至新的截止时间。</w:t>
      </w:r>
    </w:p>
    <w:p w14:paraId="0E210D1E">
      <w:pPr>
        <w:spacing w:before="3"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16.3      采购人和采购代理机构将拒绝接收在磋商截止时间后上传的响应文件。</w:t>
      </w:r>
    </w:p>
    <w:p w14:paraId="1EAFA424">
      <w:pPr>
        <w:spacing w:before="46" w:line="183" w:lineRule="auto"/>
        <w:ind w:left="5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17.响应文件的接收、修改与撤回</w:t>
      </w:r>
    </w:p>
    <w:p w14:paraId="768EB736">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17.1     在磋商截止时间后上传的响应文件的，采购人和采购代理机构将拒绝接</w:t>
      </w:r>
    </w:p>
    <w:p w14:paraId="3DB9B971">
      <w:pPr>
        <w:spacing w:before="46" w:line="183" w:lineRule="auto"/>
        <w:ind w:left="93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4"/>
          <w:sz w:val="24"/>
          <w:szCs w:val="24"/>
          <w:highlight w:val="none"/>
        </w:rPr>
        <w:t>收。</w:t>
      </w:r>
    </w:p>
    <w:p w14:paraId="48A88DFB">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17.2      上传响应文件以后，如果供</w:t>
      </w:r>
      <w:r>
        <w:rPr>
          <w:rFonts w:ascii="微软雅黑" w:hAnsi="微软雅黑" w:eastAsia="微软雅黑" w:cs="微软雅黑"/>
          <w:color w:val="auto"/>
          <w:spacing w:val="-2"/>
          <w:sz w:val="24"/>
          <w:szCs w:val="24"/>
          <w:highlight w:val="none"/>
        </w:rPr>
        <w:t>应商要进行修改或撤回磋商，供应商对响应</w:t>
      </w:r>
    </w:p>
    <w:p w14:paraId="1321581F">
      <w:pPr>
        <w:spacing w:before="46" w:line="209" w:lineRule="auto"/>
        <w:ind w:left="932" w:right="29" w:firstLine="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文件的修改或撤回通知应按本须知规定编制、标记。采购人和</w:t>
      </w:r>
      <w:r>
        <w:rPr>
          <w:rFonts w:ascii="微软雅黑" w:hAnsi="微软雅黑" w:eastAsia="微软雅黑" w:cs="微软雅黑"/>
          <w:color w:val="auto"/>
          <w:spacing w:val="-2"/>
          <w:sz w:val="24"/>
          <w:szCs w:val="24"/>
          <w:highlight w:val="none"/>
        </w:rPr>
        <w:t>采购代理</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机构将予以接收，并视为响应文件的组成部分。</w:t>
      </w:r>
    </w:p>
    <w:p w14:paraId="5B0166B9">
      <w:pPr>
        <w:spacing w:before="3"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17.3     在磋商截止期之后，采购人和采购代理机构不接受供应商主动对其响应</w:t>
      </w:r>
    </w:p>
    <w:p w14:paraId="5A10EB14">
      <w:pPr>
        <w:spacing w:before="46" w:line="183" w:lineRule="auto"/>
        <w:ind w:left="93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6"/>
          <w:sz w:val="24"/>
          <w:szCs w:val="24"/>
          <w:highlight w:val="none"/>
        </w:rPr>
        <w:t>文件做任何修改。</w:t>
      </w:r>
    </w:p>
    <w:p w14:paraId="79BF8A2F">
      <w:pPr>
        <w:spacing w:line="456" w:lineRule="auto"/>
        <w:rPr>
          <w:rFonts w:ascii="Arial"/>
          <w:color w:val="auto"/>
          <w:sz w:val="21"/>
          <w:highlight w:val="none"/>
        </w:rPr>
      </w:pPr>
    </w:p>
    <w:p w14:paraId="47C48406">
      <w:pPr>
        <w:spacing w:line="181" w:lineRule="auto"/>
        <w:rPr>
          <w:color w:val="auto"/>
          <w:sz w:val="18"/>
          <w:szCs w:val="18"/>
          <w:highlight w:val="none"/>
        </w:rPr>
        <w:sectPr>
          <w:pgSz w:w="11906" w:h="16839"/>
          <w:pgMar w:top="1417" w:right="1767" w:bottom="1417" w:left="1768" w:header="0" w:footer="0" w:gutter="0"/>
          <w:pgNumType w:fmt="decimal"/>
          <w:cols w:space="720" w:num="1"/>
        </w:sectPr>
      </w:pPr>
    </w:p>
    <w:p w14:paraId="3831E294">
      <w:pPr>
        <w:spacing w:before="103"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17.4      采购人和采购代理机构对所接</w:t>
      </w:r>
      <w:r>
        <w:rPr>
          <w:rFonts w:ascii="微软雅黑" w:hAnsi="微软雅黑" w:eastAsia="微软雅黑" w:cs="微软雅黑"/>
          <w:color w:val="auto"/>
          <w:spacing w:val="-3"/>
          <w:sz w:val="24"/>
          <w:szCs w:val="24"/>
          <w:highlight w:val="none"/>
        </w:rPr>
        <w:t>收响应文件概不退回。</w:t>
      </w:r>
    </w:p>
    <w:p w14:paraId="4C58692F">
      <w:pPr>
        <w:spacing w:line="250" w:lineRule="auto"/>
        <w:rPr>
          <w:rFonts w:ascii="Arial"/>
          <w:color w:val="auto"/>
          <w:sz w:val="21"/>
          <w:highlight w:val="none"/>
        </w:rPr>
      </w:pPr>
    </w:p>
    <w:p w14:paraId="0138B78F">
      <w:pPr>
        <w:spacing w:before="120" w:line="183" w:lineRule="auto"/>
        <w:ind w:left="3410"/>
        <w:outlineLvl w:val="1"/>
        <w:rPr>
          <w:rFonts w:ascii="微软雅黑" w:hAnsi="微软雅黑" w:eastAsia="微软雅黑" w:cs="微软雅黑"/>
          <w:color w:val="auto"/>
          <w:sz w:val="28"/>
          <w:szCs w:val="28"/>
          <w:highlight w:val="none"/>
        </w:rPr>
      </w:pPr>
      <w:r>
        <w:rPr>
          <w:rFonts w:ascii="微软雅黑" w:hAnsi="微软雅黑" w:eastAsia="微软雅黑" w:cs="微软雅黑"/>
          <w:b/>
          <w:bCs/>
          <w:color w:val="auto"/>
          <w:spacing w:val="-1"/>
          <w:sz w:val="28"/>
          <w:szCs w:val="28"/>
          <w:highlight w:val="none"/>
        </w:rPr>
        <w:t>五     磋商及评标</w:t>
      </w:r>
    </w:p>
    <w:p w14:paraId="3E083946">
      <w:pPr>
        <w:spacing w:before="27" w:line="183" w:lineRule="auto"/>
        <w:ind w:left="5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5"/>
          <w:sz w:val="24"/>
          <w:szCs w:val="24"/>
          <w:highlight w:val="none"/>
        </w:rPr>
        <w:t>18.磋商</w:t>
      </w:r>
    </w:p>
    <w:p w14:paraId="5581201C">
      <w:pPr>
        <w:spacing w:before="44"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6"/>
          <w:sz w:val="24"/>
          <w:szCs w:val="24"/>
          <w:highlight w:val="none"/>
        </w:rPr>
        <w:t>18.1     采购人和采购代理机构将按供应商须知资料表中规定的磋商时间和地</w:t>
      </w:r>
    </w:p>
    <w:p w14:paraId="7BDC0882">
      <w:pPr>
        <w:spacing w:before="46" w:line="183" w:lineRule="auto"/>
        <w:ind w:left="9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点组织磋商并邀请所有供应商代表参加。</w:t>
      </w:r>
    </w:p>
    <w:p w14:paraId="42C05E2C">
      <w:pPr>
        <w:spacing w:before="46"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18.2     到磋商截止时间，对供应商上传的响应文件进行</w:t>
      </w:r>
      <w:r>
        <w:rPr>
          <w:rFonts w:ascii="微软雅黑" w:hAnsi="微软雅黑" w:eastAsia="微软雅黑" w:cs="微软雅黑"/>
          <w:color w:val="auto"/>
          <w:spacing w:val="1"/>
          <w:sz w:val="24"/>
          <w:szCs w:val="24"/>
          <w:highlight w:val="none"/>
        </w:rPr>
        <w:t>解密，解密时长为</w:t>
      </w:r>
      <w:r>
        <w:rPr>
          <w:rFonts w:ascii="微软雅黑" w:hAnsi="微软雅黑" w:eastAsia="微软雅黑" w:cs="微软雅黑"/>
          <w:color w:val="auto"/>
          <w:spacing w:val="8"/>
          <w:sz w:val="24"/>
          <w:szCs w:val="24"/>
          <w:highlight w:val="none"/>
        </w:rPr>
        <w:t xml:space="preserve"> </w:t>
      </w:r>
      <w:r>
        <w:rPr>
          <w:rFonts w:ascii="微软雅黑" w:hAnsi="微软雅黑" w:eastAsia="微软雅黑" w:cs="微软雅黑"/>
          <w:color w:val="auto"/>
          <w:spacing w:val="1"/>
          <w:sz w:val="24"/>
          <w:szCs w:val="24"/>
          <w:highlight w:val="none"/>
        </w:rPr>
        <w:t>30</w:t>
      </w:r>
    </w:p>
    <w:p w14:paraId="2605A888">
      <w:pPr>
        <w:spacing w:before="46" w:line="209" w:lineRule="auto"/>
        <w:ind w:left="929" w:right="192" w:firstLine="1"/>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分钟。供应商须在规定时间内使用 CA 锁在政采云平台解密，解密失败</w:t>
      </w:r>
      <w:r>
        <w:rPr>
          <w:rFonts w:ascii="微软雅黑" w:hAnsi="微软雅黑" w:eastAsia="微软雅黑" w:cs="微软雅黑"/>
          <w:color w:val="auto"/>
          <w:spacing w:val="10"/>
          <w:sz w:val="24"/>
          <w:szCs w:val="24"/>
          <w:highlight w:val="none"/>
        </w:rPr>
        <w:t xml:space="preserve"> </w:t>
      </w:r>
      <w:r>
        <w:rPr>
          <w:rFonts w:ascii="微软雅黑" w:hAnsi="微软雅黑" w:eastAsia="微软雅黑" w:cs="微软雅黑"/>
          <w:color w:val="auto"/>
          <w:spacing w:val="-1"/>
          <w:sz w:val="24"/>
          <w:szCs w:val="24"/>
          <w:highlight w:val="none"/>
        </w:rPr>
        <w:t>或未在规定时间内解密，将无法参加下一阶段的磋商，将被认定为无效</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2"/>
          <w:sz w:val="24"/>
          <w:szCs w:val="24"/>
          <w:highlight w:val="none"/>
        </w:rPr>
        <w:t>磋商。</w:t>
      </w:r>
      <w:r>
        <w:rPr>
          <w:rFonts w:ascii="微软雅黑" w:hAnsi="微软雅黑" w:eastAsia="微软雅黑" w:cs="微软雅黑"/>
          <w:b/>
          <w:bCs/>
          <w:color w:val="auto"/>
          <w:spacing w:val="-2"/>
          <w:sz w:val="24"/>
          <w:szCs w:val="24"/>
          <w:highlight w:val="none"/>
        </w:rPr>
        <w:t>请供应商提前调试好 CA 锁，确保在操作时能正</w:t>
      </w:r>
      <w:r>
        <w:rPr>
          <w:rFonts w:ascii="微软雅黑" w:hAnsi="微软雅黑" w:eastAsia="微软雅黑" w:cs="微软雅黑"/>
          <w:b/>
          <w:bCs/>
          <w:color w:val="auto"/>
          <w:spacing w:val="-3"/>
          <w:sz w:val="24"/>
          <w:szCs w:val="24"/>
          <w:highlight w:val="none"/>
        </w:rPr>
        <w:t>常使用。</w:t>
      </w:r>
    </w:p>
    <w:p w14:paraId="49272F1B">
      <w:pPr>
        <w:spacing w:before="2"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18.3     在开标记录时，代理机构开启签字时段，</w:t>
      </w:r>
      <w:r>
        <w:rPr>
          <w:rFonts w:ascii="微软雅黑" w:hAnsi="微软雅黑" w:eastAsia="微软雅黑" w:cs="微软雅黑"/>
          <w:b/>
          <w:bCs/>
          <w:color w:val="auto"/>
          <w:sz w:val="24"/>
          <w:szCs w:val="24"/>
          <w:highlight w:val="none"/>
        </w:rPr>
        <w:t>供应商须使用 CA 锁在政采云</w:t>
      </w:r>
    </w:p>
    <w:p w14:paraId="4CD84BC0">
      <w:pPr>
        <w:spacing w:before="45" w:line="184" w:lineRule="auto"/>
        <w:ind w:left="935"/>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5"/>
          <w:sz w:val="24"/>
          <w:szCs w:val="24"/>
          <w:highlight w:val="none"/>
        </w:rPr>
        <w:t>平台进行签字确认报价。</w:t>
      </w:r>
    </w:p>
    <w:p w14:paraId="30303C7E">
      <w:pPr>
        <w:spacing w:before="44"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18.4     在评审磋商环节，</w:t>
      </w:r>
      <w:r>
        <w:rPr>
          <w:rFonts w:ascii="微软雅黑" w:hAnsi="微软雅黑" w:eastAsia="微软雅黑" w:cs="微软雅黑"/>
          <w:b/>
          <w:bCs/>
          <w:color w:val="auto"/>
          <w:sz w:val="24"/>
          <w:szCs w:val="24"/>
          <w:highlight w:val="none"/>
        </w:rPr>
        <w:t>供应商须提前调试电脑是否可以正常视频通话</w:t>
      </w:r>
      <w:r>
        <w:rPr>
          <w:rFonts w:ascii="微软雅黑" w:hAnsi="微软雅黑" w:eastAsia="微软雅黑" w:cs="微软雅黑"/>
          <w:color w:val="auto"/>
          <w:sz w:val="24"/>
          <w:szCs w:val="24"/>
          <w:highlight w:val="none"/>
        </w:rPr>
        <w:t>，与评</w:t>
      </w:r>
    </w:p>
    <w:p w14:paraId="10CCE934">
      <w:pPr>
        <w:spacing w:before="44" w:line="184" w:lineRule="auto"/>
        <w:ind w:left="94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审专家进行一对一的磋商。</w:t>
      </w:r>
    </w:p>
    <w:p w14:paraId="327100B2">
      <w:pPr>
        <w:spacing w:before="46" w:line="183" w:lineRule="auto"/>
        <w:ind w:left="5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19.资格审查及组建磋商小组</w:t>
      </w:r>
    </w:p>
    <w:p w14:paraId="3E7508D0">
      <w:pPr>
        <w:spacing w:before="44"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19.1     采购人依据法律法规和磋商文件中规定的内容，对供应商的资格进行审</w:t>
      </w:r>
    </w:p>
    <w:p w14:paraId="47CE26D7">
      <w:pPr>
        <w:spacing w:before="45" w:line="209" w:lineRule="auto"/>
        <w:ind w:left="929" w:firstLine="2"/>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查，未按要求提供资格审查资料的供应商或其中一项未通过的供应商，</w:t>
      </w:r>
      <w:r>
        <w:rPr>
          <w:rFonts w:ascii="微软雅黑" w:hAnsi="微软雅黑" w:eastAsia="微软雅黑" w:cs="微软雅黑"/>
          <w:color w:val="auto"/>
          <w:spacing w:val="4"/>
          <w:sz w:val="24"/>
          <w:szCs w:val="24"/>
          <w:highlight w:val="none"/>
        </w:rPr>
        <w:t xml:space="preserve"> </w:t>
      </w:r>
      <w:r>
        <w:rPr>
          <w:rFonts w:ascii="微软雅黑" w:hAnsi="微软雅黑" w:eastAsia="微软雅黑" w:cs="微软雅黑"/>
          <w:color w:val="auto"/>
          <w:spacing w:val="-1"/>
          <w:sz w:val="24"/>
          <w:szCs w:val="24"/>
          <w:highlight w:val="none"/>
        </w:rPr>
        <w:t>将视为资格审查不合格，未能通过资格审查的供应商不进入下一阶段的</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详细评审，将被认定为磋商无效。</w:t>
      </w:r>
    </w:p>
    <w:p w14:paraId="1A12C5AB">
      <w:pPr>
        <w:spacing w:before="4" w:line="184"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19.2     采购人在资格审查期间查询供应商的信用记录。供应商存在不良信用记</w:t>
      </w:r>
    </w:p>
    <w:p w14:paraId="52193A0B">
      <w:pPr>
        <w:spacing w:before="46" w:line="183" w:lineRule="auto"/>
        <w:ind w:left="9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录的，其磋商将被认定为</w:t>
      </w:r>
      <w:r>
        <w:rPr>
          <w:rFonts w:ascii="微软雅黑" w:hAnsi="微软雅黑" w:eastAsia="微软雅黑" w:cs="微软雅黑"/>
          <w:b/>
          <w:bCs/>
          <w:color w:val="auto"/>
          <w:spacing w:val="-1"/>
          <w:sz w:val="24"/>
          <w:szCs w:val="24"/>
          <w:highlight w:val="none"/>
        </w:rPr>
        <w:t>磋商无效</w:t>
      </w:r>
      <w:r>
        <w:rPr>
          <w:rFonts w:ascii="微软雅黑" w:hAnsi="微软雅黑" w:eastAsia="微软雅黑" w:cs="微软雅黑"/>
          <w:color w:val="auto"/>
          <w:spacing w:val="-1"/>
          <w:sz w:val="24"/>
          <w:szCs w:val="24"/>
          <w:highlight w:val="none"/>
        </w:rPr>
        <w:t>。</w:t>
      </w:r>
    </w:p>
    <w:p w14:paraId="0A69598E">
      <w:pPr>
        <w:spacing w:before="46" w:line="183" w:lineRule="auto"/>
        <w:ind w:left="53"/>
        <w:rPr>
          <w:rFonts w:hint="eastAsia" w:ascii="微软雅黑" w:hAnsi="微软雅黑" w:eastAsia="微软雅黑" w:cs="微软雅黑"/>
          <w:color w:val="auto"/>
          <w:sz w:val="24"/>
          <w:szCs w:val="24"/>
          <w:highlight w:val="none"/>
          <w:lang w:val="en-US" w:eastAsia="zh-CN"/>
        </w:rPr>
      </w:pPr>
      <w:r>
        <w:rPr>
          <w:rFonts w:ascii="微软雅黑" w:hAnsi="微软雅黑" w:eastAsia="微软雅黑" w:cs="微软雅黑"/>
          <w:color w:val="auto"/>
          <w:spacing w:val="-2"/>
          <w:sz w:val="24"/>
          <w:szCs w:val="24"/>
          <w:highlight w:val="none"/>
        </w:rPr>
        <w:t>19.2.1   不良信用记录指  ：供应商</w:t>
      </w:r>
      <w:r>
        <w:rPr>
          <w:rFonts w:ascii="微软雅黑" w:hAnsi="微软雅黑" w:eastAsia="微软雅黑" w:cs="微软雅黑"/>
          <w:color w:val="auto"/>
          <w:spacing w:val="-3"/>
          <w:sz w:val="24"/>
          <w:szCs w:val="24"/>
          <w:highlight w:val="none"/>
        </w:rPr>
        <w:t>在</w:t>
      </w:r>
      <w:r>
        <w:rPr>
          <w:rFonts w:hint="eastAsia" w:ascii="微软雅黑" w:hAnsi="微软雅黑" w:eastAsia="微软雅黑" w:cs="微软雅黑"/>
          <w:color w:val="auto"/>
          <w:spacing w:val="-3"/>
          <w:sz w:val="24"/>
          <w:szCs w:val="24"/>
          <w:highlight w:val="none"/>
          <w:lang w:eastAsia="zh-CN"/>
        </w:rPr>
        <w:t>“</w:t>
      </w:r>
      <w:r>
        <w:rPr>
          <w:rFonts w:ascii="微软雅黑" w:hAnsi="微软雅黑" w:eastAsia="微软雅黑" w:cs="微软雅黑"/>
          <w:color w:val="auto"/>
          <w:spacing w:val="-3"/>
          <w:sz w:val="24"/>
          <w:szCs w:val="24"/>
          <w:highlight w:val="none"/>
        </w:rPr>
        <w:t xml:space="preserve"> 信用中国</w:t>
      </w:r>
      <w:r>
        <w:rPr>
          <w:rFonts w:ascii="微软雅黑" w:hAnsi="微软雅黑" w:eastAsia="微软雅黑" w:cs="微软雅黑"/>
          <w:color w:val="auto"/>
          <w:spacing w:val="4"/>
          <w:sz w:val="24"/>
          <w:szCs w:val="24"/>
          <w:highlight w:val="none"/>
        </w:rPr>
        <w:t xml:space="preserve"> </w:t>
      </w:r>
      <w:r>
        <w:rPr>
          <w:rFonts w:ascii="微软雅黑" w:hAnsi="微软雅黑" w:eastAsia="微软雅黑" w:cs="微软雅黑"/>
          <w:color w:val="auto"/>
          <w:spacing w:val="-3"/>
          <w:sz w:val="24"/>
          <w:szCs w:val="24"/>
          <w:highlight w:val="none"/>
        </w:rPr>
        <w:t>”</w:t>
      </w:r>
      <w:r>
        <w:rPr>
          <w:rFonts w:hint="eastAsia" w:ascii="微软雅黑" w:hAnsi="微软雅黑" w:eastAsia="微软雅黑" w:cs="微软雅黑"/>
          <w:color w:val="auto"/>
          <w:spacing w:val="-3"/>
          <w:sz w:val="24"/>
          <w:szCs w:val="24"/>
          <w:highlight w:val="none"/>
          <w:lang w:val="en-US" w:eastAsia="zh-CN"/>
        </w:rPr>
        <w:t>网站</w:t>
      </w:r>
    </w:p>
    <w:p w14:paraId="03A45ED6">
      <w:pPr>
        <w:spacing w:before="9" w:line="210" w:lineRule="auto"/>
        <w:ind w:left="931" w:right="192" w:firstLine="33"/>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 www.creditchina.gov.cn） 被列入失信被执行人、重大税收违法案</w:t>
      </w:r>
      <w:r>
        <w:rPr>
          <w:rFonts w:ascii="微软雅黑" w:hAnsi="微软雅黑" w:eastAsia="微软雅黑" w:cs="微软雅黑"/>
          <w:color w:val="auto"/>
          <w:spacing w:val="5"/>
          <w:sz w:val="24"/>
          <w:szCs w:val="24"/>
          <w:highlight w:val="none"/>
        </w:rPr>
        <w:t xml:space="preserve"> </w:t>
      </w:r>
      <w:r>
        <w:rPr>
          <w:rFonts w:ascii="微软雅黑" w:hAnsi="微软雅黑" w:eastAsia="微软雅黑" w:cs="微软雅黑"/>
          <w:color w:val="auto"/>
          <w:spacing w:val="-2"/>
          <w:sz w:val="24"/>
          <w:szCs w:val="24"/>
          <w:highlight w:val="none"/>
        </w:rPr>
        <w:t>件当事人名单(信用服务-重点领域严重失</w:t>
      </w:r>
      <w:r>
        <w:rPr>
          <w:rFonts w:ascii="微软雅黑" w:hAnsi="微软雅黑" w:eastAsia="微软雅黑" w:cs="微软雅黑"/>
          <w:color w:val="auto"/>
          <w:spacing w:val="-3"/>
          <w:sz w:val="24"/>
          <w:szCs w:val="24"/>
          <w:highlight w:val="none"/>
        </w:rPr>
        <w:t>信主体名单查询-搜索栏输入单</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位全称)、中国政府采购网（</w:t>
      </w:r>
      <w:r>
        <w:rPr>
          <w:rFonts w:ascii="微软雅黑" w:hAnsi="微软雅黑" w:eastAsia="微软雅黑" w:cs="微软雅黑"/>
          <w:color w:val="auto"/>
          <w:spacing w:val="-29"/>
          <w:sz w:val="24"/>
          <w:szCs w:val="24"/>
          <w:highlight w:val="none"/>
        </w:rPr>
        <w:t xml:space="preserve"> </w:t>
      </w:r>
      <w:r>
        <w:rPr>
          <w:color w:val="auto"/>
          <w:highlight w:val="none"/>
        </w:rPr>
        <w:fldChar w:fldCharType="begin"/>
      </w:r>
      <w:r>
        <w:rPr>
          <w:color w:val="auto"/>
          <w:highlight w:val="none"/>
        </w:rPr>
        <w:instrText xml:space="preserve"> HYPERLINK "http://www.ccgp.gov.cn/search/cr/" </w:instrText>
      </w:r>
      <w:r>
        <w:rPr>
          <w:color w:val="auto"/>
          <w:highlight w:val="none"/>
        </w:rPr>
        <w:fldChar w:fldCharType="separate"/>
      </w:r>
      <w:r>
        <w:rPr>
          <w:rFonts w:ascii="微软雅黑" w:hAnsi="微软雅黑" w:eastAsia="微软雅黑" w:cs="微软雅黑"/>
          <w:color w:val="auto"/>
          <w:spacing w:val="-1"/>
          <w:sz w:val="24"/>
          <w:szCs w:val="24"/>
          <w:highlight w:val="none"/>
        </w:rPr>
        <w:t>http://www.ccgp.g</w:t>
      </w:r>
      <w:r>
        <w:rPr>
          <w:rFonts w:ascii="微软雅黑" w:hAnsi="微软雅黑" w:eastAsia="微软雅黑" w:cs="微软雅黑"/>
          <w:color w:val="auto"/>
          <w:spacing w:val="-2"/>
          <w:sz w:val="24"/>
          <w:szCs w:val="24"/>
          <w:highlight w:val="none"/>
        </w:rPr>
        <w:t>ov.cn/search/cr/</w:t>
      </w:r>
      <w:r>
        <w:rPr>
          <w:rFonts w:ascii="微软雅黑" w:hAnsi="微软雅黑" w:eastAsia="微软雅黑" w:cs="微软雅黑"/>
          <w:color w:val="auto"/>
          <w:spacing w:val="-2"/>
          <w:sz w:val="24"/>
          <w:szCs w:val="24"/>
          <w:highlight w:val="none"/>
        </w:rPr>
        <w:fldChar w:fldCharType="end"/>
      </w:r>
      <w:r>
        <w:rPr>
          <w:rFonts w:ascii="微软雅黑" w:hAnsi="微软雅黑" w:eastAsia="微软雅黑" w:cs="微软雅黑"/>
          <w:color w:val="auto"/>
          <w:spacing w:val="-2"/>
          <w:sz w:val="24"/>
          <w:szCs w:val="24"/>
          <w:highlight w:val="none"/>
        </w:rPr>
        <w:t>）严</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重违法失信行为记录名单的（尚在处罚期内的</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pacing w:val="-1"/>
          <w:sz w:val="24"/>
          <w:szCs w:val="24"/>
          <w:highlight w:val="none"/>
        </w:rPr>
        <w:t>以联合体形</w:t>
      </w:r>
      <w:r>
        <w:rPr>
          <w:rFonts w:ascii="微软雅黑" w:hAnsi="微软雅黑" w:eastAsia="微软雅黑" w:cs="微软雅黑"/>
          <w:color w:val="auto"/>
          <w:spacing w:val="-2"/>
          <w:sz w:val="24"/>
          <w:szCs w:val="24"/>
          <w:highlight w:val="none"/>
        </w:rPr>
        <w:t>式参加磋</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商的，联合体任何成员存在以上不良信用记录的，联合体磋商将被认定</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7"/>
          <w:sz w:val="24"/>
          <w:szCs w:val="24"/>
          <w:highlight w:val="none"/>
        </w:rPr>
        <w:t>为磋商无效。</w:t>
      </w:r>
    </w:p>
    <w:p w14:paraId="1B65A3AA">
      <w:pPr>
        <w:spacing w:before="35" w:line="209" w:lineRule="auto"/>
        <w:ind w:left="932" w:right="192" w:hanging="87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19.2.2</w:t>
      </w:r>
      <w:r>
        <w:rPr>
          <w:rFonts w:ascii="微软雅黑" w:hAnsi="微软雅黑" w:eastAsia="微软雅黑" w:cs="微软雅黑"/>
          <w:color w:val="auto"/>
          <w:spacing w:val="59"/>
          <w:sz w:val="24"/>
          <w:szCs w:val="24"/>
          <w:highlight w:val="none"/>
        </w:rPr>
        <w:t xml:space="preserve"> </w:t>
      </w:r>
      <w:r>
        <w:rPr>
          <w:rFonts w:ascii="微软雅黑" w:hAnsi="微软雅黑" w:eastAsia="微软雅黑" w:cs="微软雅黑"/>
          <w:color w:val="auto"/>
          <w:spacing w:val="1"/>
          <w:sz w:val="24"/>
          <w:szCs w:val="24"/>
          <w:highlight w:val="none"/>
        </w:rPr>
        <w:t>查询及记录方式：采购人或采购代理机构经办人将查询网页打印、签字</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并存档备查。供应商不良信用记录以采购人或采购代理机构查询</w:t>
      </w:r>
      <w:r>
        <w:rPr>
          <w:rFonts w:ascii="微软雅黑" w:hAnsi="微软雅黑" w:eastAsia="微软雅黑" w:cs="微软雅黑"/>
          <w:color w:val="auto"/>
          <w:spacing w:val="-2"/>
          <w:sz w:val="24"/>
          <w:szCs w:val="24"/>
          <w:highlight w:val="none"/>
        </w:rPr>
        <w:t>结果为</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3"/>
          <w:sz w:val="24"/>
          <w:szCs w:val="24"/>
          <w:highlight w:val="none"/>
        </w:rPr>
        <w:t>准。</w:t>
      </w:r>
    </w:p>
    <w:p w14:paraId="06794361">
      <w:pPr>
        <w:spacing w:before="5" w:line="209" w:lineRule="auto"/>
        <w:ind w:left="752" w:right="344"/>
        <w:rPr>
          <w:rFonts w:ascii="微软雅黑" w:hAnsi="微软雅黑" w:eastAsia="微软雅黑" w:cs="微软雅黑"/>
          <w:color w:val="auto"/>
          <w:sz w:val="24"/>
          <w:szCs w:val="24"/>
          <w:highlight w:val="none"/>
        </w:rPr>
      </w:pPr>
      <w:r>
        <w:rPr>
          <w:rFonts w:ascii="微软雅黑" w:hAnsi="微软雅黑" w:eastAsia="微软雅黑" w:cs="微软雅黑"/>
          <w:b/>
          <w:bCs/>
          <w:color w:val="auto"/>
          <w:sz w:val="24"/>
          <w:szCs w:val="24"/>
          <w:highlight w:val="none"/>
        </w:rPr>
        <w:t>在本磋商文件规定的查询时间之后，网站信息发生的任何变</w:t>
      </w:r>
      <w:r>
        <w:rPr>
          <w:rFonts w:ascii="微软雅黑" w:hAnsi="微软雅黑" w:eastAsia="微软雅黑" w:cs="微软雅黑"/>
          <w:b/>
          <w:bCs/>
          <w:color w:val="auto"/>
          <w:spacing w:val="-1"/>
          <w:sz w:val="24"/>
          <w:szCs w:val="24"/>
          <w:highlight w:val="none"/>
        </w:rPr>
        <w:t>更均不再作</w:t>
      </w:r>
      <w:r>
        <w:rPr>
          <w:rFonts w:ascii="微软雅黑" w:hAnsi="微软雅黑" w:eastAsia="微软雅黑" w:cs="微软雅黑"/>
          <w:b/>
          <w:bCs/>
          <w:color w:val="auto"/>
          <w:sz w:val="24"/>
          <w:szCs w:val="24"/>
          <w:highlight w:val="none"/>
        </w:rPr>
        <w:t xml:space="preserve"> </w:t>
      </w:r>
      <w:r>
        <w:rPr>
          <w:rFonts w:ascii="微软雅黑" w:hAnsi="微软雅黑" w:eastAsia="微软雅黑" w:cs="微软雅黑"/>
          <w:b/>
          <w:bCs/>
          <w:color w:val="auto"/>
          <w:spacing w:val="-7"/>
          <w:sz w:val="24"/>
          <w:szCs w:val="24"/>
          <w:highlight w:val="none"/>
        </w:rPr>
        <w:t>为评标依据。</w:t>
      </w:r>
    </w:p>
    <w:p w14:paraId="1781B4EE">
      <w:pPr>
        <w:spacing w:before="2" w:line="183" w:lineRule="auto"/>
        <w:ind w:left="5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19.3     按照《中华人民共和国政府采购法》、《中华人民共和国政府采购法实</w:t>
      </w:r>
    </w:p>
    <w:p w14:paraId="5D4C50D0">
      <w:pPr>
        <w:spacing w:before="46" w:line="209" w:lineRule="auto"/>
        <w:ind w:left="931" w:right="192"/>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施条例》、《政府采购货物和服务招标磋商管理办法》财政部令第 87</w:t>
      </w:r>
      <w:r>
        <w:rPr>
          <w:rFonts w:ascii="微软雅黑" w:hAnsi="微软雅黑" w:eastAsia="微软雅黑" w:cs="微软雅黑"/>
          <w:color w:val="auto"/>
          <w:spacing w:val="2"/>
          <w:sz w:val="24"/>
          <w:szCs w:val="24"/>
          <w:highlight w:val="none"/>
        </w:rPr>
        <w:t xml:space="preserve">  </w:t>
      </w:r>
      <w:r>
        <w:rPr>
          <w:rFonts w:ascii="微软雅黑" w:hAnsi="微软雅黑" w:eastAsia="微软雅黑" w:cs="微软雅黑"/>
          <w:color w:val="auto"/>
          <w:spacing w:val="7"/>
          <w:sz w:val="24"/>
          <w:szCs w:val="24"/>
          <w:highlight w:val="none"/>
        </w:rPr>
        <w:t>号及本项目本级和上级财政部门的有关规定依法在政采云平台</w:t>
      </w:r>
      <w:r>
        <w:rPr>
          <w:rFonts w:ascii="微软雅黑" w:hAnsi="微软雅黑" w:eastAsia="微软雅黑" w:cs="微软雅黑"/>
          <w:color w:val="auto"/>
          <w:spacing w:val="6"/>
          <w:sz w:val="24"/>
          <w:szCs w:val="24"/>
          <w:highlight w:val="none"/>
        </w:rPr>
        <w:t>上随机</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 xml:space="preserve">抽取 </w:t>
      </w:r>
      <w:r>
        <w:rPr>
          <w:rFonts w:ascii="微软雅黑" w:hAnsi="微软雅黑" w:eastAsia="微软雅黑" w:cs="微软雅黑"/>
          <w:b/>
          <w:bCs/>
          <w:color w:val="auto"/>
          <w:spacing w:val="-3"/>
          <w:sz w:val="24"/>
          <w:szCs w:val="24"/>
          <w:highlight w:val="none"/>
        </w:rPr>
        <w:t>3 名专家，共 3 名专家组成磋商小组</w:t>
      </w:r>
      <w:r>
        <w:rPr>
          <w:rFonts w:ascii="微软雅黑" w:hAnsi="微软雅黑" w:eastAsia="微软雅黑" w:cs="微软雅黑"/>
          <w:color w:val="auto"/>
          <w:spacing w:val="-3"/>
          <w:sz w:val="24"/>
          <w:szCs w:val="24"/>
          <w:highlight w:val="none"/>
        </w:rPr>
        <w:t>负责评标工</w:t>
      </w:r>
      <w:r>
        <w:rPr>
          <w:rFonts w:ascii="微软雅黑" w:hAnsi="微软雅黑" w:eastAsia="微软雅黑" w:cs="微软雅黑"/>
          <w:color w:val="auto"/>
          <w:spacing w:val="-4"/>
          <w:sz w:val="24"/>
          <w:szCs w:val="24"/>
          <w:highlight w:val="none"/>
        </w:rPr>
        <w:t>作。</w:t>
      </w:r>
    </w:p>
    <w:p w14:paraId="7850E301">
      <w:pPr>
        <w:spacing w:before="4" w:line="183" w:lineRule="auto"/>
        <w:ind w:left="4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20.响应文件符合性审查与澄清</w:t>
      </w:r>
    </w:p>
    <w:p w14:paraId="25909B60">
      <w:pPr>
        <w:spacing w:line="456" w:lineRule="auto"/>
        <w:rPr>
          <w:rFonts w:ascii="Arial"/>
          <w:color w:val="auto"/>
          <w:sz w:val="21"/>
          <w:highlight w:val="none"/>
        </w:rPr>
      </w:pPr>
    </w:p>
    <w:p w14:paraId="78FDBF81">
      <w:pPr>
        <w:pStyle w:val="2"/>
        <w:spacing w:before="60" w:line="181" w:lineRule="auto"/>
        <w:ind w:left="4147"/>
        <w:rPr>
          <w:color w:val="auto"/>
          <w:sz w:val="18"/>
          <w:szCs w:val="18"/>
          <w:highlight w:val="none"/>
        </w:rPr>
      </w:pPr>
    </w:p>
    <w:p w14:paraId="726EB544">
      <w:pPr>
        <w:spacing w:line="181" w:lineRule="auto"/>
        <w:rPr>
          <w:color w:val="auto"/>
          <w:sz w:val="18"/>
          <w:szCs w:val="18"/>
          <w:highlight w:val="none"/>
        </w:rPr>
        <w:sectPr>
          <w:pgSz w:w="11906" w:h="16839"/>
          <w:pgMar w:top="1134" w:right="1604" w:bottom="1134" w:left="1768" w:header="0" w:footer="0" w:gutter="0"/>
          <w:pgNumType w:fmt="decimal"/>
          <w:cols w:space="720" w:num="1"/>
        </w:sectPr>
      </w:pPr>
    </w:p>
    <w:p w14:paraId="7FE286BA">
      <w:pPr>
        <w:spacing w:before="103" w:line="184" w:lineRule="auto"/>
        <w:ind w:left="1128" w:leftChars="76" w:hanging="968" w:hangingChars="40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20.1     符合性审查是指依据磋商文</w:t>
      </w:r>
      <w:r>
        <w:rPr>
          <w:rFonts w:ascii="微软雅黑" w:hAnsi="微软雅黑" w:eastAsia="微软雅黑" w:cs="微软雅黑"/>
          <w:color w:val="auto"/>
          <w:sz w:val="24"/>
          <w:szCs w:val="24"/>
          <w:highlight w:val="none"/>
        </w:rPr>
        <w:t>件的规定，从响应文件的有效性和完整性对</w:t>
      </w:r>
      <w:r>
        <w:rPr>
          <w:rFonts w:ascii="微软雅黑" w:hAnsi="微软雅黑" w:eastAsia="微软雅黑" w:cs="微软雅黑"/>
          <w:color w:val="auto"/>
          <w:spacing w:val="-1"/>
          <w:sz w:val="24"/>
          <w:szCs w:val="24"/>
          <w:highlight w:val="none"/>
        </w:rPr>
        <w:t>磋商文件的响应程度进行审查，以确定是否对磋商文件的实质性要求做</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13"/>
          <w:sz w:val="24"/>
          <w:szCs w:val="24"/>
          <w:highlight w:val="none"/>
        </w:rPr>
        <w:t>出响应。</w:t>
      </w:r>
    </w:p>
    <w:p w14:paraId="7B178123">
      <w:pPr>
        <w:spacing w:before="4" w:line="183" w:lineRule="auto"/>
        <w:ind w:left="16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20.2      响应文件的澄清</w:t>
      </w:r>
    </w:p>
    <w:p w14:paraId="13B494D3">
      <w:pPr>
        <w:spacing w:before="40" w:line="210" w:lineRule="auto"/>
        <w:ind w:left="1047" w:right="1" w:hanging="88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20.2.1   在评标期间，磋商小组将以书面方式要求供应商对其响应文件中含义不</w:t>
      </w:r>
      <w:r>
        <w:rPr>
          <w:rFonts w:ascii="微软雅黑" w:hAnsi="微软雅黑" w:eastAsia="微软雅黑" w:cs="微软雅黑"/>
          <w:color w:val="auto"/>
          <w:spacing w:val="2"/>
          <w:sz w:val="24"/>
          <w:szCs w:val="24"/>
          <w:highlight w:val="none"/>
        </w:rPr>
        <w:t xml:space="preserve">  </w:t>
      </w:r>
      <w:r>
        <w:rPr>
          <w:rFonts w:ascii="微软雅黑" w:hAnsi="微软雅黑" w:eastAsia="微软雅黑" w:cs="微软雅黑"/>
          <w:color w:val="auto"/>
          <w:spacing w:val="-1"/>
          <w:sz w:val="24"/>
          <w:szCs w:val="24"/>
          <w:highlight w:val="none"/>
        </w:rPr>
        <w:t>明确、对同类问题表述不一致或者有明显文字和计算错误的内容，以及</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7"/>
          <w:sz w:val="24"/>
          <w:szCs w:val="24"/>
          <w:highlight w:val="none"/>
        </w:rPr>
        <w:t>磋商小组认为供应商的报价明显低于其他通过符合性检查供应商的报</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6"/>
          <w:sz w:val="24"/>
          <w:szCs w:val="24"/>
          <w:highlight w:val="none"/>
        </w:rPr>
        <w:t>价，有可能影响履约的情况作必要的澄清、说明或补正。供应</w:t>
      </w:r>
      <w:r>
        <w:rPr>
          <w:rFonts w:ascii="微软雅黑" w:hAnsi="微软雅黑" w:eastAsia="微软雅黑" w:cs="微软雅黑"/>
          <w:color w:val="auto"/>
          <w:spacing w:val="-7"/>
          <w:sz w:val="24"/>
          <w:szCs w:val="24"/>
          <w:highlight w:val="none"/>
        </w:rPr>
        <w:t>商的澄清、</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说明或补正应在磋商小组规定的时间内以书面方式进行，并不得超出响</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应文件范围或者改变响应文件的实质性内容。</w:t>
      </w:r>
    </w:p>
    <w:p w14:paraId="16483B26">
      <w:pPr>
        <w:spacing w:before="3" w:line="197" w:lineRule="auto"/>
        <w:ind w:left="161" w:right="151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20.2.2   供应商的的澄清、说明或补正将作为响应文件的一部分</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20.3   响应文件报价出现前后不一致的，按照下列规定修正：</w:t>
      </w:r>
    </w:p>
    <w:p w14:paraId="137842A0">
      <w:pPr>
        <w:spacing w:before="1" w:line="209" w:lineRule="auto"/>
        <w:ind w:left="1050" w:right="74" w:hanging="2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（一）响应文件中磋商一览表（报价表）</w:t>
      </w:r>
      <w:r>
        <w:rPr>
          <w:rFonts w:ascii="微软雅黑" w:hAnsi="微软雅黑" w:eastAsia="微软雅黑" w:cs="微软雅黑"/>
          <w:color w:val="auto"/>
          <w:spacing w:val="-45"/>
          <w:sz w:val="24"/>
          <w:szCs w:val="24"/>
          <w:highlight w:val="none"/>
        </w:rPr>
        <w:t xml:space="preserve"> </w:t>
      </w:r>
      <w:r>
        <w:rPr>
          <w:rFonts w:ascii="微软雅黑" w:hAnsi="微软雅黑" w:eastAsia="微软雅黑" w:cs="微软雅黑"/>
          <w:color w:val="auto"/>
          <w:spacing w:val="-1"/>
          <w:sz w:val="24"/>
          <w:szCs w:val="24"/>
          <w:highlight w:val="none"/>
        </w:rPr>
        <w:t>内容与响应文件</w:t>
      </w:r>
      <w:r>
        <w:rPr>
          <w:rFonts w:ascii="微软雅黑" w:hAnsi="微软雅黑" w:eastAsia="微软雅黑" w:cs="微软雅黑"/>
          <w:color w:val="auto"/>
          <w:spacing w:val="-2"/>
          <w:sz w:val="24"/>
          <w:szCs w:val="24"/>
          <w:highlight w:val="none"/>
        </w:rPr>
        <w:t>中相应内容不</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一致的，以磋商一览表（报价表）为准；</w:t>
      </w:r>
    </w:p>
    <w:p w14:paraId="74292DEC">
      <w:pPr>
        <w:spacing w:before="46" w:line="183" w:lineRule="auto"/>
        <w:ind w:left="102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（二）大写金额和小写金额不一致的，以大写金</w:t>
      </w:r>
      <w:r>
        <w:rPr>
          <w:rFonts w:ascii="微软雅黑" w:hAnsi="微软雅黑" w:eastAsia="微软雅黑" w:cs="微软雅黑"/>
          <w:color w:val="auto"/>
          <w:spacing w:val="-4"/>
          <w:sz w:val="24"/>
          <w:szCs w:val="24"/>
          <w:highlight w:val="none"/>
        </w:rPr>
        <w:t>额为准；</w:t>
      </w:r>
    </w:p>
    <w:p w14:paraId="1399296D">
      <w:pPr>
        <w:spacing w:before="3" w:line="209" w:lineRule="auto"/>
        <w:ind w:left="1055" w:right="74" w:hanging="27"/>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（三）单价金额小数点或者百分比有明显错位</w:t>
      </w:r>
      <w:r>
        <w:rPr>
          <w:rFonts w:ascii="微软雅黑" w:hAnsi="微软雅黑" w:eastAsia="微软雅黑" w:cs="微软雅黑"/>
          <w:color w:val="auto"/>
          <w:spacing w:val="-1"/>
          <w:sz w:val="24"/>
          <w:szCs w:val="24"/>
          <w:highlight w:val="none"/>
        </w:rPr>
        <w:t>的，以磋商一览表的总价</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6"/>
          <w:sz w:val="24"/>
          <w:szCs w:val="24"/>
          <w:highlight w:val="none"/>
        </w:rPr>
        <w:t>为准，并修改单价；</w:t>
      </w:r>
    </w:p>
    <w:p w14:paraId="3BD89715">
      <w:pPr>
        <w:spacing w:before="47" w:line="203" w:lineRule="auto"/>
        <w:ind w:left="1050" w:hanging="2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（四）总价金额与按单价汇总金额不一致的，</w:t>
      </w:r>
      <w:r>
        <w:rPr>
          <w:rFonts w:ascii="微软雅黑" w:hAnsi="微软雅黑" w:eastAsia="微软雅黑" w:cs="微软雅黑"/>
          <w:color w:val="auto"/>
          <w:spacing w:val="-6"/>
          <w:sz w:val="24"/>
          <w:szCs w:val="24"/>
          <w:highlight w:val="none"/>
        </w:rPr>
        <w:t>以单价金额计算结果为准。</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同时出现两种以上不一致的，按照前款规定的顺序修正。修正后的</w:t>
      </w:r>
      <w:r>
        <w:rPr>
          <w:rFonts w:ascii="微软雅黑" w:hAnsi="微软雅黑" w:eastAsia="微软雅黑" w:cs="微软雅黑"/>
          <w:color w:val="auto"/>
          <w:spacing w:val="-2"/>
          <w:sz w:val="24"/>
          <w:szCs w:val="24"/>
          <w:highlight w:val="none"/>
        </w:rPr>
        <w:t>报价</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按照第 20.2 条的规定经供应商确认后产生约束力，供应</w:t>
      </w:r>
      <w:r>
        <w:rPr>
          <w:rFonts w:ascii="微软雅黑" w:hAnsi="微软雅黑" w:eastAsia="微软雅黑" w:cs="微软雅黑"/>
          <w:color w:val="auto"/>
          <w:spacing w:val="1"/>
          <w:sz w:val="24"/>
          <w:szCs w:val="24"/>
          <w:highlight w:val="none"/>
        </w:rPr>
        <w:t>商不确认的，</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其磋商将被认定</w:t>
      </w:r>
      <w:r>
        <w:rPr>
          <w:rFonts w:ascii="微软雅黑" w:hAnsi="微软雅黑" w:eastAsia="微软雅黑" w:cs="微软雅黑"/>
          <w:b/>
          <w:bCs/>
          <w:color w:val="auto"/>
          <w:spacing w:val="-1"/>
          <w:sz w:val="24"/>
          <w:szCs w:val="24"/>
          <w:highlight w:val="none"/>
        </w:rPr>
        <w:t>为磋商无效</w:t>
      </w:r>
      <w:r>
        <w:rPr>
          <w:rFonts w:ascii="微软雅黑" w:hAnsi="微软雅黑" w:eastAsia="微软雅黑" w:cs="微软雅黑"/>
          <w:color w:val="auto"/>
          <w:spacing w:val="-1"/>
          <w:sz w:val="24"/>
          <w:szCs w:val="24"/>
          <w:highlight w:val="none"/>
        </w:rPr>
        <w:t>。</w:t>
      </w:r>
    </w:p>
    <w:p w14:paraId="5866111E">
      <w:pPr>
        <w:spacing w:before="44" w:line="184" w:lineRule="auto"/>
        <w:ind w:left="15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对不同文字文本响应文件的解释发生异议的，以中文文本为准。</w:t>
      </w:r>
    </w:p>
    <w:p w14:paraId="2DA7623B">
      <w:pPr>
        <w:spacing w:before="42" w:line="210" w:lineRule="auto"/>
        <w:ind w:left="1051" w:right="74" w:hanging="89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20.4      供应商所投产品如被列入财政部与国家主管部</w:t>
      </w:r>
      <w:r>
        <w:rPr>
          <w:rFonts w:ascii="微软雅黑" w:hAnsi="微软雅黑" w:eastAsia="微软雅黑" w:cs="微软雅黑"/>
          <w:color w:val="auto"/>
          <w:spacing w:val="4"/>
          <w:sz w:val="24"/>
          <w:szCs w:val="24"/>
          <w:highlight w:val="none"/>
        </w:rPr>
        <w:t>门颁发的节能产品目录</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或环境标志产品目录或无线局域网产品目录，应提供相关证明，</w:t>
      </w:r>
      <w:r>
        <w:rPr>
          <w:rFonts w:ascii="微软雅黑" w:hAnsi="微软雅黑" w:eastAsia="微软雅黑" w:cs="微软雅黑"/>
          <w:color w:val="auto"/>
          <w:spacing w:val="-2"/>
          <w:sz w:val="24"/>
          <w:szCs w:val="24"/>
          <w:highlight w:val="none"/>
        </w:rPr>
        <w:t>在评标</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时予以优先采购，具体优先采购办法见第六章评标方法和标准。</w:t>
      </w:r>
    </w:p>
    <w:p w14:paraId="3D491E13">
      <w:pPr>
        <w:spacing w:before="4" w:line="209" w:lineRule="auto"/>
        <w:ind w:left="1051" w:right="74" w:firstLine="59"/>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如采购人所采购产品为政府强制采购的节能产品，供应商所投产品的品</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牌及型号必须为清单中有效期内产品并提供证明文件，否则其磋商</w:t>
      </w:r>
      <w:r>
        <w:rPr>
          <w:rFonts w:ascii="微软雅黑" w:hAnsi="微软雅黑" w:eastAsia="微软雅黑" w:cs="微软雅黑"/>
          <w:color w:val="auto"/>
          <w:spacing w:val="-2"/>
          <w:sz w:val="24"/>
          <w:szCs w:val="24"/>
          <w:highlight w:val="none"/>
        </w:rPr>
        <w:t>将被</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认定为</w:t>
      </w:r>
      <w:r>
        <w:rPr>
          <w:rFonts w:ascii="微软雅黑" w:hAnsi="微软雅黑" w:eastAsia="微软雅黑" w:cs="微软雅黑"/>
          <w:b/>
          <w:bCs/>
          <w:color w:val="auto"/>
          <w:spacing w:val="-1"/>
          <w:sz w:val="24"/>
          <w:szCs w:val="24"/>
          <w:highlight w:val="none"/>
        </w:rPr>
        <w:t>磋商无效</w:t>
      </w:r>
      <w:r>
        <w:rPr>
          <w:rFonts w:ascii="微软雅黑" w:hAnsi="微软雅黑" w:eastAsia="微软雅黑" w:cs="微软雅黑"/>
          <w:color w:val="auto"/>
          <w:spacing w:val="-1"/>
          <w:sz w:val="24"/>
          <w:szCs w:val="24"/>
          <w:highlight w:val="none"/>
        </w:rPr>
        <w:t>。</w:t>
      </w:r>
    </w:p>
    <w:p w14:paraId="31FF1BD7">
      <w:pPr>
        <w:spacing w:before="3" w:line="183" w:lineRule="auto"/>
        <w:ind w:left="160"/>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21.磋商偏离</w:t>
      </w:r>
    </w:p>
    <w:p w14:paraId="53FAC190">
      <w:pPr>
        <w:spacing w:before="46" w:line="183" w:lineRule="auto"/>
        <w:ind w:left="74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磋商小组可以接受响应文件中不构成实质性偏离的不正规或不一致。</w:t>
      </w:r>
    </w:p>
    <w:p w14:paraId="753611F8">
      <w:pPr>
        <w:spacing w:before="46" w:line="183" w:lineRule="auto"/>
        <w:ind w:left="160"/>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22.磋商无效</w:t>
      </w:r>
    </w:p>
    <w:p w14:paraId="7B8A7794">
      <w:pPr>
        <w:spacing w:before="47" w:line="183" w:lineRule="auto"/>
        <w:ind w:left="16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22.1   磋商小组决定磋商的响应性只根据磋商文件要求、响应文件内容及财政主</w:t>
      </w:r>
      <w:r>
        <w:rPr>
          <w:rFonts w:ascii="微软雅黑" w:hAnsi="微软雅黑" w:eastAsia="微软雅黑" w:cs="微软雅黑"/>
          <w:color w:val="auto"/>
          <w:spacing w:val="-4"/>
          <w:sz w:val="24"/>
          <w:szCs w:val="24"/>
          <w:highlight w:val="none"/>
        </w:rPr>
        <w:t>管部门指定相关信息发布媒体。</w:t>
      </w:r>
    </w:p>
    <w:p w14:paraId="6FB82409">
      <w:pPr>
        <w:spacing w:before="46" w:line="183" w:lineRule="auto"/>
        <w:ind w:left="16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22.2</w:t>
      </w:r>
      <w:r>
        <w:rPr>
          <w:rFonts w:ascii="微软雅黑" w:hAnsi="微软雅黑" w:eastAsia="微软雅黑" w:cs="微软雅黑"/>
          <w:color w:val="auto"/>
          <w:spacing w:val="15"/>
          <w:sz w:val="24"/>
          <w:szCs w:val="24"/>
          <w:highlight w:val="none"/>
        </w:rPr>
        <w:t xml:space="preserve">     </w:t>
      </w:r>
      <w:r>
        <w:rPr>
          <w:rFonts w:ascii="微软雅黑" w:hAnsi="微软雅黑" w:eastAsia="微软雅黑" w:cs="微软雅黑"/>
          <w:b/>
          <w:bCs/>
          <w:color w:val="auto"/>
          <w:spacing w:val="-1"/>
          <w:sz w:val="24"/>
          <w:szCs w:val="24"/>
          <w:highlight w:val="none"/>
        </w:rPr>
        <w:t>如发现下列情况之一的，其磋商将被认定为磋商无效</w:t>
      </w:r>
      <w:r>
        <w:rPr>
          <w:rFonts w:ascii="微软雅黑" w:hAnsi="微软雅黑" w:eastAsia="微软雅黑" w:cs="微软雅黑"/>
          <w:color w:val="auto"/>
          <w:spacing w:val="-1"/>
          <w:sz w:val="24"/>
          <w:szCs w:val="24"/>
          <w:highlight w:val="none"/>
        </w:rPr>
        <w:t>：</w:t>
      </w:r>
    </w:p>
    <w:p w14:paraId="38E3FD21">
      <w:pPr>
        <w:spacing w:before="46" w:line="183" w:lineRule="auto"/>
        <w:outlineLvl w:val="4"/>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（1）未按磋商文件规定的形式和金额提交磋商保证金的；</w:t>
      </w:r>
    </w:p>
    <w:p w14:paraId="69402B3F">
      <w:pPr>
        <w:spacing w:before="44" w:line="184" w:lineRule="auto"/>
        <w:outlineLvl w:val="4"/>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rPr>
        <w:t>（2）未按照磋商文件规定要求签署、盖章的；</w:t>
      </w:r>
    </w:p>
    <w:p w14:paraId="14942212">
      <w:pPr>
        <w:spacing w:before="46" w:line="183" w:lineRule="auto"/>
        <w:outlineLvl w:val="4"/>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（3）与其他供应商串通磋商，或者与采购人串通磋商；</w:t>
      </w:r>
    </w:p>
    <w:p w14:paraId="26937B1D">
      <w:pPr>
        <w:spacing w:before="46" w:line="183" w:lineRule="auto"/>
        <w:outlineLvl w:val="4"/>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rPr>
        <w:t>（4）属于磋商文件规定的其他磋商无效情形；</w:t>
      </w:r>
    </w:p>
    <w:p w14:paraId="7903072B">
      <w:pPr>
        <w:spacing w:before="103" w:line="206" w:lineRule="auto"/>
        <w:ind w:left="153" w:right="202" w:hanging="15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（5）磋商小组认为供应商的报价明显低于其他通过符合性检查供应商的报价，有</w:t>
      </w:r>
      <w:r>
        <w:rPr>
          <w:rFonts w:ascii="微软雅黑" w:hAnsi="微软雅黑" w:eastAsia="微软雅黑" w:cs="微软雅黑"/>
          <w:b/>
          <w:bCs/>
          <w:color w:val="auto"/>
          <w:spacing w:val="13"/>
          <w:sz w:val="24"/>
          <w:szCs w:val="24"/>
          <w:highlight w:val="none"/>
        </w:rPr>
        <w:t xml:space="preserve"> </w:t>
      </w:r>
      <w:r>
        <w:rPr>
          <w:rFonts w:ascii="微软雅黑" w:hAnsi="微软雅黑" w:eastAsia="微软雅黑" w:cs="微软雅黑"/>
          <w:b/>
          <w:bCs/>
          <w:color w:val="auto"/>
          <w:spacing w:val="-2"/>
          <w:sz w:val="24"/>
          <w:szCs w:val="24"/>
          <w:highlight w:val="none"/>
        </w:rPr>
        <w:t>可能影响履约的，且供应商未按照规定证明其报价合理性的；</w:t>
      </w:r>
    </w:p>
    <w:p w14:paraId="0B472BCA">
      <w:pPr>
        <w:spacing w:before="12" w:line="183" w:lineRule="auto"/>
        <w:outlineLvl w:val="4"/>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（6）响应文件含有采购人不能接受的附加条件的；</w:t>
      </w:r>
    </w:p>
    <w:p w14:paraId="08D878F7">
      <w:pPr>
        <w:spacing w:before="46" w:line="183" w:lineRule="auto"/>
        <w:outlineLvl w:val="4"/>
        <w:rPr>
          <w:rFonts w:ascii="微软雅黑" w:hAnsi="微软雅黑" w:eastAsia="微软雅黑" w:cs="微软雅黑"/>
          <w:b/>
          <w:bCs/>
          <w:color w:val="auto"/>
          <w:spacing w:val="-3"/>
          <w:sz w:val="24"/>
          <w:szCs w:val="24"/>
          <w:highlight w:val="none"/>
        </w:rPr>
      </w:pPr>
      <w:r>
        <w:rPr>
          <w:rFonts w:ascii="微软雅黑" w:hAnsi="微软雅黑" w:eastAsia="微软雅黑" w:cs="微软雅黑"/>
          <w:b/>
          <w:bCs/>
          <w:color w:val="auto"/>
          <w:spacing w:val="-3"/>
          <w:sz w:val="24"/>
          <w:szCs w:val="24"/>
          <w:highlight w:val="none"/>
        </w:rPr>
        <w:t>（7）不符合法规和磋商文件中规定的其他实质性要求的。</w:t>
      </w:r>
    </w:p>
    <w:p w14:paraId="3EC4A295">
      <w:pPr>
        <w:spacing w:before="44" w:line="184" w:lineRule="auto"/>
        <w:ind w:left="16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22.3     有下列情形之一的，属于恶</w:t>
      </w:r>
      <w:r>
        <w:rPr>
          <w:rFonts w:ascii="微软雅黑" w:hAnsi="微软雅黑" w:eastAsia="微软雅黑" w:cs="微软雅黑"/>
          <w:color w:val="auto"/>
          <w:sz w:val="24"/>
          <w:szCs w:val="24"/>
          <w:highlight w:val="none"/>
        </w:rPr>
        <w:t>意串通，对供应商依照政府采购法第七十七</w:t>
      </w:r>
      <w:r>
        <w:rPr>
          <w:rFonts w:ascii="微软雅黑" w:hAnsi="微软雅黑" w:eastAsia="微软雅黑" w:cs="微软雅黑"/>
          <w:color w:val="auto"/>
          <w:spacing w:val="-1"/>
          <w:sz w:val="24"/>
          <w:szCs w:val="24"/>
          <w:highlight w:val="none"/>
        </w:rPr>
        <w:t>条第一款的规定追究法律责任，对采购人、采购代理机构及其工作</w:t>
      </w:r>
      <w:r>
        <w:rPr>
          <w:rFonts w:ascii="微软雅黑" w:hAnsi="微软雅黑" w:eastAsia="微软雅黑" w:cs="微软雅黑"/>
          <w:color w:val="auto"/>
          <w:spacing w:val="-2"/>
          <w:sz w:val="24"/>
          <w:szCs w:val="24"/>
          <w:highlight w:val="none"/>
        </w:rPr>
        <w:t>人员</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依照政府采购法第七十二条的规定追究法律</w:t>
      </w:r>
      <w:r>
        <w:rPr>
          <w:rFonts w:ascii="微软雅黑" w:hAnsi="微软雅黑" w:eastAsia="微软雅黑" w:cs="微软雅黑"/>
          <w:color w:val="auto"/>
          <w:spacing w:val="-3"/>
          <w:sz w:val="24"/>
          <w:szCs w:val="24"/>
          <w:highlight w:val="none"/>
        </w:rPr>
        <w:t>责任：</w:t>
      </w:r>
    </w:p>
    <w:p w14:paraId="04C6A921">
      <w:pPr>
        <w:spacing w:before="1" w:line="209" w:lineRule="auto"/>
        <w:ind w:right="20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（1）供应商直接或者间接从采购人或者采购代理机构处获得其他供应商</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的相关情况并修改其磋商文件或者响应文件；</w:t>
      </w:r>
    </w:p>
    <w:p w14:paraId="1D01AB4C">
      <w:pPr>
        <w:spacing w:before="44" w:line="197" w:lineRule="auto"/>
        <w:ind w:right="20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（2）供应商按照采购人或者采购代理机构的授意撤换、修改磋商</w:t>
      </w:r>
      <w:r>
        <w:rPr>
          <w:rFonts w:ascii="微软雅黑" w:hAnsi="微软雅黑" w:eastAsia="微软雅黑" w:cs="微软雅黑"/>
          <w:color w:val="auto"/>
          <w:spacing w:val="-4"/>
          <w:sz w:val="24"/>
          <w:szCs w:val="24"/>
          <w:highlight w:val="none"/>
        </w:rPr>
        <w:t>文件或者</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0"/>
          <w:sz w:val="24"/>
          <w:szCs w:val="24"/>
          <w:highlight w:val="none"/>
        </w:rPr>
        <w:t>响应文件；</w:t>
      </w:r>
    </w:p>
    <w:p w14:paraId="19515798">
      <w:pPr>
        <w:spacing w:before="44" w:line="197" w:lineRule="auto"/>
        <w:ind w:right="22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（3）供应商之间协商报价、技术方案等磋商文件或者响应文件的实质性内</w:t>
      </w:r>
      <w:r>
        <w:rPr>
          <w:rFonts w:ascii="微软雅黑" w:hAnsi="微软雅黑" w:eastAsia="微软雅黑" w:cs="微软雅黑"/>
          <w:color w:val="auto"/>
          <w:spacing w:val="10"/>
          <w:sz w:val="24"/>
          <w:szCs w:val="24"/>
          <w:highlight w:val="none"/>
        </w:rPr>
        <w:t xml:space="preserve"> </w:t>
      </w:r>
      <w:r>
        <w:rPr>
          <w:rFonts w:ascii="微软雅黑" w:hAnsi="微软雅黑" w:eastAsia="微软雅黑" w:cs="微软雅黑"/>
          <w:color w:val="auto"/>
          <w:spacing w:val="-12"/>
          <w:sz w:val="24"/>
          <w:szCs w:val="24"/>
          <w:highlight w:val="none"/>
        </w:rPr>
        <w:t>容；</w:t>
      </w:r>
    </w:p>
    <w:p w14:paraId="7F5B04D0">
      <w:pPr>
        <w:spacing w:before="44" w:line="197" w:lineRule="auto"/>
        <w:ind w:right="19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（4）属于同一集团、协会、商会等组织成员的供应商按照该组织要求协同</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5"/>
          <w:sz w:val="24"/>
          <w:szCs w:val="24"/>
          <w:highlight w:val="none"/>
        </w:rPr>
        <w:t>参加政府采购活动；</w:t>
      </w:r>
    </w:p>
    <w:p w14:paraId="3C53E773">
      <w:pPr>
        <w:spacing w:before="46" w:line="183" w:lineRule="auto"/>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（5）供应商之间事先约定由某一特定供应商中标、成交；</w:t>
      </w:r>
    </w:p>
    <w:p w14:paraId="0675C1B6">
      <w:pPr>
        <w:spacing w:before="44" w:line="197" w:lineRule="auto"/>
        <w:ind w:right="19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（6）供应商之间商定部分供应商放弃参加政府采购活动或者放弃中标、成</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3"/>
          <w:sz w:val="24"/>
          <w:szCs w:val="24"/>
          <w:highlight w:val="none"/>
        </w:rPr>
        <w:t>交；</w:t>
      </w:r>
    </w:p>
    <w:p w14:paraId="36F64609">
      <w:pPr>
        <w:spacing w:before="44" w:line="197" w:lineRule="auto"/>
        <w:ind w:right="20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6"/>
          <w:sz w:val="24"/>
          <w:szCs w:val="24"/>
          <w:highlight w:val="none"/>
        </w:rPr>
        <w:t>（7）供应商与采购人或者采购代理机构之间、供应商相互</w:t>
      </w:r>
      <w:r>
        <w:rPr>
          <w:rFonts w:ascii="微软雅黑" w:hAnsi="微软雅黑" w:eastAsia="微软雅黑" w:cs="微软雅黑"/>
          <w:color w:val="auto"/>
          <w:spacing w:val="-7"/>
          <w:sz w:val="24"/>
          <w:szCs w:val="24"/>
          <w:highlight w:val="none"/>
        </w:rPr>
        <w:t>之间，</w:t>
      </w:r>
      <w:r>
        <w:rPr>
          <w:rFonts w:ascii="微软雅黑" w:hAnsi="微软雅黑" w:eastAsia="微软雅黑" w:cs="微软雅黑"/>
          <w:color w:val="auto"/>
          <w:spacing w:val="33"/>
          <w:sz w:val="24"/>
          <w:szCs w:val="24"/>
          <w:highlight w:val="none"/>
        </w:rPr>
        <w:t xml:space="preserve"> </w:t>
      </w:r>
      <w:r>
        <w:rPr>
          <w:rFonts w:ascii="微软雅黑" w:hAnsi="微软雅黑" w:eastAsia="微软雅黑" w:cs="微软雅黑"/>
          <w:color w:val="auto"/>
          <w:spacing w:val="-7"/>
          <w:sz w:val="24"/>
          <w:szCs w:val="24"/>
          <w:highlight w:val="none"/>
        </w:rPr>
        <w:t>为谋求特</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定供应商中标、成交或者排斥其他供应商的其他串通行为。</w:t>
      </w:r>
    </w:p>
    <w:p w14:paraId="1D845572">
      <w:pPr>
        <w:spacing w:before="46" w:line="183" w:lineRule="auto"/>
        <w:ind w:left="160"/>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23.比较与评价</w:t>
      </w:r>
    </w:p>
    <w:p w14:paraId="585B315A">
      <w:pPr>
        <w:spacing w:before="45" w:line="184" w:lineRule="auto"/>
        <w:ind w:left="16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23.1      经符合性审查合格的响应文件，磋商小组将根据磋</w:t>
      </w:r>
      <w:r>
        <w:rPr>
          <w:rFonts w:ascii="微软雅黑" w:hAnsi="微软雅黑" w:eastAsia="微软雅黑" w:cs="微软雅黑"/>
          <w:color w:val="auto"/>
          <w:spacing w:val="-2"/>
          <w:sz w:val="24"/>
          <w:szCs w:val="24"/>
          <w:highlight w:val="none"/>
        </w:rPr>
        <w:t>商文件确定的评标方</w:t>
      </w:r>
      <w:r>
        <w:rPr>
          <w:rFonts w:ascii="微软雅黑" w:hAnsi="微软雅黑" w:eastAsia="微软雅黑" w:cs="微软雅黑"/>
          <w:color w:val="auto"/>
          <w:spacing w:val="-1"/>
          <w:sz w:val="24"/>
          <w:szCs w:val="24"/>
          <w:highlight w:val="none"/>
        </w:rPr>
        <w:t>法和标准，对其技术部分和商务部分作进一步的比较和评价。</w:t>
      </w:r>
      <w:r>
        <w:rPr>
          <w:rFonts w:ascii="微软雅黑" w:hAnsi="微软雅黑" w:eastAsia="微软雅黑" w:cs="微软雅黑"/>
          <w:b/>
          <w:bCs/>
          <w:color w:val="auto"/>
          <w:spacing w:val="-1"/>
          <w:sz w:val="24"/>
          <w:szCs w:val="24"/>
          <w:highlight w:val="none"/>
        </w:rPr>
        <w:t>竞争</w:t>
      </w:r>
      <w:r>
        <w:rPr>
          <w:rFonts w:ascii="微软雅黑" w:hAnsi="微软雅黑" w:eastAsia="微软雅黑" w:cs="微软雅黑"/>
          <w:b/>
          <w:bCs/>
          <w:color w:val="auto"/>
          <w:spacing w:val="-2"/>
          <w:sz w:val="24"/>
          <w:szCs w:val="24"/>
          <w:highlight w:val="none"/>
        </w:rPr>
        <w:t>性磋</w:t>
      </w:r>
      <w:r>
        <w:rPr>
          <w:rFonts w:ascii="微软雅黑" w:hAnsi="微软雅黑" w:eastAsia="微软雅黑" w:cs="微软雅黑"/>
          <w:b/>
          <w:bCs/>
          <w:color w:val="auto"/>
          <w:spacing w:val="-1"/>
          <w:sz w:val="24"/>
          <w:szCs w:val="24"/>
          <w:highlight w:val="none"/>
        </w:rPr>
        <w:t>商共有两次报价，二次报价为最终报价，磋商小组所有成员集中与单一</w:t>
      </w:r>
      <w:r>
        <w:rPr>
          <w:rFonts w:ascii="微软雅黑" w:hAnsi="微软雅黑" w:eastAsia="微软雅黑" w:cs="微软雅黑"/>
          <w:b/>
          <w:bCs/>
          <w:color w:val="auto"/>
          <w:spacing w:val="5"/>
          <w:sz w:val="24"/>
          <w:szCs w:val="24"/>
          <w:highlight w:val="none"/>
        </w:rPr>
        <w:t>供应商分别进行磋商，并给予所有参加磋商的供应商平等的磋商机会，</w:t>
      </w:r>
      <w:r>
        <w:rPr>
          <w:rFonts w:ascii="微软雅黑" w:hAnsi="微软雅黑" w:eastAsia="微软雅黑" w:cs="微软雅黑"/>
          <w:b/>
          <w:bCs/>
          <w:color w:val="auto"/>
          <w:spacing w:val="-1"/>
          <w:sz w:val="24"/>
          <w:szCs w:val="24"/>
          <w:highlight w:val="none"/>
        </w:rPr>
        <w:t>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各成员应当独立对每个有效响应的文件进行评价打分，汇总每个供应商每项评分因素</w:t>
      </w:r>
      <w:r>
        <w:rPr>
          <w:rFonts w:ascii="微软雅黑" w:hAnsi="微软雅黑" w:eastAsia="微软雅黑" w:cs="微软雅黑"/>
          <w:b/>
          <w:bCs/>
          <w:color w:val="auto"/>
          <w:sz w:val="24"/>
          <w:szCs w:val="24"/>
          <w:highlight w:val="none"/>
        </w:rPr>
        <w:t xml:space="preserve"> </w:t>
      </w:r>
      <w:r>
        <w:rPr>
          <w:rFonts w:ascii="微软雅黑" w:hAnsi="微软雅黑" w:eastAsia="微软雅黑" w:cs="微软雅黑"/>
          <w:b/>
          <w:bCs/>
          <w:color w:val="auto"/>
          <w:spacing w:val="-1"/>
          <w:sz w:val="24"/>
          <w:szCs w:val="24"/>
          <w:highlight w:val="none"/>
        </w:rPr>
        <w:t>的得分。磋商小组应当从质量和服务均能满足采购文件实质性响应要求的供应商中，按照综合评分由高到低的顺序提出成交候选人，并编写评</w:t>
      </w:r>
      <w:r>
        <w:rPr>
          <w:rFonts w:ascii="微软雅黑" w:hAnsi="微软雅黑" w:eastAsia="微软雅黑" w:cs="微软雅黑"/>
          <w:b/>
          <w:bCs/>
          <w:color w:val="auto"/>
          <w:sz w:val="24"/>
          <w:szCs w:val="24"/>
          <w:highlight w:val="none"/>
        </w:rPr>
        <w:t>审报告，将评审结果通知所有参加磋商的未成交的供</w:t>
      </w:r>
      <w:r>
        <w:rPr>
          <w:rFonts w:ascii="微软雅黑" w:hAnsi="微软雅黑" w:eastAsia="微软雅黑" w:cs="微软雅黑"/>
          <w:b/>
          <w:bCs/>
          <w:color w:val="auto"/>
          <w:spacing w:val="-1"/>
          <w:sz w:val="24"/>
          <w:szCs w:val="24"/>
          <w:highlight w:val="none"/>
        </w:rPr>
        <w:t>应商.</w:t>
      </w:r>
    </w:p>
    <w:p w14:paraId="1B56F3CB">
      <w:pPr>
        <w:spacing w:before="3" w:line="183" w:lineRule="auto"/>
        <w:ind w:left="16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23.2      评标严格按照磋商文件的要求</w:t>
      </w:r>
      <w:r>
        <w:rPr>
          <w:rFonts w:ascii="微软雅黑" w:hAnsi="微软雅黑" w:eastAsia="微软雅黑" w:cs="微软雅黑"/>
          <w:color w:val="auto"/>
          <w:spacing w:val="-5"/>
          <w:sz w:val="24"/>
          <w:szCs w:val="24"/>
          <w:highlight w:val="none"/>
        </w:rPr>
        <w:t>和条件进行。根据实际情况， 在</w:t>
      </w:r>
      <w:r>
        <w:rPr>
          <w:rFonts w:ascii="微软雅黑" w:hAnsi="微软雅黑" w:eastAsia="微软雅黑" w:cs="微软雅黑"/>
          <w:color w:val="auto"/>
          <w:spacing w:val="-5"/>
          <w:sz w:val="24"/>
          <w:szCs w:val="24"/>
          <w:highlight w:val="none"/>
          <w:u w:val="single" w:color="auto"/>
        </w:rPr>
        <w:t>供应商须</w:t>
      </w:r>
      <w:r>
        <w:rPr>
          <w:rFonts w:ascii="微软雅黑" w:hAnsi="微软雅黑" w:eastAsia="微软雅黑" w:cs="微软雅黑"/>
          <w:color w:val="auto"/>
          <w:spacing w:val="-1"/>
          <w:sz w:val="24"/>
          <w:szCs w:val="24"/>
          <w:highlight w:val="none"/>
          <w:u w:val="single" w:color="auto"/>
        </w:rPr>
        <w:t>知资料表</w:t>
      </w:r>
      <w:r>
        <w:rPr>
          <w:rFonts w:ascii="微软雅黑" w:hAnsi="微软雅黑" w:eastAsia="微软雅黑" w:cs="微软雅黑"/>
          <w:color w:val="auto"/>
          <w:spacing w:val="-1"/>
          <w:sz w:val="24"/>
          <w:szCs w:val="24"/>
          <w:highlight w:val="none"/>
        </w:rPr>
        <w:t>中规定采用下列一种评标方法，详细评标标准见磋商文件第六</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3"/>
          <w:sz w:val="24"/>
          <w:szCs w:val="24"/>
          <w:highlight w:val="none"/>
        </w:rPr>
        <w:t>章：</w:t>
      </w:r>
    </w:p>
    <w:p w14:paraId="425C3178">
      <w:pPr>
        <w:spacing w:before="5" w:line="206" w:lineRule="auto"/>
        <w:ind w:left="389" w:right="200" w:firstLine="6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（1）最低评标价法，是指响应文件满足磋商文件全部实质性要求，且磋商报</w:t>
      </w:r>
      <w:r>
        <w:rPr>
          <w:rFonts w:ascii="微软雅黑" w:hAnsi="微软雅黑" w:eastAsia="微软雅黑" w:cs="微软雅黑"/>
          <w:color w:val="auto"/>
          <w:spacing w:val="8"/>
          <w:sz w:val="24"/>
          <w:szCs w:val="24"/>
          <w:highlight w:val="none"/>
        </w:rPr>
        <w:t xml:space="preserve"> </w:t>
      </w:r>
      <w:r>
        <w:rPr>
          <w:rFonts w:ascii="微软雅黑" w:hAnsi="微软雅黑" w:eastAsia="微软雅黑" w:cs="微软雅黑"/>
          <w:color w:val="auto"/>
          <w:spacing w:val="-3"/>
          <w:sz w:val="24"/>
          <w:szCs w:val="24"/>
          <w:highlight w:val="none"/>
        </w:rPr>
        <w:t>价最低的供应商为成交候选人的评标方法。</w:t>
      </w:r>
    </w:p>
    <w:p w14:paraId="3E2ADBF6">
      <w:pPr>
        <w:spacing w:before="103" w:line="206" w:lineRule="auto"/>
        <w:ind w:left="288" w:right="211" w:firstLine="5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（2）综合评分法，是指响应文件满足磋商文件全部实质性要求，且</w:t>
      </w:r>
      <w:r>
        <w:rPr>
          <w:rFonts w:ascii="微软雅黑" w:hAnsi="微软雅黑" w:eastAsia="微软雅黑" w:cs="微软雅黑"/>
          <w:color w:val="auto"/>
          <w:spacing w:val="-3"/>
          <w:sz w:val="24"/>
          <w:szCs w:val="24"/>
          <w:highlight w:val="none"/>
        </w:rPr>
        <w:t>按照评审</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因素的量化指标评审得分最高的供应商为成交候选</w:t>
      </w:r>
      <w:r>
        <w:rPr>
          <w:rFonts w:ascii="微软雅黑" w:hAnsi="微软雅黑" w:eastAsia="微软雅黑" w:cs="微软雅黑"/>
          <w:color w:val="auto"/>
          <w:spacing w:val="-3"/>
          <w:sz w:val="24"/>
          <w:szCs w:val="24"/>
          <w:highlight w:val="none"/>
        </w:rPr>
        <w:t>人的评标方法。</w:t>
      </w:r>
    </w:p>
    <w:p w14:paraId="0D0C9466">
      <w:pPr>
        <w:pStyle w:val="3"/>
        <w:keepNext w:val="0"/>
        <w:keepLines w:val="0"/>
        <w:pageBreakBefore w:val="0"/>
        <w:widowControl w:val="0"/>
        <w:kinsoku/>
        <w:wordWrap/>
        <w:overflowPunct/>
        <w:topLinePunct w:val="0"/>
        <w:autoSpaceDE w:val="0"/>
        <w:autoSpaceDN w:val="0"/>
        <w:bidi w:val="0"/>
        <w:adjustRightInd w:val="0"/>
        <w:snapToGrid w:val="0"/>
        <w:spacing w:line="240" w:lineRule="auto"/>
        <w:ind w:left="0" w:hanging="907" w:hangingChars="375"/>
        <w:textAlignment w:val="auto"/>
        <w:rPr>
          <w:rFonts w:hint="eastAsia"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 xml:space="preserve">23.3     </w:t>
      </w:r>
      <w:r>
        <w:rPr>
          <w:rFonts w:hint="eastAsia" w:ascii="微软雅黑" w:hAnsi="微软雅黑" w:eastAsia="微软雅黑" w:cs="微软雅黑"/>
          <w:snapToGrid w:val="0"/>
          <w:color w:val="auto"/>
          <w:spacing w:val="-2"/>
          <w:kern w:val="0"/>
          <w:sz w:val="24"/>
          <w:szCs w:val="24"/>
          <w:highlight w:val="none"/>
          <w:lang w:val="en-US" w:eastAsia="en-US" w:bidi="ar-SA"/>
        </w:rPr>
        <w:t>本项目根据《政府采购促进中小企业发展管理办法》（财库[2020]46 号）、关于进一步加大政府采购支持中小企业力度的通知财库〔2022〕19号，《财政部司法部关于政府采购支持监狱企业发展有关问题的通知》（财库〔2014〕68 号）和《三部门联合发布关于促进残疾人就业政府采购政策的通知》（财库〔2017〕141 号）的规定，对满足价格扣除条件且在响应文件中提交了</w:t>
      </w:r>
      <w:r>
        <w:rPr>
          <w:rFonts w:hint="eastAsia" w:ascii="微软雅黑" w:hAnsi="微软雅黑" w:eastAsia="微软雅黑" w:cs="微软雅黑"/>
          <w:snapToGrid w:val="0"/>
          <w:color w:val="auto"/>
          <w:spacing w:val="-2"/>
          <w:kern w:val="0"/>
          <w:sz w:val="24"/>
          <w:szCs w:val="24"/>
          <w:highlight w:val="none"/>
          <w:lang w:val="en-US" w:eastAsia="zh-CN" w:bidi="ar-SA"/>
        </w:rPr>
        <w:t>《中小企业声明函》</w:t>
      </w:r>
      <w:r>
        <w:rPr>
          <w:rFonts w:hint="eastAsia" w:ascii="微软雅黑" w:hAnsi="微软雅黑" w:eastAsia="微软雅黑" w:cs="微软雅黑"/>
          <w:snapToGrid w:val="0"/>
          <w:color w:val="auto"/>
          <w:spacing w:val="-2"/>
          <w:kern w:val="0"/>
          <w:sz w:val="24"/>
          <w:szCs w:val="24"/>
          <w:highlight w:val="none"/>
          <w:lang w:val="en-US" w:eastAsia="en-US" w:bidi="ar-SA"/>
        </w:rPr>
        <w:t>或省级以上监狱管理局、戒毒管理局（含新疆生产建设兵团）出具的属于监狱企业的证明文件的供应商，其</w:t>
      </w:r>
      <w:r>
        <w:rPr>
          <w:rFonts w:hint="eastAsia" w:ascii="微软雅黑" w:hAnsi="微软雅黑" w:eastAsia="微软雅黑" w:cs="微软雅黑"/>
          <w:snapToGrid w:val="0"/>
          <w:color w:val="auto"/>
          <w:spacing w:val="-2"/>
          <w:kern w:val="0"/>
          <w:sz w:val="24"/>
          <w:szCs w:val="24"/>
          <w:highlight w:val="none"/>
          <w:lang w:val="en-US" w:eastAsia="zh-CN" w:bidi="ar-SA"/>
        </w:rPr>
        <w:t>投标</w:t>
      </w:r>
      <w:r>
        <w:rPr>
          <w:rFonts w:hint="eastAsia" w:ascii="微软雅黑" w:hAnsi="微软雅黑" w:eastAsia="微软雅黑" w:cs="微软雅黑"/>
          <w:snapToGrid w:val="0"/>
          <w:color w:val="auto"/>
          <w:spacing w:val="-2"/>
          <w:kern w:val="0"/>
          <w:sz w:val="24"/>
          <w:szCs w:val="24"/>
          <w:highlight w:val="none"/>
          <w:lang w:val="en-US" w:eastAsia="en-US" w:bidi="ar-SA"/>
        </w:rPr>
        <w:t xml:space="preserve">报价扣除 </w:t>
      </w:r>
      <w:r>
        <w:rPr>
          <w:rFonts w:hint="eastAsia" w:ascii="微软雅黑" w:hAnsi="微软雅黑" w:eastAsia="微软雅黑" w:cs="微软雅黑"/>
          <w:snapToGrid w:val="0"/>
          <w:color w:val="auto"/>
          <w:spacing w:val="-2"/>
          <w:kern w:val="0"/>
          <w:sz w:val="24"/>
          <w:szCs w:val="24"/>
          <w:highlight w:val="none"/>
          <w:lang w:val="en-US" w:eastAsia="zh-CN" w:bidi="ar-SA"/>
        </w:rPr>
        <w:t xml:space="preserve">   % </w:t>
      </w:r>
      <w:r>
        <w:rPr>
          <w:rFonts w:hint="eastAsia" w:ascii="微软雅黑" w:hAnsi="微软雅黑" w:eastAsia="微软雅黑" w:cs="微软雅黑"/>
          <w:snapToGrid w:val="0"/>
          <w:color w:val="auto"/>
          <w:spacing w:val="-2"/>
          <w:kern w:val="0"/>
          <w:sz w:val="24"/>
          <w:szCs w:val="24"/>
          <w:highlight w:val="none"/>
          <w:lang w:val="en-US" w:eastAsia="en-US" w:bidi="ar-SA"/>
        </w:rPr>
        <w:t>后参与评审。对于同时属于小微企业、监狱企业或残疾人福利性单位的，不重复进行投标报价扣除。</w:t>
      </w:r>
    </w:p>
    <w:p w14:paraId="0EEAE94B">
      <w:pPr>
        <w:spacing w:before="11" w:line="183" w:lineRule="auto"/>
        <w:ind w:left="4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24.废标</w:t>
      </w:r>
    </w:p>
    <w:p w14:paraId="75EC6083">
      <w:pPr>
        <w:spacing w:before="45" w:line="181" w:lineRule="auto"/>
        <w:ind w:left="41"/>
        <w:outlineLvl w:val="4"/>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24.1 出现下列情形之一，将导致项目废标：</w:t>
      </w:r>
    </w:p>
    <w:p w14:paraId="125BC05A">
      <w:pPr>
        <w:spacing w:before="4" w:line="210" w:lineRule="auto"/>
        <w:ind w:left="932" w:right="201" w:firstLine="28"/>
        <w:outlineLvl w:val="5"/>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（1）符合专业条件的供应商或者对磋商文件做实质性响应的供</w:t>
      </w:r>
      <w:r>
        <w:rPr>
          <w:rFonts w:ascii="微软雅黑" w:hAnsi="微软雅黑" w:eastAsia="微软雅黑" w:cs="微软雅黑"/>
          <w:b/>
          <w:bCs/>
          <w:color w:val="auto"/>
          <w:sz w:val="24"/>
          <w:szCs w:val="24"/>
          <w:highlight w:val="none"/>
        </w:rPr>
        <w:t xml:space="preserve">应商不 </w:t>
      </w:r>
      <w:r>
        <w:rPr>
          <w:rFonts w:ascii="微软雅黑" w:hAnsi="微软雅黑" w:eastAsia="微软雅黑" w:cs="微软雅黑"/>
          <w:b/>
          <w:bCs/>
          <w:color w:val="auto"/>
          <w:spacing w:val="-8"/>
          <w:sz w:val="24"/>
          <w:szCs w:val="24"/>
          <w:highlight w:val="none"/>
        </w:rPr>
        <w:t>足三家；</w:t>
      </w:r>
    </w:p>
    <w:p w14:paraId="3C276E65">
      <w:pPr>
        <w:spacing w:before="46" w:line="183" w:lineRule="auto"/>
        <w:ind w:left="961"/>
        <w:outlineLvl w:val="5"/>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rPr>
        <w:t>（2）出现影响采购公正的违法、违规行为的；</w:t>
      </w:r>
    </w:p>
    <w:p w14:paraId="78E6BE5E">
      <w:pPr>
        <w:spacing w:before="46" w:line="183" w:lineRule="auto"/>
        <w:ind w:left="901"/>
        <w:outlineLvl w:val="5"/>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（3）供应商的报价均超过了采购预算，采购人不能支付的；</w:t>
      </w:r>
    </w:p>
    <w:p w14:paraId="491ED8F0">
      <w:pPr>
        <w:spacing w:before="46" w:line="183" w:lineRule="auto"/>
        <w:ind w:left="901"/>
        <w:outlineLvl w:val="5"/>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5"/>
          <w:sz w:val="24"/>
          <w:szCs w:val="24"/>
          <w:highlight w:val="none"/>
        </w:rPr>
        <w:t>（4）因重大变故，采购任务取消的。</w:t>
      </w:r>
    </w:p>
    <w:p w14:paraId="01B9C509">
      <w:pPr>
        <w:spacing w:before="46" w:line="183" w:lineRule="auto"/>
        <w:ind w:left="4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25.保密原则</w:t>
      </w:r>
    </w:p>
    <w:p w14:paraId="7789EF8B">
      <w:pPr>
        <w:spacing w:before="46" w:line="183" w:lineRule="auto"/>
        <w:ind w:left="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25.1      评标将在严格保密的情况下进行。</w:t>
      </w:r>
    </w:p>
    <w:p w14:paraId="1CE36A84">
      <w:pPr>
        <w:spacing w:before="44" w:line="184" w:lineRule="auto"/>
        <w:ind w:left="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25.2     政府采购评审专家应当遵守</w:t>
      </w:r>
      <w:r>
        <w:rPr>
          <w:rFonts w:ascii="微软雅黑" w:hAnsi="微软雅黑" w:eastAsia="微软雅黑" w:cs="微软雅黑"/>
          <w:color w:val="auto"/>
          <w:sz w:val="24"/>
          <w:szCs w:val="24"/>
          <w:highlight w:val="none"/>
        </w:rPr>
        <w:t>评审工作纪律，不得泄露评审文件、评审情</w:t>
      </w:r>
    </w:p>
    <w:p w14:paraId="62D26C4E">
      <w:pPr>
        <w:spacing w:before="44" w:line="184" w:lineRule="auto"/>
        <w:ind w:left="9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况和评审中获悉的商业秘密。</w:t>
      </w:r>
    </w:p>
    <w:p w14:paraId="0A2AD78E">
      <w:pPr>
        <w:spacing w:line="248" w:lineRule="auto"/>
        <w:rPr>
          <w:rFonts w:ascii="Arial"/>
          <w:color w:val="auto"/>
          <w:sz w:val="21"/>
          <w:highlight w:val="none"/>
        </w:rPr>
      </w:pPr>
    </w:p>
    <w:p w14:paraId="726580CC">
      <w:pPr>
        <w:spacing w:before="121" w:line="184" w:lineRule="auto"/>
        <w:ind w:left="3549"/>
        <w:outlineLvl w:val="1"/>
        <w:rPr>
          <w:rFonts w:ascii="微软雅黑" w:hAnsi="微软雅黑" w:eastAsia="微软雅黑" w:cs="微软雅黑"/>
          <w:color w:val="auto"/>
          <w:sz w:val="28"/>
          <w:szCs w:val="28"/>
          <w:highlight w:val="none"/>
        </w:rPr>
      </w:pPr>
      <w:r>
        <w:rPr>
          <w:rFonts w:ascii="微软雅黑" w:hAnsi="微软雅黑" w:eastAsia="微软雅黑" w:cs="微软雅黑"/>
          <w:b/>
          <w:bCs/>
          <w:color w:val="auto"/>
          <w:spacing w:val="-1"/>
          <w:sz w:val="28"/>
          <w:szCs w:val="28"/>
          <w:highlight w:val="none"/>
        </w:rPr>
        <w:t>六     确定成交</w:t>
      </w:r>
    </w:p>
    <w:p w14:paraId="7197F56C">
      <w:pPr>
        <w:spacing w:before="26" w:line="184" w:lineRule="auto"/>
        <w:ind w:left="4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26.成交候选人的确定原则及标准</w:t>
      </w:r>
    </w:p>
    <w:p w14:paraId="1A3BA9CC">
      <w:pPr>
        <w:spacing w:before="44" w:line="184" w:lineRule="auto"/>
        <w:ind w:left="51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对实质上响应磋商文件的供应商按下列方法进行排序，确定成交候选人：</w:t>
      </w:r>
    </w:p>
    <w:p w14:paraId="65817798">
      <w:pPr>
        <w:spacing w:before="4" w:line="209" w:lineRule="auto"/>
        <w:ind w:left="32" w:right="198" w:firstLine="51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（1）采用最低评标价法的，除了算术修正和落实政府采购政策需进行的价</w:t>
      </w:r>
      <w:r>
        <w:rPr>
          <w:rFonts w:ascii="微软雅黑" w:hAnsi="微软雅黑" w:eastAsia="微软雅黑" w:cs="微软雅黑"/>
          <w:color w:val="auto"/>
          <w:spacing w:val="6"/>
          <w:sz w:val="24"/>
          <w:szCs w:val="24"/>
          <w:highlight w:val="none"/>
        </w:rPr>
        <w:t xml:space="preserve"> </w:t>
      </w:r>
      <w:r>
        <w:rPr>
          <w:rFonts w:ascii="微软雅黑" w:hAnsi="微软雅黑" w:eastAsia="微软雅黑" w:cs="微软雅黑"/>
          <w:color w:val="auto"/>
          <w:spacing w:val="-3"/>
          <w:sz w:val="24"/>
          <w:szCs w:val="24"/>
          <w:highlight w:val="none"/>
        </w:rPr>
        <w:t>格扣除外，不对供应商的磋商价格进行任何调整。评标结果按修正和扣除后的磋</w:t>
      </w:r>
      <w:r>
        <w:rPr>
          <w:rFonts w:ascii="微软雅黑" w:hAnsi="微软雅黑" w:eastAsia="微软雅黑" w:cs="微软雅黑"/>
          <w:color w:val="auto"/>
          <w:spacing w:val="12"/>
          <w:sz w:val="24"/>
          <w:szCs w:val="24"/>
          <w:highlight w:val="none"/>
        </w:rPr>
        <w:t xml:space="preserve"> </w:t>
      </w:r>
      <w:r>
        <w:rPr>
          <w:rFonts w:ascii="微软雅黑" w:hAnsi="微软雅黑" w:eastAsia="微软雅黑" w:cs="微软雅黑"/>
          <w:color w:val="auto"/>
          <w:spacing w:val="-1"/>
          <w:sz w:val="24"/>
          <w:szCs w:val="24"/>
          <w:highlight w:val="none"/>
        </w:rPr>
        <w:t>商报价由低到高顺序排列。报价相同的处理</w:t>
      </w:r>
      <w:r>
        <w:rPr>
          <w:rFonts w:ascii="微软雅黑" w:hAnsi="微软雅黑" w:eastAsia="微软雅黑" w:cs="微软雅黑"/>
          <w:color w:val="auto"/>
          <w:spacing w:val="-2"/>
          <w:sz w:val="24"/>
          <w:szCs w:val="24"/>
          <w:highlight w:val="none"/>
        </w:rPr>
        <w:t>方式详见磋商文件第 6 章。</w:t>
      </w:r>
    </w:p>
    <w:p w14:paraId="6E223E9C">
      <w:pPr>
        <w:spacing w:before="5" w:line="209" w:lineRule="auto"/>
        <w:ind w:left="32" w:right="198" w:firstLine="51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（2）采用综合评分法的，评标结果按评审后得分由高到低顺序排列。得分</w:t>
      </w:r>
      <w:r>
        <w:rPr>
          <w:rFonts w:ascii="微软雅黑" w:hAnsi="微软雅黑" w:eastAsia="微软雅黑" w:cs="微软雅黑"/>
          <w:color w:val="auto"/>
          <w:spacing w:val="6"/>
          <w:sz w:val="24"/>
          <w:szCs w:val="24"/>
          <w:highlight w:val="none"/>
        </w:rPr>
        <w:t xml:space="preserve"> </w:t>
      </w:r>
      <w:r>
        <w:rPr>
          <w:rFonts w:ascii="微软雅黑" w:hAnsi="微软雅黑" w:eastAsia="微软雅黑" w:cs="微软雅黑"/>
          <w:color w:val="auto"/>
          <w:spacing w:val="-3"/>
          <w:sz w:val="24"/>
          <w:szCs w:val="24"/>
          <w:highlight w:val="none"/>
        </w:rPr>
        <w:t>相同的，按修正和扣除后的磋商报价由低到高顺序排列。得分与磋商报价均相同</w:t>
      </w:r>
      <w:r>
        <w:rPr>
          <w:rFonts w:ascii="微软雅黑" w:hAnsi="微软雅黑" w:eastAsia="微软雅黑" w:cs="微软雅黑"/>
          <w:color w:val="auto"/>
          <w:spacing w:val="12"/>
          <w:sz w:val="24"/>
          <w:szCs w:val="24"/>
          <w:highlight w:val="none"/>
        </w:rPr>
        <w:t xml:space="preserve"> </w:t>
      </w:r>
      <w:r>
        <w:rPr>
          <w:rFonts w:ascii="微软雅黑" w:hAnsi="微软雅黑" w:eastAsia="微软雅黑" w:cs="微软雅黑"/>
          <w:color w:val="auto"/>
          <w:spacing w:val="-3"/>
          <w:sz w:val="24"/>
          <w:szCs w:val="24"/>
          <w:highlight w:val="none"/>
        </w:rPr>
        <w:t>的处理方式详见磋商文件第 6 章。</w:t>
      </w:r>
    </w:p>
    <w:p w14:paraId="25E673AD">
      <w:pPr>
        <w:spacing w:before="46" w:line="183" w:lineRule="auto"/>
        <w:ind w:left="4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27.确定成交候选人和成交人</w:t>
      </w:r>
    </w:p>
    <w:p w14:paraId="679AF139">
      <w:pPr>
        <w:spacing w:before="46" w:line="210" w:lineRule="auto"/>
        <w:ind w:left="511" w:right="199" w:firstLine="56"/>
        <w:rPr>
          <w:rFonts w:hint="eastAsia" w:ascii="微软雅黑" w:hAnsi="微软雅黑" w:eastAsia="微软雅黑" w:cs="微软雅黑"/>
          <w:color w:val="auto"/>
          <w:sz w:val="24"/>
          <w:szCs w:val="24"/>
          <w:highlight w:val="none"/>
          <w:lang w:eastAsia="zh-CN"/>
        </w:rPr>
      </w:pPr>
      <w:r>
        <w:rPr>
          <w:rFonts w:ascii="微软雅黑" w:hAnsi="微软雅黑" w:eastAsia="微软雅黑" w:cs="微软雅黑"/>
          <w:color w:val="auto"/>
          <w:spacing w:val="3"/>
          <w:sz w:val="24"/>
          <w:szCs w:val="24"/>
          <w:highlight w:val="none"/>
        </w:rPr>
        <w:t>磋商小组将根据评标标准，按</w:t>
      </w:r>
      <w:r>
        <w:rPr>
          <w:rFonts w:ascii="微软雅黑" w:hAnsi="微软雅黑" w:eastAsia="微软雅黑" w:cs="微软雅黑"/>
          <w:color w:val="auto"/>
          <w:spacing w:val="3"/>
          <w:sz w:val="24"/>
          <w:szCs w:val="24"/>
          <w:highlight w:val="none"/>
          <w:u w:val="single" w:color="auto"/>
        </w:rPr>
        <w:t>供应商须知资料表中</w:t>
      </w:r>
      <w:r>
        <w:rPr>
          <w:rFonts w:ascii="微软雅黑" w:hAnsi="微软雅黑" w:eastAsia="微软雅黑" w:cs="微软雅黑"/>
          <w:color w:val="auto"/>
          <w:spacing w:val="3"/>
          <w:sz w:val="24"/>
          <w:szCs w:val="24"/>
          <w:highlight w:val="none"/>
        </w:rPr>
        <w:t>规定数量推</w:t>
      </w:r>
      <w:r>
        <w:rPr>
          <w:rFonts w:ascii="微软雅黑" w:hAnsi="微软雅黑" w:eastAsia="微软雅黑" w:cs="微软雅黑"/>
          <w:color w:val="auto"/>
          <w:spacing w:val="2"/>
          <w:sz w:val="24"/>
          <w:szCs w:val="24"/>
          <w:highlight w:val="none"/>
        </w:rPr>
        <w:t>荐成交候选</w:t>
      </w:r>
      <w:r>
        <w:rPr>
          <w:rFonts w:ascii="微软雅黑" w:hAnsi="微软雅黑" w:eastAsia="微软雅黑" w:cs="微软雅黑"/>
          <w:color w:val="auto"/>
          <w:spacing w:val="-13"/>
          <w:sz w:val="24"/>
          <w:szCs w:val="24"/>
          <w:highlight w:val="none"/>
        </w:rPr>
        <w:t>人</w:t>
      </w:r>
      <w:r>
        <w:rPr>
          <w:rFonts w:hint="eastAsia" w:ascii="微软雅黑" w:hAnsi="微软雅黑" w:eastAsia="微软雅黑" w:cs="微软雅黑"/>
          <w:color w:val="auto"/>
          <w:spacing w:val="-13"/>
          <w:sz w:val="24"/>
          <w:szCs w:val="24"/>
          <w:highlight w:val="none"/>
          <w:lang w:eastAsia="zh-CN"/>
        </w:rPr>
        <w:t>。</w:t>
      </w:r>
    </w:p>
    <w:p w14:paraId="6668FD82">
      <w:pPr>
        <w:spacing w:before="103" w:line="183" w:lineRule="auto"/>
        <w:ind w:left="4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28.采购任务取消</w:t>
      </w:r>
    </w:p>
    <w:p w14:paraId="2FE3AEAD">
      <w:pPr>
        <w:spacing w:before="44" w:line="209" w:lineRule="auto"/>
        <w:ind w:left="932" w:right="74" w:firstLine="1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因重大变故采购任务取消时，采购人有权拒绝任何供应商成交，且对受</w:t>
      </w:r>
      <w:r>
        <w:rPr>
          <w:rFonts w:ascii="微软雅黑" w:hAnsi="微软雅黑" w:eastAsia="微软雅黑" w:cs="微软雅黑"/>
          <w:color w:val="auto"/>
          <w:spacing w:val="-4"/>
          <w:sz w:val="24"/>
          <w:szCs w:val="24"/>
          <w:highlight w:val="none"/>
        </w:rPr>
        <w:t>影响的供应商不承担任何责任。</w:t>
      </w:r>
    </w:p>
    <w:p w14:paraId="78C4E43F">
      <w:pPr>
        <w:spacing w:before="3" w:line="183" w:lineRule="auto"/>
        <w:ind w:left="4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29.成交通知书和采购结果通知书</w:t>
      </w:r>
    </w:p>
    <w:p w14:paraId="51F9B408">
      <w:pPr>
        <w:spacing w:before="46" w:line="183" w:lineRule="auto"/>
        <w:ind w:left="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29.1     在磋商有效期内，成交供应商</w:t>
      </w:r>
      <w:r>
        <w:rPr>
          <w:rFonts w:ascii="微软雅黑" w:hAnsi="微软雅黑" w:eastAsia="微软雅黑" w:cs="微软雅黑"/>
          <w:color w:val="auto"/>
          <w:sz w:val="24"/>
          <w:szCs w:val="24"/>
          <w:highlight w:val="none"/>
        </w:rPr>
        <w:t>确定后，采购人或者采购代理机构发布成</w:t>
      </w:r>
    </w:p>
    <w:p w14:paraId="23339EF0">
      <w:pPr>
        <w:spacing w:before="46" w:line="183" w:lineRule="auto"/>
        <w:ind w:left="93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交结果公告，同时以书面形式向成交供应商发出成交通知书。</w:t>
      </w:r>
    </w:p>
    <w:p w14:paraId="32E779A8">
      <w:pPr>
        <w:spacing w:before="46" w:line="183" w:lineRule="auto"/>
        <w:ind w:left="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29.2      成交通知书是合同的组成部分。</w:t>
      </w:r>
    </w:p>
    <w:p w14:paraId="6A7A3743">
      <w:pPr>
        <w:spacing w:before="46" w:line="183" w:lineRule="auto"/>
        <w:ind w:left="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29.3      采购结果通知书和成交通知书同时发出。采购结果</w:t>
      </w:r>
      <w:r>
        <w:rPr>
          <w:rFonts w:ascii="微软雅黑" w:hAnsi="微软雅黑" w:eastAsia="微软雅黑" w:cs="微软雅黑"/>
          <w:color w:val="auto"/>
          <w:spacing w:val="-2"/>
          <w:sz w:val="24"/>
          <w:szCs w:val="24"/>
          <w:highlight w:val="none"/>
        </w:rPr>
        <w:t>通知书中将告知未通</w:t>
      </w:r>
    </w:p>
    <w:p w14:paraId="040538B0">
      <w:pPr>
        <w:spacing w:before="44" w:line="209" w:lineRule="auto"/>
        <w:ind w:left="932" w:right="74" w:firstLine="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过资格审查的供应商未通过的原因；采用综合评分法评审的，还</w:t>
      </w:r>
      <w:r>
        <w:rPr>
          <w:rFonts w:ascii="微软雅黑" w:hAnsi="微软雅黑" w:eastAsia="微软雅黑" w:cs="微软雅黑"/>
          <w:color w:val="auto"/>
          <w:spacing w:val="-2"/>
          <w:sz w:val="24"/>
          <w:szCs w:val="24"/>
          <w:highlight w:val="none"/>
        </w:rPr>
        <w:t>将告知</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未成交供应商本人的评审得分和排序。</w:t>
      </w:r>
    </w:p>
    <w:p w14:paraId="65432261">
      <w:pPr>
        <w:spacing w:before="7" w:line="182" w:lineRule="auto"/>
        <w:ind w:left="47"/>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30.签订合同</w:t>
      </w:r>
    </w:p>
    <w:p w14:paraId="4FC59B2D">
      <w:pPr>
        <w:spacing w:before="46" w:line="183" w:lineRule="auto"/>
        <w:jc w:val="right"/>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30.1      成交供应商应当自发出成交通知书之日</w:t>
      </w:r>
      <w:r>
        <w:rPr>
          <w:rFonts w:ascii="微软雅黑" w:hAnsi="微软雅黑" w:eastAsia="微软雅黑" w:cs="微软雅黑"/>
          <w:color w:val="auto"/>
          <w:spacing w:val="-5"/>
          <w:sz w:val="24"/>
          <w:szCs w:val="24"/>
          <w:highlight w:val="none"/>
        </w:rPr>
        <w:t>起 30</w:t>
      </w:r>
      <w:r>
        <w:rPr>
          <w:rFonts w:ascii="微软雅黑" w:hAnsi="微软雅黑" w:eastAsia="微软雅黑" w:cs="微软雅黑"/>
          <w:color w:val="auto"/>
          <w:spacing w:val="26"/>
          <w:sz w:val="24"/>
          <w:szCs w:val="24"/>
          <w:highlight w:val="none"/>
        </w:rPr>
        <w:t xml:space="preserve"> </w:t>
      </w:r>
      <w:r>
        <w:rPr>
          <w:rFonts w:ascii="微软雅黑" w:hAnsi="微软雅黑" w:eastAsia="微软雅黑" w:cs="微软雅黑"/>
          <w:color w:val="auto"/>
          <w:spacing w:val="-5"/>
          <w:sz w:val="24"/>
          <w:szCs w:val="24"/>
          <w:highlight w:val="none"/>
        </w:rPr>
        <w:t>日内，与采购人签订合同。</w:t>
      </w:r>
    </w:p>
    <w:p w14:paraId="4CEA0E53">
      <w:pPr>
        <w:spacing w:before="46" w:line="183" w:lineRule="auto"/>
        <w:ind w:left="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30.2      磋商文件、成交供应商的</w:t>
      </w:r>
      <w:r>
        <w:rPr>
          <w:rFonts w:ascii="微软雅黑" w:hAnsi="微软雅黑" w:eastAsia="微软雅黑" w:cs="微软雅黑"/>
          <w:color w:val="auto"/>
          <w:spacing w:val="-5"/>
          <w:sz w:val="24"/>
          <w:szCs w:val="24"/>
          <w:highlight w:val="none"/>
        </w:rPr>
        <w:t>响应文件及其澄清文件等，均为签订合同的依</w:t>
      </w:r>
    </w:p>
    <w:p w14:paraId="6213A162">
      <w:pPr>
        <w:spacing w:before="49" w:line="181" w:lineRule="auto"/>
        <w:ind w:left="9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3"/>
          <w:sz w:val="24"/>
          <w:szCs w:val="24"/>
          <w:highlight w:val="none"/>
        </w:rPr>
        <w:t>据。</w:t>
      </w:r>
    </w:p>
    <w:p w14:paraId="0FB63CAF">
      <w:pPr>
        <w:spacing w:before="44" w:line="184" w:lineRule="auto"/>
        <w:ind w:left="4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30.3     成交供应商拒绝与采购人签订合同的，采购人可以按照评审报告推荐的</w:t>
      </w:r>
    </w:p>
    <w:p w14:paraId="70E673F6">
      <w:pPr>
        <w:spacing w:before="46" w:line="209" w:lineRule="auto"/>
        <w:ind w:left="933" w:right="74" w:hanging="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成交候选人名单排序，确定下一成交候选人为成交供应商，也可以重新</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6"/>
          <w:sz w:val="24"/>
          <w:szCs w:val="24"/>
          <w:highlight w:val="none"/>
        </w:rPr>
        <w:t>开展政府采购活动。</w:t>
      </w:r>
    </w:p>
    <w:p w14:paraId="754B65E1">
      <w:pPr>
        <w:spacing w:before="3" w:line="183" w:lineRule="auto"/>
        <w:ind w:left="4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30.4     当出现法规规定的</w:t>
      </w:r>
      <w:r>
        <w:rPr>
          <w:rFonts w:ascii="微软雅黑" w:hAnsi="微软雅黑" w:eastAsia="微软雅黑" w:cs="微软雅黑"/>
          <w:b/>
          <w:bCs/>
          <w:color w:val="auto"/>
          <w:sz w:val="24"/>
          <w:szCs w:val="24"/>
          <w:highlight w:val="none"/>
        </w:rPr>
        <w:t>成交无效或成交结果无效</w:t>
      </w:r>
      <w:r>
        <w:rPr>
          <w:rFonts w:ascii="微软雅黑" w:hAnsi="微软雅黑" w:eastAsia="微软雅黑" w:cs="微软雅黑"/>
          <w:color w:val="auto"/>
          <w:sz w:val="24"/>
          <w:szCs w:val="24"/>
          <w:highlight w:val="none"/>
        </w:rPr>
        <w:t>情形时，采购人可与排名下</w:t>
      </w:r>
    </w:p>
    <w:p w14:paraId="44A0921A">
      <w:pPr>
        <w:spacing w:before="46" w:line="183" w:lineRule="auto"/>
        <w:ind w:left="9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一位的成交候选人另行签订合同，或依法重新开展采购活动。</w:t>
      </w:r>
    </w:p>
    <w:p w14:paraId="1C6F5724">
      <w:pPr>
        <w:spacing w:before="46" w:line="183" w:lineRule="auto"/>
        <w:ind w:left="47"/>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31.履约保证金</w:t>
      </w:r>
    </w:p>
    <w:p w14:paraId="3C99C8FE">
      <w:pPr>
        <w:spacing w:before="45" w:line="184" w:lineRule="auto"/>
        <w:ind w:left="4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31.1     成交供应商应按照</w:t>
      </w:r>
      <w:r>
        <w:rPr>
          <w:rFonts w:ascii="微软雅黑" w:hAnsi="微软雅黑" w:eastAsia="微软雅黑" w:cs="微软雅黑"/>
          <w:color w:val="auto"/>
          <w:sz w:val="24"/>
          <w:szCs w:val="24"/>
          <w:highlight w:val="none"/>
          <w:u w:val="single" w:color="auto"/>
        </w:rPr>
        <w:t>供应商须知资料表</w:t>
      </w:r>
      <w:r>
        <w:rPr>
          <w:rFonts w:ascii="微软雅黑" w:hAnsi="微软雅黑" w:eastAsia="微软雅黑" w:cs="微软雅黑"/>
          <w:color w:val="auto"/>
          <w:sz w:val="24"/>
          <w:szCs w:val="24"/>
          <w:highlight w:val="none"/>
        </w:rPr>
        <w:t>规定向采购人缴纳履约保证金。</w:t>
      </w:r>
    </w:p>
    <w:p w14:paraId="7B370604">
      <w:pPr>
        <w:spacing w:before="46" w:line="183" w:lineRule="auto"/>
        <w:ind w:left="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31.2     政府采购利用担保试点范围内的项目，</w:t>
      </w:r>
      <w:r>
        <w:rPr>
          <w:rFonts w:ascii="微软雅黑" w:hAnsi="微软雅黑" w:eastAsia="微软雅黑" w:cs="微软雅黑"/>
          <w:color w:val="auto"/>
          <w:spacing w:val="-48"/>
          <w:sz w:val="24"/>
          <w:szCs w:val="24"/>
          <w:highlight w:val="none"/>
        </w:rPr>
        <w:t xml:space="preserve"> </w:t>
      </w:r>
      <w:r>
        <w:rPr>
          <w:rFonts w:ascii="微软雅黑" w:hAnsi="微软雅黑" w:eastAsia="微软雅黑" w:cs="微软雅黑"/>
          <w:color w:val="auto"/>
          <w:spacing w:val="2"/>
          <w:sz w:val="24"/>
          <w:szCs w:val="24"/>
          <w:highlight w:val="none"/>
        </w:rPr>
        <w:t>除</w:t>
      </w:r>
      <w:r>
        <w:rPr>
          <w:rFonts w:ascii="微软雅黑" w:hAnsi="微软雅黑" w:eastAsia="微软雅黑" w:cs="微软雅黑"/>
          <w:color w:val="auto"/>
          <w:spacing w:val="9"/>
          <w:sz w:val="24"/>
          <w:szCs w:val="24"/>
          <w:highlight w:val="none"/>
        </w:rPr>
        <w:t xml:space="preserve"> </w:t>
      </w:r>
      <w:r>
        <w:rPr>
          <w:rFonts w:ascii="微软雅黑" w:hAnsi="微软雅黑" w:eastAsia="微软雅黑" w:cs="微软雅黑"/>
          <w:color w:val="auto"/>
          <w:spacing w:val="2"/>
          <w:sz w:val="24"/>
          <w:szCs w:val="24"/>
          <w:highlight w:val="none"/>
        </w:rPr>
        <w:t>31.1 规定的情形外，成交供</w:t>
      </w:r>
    </w:p>
    <w:p w14:paraId="2A66598C">
      <w:pPr>
        <w:spacing w:before="46" w:line="183" w:lineRule="auto"/>
        <w:ind w:left="92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应商也可以按照财政部门的规定，向采购人提供合格的履约担保函。</w:t>
      </w:r>
    </w:p>
    <w:p w14:paraId="344290A0">
      <w:pPr>
        <w:spacing w:before="46" w:line="183" w:lineRule="auto"/>
        <w:ind w:left="47"/>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32.成交服务费：本项目</w:t>
      </w:r>
      <w:r>
        <w:rPr>
          <w:rFonts w:hint="eastAsia" w:ascii="微软雅黑" w:hAnsi="微软雅黑" w:eastAsia="微软雅黑" w:cs="微软雅黑"/>
          <w:b/>
          <w:bCs/>
          <w:color w:val="auto"/>
          <w:spacing w:val="-3"/>
          <w:sz w:val="24"/>
          <w:szCs w:val="24"/>
          <w:highlight w:val="none"/>
          <w:lang w:val="en-US" w:eastAsia="zh-CN"/>
        </w:rPr>
        <w:t>由中标单位</w:t>
      </w:r>
      <w:r>
        <w:rPr>
          <w:rFonts w:ascii="微软雅黑" w:hAnsi="微软雅黑" w:eastAsia="微软雅黑" w:cs="微软雅黑"/>
          <w:b/>
          <w:bCs/>
          <w:color w:val="auto"/>
          <w:spacing w:val="-3"/>
          <w:sz w:val="24"/>
          <w:szCs w:val="24"/>
          <w:highlight w:val="none"/>
        </w:rPr>
        <w:t>支付代理费。</w:t>
      </w:r>
    </w:p>
    <w:p w14:paraId="64950962">
      <w:pPr>
        <w:spacing w:before="46" w:line="183" w:lineRule="auto"/>
        <w:ind w:left="47"/>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33.政府采购信用担保</w:t>
      </w:r>
    </w:p>
    <w:p w14:paraId="24490A1B">
      <w:pPr>
        <w:spacing w:before="44" w:line="184" w:lineRule="auto"/>
        <w:ind w:left="4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33.1     本项目是否属于信用担保试</w:t>
      </w:r>
      <w:r>
        <w:rPr>
          <w:rFonts w:ascii="微软雅黑" w:hAnsi="微软雅黑" w:eastAsia="微软雅黑" w:cs="微软雅黑"/>
          <w:color w:val="auto"/>
          <w:spacing w:val="-1"/>
          <w:sz w:val="24"/>
          <w:szCs w:val="24"/>
          <w:highlight w:val="none"/>
        </w:rPr>
        <w:t>点范围见</w:t>
      </w:r>
      <w:r>
        <w:rPr>
          <w:rFonts w:ascii="微软雅黑" w:hAnsi="微软雅黑" w:eastAsia="微软雅黑" w:cs="微软雅黑"/>
          <w:color w:val="auto"/>
          <w:spacing w:val="-1"/>
          <w:sz w:val="24"/>
          <w:szCs w:val="24"/>
          <w:highlight w:val="none"/>
          <w:u w:val="single" w:color="auto"/>
        </w:rPr>
        <w:t>供应商须知资料表</w:t>
      </w:r>
      <w:r>
        <w:rPr>
          <w:rFonts w:ascii="微软雅黑" w:hAnsi="微软雅黑" w:eastAsia="微软雅黑" w:cs="微软雅黑"/>
          <w:color w:val="auto"/>
          <w:spacing w:val="-1"/>
          <w:sz w:val="24"/>
          <w:szCs w:val="24"/>
          <w:highlight w:val="none"/>
        </w:rPr>
        <w:t>。</w:t>
      </w:r>
    </w:p>
    <w:p w14:paraId="374203A0">
      <w:pPr>
        <w:spacing w:before="46" w:line="183" w:lineRule="auto"/>
        <w:ind w:left="4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33.2     如属于政府采购信用担保试点范围内，</w:t>
      </w:r>
      <w:r>
        <w:rPr>
          <w:rFonts w:ascii="微软雅黑" w:hAnsi="微软雅黑" w:eastAsia="微软雅黑" w:cs="微软雅黑"/>
          <w:color w:val="auto"/>
          <w:spacing w:val="-50"/>
          <w:sz w:val="24"/>
          <w:szCs w:val="24"/>
          <w:highlight w:val="none"/>
        </w:rPr>
        <w:t xml:space="preserve"> </w:t>
      </w:r>
      <w:r>
        <w:rPr>
          <w:rFonts w:ascii="微软雅黑" w:hAnsi="微软雅黑" w:eastAsia="微软雅黑" w:cs="微软雅黑"/>
          <w:color w:val="auto"/>
          <w:sz w:val="24"/>
          <w:szCs w:val="24"/>
          <w:highlight w:val="none"/>
        </w:rPr>
        <w:t>中小型企业供应商可以自</w:t>
      </w:r>
      <w:r>
        <w:rPr>
          <w:rFonts w:ascii="微软雅黑" w:hAnsi="微软雅黑" w:eastAsia="微软雅黑" w:cs="微软雅黑"/>
          <w:color w:val="auto"/>
          <w:spacing w:val="-1"/>
          <w:sz w:val="24"/>
          <w:szCs w:val="24"/>
          <w:highlight w:val="none"/>
        </w:rPr>
        <w:t>由按照</w:t>
      </w:r>
    </w:p>
    <w:p w14:paraId="450A5EB8">
      <w:pPr>
        <w:spacing w:before="44" w:line="184" w:lineRule="auto"/>
        <w:ind w:left="88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财政部门的规定，采用磋商担保、履约担保和融资担保。</w:t>
      </w:r>
    </w:p>
    <w:p w14:paraId="00049542">
      <w:pPr>
        <w:spacing w:before="46" w:line="183" w:lineRule="auto"/>
        <w:ind w:left="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33.2.1 供应商递交的磋商担保函和履约担保函应符合本磋商文件的规定。</w:t>
      </w:r>
    </w:p>
    <w:p w14:paraId="463B8A16">
      <w:pPr>
        <w:spacing w:before="44" w:line="209" w:lineRule="auto"/>
        <w:ind w:left="45" w:right="48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33.2.2 成交供应商可以采取融资担保的形式为政府采购项目履约进行融资</w:t>
      </w:r>
      <w:r>
        <w:rPr>
          <w:rFonts w:ascii="微软雅黑" w:hAnsi="微软雅黑" w:eastAsia="微软雅黑" w:cs="微软雅黑"/>
          <w:color w:val="auto"/>
          <w:spacing w:val="10"/>
          <w:sz w:val="24"/>
          <w:szCs w:val="24"/>
          <w:highlight w:val="none"/>
        </w:rPr>
        <w:t xml:space="preserve"> </w:t>
      </w:r>
      <w:r>
        <w:rPr>
          <w:rFonts w:ascii="微软雅黑" w:hAnsi="微软雅黑" w:eastAsia="微软雅黑" w:cs="微软雅黑"/>
          <w:color w:val="auto"/>
          <w:spacing w:val="-1"/>
          <w:sz w:val="24"/>
          <w:szCs w:val="24"/>
          <w:highlight w:val="none"/>
        </w:rPr>
        <w:t>33.2.3 合格的政府采购专业信用担保机构名单见</w:t>
      </w:r>
      <w:r>
        <w:rPr>
          <w:rFonts w:ascii="微软雅黑" w:hAnsi="微软雅黑" w:eastAsia="微软雅黑" w:cs="微软雅黑"/>
          <w:color w:val="auto"/>
          <w:spacing w:val="-6"/>
          <w:sz w:val="24"/>
          <w:szCs w:val="24"/>
          <w:highlight w:val="none"/>
        </w:rPr>
        <w:t xml:space="preserve"> </w:t>
      </w:r>
      <w:r>
        <w:rPr>
          <w:rFonts w:ascii="微软雅黑" w:hAnsi="微软雅黑" w:eastAsia="微软雅黑" w:cs="微软雅黑"/>
          <w:color w:val="auto"/>
          <w:spacing w:val="-1"/>
          <w:sz w:val="24"/>
          <w:szCs w:val="24"/>
          <w:highlight w:val="none"/>
          <w:u w:val="single" w:color="auto"/>
        </w:rPr>
        <w:t>供应商须知资料表</w:t>
      </w:r>
      <w:r>
        <w:rPr>
          <w:rFonts w:ascii="微软雅黑" w:hAnsi="微软雅黑" w:eastAsia="微软雅黑" w:cs="微软雅黑"/>
          <w:color w:val="auto"/>
          <w:spacing w:val="-1"/>
          <w:sz w:val="24"/>
          <w:szCs w:val="24"/>
          <w:highlight w:val="none"/>
        </w:rPr>
        <w:t>。</w:t>
      </w:r>
    </w:p>
    <w:p w14:paraId="023F5E31">
      <w:pPr>
        <w:spacing w:before="5" w:line="183" w:lineRule="auto"/>
        <w:ind w:left="47"/>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34.廉洁自律规定</w:t>
      </w:r>
    </w:p>
    <w:p w14:paraId="76EA306E">
      <w:pPr>
        <w:spacing w:before="44" w:line="184" w:lineRule="auto"/>
        <w:ind w:left="4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34.1     采购代理机构工作人员不得以不正当手段获取政府采购代理业务，不得</w:t>
      </w:r>
    </w:p>
    <w:p w14:paraId="54322525">
      <w:pPr>
        <w:spacing w:before="45" w:line="184" w:lineRule="auto"/>
        <w:ind w:left="93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与采购人、供应商恶意串通操纵政府采购活动。</w:t>
      </w:r>
    </w:p>
    <w:p w14:paraId="4F2E6C5C">
      <w:pPr>
        <w:spacing w:before="46" w:line="183" w:lineRule="auto"/>
        <w:ind w:left="4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34.2     采购代理机构工作人员不得接受采购人或者供应商组织的宴请、旅游、</w:t>
      </w:r>
    </w:p>
    <w:p w14:paraId="23A3744B">
      <w:pPr>
        <w:spacing w:before="45" w:line="209" w:lineRule="auto"/>
        <w:ind w:left="932" w:right="7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娱乐，不得收受礼品、现金、有价证券等，不得向采购人或者供应</w:t>
      </w:r>
      <w:r>
        <w:rPr>
          <w:rFonts w:ascii="微软雅黑" w:hAnsi="微软雅黑" w:eastAsia="微软雅黑" w:cs="微软雅黑"/>
          <w:color w:val="auto"/>
          <w:spacing w:val="-2"/>
          <w:sz w:val="24"/>
          <w:szCs w:val="24"/>
          <w:highlight w:val="none"/>
        </w:rPr>
        <w:t>商报</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4"/>
          <w:sz w:val="24"/>
          <w:szCs w:val="24"/>
          <w:highlight w:val="none"/>
        </w:rPr>
        <w:t>销应当由个人承担的费用。</w:t>
      </w:r>
    </w:p>
    <w:p w14:paraId="1C394327">
      <w:pPr>
        <w:spacing w:before="5" w:line="182" w:lineRule="auto"/>
        <w:ind w:left="47"/>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35.人员回避</w:t>
      </w:r>
    </w:p>
    <w:p w14:paraId="500F1472">
      <w:pPr>
        <w:spacing w:before="102" w:line="209" w:lineRule="auto"/>
        <w:ind w:left="933" w:right="120" w:hanging="6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供应商认为采购人员及其相关人员有法律法规所列与其他供应商有</w:t>
      </w:r>
      <w:r>
        <w:rPr>
          <w:rFonts w:ascii="微软雅黑" w:hAnsi="微软雅黑" w:eastAsia="微软雅黑" w:cs="微软雅黑"/>
          <w:color w:val="auto"/>
          <w:sz w:val="24"/>
          <w:szCs w:val="24"/>
          <w:highlight w:val="none"/>
        </w:rPr>
        <w:t>利害</w:t>
      </w:r>
      <w:r>
        <w:rPr>
          <w:rFonts w:ascii="微软雅黑" w:hAnsi="微软雅黑" w:eastAsia="微软雅黑" w:cs="微软雅黑"/>
          <w:color w:val="auto"/>
          <w:spacing w:val="-6"/>
          <w:sz w:val="24"/>
          <w:szCs w:val="24"/>
          <w:highlight w:val="none"/>
        </w:rPr>
        <w:t>关系的，可以向采购人或采购代理机构书面提出回避申</w:t>
      </w:r>
      <w:r>
        <w:rPr>
          <w:rFonts w:ascii="微软雅黑" w:hAnsi="微软雅黑" w:eastAsia="微软雅黑" w:cs="微软雅黑"/>
          <w:color w:val="auto"/>
          <w:spacing w:val="-7"/>
          <w:sz w:val="24"/>
          <w:szCs w:val="24"/>
          <w:highlight w:val="none"/>
        </w:rPr>
        <w:t>请，并说明理由。</w:t>
      </w:r>
    </w:p>
    <w:p w14:paraId="39AB7756">
      <w:pPr>
        <w:numPr>
          <w:ilvl w:val="0"/>
          <w:numId w:val="1"/>
        </w:numPr>
        <w:spacing w:before="3" w:line="183" w:lineRule="auto"/>
        <w:ind w:left="47"/>
        <w:outlineLvl w:val="3"/>
        <w:rPr>
          <w:rFonts w:ascii="微软雅黑" w:hAnsi="微软雅黑" w:eastAsia="微软雅黑" w:cs="微软雅黑"/>
          <w:b/>
          <w:bCs/>
          <w:color w:val="auto"/>
          <w:spacing w:val="-4"/>
          <w:sz w:val="24"/>
          <w:szCs w:val="24"/>
          <w:highlight w:val="none"/>
        </w:rPr>
      </w:pPr>
      <w:r>
        <w:rPr>
          <w:rFonts w:ascii="微软雅黑" w:hAnsi="微软雅黑" w:eastAsia="微软雅黑" w:cs="微软雅黑"/>
          <w:b/>
          <w:bCs/>
          <w:color w:val="auto"/>
          <w:spacing w:val="-4"/>
          <w:sz w:val="24"/>
          <w:szCs w:val="24"/>
          <w:highlight w:val="none"/>
        </w:rPr>
        <w:t>质疑与接收</w:t>
      </w:r>
    </w:p>
    <w:p w14:paraId="172056C7">
      <w:pPr>
        <w:numPr>
          <w:ilvl w:val="0"/>
          <w:numId w:val="0"/>
        </w:numPr>
        <w:spacing w:before="3" w:line="183" w:lineRule="auto"/>
        <w:ind w:firstLine="456" w:firstLineChars="200"/>
        <w:outlineLvl w:val="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6"/>
          <w:sz w:val="24"/>
          <w:szCs w:val="24"/>
          <w:highlight w:val="none"/>
        </w:rPr>
        <w:t>36.1 供应商认为招标文件、招标过程和中标结果使自己的权益受到损害的，  可</w:t>
      </w:r>
      <w:r>
        <w:rPr>
          <w:rFonts w:ascii="微软雅黑" w:hAnsi="微软雅黑" w:eastAsia="微软雅黑" w:cs="微软雅黑"/>
          <w:color w:val="auto"/>
          <w:spacing w:val="12"/>
          <w:sz w:val="24"/>
          <w:szCs w:val="24"/>
          <w:highlight w:val="none"/>
        </w:rPr>
        <w:t xml:space="preserve"> </w:t>
      </w:r>
      <w:r>
        <w:rPr>
          <w:rFonts w:ascii="微软雅黑" w:hAnsi="微软雅黑" w:eastAsia="微软雅黑" w:cs="微软雅黑"/>
          <w:color w:val="auto"/>
          <w:sz w:val="24"/>
          <w:szCs w:val="24"/>
          <w:highlight w:val="none"/>
        </w:rPr>
        <w:t>以根据《中华人民共和国政府采购法》、《中华人民共和国政府采购法</w:t>
      </w:r>
      <w:r>
        <w:rPr>
          <w:rFonts w:ascii="微软雅黑" w:hAnsi="微软雅黑" w:eastAsia="微软雅黑" w:cs="微软雅黑"/>
          <w:color w:val="auto"/>
          <w:spacing w:val="16"/>
          <w:sz w:val="24"/>
          <w:szCs w:val="24"/>
          <w:highlight w:val="none"/>
        </w:rPr>
        <w:t xml:space="preserve"> </w:t>
      </w:r>
      <w:r>
        <w:rPr>
          <w:rFonts w:ascii="微软雅黑" w:hAnsi="微软雅黑" w:eastAsia="微软雅黑" w:cs="微软雅黑"/>
          <w:color w:val="auto"/>
          <w:sz w:val="24"/>
          <w:szCs w:val="24"/>
          <w:highlight w:val="none"/>
        </w:rPr>
        <w:t>实施条例》和《政府采购质疑和投诉办法》的有关规定，依法向采购人</w:t>
      </w:r>
      <w:r>
        <w:rPr>
          <w:rFonts w:ascii="微软雅黑" w:hAnsi="微软雅黑" w:eastAsia="微软雅黑" w:cs="微软雅黑"/>
          <w:color w:val="auto"/>
          <w:spacing w:val="-3"/>
          <w:sz w:val="24"/>
          <w:szCs w:val="24"/>
          <w:highlight w:val="none"/>
        </w:rPr>
        <w:t>或其委托的采购代理机构提出质疑。</w:t>
      </w:r>
    </w:p>
    <w:p w14:paraId="5D9E7633">
      <w:pPr>
        <w:spacing w:line="240" w:lineRule="auto"/>
        <w:ind w:left="0" w:firstLine="0"/>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 超出法定质疑期的、重复提出的、分次提出的或内容、形式不符合《政府采购质疑和投诉办法》的，质疑供应商将依法承担不利后果。</w:t>
      </w:r>
    </w:p>
    <w:p w14:paraId="75BF2848">
      <w:pPr>
        <w:spacing w:line="240" w:lineRule="auto"/>
        <w:ind w:left="0" w:right="0" w:firstLine="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36.3 投诉的事项应当包含投诉的请求和法律依据，投诉的事项不得超出所质</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3"/>
          <w:sz w:val="24"/>
          <w:szCs w:val="24"/>
          <w:highlight w:val="none"/>
        </w:rPr>
        <w:t>疑事项的范围。投诉人有捏造事实、提供虚假材料、以非法手段取得证</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7"/>
          <w:sz w:val="24"/>
          <w:szCs w:val="24"/>
          <w:highlight w:val="none"/>
        </w:rPr>
        <w:t>明材料的行为之一的，属于虚假、恶意投诉， 由财政部门列入不</w:t>
      </w:r>
      <w:r>
        <w:rPr>
          <w:rFonts w:ascii="微软雅黑" w:hAnsi="微软雅黑" w:eastAsia="微软雅黑" w:cs="微软雅黑"/>
          <w:color w:val="auto"/>
          <w:spacing w:val="-8"/>
          <w:sz w:val="24"/>
          <w:szCs w:val="24"/>
          <w:highlight w:val="none"/>
        </w:rPr>
        <w:t>良行为</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记录名单，禁止其 1 至 3 年内参加政</w:t>
      </w:r>
      <w:r>
        <w:rPr>
          <w:rFonts w:ascii="微软雅黑" w:hAnsi="微软雅黑" w:eastAsia="微软雅黑" w:cs="微软雅黑"/>
          <w:color w:val="auto"/>
          <w:spacing w:val="-2"/>
          <w:sz w:val="24"/>
          <w:szCs w:val="24"/>
          <w:highlight w:val="none"/>
        </w:rPr>
        <w:t>府采购活动。证据来源的合法性</w:t>
      </w:r>
      <w:r>
        <w:rPr>
          <w:rFonts w:ascii="微软雅黑" w:hAnsi="微软雅黑" w:eastAsia="微软雅黑" w:cs="微软雅黑"/>
          <w:color w:val="auto"/>
          <w:spacing w:val="-3"/>
          <w:sz w:val="24"/>
          <w:szCs w:val="24"/>
          <w:highlight w:val="none"/>
        </w:rPr>
        <w:t>存在明显疑问，投诉人无法证明其取得方式合法的，视为以非法手段取</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7"/>
          <w:sz w:val="24"/>
          <w:szCs w:val="24"/>
          <w:highlight w:val="none"/>
        </w:rPr>
        <w:t>得证明材料。</w:t>
      </w:r>
    </w:p>
    <w:p w14:paraId="1A3DB0EF">
      <w:pPr>
        <w:spacing w:line="240" w:lineRule="auto"/>
        <w:ind w:left="0" w:right="0" w:firstLine="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36.4 质疑供应商应按照财政部制定的《政府采购质疑函范本》格式（可从财</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5"/>
          <w:sz w:val="24"/>
          <w:szCs w:val="24"/>
          <w:highlight w:val="none"/>
        </w:rPr>
        <w:t>政部官方网站下载）和《政府采购质疑和投诉办法》的要求， 在法定质</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3"/>
          <w:sz w:val="24"/>
          <w:szCs w:val="24"/>
          <w:highlight w:val="none"/>
        </w:rPr>
        <w:t>疑期内以纸质形式提出质疑，针对同一采购程序环节的质疑应一次性提</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3"/>
          <w:sz w:val="24"/>
          <w:szCs w:val="24"/>
          <w:highlight w:val="none"/>
        </w:rPr>
        <w:t>出。超出法定质疑期的、重复提出的、分次提出的或内容、形式不符合</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2"/>
          <w:sz w:val="24"/>
          <w:szCs w:val="24"/>
          <w:highlight w:val="none"/>
        </w:rPr>
        <w:t>《政府采购质疑和投诉办法》的，质疑供应商将依法承担不利后果。</w:t>
      </w:r>
    </w:p>
    <w:p w14:paraId="1AA01872">
      <w:pPr>
        <w:spacing w:line="240" w:lineRule="auto"/>
        <w:ind w:left="0" w:right="0" w:firstLine="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36.5 采购人和采购代理机构质疑函接部门、联系电话和通讯地址,见</w:t>
      </w:r>
      <w:r>
        <w:rPr>
          <w:rFonts w:ascii="微软雅黑" w:hAnsi="微软雅黑" w:eastAsia="微软雅黑" w:cs="微软雅黑"/>
          <w:color w:val="auto"/>
          <w:spacing w:val="-4"/>
          <w:sz w:val="24"/>
          <w:szCs w:val="24"/>
          <w:highlight w:val="none"/>
          <w:u w:val="single" w:color="auto"/>
        </w:rPr>
        <w:t>供应商须知</w:t>
      </w:r>
      <w:r>
        <w:rPr>
          <w:rFonts w:ascii="微软雅黑" w:hAnsi="微软雅黑" w:eastAsia="微软雅黑" w:cs="微软雅黑"/>
          <w:color w:val="auto"/>
          <w:spacing w:val="-1"/>
          <w:sz w:val="24"/>
          <w:szCs w:val="24"/>
          <w:highlight w:val="none"/>
          <w:u w:val="single" w:color="auto"/>
        </w:rPr>
        <w:t>资料表。</w:t>
      </w:r>
    </w:p>
    <w:p w14:paraId="2455DCA6">
      <w:pPr>
        <w:spacing w:line="240" w:lineRule="auto"/>
        <w:ind w:left="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36.6 质疑的提出：一次提出全部质疑</w:t>
      </w:r>
    </w:p>
    <w:p w14:paraId="2C5959A3">
      <w:pPr>
        <w:spacing w:line="240" w:lineRule="auto"/>
        <w:ind w:left="0" w:right="0" w:firstLine="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36.7 本采购文件中所称质疑及答复，是指参加本次采购活动的供</w:t>
      </w:r>
      <w:r>
        <w:rPr>
          <w:rFonts w:ascii="微软雅黑" w:hAnsi="微软雅黑" w:eastAsia="微软雅黑" w:cs="微软雅黑"/>
          <w:color w:val="auto"/>
          <w:spacing w:val="-3"/>
          <w:sz w:val="24"/>
          <w:szCs w:val="24"/>
          <w:highlight w:val="none"/>
        </w:rPr>
        <w:t>应商对政府采</w:t>
      </w:r>
      <w:r>
        <w:rPr>
          <w:rFonts w:ascii="微软雅黑" w:hAnsi="微软雅黑" w:eastAsia="微软雅黑" w:cs="微软雅黑"/>
          <w:color w:val="auto"/>
          <w:sz w:val="24"/>
          <w:szCs w:val="24"/>
          <w:highlight w:val="none"/>
        </w:rPr>
        <w:t xml:space="preserve"> 购活动中的采购文件、采购过程和成交结果向采购方或其委托的采购代</w:t>
      </w:r>
      <w:r>
        <w:rPr>
          <w:rFonts w:ascii="微软雅黑" w:hAnsi="微软雅黑" w:eastAsia="微软雅黑" w:cs="微软雅黑"/>
          <w:color w:val="auto"/>
          <w:spacing w:val="18"/>
          <w:sz w:val="24"/>
          <w:szCs w:val="24"/>
          <w:highlight w:val="none"/>
        </w:rPr>
        <w:t xml:space="preserve"> </w:t>
      </w:r>
      <w:r>
        <w:rPr>
          <w:rFonts w:ascii="微软雅黑" w:hAnsi="微软雅黑" w:eastAsia="微软雅黑" w:cs="微软雅黑"/>
          <w:color w:val="auto"/>
          <w:spacing w:val="-2"/>
          <w:sz w:val="24"/>
          <w:szCs w:val="24"/>
          <w:highlight w:val="none"/>
        </w:rPr>
        <w:t>理机构提出质疑，采购方或其委托的采购代理机构答复质疑的行为。</w:t>
      </w:r>
    </w:p>
    <w:p w14:paraId="6BCB514E">
      <w:pPr>
        <w:spacing w:line="240" w:lineRule="auto"/>
        <w:ind w:right="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6"/>
          <w:sz w:val="24"/>
          <w:szCs w:val="24"/>
          <w:highlight w:val="none"/>
        </w:rPr>
        <w:t>36.8 供应商认为采购文件、采购过程和成交结果使自己的权益受到损害的，  可</w:t>
      </w:r>
      <w:r>
        <w:rPr>
          <w:rFonts w:ascii="微软雅黑" w:hAnsi="微软雅黑" w:eastAsia="微软雅黑" w:cs="微软雅黑"/>
          <w:color w:val="auto"/>
          <w:spacing w:val="12"/>
          <w:sz w:val="24"/>
          <w:szCs w:val="24"/>
          <w:highlight w:val="none"/>
        </w:rPr>
        <w:t xml:space="preserve"> </w:t>
      </w:r>
      <w:r>
        <w:rPr>
          <w:rFonts w:ascii="微软雅黑" w:hAnsi="微软雅黑" w:eastAsia="微软雅黑" w:cs="微软雅黑"/>
          <w:color w:val="auto"/>
          <w:spacing w:val="-1"/>
          <w:sz w:val="24"/>
          <w:szCs w:val="24"/>
          <w:highlight w:val="none"/>
        </w:rPr>
        <w:t>以在知道或者应知其权益受到损害之日起 7 个工作日内，以书面形式向</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z w:val="24"/>
          <w:szCs w:val="24"/>
          <w:highlight w:val="none"/>
        </w:rPr>
        <w:t>采购人、采购代理机构提出质疑提出质疑。供应商应知其权益受到损害</w:t>
      </w:r>
      <w:r>
        <w:rPr>
          <w:rFonts w:ascii="微软雅黑" w:hAnsi="微软雅黑" w:eastAsia="微软雅黑" w:cs="微软雅黑"/>
          <w:color w:val="auto"/>
          <w:spacing w:val="18"/>
          <w:sz w:val="24"/>
          <w:szCs w:val="24"/>
          <w:highlight w:val="none"/>
        </w:rPr>
        <w:t xml:space="preserve"> </w:t>
      </w:r>
      <w:r>
        <w:rPr>
          <w:rFonts w:ascii="微软雅黑" w:hAnsi="微软雅黑" w:eastAsia="微软雅黑" w:cs="微软雅黑"/>
          <w:color w:val="auto"/>
          <w:spacing w:val="-7"/>
          <w:sz w:val="24"/>
          <w:szCs w:val="24"/>
          <w:highlight w:val="none"/>
        </w:rPr>
        <w:t>之日，是指：</w:t>
      </w:r>
    </w:p>
    <w:p w14:paraId="6DC496EC">
      <w:pPr>
        <w:spacing w:line="240" w:lineRule="auto"/>
        <w:ind w:left="0" w:right="0" w:firstLine="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（一）对可以质疑的采购文件提出质疑的，为收到采购文件之日或者采购文件</w:t>
      </w:r>
      <w:r>
        <w:rPr>
          <w:rFonts w:ascii="微软雅黑" w:hAnsi="微软雅黑" w:eastAsia="微软雅黑" w:cs="微软雅黑"/>
          <w:color w:val="auto"/>
          <w:spacing w:val="2"/>
          <w:sz w:val="24"/>
          <w:szCs w:val="24"/>
          <w:highlight w:val="none"/>
        </w:rPr>
        <w:t xml:space="preserve"> </w:t>
      </w:r>
      <w:r>
        <w:rPr>
          <w:rFonts w:ascii="微软雅黑" w:hAnsi="微软雅黑" w:eastAsia="微软雅黑" w:cs="微软雅黑"/>
          <w:color w:val="auto"/>
          <w:spacing w:val="-5"/>
          <w:sz w:val="24"/>
          <w:szCs w:val="24"/>
          <w:highlight w:val="none"/>
        </w:rPr>
        <w:t>公告期限届满之日；</w:t>
      </w:r>
    </w:p>
    <w:p w14:paraId="463A4101">
      <w:pPr>
        <w:spacing w:line="240" w:lineRule="auto"/>
        <w:ind w:left="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（二）对采购过程提出质疑的，为各采购程序环节结束之日；</w:t>
      </w:r>
    </w:p>
    <w:p w14:paraId="049D027E">
      <w:pPr>
        <w:spacing w:line="240" w:lineRule="auto"/>
        <w:ind w:left="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（三）对成交结果提出质疑的，为成交结果公告期限届满之日。</w:t>
      </w:r>
    </w:p>
    <w:p w14:paraId="422A5BBF">
      <w:pPr>
        <w:spacing w:line="240" w:lineRule="auto"/>
        <w:ind w:left="0" w:right="0" w:firstLine="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36.9 对可以质疑的采购文件提出质疑的，质疑人为参与本项目的</w:t>
      </w:r>
      <w:r>
        <w:rPr>
          <w:rFonts w:ascii="微软雅黑" w:hAnsi="微软雅黑" w:eastAsia="微软雅黑" w:cs="微软雅黑"/>
          <w:color w:val="auto"/>
          <w:spacing w:val="-3"/>
          <w:sz w:val="24"/>
          <w:szCs w:val="24"/>
          <w:highlight w:val="none"/>
        </w:rPr>
        <w:t>报价方或潜在</w:t>
      </w:r>
      <w:r>
        <w:rPr>
          <w:rFonts w:ascii="微软雅黑" w:hAnsi="微软雅黑" w:eastAsia="微软雅黑" w:cs="微软雅黑"/>
          <w:color w:val="auto"/>
          <w:sz w:val="24"/>
          <w:szCs w:val="24"/>
          <w:highlight w:val="none"/>
        </w:rPr>
        <w:t xml:space="preserve"> 报价方。可质疑的文件为采购公告以及采购文件（包括属于其组成部分</w:t>
      </w:r>
      <w:r>
        <w:rPr>
          <w:rFonts w:ascii="微软雅黑" w:hAnsi="微软雅黑" w:eastAsia="微软雅黑" w:cs="微软雅黑"/>
          <w:color w:val="auto"/>
          <w:spacing w:val="-2"/>
          <w:sz w:val="24"/>
          <w:szCs w:val="24"/>
          <w:highlight w:val="none"/>
        </w:rPr>
        <w:t>的澄清、修改、补充文件和评审标准、合同文本等）。</w:t>
      </w:r>
    </w:p>
    <w:p w14:paraId="33E1109E">
      <w:pPr>
        <w:spacing w:line="240" w:lineRule="auto"/>
        <w:ind w:left="0" w:firstLine="0"/>
        <w:rPr>
          <w:rFonts w:hint="eastAsia" w:ascii="微软雅黑" w:hAnsi="微软雅黑" w:eastAsia="微软雅黑" w:cs="微软雅黑"/>
          <w:color w:val="auto"/>
          <w:spacing w:val="12"/>
          <w:sz w:val="24"/>
          <w:szCs w:val="24"/>
          <w:highlight w:val="none"/>
          <w:lang w:eastAsia="zh-CN"/>
        </w:rPr>
      </w:pPr>
      <w:r>
        <w:rPr>
          <w:rFonts w:ascii="微软雅黑" w:hAnsi="微软雅黑" w:eastAsia="微软雅黑" w:cs="微软雅黑"/>
          <w:color w:val="auto"/>
          <w:spacing w:val="-1"/>
          <w:sz w:val="24"/>
          <w:szCs w:val="24"/>
          <w:highlight w:val="none"/>
        </w:rPr>
        <w:t>36.10 对采购过程和成交结果提出质疑的，质疑人为直接参与本项目的报价方</w:t>
      </w:r>
      <w:r>
        <w:rPr>
          <w:rFonts w:ascii="微软雅黑" w:hAnsi="微软雅黑" w:eastAsia="微软雅黑" w:cs="微软雅黑"/>
          <w:color w:val="auto"/>
          <w:spacing w:val="11"/>
          <w:sz w:val="24"/>
          <w:szCs w:val="24"/>
          <w:highlight w:val="none"/>
        </w:rPr>
        <w:t xml:space="preserve"> </w:t>
      </w:r>
      <w:r>
        <w:rPr>
          <w:rFonts w:ascii="微软雅黑" w:hAnsi="微软雅黑" w:eastAsia="微软雅黑" w:cs="微软雅黑"/>
          <w:color w:val="auto"/>
          <w:spacing w:val="-1"/>
          <w:sz w:val="24"/>
          <w:szCs w:val="24"/>
          <w:highlight w:val="none"/>
        </w:rPr>
        <w:t>采购过程,即从采购项目信息公告发布起到成交结果</w:t>
      </w:r>
      <w:r>
        <w:rPr>
          <w:rFonts w:ascii="微软雅黑" w:hAnsi="微软雅黑" w:eastAsia="微软雅黑" w:cs="微软雅黑"/>
          <w:color w:val="auto"/>
          <w:spacing w:val="-2"/>
          <w:sz w:val="24"/>
          <w:szCs w:val="24"/>
          <w:highlight w:val="none"/>
        </w:rPr>
        <w:t>公告止，包括采购文件的发出、提交响应文件、响应文件开启、评审等各个采购程序环节</w:t>
      </w:r>
      <w:r>
        <w:rPr>
          <w:rFonts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12"/>
          <w:sz w:val="24"/>
          <w:szCs w:val="24"/>
          <w:highlight w:val="none"/>
          <w:lang w:eastAsia="zh-CN"/>
        </w:rPr>
        <w:t>。</w:t>
      </w:r>
    </w:p>
    <w:p w14:paraId="65831392">
      <w:pPr>
        <w:spacing w:line="240" w:lineRule="auto"/>
        <w:ind w:left="0" w:right="0" w:firstLine="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36.11 提出质疑应当符合下列条件：</w:t>
      </w:r>
    </w:p>
    <w:p w14:paraId="07091564">
      <w:pPr>
        <w:numPr>
          <w:ilvl w:val="0"/>
          <w:numId w:val="2"/>
        </w:numPr>
        <w:spacing w:before="2" w:line="220" w:lineRule="auto"/>
        <w:ind w:left="208"/>
        <w:rPr>
          <w:rFonts w:ascii="微软雅黑" w:hAnsi="微软雅黑" w:eastAsia="微软雅黑" w:cs="微软雅黑"/>
          <w:color w:val="auto"/>
          <w:spacing w:val="-5"/>
          <w:sz w:val="24"/>
          <w:szCs w:val="24"/>
          <w:highlight w:val="none"/>
        </w:rPr>
      </w:pPr>
      <w:r>
        <w:rPr>
          <w:rFonts w:ascii="微软雅黑" w:hAnsi="微软雅黑" w:eastAsia="微软雅黑" w:cs="微软雅黑"/>
          <w:color w:val="auto"/>
          <w:spacing w:val="-5"/>
          <w:sz w:val="24"/>
          <w:szCs w:val="24"/>
          <w:highlight w:val="none"/>
        </w:rPr>
        <w:t>质疑主体应当符合有关规定；</w:t>
      </w:r>
    </w:p>
    <w:p w14:paraId="6DE652EB">
      <w:pPr>
        <w:numPr>
          <w:ilvl w:val="0"/>
          <w:numId w:val="2"/>
        </w:numPr>
        <w:spacing w:before="2" w:line="220" w:lineRule="auto"/>
        <w:ind w:left="20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6"/>
          <w:sz w:val="24"/>
          <w:szCs w:val="24"/>
          <w:highlight w:val="none"/>
        </w:rPr>
        <w:t>在质疑法定期限内提出；</w:t>
      </w:r>
    </w:p>
    <w:p w14:paraId="7446C453">
      <w:pPr>
        <w:numPr>
          <w:ilvl w:val="0"/>
          <w:numId w:val="2"/>
        </w:numPr>
        <w:spacing w:before="2" w:line="220" w:lineRule="auto"/>
        <w:ind w:left="20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属于可以提出质疑的政府采购事项受理范围和本项目采购人的管辖权范</w:t>
      </w:r>
      <w:r>
        <w:rPr>
          <w:rFonts w:ascii="微软雅黑" w:hAnsi="微软雅黑" w:eastAsia="微软雅黑" w:cs="微软雅黑"/>
          <w:color w:val="auto"/>
          <w:spacing w:val="-16"/>
          <w:sz w:val="24"/>
          <w:szCs w:val="24"/>
          <w:highlight w:val="none"/>
        </w:rPr>
        <w:t>围</w:t>
      </w:r>
    </w:p>
    <w:p w14:paraId="6C573C28">
      <w:pPr>
        <w:spacing w:before="102" w:line="184" w:lineRule="auto"/>
        <w:ind w:left="20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（四）政府采购法律、法规、规章规定的其他条件。</w:t>
      </w:r>
    </w:p>
    <w:p w14:paraId="5893B4BA">
      <w:pPr>
        <w:spacing w:before="302" w:line="347" w:lineRule="auto"/>
        <w:ind w:left="881" w:right="29" w:hanging="69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37.供应商提出质疑应当提交质疑函和必要的证明材料。质疑函应当包括下列内</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2"/>
          <w:sz w:val="24"/>
          <w:szCs w:val="24"/>
          <w:highlight w:val="none"/>
        </w:rPr>
        <w:t>容</w:t>
      </w:r>
    </w:p>
    <w:p w14:paraId="23B671C2">
      <w:pPr>
        <w:spacing w:before="2" w:line="220" w:lineRule="auto"/>
        <w:ind w:left="68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（一）供应商的姓名或者名称、地址、邮编、联系人及联系电话；</w:t>
      </w:r>
    </w:p>
    <w:p w14:paraId="6B1915AB">
      <w:pPr>
        <w:spacing w:before="283" w:line="183" w:lineRule="auto"/>
        <w:ind w:left="68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6"/>
          <w:sz w:val="24"/>
          <w:szCs w:val="24"/>
          <w:highlight w:val="none"/>
        </w:rPr>
        <w:t>（二）质疑项目的名称、编号；</w:t>
      </w:r>
    </w:p>
    <w:p w14:paraId="514E3AFC">
      <w:pPr>
        <w:spacing w:before="304" w:line="183" w:lineRule="auto"/>
        <w:ind w:left="68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（三）具体、明确的质疑事项和与质疑事项相关</w:t>
      </w:r>
      <w:r>
        <w:rPr>
          <w:rFonts w:ascii="微软雅黑" w:hAnsi="微软雅黑" w:eastAsia="微软雅黑" w:cs="微软雅黑"/>
          <w:color w:val="auto"/>
          <w:spacing w:val="-4"/>
          <w:sz w:val="24"/>
          <w:szCs w:val="24"/>
          <w:highlight w:val="none"/>
        </w:rPr>
        <w:t>的请求；</w:t>
      </w:r>
    </w:p>
    <w:p w14:paraId="400FF297">
      <w:pPr>
        <w:spacing w:before="303" w:line="183" w:lineRule="auto"/>
        <w:ind w:left="68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9"/>
          <w:sz w:val="24"/>
          <w:szCs w:val="24"/>
          <w:highlight w:val="none"/>
        </w:rPr>
        <w:t>（四）事实依据；</w:t>
      </w:r>
    </w:p>
    <w:p w14:paraId="24344F0D">
      <w:pPr>
        <w:spacing w:before="304" w:line="183" w:lineRule="auto"/>
        <w:ind w:left="68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（五）必要的法律依据；</w:t>
      </w:r>
    </w:p>
    <w:p w14:paraId="467570E2">
      <w:pPr>
        <w:spacing w:before="305" w:line="182" w:lineRule="auto"/>
        <w:ind w:left="68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（六）提出质疑的日期。</w:t>
      </w:r>
    </w:p>
    <w:p w14:paraId="7129AC9C">
      <w:pPr>
        <w:spacing w:line="240" w:lineRule="auto"/>
        <w:ind w:left="0" w:right="0" w:firstLine="0"/>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供应商为自然人的，应当由本人签字；供应商为法人或者其他组织的</w:t>
      </w:r>
      <w:r>
        <w:rPr>
          <w:rFonts w:ascii="微软雅黑" w:hAnsi="微软雅黑" w:eastAsia="微软雅黑" w:cs="微软雅黑"/>
          <w:color w:val="auto"/>
          <w:spacing w:val="-1"/>
          <w:sz w:val="24"/>
          <w:szCs w:val="24"/>
          <w:highlight w:val="none"/>
        </w:rPr>
        <w:t>，应</w:t>
      </w:r>
      <w:r>
        <w:rPr>
          <w:rFonts w:ascii="微软雅黑" w:hAnsi="微软雅黑" w:eastAsia="微软雅黑" w:cs="微软雅黑"/>
          <w:color w:val="auto"/>
          <w:sz w:val="24"/>
          <w:szCs w:val="24"/>
          <w:highlight w:val="none"/>
        </w:rPr>
        <w:t>当由法定代表人、主要负责人，或者其授权代表签字或者盖章</w:t>
      </w:r>
      <w:r>
        <w:rPr>
          <w:rFonts w:ascii="微软雅黑" w:hAnsi="微软雅黑" w:eastAsia="微软雅黑" w:cs="微软雅黑"/>
          <w:color w:val="auto"/>
          <w:spacing w:val="-1"/>
          <w:sz w:val="24"/>
          <w:szCs w:val="24"/>
          <w:highlight w:val="none"/>
        </w:rPr>
        <w:t>，并加盖</w:t>
      </w:r>
      <w:r>
        <w:rPr>
          <w:rFonts w:ascii="微软雅黑" w:hAnsi="微软雅黑" w:eastAsia="微软雅黑" w:cs="微软雅黑"/>
          <w:color w:val="auto"/>
          <w:spacing w:val="-11"/>
          <w:sz w:val="24"/>
          <w:szCs w:val="24"/>
          <w:highlight w:val="none"/>
        </w:rPr>
        <w:t>公章。</w:t>
      </w:r>
    </w:p>
    <w:p w14:paraId="6C6B94FD">
      <w:pPr>
        <w:spacing w:before="4" w:line="360" w:lineRule="auto"/>
        <w:ind w:left="885" w:right="29" w:hanging="69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37.1 质疑人可以委托代理人进行质疑。代理人应当提交授权委托</w:t>
      </w:r>
      <w:r>
        <w:rPr>
          <w:rFonts w:ascii="微软雅黑" w:hAnsi="微软雅黑" w:eastAsia="微软雅黑" w:cs="微软雅黑"/>
          <w:color w:val="auto"/>
          <w:spacing w:val="-3"/>
          <w:sz w:val="24"/>
          <w:szCs w:val="24"/>
          <w:highlight w:val="none"/>
        </w:rPr>
        <w:t>书。授权委托书当载明委托代理的具体权限、期限和相关事项。</w:t>
      </w:r>
    </w:p>
    <w:p w14:paraId="3B6C0D0A">
      <w:pPr>
        <w:spacing w:line="240" w:lineRule="auto"/>
        <w:ind w:left="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37.2 质疑的审查和受理</w:t>
      </w:r>
    </w:p>
    <w:p w14:paraId="6EA5E469">
      <w:pPr>
        <w:spacing w:line="240" w:lineRule="auto"/>
        <w:ind w:left="0" w:right="0" w:firstLine="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8"/>
          <w:sz w:val="24"/>
          <w:szCs w:val="24"/>
          <w:highlight w:val="none"/>
        </w:rPr>
        <w:t>采购方或其委托的招标代理机构在收到质疑函后应当及</w:t>
      </w:r>
      <w:r>
        <w:rPr>
          <w:rFonts w:ascii="微软雅黑" w:hAnsi="微软雅黑" w:eastAsia="微软雅黑" w:cs="微软雅黑"/>
          <w:color w:val="auto"/>
          <w:spacing w:val="7"/>
          <w:sz w:val="24"/>
          <w:szCs w:val="24"/>
          <w:highlight w:val="none"/>
        </w:rPr>
        <w:t>时审查是否符</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合质疑受理条件，对符合质疑受理条件的，及时予以受理。</w:t>
      </w:r>
    </w:p>
    <w:p w14:paraId="18F7B4AF">
      <w:pPr>
        <w:spacing w:line="240" w:lineRule="auto"/>
        <w:ind w:left="0" w:right="0" w:firstLine="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38.采购人、采购代理机构不得拒收质疑供应商在法定质疑期内发出的</w:t>
      </w:r>
      <w:r>
        <w:rPr>
          <w:rFonts w:ascii="微软雅黑" w:hAnsi="微软雅黑" w:eastAsia="微软雅黑" w:cs="微软雅黑"/>
          <w:color w:val="auto"/>
          <w:sz w:val="24"/>
          <w:szCs w:val="24"/>
          <w:highlight w:val="none"/>
        </w:rPr>
        <w:t xml:space="preserve">质疑函， </w:t>
      </w:r>
      <w:r>
        <w:rPr>
          <w:rFonts w:ascii="微软雅黑" w:hAnsi="微软雅黑" w:eastAsia="微软雅黑" w:cs="微软雅黑"/>
          <w:color w:val="auto"/>
          <w:spacing w:val="-4"/>
          <w:sz w:val="24"/>
          <w:szCs w:val="24"/>
          <w:highlight w:val="none"/>
        </w:rPr>
        <w:t>应当在收到质疑函后 7 个工作日内作出答复，并以书面形式通知质疑供应商和其</w:t>
      </w:r>
      <w:r>
        <w:rPr>
          <w:rFonts w:ascii="微软雅黑" w:hAnsi="微软雅黑" w:eastAsia="微软雅黑" w:cs="微软雅黑"/>
          <w:color w:val="auto"/>
          <w:spacing w:val="-6"/>
          <w:sz w:val="24"/>
          <w:szCs w:val="24"/>
          <w:highlight w:val="none"/>
        </w:rPr>
        <w:t>他有关供应商。</w:t>
      </w:r>
    </w:p>
    <w:p w14:paraId="325B13E0">
      <w:pPr>
        <w:spacing w:line="240" w:lineRule="auto"/>
        <w:ind w:left="0" w:right="0" w:firstLine="0"/>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38.1 供应商对评审过程、中标或者成交结果提出质</w:t>
      </w:r>
      <w:r>
        <w:rPr>
          <w:rFonts w:ascii="微软雅黑" w:hAnsi="微软雅黑" w:eastAsia="微软雅黑" w:cs="微软雅黑"/>
          <w:color w:val="auto"/>
          <w:spacing w:val="1"/>
          <w:sz w:val="24"/>
          <w:szCs w:val="24"/>
          <w:highlight w:val="none"/>
        </w:rPr>
        <w:t>疑的，采购人、采购代理机</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构可以组织原评标委员会、竞争性谈判小组、询价小组或者竞争性磋商小组协助</w:t>
      </w:r>
      <w:r>
        <w:rPr>
          <w:rFonts w:ascii="微软雅黑" w:hAnsi="微软雅黑" w:eastAsia="微软雅黑" w:cs="微软雅黑"/>
          <w:color w:val="auto"/>
          <w:spacing w:val="14"/>
          <w:sz w:val="24"/>
          <w:szCs w:val="24"/>
          <w:highlight w:val="none"/>
        </w:rPr>
        <w:t xml:space="preserve"> </w:t>
      </w:r>
      <w:r>
        <w:rPr>
          <w:rFonts w:ascii="微软雅黑" w:hAnsi="微软雅黑" w:eastAsia="微软雅黑" w:cs="微软雅黑"/>
          <w:color w:val="auto"/>
          <w:spacing w:val="-8"/>
          <w:sz w:val="24"/>
          <w:szCs w:val="24"/>
          <w:highlight w:val="none"/>
        </w:rPr>
        <w:t>答复质疑。</w:t>
      </w:r>
    </w:p>
    <w:p w14:paraId="3B1CB3DB">
      <w:pPr>
        <w:spacing w:before="5" w:line="183" w:lineRule="auto"/>
        <w:ind w:left="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38.2 质疑答复应当包括下列内容：</w:t>
      </w:r>
    </w:p>
    <w:p w14:paraId="153075A5">
      <w:pPr>
        <w:spacing w:before="258" w:line="221" w:lineRule="auto"/>
        <w:ind w:left="5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（一）质疑供应商的姓名或者名称；</w:t>
      </w:r>
    </w:p>
    <w:p w14:paraId="00705BA2">
      <w:pPr>
        <w:spacing w:before="284" w:line="183" w:lineRule="auto"/>
        <w:ind w:left="5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（二）收到质疑函的日期、质疑项目名称及编号；</w:t>
      </w:r>
    </w:p>
    <w:p w14:paraId="022C03BC">
      <w:pPr>
        <w:spacing w:before="303" w:line="183" w:lineRule="auto"/>
        <w:ind w:left="5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（三）质疑事项、质疑答复的具体内容、事实依据和法律依据；</w:t>
      </w:r>
    </w:p>
    <w:p w14:paraId="4C1AF5F6">
      <w:pPr>
        <w:spacing w:before="304" w:line="183" w:lineRule="auto"/>
        <w:ind w:left="5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（四）告知质疑供应商依法投诉的权利；</w:t>
      </w:r>
    </w:p>
    <w:p w14:paraId="2C5C2CD6">
      <w:pPr>
        <w:spacing w:before="303" w:line="183" w:lineRule="auto"/>
        <w:ind w:left="5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（五）质疑答复人名称；</w:t>
      </w:r>
    </w:p>
    <w:p w14:paraId="36402068">
      <w:pPr>
        <w:spacing w:before="304" w:line="183" w:lineRule="auto"/>
        <w:ind w:left="5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（六）答复质疑的日期。</w:t>
      </w:r>
    </w:p>
    <w:p w14:paraId="214F5CD1">
      <w:pPr>
        <w:spacing w:before="303" w:line="183" w:lineRule="auto"/>
        <w:ind w:left="51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质疑答复的内容不得涉及商业秘密。</w:t>
      </w:r>
    </w:p>
    <w:p w14:paraId="679FDBA6">
      <w:pPr>
        <w:spacing w:line="240" w:lineRule="auto"/>
        <w:ind w:left="0" w:firstLine="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39.</w:t>
      </w:r>
      <w:r>
        <w:rPr>
          <w:rFonts w:ascii="微软雅黑" w:hAnsi="微软雅黑" w:eastAsia="微软雅黑" w:cs="微软雅黑"/>
          <w:color w:val="auto"/>
          <w:spacing w:val="57"/>
          <w:sz w:val="24"/>
          <w:szCs w:val="24"/>
          <w:highlight w:val="none"/>
        </w:rPr>
        <w:t xml:space="preserve"> </w:t>
      </w:r>
      <w:r>
        <w:rPr>
          <w:rFonts w:ascii="微软雅黑" w:hAnsi="微软雅黑" w:eastAsia="微软雅黑" w:cs="微软雅黑"/>
          <w:color w:val="auto"/>
          <w:spacing w:val="3"/>
          <w:sz w:val="24"/>
          <w:szCs w:val="24"/>
          <w:highlight w:val="none"/>
        </w:rPr>
        <w:t>采购人、采购代理机构认为供应商质疑</w:t>
      </w:r>
      <w:r>
        <w:rPr>
          <w:rFonts w:ascii="微软雅黑" w:hAnsi="微软雅黑" w:eastAsia="微软雅黑" w:cs="微软雅黑"/>
          <w:color w:val="auto"/>
          <w:spacing w:val="2"/>
          <w:sz w:val="24"/>
          <w:szCs w:val="24"/>
          <w:highlight w:val="none"/>
        </w:rPr>
        <w:t>不成立，或者成立但未对中标、</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成交结果构成影响的，继续开展采购活动；认为供应商质疑成立且影响或者可能</w:t>
      </w:r>
      <w:r>
        <w:rPr>
          <w:rFonts w:ascii="微软雅黑" w:hAnsi="微软雅黑" w:eastAsia="微软雅黑" w:cs="微软雅黑"/>
          <w:color w:val="auto"/>
          <w:spacing w:val="4"/>
          <w:sz w:val="24"/>
          <w:szCs w:val="24"/>
          <w:highlight w:val="none"/>
        </w:rPr>
        <w:t xml:space="preserve">   </w:t>
      </w:r>
      <w:r>
        <w:rPr>
          <w:rFonts w:ascii="微软雅黑" w:hAnsi="微软雅黑" w:eastAsia="微软雅黑" w:cs="微软雅黑"/>
          <w:color w:val="auto"/>
          <w:spacing w:val="-3"/>
          <w:sz w:val="24"/>
          <w:szCs w:val="24"/>
          <w:highlight w:val="none"/>
        </w:rPr>
        <w:t>影响中标、成交结果的，按照下列情况处理：</w:t>
      </w:r>
    </w:p>
    <w:p w14:paraId="4E1F6567">
      <w:pPr>
        <w:spacing w:line="240" w:lineRule="auto"/>
        <w:ind w:left="0" w:right="0" w:firstLine="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39.1 对采购文件提出的质疑，依法通过澄</w:t>
      </w:r>
      <w:r>
        <w:rPr>
          <w:rFonts w:ascii="微软雅黑" w:hAnsi="微软雅黑" w:eastAsia="微软雅黑" w:cs="微软雅黑"/>
          <w:color w:val="auto"/>
          <w:spacing w:val="1"/>
          <w:sz w:val="24"/>
          <w:szCs w:val="24"/>
          <w:highlight w:val="none"/>
        </w:rPr>
        <w:t>清或者修改可以继续开展采购活</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动的，澄清或者修改采购文件后继续开展采购活动；否则应当修改采购文件后重</w:t>
      </w:r>
      <w:r>
        <w:rPr>
          <w:rFonts w:ascii="微软雅黑" w:hAnsi="微软雅黑" w:eastAsia="微软雅黑" w:cs="微软雅黑"/>
          <w:color w:val="auto"/>
          <w:spacing w:val="12"/>
          <w:sz w:val="24"/>
          <w:szCs w:val="24"/>
          <w:highlight w:val="none"/>
        </w:rPr>
        <w:t xml:space="preserve"> </w:t>
      </w:r>
      <w:r>
        <w:rPr>
          <w:rFonts w:ascii="微软雅黑" w:hAnsi="微软雅黑" w:eastAsia="微软雅黑" w:cs="微软雅黑"/>
          <w:color w:val="auto"/>
          <w:spacing w:val="-6"/>
          <w:sz w:val="24"/>
          <w:szCs w:val="24"/>
          <w:highlight w:val="none"/>
        </w:rPr>
        <w:t>新开展采购活动。</w:t>
      </w:r>
    </w:p>
    <w:p w14:paraId="43CF397E">
      <w:pPr>
        <w:spacing w:line="240" w:lineRule="auto"/>
        <w:ind w:left="0" w:right="0" w:firstLine="0"/>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39.2 对采购过程、中标或者成交结果提出</w:t>
      </w:r>
      <w:r>
        <w:rPr>
          <w:rFonts w:ascii="微软雅黑" w:hAnsi="微软雅黑" w:eastAsia="微软雅黑" w:cs="微软雅黑"/>
          <w:color w:val="auto"/>
          <w:spacing w:val="1"/>
          <w:sz w:val="24"/>
          <w:szCs w:val="24"/>
          <w:highlight w:val="none"/>
        </w:rPr>
        <w:t>的质疑，合格供应商符合法定数</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6"/>
          <w:sz w:val="24"/>
          <w:szCs w:val="24"/>
          <w:highlight w:val="none"/>
        </w:rPr>
        <w:t>量时，可以从合格的中标或者成交候选人中另行确定中标</w:t>
      </w:r>
      <w:r>
        <w:rPr>
          <w:rFonts w:ascii="微软雅黑" w:hAnsi="微软雅黑" w:eastAsia="微软雅黑" w:cs="微软雅黑"/>
          <w:color w:val="auto"/>
          <w:spacing w:val="-7"/>
          <w:sz w:val="24"/>
          <w:szCs w:val="24"/>
          <w:highlight w:val="none"/>
        </w:rPr>
        <w:t>、成交供应商的，  应当</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依法另行确定中标、成交供应商；否则应当重新开展采购活动。</w:t>
      </w:r>
    </w:p>
    <w:p w14:paraId="31024B56">
      <w:pPr>
        <w:spacing w:before="5" w:line="183" w:lineRule="auto"/>
        <w:ind w:left="510"/>
        <w:rPr>
          <w:rFonts w:ascii="Arial"/>
          <w:color w:val="auto"/>
          <w:sz w:val="21"/>
          <w:highlight w:val="none"/>
        </w:rPr>
      </w:pPr>
      <w:r>
        <w:rPr>
          <w:rFonts w:ascii="微软雅黑" w:hAnsi="微软雅黑" w:eastAsia="微软雅黑" w:cs="微软雅黑"/>
          <w:color w:val="auto"/>
          <w:spacing w:val="-5"/>
          <w:sz w:val="24"/>
          <w:szCs w:val="24"/>
          <w:highlight w:val="none"/>
        </w:rPr>
        <w:t>质疑答复导致中标、成交结果改变的， 采购人或者采购代理机构应当将有关</w:t>
      </w:r>
    </w:p>
    <w:p w14:paraId="78E6AFF7">
      <w:pPr>
        <w:spacing w:before="103" w:line="183" w:lineRule="auto"/>
        <w:ind w:left="32"/>
        <w:rPr>
          <w:rFonts w:ascii="微软雅黑" w:hAnsi="微软雅黑" w:eastAsia="微软雅黑" w:cs="微软雅黑"/>
          <w:color w:val="auto"/>
          <w:spacing w:val="-4"/>
          <w:sz w:val="24"/>
          <w:szCs w:val="24"/>
          <w:highlight w:val="none"/>
        </w:rPr>
      </w:pPr>
      <w:r>
        <w:rPr>
          <w:rFonts w:ascii="微软雅黑" w:hAnsi="微软雅黑" w:eastAsia="微软雅黑" w:cs="微软雅黑"/>
          <w:color w:val="auto"/>
          <w:spacing w:val="-4"/>
          <w:sz w:val="24"/>
          <w:szCs w:val="24"/>
          <w:highlight w:val="none"/>
        </w:rPr>
        <w:t>情况书面报告本级财政部门。</w:t>
      </w:r>
    </w:p>
    <w:p w14:paraId="6A39187C">
      <w:pPr>
        <w:spacing w:before="103" w:line="183" w:lineRule="auto"/>
        <w:ind w:left="32"/>
        <w:rPr>
          <w:rFonts w:ascii="微软雅黑" w:hAnsi="微软雅黑" w:eastAsia="微软雅黑" w:cs="微软雅黑"/>
          <w:color w:val="auto"/>
          <w:spacing w:val="-4"/>
          <w:sz w:val="24"/>
          <w:szCs w:val="24"/>
          <w:highlight w:val="none"/>
        </w:rPr>
      </w:pPr>
    </w:p>
    <w:p w14:paraId="5BE6894D">
      <w:pPr>
        <w:spacing w:before="103" w:line="183" w:lineRule="auto"/>
        <w:ind w:left="32"/>
        <w:rPr>
          <w:rFonts w:ascii="微软雅黑" w:hAnsi="微软雅黑" w:eastAsia="微软雅黑" w:cs="微软雅黑"/>
          <w:color w:val="auto"/>
          <w:spacing w:val="-4"/>
          <w:sz w:val="24"/>
          <w:szCs w:val="24"/>
          <w:highlight w:val="none"/>
        </w:rPr>
      </w:pPr>
    </w:p>
    <w:p w14:paraId="775CED96">
      <w:pPr>
        <w:spacing w:before="103" w:line="183" w:lineRule="auto"/>
        <w:ind w:left="32"/>
        <w:rPr>
          <w:rFonts w:ascii="微软雅黑" w:hAnsi="微软雅黑" w:eastAsia="微软雅黑" w:cs="微软雅黑"/>
          <w:color w:val="auto"/>
          <w:spacing w:val="-4"/>
          <w:sz w:val="24"/>
          <w:szCs w:val="24"/>
          <w:highlight w:val="none"/>
        </w:rPr>
      </w:pPr>
    </w:p>
    <w:p w14:paraId="09068930">
      <w:pPr>
        <w:spacing w:before="103" w:line="183" w:lineRule="auto"/>
        <w:ind w:left="32"/>
        <w:rPr>
          <w:rFonts w:ascii="微软雅黑" w:hAnsi="微软雅黑" w:eastAsia="微软雅黑" w:cs="微软雅黑"/>
          <w:color w:val="auto"/>
          <w:spacing w:val="-4"/>
          <w:sz w:val="24"/>
          <w:szCs w:val="24"/>
          <w:highlight w:val="none"/>
        </w:rPr>
      </w:pPr>
    </w:p>
    <w:p w14:paraId="47A54601">
      <w:pPr>
        <w:spacing w:before="103" w:line="183" w:lineRule="auto"/>
        <w:ind w:left="32"/>
        <w:rPr>
          <w:rFonts w:ascii="微软雅黑" w:hAnsi="微软雅黑" w:eastAsia="微软雅黑" w:cs="微软雅黑"/>
          <w:color w:val="auto"/>
          <w:spacing w:val="-4"/>
          <w:sz w:val="24"/>
          <w:szCs w:val="24"/>
          <w:highlight w:val="none"/>
        </w:rPr>
      </w:pPr>
    </w:p>
    <w:p w14:paraId="37583A88">
      <w:pPr>
        <w:spacing w:before="103" w:line="183" w:lineRule="auto"/>
        <w:ind w:left="32"/>
        <w:rPr>
          <w:rFonts w:ascii="微软雅黑" w:hAnsi="微软雅黑" w:eastAsia="微软雅黑" w:cs="微软雅黑"/>
          <w:color w:val="auto"/>
          <w:spacing w:val="-4"/>
          <w:sz w:val="24"/>
          <w:szCs w:val="24"/>
          <w:highlight w:val="none"/>
        </w:rPr>
      </w:pPr>
    </w:p>
    <w:p w14:paraId="1A37AB72">
      <w:pPr>
        <w:spacing w:line="278" w:lineRule="auto"/>
        <w:rPr>
          <w:rFonts w:ascii="Arial"/>
          <w:color w:val="auto"/>
          <w:sz w:val="21"/>
          <w:highlight w:val="none"/>
        </w:rPr>
      </w:pPr>
    </w:p>
    <w:p w14:paraId="2EF08926">
      <w:pPr>
        <w:spacing w:line="279" w:lineRule="auto"/>
        <w:rPr>
          <w:rFonts w:ascii="Arial"/>
          <w:color w:val="auto"/>
          <w:sz w:val="21"/>
          <w:highlight w:val="none"/>
        </w:rPr>
      </w:pPr>
    </w:p>
    <w:p w14:paraId="4C48ACF0">
      <w:pPr>
        <w:pStyle w:val="2"/>
        <w:spacing w:before="78" w:line="219" w:lineRule="auto"/>
        <w:ind w:left="3592"/>
        <w:outlineLvl w:val="1"/>
        <w:rPr>
          <w:b/>
          <w:bCs/>
          <w:color w:val="auto"/>
          <w:spacing w:val="-4"/>
          <w:sz w:val="24"/>
          <w:szCs w:val="24"/>
          <w:highlight w:val="none"/>
        </w:rPr>
      </w:pPr>
    </w:p>
    <w:p w14:paraId="57D9A224">
      <w:pPr>
        <w:pStyle w:val="2"/>
        <w:spacing w:before="78" w:line="219" w:lineRule="auto"/>
        <w:ind w:left="3592"/>
        <w:outlineLvl w:val="1"/>
        <w:rPr>
          <w:b/>
          <w:bCs/>
          <w:color w:val="auto"/>
          <w:spacing w:val="-4"/>
          <w:sz w:val="24"/>
          <w:szCs w:val="24"/>
          <w:highlight w:val="none"/>
        </w:rPr>
      </w:pPr>
    </w:p>
    <w:p w14:paraId="07283534">
      <w:pPr>
        <w:pStyle w:val="2"/>
        <w:spacing w:before="78" w:line="219" w:lineRule="auto"/>
        <w:ind w:left="3592"/>
        <w:outlineLvl w:val="1"/>
        <w:rPr>
          <w:b/>
          <w:bCs/>
          <w:color w:val="auto"/>
          <w:spacing w:val="-4"/>
          <w:sz w:val="24"/>
          <w:szCs w:val="24"/>
          <w:highlight w:val="none"/>
        </w:rPr>
      </w:pPr>
    </w:p>
    <w:p w14:paraId="7A588680">
      <w:pPr>
        <w:pStyle w:val="2"/>
        <w:spacing w:before="78" w:line="219" w:lineRule="auto"/>
        <w:ind w:left="3592"/>
        <w:outlineLvl w:val="1"/>
        <w:rPr>
          <w:b/>
          <w:bCs/>
          <w:color w:val="auto"/>
          <w:spacing w:val="-4"/>
          <w:sz w:val="24"/>
          <w:szCs w:val="24"/>
          <w:highlight w:val="none"/>
        </w:rPr>
      </w:pPr>
    </w:p>
    <w:p w14:paraId="51AD6E14">
      <w:pPr>
        <w:pStyle w:val="2"/>
        <w:spacing w:before="78" w:line="219" w:lineRule="auto"/>
        <w:ind w:left="3592"/>
        <w:outlineLvl w:val="1"/>
        <w:rPr>
          <w:b/>
          <w:bCs/>
          <w:color w:val="auto"/>
          <w:spacing w:val="-4"/>
          <w:sz w:val="24"/>
          <w:szCs w:val="24"/>
          <w:highlight w:val="none"/>
        </w:rPr>
      </w:pPr>
    </w:p>
    <w:p w14:paraId="14DCC740">
      <w:pPr>
        <w:pStyle w:val="2"/>
        <w:spacing w:before="78" w:line="219" w:lineRule="auto"/>
        <w:ind w:left="3592"/>
        <w:outlineLvl w:val="1"/>
        <w:rPr>
          <w:b/>
          <w:bCs/>
          <w:color w:val="auto"/>
          <w:spacing w:val="-4"/>
          <w:sz w:val="24"/>
          <w:szCs w:val="24"/>
          <w:highlight w:val="none"/>
        </w:rPr>
      </w:pPr>
    </w:p>
    <w:p w14:paraId="19693D55">
      <w:pPr>
        <w:pStyle w:val="2"/>
        <w:spacing w:before="78" w:line="219" w:lineRule="auto"/>
        <w:ind w:left="3592"/>
        <w:outlineLvl w:val="1"/>
        <w:rPr>
          <w:b/>
          <w:bCs/>
          <w:color w:val="auto"/>
          <w:spacing w:val="-4"/>
          <w:sz w:val="24"/>
          <w:szCs w:val="24"/>
          <w:highlight w:val="none"/>
        </w:rPr>
      </w:pPr>
    </w:p>
    <w:p w14:paraId="24290198">
      <w:pPr>
        <w:pStyle w:val="2"/>
        <w:spacing w:before="78" w:line="219" w:lineRule="auto"/>
        <w:ind w:left="3592"/>
        <w:outlineLvl w:val="1"/>
        <w:rPr>
          <w:b/>
          <w:bCs/>
          <w:color w:val="auto"/>
          <w:spacing w:val="-4"/>
          <w:sz w:val="24"/>
          <w:szCs w:val="24"/>
          <w:highlight w:val="none"/>
        </w:rPr>
      </w:pPr>
    </w:p>
    <w:p w14:paraId="770855C0">
      <w:pPr>
        <w:pStyle w:val="2"/>
        <w:spacing w:before="78" w:line="219" w:lineRule="auto"/>
        <w:ind w:left="3592"/>
        <w:outlineLvl w:val="1"/>
        <w:rPr>
          <w:b/>
          <w:bCs/>
          <w:color w:val="auto"/>
          <w:spacing w:val="-4"/>
          <w:sz w:val="24"/>
          <w:szCs w:val="24"/>
          <w:highlight w:val="none"/>
        </w:rPr>
      </w:pPr>
    </w:p>
    <w:p w14:paraId="1781C114">
      <w:pPr>
        <w:pStyle w:val="2"/>
        <w:spacing w:before="78" w:line="219" w:lineRule="auto"/>
        <w:ind w:left="3592"/>
        <w:outlineLvl w:val="1"/>
        <w:rPr>
          <w:b/>
          <w:bCs/>
          <w:color w:val="auto"/>
          <w:spacing w:val="-4"/>
          <w:sz w:val="24"/>
          <w:szCs w:val="24"/>
          <w:highlight w:val="none"/>
        </w:rPr>
      </w:pPr>
    </w:p>
    <w:p w14:paraId="6179E2FE">
      <w:pPr>
        <w:pStyle w:val="2"/>
        <w:spacing w:before="78" w:line="219" w:lineRule="auto"/>
        <w:ind w:left="3592"/>
        <w:outlineLvl w:val="1"/>
        <w:rPr>
          <w:b/>
          <w:bCs/>
          <w:color w:val="auto"/>
          <w:spacing w:val="-4"/>
          <w:sz w:val="24"/>
          <w:szCs w:val="24"/>
          <w:highlight w:val="none"/>
        </w:rPr>
      </w:pPr>
    </w:p>
    <w:p w14:paraId="10CEE47C">
      <w:pPr>
        <w:pStyle w:val="2"/>
        <w:spacing w:before="78" w:line="219" w:lineRule="auto"/>
        <w:ind w:left="3592"/>
        <w:outlineLvl w:val="1"/>
        <w:rPr>
          <w:b/>
          <w:bCs/>
          <w:color w:val="auto"/>
          <w:spacing w:val="-4"/>
          <w:sz w:val="24"/>
          <w:szCs w:val="24"/>
          <w:highlight w:val="none"/>
        </w:rPr>
      </w:pPr>
    </w:p>
    <w:p w14:paraId="0FACFCF9">
      <w:pPr>
        <w:pStyle w:val="2"/>
        <w:spacing w:before="78" w:line="219" w:lineRule="auto"/>
        <w:ind w:left="3592"/>
        <w:outlineLvl w:val="1"/>
        <w:rPr>
          <w:b/>
          <w:bCs/>
          <w:color w:val="auto"/>
          <w:spacing w:val="-4"/>
          <w:sz w:val="24"/>
          <w:szCs w:val="24"/>
          <w:highlight w:val="none"/>
        </w:rPr>
      </w:pPr>
    </w:p>
    <w:p w14:paraId="3F8D8BA3">
      <w:pPr>
        <w:pStyle w:val="2"/>
        <w:spacing w:before="78" w:line="219" w:lineRule="auto"/>
        <w:ind w:left="3592"/>
        <w:outlineLvl w:val="1"/>
        <w:rPr>
          <w:b/>
          <w:bCs/>
          <w:color w:val="auto"/>
          <w:spacing w:val="-4"/>
          <w:sz w:val="24"/>
          <w:szCs w:val="24"/>
          <w:highlight w:val="none"/>
        </w:rPr>
      </w:pPr>
    </w:p>
    <w:p w14:paraId="22358C4F">
      <w:pPr>
        <w:pStyle w:val="2"/>
        <w:spacing w:before="78" w:line="219" w:lineRule="auto"/>
        <w:ind w:left="3592"/>
        <w:outlineLvl w:val="1"/>
        <w:rPr>
          <w:b/>
          <w:bCs/>
          <w:color w:val="auto"/>
          <w:spacing w:val="-4"/>
          <w:sz w:val="24"/>
          <w:szCs w:val="24"/>
          <w:highlight w:val="none"/>
        </w:rPr>
      </w:pPr>
    </w:p>
    <w:p w14:paraId="5BB6B7F0">
      <w:pPr>
        <w:pStyle w:val="2"/>
        <w:spacing w:before="78" w:line="219" w:lineRule="auto"/>
        <w:ind w:left="3592"/>
        <w:outlineLvl w:val="1"/>
        <w:rPr>
          <w:b/>
          <w:bCs/>
          <w:color w:val="auto"/>
          <w:spacing w:val="-4"/>
          <w:sz w:val="24"/>
          <w:szCs w:val="24"/>
          <w:highlight w:val="none"/>
        </w:rPr>
      </w:pPr>
    </w:p>
    <w:p w14:paraId="605DA9C8">
      <w:pPr>
        <w:pStyle w:val="2"/>
        <w:spacing w:before="78" w:line="219" w:lineRule="auto"/>
        <w:ind w:left="3592"/>
        <w:outlineLvl w:val="1"/>
        <w:rPr>
          <w:b/>
          <w:bCs/>
          <w:color w:val="auto"/>
          <w:spacing w:val="-4"/>
          <w:sz w:val="24"/>
          <w:szCs w:val="24"/>
          <w:highlight w:val="none"/>
        </w:rPr>
      </w:pPr>
    </w:p>
    <w:p w14:paraId="528E3885">
      <w:pPr>
        <w:pStyle w:val="2"/>
        <w:spacing w:before="78" w:line="219" w:lineRule="auto"/>
        <w:ind w:left="3592"/>
        <w:outlineLvl w:val="1"/>
        <w:rPr>
          <w:b/>
          <w:bCs/>
          <w:color w:val="auto"/>
          <w:spacing w:val="-4"/>
          <w:sz w:val="24"/>
          <w:szCs w:val="24"/>
          <w:highlight w:val="none"/>
        </w:rPr>
      </w:pPr>
    </w:p>
    <w:p w14:paraId="56691A55">
      <w:pPr>
        <w:pStyle w:val="2"/>
        <w:spacing w:before="78" w:line="219" w:lineRule="auto"/>
        <w:ind w:left="3592"/>
        <w:outlineLvl w:val="1"/>
        <w:rPr>
          <w:b/>
          <w:bCs/>
          <w:color w:val="auto"/>
          <w:spacing w:val="-4"/>
          <w:sz w:val="24"/>
          <w:szCs w:val="24"/>
          <w:highlight w:val="none"/>
        </w:rPr>
      </w:pPr>
    </w:p>
    <w:p w14:paraId="2B8A37ED">
      <w:pPr>
        <w:pStyle w:val="2"/>
        <w:spacing w:before="78" w:line="219" w:lineRule="auto"/>
        <w:ind w:left="3592"/>
        <w:outlineLvl w:val="1"/>
        <w:rPr>
          <w:b/>
          <w:bCs/>
          <w:color w:val="auto"/>
          <w:spacing w:val="-4"/>
          <w:sz w:val="24"/>
          <w:szCs w:val="24"/>
          <w:highlight w:val="none"/>
        </w:rPr>
      </w:pPr>
    </w:p>
    <w:p w14:paraId="734BAD40">
      <w:pPr>
        <w:pStyle w:val="2"/>
        <w:spacing w:before="78" w:line="219" w:lineRule="auto"/>
        <w:ind w:left="3592"/>
        <w:outlineLvl w:val="1"/>
        <w:rPr>
          <w:b/>
          <w:bCs/>
          <w:color w:val="auto"/>
          <w:spacing w:val="-4"/>
          <w:sz w:val="24"/>
          <w:szCs w:val="24"/>
          <w:highlight w:val="none"/>
        </w:rPr>
      </w:pPr>
    </w:p>
    <w:p w14:paraId="45FAFAE4">
      <w:pPr>
        <w:pStyle w:val="2"/>
        <w:spacing w:before="78" w:line="219" w:lineRule="auto"/>
        <w:ind w:left="3592"/>
        <w:outlineLvl w:val="1"/>
        <w:rPr>
          <w:b/>
          <w:bCs/>
          <w:color w:val="auto"/>
          <w:spacing w:val="-4"/>
          <w:sz w:val="24"/>
          <w:szCs w:val="24"/>
          <w:highlight w:val="none"/>
        </w:rPr>
      </w:pPr>
    </w:p>
    <w:p w14:paraId="7844BAC2">
      <w:pPr>
        <w:pStyle w:val="2"/>
        <w:spacing w:before="78" w:line="219" w:lineRule="auto"/>
        <w:ind w:left="3592"/>
        <w:outlineLvl w:val="1"/>
        <w:rPr>
          <w:b/>
          <w:bCs/>
          <w:color w:val="auto"/>
          <w:spacing w:val="-4"/>
          <w:sz w:val="24"/>
          <w:szCs w:val="24"/>
          <w:highlight w:val="none"/>
        </w:rPr>
      </w:pPr>
    </w:p>
    <w:p w14:paraId="53ADF90E">
      <w:pPr>
        <w:pStyle w:val="2"/>
        <w:spacing w:before="78" w:line="219" w:lineRule="auto"/>
        <w:ind w:left="3592"/>
        <w:outlineLvl w:val="1"/>
        <w:rPr>
          <w:b/>
          <w:bCs/>
          <w:color w:val="auto"/>
          <w:spacing w:val="-4"/>
          <w:sz w:val="24"/>
          <w:szCs w:val="24"/>
          <w:highlight w:val="none"/>
        </w:rPr>
      </w:pPr>
    </w:p>
    <w:p w14:paraId="61CE101E">
      <w:pPr>
        <w:pStyle w:val="2"/>
        <w:spacing w:before="78" w:line="219" w:lineRule="auto"/>
        <w:ind w:left="3592"/>
        <w:outlineLvl w:val="1"/>
        <w:rPr>
          <w:color w:val="auto"/>
          <w:sz w:val="24"/>
          <w:szCs w:val="24"/>
          <w:highlight w:val="none"/>
        </w:rPr>
      </w:pPr>
      <w:r>
        <w:rPr>
          <w:b/>
          <w:bCs/>
          <w:color w:val="auto"/>
          <w:spacing w:val="-4"/>
          <w:sz w:val="24"/>
          <w:szCs w:val="24"/>
          <w:highlight w:val="none"/>
        </w:rPr>
        <w:t>质疑函范本</w:t>
      </w:r>
    </w:p>
    <w:p w14:paraId="2FC6A74B">
      <w:pPr>
        <w:pStyle w:val="2"/>
        <w:spacing w:before="75" w:line="219" w:lineRule="auto"/>
        <w:ind w:left="42"/>
        <w:rPr>
          <w:color w:val="auto"/>
          <w:sz w:val="24"/>
          <w:szCs w:val="24"/>
          <w:highlight w:val="none"/>
        </w:rPr>
      </w:pPr>
      <w:r>
        <w:rPr>
          <w:color w:val="auto"/>
          <w:spacing w:val="-3"/>
          <w:sz w:val="24"/>
          <w:szCs w:val="24"/>
          <w:highlight w:val="none"/>
        </w:rPr>
        <w:t>一、质疑供应商基本信息</w:t>
      </w:r>
    </w:p>
    <w:p w14:paraId="418FEA64">
      <w:pPr>
        <w:pStyle w:val="2"/>
        <w:spacing w:before="75" w:line="219" w:lineRule="auto"/>
        <w:ind w:left="39"/>
        <w:rPr>
          <w:color w:val="auto"/>
          <w:sz w:val="24"/>
          <w:szCs w:val="24"/>
          <w:highlight w:val="none"/>
        </w:rPr>
      </w:pPr>
      <w:r>
        <w:rPr>
          <w:color w:val="auto"/>
          <w:spacing w:val="-2"/>
          <w:sz w:val="24"/>
          <w:szCs w:val="24"/>
          <w:highlight w:val="none"/>
        </w:rPr>
        <w:t>质疑供应商：</w:t>
      </w:r>
      <w:r>
        <w:rPr>
          <w:color w:val="auto"/>
          <w:position w:val="-3"/>
          <w:sz w:val="24"/>
          <w:szCs w:val="24"/>
          <w:highlight w:val="none"/>
        </w:rPr>
        <w:drawing>
          <wp:inline distT="0" distB="0" distL="0" distR="0">
            <wp:extent cx="3048000"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9"/>
                    <a:stretch>
                      <a:fillRect/>
                    </a:stretch>
                  </pic:blipFill>
                  <pic:spPr>
                    <a:xfrm>
                      <a:off x="0" y="0"/>
                      <a:ext cx="3048000" cy="7620"/>
                    </a:xfrm>
                    <a:prstGeom prst="rect">
                      <a:avLst/>
                    </a:prstGeom>
                  </pic:spPr>
                </pic:pic>
              </a:graphicData>
            </a:graphic>
          </wp:inline>
        </w:drawing>
      </w:r>
    </w:p>
    <w:p w14:paraId="2253A88F">
      <w:pPr>
        <w:pStyle w:val="2"/>
        <w:spacing w:before="75" w:line="219" w:lineRule="auto"/>
        <w:ind w:left="38"/>
        <w:rPr>
          <w:color w:val="auto"/>
          <w:sz w:val="24"/>
          <w:szCs w:val="24"/>
          <w:highlight w:val="none"/>
        </w:rPr>
      </w:pPr>
      <w:r>
        <w:rPr>
          <w:color w:val="auto"/>
          <w:spacing w:val="-7"/>
          <w:sz w:val="24"/>
          <w:szCs w:val="24"/>
          <w:highlight w:val="none"/>
        </w:rPr>
        <w:t>地址：</w:t>
      </w:r>
      <w:r>
        <w:rPr>
          <w:color w:val="auto"/>
          <w:position w:val="-3"/>
          <w:sz w:val="24"/>
          <w:szCs w:val="24"/>
          <w:highlight w:val="none"/>
        </w:rPr>
        <w:drawing>
          <wp:inline distT="0" distB="0" distL="0" distR="0">
            <wp:extent cx="1981200"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0"/>
                    <a:stretch>
                      <a:fillRect/>
                    </a:stretch>
                  </pic:blipFill>
                  <pic:spPr>
                    <a:xfrm>
                      <a:off x="0" y="0"/>
                      <a:ext cx="1981200" cy="7620"/>
                    </a:xfrm>
                    <a:prstGeom prst="rect">
                      <a:avLst/>
                    </a:prstGeom>
                  </pic:spPr>
                </pic:pic>
              </a:graphicData>
            </a:graphic>
          </wp:inline>
        </w:drawing>
      </w:r>
      <w:r>
        <w:rPr>
          <w:color w:val="auto"/>
          <w:spacing w:val="-89"/>
          <w:sz w:val="24"/>
          <w:szCs w:val="24"/>
          <w:highlight w:val="none"/>
        </w:rPr>
        <w:t xml:space="preserve"> </w:t>
      </w:r>
      <w:r>
        <w:rPr>
          <w:color w:val="auto"/>
          <w:spacing w:val="-7"/>
          <w:sz w:val="24"/>
          <w:szCs w:val="24"/>
          <w:highlight w:val="none"/>
        </w:rPr>
        <w:t>邮编：</w:t>
      </w:r>
      <w:r>
        <w:rPr>
          <w:color w:val="auto"/>
          <w:position w:val="-3"/>
          <w:sz w:val="24"/>
          <w:szCs w:val="24"/>
          <w:highlight w:val="none"/>
        </w:rPr>
        <w:drawing>
          <wp:inline distT="0" distB="0" distL="0" distR="0">
            <wp:extent cx="2382520"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1"/>
                    <a:stretch>
                      <a:fillRect/>
                    </a:stretch>
                  </pic:blipFill>
                  <pic:spPr>
                    <a:xfrm>
                      <a:off x="0" y="0"/>
                      <a:ext cx="2382520" cy="7620"/>
                    </a:xfrm>
                    <a:prstGeom prst="rect">
                      <a:avLst/>
                    </a:prstGeom>
                  </pic:spPr>
                </pic:pic>
              </a:graphicData>
            </a:graphic>
          </wp:inline>
        </w:drawing>
      </w:r>
    </w:p>
    <w:p w14:paraId="27896839">
      <w:pPr>
        <w:pStyle w:val="2"/>
        <w:spacing w:before="75" w:line="219" w:lineRule="auto"/>
        <w:ind w:left="39"/>
        <w:rPr>
          <w:color w:val="auto"/>
          <w:sz w:val="24"/>
          <w:szCs w:val="24"/>
          <w:highlight w:val="none"/>
        </w:rPr>
      </w:pPr>
      <w:r>
        <w:rPr>
          <w:color w:val="auto"/>
          <w:spacing w:val="-3"/>
          <w:sz w:val="24"/>
          <w:szCs w:val="24"/>
          <w:highlight w:val="none"/>
        </w:rPr>
        <w:t>联系人：</w:t>
      </w:r>
      <w:r>
        <w:rPr>
          <w:color w:val="auto"/>
          <w:position w:val="-3"/>
          <w:sz w:val="24"/>
          <w:szCs w:val="24"/>
          <w:highlight w:val="none"/>
        </w:rPr>
        <w:drawing>
          <wp:inline distT="0" distB="0" distL="0" distR="0">
            <wp:extent cx="1676400" cy="762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2"/>
                    <a:stretch>
                      <a:fillRect/>
                    </a:stretch>
                  </pic:blipFill>
                  <pic:spPr>
                    <a:xfrm>
                      <a:off x="0" y="0"/>
                      <a:ext cx="1676400" cy="7620"/>
                    </a:xfrm>
                    <a:prstGeom prst="rect">
                      <a:avLst/>
                    </a:prstGeom>
                  </pic:spPr>
                </pic:pic>
              </a:graphicData>
            </a:graphic>
          </wp:inline>
        </w:drawing>
      </w:r>
      <w:r>
        <w:rPr>
          <w:color w:val="auto"/>
          <w:spacing w:val="-105"/>
          <w:sz w:val="24"/>
          <w:szCs w:val="24"/>
          <w:highlight w:val="none"/>
        </w:rPr>
        <w:t xml:space="preserve"> </w:t>
      </w:r>
      <w:r>
        <w:rPr>
          <w:color w:val="auto"/>
          <w:spacing w:val="-3"/>
          <w:sz w:val="24"/>
          <w:szCs w:val="24"/>
          <w:highlight w:val="none"/>
        </w:rPr>
        <w:t>联系电话：</w:t>
      </w:r>
      <w:r>
        <w:rPr>
          <w:color w:val="auto"/>
          <w:position w:val="-3"/>
          <w:sz w:val="24"/>
          <w:szCs w:val="24"/>
          <w:highlight w:val="none"/>
        </w:rPr>
        <w:drawing>
          <wp:inline distT="0" distB="0" distL="0" distR="0">
            <wp:extent cx="2230120" cy="76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43"/>
                    <a:stretch>
                      <a:fillRect/>
                    </a:stretch>
                  </pic:blipFill>
                  <pic:spPr>
                    <a:xfrm>
                      <a:off x="0" y="0"/>
                      <a:ext cx="2230120" cy="7620"/>
                    </a:xfrm>
                    <a:prstGeom prst="rect">
                      <a:avLst/>
                    </a:prstGeom>
                  </pic:spPr>
                </pic:pic>
              </a:graphicData>
            </a:graphic>
          </wp:inline>
        </w:drawing>
      </w:r>
    </w:p>
    <w:p w14:paraId="7CF2BE3F">
      <w:pPr>
        <w:pStyle w:val="2"/>
        <w:spacing w:before="76" w:line="219" w:lineRule="auto"/>
        <w:ind w:left="37"/>
        <w:rPr>
          <w:color w:val="auto"/>
          <w:sz w:val="24"/>
          <w:szCs w:val="24"/>
          <w:highlight w:val="none"/>
        </w:rPr>
      </w:pPr>
      <w:r>
        <w:rPr>
          <w:color w:val="auto"/>
          <w:spacing w:val="-2"/>
          <w:sz w:val="24"/>
          <w:szCs w:val="24"/>
          <w:highlight w:val="none"/>
        </w:rPr>
        <w:t>授权代表：</w:t>
      </w:r>
      <w:r>
        <w:rPr>
          <w:color w:val="auto"/>
          <w:position w:val="-3"/>
          <w:sz w:val="24"/>
          <w:szCs w:val="24"/>
          <w:highlight w:val="none"/>
        </w:rPr>
        <w:drawing>
          <wp:inline distT="0" distB="0" distL="0" distR="0">
            <wp:extent cx="3200400" cy="76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44"/>
                    <a:stretch>
                      <a:fillRect/>
                    </a:stretch>
                  </pic:blipFill>
                  <pic:spPr>
                    <a:xfrm>
                      <a:off x="0" y="0"/>
                      <a:ext cx="3200400" cy="7620"/>
                    </a:xfrm>
                    <a:prstGeom prst="rect">
                      <a:avLst/>
                    </a:prstGeom>
                  </pic:spPr>
                </pic:pic>
              </a:graphicData>
            </a:graphic>
          </wp:inline>
        </w:drawing>
      </w:r>
    </w:p>
    <w:p w14:paraId="0DA62FE5">
      <w:pPr>
        <w:pStyle w:val="2"/>
        <w:spacing w:before="75" w:line="219" w:lineRule="auto"/>
        <w:ind w:left="39"/>
        <w:rPr>
          <w:color w:val="auto"/>
          <w:sz w:val="24"/>
          <w:szCs w:val="24"/>
          <w:highlight w:val="none"/>
        </w:rPr>
      </w:pPr>
      <w:r>
        <w:rPr>
          <w:color w:val="auto"/>
          <w:spacing w:val="-3"/>
          <w:sz w:val="24"/>
          <w:szCs w:val="24"/>
          <w:highlight w:val="none"/>
        </w:rPr>
        <w:t>联系电话：</w:t>
      </w:r>
      <w:r>
        <w:rPr>
          <w:color w:val="auto"/>
          <w:position w:val="-3"/>
          <w:sz w:val="24"/>
          <w:szCs w:val="24"/>
          <w:highlight w:val="none"/>
        </w:rPr>
        <w:drawing>
          <wp:inline distT="0" distB="0" distL="0" distR="0">
            <wp:extent cx="3276600" cy="76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45"/>
                    <a:stretch>
                      <a:fillRect/>
                    </a:stretch>
                  </pic:blipFill>
                  <pic:spPr>
                    <a:xfrm>
                      <a:off x="0" y="0"/>
                      <a:ext cx="3276600" cy="7620"/>
                    </a:xfrm>
                    <a:prstGeom prst="rect">
                      <a:avLst/>
                    </a:prstGeom>
                  </pic:spPr>
                </pic:pic>
              </a:graphicData>
            </a:graphic>
          </wp:inline>
        </w:drawing>
      </w:r>
    </w:p>
    <w:p w14:paraId="65E38D57">
      <w:pPr>
        <w:pStyle w:val="2"/>
        <w:spacing w:before="75" w:line="219" w:lineRule="auto"/>
        <w:ind w:left="38"/>
        <w:rPr>
          <w:color w:val="auto"/>
          <w:sz w:val="24"/>
          <w:szCs w:val="24"/>
          <w:highlight w:val="none"/>
        </w:rPr>
      </w:pPr>
      <w:r>
        <w:rPr>
          <w:color w:val="auto"/>
          <w:spacing w:val="-6"/>
          <w:sz w:val="24"/>
          <w:szCs w:val="24"/>
          <w:highlight w:val="none"/>
        </w:rPr>
        <w:t xml:space="preserve">地址： </w:t>
      </w:r>
      <w:r>
        <w:rPr>
          <w:color w:val="auto"/>
          <w:position w:val="-3"/>
          <w:sz w:val="24"/>
          <w:szCs w:val="24"/>
          <w:highlight w:val="none"/>
        </w:rPr>
        <w:drawing>
          <wp:inline distT="0" distB="0" distL="0" distR="0">
            <wp:extent cx="1828800"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6"/>
                    <a:stretch>
                      <a:fillRect/>
                    </a:stretch>
                  </pic:blipFill>
                  <pic:spPr>
                    <a:xfrm>
                      <a:off x="0" y="0"/>
                      <a:ext cx="1828800" cy="7620"/>
                    </a:xfrm>
                    <a:prstGeom prst="rect">
                      <a:avLst/>
                    </a:prstGeom>
                  </pic:spPr>
                </pic:pic>
              </a:graphicData>
            </a:graphic>
          </wp:inline>
        </w:drawing>
      </w:r>
      <w:r>
        <w:rPr>
          <w:color w:val="auto"/>
          <w:spacing w:val="-89"/>
          <w:sz w:val="24"/>
          <w:szCs w:val="24"/>
          <w:highlight w:val="none"/>
        </w:rPr>
        <w:t xml:space="preserve"> </w:t>
      </w:r>
      <w:r>
        <w:rPr>
          <w:color w:val="auto"/>
          <w:spacing w:val="-6"/>
          <w:sz w:val="24"/>
          <w:szCs w:val="24"/>
          <w:highlight w:val="none"/>
        </w:rPr>
        <w:t>邮编：</w:t>
      </w:r>
      <w:r>
        <w:rPr>
          <w:color w:val="auto"/>
          <w:position w:val="-3"/>
          <w:sz w:val="24"/>
          <w:szCs w:val="24"/>
          <w:highlight w:val="none"/>
        </w:rPr>
        <w:drawing>
          <wp:inline distT="0" distB="0" distL="0" distR="0">
            <wp:extent cx="2458720" cy="76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47"/>
                    <a:stretch>
                      <a:fillRect/>
                    </a:stretch>
                  </pic:blipFill>
                  <pic:spPr>
                    <a:xfrm>
                      <a:off x="0" y="0"/>
                      <a:ext cx="2458720" cy="7620"/>
                    </a:xfrm>
                    <a:prstGeom prst="rect">
                      <a:avLst/>
                    </a:prstGeom>
                  </pic:spPr>
                </pic:pic>
              </a:graphicData>
            </a:graphic>
          </wp:inline>
        </w:drawing>
      </w:r>
    </w:p>
    <w:p w14:paraId="45B410A6">
      <w:pPr>
        <w:pStyle w:val="2"/>
        <w:spacing w:before="75" w:line="219" w:lineRule="auto"/>
        <w:ind w:left="42"/>
        <w:rPr>
          <w:color w:val="auto"/>
          <w:sz w:val="24"/>
          <w:szCs w:val="24"/>
          <w:highlight w:val="none"/>
        </w:rPr>
      </w:pPr>
      <w:r>
        <w:rPr>
          <w:color w:val="auto"/>
          <w:spacing w:val="-2"/>
          <w:sz w:val="24"/>
          <w:szCs w:val="24"/>
          <w:highlight w:val="none"/>
        </w:rPr>
        <w:t>二、质疑项目基本情况</w:t>
      </w:r>
    </w:p>
    <w:p w14:paraId="3FA6F38F">
      <w:pPr>
        <w:pStyle w:val="2"/>
        <w:spacing w:before="76" w:line="219" w:lineRule="auto"/>
        <w:ind w:left="39"/>
        <w:rPr>
          <w:color w:val="auto"/>
          <w:sz w:val="24"/>
          <w:szCs w:val="24"/>
          <w:highlight w:val="none"/>
        </w:rPr>
      </w:pPr>
      <w:r>
        <w:rPr>
          <w:color w:val="auto"/>
          <w:spacing w:val="-2"/>
          <w:sz w:val="24"/>
          <w:szCs w:val="24"/>
          <w:highlight w:val="none"/>
        </w:rPr>
        <w:t>质疑项目的名称：</w:t>
      </w:r>
      <w:r>
        <w:rPr>
          <w:color w:val="auto"/>
          <w:position w:val="-3"/>
          <w:sz w:val="24"/>
          <w:szCs w:val="24"/>
          <w:highlight w:val="none"/>
        </w:rPr>
        <w:drawing>
          <wp:inline distT="0" distB="0" distL="0" distR="0">
            <wp:extent cx="2895600" cy="76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48"/>
                    <a:stretch>
                      <a:fillRect/>
                    </a:stretch>
                  </pic:blipFill>
                  <pic:spPr>
                    <a:xfrm>
                      <a:off x="0" y="0"/>
                      <a:ext cx="2895600" cy="7620"/>
                    </a:xfrm>
                    <a:prstGeom prst="rect">
                      <a:avLst/>
                    </a:prstGeom>
                  </pic:spPr>
                </pic:pic>
              </a:graphicData>
            </a:graphic>
          </wp:inline>
        </w:drawing>
      </w:r>
    </w:p>
    <w:p w14:paraId="522E17DE">
      <w:pPr>
        <w:pStyle w:val="2"/>
        <w:spacing w:before="75" w:line="219" w:lineRule="auto"/>
        <w:ind w:left="39"/>
        <w:rPr>
          <w:color w:val="auto"/>
          <w:sz w:val="24"/>
          <w:szCs w:val="24"/>
          <w:highlight w:val="none"/>
        </w:rPr>
      </w:pPr>
      <w:r>
        <w:rPr>
          <w:color w:val="auto"/>
          <w:spacing w:val="-2"/>
          <w:sz w:val="24"/>
          <w:szCs w:val="24"/>
          <w:highlight w:val="none"/>
        </w:rPr>
        <w:t>质疑项目的编号：</w:t>
      </w:r>
      <w:r>
        <w:rPr>
          <w:color w:val="auto"/>
          <w:position w:val="-3"/>
          <w:sz w:val="24"/>
          <w:szCs w:val="24"/>
          <w:highlight w:val="none"/>
        </w:rPr>
        <w:drawing>
          <wp:inline distT="0" distB="0" distL="0" distR="0">
            <wp:extent cx="1143000" cy="762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49"/>
                    <a:stretch>
                      <a:fillRect/>
                    </a:stretch>
                  </pic:blipFill>
                  <pic:spPr>
                    <a:xfrm>
                      <a:off x="0" y="0"/>
                      <a:ext cx="1143000" cy="7620"/>
                    </a:xfrm>
                    <a:prstGeom prst="rect">
                      <a:avLst/>
                    </a:prstGeom>
                  </pic:spPr>
                </pic:pic>
              </a:graphicData>
            </a:graphic>
          </wp:inline>
        </w:drawing>
      </w:r>
      <w:r>
        <w:rPr>
          <w:color w:val="auto"/>
          <w:spacing w:val="-108"/>
          <w:sz w:val="24"/>
          <w:szCs w:val="24"/>
          <w:highlight w:val="none"/>
        </w:rPr>
        <w:t xml:space="preserve"> </w:t>
      </w:r>
      <w:r>
        <w:rPr>
          <w:color w:val="auto"/>
          <w:spacing w:val="-2"/>
          <w:sz w:val="24"/>
          <w:szCs w:val="24"/>
          <w:highlight w:val="none"/>
        </w:rPr>
        <w:t>标项号：</w:t>
      </w:r>
      <w:r>
        <w:rPr>
          <w:color w:val="auto"/>
          <w:position w:val="-3"/>
          <w:sz w:val="24"/>
          <w:szCs w:val="24"/>
          <w:highlight w:val="none"/>
        </w:rPr>
        <w:drawing>
          <wp:inline distT="0" distB="0" distL="0" distR="0">
            <wp:extent cx="1295400"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50"/>
                    <a:stretch>
                      <a:fillRect/>
                    </a:stretch>
                  </pic:blipFill>
                  <pic:spPr>
                    <a:xfrm>
                      <a:off x="0" y="0"/>
                      <a:ext cx="1295400" cy="7620"/>
                    </a:xfrm>
                    <a:prstGeom prst="rect">
                      <a:avLst/>
                    </a:prstGeom>
                  </pic:spPr>
                </pic:pic>
              </a:graphicData>
            </a:graphic>
          </wp:inline>
        </w:drawing>
      </w:r>
    </w:p>
    <w:p w14:paraId="3B78F518">
      <w:pPr>
        <w:pStyle w:val="2"/>
        <w:spacing w:before="75" w:line="219" w:lineRule="auto"/>
        <w:ind w:left="37"/>
        <w:rPr>
          <w:color w:val="auto"/>
          <w:sz w:val="24"/>
          <w:szCs w:val="24"/>
          <w:highlight w:val="none"/>
        </w:rPr>
      </w:pPr>
      <w:r>
        <w:rPr>
          <w:color w:val="auto"/>
          <w:spacing w:val="-2"/>
          <w:sz w:val="24"/>
          <w:szCs w:val="24"/>
          <w:highlight w:val="none"/>
        </w:rPr>
        <w:t>采购人名称：</w:t>
      </w:r>
      <w:r>
        <w:rPr>
          <w:color w:val="auto"/>
          <w:position w:val="-3"/>
          <w:sz w:val="24"/>
          <w:szCs w:val="24"/>
          <w:highlight w:val="none"/>
        </w:rPr>
        <w:drawing>
          <wp:inline distT="0" distB="0" distL="0" distR="0">
            <wp:extent cx="3124200"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51"/>
                    <a:stretch>
                      <a:fillRect/>
                    </a:stretch>
                  </pic:blipFill>
                  <pic:spPr>
                    <a:xfrm>
                      <a:off x="0" y="0"/>
                      <a:ext cx="3124200" cy="7620"/>
                    </a:xfrm>
                    <a:prstGeom prst="rect">
                      <a:avLst/>
                    </a:prstGeom>
                  </pic:spPr>
                </pic:pic>
              </a:graphicData>
            </a:graphic>
          </wp:inline>
        </w:drawing>
      </w:r>
    </w:p>
    <w:p w14:paraId="61910088">
      <w:pPr>
        <w:pStyle w:val="2"/>
        <w:spacing w:before="76" w:line="219" w:lineRule="auto"/>
        <w:ind w:left="37"/>
        <w:rPr>
          <w:color w:val="auto"/>
          <w:sz w:val="24"/>
          <w:szCs w:val="24"/>
          <w:highlight w:val="none"/>
        </w:rPr>
      </w:pPr>
      <w:r>
        <w:rPr>
          <w:color w:val="auto"/>
          <w:spacing w:val="-1"/>
          <w:sz w:val="24"/>
          <w:szCs w:val="24"/>
          <w:highlight w:val="none"/>
        </w:rPr>
        <w:t>采购文件获取日期：</w:t>
      </w:r>
      <w:r>
        <w:rPr>
          <w:color w:val="auto"/>
          <w:position w:val="-3"/>
          <w:sz w:val="24"/>
          <w:szCs w:val="24"/>
          <w:highlight w:val="none"/>
        </w:rPr>
        <w:drawing>
          <wp:inline distT="0" distB="0" distL="0" distR="0">
            <wp:extent cx="3276600"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45"/>
                    <a:stretch>
                      <a:fillRect/>
                    </a:stretch>
                  </pic:blipFill>
                  <pic:spPr>
                    <a:xfrm>
                      <a:off x="0" y="0"/>
                      <a:ext cx="3276600" cy="7620"/>
                    </a:xfrm>
                    <a:prstGeom prst="rect">
                      <a:avLst/>
                    </a:prstGeom>
                  </pic:spPr>
                </pic:pic>
              </a:graphicData>
            </a:graphic>
          </wp:inline>
        </w:drawing>
      </w:r>
    </w:p>
    <w:p w14:paraId="03E5E881">
      <w:pPr>
        <w:pStyle w:val="2"/>
        <w:spacing w:before="74" w:line="220" w:lineRule="auto"/>
        <w:ind w:left="38"/>
        <w:rPr>
          <w:color w:val="auto"/>
          <w:sz w:val="24"/>
          <w:szCs w:val="24"/>
          <w:highlight w:val="none"/>
        </w:rPr>
      </w:pPr>
      <w:r>
        <w:rPr>
          <w:color w:val="auto"/>
          <w:spacing w:val="-1"/>
          <w:sz w:val="24"/>
          <w:szCs w:val="24"/>
          <w:highlight w:val="none"/>
        </w:rPr>
        <w:t>三、质疑事项具体内容</w:t>
      </w:r>
    </w:p>
    <w:p w14:paraId="16DA74B2">
      <w:pPr>
        <w:pStyle w:val="2"/>
        <w:spacing w:before="75" w:line="219" w:lineRule="auto"/>
        <w:ind w:left="39"/>
        <w:rPr>
          <w:color w:val="auto"/>
          <w:sz w:val="24"/>
          <w:szCs w:val="24"/>
          <w:highlight w:val="none"/>
        </w:rPr>
      </w:pPr>
      <w:r>
        <w:rPr>
          <w:color w:val="auto"/>
          <w:spacing w:val="-7"/>
          <w:sz w:val="24"/>
          <w:szCs w:val="24"/>
          <w:highlight w:val="none"/>
        </w:rPr>
        <w:t>质疑事项</w:t>
      </w:r>
      <w:r>
        <w:rPr>
          <w:color w:val="auto"/>
          <w:spacing w:val="-30"/>
          <w:sz w:val="24"/>
          <w:szCs w:val="24"/>
          <w:highlight w:val="none"/>
        </w:rPr>
        <w:t xml:space="preserve"> </w:t>
      </w:r>
      <w:r>
        <w:rPr>
          <w:color w:val="auto"/>
          <w:spacing w:val="-7"/>
          <w:sz w:val="24"/>
          <w:szCs w:val="24"/>
          <w:highlight w:val="none"/>
        </w:rPr>
        <w:t>1：</w:t>
      </w:r>
      <w:r>
        <w:rPr>
          <w:color w:val="auto"/>
          <w:position w:val="-3"/>
          <w:sz w:val="24"/>
          <w:szCs w:val="24"/>
          <w:highlight w:val="none"/>
        </w:rPr>
        <w:drawing>
          <wp:inline distT="0" distB="0" distL="0" distR="0">
            <wp:extent cx="3124200"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51"/>
                    <a:stretch>
                      <a:fillRect/>
                    </a:stretch>
                  </pic:blipFill>
                  <pic:spPr>
                    <a:xfrm>
                      <a:off x="0" y="0"/>
                      <a:ext cx="3124200" cy="7620"/>
                    </a:xfrm>
                    <a:prstGeom prst="rect">
                      <a:avLst/>
                    </a:prstGeom>
                  </pic:spPr>
                </pic:pic>
              </a:graphicData>
            </a:graphic>
          </wp:inline>
        </w:drawing>
      </w:r>
    </w:p>
    <w:p w14:paraId="75120958">
      <w:pPr>
        <w:pStyle w:val="2"/>
        <w:spacing w:before="75" w:line="219" w:lineRule="auto"/>
        <w:ind w:left="38"/>
        <w:rPr>
          <w:color w:val="auto"/>
          <w:sz w:val="24"/>
          <w:szCs w:val="24"/>
          <w:highlight w:val="none"/>
        </w:rPr>
      </w:pPr>
      <w:r>
        <w:rPr>
          <w:color w:val="auto"/>
          <w:spacing w:val="-2"/>
          <w:sz w:val="24"/>
          <w:szCs w:val="24"/>
          <w:highlight w:val="none"/>
        </w:rPr>
        <w:t>事实依据：</w:t>
      </w:r>
      <w:r>
        <w:rPr>
          <w:color w:val="auto"/>
          <w:position w:val="-3"/>
          <w:sz w:val="24"/>
          <w:szCs w:val="24"/>
          <w:highlight w:val="none"/>
        </w:rPr>
        <w:drawing>
          <wp:inline distT="0" distB="0" distL="0" distR="0">
            <wp:extent cx="3200400"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44"/>
                    <a:stretch>
                      <a:fillRect/>
                    </a:stretch>
                  </pic:blipFill>
                  <pic:spPr>
                    <a:xfrm>
                      <a:off x="0" y="0"/>
                      <a:ext cx="3200400" cy="7620"/>
                    </a:xfrm>
                    <a:prstGeom prst="rect">
                      <a:avLst/>
                    </a:prstGeom>
                  </pic:spPr>
                </pic:pic>
              </a:graphicData>
            </a:graphic>
          </wp:inline>
        </w:drawing>
      </w:r>
    </w:p>
    <w:p w14:paraId="63B3FFBB">
      <w:pPr>
        <w:spacing w:line="355" w:lineRule="auto"/>
        <w:rPr>
          <w:rFonts w:ascii="Arial"/>
          <w:color w:val="auto"/>
          <w:sz w:val="21"/>
          <w:highlight w:val="none"/>
        </w:rPr>
      </w:pPr>
      <w:r>
        <w:rPr>
          <w:color w:val="auto"/>
          <w:highlight w:val="none"/>
        </w:rPr>
        <w:pict>
          <v:shape id="_x0000_s1042" o:spid="_x0000_s1042" style="position:absolute;left:0pt;margin-left:1.75pt;margin-top:15.7pt;height:0.65pt;width:330pt;z-index:251666432;mso-width-relative:page;mso-height-relative:page;" filled="f" stroked="t" coordsize="6600,12" path="m0,6l6600,6e">
            <v:fill on="f" focussize="0,0"/>
            <v:stroke weight="0.6pt" color="#000000" miterlimit="10" joinstyle="miter" dashstyle="dash"/>
            <v:imagedata o:title=""/>
            <o:lock v:ext="edit"/>
          </v:shape>
        </w:pict>
      </w:r>
    </w:p>
    <w:p w14:paraId="3E210B4F">
      <w:pPr>
        <w:pStyle w:val="2"/>
        <w:spacing w:before="78" w:line="219" w:lineRule="auto"/>
        <w:ind w:left="39"/>
        <w:rPr>
          <w:color w:val="auto"/>
          <w:sz w:val="24"/>
          <w:szCs w:val="24"/>
          <w:highlight w:val="none"/>
        </w:rPr>
      </w:pPr>
      <w:r>
        <w:rPr>
          <w:color w:val="auto"/>
          <w:spacing w:val="-3"/>
          <w:sz w:val="24"/>
          <w:szCs w:val="24"/>
          <w:highlight w:val="none"/>
        </w:rPr>
        <w:t>法律依据：</w:t>
      </w:r>
      <w:r>
        <w:rPr>
          <w:color w:val="auto"/>
          <w:position w:val="-3"/>
          <w:sz w:val="24"/>
          <w:szCs w:val="24"/>
          <w:highlight w:val="none"/>
        </w:rPr>
        <w:drawing>
          <wp:inline distT="0" distB="0" distL="0" distR="0">
            <wp:extent cx="3200400"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4"/>
                    <a:stretch>
                      <a:fillRect/>
                    </a:stretch>
                  </pic:blipFill>
                  <pic:spPr>
                    <a:xfrm>
                      <a:off x="0" y="0"/>
                      <a:ext cx="3200400" cy="7620"/>
                    </a:xfrm>
                    <a:prstGeom prst="rect">
                      <a:avLst/>
                    </a:prstGeom>
                  </pic:spPr>
                </pic:pic>
              </a:graphicData>
            </a:graphic>
          </wp:inline>
        </w:drawing>
      </w:r>
    </w:p>
    <w:p w14:paraId="3853D529">
      <w:pPr>
        <w:spacing w:line="355" w:lineRule="auto"/>
        <w:rPr>
          <w:rFonts w:ascii="Arial"/>
          <w:color w:val="auto"/>
          <w:sz w:val="21"/>
          <w:highlight w:val="none"/>
        </w:rPr>
      </w:pPr>
      <w:r>
        <w:rPr>
          <w:color w:val="auto"/>
          <w:highlight w:val="none"/>
        </w:rPr>
        <w:pict>
          <v:shape id="_x0000_s1043" o:spid="_x0000_s1043" style="position:absolute;left:0pt;margin-left:1.75pt;margin-top:15.7pt;height:0.65pt;width:318pt;z-index:251667456;mso-width-relative:page;mso-height-relative:page;" filled="f" stroked="t" coordsize="6360,12" path="m0,6l6360,6e">
            <v:fill on="f" focussize="0,0"/>
            <v:stroke weight="0.6pt" color="#000000" miterlimit="10" joinstyle="miter" dashstyle="dash"/>
            <v:imagedata o:title=""/>
            <o:lock v:ext="edit"/>
          </v:shape>
        </w:pict>
      </w:r>
    </w:p>
    <w:p w14:paraId="60B9F0AF">
      <w:pPr>
        <w:pStyle w:val="2"/>
        <w:spacing w:before="79" w:line="220" w:lineRule="auto"/>
        <w:ind w:left="39"/>
        <w:rPr>
          <w:color w:val="auto"/>
          <w:sz w:val="24"/>
          <w:szCs w:val="24"/>
          <w:highlight w:val="none"/>
        </w:rPr>
      </w:pPr>
      <w:r>
        <w:rPr>
          <w:color w:val="auto"/>
          <w:spacing w:val="-3"/>
          <w:sz w:val="24"/>
          <w:szCs w:val="24"/>
          <w:highlight w:val="none"/>
        </w:rPr>
        <w:t>质疑事项</w:t>
      </w:r>
      <w:r>
        <w:rPr>
          <w:color w:val="auto"/>
          <w:spacing w:val="-45"/>
          <w:sz w:val="24"/>
          <w:szCs w:val="24"/>
          <w:highlight w:val="none"/>
        </w:rPr>
        <w:t xml:space="preserve"> </w:t>
      </w:r>
      <w:r>
        <w:rPr>
          <w:color w:val="auto"/>
          <w:spacing w:val="-3"/>
          <w:sz w:val="24"/>
          <w:szCs w:val="24"/>
          <w:highlight w:val="none"/>
        </w:rPr>
        <w:t>2</w:t>
      </w:r>
    </w:p>
    <w:p w14:paraId="30A0F724">
      <w:pPr>
        <w:pStyle w:val="2"/>
        <w:spacing w:before="174" w:line="175" w:lineRule="exact"/>
        <w:ind w:left="53"/>
        <w:rPr>
          <w:color w:val="auto"/>
          <w:sz w:val="24"/>
          <w:szCs w:val="24"/>
          <w:highlight w:val="none"/>
        </w:rPr>
      </w:pPr>
      <w:r>
        <w:rPr>
          <w:color w:val="auto"/>
          <w:spacing w:val="-7"/>
          <w:position w:val="-3"/>
          <w:sz w:val="24"/>
          <w:szCs w:val="24"/>
          <w:highlight w:val="none"/>
        </w:rPr>
        <w:t>……</w:t>
      </w:r>
    </w:p>
    <w:p w14:paraId="3C5B3E3F">
      <w:pPr>
        <w:pStyle w:val="2"/>
        <w:spacing w:before="85" w:line="220" w:lineRule="auto"/>
        <w:ind w:left="60"/>
        <w:rPr>
          <w:color w:val="auto"/>
          <w:sz w:val="24"/>
          <w:szCs w:val="24"/>
          <w:highlight w:val="none"/>
        </w:rPr>
      </w:pPr>
      <w:r>
        <w:rPr>
          <w:color w:val="auto"/>
          <w:spacing w:val="-3"/>
          <w:sz w:val="24"/>
          <w:szCs w:val="24"/>
          <w:highlight w:val="none"/>
        </w:rPr>
        <w:t>四、与质疑事项相关的质疑请求</w:t>
      </w:r>
    </w:p>
    <w:p w14:paraId="290B31D5">
      <w:pPr>
        <w:pStyle w:val="2"/>
        <w:spacing w:before="74" w:line="219" w:lineRule="auto"/>
        <w:ind w:left="36"/>
        <w:rPr>
          <w:color w:val="auto"/>
          <w:sz w:val="24"/>
          <w:szCs w:val="24"/>
          <w:highlight w:val="none"/>
        </w:rPr>
      </w:pPr>
      <w:r>
        <w:rPr>
          <w:color w:val="auto"/>
          <w:spacing w:val="-3"/>
          <w:sz w:val="24"/>
          <w:szCs w:val="24"/>
          <w:highlight w:val="none"/>
        </w:rPr>
        <w:t>请求：</w:t>
      </w:r>
      <w:r>
        <w:rPr>
          <w:color w:val="auto"/>
          <w:position w:val="-3"/>
          <w:sz w:val="24"/>
          <w:szCs w:val="24"/>
          <w:highlight w:val="none"/>
        </w:rPr>
        <w:drawing>
          <wp:inline distT="0" distB="0" distL="0" distR="0">
            <wp:extent cx="3581400" cy="76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52"/>
                    <a:stretch>
                      <a:fillRect/>
                    </a:stretch>
                  </pic:blipFill>
                  <pic:spPr>
                    <a:xfrm>
                      <a:off x="0" y="0"/>
                      <a:ext cx="3581400" cy="7620"/>
                    </a:xfrm>
                    <a:prstGeom prst="rect">
                      <a:avLst/>
                    </a:prstGeom>
                  </pic:spPr>
                </pic:pic>
              </a:graphicData>
            </a:graphic>
          </wp:inline>
        </w:drawing>
      </w:r>
    </w:p>
    <w:p w14:paraId="53A9BF98">
      <w:pPr>
        <w:pStyle w:val="2"/>
        <w:spacing w:before="74" w:line="219" w:lineRule="auto"/>
        <w:ind w:left="38"/>
        <w:rPr>
          <w:color w:val="auto"/>
          <w:sz w:val="24"/>
          <w:szCs w:val="24"/>
          <w:highlight w:val="none"/>
        </w:rPr>
      </w:pPr>
      <w:r>
        <w:rPr>
          <w:color w:val="auto"/>
          <w:spacing w:val="-6"/>
          <w:sz w:val="24"/>
          <w:szCs w:val="24"/>
          <w:highlight w:val="none"/>
        </w:rPr>
        <w:t>签字(签章)：</w:t>
      </w:r>
      <w:r>
        <w:rPr>
          <w:color w:val="auto"/>
          <w:sz w:val="24"/>
          <w:szCs w:val="24"/>
          <w:highlight w:val="none"/>
        </w:rPr>
        <w:t xml:space="preserve">                   </w:t>
      </w:r>
      <w:r>
        <w:rPr>
          <w:color w:val="auto"/>
          <w:spacing w:val="-6"/>
          <w:sz w:val="24"/>
          <w:szCs w:val="24"/>
          <w:highlight w:val="none"/>
        </w:rPr>
        <w:t>公章：</w:t>
      </w:r>
    </w:p>
    <w:p w14:paraId="51E97953">
      <w:pPr>
        <w:pStyle w:val="2"/>
        <w:spacing w:before="76" w:line="220" w:lineRule="auto"/>
        <w:ind w:left="79"/>
        <w:rPr>
          <w:color w:val="auto"/>
          <w:sz w:val="24"/>
          <w:szCs w:val="24"/>
          <w:highlight w:val="none"/>
        </w:rPr>
      </w:pPr>
      <w:r>
        <w:rPr>
          <w:color w:val="auto"/>
          <w:spacing w:val="-24"/>
          <w:sz w:val="24"/>
          <w:szCs w:val="24"/>
          <w:highlight w:val="none"/>
        </w:rPr>
        <w:t>日期：</w:t>
      </w:r>
    </w:p>
    <w:p w14:paraId="357C6603">
      <w:pPr>
        <w:pStyle w:val="2"/>
        <w:spacing w:before="79" w:line="220" w:lineRule="auto"/>
        <w:ind w:left="39"/>
        <w:rPr>
          <w:color w:val="auto"/>
          <w:sz w:val="24"/>
          <w:szCs w:val="24"/>
          <w:highlight w:val="none"/>
        </w:rPr>
      </w:pPr>
      <w:r>
        <w:rPr>
          <w:b/>
          <w:bCs/>
          <w:color w:val="auto"/>
          <w:spacing w:val="-4"/>
          <w:sz w:val="24"/>
          <w:szCs w:val="24"/>
          <w:highlight w:val="none"/>
        </w:rPr>
        <w:t>质疑函制作说明：</w:t>
      </w:r>
    </w:p>
    <w:p w14:paraId="3B844DD8">
      <w:pPr>
        <w:spacing w:line="267" w:lineRule="auto"/>
        <w:rPr>
          <w:rFonts w:ascii="Arial"/>
          <w:color w:val="auto"/>
          <w:sz w:val="21"/>
          <w:highlight w:val="none"/>
        </w:rPr>
      </w:pPr>
      <w:r>
        <w:rPr>
          <w:color w:val="auto"/>
          <w:highlight w:val="none"/>
        </w:rPr>
        <w:pict>
          <v:shape id="_x0000_s1044" o:spid="_x0000_s1044" o:spt="202" type="#_x0000_t202" style="position:absolute;left:0pt;margin-left:1.9pt;margin-top:2.7pt;height:52.25pt;width:434.15pt;z-index:251668480;mso-width-relative:page;mso-height-relative:page;" filled="f" stroked="f" coordsize="21600,21600">
            <v:path/>
            <v:fill on="f" focussize="0,0"/>
            <v:stroke on="f"/>
            <v:imagedata o:title=""/>
            <o:lock v:ext="edit" aspectratio="f"/>
            <v:textbox inset="0mm,0mm,0mm,0mm">
              <w:txbxContent>
                <w:p w14:paraId="51363D2D">
                  <w:pPr>
                    <w:pStyle w:val="2"/>
                    <w:spacing w:before="19" w:line="219" w:lineRule="auto"/>
                    <w:ind w:left="498"/>
                    <w:rPr>
                      <w:sz w:val="24"/>
                      <w:szCs w:val="24"/>
                    </w:rPr>
                  </w:pPr>
                  <w:r>
                    <w:rPr>
                      <w:spacing w:val="-3"/>
                      <w:sz w:val="24"/>
                      <w:szCs w:val="24"/>
                    </w:rPr>
                    <w:t>1.供应商提出质疑时，应提交质疑函和必要的证明材料。</w:t>
                  </w:r>
                </w:p>
                <w:p w14:paraId="3D6C2CFC">
                  <w:pPr>
                    <w:pStyle w:val="2"/>
                    <w:spacing w:before="74" w:line="256" w:lineRule="auto"/>
                    <w:ind w:left="20" w:right="20" w:firstLine="463"/>
                    <w:rPr>
                      <w:sz w:val="24"/>
                      <w:szCs w:val="24"/>
                    </w:rPr>
                  </w:pPr>
                  <w:r>
                    <w:rPr>
                      <w:spacing w:val="6"/>
                      <w:sz w:val="24"/>
                      <w:szCs w:val="24"/>
                    </w:rPr>
                    <w:t>2.质疑供应商若委托代理人进行质疑的，质疑函应按要求列明“授权代表</w:t>
                  </w:r>
                  <w:r>
                    <w:rPr>
                      <w:spacing w:val="-66"/>
                      <w:sz w:val="24"/>
                      <w:szCs w:val="24"/>
                    </w:rPr>
                    <w:t xml:space="preserve"> </w:t>
                  </w:r>
                  <w:r>
                    <w:rPr>
                      <w:spacing w:val="6"/>
                      <w:sz w:val="24"/>
                      <w:szCs w:val="24"/>
                    </w:rPr>
                    <w:t>”</w:t>
                  </w:r>
                  <w:r>
                    <w:rPr>
                      <w:sz w:val="24"/>
                      <w:szCs w:val="24"/>
                    </w:rPr>
                    <w:t xml:space="preserve"> </w:t>
                  </w:r>
                  <w:r>
                    <w:rPr>
                      <w:spacing w:val="-3"/>
                      <w:sz w:val="24"/>
                      <w:szCs w:val="24"/>
                    </w:rPr>
                    <w:t>的有关内容，并在附件中提交由质疑供应商签署</w:t>
                  </w:r>
                  <w:r>
                    <w:rPr>
                      <w:spacing w:val="-4"/>
                      <w:sz w:val="24"/>
                      <w:szCs w:val="24"/>
                    </w:rPr>
                    <w:t>的授权委托书。授权委托书应载</w:t>
                  </w:r>
                </w:p>
              </w:txbxContent>
            </v:textbox>
          </v:shape>
        </w:pict>
      </w:r>
    </w:p>
    <w:p w14:paraId="570FCD03">
      <w:pPr>
        <w:spacing w:line="267" w:lineRule="auto"/>
        <w:rPr>
          <w:rFonts w:ascii="Arial"/>
          <w:color w:val="auto"/>
          <w:sz w:val="21"/>
          <w:highlight w:val="none"/>
        </w:rPr>
      </w:pPr>
    </w:p>
    <w:p w14:paraId="19607F24">
      <w:pPr>
        <w:spacing w:line="267" w:lineRule="auto"/>
        <w:rPr>
          <w:rFonts w:ascii="Arial"/>
          <w:color w:val="auto"/>
          <w:sz w:val="21"/>
          <w:highlight w:val="none"/>
        </w:rPr>
      </w:pPr>
    </w:p>
    <w:p w14:paraId="0CBB9C84">
      <w:pPr>
        <w:spacing w:line="268" w:lineRule="auto"/>
        <w:rPr>
          <w:rFonts w:ascii="Arial"/>
          <w:color w:val="auto"/>
          <w:sz w:val="21"/>
          <w:highlight w:val="none"/>
        </w:rPr>
      </w:pPr>
    </w:p>
    <w:p w14:paraId="5548F71D">
      <w:pPr>
        <w:pStyle w:val="2"/>
        <w:spacing w:before="79" w:line="220" w:lineRule="auto"/>
        <w:ind w:left="60"/>
        <w:rPr>
          <w:color w:val="auto"/>
          <w:sz w:val="24"/>
          <w:szCs w:val="24"/>
          <w:highlight w:val="none"/>
        </w:rPr>
      </w:pPr>
      <w:r>
        <w:rPr>
          <w:color w:val="auto"/>
          <w:spacing w:val="-2"/>
          <w:sz w:val="24"/>
          <w:szCs w:val="24"/>
          <w:highlight w:val="none"/>
        </w:rPr>
        <w:t>明代理人的姓名或者名称、代理事项、具体权限、期限</w:t>
      </w:r>
      <w:r>
        <w:rPr>
          <w:color w:val="auto"/>
          <w:spacing w:val="-3"/>
          <w:sz w:val="24"/>
          <w:szCs w:val="24"/>
          <w:highlight w:val="none"/>
        </w:rPr>
        <w:t>和相关事项。</w:t>
      </w:r>
    </w:p>
    <w:p w14:paraId="004DA4BB">
      <w:pPr>
        <w:pStyle w:val="2"/>
        <w:spacing w:before="74" w:line="219" w:lineRule="auto"/>
        <w:ind w:left="523"/>
        <w:rPr>
          <w:color w:val="auto"/>
          <w:sz w:val="24"/>
          <w:szCs w:val="24"/>
          <w:highlight w:val="none"/>
        </w:rPr>
      </w:pPr>
      <w:r>
        <w:rPr>
          <w:color w:val="auto"/>
          <w:spacing w:val="-1"/>
          <w:sz w:val="24"/>
          <w:szCs w:val="24"/>
          <w:highlight w:val="none"/>
        </w:rPr>
        <w:t>3.质疑供应商若对项目的某一分包进行质</w:t>
      </w:r>
      <w:r>
        <w:rPr>
          <w:color w:val="auto"/>
          <w:spacing w:val="-2"/>
          <w:sz w:val="24"/>
          <w:szCs w:val="24"/>
          <w:highlight w:val="none"/>
        </w:rPr>
        <w:t>疑，质疑函中应列明具体分包号。</w:t>
      </w:r>
    </w:p>
    <w:p w14:paraId="55ACBE81">
      <w:pPr>
        <w:pStyle w:val="2"/>
        <w:spacing w:before="75" w:line="264" w:lineRule="auto"/>
        <w:ind w:left="522" w:right="786" w:hanging="5"/>
        <w:rPr>
          <w:color w:val="auto"/>
          <w:spacing w:val="-2"/>
          <w:sz w:val="24"/>
          <w:szCs w:val="24"/>
          <w:highlight w:val="none"/>
        </w:rPr>
      </w:pPr>
      <w:r>
        <w:rPr>
          <w:color w:val="auto"/>
          <w:spacing w:val="-1"/>
          <w:sz w:val="24"/>
          <w:szCs w:val="24"/>
          <w:highlight w:val="none"/>
        </w:rPr>
        <w:t>4.质疑函的质疑事项应具体、明确，并有</w:t>
      </w:r>
      <w:r>
        <w:rPr>
          <w:color w:val="auto"/>
          <w:spacing w:val="-2"/>
          <w:sz w:val="24"/>
          <w:szCs w:val="24"/>
          <w:highlight w:val="none"/>
        </w:rPr>
        <w:t>必要的事实依据和法律依据</w:t>
      </w:r>
    </w:p>
    <w:p w14:paraId="1B507E86">
      <w:pPr>
        <w:pStyle w:val="2"/>
        <w:spacing w:before="75" w:line="264" w:lineRule="auto"/>
        <w:ind w:left="522" w:right="786" w:hanging="5"/>
        <w:rPr>
          <w:rFonts w:ascii="Arial"/>
          <w:color w:val="auto"/>
          <w:sz w:val="21"/>
          <w:highlight w:val="none"/>
        </w:rPr>
      </w:pPr>
      <w:r>
        <w:rPr>
          <w:color w:val="auto"/>
          <w:spacing w:val="-3"/>
          <w:sz w:val="24"/>
          <w:szCs w:val="24"/>
          <w:highlight w:val="none"/>
        </w:rPr>
        <w:t>5.质疑函的质疑请求应与质疑事项相关。</w:t>
      </w:r>
    </w:p>
    <w:p w14:paraId="39AB243E">
      <w:pPr>
        <w:pStyle w:val="2"/>
        <w:spacing w:before="78" w:line="268" w:lineRule="auto"/>
        <w:ind w:left="38" w:firstLine="481"/>
        <w:rPr>
          <w:color w:val="auto"/>
          <w:sz w:val="24"/>
          <w:szCs w:val="24"/>
          <w:highlight w:val="none"/>
        </w:rPr>
      </w:pPr>
      <w:r>
        <w:rPr>
          <w:color w:val="auto"/>
          <w:spacing w:val="-3"/>
          <w:sz w:val="24"/>
          <w:szCs w:val="24"/>
          <w:highlight w:val="none"/>
        </w:rPr>
        <w:t>6.质疑供应商为自然人的，质疑函应由本人签字；质疑供应商为法人或者其</w:t>
      </w:r>
      <w:r>
        <w:rPr>
          <w:color w:val="auto"/>
          <w:sz w:val="24"/>
          <w:szCs w:val="24"/>
          <w:highlight w:val="none"/>
        </w:rPr>
        <w:t xml:space="preserve">   </w:t>
      </w:r>
      <w:r>
        <w:rPr>
          <w:color w:val="auto"/>
          <w:spacing w:val="-1"/>
          <w:sz w:val="24"/>
          <w:szCs w:val="24"/>
          <w:highlight w:val="none"/>
        </w:rPr>
        <w:t>他组织的，质疑函应由法定代表人、主要负责人，或者其授权代表签字或者盖章，</w:t>
      </w:r>
      <w:r>
        <w:rPr>
          <w:color w:val="auto"/>
          <w:spacing w:val="3"/>
          <w:sz w:val="24"/>
          <w:szCs w:val="24"/>
          <w:highlight w:val="none"/>
        </w:rPr>
        <w:t xml:space="preserve"> </w:t>
      </w:r>
      <w:r>
        <w:rPr>
          <w:color w:val="auto"/>
          <w:spacing w:val="-7"/>
          <w:sz w:val="24"/>
          <w:szCs w:val="24"/>
          <w:highlight w:val="none"/>
        </w:rPr>
        <w:t>并加盖公章。</w:t>
      </w:r>
    </w:p>
    <w:p w14:paraId="13DA2CD5">
      <w:pPr>
        <w:spacing w:line="243" w:lineRule="auto"/>
        <w:rPr>
          <w:rFonts w:ascii="Arial"/>
          <w:color w:val="auto"/>
          <w:sz w:val="21"/>
          <w:highlight w:val="none"/>
        </w:rPr>
      </w:pPr>
    </w:p>
    <w:p w14:paraId="5D77BF80">
      <w:pPr>
        <w:spacing w:line="243" w:lineRule="auto"/>
        <w:rPr>
          <w:rFonts w:ascii="Arial"/>
          <w:color w:val="auto"/>
          <w:sz w:val="21"/>
          <w:highlight w:val="none"/>
        </w:rPr>
      </w:pPr>
    </w:p>
    <w:p w14:paraId="33FFB4C4">
      <w:pPr>
        <w:spacing w:line="243" w:lineRule="auto"/>
        <w:rPr>
          <w:rFonts w:ascii="Arial"/>
          <w:color w:val="auto"/>
          <w:sz w:val="21"/>
          <w:highlight w:val="none"/>
        </w:rPr>
      </w:pPr>
    </w:p>
    <w:p w14:paraId="5EA1ED3F">
      <w:pPr>
        <w:pStyle w:val="2"/>
        <w:spacing w:before="104" w:line="219" w:lineRule="auto"/>
        <w:ind w:left="2751"/>
        <w:outlineLvl w:val="1"/>
        <w:rPr>
          <w:b/>
          <w:bCs/>
          <w:color w:val="auto"/>
          <w:spacing w:val="-7"/>
          <w:sz w:val="32"/>
          <w:szCs w:val="32"/>
          <w:highlight w:val="none"/>
        </w:rPr>
      </w:pPr>
    </w:p>
    <w:p w14:paraId="470F257C">
      <w:pPr>
        <w:pStyle w:val="2"/>
        <w:spacing w:before="104" w:line="219" w:lineRule="auto"/>
        <w:ind w:left="2751"/>
        <w:outlineLvl w:val="1"/>
        <w:rPr>
          <w:color w:val="auto"/>
          <w:sz w:val="32"/>
          <w:szCs w:val="32"/>
          <w:highlight w:val="none"/>
        </w:rPr>
      </w:pPr>
      <w:r>
        <w:rPr>
          <w:b/>
          <w:bCs/>
          <w:color w:val="auto"/>
          <w:spacing w:val="-7"/>
          <w:sz w:val="32"/>
          <w:szCs w:val="32"/>
          <w:highlight w:val="none"/>
        </w:rPr>
        <w:t>第2章</w:t>
      </w:r>
      <w:r>
        <w:rPr>
          <w:color w:val="auto"/>
          <w:spacing w:val="31"/>
          <w:sz w:val="32"/>
          <w:szCs w:val="32"/>
          <w:highlight w:val="none"/>
        </w:rPr>
        <w:t xml:space="preserve"> </w:t>
      </w:r>
      <w:r>
        <w:rPr>
          <w:b/>
          <w:bCs/>
          <w:color w:val="auto"/>
          <w:spacing w:val="-7"/>
          <w:sz w:val="32"/>
          <w:szCs w:val="32"/>
          <w:highlight w:val="none"/>
        </w:rPr>
        <w:t>响应文件格式</w:t>
      </w:r>
    </w:p>
    <w:p w14:paraId="7BF128CC">
      <w:pPr>
        <w:pStyle w:val="2"/>
        <w:spacing w:before="32" w:line="220" w:lineRule="auto"/>
        <w:ind w:left="2146"/>
        <w:outlineLvl w:val="1"/>
        <w:rPr>
          <w:color w:val="auto"/>
          <w:sz w:val="28"/>
          <w:szCs w:val="28"/>
          <w:highlight w:val="none"/>
        </w:rPr>
      </w:pPr>
      <w:r>
        <w:rPr>
          <w:b/>
          <w:bCs/>
          <w:color w:val="auto"/>
          <w:spacing w:val="-3"/>
          <w:sz w:val="28"/>
          <w:szCs w:val="28"/>
          <w:highlight w:val="none"/>
        </w:rPr>
        <w:t>第一部分</w:t>
      </w:r>
      <w:r>
        <w:rPr>
          <w:color w:val="auto"/>
          <w:spacing w:val="-3"/>
          <w:sz w:val="28"/>
          <w:szCs w:val="28"/>
          <w:highlight w:val="none"/>
        </w:rPr>
        <w:t xml:space="preserve"> </w:t>
      </w:r>
      <w:r>
        <w:rPr>
          <w:b/>
          <w:bCs/>
          <w:color w:val="auto"/>
          <w:spacing w:val="-3"/>
          <w:sz w:val="28"/>
          <w:szCs w:val="28"/>
          <w:highlight w:val="none"/>
        </w:rPr>
        <w:t>磋商一览表及资格证明文件</w:t>
      </w:r>
    </w:p>
    <w:p w14:paraId="65467A47">
      <w:pPr>
        <w:pStyle w:val="2"/>
        <w:spacing w:before="13" w:line="220" w:lineRule="auto"/>
        <w:ind w:left="536"/>
        <w:rPr>
          <w:color w:val="auto"/>
          <w:sz w:val="24"/>
          <w:szCs w:val="24"/>
          <w:highlight w:val="none"/>
        </w:rPr>
      </w:pPr>
      <w:r>
        <w:rPr>
          <w:color w:val="auto"/>
          <w:spacing w:val="-9"/>
          <w:sz w:val="24"/>
          <w:szCs w:val="24"/>
          <w:highlight w:val="none"/>
        </w:rPr>
        <w:t>1、磋商一览表；</w:t>
      </w:r>
    </w:p>
    <w:p w14:paraId="406596EE">
      <w:pPr>
        <w:pStyle w:val="2"/>
        <w:spacing w:before="14" w:line="219" w:lineRule="auto"/>
        <w:ind w:left="521"/>
        <w:rPr>
          <w:color w:val="auto"/>
          <w:sz w:val="24"/>
          <w:szCs w:val="24"/>
          <w:highlight w:val="none"/>
        </w:rPr>
      </w:pPr>
      <w:r>
        <w:rPr>
          <w:color w:val="auto"/>
          <w:spacing w:val="-3"/>
          <w:sz w:val="24"/>
          <w:szCs w:val="24"/>
          <w:highlight w:val="none"/>
        </w:rPr>
        <w:t>2、具有三证合一企业法人营业执照副本原件的扫描件；</w:t>
      </w:r>
    </w:p>
    <w:p w14:paraId="787A94A6">
      <w:pPr>
        <w:pStyle w:val="2"/>
        <w:spacing w:before="15" w:line="225" w:lineRule="auto"/>
        <w:ind w:left="40" w:right="29" w:firstLine="482"/>
        <w:rPr>
          <w:color w:val="auto"/>
          <w:sz w:val="24"/>
          <w:szCs w:val="24"/>
          <w:highlight w:val="none"/>
        </w:rPr>
      </w:pPr>
      <w:r>
        <w:rPr>
          <w:color w:val="auto"/>
          <w:spacing w:val="-3"/>
          <w:sz w:val="24"/>
          <w:szCs w:val="24"/>
          <w:highlight w:val="none"/>
        </w:rPr>
        <w:t>3、提供法定代表人资格证明及授权书、被授权人身份证复印件；(法定</w:t>
      </w:r>
      <w:r>
        <w:rPr>
          <w:color w:val="auto"/>
          <w:spacing w:val="-4"/>
          <w:sz w:val="24"/>
          <w:szCs w:val="24"/>
          <w:highlight w:val="none"/>
        </w:rPr>
        <w:t>代表</w:t>
      </w:r>
      <w:r>
        <w:rPr>
          <w:color w:val="auto"/>
          <w:sz w:val="24"/>
          <w:szCs w:val="24"/>
          <w:highlight w:val="none"/>
        </w:rPr>
        <w:t xml:space="preserve"> </w:t>
      </w:r>
      <w:r>
        <w:rPr>
          <w:color w:val="auto"/>
          <w:spacing w:val="-4"/>
          <w:sz w:val="24"/>
          <w:szCs w:val="24"/>
          <w:highlight w:val="none"/>
        </w:rPr>
        <w:t>人磋商需提供法定代表人身份证复印件)；</w:t>
      </w:r>
    </w:p>
    <w:p w14:paraId="40B9F0A1">
      <w:pPr>
        <w:pStyle w:val="2"/>
        <w:spacing w:before="18" w:line="229" w:lineRule="auto"/>
        <w:ind w:left="38" w:right="29" w:firstLine="479"/>
        <w:rPr>
          <w:color w:val="auto"/>
          <w:sz w:val="24"/>
          <w:szCs w:val="24"/>
          <w:highlight w:val="none"/>
        </w:rPr>
      </w:pPr>
      <w:r>
        <w:rPr>
          <w:color w:val="auto"/>
          <w:spacing w:val="-4"/>
          <w:sz w:val="24"/>
          <w:szCs w:val="24"/>
          <w:highlight w:val="none"/>
        </w:rPr>
        <w:t>4、具有良好的商业信誉和健全的财务会计制度（投标人提供</w:t>
      </w:r>
      <w:r>
        <w:rPr>
          <w:rFonts w:hint="eastAsia"/>
          <w:color w:val="auto"/>
          <w:spacing w:val="-4"/>
          <w:sz w:val="24"/>
          <w:szCs w:val="24"/>
          <w:highlight w:val="none"/>
          <w:lang w:val="en-US" w:eastAsia="zh-CN"/>
        </w:rPr>
        <w:t>2023年度或</w:t>
      </w:r>
      <w:r>
        <w:rPr>
          <w:color w:val="auto"/>
          <w:spacing w:val="-4"/>
          <w:sz w:val="24"/>
          <w:szCs w:val="24"/>
          <w:highlight w:val="none"/>
        </w:rPr>
        <w:t>202</w:t>
      </w:r>
      <w:r>
        <w:rPr>
          <w:rFonts w:hint="eastAsia"/>
          <w:color w:val="auto"/>
          <w:spacing w:val="-4"/>
          <w:sz w:val="24"/>
          <w:szCs w:val="24"/>
          <w:highlight w:val="none"/>
          <w:lang w:val="en-US" w:eastAsia="zh-CN"/>
        </w:rPr>
        <w:t>4</w:t>
      </w:r>
      <w:r>
        <w:rPr>
          <w:color w:val="auto"/>
          <w:spacing w:val="-50"/>
          <w:sz w:val="24"/>
          <w:szCs w:val="24"/>
          <w:highlight w:val="none"/>
        </w:rPr>
        <w:t xml:space="preserve"> </w:t>
      </w:r>
      <w:r>
        <w:rPr>
          <w:color w:val="auto"/>
          <w:spacing w:val="-4"/>
          <w:sz w:val="24"/>
          <w:szCs w:val="24"/>
          <w:highlight w:val="none"/>
        </w:rPr>
        <w:t>年财务审</w:t>
      </w:r>
      <w:r>
        <w:rPr>
          <w:color w:val="auto"/>
          <w:spacing w:val="-3"/>
          <w:sz w:val="24"/>
          <w:szCs w:val="24"/>
          <w:highlight w:val="none"/>
        </w:rPr>
        <w:t>计报告，新成立未满一年的公司提供开标前</w:t>
      </w:r>
      <w:r>
        <w:rPr>
          <w:color w:val="auto"/>
          <w:spacing w:val="-32"/>
          <w:sz w:val="24"/>
          <w:szCs w:val="24"/>
          <w:highlight w:val="none"/>
        </w:rPr>
        <w:t xml:space="preserve"> </w:t>
      </w:r>
      <w:r>
        <w:rPr>
          <w:color w:val="auto"/>
          <w:spacing w:val="-3"/>
          <w:sz w:val="24"/>
          <w:szCs w:val="24"/>
          <w:highlight w:val="none"/>
        </w:rPr>
        <w:t>1</w:t>
      </w:r>
      <w:r>
        <w:rPr>
          <w:color w:val="auto"/>
          <w:spacing w:val="-51"/>
          <w:sz w:val="24"/>
          <w:szCs w:val="24"/>
          <w:highlight w:val="none"/>
        </w:rPr>
        <w:t xml:space="preserve"> </w:t>
      </w:r>
      <w:r>
        <w:rPr>
          <w:color w:val="auto"/>
          <w:spacing w:val="-3"/>
          <w:sz w:val="24"/>
          <w:szCs w:val="24"/>
          <w:highlight w:val="none"/>
        </w:rPr>
        <w:t>个月内有效银行资信证明）；</w:t>
      </w:r>
    </w:p>
    <w:p w14:paraId="77A42C5F">
      <w:pPr>
        <w:pStyle w:val="2"/>
        <w:spacing w:before="21" w:line="229" w:lineRule="auto"/>
        <w:ind w:left="36" w:right="29" w:firstLine="486"/>
        <w:rPr>
          <w:color w:val="auto"/>
          <w:sz w:val="24"/>
          <w:szCs w:val="24"/>
          <w:highlight w:val="none"/>
        </w:rPr>
      </w:pPr>
      <w:r>
        <w:rPr>
          <w:color w:val="auto"/>
          <w:sz w:val="24"/>
          <w:szCs w:val="24"/>
          <w:highlight w:val="none"/>
        </w:rPr>
        <w:t>5、有依法缴纳社会保障资金的良好记录；须提供近六个月内任意一个月的</w:t>
      </w:r>
      <w:r>
        <w:rPr>
          <w:color w:val="auto"/>
          <w:spacing w:val="16"/>
          <w:sz w:val="24"/>
          <w:szCs w:val="24"/>
          <w:highlight w:val="none"/>
        </w:rPr>
        <w:t xml:space="preserve"> </w:t>
      </w:r>
      <w:r>
        <w:rPr>
          <w:color w:val="auto"/>
          <w:spacing w:val="4"/>
          <w:sz w:val="24"/>
          <w:szCs w:val="24"/>
          <w:highlight w:val="none"/>
        </w:rPr>
        <w:t>法人及被授权人&lt;被授权人必须为投标单位正式员工&gt;社保部门出具的投标单位</w:t>
      </w:r>
      <w:r>
        <w:rPr>
          <w:color w:val="auto"/>
          <w:spacing w:val="3"/>
          <w:sz w:val="24"/>
          <w:szCs w:val="24"/>
          <w:highlight w:val="none"/>
        </w:rPr>
        <w:t xml:space="preserve"> </w:t>
      </w:r>
      <w:r>
        <w:rPr>
          <w:color w:val="auto"/>
          <w:spacing w:val="4"/>
          <w:sz w:val="24"/>
          <w:szCs w:val="24"/>
          <w:highlight w:val="none"/>
        </w:rPr>
        <w:t>的缴纳社保证明和法人及被授权人缴纳社保明细表原件扫描件/复印件&lt;社保证</w:t>
      </w:r>
      <w:r>
        <w:rPr>
          <w:color w:val="auto"/>
          <w:spacing w:val="3"/>
          <w:sz w:val="24"/>
          <w:szCs w:val="24"/>
          <w:highlight w:val="none"/>
        </w:rPr>
        <w:t xml:space="preserve"> </w:t>
      </w:r>
      <w:r>
        <w:rPr>
          <w:color w:val="auto"/>
          <w:spacing w:val="-3"/>
          <w:sz w:val="24"/>
          <w:szCs w:val="24"/>
          <w:highlight w:val="none"/>
        </w:rPr>
        <w:t>明可提供以下任意一个：社保缴费凭证、社保缴费证明、社保缴费汇总单、依法</w:t>
      </w:r>
      <w:r>
        <w:rPr>
          <w:color w:val="auto"/>
          <w:spacing w:val="8"/>
          <w:sz w:val="24"/>
          <w:szCs w:val="24"/>
          <w:highlight w:val="none"/>
        </w:rPr>
        <w:t xml:space="preserve"> </w:t>
      </w:r>
      <w:r>
        <w:rPr>
          <w:color w:val="auto"/>
          <w:spacing w:val="-6"/>
          <w:sz w:val="24"/>
          <w:szCs w:val="24"/>
          <w:highlight w:val="none"/>
        </w:rPr>
        <w:t>缴纳社保的完税证明&gt;；</w:t>
      </w:r>
    </w:p>
    <w:p w14:paraId="21CCA955">
      <w:pPr>
        <w:pStyle w:val="2"/>
        <w:spacing w:before="14" w:line="227" w:lineRule="auto"/>
        <w:ind w:left="37" w:right="29" w:firstLine="482"/>
        <w:rPr>
          <w:color w:val="auto"/>
          <w:sz w:val="24"/>
          <w:szCs w:val="24"/>
          <w:highlight w:val="none"/>
        </w:rPr>
      </w:pPr>
      <w:r>
        <w:rPr>
          <w:color w:val="auto"/>
          <w:spacing w:val="1"/>
          <w:sz w:val="24"/>
          <w:szCs w:val="24"/>
          <w:highlight w:val="none"/>
        </w:rPr>
        <w:t>6、有依法缴纳税收的良好记录；投标单位</w:t>
      </w:r>
      <w:r>
        <w:rPr>
          <w:color w:val="auto"/>
          <w:sz w:val="24"/>
          <w:szCs w:val="24"/>
          <w:highlight w:val="none"/>
        </w:rPr>
        <w:t>近六个月内任意一个月依法缴纳</w:t>
      </w:r>
      <w:r>
        <w:rPr>
          <w:color w:val="auto"/>
          <w:spacing w:val="1"/>
          <w:sz w:val="24"/>
          <w:szCs w:val="24"/>
          <w:highlight w:val="none"/>
        </w:rPr>
        <w:t>税收的完税证明原件扫描件/复印件，依法免缴的</w:t>
      </w:r>
      <w:r>
        <w:rPr>
          <w:color w:val="auto"/>
          <w:sz w:val="24"/>
          <w:szCs w:val="24"/>
          <w:highlight w:val="none"/>
        </w:rPr>
        <w:t xml:space="preserve">，应提供依法免缴的相关证明 </w:t>
      </w:r>
      <w:r>
        <w:rPr>
          <w:color w:val="auto"/>
          <w:spacing w:val="-3"/>
          <w:sz w:val="24"/>
          <w:szCs w:val="24"/>
          <w:highlight w:val="none"/>
        </w:rPr>
        <w:t>文件或零申报报表（新公司提交上述内容实际证明材料</w:t>
      </w:r>
      <w:r>
        <w:rPr>
          <w:color w:val="auto"/>
          <w:spacing w:val="4"/>
          <w:sz w:val="24"/>
          <w:szCs w:val="24"/>
          <w:highlight w:val="none"/>
        </w:rPr>
        <w:t>）；</w:t>
      </w:r>
    </w:p>
    <w:p w14:paraId="0A902CAE">
      <w:pPr>
        <w:pStyle w:val="2"/>
        <w:spacing w:before="14" w:line="229" w:lineRule="auto"/>
        <w:ind w:left="21" w:right="29" w:firstLine="502"/>
        <w:jc w:val="left"/>
        <w:rPr>
          <w:color w:val="auto"/>
          <w:sz w:val="24"/>
          <w:szCs w:val="24"/>
          <w:highlight w:val="none"/>
        </w:rPr>
      </w:pPr>
      <w:r>
        <w:rPr>
          <w:color w:val="auto"/>
          <w:spacing w:val="-16"/>
          <w:sz w:val="24"/>
          <w:szCs w:val="24"/>
          <w:highlight w:val="none"/>
        </w:rPr>
        <w:t>7 、 参加本次招标项目的供应商 ， 不得在中国政府采购网</w:t>
      </w:r>
      <w:r>
        <w:rPr>
          <w:color w:val="auto"/>
          <w:spacing w:val="1"/>
          <w:sz w:val="24"/>
          <w:szCs w:val="24"/>
          <w:highlight w:val="none"/>
        </w:rPr>
        <w:t>（</w:t>
      </w:r>
      <w:r>
        <w:rPr>
          <w:color w:val="auto"/>
          <w:highlight w:val="none"/>
        </w:rPr>
        <w:fldChar w:fldCharType="begin"/>
      </w:r>
      <w:r>
        <w:rPr>
          <w:color w:val="auto"/>
          <w:highlight w:val="none"/>
        </w:rPr>
        <w:instrText xml:space="preserve"> HYPERLINK "http://www.ccgp.gov.cn/search/cr/" </w:instrText>
      </w:r>
      <w:r>
        <w:rPr>
          <w:color w:val="auto"/>
          <w:highlight w:val="none"/>
        </w:rPr>
        <w:fldChar w:fldCharType="separate"/>
      </w:r>
      <w:r>
        <w:rPr>
          <w:color w:val="auto"/>
          <w:sz w:val="24"/>
          <w:szCs w:val="24"/>
          <w:highlight w:val="none"/>
        </w:rPr>
        <w:t>http</w:t>
      </w:r>
      <w:r>
        <w:rPr>
          <w:color w:val="auto"/>
          <w:spacing w:val="1"/>
          <w:sz w:val="24"/>
          <w:szCs w:val="24"/>
          <w:highlight w:val="none"/>
        </w:rPr>
        <w:t>://</w:t>
      </w:r>
      <w:r>
        <w:rPr>
          <w:color w:val="auto"/>
          <w:sz w:val="24"/>
          <w:szCs w:val="24"/>
          <w:highlight w:val="none"/>
        </w:rPr>
        <w:t>www</w:t>
      </w:r>
      <w:r>
        <w:rPr>
          <w:color w:val="auto"/>
          <w:spacing w:val="1"/>
          <w:sz w:val="24"/>
          <w:szCs w:val="24"/>
          <w:highlight w:val="none"/>
        </w:rPr>
        <w:t>.</w:t>
      </w:r>
      <w:r>
        <w:rPr>
          <w:color w:val="auto"/>
          <w:sz w:val="24"/>
          <w:szCs w:val="24"/>
          <w:highlight w:val="none"/>
        </w:rPr>
        <w:t>ccgp</w:t>
      </w:r>
      <w:r>
        <w:rPr>
          <w:color w:val="auto"/>
          <w:spacing w:val="1"/>
          <w:sz w:val="24"/>
          <w:szCs w:val="24"/>
          <w:highlight w:val="none"/>
        </w:rPr>
        <w:t>.</w:t>
      </w:r>
      <w:r>
        <w:rPr>
          <w:color w:val="auto"/>
          <w:sz w:val="24"/>
          <w:szCs w:val="24"/>
          <w:highlight w:val="none"/>
        </w:rPr>
        <w:t>gov</w:t>
      </w:r>
      <w:r>
        <w:rPr>
          <w:color w:val="auto"/>
          <w:spacing w:val="1"/>
          <w:sz w:val="24"/>
          <w:szCs w:val="24"/>
          <w:highlight w:val="none"/>
        </w:rPr>
        <w:t>.</w:t>
      </w:r>
      <w:r>
        <w:rPr>
          <w:color w:val="auto"/>
          <w:sz w:val="24"/>
          <w:szCs w:val="24"/>
          <w:highlight w:val="none"/>
        </w:rPr>
        <w:t>cn</w:t>
      </w:r>
      <w:r>
        <w:rPr>
          <w:color w:val="auto"/>
          <w:spacing w:val="1"/>
          <w:sz w:val="24"/>
          <w:szCs w:val="24"/>
          <w:highlight w:val="none"/>
        </w:rPr>
        <w:t>/</w:t>
      </w:r>
      <w:r>
        <w:rPr>
          <w:color w:val="auto"/>
          <w:sz w:val="24"/>
          <w:szCs w:val="24"/>
          <w:highlight w:val="none"/>
        </w:rPr>
        <w:t>search</w:t>
      </w:r>
      <w:r>
        <w:rPr>
          <w:color w:val="auto"/>
          <w:spacing w:val="1"/>
          <w:sz w:val="24"/>
          <w:szCs w:val="24"/>
          <w:highlight w:val="none"/>
        </w:rPr>
        <w:t>/</w:t>
      </w:r>
      <w:r>
        <w:rPr>
          <w:color w:val="auto"/>
          <w:sz w:val="24"/>
          <w:szCs w:val="24"/>
          <w:highlight w:val="none"/>
        </w:rPr>
        <w:t>cr</w:t>
      </w:r>
      <w:r>
        <w:rPr>
          <w:color w:val="auto"/>
          <w:spacing w:val="1"/>
          <w:sz w:val="24"/>
          <w:szCs w:val="24"/>
          <w:highlight w:val="none"/>
        </w:rPr>
        <w:t>/</w:t>
      </w:r>
      <w:r>
        <w:rPr>
          <w:color w:val="auto"/>
          <w:spacing w:val="1"/>
          <w:sz w:val="24"/>
          <w:szCs w:val="24"/>
          <w:highlight w:val="none"/>
        </w:rPr>
        <w:fldChar w:fldCharType="end"/>
      </w:r>
      <w:r>
        <w:rPr>
          <w:color w:val="auto"/>
          <w:spacing w:val="1"/>
          <w:sz w:val="24"/>
          <w:szCs w:val="24"/>
          <w:highlight w:val="none"/>
        </w:rPr>
        <w:t>）存在严重违法失信行为记录名单（尚</w:t>
      </w:r>
      <w:r>
        <w:rPr>
          <w:color w:val="auto"/>
          <w:spacing w:val="11"/>
          <w:sz w:val="24"/>
          <w:szCs w:val="24"/>
          <w:highlight w:val="none"/>
        </w:rPr>
        <w:t xml:space="preserve"> </w:t>
      </w:r>
      <w:r>
        <w:rPr>
          <w:color w:val="auto"/>
          <w:spacing w:val="-4"/>
          <w:sz w:val="24"/>
          <w:szCs w:val="24"/>
          <w:highlight w:val="none"/>
        </w:rPr>
        <w:t>在处罚期内的</w:t>
      </w:r>
      <w:r>
        <w:rPr>
          <w:color w:val="auto"/>
          <w:spacing w:val="12"/>
          <w:sz w:val="24"/>
          <w:szCs w:val="24"/>
          <w:highlight w:val="none"/>
        </w:rPr>
        <w:t>）；</w:t>
      </w:r>
      <w:r>
        <w:rPr>
          <w:color w:val="auto"/>
          <w:spacing w:val="-4"/>
          <w:sz w:val="24"/>
          <w:szCs w:val="24"/>
          <w:highlight w:val="none"/>
        </w:rPr>
        <w:t>近三年内不得在</w:t>
      </w:r>
      <w:r>
        <w:rPr>
          <w:color w:val="auto"/>
          <w:spacing w:val="-2"/>
          <w:sz w:val="24"/>
          <w:szCs w:val="24"/>
          <w:highlight w:val="none"/>
        </w:rPr>
        <w:t>“信用中国”网站（www.creditchina.gov.cn）被列入失信被执行人、重大税收</w:t>
      </w:r>
      <w:r>
        <w:rPr>
          <w:color w:val="auto"/>
          <w:spacing w:val="10"/>
          <w:sz w:val="24"/>
          <w:szCs w:val="24"/>
          <w:highlight w:val="none"/>
        </w:rPr>
        <w:t xml:space="preserve"> </w:t>
      </w:r>
      <w:r>
        <w:rPr>
          <w:color w:val="auto"/>
          <w:spacing w:val="-6"/>
          <w:sz w:val="24"/>
          <w:szCs w:val="24"/>
          <w:highlight w:val="none"/>
        </w:rPr>
        <w:t>违法失信主体内将拒绝其参加本次招标活动。以上内容由投标企业自行承诺， 由</w:t>
      </w:r>
      <w:r>
        <w:rPr>
          <w:color w:val="auto"/>
          <w:spacing w:val="-3"/>
          <w:sz w:val="24"/>
          <w:szCs w:val="24"/>
          <w:highlight w:val="none"/>
        </w:rPr>
        <w:t>采购人或采购代理机构在投标截止后核查；</w:t>
      </w:r>
    </w:p>
    <w:p w14:paraId="5DEAAA3F">
      <w:pPr>
        <w:pStyle w:val="2"/>
        <w:spacing w:before="15" w:line="219" w:lineRule="auto"/>
        <w:ind w:left="519"/>
        <w:rPr>
          <w:color w:val="auto"/>
          <w:sz w:val="24"/>
          <w:szCs w:val="24"/>
          <w:highlight w:val="none"/>
        </w:rPr>
      </w:pPr>
      <w:r>
        <w:rPr>
          <w:color w:val="auto"/>
          <w:spacing w:val="-3"/>
          <w:sz w:val="24"/>
          <w:szCs w:val="24"/>
          <w:highlight w:val="none"/>
        </w:rPr>
        <w:t>8、提供针对本次项目《反商业贿赂承诺书</w:t>
      </w:r>
      <w:r>
        <w:rPr>
          <w:color w:val="auto"/>
          <w:spacing w:val="-4"/>
          <w:sz w:val="24"/>
          <w:szCs w:val="24"/>
          <w:highlight w:val="none"/>
        </w:rPr>
        <w:t>》；</w:t>
      </w:r>
    </w:p>
    <w:p w14:paraId="0E4CC9B4">
      <w:pPr>
        <w:pStyle w:val="2"/>
        <w:spacing w:before="15" w:line="219" w:lineRule="auto"/>
        <w:ind w:left="519"/>
        <w:rPr>
          <w:color w:val="auto"/>
          <w:sz w:val="24"/>
          <w:szCs w:val="24"/>
          <w:highlight w:val="none"/>
        </w:rPr>
      </w:pPr>
      <w:r>
        <w:rPr>
          <w:color w:val="auto"/>
          <w:spacing w:val="-4"/>
          <w:sz w:val="24"/>
          <w:szCs w:val="24"/>
          <w:highlight w:val="none"/>
        </w:rPr>
        <w:t>9、提供缴纳磋商保证金的有效凭证；</w:t>
      </w:r>
    </w:p>
    <w:p w14:paraId="2D69C879">
      <w:pPr>
        <w:pStyle w:val="2"/>
        <w:spacing w:before="16" w:line="225" w:lineRule="auto"/>
        <w:ind w:left="44" w:right="54" w:firstLine="491"/>
        <w:rPr>
          <w:spacing w:val="-10"/>
          <w:sz w:val="24"/>
          <w:szCs w:val="24"/>
          <w:highlight w:val="none"/>
        </w:rPr>
      </w:pPr>
      <w:r>
        <w:rPr>
          <w:color w:val="auto"/>
          <w:spacing w:val="3"/>
          <w:sz w:val="24"/>
          <w:szCs w:val="24"/>
          <w:highlight w:val="none"/>
        </w:rPr>
        <w:t>10、</w:t>
      </w:r>
      <w:r>
        <w:rPr>
          <w:spacing w:val="3"/>
          <w:sz w:val="24"/>
          <w:szCs w:val="24"/>
          <w:highlight w:val="none"/>
        </w:rPr>
        <w:t>本项目专门面向中小企业采购，根据要求单独上传《中小企业声明函</w:t>
      </w:r>
      <w:r>
        <w:rPr>
          <w:sz w:val="24"/>
          <w:szCs w:val="24"/>
          <w:highlight w:val="none"/>
        </w:rPr>
        <w:t xml:space="preserve"> </w:t>
      </w:r>
      <w:r>
        <w:rPr>
          <w:spacing w:val="-10"/>
          <w:sz w:val="24"/>
          <w:szCs w:val="24"/>
          <w:highlight w:val="none"/>
        </w:rPr>
        <w:t>（服务）》；</w:t>
      </w:r>
    </w:p>
    <w:p w14:paraId="50D1D857">
      <w:pPr>
        <w:pStyle w:val="2"/>
        <w:spacing w:before="16" w:line="225" w:lineRule="auto"/>
        <w:ind w:left="44" w:right="54" w:firstLine="491"/>
        <w:rPr>
          <w:color w:val="auto"/>
          <w:spacing w:val="-10"/>
          <w:sz w:val="24"/>
          <w:szCs w:val="24"/>
          <w:highlight w:val="none"/>
        </w:rPr>
      </w:pPr>
      <w:r>
        <w:rPr>
          <w:rFonts w:hint="eastAsia"/>
          <w:color w:val="auto"/>
          <w:spacing w:val="-10"/>
          <w:sz w:val="24"/>
          <w:szCs w:val="24"/>
          <w:highlight w:val="none"/>
          <w:lang w:val="en-US" w:eastAsia="zh-CN"/>
        </w:rPr>
        <w:t>11、供应商应具备工程监理综合资质或建筑工程和市政工程监理乙级（含乙级）以上资质。</w:t>
      </w:r>
    </w:p>
    <w:p w14:paraId="673F1284">
      <w:pPr>
        <w:pStyle w:val="2"/>
        <w:spacing w:before="15" w:line="219" w:lineRule="auto"/>
        <w:ind w:left="536"/>
        <w:rPr>
          <w:color w:val="auto"/>
          <w:sz w:val="24"/>
          <w:szCs w:val="24"/>
          <w:highlight w:val="none"/>
        </w:rPr>
      </w:pPr>
      <w:r>
        <w:rPr>
          <w:color w:val="auto"/>
          <w:spacing w:val="-3"/>
          <w:sz w:val="24"/>
          <w:szCs w:val="24"/>
          <w:highlight w:val="none"/>
        </w:rPr>
        <w:t>1</w:t>
      </w:r>
      <w:r>
        <w:rPr>
          <w:rFonts w:hint="eastAsia"/>
          <w:color w:val="auto"/>
          <w:spacing w:val="-3"/>
          <w:sz w:val="24"/>
          <w:szCs w:val="24"/>
          <w:highlight w:val="none"/>
          <w:lang w:val="en-US" w:eastAsia="zh-CN"/>
        </w:rPr>
        <w:t>2</w:t>
      </w:r>
      <w:r>
        <w:rPr>
          <w:color w:val="auto"/>
          <w:spacing w:val="-3"/>
          <w:sz w:val="24"/>
          <w:szCs w:val="24"/>
          <w:highlight w:val="none"/>
        </w:rPr>
        <w:t>、供应商可提供有利于磋商的其他资格证明材料。</w:t>
      </w:r>
    </w:p>
    <w:p w14:paraId="2E616D3B">
      <w:pPr>
        <w:pStyle w:val="2"/>
        <w:spacing w:before="17" w:line="229" w:lineRule="auto"/>
        <w:ind w:left="36" w:right="128" w:firstLine="4"/>
        <w:jc w:val="both"/>
        <w:rPr>
          <w:color w:val="auto"/>
          <w:sz w:val="24"/>
          <w:szCs w:val="24"/>
          <w:highlight w:val="none"/>
        </w:rPr>
      </w:pPr>
      <w:r>
        <w:rPr>
          <w:b/>
          <w:bCs/>
          <w:color w:val="auto"/>
          <w:spacing w:val="-2"/>
          <w:sz w:val="24"/>
          <w:szCs w:val="24"/>
          <w:highlight w:val="none"/>
        </w:rPr>
        <w:t>各供应商应注意以下事项：①本项目要求各磋商供应商提供“依法缴纳近六个月内任意一个月的税收证明”，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w:t>
      </w:r>
      <w:r>
        <w:rPr>
          <w:b/>
          <w:bCs/>
          <w:color w:val="auto"/>
          <w:spacing w:val="-4"/>
          <w:sz w:val="24"/>
          <w:szCs w:val="24"/>
          <w:highlight w:val="none"/>
        </w:rPr>
        <w:t>育保险）。</w:t>
      </w:r>
    </w:p>
    <w:p w14:paraId="1F163A71">
      <w:pPr>
        <w:spacing w:line="249" w:lineRule="auto"/>
        <w:rPr>
          <w:rFonts w:ascii="Arial"/>
          <w:color w:val="auto"/>
          <w:sz w:val="21"/>
          <w:highlight w:val="none"/>
        </w:rPr>
      </w:pPr>
    </w:p>
    <w:p w14:paraId="7D0E0581">
      <w:pPr>
        <w:spacing w:line="249" w:lineRule="auto"/>
        <w:rPr>
          <w:rFonts w:ascii="Arial"/>
          <w:color w:val="auto"/>
          <w:sz w:val="21"/>
          <w:highlight w:val="none"/>
        </w:rPr>
      </w:pPr>
    </w:p>
    <w:p w14:paraId="72065190">
      <w:pPr>
        <w:spacing w:line="249" w:lineRule="auto"/>
        <w:rPr>
          <w:rFonts w:ascii="Arial"/>
          <w:color w:val="auto"/>
          <w:sz w:val="21"/>
          <w:highlight w:val="none"/>
        </w:rPr>
      </w:pPr>
    </w:p>
    <w:p w14:paraId="5A307068">
      <w:pPr>
        <w:spacing w:line="249" w:lineRule="auto"/>
        <w:rPr>
          <w:rFonts w:ascii="Arial"/>
          <w:color w:val="auto"/>
          <w:sz w:val="21"/>
          <w:highlight w:val="none"/>
        </w:rPr>
      </w:pPr>
    </w:p>
    <w:p w14:paraId="496F99E1">
      <w:pPr>
        <w:spacing w:line="249" w:lineRule="auto"/>
        <w:rPr>
          <w:rFonts w:ascii="Arial"/>
          <w:color w:val="auto"/>
          <w:sz w:val="21"/>
          <w:highlight w:val="none"/>
        </w:rPr>
      </w:pPr>
    </w:p>
    <w:p w14:paraId="3AA1DD2C">
      <w:pPr>
        <w:spacing w:line="249" w:lineRule="auto"/>
        <w:rPr>
          <w:rFonts w:ascii="Arial"/>
          <w:color w:val="auto"/>
          <w:sz w:val="21"/>
          <w:highlight w:val="none"/>
        </w:rPr>
      </w:pPr>
    </w:p>
    <w:p w14:paraId="1C52AA7D">
      <w:pPr>
        <w:spacing w:line="249" w:lineRule="auto"/>
        <w:rPr>
          <w:rFonts w:ascii="Arial"/>
          <w:color w:val="auto"/>
          <w:sz w:val="21"/>
          <w:highlight w:val="none"/>
        </w:rPr>
      </w:pPr>
    </w:p>
    <w:p w14:paraId="27DEAE7A">
      <w:pPr>
        <w:spacing w:line="249" w:lineRule="auto"/>
        <w:rPr>
          <w:rFonts w:ascii="Arial"/>
          <w:color w:val="auto"/>
          <w:sz w:val="21"/>
          <w:highlight w:val="none"/>
        </w:rPr>
      </w:pPr>
    </w:p>
    <w:p w14:paraId="7061EF12">
      <w:pPr>
        <w:spacing w:line="249" w:lineRule="auto"/>
        <w:rPr>
          <w:rFonts w:ascii="Arial"/>
          <w:color w:val="auto"/>
          <w:sz w:val="21"/>
          <w:highlight w:val="none"/>
        </w:rPr>
      </w:pPr>
    </w:p>
    <w:p w14:paraId="680E2D90">
      <w:pPr>
        <w:spacing w:line="249" w:lineRule="auto"/>
        <w:rPr>
          <w:rFonts w:ascii="Arial"/>
          <w:color w:val="auto"/>
          <w:sz w:val="21"/>
          <w:highlight w:val="none"/>
        </w:rPr>
      </w:pPr>
    </w:p>
    <w:p w14:paraId="3C8B2666">
      <w:pPr>
        <w:spacing w:line="249" w:lineRule="auto"/>
        <w:rPr>
          <w:rFonts w:ascii="Arial"/>
          <w:color w:val="auto"/>
          <w:sz w:val="21"/>
          <w:highlight w:val="none"/>
        </w:rPr>
      </w:pPr>
    </w:p>
    <w:p w14:paraId="5E6C37F8">
      <w:pPr>
        <w:spacing w:line="249" w:lineRule="auto"/>
        <w:rPr>
          <w:rFonts w:ascii="Arial"/>
          <w:color w:val="auto"/>
          <w:sz w:val="21"/>
          <w:highlight w:val="none"/>
        </w:rPr>
      </w:pPr>
    </w:p>
    <w:p w14:paraId="01B9CB9D">
      <w:pPr>
        <w:spacing w:line="249" w:lineRule="auto"/>
        <w:rPr>
          <w:rFonts w:ascii="Arial"/>
          <w:color w:val="auto"/>
          <w:sz w:val="21"/>
          <w:highlight w:val="none"/>
        </w:rPr>
      </w:pPr>
    </w:p>
    <w:p w14:paraId="31456A37">
      <w:pPr>
        <w:spacing w:line="250" w:lineRule="auto"/>
        <w:rPr>
          <w:rFonts w:ascii="Arial"/>
          <w:color w:val="auto"/>
          <w:sz w:val="21"/>
          <w:highlight w:val="none"/>
        </w:rPr>
      </w:pPr>
    </w:p>
    <w:p w14:paraId="6CC82BF6">
      <w:pPr>
        <w:spacing w:line="250" w:lineRule="auto"/>
        <w:rPr>
          <w:rFonts w:ascii="Arial"/>
          <w:color w:val="auto"/>
          <w:sz w:val="21"/>
          <w:highlight w:val="none"/>
        </w:rPr>
      </w:pPr>
    </w:p>
    <w:p w14:paraId="73D4FCAE">
      <w:pPr>
        <w:pStyle w:val="2"/>
        <w:spacing w:before="78" w:line="220" w:lineRule="auto"/>
        <w:ind w:left="56"/>
        <w:outlineLvl w:val="3"/>
        <w:rPr>
          <w:color w:val="auto"/>
          <w:sz w:val="24"/>
          <w:szCs w:val="24"/>
          <w:highlight w:val="none"/>
        </w:rPr>
      </w:pPr>
      <w:r>
        <w:rPr>
          <w:b/>
          <w:bCs/>
          <w:color w:val="auto"/>
          <w:spacing w:val="-6"/>
          <w:sz w:val="24"/>
          <w:szCs w:val="24"/>
          <w:highlight w:val="none"/>
        </w:rPr>
        <w:t>1、磋商一览表</w:t>
      </w:r>
    </w:p>
    <w:p w14:paraId="3307BF64">
      <w:pPr>
        <w:pStyle w:val="2"/>
        <w:spacing w:before="101" w:line="220" w:lineRule="auto"/>
        <w:ind w:left="3591"/>
        <w:outlineLvl w:val="1"/>
        <w:rPr>
          <w:color w:val="auto"/>
          <w:sz w:val="24"/>
          <w:szCs w:val="24"/>
          <w:highlight w:val="none"/>
        </w:rPr>
      </w:pPr>
      <w:r>
        <w:rPr>
          <w:b/>
          <w:bCs/>
          <w:color w:val="auto"/>
          <w:spacing w:val="-4"/>
          <w:sz w:val="24"/>
          <w:szCs w:val="24"/>
          <w:highlight w:val="none"/>
        </w:rPr>
        <w:t>磋商一览表</w:t>
      </w:r>
    </w:p>
    <w:p w14:paraId="7631BA46">
      <w:pPr>
        <w:pStyle w:val="2"/>
        <w:spacing w:before="113" w:line="218" w:lineRule="auto"/>
        <w:ind w:left="581"/>
        <w:rPr>
          <w:rFonts w:hint="eastAsia" w:eastAsia="宋体"/>
          <w:color w:val="auto"/>
          <w:sz w:val="24"/>
          <w:szCs w:val="24"/>
          <w:highlight w:val="none"/>
          <w:lang w:eastAsia="zh-CN"/>
        </w:rPr>
      </w:pPr>
      <w:r>
        <w:rPr>
          <w:color w:val="auto"/>
          <w:sz w:val="24"/>
          <w:szCs w:val="24"/>
          <w:highlight w:val="none"/>
        </w:rPr>
        <w:t>项目名称：                    项目编号：</w:t>
      </w:r>
      <w:r>
        <w:rPr>
          <w:rFonts w:hint="eastAsia"/>
          <w:color w:val="auto"/>
          <w:sz w:val="24"/>
          <w:szCs w:val="24"/>
          <w:highlight w:val="none"/>
          <w:lang w:eastAsia="zh-CN"/>
        </w:rPr>
        <w:t>XJBT-MGTX(CS)2025-08 号</w:t>
      </w:r>
    </w:p>
    <w:p w14:paraId="3653D062">
      <w:pPr>
        <w:pStyle w:val="2"/>
        <w:spacing w:before="116" w:line="218" w:lineRule="auto"/>
        <w:ind w:left="576"/>
        <w:rPr>
          <w:color w:val="auto"/>
          <w:sz w:val="24"/>
          <w:szCs w:val="24"/>
          <w:highlight w:val="none"/>
        </w:rPr>
      </w:pPr>
      <w:r>
        <w:rPr>
          <w:color w:val="auto"/>
          <w:spacing w:val="-1"/>
          <w:sz w:val="24"/>
          <w:szCs w:val="24"/>
          <w:highlight w:val="none"/>
        </w:rPr>
        <w:t xml:space="preserve">报价单位：人民币 </w:t>
      </w:r>
      <w:r>
        <w:rPr>
          <w:b/>
          <w:bCs/>
          <w:color w:val="auto"/>
          <w:spacing w:val="-1"/>
          <w:sz w:val="24"/>
          <w:szCs w:val="24"/>
          <w:highlight w:val="none"/>
        </w:rPr>
        <w:t>元</w:t>
      </w:r>
      <w:r>
        <w:rPr>
          <w:color w:val="auto"/>
          <w:spacing w:val="-1"/>
          <w:sz w:val="24"/>
          <w:szCs w:val="24"/>
          <w:highlight w:val="none"/>
        </w:rPr>
        <w:t xml:space="preserve">           标项号</w:t>
      </w:r>
      <w:r>
        <w:rPr>
          <w:color w:val="auto"/>
          <w:spacing w:val="2"/>
          <w:sz w:val="24"/>
          <w:szCs w:val="24"/>
          <w:highlight w:val="none"/>
        </w:rPr>
        <w:t>：（</w:t>
      </w:r>
      <w:r>
        <w:rPr>
          <w:color w:val="auto"/>
          <w:spacing w:val="-1"/>
          <w:sz w:val="24"/>
          <w:szCs w:val="24"/>
          <w:highlight w:val="none"/>
        </w:rPr>
        <w:t>如有）</w:t>
      </w:r>
    </w:p>
    <w:p w14:paraId="2684FDDC">
      <w:pPr>
        <w:spacing w:line="36" w:lineRule="auto"/>
        <w:rPr>
          <w:rFonts w:ascii="Arial"/>
          <w:color w:val="auto"/>
          <w:sz w:val="2"/>
          <w:highlight w:val="none"/>
        </w:rPr>
      </w:pPr>
    </w:p>
    <w:tbl>
      <w:tblPr>
        <w:tblStyle w:val="13"/>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05"/>
        <w:gridCol w:w="1459"/>
        <w:gridCol w:w="1468"/>
        <w:gridCol w:w="1627"/>
        <w:gridCol w:w="982"/>
        <w:gridCol w:w="1302"/>
        <w:gridCol w:w="661"/>
      </w:tblGrid>
      <w:tr w14:paraId="0D930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41" w:type="pct"/>
            <w:vAlign w:val="center"/>
          </w:tcPr>
          <w:p w14:paraId="56E41891">
            <w:pPr>
              <w:spacing w:before="245" w:line="220" w:lineRule="auto"/>
              <w:ind w:left="284"/>
              <w:jc w:val="center"/>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项目名称</w:t>
            </w:r>
          </w:p>
        </w:tc>
        <w:tc>
          <w:tcPr>
            <w:tcW w:w="828" w:type="pct"/>
            <w:vAlign w:val="center"/>
          </w:tcPr>
          <w:p w14:paraId="0443467E">
            <w:pPr>
              <w:spacing w:before="244" w:line="218" w:lineRule="auto"/>
              <w:ind w:left="277"/>
              <w:jc w:val="center"/>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磋商总价</w:t>
            </w:r>
          </w:p>
        </w:tc>
        <w:tc>
          <w:tcPr>
            <w:tcW w:w="833" w:type="pct"/>
            <w:vAlign w:val="center"/>
          </w:tcPr>
          <w:p w14:paraId="1745D5C1">
            <w:pPr>
              <w:spacing w:before="244" w:line="218" w:lineRule="auto"/>
              <w:ind w:left="277"/>
              <w:jc w:val="center"/>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项目负责人/证书编号</w:t>
            </w:r>
          </w:p>
        </w:tc>
        <w:tc>
          <w:tcPr>
            <w:tcW w:w="923" w:type="pct"/>
            <w:vAlign w:val="center"/>
          </w:tcPr>
          <w:p w14:paraId="2BF3C927">
            <w:pPr>
              <w:spacing w:before="245" w:line="220" w:lineRule="auto"/>
              <w:jc w:val="center"/>
              <w:rPr>
                <w:rFonts w:hint="default" w:ascii="宋体" w:hAnsi="宋体" w:eastAsia="宋体" w:cs="宋体"/>
                <w:color w:val="auto"/>
                <w:sz w:val="24"/>
                <w:szCs w:val="24"/>
                <w:highlight w:val="none"/>
                <w:lang w:val="en-US" w:eastAsia="zh-CN"/>
              </w:rPr>
            </w:pPr>
            <w:r>
              <w:rPr>
                <w:rFonts w:ascii="宋体" w:hAnsi="宋体" w:eastAsia="宋体" w:cs="宋体"/>
                <w:color w:val="auto"/>
                <w:spacing w:val="-2"/>
                <w:sz w:val="24"/>
                <w:szCs w:val="24"/>
                <w:highlight w:val="none"/>
              </w:rPr>
              <w:t>磋商保证金</w:t>
            </w:r>
            <w:r>
              <w:rPr>
                <w:rFonts w:hint="eastAsia" w:ascii="宋体" w:hAnsi="宋体" w:eastAsia="宋体" w:cs="宋体"/>
                <w:color w:val="auto"/>
                <w:spacing w:val="-2"/>
                <w:sz w:val="24"/>
                <w:szCs w:val="24"/>
                <w:highlight w:val="none"/>
                <w:lang w:val="en-US" w:eastAsia="zh-CN"/>
              </w:rPr>
              <w:t>缴纳方式</w:t>
            </w:r>
          </w:p>
        </w:tc>
        <w:tc>
          <w:tcPr>
            <w:tcW w:w="557" w:type="pct"/>
            <w:vAlign w:val="center"/>
          </w:tcPr>
          <w:p w14:paraId="2EDA7F74">
            <w:pPr>
              <w:spacing w:before="244" w:line="220" w:lineRule="auto"/>
              <w:ind w:left="95"/>
              <w:jc w:val="center"/>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服务期限</w:t>
            </w:r>
          </w:p>
        </w:tc>
        <w:tc>
          <w:tcPr>
            <w:tcW w:w="739" w:type="pct"/>
            <w:vAlign w:val="center"/>
          </w:tcPr>
          <w:p w14:paraId="1FE57C11">
            <w:pPr>
              <w:spacing w:before="244" w:line="220" w:lineRule="auto"/>
              <w:ind w:left="283"/>
              <w:jc w:val="center"/>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服务地点</w:t>
            </w:r>
          </w:p>
        </w:tc>
        <w:tc>
          <w:tcPr>
            <w:tcW w:w="375" w:type="pct"/>
            <w:vAlign w:val="center"/>
          </w:tcPr>
          <w:p w14:paraId="12DD3157">
            <w:pPr>
              <w:spacing w:before="244" w:line="221" w:lineRule="auto"/>
              <w:ind w:left="153"/>
              <w:jc w:val="center"/>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备注</w:t>
            </w:r>
          </w:p>
        </w:tc>
      </w:tr>
      <w:tr w14:paraId="09ABB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741" w:type="pct"/>
            <w:vAlign w:val="center"/>
          </w:tcPr>
          <w:p w14:paraId="086961D9">
            <w:pPr>
              <w:jc w:val="center"/>
              <w:rPr>
                <w:rFonts w:ascii="Arial"/>
                <w:color w:val="auto"/>
                <w:sz w:val="21"/>
                <w:highlight w:val="none"/>
              </w:rPr>
            </w:pPr>
          </w:p>
        </w:tc>
        <w:tc>
          <w:tcPr>
            <w:tcW w:w="828" w:type="pct"/>
            <w:vAlign w:val="center"/>
          </w:tcPr>
          <w:p w14:paraId="15F47329">
            <w:pPr>
              <w:spacing w:line="452" w:lineRule="auto"/>
              <w:jc w:val="center"/>
              <w:rPr>
                <w:rFonts w:ascii="Arial"/>
                <w:color w:val="auto"/>
                <w:sz w:val="21"/>
                <w:highlight w:val="none"/>
              </w:rPr>
            </w:pPr>
          </w:p>
          <w:p w14:paraId="3B29FB32">
            <w:pPr>
              <w:spacing w:before="78" w:line="295" w:lineRule="auto"/>
              <w:ind w:left="12" w:right="841" w:hanging="3"/>
              <w:jc w:val="center"/>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大写</w:t>
            </w:r>
            <w:r>
              <w:rPr>
                <w:rFonts w:hint="eastAsia" w:ascii="宋体" w:hAnsi="宋体" w:eastAsia="宋体" w:cs="宋体"/>
                <w:color w:val="auto"/>
                <w:spacing w:val="-23"/>
                <w:sz w:val="24"/>
                <w:szCs w:val="24"/>
                <w:highlight w:val="none"/>
                <w:lang w:val="en-US" w:eastAsia="zh-CN"/>
              </w:rPr>
              <w:t>小写</w:t>
            </w:r>
          </w:p>
        </w:tc>
        <w:tc>
          <w:tcPr>
            <w:tcW w:w="833" w:type="pct"/>
            <w:vAlign w:val="center"/>
          </w:tcPr>
          <w:p w14:paraId="16FD1E4D">
            <w:pPr>
              <w:spacing w:before="78" w:line="295" w:lineRule="auto"/>
              <w:ind w:left="12" w:right="841" w:hanging="3"/>
              <w:jc w:val="center"/>
              <w:rPr>
                <w:rFonts w:ascii="宋体" w:hAnsi="宋体" w:eastAsia="宋体" w:cs="宋体"/>
                <w:color w:val="auto"/>
                <w:spacing w:val="-23"/>
                <w:sz w:val="24"/>
                <w:szCs w:val="24"/>
                <w:highlight w:val="none"/>
              </w:rPr>
            </w:pPr>
          </w:p>
        </w:tc>
        <w:tc>
          <w:tcPr>
            <w:tcW w:w="923" w:type="pct"/>
            <w:vAlign w:val="center"/>
          </w:tcPr>
          <w:p w14:paraId="14B2943A">
            <w:pPr>
              <w:jc w:val="center"/>
              <w:rPr>
                <w:rFonts w:ascii="Arial"/>
                <w:color w:val="auto"/>
                <w:sz w:val="21"/>
                <w:highlight w:val="none"/>
              </w:rPr>
            </w:pPr>
          </w:p>
        </w:tc>
        <w:tc>
          <w:tcPr>
            <w:tcW w:w="557" w:type="pct"/>
            <w:vAlign w:val="center"/>
          </w:tcPr>
          <w:p w14:paraId="2BA3ABC7">
            <w:pPr>
              <w:jc w:val="center"/>
              <w:rPr>
                <w:rFonts w:ascii="Arial"/>
                <w:color w:val="auto"/>
                <w:sz w:val="21"/>
                <w:highlight w:val="none"/>
              </w:rPr>
            </w:pPr>
          </w:p>
        </w:tc>
        <w:tc>
          <w:tcPr>
            <w:tcW w:w="739" w:type="pct"/>
            <w:vAlign w:val="center"/>
          </w:tcPr>
          <w:p w14:paraId="53BE2D19">
            <w:pPr>
              <w:jc w:val="center"/>
              <w:rPr>
                <w:rFonts w:ascii="Arial"/>
                <w:color w:val="auto"/>
                <w:sz w:val="21"/>
                <w:highlight w:val="none"/>
              </w:rPr>
            </w:pPr>
          </w:p>
        </w:tc>
        <w:tc>
          <w:tcPr>
            <w:tcW w:w="375" w:type="pct"/>
            <w:vAlign w:val="center"/>
          </w:tcPr>
          <w:p w14:paraId="07F53637">
            <w:pPr>
              <w:jc w:val="center"/>
              <w:rPr>
                <w:rFonts w:ascii="Arial"/>
                <w:color w:val="auto"/>
                <w:sz w:val="21"/>
                <w:highlight w:val="none"/>
              </w:rPr>
            </w:pPr>
          </w:p>
        </w:tc>
      </w:tr>
    </w:tbl>
    <w:p w14:paraId="3D01E7C6">
      <w:pPr>
        <w:spacing w:line="276" w:lineRule="auto"/>
        <w:rPr>
          <w:rFonts w:ascii="Arial"/>
          <w:color w:val="auto"/>
          <w:sz w:val="21"/>
          <w:highlight w:val="none"/>
        </w:rPr>
      </w:pPr>
    </w:p>
    <w:p w14:paraId="638812A6">
      <w:pPr>
        <w:spacing w:line="277" w:lineRule="auto"/>
        <w:rPr>
          <w:rFonts w:ascii="Arial"/>
          <w:color w:val="auto"/>
          <w:sz w:val="21"/>
          <w:highlight w:val="none"/>
        </w:rPr>
      </w:pPr>
    </w:p>
    <w:p w14:paraId="32BE9588">
      <w:pPr>
        <w:spacing w:line="277" w:lineRule="auto"/>
        <w:rPr>
          <w:rFonts w:ascii="Arial"/>
          <w:color w:val="auto"/>
          <w:sz w:val="21"/>
          <w:highlight w:val="none"/>
        </w:rPr>
      </w:pPr>
    </w:p>
    <w:p w14:paraId="032058E1">
      <w:pPr>
        <w:pStyle w:val="2"/>
        <w:spacing w:before="78" w:line="294" w:lineRule="auto"/>
        <w:ind w:left="578" w:right="2675"/>
        <w:rPr>
          <w:color w:val="auto"/>
          <w:sz w:val="24"/>
          <w:szCs w:val="24"/>
          <w:highlight w:val="none"/>
        </w:rPr>
      </w:pPr>
      <w:r>
        <w:rPr>
          <w:color w:val="auto"/>
          <w:spacing w:val="-1"/>
          <w:sz w:val="24"/>
          <w:szCs w:val="24"/>
          <w:highlight w:val="none"/>
        </w:rPr>
        <w:t>供应商名称（公章）：</w:t>
      </w:r>
      <w:r>
        <w:rPr>
          <w:color w:val="auto"/>
          <w:sz w:val="24"/>
          <w:szCs w:val="24"/>
          <w:highlight w:val="none"/>
          <w:u w:val="single" w:color="auto"/>
        </w:rPr>
        <w:t xml:space="preserve">                       </w:t>
      </w:r>
      <w:r>
        <w:rPr>
          <w:color w:val="auto"/>
          <w:sz w:val="24"/>
          <w:szCs w:val="24"/>
          <w:highlight w:val="none"/>
        </w:rPr>
        <w:t xml:space="preserve"> </w:t>
      </w:r>
    </w:p>
    <w:p w14:paraId="15793BED">
      <w:pPr>
        <w:pStyle w:val="2"/>
        <w:spacing w:before="78" w:line="294" w:lineRule="auto"/>
        <w:ind w:left="578" w:right="2675"/>
        <w:rPr>
          <w:color w:val="auto"/>
          <w:sz w:val="24"/>
          <w:szCs w:val="24"/>
          <w:highlight w:val="none"/>
        </w:rPr>
      </w:pPr>
      <w:r>
        <w:rPr>
          <w:color w:val="auto"/>
          <w:spacing w:val="-1"/>
          <w:sz w:val="24"/>
          <w:szCs w:val="24"/>
          <w:highlight w:val="none"/>
        </w:rPr>
        <w:t>法定代表人(签字或盖章):</w:t>
      </w:r>
      <w:r>
        <w:rPr>
          <w:color w:val="auto"/>
          <w:sz w:val="24"/>
          <w:szCs w:val="24"/>
          <w:highlight w:val="none"/>
          <w:u w:val="single" w:color="auto"/>
        </w:rPr>
        <w:t xml:space="preserve">                    </w:t>
      </w:r>
    </w:p>
    <w:p w14:paraId="1846E226">
      <w:pPr>
        <w:spacing w:line="355" w:lineRule="auto"/>
        <w:rPr>
          <w:rFonts w:ascii="Arial"/>
          <w:color w:val="auto"/>
          <w:sz w:val="21"/>
          <w:highlight w:val="none"/>
        </w:rPr>
      </w:pPr>
    </w:p>
    <w:p w14:paraId="4B98A1EB">
      <w:pPr>
        <w:pStyle w:val="2"/>
        <w:spacing w:before="79" w:line="224" w:lineRule="auto"/>
        <w:ind w:left="578"/>
        <w:rPr>
          <w:color w:val="auto"/>
          <w:spacing w:val="-4"/>
          <w:sz w:val="24"/>
          <w:szCs w:val="24"/>
          <w:highlight w:val="none"/>
        </w:rPr>
      </w:pPr>
    </w:p>
    <w:p w14:paraId="3155E4AF">
      <w:pPr>
        <w:pStyle w:val="2"/>
        <w:spacing w:before="79" w:line="224" w:lineRule="auto"/>
        <w:ind w:left="578"/>
        <w:rPr>
          <w:color w:val="auto"/>
          <w:spacing w:val="-4"/>
          <w:sz w:val="24"/>
          <w:szCs w:val="24"/>
          <w:highlight w:val="none"/>
        </w:rPr>
      </w:pPr>
    </w:p>
    <w:p w14:paraId="0E8FB525">
      <w:pPr>
        <w:pStyle w:val="2"/>
        <w:spacing w:before="79" w:line="224" w:lineRule="auto"/>
        <w:ind w:left="578"/>
        <w:rPr>
          <w:color w:val="auto"/>
          <w:sz w:val="24"/>
          <w:szCs w:val="24"/>
          <w:highlight w:val="none"/>
        </w:rPr>
      </w:pPr>
      <w:r>
        <w:rPr>
          <w:color w:val="auto"/>
          <w:spacing w:val="-4"/>
          <w:sz w:val="24"/>
          <w:szCs w:val="24"/>
          <w:highlight w:val="none"/>
        </w:rPr>
        <w:t>注:</w:t>
      </w:r>
    </w:p>
    <w:p w14:paraId="0D3CC4B5">
      <w:pPr>
        <w:pStyle w:val="2"/>
        <w:spacing w:before="108" w:line="219" w:lineRule="auto"/>
        <w:ind w:left="56"/>
        <w:rPr>
          <w:color w:val="auto"/>
          <w:sz w:val="24"/>
          <w:szCs w:val="24"/>
          <w:highlight w:val="none"/>
        </w:rPr>
      </w:pPr>
      <w:r>
        <w:rPr>
          <w:color w:val="auto"/>
          <w:spacing w:val="-4"/>
          <w:sz w:val="24"/>
          <w:szCs w:val="24"/>
          <w:highlight w:val="none"/>
        </w:rPr>
        <w:t>1.此表应按供应商须知的规定制作。</w:t>
      </w:r>
    </w:p>
    <w:p w14:paraId="68512A50">
      <w:pPr>
        <w:pStyle w:val="2"/>
        <w:spacing w:before="116" w:line="218" w:lineRule="auto"/>
        <w:ind w:left="41"/>
        <w:outlineLvl w:val="3"/>
        <w:rPr>
          <w:color w:val="auto"/>
          <w:sz w:val="24"/>
          <w:szCs w:val="24"/>
          <w:highlight w:val="none"/>
        </w:rPr>
      </w:pPr>
      <w:r>
        <w:rPr>
          <w:b/>
          <w:bCs/>
          <w:color w:val="auto"/>
          <w:spacing w:val="-2"/>
          <w:sz w:val="24"/>
          <w:szCs w:val="24"/>
          <w:highlight w:val="none"/>
        </w:rPr>
        <w:t>2.此表中，磋商总价应和磋商分项报价表的总</w:t>
      </w:r>
      <w:r>
        <w:rPr>
          <w:b/>
          <w:bCs/>
          <w:color w:val="auto"/>
          <w:spacing w:val="-3"/>
          <w:sz w:val="24"/>
          <w:szCs w:val="24"/>
          <w:highlight w:val="none"/>
        </w:rPr>
        <w:t>价相一致。</w:t>
      </w:r>
    </w:p>
    <w:p w14:paraId="0A16CAA7">
      <w:pPr>
        <w:pStyle w:val="2"/>
        <w:spacing w:before="116" w:line="263" w:lineRule="auto"/>
        <w:ind w:left="36" w:right="182" w:firstLine="6"/>
        <w:outlineLvl w:val="3"/>
        <w:rPr>
          <w:color w:val="auto"/>
          <w:sz w:val="24"/>
          <w:szCs w:val="24"/>
          <w:highlight w:val="none"/>
        </w:rPr>
      </w:pPr>
      <w:r>
        <w:rPr>
          <w:b/>
          <w:bCs/>
          <w:color w:val="auto"/>
          <w:spacing w:val="-2"/>
          <w:sz w:val="24"/>
          <w:szCs w:val="24"/>
          <w:highlight w:val="none"/>
        </w:rPr>
        <w:t>3.供应商应按磋商文件规定的服务要求、责任范围和合同条件，以人民币</w:t>
      </w:r>
      <w:r>
        <w:rPr>
          <w:b/>
          <w:bCs/>
          <w:color w:val="auto"/>
          <w:spacing w:val="-3"/>
          <w:sz w:val="24"/>
          <w:szCs w:val="24"/>
          <w:highlight w:val="none"/>
        </w:rPr>
        <w:t>进行</w:t>
      </w:r>
      <w:r>
        <w:rPr>
          <w:b/>
          <w:bCs/>
          <w:color w:val="auto"/>
          <w:spacing w:val="-5"/>
          <w:sz w:val="24"/>
          <w:szCs w:val="24"/>
          <w:highlight w:val="none"/>
        </w:rPr>
        <w:t>报价。</w:t>
      </w:r>
    </w:p>
    <w:p w14:paraId="78AD1A5A">
      <w:pPr>
        <w:pStyle w:val="2"/>
        <w:spacing w:before="79" w:line="219" w:lineRule="auto"/>
        <w:outlineLvl w:val="3"/>
        <w:rPr>
          <w:color w:val="auto"/>
          <w:sz w:val="24"/>
          <w:szCs w:val="24"/>
          <w:highlight w:val="none"/>
        </w:rPr>
      </w:pPr>
      <w:r>
        <w:rPr>
          <w:rFonts w:hint="eastAsia"/>
          <w:b/>
          <w:bCs/>
          <w:color w:val="auto"/>
          <w:spacing w:val="-2"/>
          <w:sz w:val="24"/>
          <w:szCs w:val="24"/>
          <w:highlight w:val="none"/>
          <w:lang w:val="en-US" w:eastAsia="zh-CN"/>
        </w:rPr>
        <w:t>4.</w:t>
      </w:r>
      <w:r>
        <w:rPr>
          <w:b/>
          <w:bCs/>
          <w:color w:val="auto"/>
          <w:spacing w:val="-2"/>
          <w:sz w:val="24"/>
          <w:szCs w:val="24"/>
          <w:highlight w:val="none"/>
        </w:rPr>
        <w:t>具有三证合一企业法人营业执照副本原</w:t>
      </w:r>
      <w:r>
        <w:rPr>
          <w:b/>
          <w:bCs/>
          <w:color w:val="auto"/>
          <w:spacing w:val="-3"/>
          <w:sz w:val="24"/>
          <w:szCs w:val="24"/>
          <w:highlight w:val="none"/>
        </w:rPr>
        <w:t>件的扫描件</w:t>
      </w:r>
    </w:p>
    <w:p w14:paraId="57F53107">
      <w:pPr>
        <w:pStyle w:val="2"/>
        <w:spacing w:before="27" w:line="219" w:lineRule="auto"/>
        <w:jc w:val="center"/>
        <w:rPr>
          <w:color w:val="auto"/>
          <w:sz w:val="24"/>
          <w:szCs w:val="24"/>
          <w:highlight w:val="none"/>
        </w:rPr>
      </w:pPr>
      <w:r>
        <w:rPr>
          <w:b/>
          <w:bCs/>
          <w:color w:val="auto"/>
          <w:spacing w:val="-4"/>
          <w:sz w:val="24"/>
          <w:szCs w:val="24"/>
          <w:highlight w:val="none"/>
        </w:rPr>
        <w:t>注：1.磋商商必须符合《中华人民共和国政府采购法》第二十二条的相关规定；</w:t>
      </w:r>
    </w:p>
    <w:p w14:paraId="0A623BC3">
      <w:pPr>
        <w:pStyle w:val="2"/>
        <w:spacing w:before="26" w:line="219" w:lineRule="auto"/>
        <w:ind w:left="521"/>
        <w:outlineLvl w:val="3"/>
        <w:rPr>
          <w:color w:val="auto"/>
          <w:sz w:val="24"/>
          <w:szCs w:val="24"/>
          <w:highlight w:val="none"/>
        </w:rPr>
      </w:pPr>
      <w:r>
        <w:rPr>
          <w:b/>
          <w:bCs/>
          <w:color w:val="auto"/>
          <w:spacing w:val="-2"/>
          <w:sz w:val="24"/>
          <w:szCs w:val="24"/>
          <w:highlight w:val="none"/>
        </w:rPr>
        <w:t>2.提供有效的营业执照等证明文件复印件，复印件上应加盖本单位鲜</w:t>
      </w:r>
      <w:r>
        <w:rPr>
          <w:b/>
          <w:bCs/>
          <w:color w:val="auto"/>
          <w:spacing w:val="-3"/>
          <w:sz w:val="24"/>
          <w:szCs w:val="24"/>
          <w:highlight w:val="none"/>
        </w:rPr>
        <w:t>章。</w:t>
      </w:r>
    </w:p>
    <w:p w14:paraId="4F2CC96D">
      <w:pPr>
        <w:spacing w:line="253" w:lineRule="auto"/>
        <w:rPr>
          <w:rFonts w:ascii="Arial"/>
          <w:color w:val="auto"/>
          <w:sz w:val="21"/>
          <w:highlight w:val="none"/>
        </w:rPr>
      </w:pPr>
    </w:p>
    <w:p w14:paraId="144F32A5">
      <w:pPr>
        <w:spacing w:line="254" w:lineRule="auto"/>
        <w:rPr>
          <w:rFonts w:ascii="Arial"/>
          <w:color w:val="auto"/>
          <w:sz w:val="21"/>
          <w:highlight w:val="none"/>
        </w:rPr>
      </w:pPr>
    </w:p>
    <w:p w14:paraId="32225E45">
      <w:pPr>
        <w:spacing w:line="254" w:lineRule="auto"/>
        <w:rPr>
          <w:rFonts w:ascii="Arial"/>
          <w:color w:val="auto"/>
          <w:sz w:val="21"/>
          <w:highlight w:val="none"/>
        </w:rPr>
      </w:pPr>
    </w:p>
    <w:p w14:paraId="28EDB089">
      <w:pPr>
        <w:spacing w:line="254" w:lineRule="auto"/>
        <w:rPr>
          <w:rFonts w:ascii="Arial"/>
          <w:color w:val="auto"/>
          <w:sz w:val="21"/>
          <w:highlight w:val="none"/>
        </w:rPr>
      </w:pPr>
    </w:p>
    <w:p w14:paraId="536604F7">
      <w:pPr>
        <w:spacing w:line="254" w:lineRule="auto"/>
        <w:rPr>
          <w:rFonts w:ascii="Arial"/>
          <w:color w:val="auto"/>
          <w:sz w:val="21"/>
          <w:highlight w:val="none"/>
        </w:rPr>
      </w:pPr>
    </w:p>
    <w:p w14:paraId="02362E2A">
      <w:pPr>
        <w:spacing w:line="254" w:lineRule="auto"/>
        <w:rPr>
          <w:rFonts w:ascii="Arial"/>
          <w:color w:val="auto"/>
          <w:sz w:val="21"/>
          <w:highlight w:val="none"/>
        </w:rPr>
      </w:pPr>
    </w:p>
    <w:p w14:paraId="00CC052D">
      <w:pPr>
        <w:spacing w:line="254" w:lineRule="auto"/>
        <w:rPr>
          <w:rFonts w:ascii="Arial"/>
          <w:color w:val="auto"/>
          <w:sz w:val="21"/>
          <w:highlight w:val="none"/>
        </w:rPr>
      </w:pPr>
    </w:p>
    <w:p w14:paraId="6F775A9A">
      <w:pPr>
        <w:spacing w:line="254" w:lineRule="auto"/>
        <w:rPr>
          <w:rFonts w:ascii="Arial"/>
          <w:color w:val="auto"/>
          <w:sz w:val="21"/>
          <w:highlight w:val="none"/>
        </w:rPr>
      </w:pPr>
    </w:p>
    <w:p w14:paraId="518A3630">
      <w:pPr>
        <w:spacing w:line="254" w:lineRule="auto"/>
        <w:rPr>
          <w:rFonts w:ascii="Arial"/>
          <w:color w:val="auto"/>
          <w:sz w:val="21"/>
          <w:highlight w:val="none"/>
        </w:rPr>
      </w:pPr>
    </w:p>
    <w:p w14:paraId="17169E81">
      <w:pPr>
        <w:spacing w:line="254" w:lineRule="auto"/>
        <w:rPr>
          <w:rFonts w:ascii="Arial"/>
          <w:color w:val="auto"/>
          <w:sz w:val="21"/>
          <w:highlight w:val="none"/>
        </w:rPr>
      </w:pPr>
    </w:p>
    <w:p w14:paraId="0185D6A5">
      <w:pPr>
        <w:spacing w:line="254" w:lineRule="auto"/>
        <w:rPr>
          <w:rFonts w:ascii="Arial"/>
          <w:color w:val="auto"/>
          <w:sz w:val="21"/>
          <w:highlight w:val="none"/>
        </w:rPr>
      </w:pPr>
    </w:p>
    <w:p w14:paraId="43E3EF35">
      <w:pPr>
        <w:spacing w:line="254" w:lineRule="auto"/>
        <w:rPr>
          <w:rFonts w:ascii="Arial"/>
          <w:color w:val="auto"/>
          <w:sz w:val="21"/>
          <w:highlight w:val="none"/>
        </w:rPr>
      </w:pPr>
    </w:p>
    <w:p w14:paraId="57A8D344">
      <w:pPr>
        <w:spacing w:line="254" w:lineRule="auto"/>
        <w:rPr>
          <w:rFonts w:ascii="Arial"/>
          <w:color w:val="auto"/>
          <w:sz w:val="21"/>
          <w:highlight w:val="none"/>
        </w:rPr>
      </w:pPr>
    </w:p>
    <w:p w14:paraId="6BB80479">
      <w:pPr>
        <w:spacing w:line="254" w:lineRule="auto"/>
        <w:rPr>
          <w:rFonts w:ascii="Arial"/>
          <w:color w:val="auto"/>
          <w:sz w:val="21"/>
          <w:highlight w:val="none"/>
        </w:rPr>
      </w:pPr>
    </w:p>
    <w:p w14:paraId="7B1A1748">
      <w:pPr>
        <w:spacing w:line="254" w:lineRule="auto"/>
        <w:rPr>
          <w:rFonts w:ascii="Arial"/>
          <w:color w:val="auto"/>
          <w:sz w:val="21"/>
          <w:highlight w:val="none"/>
        </w:rPr>
      </w:pPr>
    </w:p>
    <w:p w14:paraId="5DA82137">
      <w:pPr>
        <w:spacing w:line="418" w:lineRule="auto"/>
        <w:rPr>
          <w:rFonts w:ascii="Arial"/>
          <w:color w:val="auto"/>
          <w:sz w:val="21"/>
          <w:highlight w:val="none"/>
        </w:rPr>
      </w:pPr>
    </w:p>
    <w:p w14:paraId="41F5F74B">
      <w:pPr>
        <w:pStyle w:val="2"/>
        <w:spacing w:before="78" w:line="219" w:lineRule="auto"/>
        <w:ind w:left="43"/>
        <w:outlineLvl w:val="3"/>
        <w:rPr>
          <w:b/>
          <w:bCs/>
          <w:color w:val="auto"/>
          <w:spacing w:val="-2"/>
          <w:sz w:val="24"/>
          <w:szCs w:val="24"/>
          <w:highlight w:val="none"/>
        </w:rPr>
      </w:pPr>
    </w:p>
    <w:p w14:paraId="26CB73AD">
      <w:pPr>
        <w:pStyle w:val="2"/>
        <w:spacing w:before="78" w:line="219" w:lineRule="auto"/>
        <w:ind w:left="43"/>
        <w:outlineLvl w:val="3"/>
        <w:rPr>
          <w:color w:val="auto"/>
          <w:sz w:val="24"/>
          <w:szCs w:val="24"/>
          <w:highlight w:val="none"/>
        </w:rPr>
      </w:pPr>
      <w:r>
        <w:rPr>
          <w:rFonts w:hint="eastAsia"/>
          <w:b/>
          <w:bCs/>
          <w:color w:val="auto"/>
          <w:spacing w:val="-2"/>
          <w:sz w:val="24"/>
          <w:szCs w:val="24"/>
          <w:highlight w:val="none"/>
          <w:lang w:val="en-US" w:eastAsia="zh-CN"/>
        </w:rPr>
        <w:t>2</w:t>
      </w:r>
      <w:r>
        <w:rPr>
          <w:b/>
          <w:bCs/>
          <w:color w:val="auto"/>
          <w:spacing w:val="-2"/>
          <w:sz w:val="24"/>
          <w:szCs w:val="24"/>
          <w:highlight w:val="none"/>
        </w:rPr>
        <w:t>、法定代表人资格证明(法定代表人磋商需提供法定代表人身</w:t>
      </w:r>
      <w:r>
        <w:rPr>
          <w:b/>
          <w:bCs/>
          <w:color w:val="auto"/>
          <w:spacing w:val="-3"/>
          <w:sz w:val="24"/>
          <w:szCs w:val="24"/>
          <w:highlight w:val="none"/>
        </w:rPr>
        <w:t>份证)；</w:t>
      </w:r>
    </w:p>
    <w:p w14:paraId="3ABB2D4E">
      <w:pPr>
        <w:spacing w:before="228" w:line="183" w:lineRule="auto"/>
        <w:ind w:left="2823"/>
        <w:outlineLvl w:val="5"/>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rPr>
        <w:t>（1）法定代表人身份证明</w:t>
      </w:r>
    </w:p>
    <w:p w14:paraId="7A0020E0">
      <w:pPr>
        <w:spacing w:line="317" w:lineRule="auto"/>
        <w:rPr>
          <w:rFonts w:ascii="Arial"/>
          <w:color w:val="auto"/>
          <w:sz w:val="21"/>
          <w:highlight w:val="none"/>
        </w:rPr>
      </w:pPr>
    </w:p>
    <w:p w14:paraId="4C63B4BD">
      <w:pPr>
        <w:tabs>
          <w:tab w:val="left" w:pos="1828"/>
        </w:tabs>
        <w:spacing w:before="103" w:line="359" w:lineRule="auto"/>
        <w:ind w:left="271" w:right="332" w:firstLine="357"/>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u w:val="single" w:color="auto"/>
        </w:rPr>
        <w:tab/>
      </w:r>
      <w:r>
        <w:rPr>
          <w:rFonts w:ascii="微软雅黑" w:hAnsi="微软雅黑" w:eastAsia="微软雅黑" w:cs="微软雅黑"/>
          <w:color w:val="auto"/>
          <w:spacing w:val="-50"/>
          <w:sz w:val="24"/>
          <w:szCs w:val="24"/>
          <w:highlight w:val="none"/>
        </w:rPr>
        <w:t xml:space="preserve"> </w:t>
      </w:r>
      <w:r>
        <w:rPr>
          <w:rFonts w:ascii="微软雅黑" w:hAnsi="微软雅黑" w:eastAsia="微软雅黑" w:cs="微软雅黑"/>
          <w:color w:val="auto"/>
          <w:spacing w:val="-4"/>
          <w:sz w:val="24"/>
          <w:szCs w:val="24"/>
          <w:highlight w:val="none"/>
        </w:rPr>
        <w:t>同志，现任我单位</w:t>
      </w:r>
      <w:r>
        <w:rPr>
          <w:rFonts w:ascii="微软雅黑" w:hAnsi="微软雅黑" w:eastAsia="微软雅黑" w:cs="微软雅黑"/>
          <w:color w:val="auto"/>
          <w:spacing w:val="-4"/>
          <w:sz w:val="24"/>
          <w:szCs w:val="24"/>
          <w:highlight w:val="none"/>
          <w:u w:val="single" w:color="auto"/>
        </w:rPr>
        <w:t xml:space="preserve">                 </w:t>
      </w:r>
      <w:r>
        <w:rPr>
          <w:rFonts w:ascii="微软雅黑" w:hAnsi="微软雅黑" w:eastAsia="微软雅黑" w:cs="微软雅黑"/>
          <w:color w:val="auto"/>
          <w:spacing w:val="-67"/>
          <w:sz w:val="24"/>
          <w:szCs w:val="24"/>
          <w:highlight w:val="none"/>
        </w:rPr>
        <w:t xml:space="preserve"> </w:t>
      </w:r>
      <w:r>
        <w:rPr>
          <w:rFonts w:ascii="微软雅黑" w:hAnsi="微软雅黑" w:eastAsia="微软雅黑" w:cs="微软雅黑"/>
          <w:color w:val="auto"/>
          <w:spacing w:val="-4"/>
          <w:sz w:val="24"/>
          <w:szCs w:val="24"/>
          <w:highlight w:val="none"/>
        </w:rPr>
        <w:t>职务，为法定代表</w:t>
      </w:r>
      <w:r>
        <w:rPr>
          <w:rFonts w:ascii="微软雅黑" w:hAnsi="微软雅黑" w:eastAsia="微软雅黑" w:cs="微软雅黑"/>
          <w:color w:val="auto"/>
          <w:spacing w:val="-5"/>
          <w:sz w:val="24"/>
          <w:szCs w:val="24"/>
          <w:highlight w:val="none"/>
        </w:rPr>
        <w:t>人，特此证明。</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签发日期：                               单位：</w:t>
      </w:r>
    </w:p>
    <w:p w14:paraId="5E3893C2">
      <w:pPr>
        <w:spacing w:before="4" w:line="183" w:lineRule="auto"/>
        <w:ind w:left="28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 xml:space="preserve">代表人性别：                    年龄：                  </w:t>
      </w:r>
      <w:r>
        <w:rPr>
          <w:rFonts w:ascii="微软雅黑" w:hAnsi="微软雅黑" w:eastAsia="微软雅黑" w:cs="微软雅黑"/>
          <w:color w:val="auto"/>
          <w:spacing w:val="-2"/>
          <w:sz w:val="24"/>
          <w:szCs w:val="24"/>
          <w:highlight w:val="none"/>
        </w:rPr>
        <w:t xml:space="preserve"> 身份证号码：</w:t>
      </w:r>
    </w:p>
    <w:p w14:paraId="0ED80B75">
      <w:pPr>
        <w:spacing w:before="305" w:line="182" w:lineRule="auto"/>
        <w:ind w:left="27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8"/>
          <w:sz w:val="24"/>
          <w:szCs w:val="24"/>
          <w:highlight w:val="none"/>
        </w:rPr>
        <w:t>联系电话：</w:t>
      </w:r>
    </w:p>
    <w:p w14:paraId="29F52E72">
      <w:pPr>
        <w:spacing w:before="303" w:line="183" w:lineRule="auto"/>
        <w:ind w:left="27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营业执照号码：                        经济性质：</w:t>
      </w:r>
    </w:p>
    <w:p w14:paraId="05AFF9B5">
      <w:pPr>
        <w:spacing w:before="305" w:line="182" w:lineRule="auto"/>
        <w:ind w:left="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1"/>
          <w:sz w:val="24"/>
          <w:szCs w:val="24"/>
          <w:highlight w:val="none"/>
        </w:rPr>
        <w:t>说明：</w:t>
      </w:r>
    </w:p>
    <w:p w14:paraId="161AF5DD">
      <w:pPr>
        <w:spacing w:before="302" w:line="184" w:lineRule="auto"/>
        <w:ind w:left="29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1、法定代表人为企业事业单位、国家机关、社会团体的主要行政</w:t>
      </w:r>
      <w:r>
        <w:rPr>
          <w:rFonts w:ascii="微软雅黑" w:hAnsi="微软雅黑" w:eastAsia="微软雅黑" w:cs="微软雅黑"/>
          <w:color w:val="auto"/>
          <w:spacing w:val="-3"/>
          <w:sz w:val="24"/>
          <w:szCs w:val="24"/>
          <w:highlight w:val="none"/>
        </w:rPr>
        <w:t>负责人。</w:t>
      </w:r>
    </w:p>
    <w:p w14:paraId="2D3FEB7D">
      <w:pPr>
        <w:spacing w:before="304" w:line="183" w:lineRule="auto"/>
        <w:ind w:left="28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2、内容必须填写真实、清楚、涂改无效，不得转让。</w:t>
      </w:r>
    </w:p>
    <w:p w14:paraId="54F70A8A">
      <w:pPr>
        <w:tabs>
          <w:tab w:val="left" w:pos="287"/>
        </w:tabs>
        <w:spacing w:before="302" w:line="184" w:lineRule="auto"/>
        <w:ind w:left="28"/>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u w:val="single" w:color="auto"/>
        </w:rPr>
        <w:tab/>
      </w:r>
      <w:r>
        <w:rPr>
          <w:rFonts w:ascii="微软雅黑" w:hAnsi="微软雅黑" w:eastAsia="微软雅黑" w:cs="微软雅黑"/>
          <w:b/>
          <w:bCs/>
          <w:color w:val="auto"/>
          <w:spacing w:val="-1"/>
          <w:sz w:val="24"/>
          <w:szCs w:val="24"/>
          <w:highlight w:val="none"/>
          <w:u w:val="single" w:color="auto"/>
        </w:rPr>
        <w:t>(为避免废标，请磋商人务必提供本附件，身份证须双面复印)</w:t>
      </w:r>
    </w:p>
    <w:p w14:paraId="1BED82CC">
      <w:pPr>
        <w:pStyle w:val="2"/>
        <w:spacing w:before="206" w:line="2510" w:lineRule="exact"/>
        <w:ind w:firstLine="264"/>
        <w:rPr>
          <w:color w:val="auto"/>
          <w:highlight w:val="none"/>
        </w:rPr>
      </w:pPr>
      <w:r>
        <w:rPr>
          <w:color w:val="auto"/>
          <w:highlight w:val="none"/>
        </w:rPr>
        <w:pict>
          <v:group id="_x0000_s1048" o:spid="_x0000_s1048" o:spt="203" style="position:absolute;left:0pt;margin-left:230.6pt;margin-top:11.45pt;height:123.9pt;width:206.8pt;z-index:251669504;mso-width-relative:page;mso-height-relative:page;" coordsize="4136,2478">
            <o:lock v:ext="edit"/>
            <v:shape id="_x0000_s1049" o:spid="_x0000_s1049" style="position:absolute;left:0;top:0;height:2478;width:4136;" filled="f" stroked="t" coordsize="4136,2478" path="m12,421c12,312,55,208,132,132c208,55,312,12,421,12l421,12,3713,12c3822,12,3926,55,4002,132c4079,208,4122,312,4122,421l4122,421,4122,2055c4122,2164,4079,2268,4002,2344c3926,2421,3822,2464,3713,2464l3713,2464,421,2464c312,2464,208,2421,132,2344c55,2268,12,2164,12,2055l12,421xe">
              <v:fill on="f" focussize="0,0"/>
              <v:stroke weight="1.25pt" color="#808080" miterlimit="10"/>
              <v:imagedata o:title=""/>
              <o:lock v:ext="edit"/>
            </v:shape>
            <v:shape id="_x0000_s1050" o:spid="_x0000_s1050" o:spt="202" type="#_x0000_t202" style="position:absolute;left:-20;top:-20;height:2556;width:4176;" filled="f" stroked="f" coordsize="21600,21600">
              <v:path/>
              <v:fill on="f" focussize="0,0"/>
              <v:stroke on="f"/>
              <v:imagedata o:title=""/>
              <o:lock v:ext="edit" aspectratio="f"/>
              <v:textbox inset="0mm,0mm,0mm,0mm">
                <w:txbxContent>
                  <w:p w14:paraId="14D7C4D6">
                    <w:pPr>
                      <w:spacing w:line="305" w:lineRule="auto"/>
                      <w:rPr>
                        <w:rFonts w:ascii="Arial"/>
                        <w:sz w:val="21"/>
                      </w:rPr>
                    </w:pPr>
                  </w:p>
                  <w:p w14:paraId="69A08E76">
                    <w:pPr>
                      <w:spacing w:line="305" w:lineRule="auto"/>
                      <w:rPr>
                        <w:rFonts w:ascii="Arial"/>
                        <w:sz w:val="21"/>
                      </w:rPr>
                    </w:pPr>
                  </w:p>
                  <w:p w14:paraId="6E3615A6">
                    <w:pPr>
                      <w:spacing w:line="306" w:lineRule="auto"/>
                      <w:rPr>
                        <w:rFonts w:ascii="Arial"/>
                        <w:sz w:val="21"/>
                      </w:rPr>
                    </w:pPr>
                  </w:p>
                  <w:p w14:paraId="363637C4">
                    <w:pPr>
                      <w:pStyle w:val="2"/>
                      <w:spacing w:before="68" w:line="220" w:lineRule="auto"/>
                      <w:ind w:left="940"/>
                      <w:rPr>
                        <w:sz w:val="21"/>
                        <w:szCs w:val="21"/>
                      </w:rPr>
                    </w:pPr>
                    <w:r>
                      <w:rPr>
                        <w:spacing w:val="-1"/>
                        <w:sz w:val="21"/>
                        <w:szCs w:val="21"/>
                      </w:rPr>
                      <w:t>法定代表人身份证复印件</w:t>
                    </w:r>
                  </w:p>
                </w:txbxContent>
              </v:textbox>
            </v:shape>
          </v:group>
        </w:pict>
      </w:r>
      <w:r>
        <w:rPr>
          <w:color w:val="auto"/>
          <w:position w:val="-50"/>
          <w:highlight w:val="none"/>
        </w:rPr>
        <w:pict>
          <v:group id="_x0000_s1051" o:spid="_x0000_s1051" o:spt="203" style="height:125.5pt;width:184.5pt;" coordsize="3690,2510">
            <o:lock v:ext="edit"/>
            <v:shape id="_x0000_s1052" o:spid="_x0000_s1052" style="position:absolute;left:0;top:0;height:2510;width:3690;" filled="f" stroked="t" coordsize="3690,2510" path="m7,423c7,313,51,207,129,129c207,51,313,7,423,7l423,7,3266,7c3376,7,3482,51,3560,129c3638,207,3682,313,3682,423l3682,423,3682,2086c3682,2196,3638,2302,3560,2380c3482,2458,3376,2502,3266,2502l3266,2502,423,2502c313,2502,207,2458,129,2380c51,2302,7,2196,7,2086l7,423xe">
              <v:fill on="f" focussize="0,0"/>
              <v:stroke color="#000000" miterlimit="10" joinstyle="miter"/>
              <v:imagedata o:title=""/>
              <o:lock v:ext="edit"/>
            </v:shape>
            <v:shape id="_x0000_s1053" o:spid="_x0000_s1053" o:spt="202" type="#_x0000_t202" style="position:absolute;left:-20;top:-20;height:2550;width:3730;" filled="f" stroked="f" coordsize="21600,21600">
              <v:path/>
              <v:fill on="f" focussize="0,0"/>
              <v:stroke on="f"/>
              <v:imagedata o:title=""/>
              <o:lock v:ext="edit" aspectratio="f"/>
              <v:textbox inset="0mm,0mm,0mm,0mm">
                <w:txbxContent>
                  <w:p w14:paraId="6B18F221">
                    <w:pPr>
                      <w:spacing w:line="303" w:lineRule="auto"/>
                      <w:rPr>
                        <w:rFonts w:ascii="Arial"/>
                        <w:sz w:val="21"/>
                      </w:rPr>
                    </w:pPr>
                  </w:p>
                  <w:p w14:paraId="1B820F85">
                    <w:pPr>
                      <w:spacing w:line="303" w:lineRule="auto"/>
                      <w:rPr>
                        <w:rFonts w:ascii="Arial"/>
                        <w:sz w:val="21"/>
                      </w:rPr>
                    </w:pPr>
                  </w:p>
                  <w:p w14:paraId="0E9BC101">
                    <w:pPr>
                      <w:spacing w:line="303" w:lineRule="auto"/>
                      <w:rPr>
                        <w:rFonts w:ascii="Arial"/>
                        <w:sz w:val="21"/>
                      </w:rPr>
                    </w:pPr>
                  </w:p>
                  <w:p w14:paraId="02D87D6E">
                    <w:pPr>
                      <w:spacing w:before="69" w:line="220" w:lineRule="auto"/>
                      <w:ind w:left="718"/>
                      <w:rPr>
                        <w:rFonts w:ascii="宋体" w:hAnsi="宋体" w:eastAsia="宋体" w:cs="宋体"/>
                        <w:sz w:val="21"/>
                        <w:szCs w:val="21"/>
                      </w:rPr>
                    </w:pPr>
                    <w:r>
                      <w:rPr>
                        <w:rFonts w:ascii="宋体" w:hAnsi="宋体" w:eastAsia="宋体" w:cs="宋体"/>
                        <w:spacing w:val="-1"/>
                        <w:sz w:val="21"/>
                        <w:szCs w:val="21"/>
                      </w:rPr>
                      <w:t>法定代表人身份证复印件</w:t>
                    </w:r>
                  </w:p>
                </w:txbxContent>
              </v:textbox>
            </v:shape>
            <w10:wrap type="none"/>
            <w10:anchorlock/>
          </v:group>
        </w:pict>
      </w:r>
    </w:p>
    <w:p w14:paraId="40D22AF9">
      <w:pPr>
        <w:spacing w:line="328" w:lineRule="auto"/>
        <w:rPr>
          <w:rFonts w:ascii="Arial"/>
          <w:color w:val="auto"/>
          <w:sz w:val="21"/>
          <w:highlight w:val="none"/>
        </w:rPr>
      </w:pPr>
    </w:p>
    <w:p w14:paraId="1AAF9203">
      <w:pPr>
        <w:spacing w:line="328" w:lineRule="auto"/>
        <w:rPr>
          <w:rFonts w:ascii="Arial"/>
          <w:color w:val="auto"/>
          <w:sz w:val="21"/>
          <w:highlight w:val="none"/>
        </w:rPr>
      </w:pPr>
    </w:p>
    <w:p w14:paraId="7E2B382A">
      <w:pPr>
        <w:spacing w:before="103" w:line="262" w:lineRule="auto"/>
        <w:ind w:left="31" w:right="6260" w:hanging="2"/>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 xml:space="preserve">供应商名称（公章）：  </w:t>
      </w:r>
      <w:r>
        <w:rPr>
          <w:rFonts w:ascii="微软雅黑" w:hAnsi="微软雅黑" w:eastAsia="微软雅黑" w:cs="微软雅黑"/>
          <w:color w:val="auto"/>
          <w:spacing w:val="-5"/>
          <w:sz w:val="24"/>
          <w:szCs w:val="24"/>
          <w:highlight w:val="none"/>
        </w:rPr>
        <w:t>法定代表人（签/章</w:t>
      </w:r>
      <w:r>
        <w:rPr>
          <w:rFonts w:ascii="微软雅黑" w:hAnsi="微软雅黑" w:eastAsia="微软雅黑" w:cs="微软雅黑"/>
          <w:color w:val="auto"/>
          <w:spacing w:val="-3"/>
          <w:sz w:val="24"/>
          <w:szCs w:val="24"/>
          <w:highlight w:val="none"/>
        </w:rPr>
        <w:t>）：</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11"/>
          <w:sz w:val="24"/>
          <w:szCs w:val="24"/>
          <w:highlight w:val="none"/>
        </w:rPr>
        <w:t>日期：</w:t>
      </w:r>
    </w:p>
    <w:p w14:paraId="76BA7BE1">
      <w:pPr>
        <w:spacing w:line="456" w:lineRule="auto"/>
        <w:rPr>
          <w:rFonts w:ascii="Arial"/>
          <w:color w:val="auto"/>
          <w:sz w:val="21"/>
          <w:highlight w:val="none"/>
        </w:rPr>
      </w:pPr>
    </w:p>
    <w:p w14:paraId="45F1015C">
      <w:pPr>
        <w:spacing w:before="104" w:line="184" w:lineRule="auto"/>
        <w:ind w:left="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说明：1.提供有效的营业执照等证明文件复印</w:t>
      </w:r>
      <w:r>
        <w:rPr>
          <w:rFonts w:ascii="微软雅黑" w:hAnsi="微软雅黑" w:eastAsia="微软雅黑" w:cs="微软雅黑"/>
          <w:color w:val="auto"/>
          <w:spacing w:val="-2"/>
          <w:sz w:val="24"/>
          <w:szCs w:val="24"/>
          <w:highlight w:val="none"/>
        </w:rPr>
        <w:t>件，复印件上应加盖本单位章。</w:t>
      </w:r>
    </w:p>
    <w:p w14:paraId="2F074AC9">
      <w:pPr>
        <w:spacing w:before="186" w:line="183" w:lineRule="auto"/>
        <w:ind w:left="82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2. 供应商为自然人的，应提供身份证明的复印件。</w:t>
      </w:r>
    </w:p>
    <w:p w14:paraId="634FB0CD">
      <w:pPr>
        <w:spacing w:before="186" w:line="183" w:lineRule="auto"/>
        <w:ind w:left="82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3.联合体谈判应提供联合体各方满足以上</w:t>
      </w:r>
      <w:r>
        <w:rPr>
          <w:rFonts w:ascii="微软雅黑" w:hAnsi="微软雅黑" w:eastAsia="微软雅黑" w:cs="微软雅黑"/>
          <w:color w:val="auto"/>
          <w:spacing w:val="-3"/>
          <w:sz w:val="24"/>
          <w:szCs w:val="24"/>
          <w:highlight w:val="none"/>
        </w:rPr>
        <w:t>要求的证明文件。</w:t>
      </w:r>
    </w:p>
    <w:p w14:paraId="1775B487">
      <w:pPr>
        <w:spacing w:line="282" w:lineRule="auto"/>
        <w:rPr>
          <w:rFonts w:ascii="Arial"/>
          <w:color w:val="auto"/>
          <w:sz w:val="21"/>
          <w:highlight w:val="none"/>
        </w:rPr>
      </w:pPr>
    </w:p>
    <w:p w14:paraId="514403D4">
      <w:pPr>
        <w:spacing w:line="282" w:lineRule="auto"/>
        <w:rPr>
          <w:rFonts w:ascii="Arial"/>
          <w:color w:val="auto"/>
          <w:sz w:val="21"/>
          <w:highlight w:val="none"/>
        </w:rPr>
      </w:pPr>
    </w:p>
    <w:p w14:paraId="6D8654F0">
      <w:pPr>
        <w:spacing w:before="103" w:line="183" w:lineRule="auto"/>
        <w:ind w:left="1503"/>
        <w:outlineLvl w:val="5"/>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（2）法人授权委托书及法人身份及磋商人身份证明</w:t>
      </w:r>
    </w:p>
    <w:p w14:paraId="38CDBB24">
      <w:pPr>
        <w:spacing w:line="382" w:lineRule="auto"/>
        <w:rPr>
          <w:rFonts w:ascii="Arial"/>
          <w:color w:val="auto"/>
          <w:sz w:val="21"/>
          <w:highlight w:val="none"/>
        </w:rPr>
      </w:pPr>
    </w:p>
    <w:p w14:paraId="17B163B3">
      <w:pPr>
        <w:spacing w:before="103" w:line="183" w:lineRule="auto"/>
        <w:ind w:left="2988"/>
        <w:outlineLvl w:val="1"/>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法定代表人授权委托书</w:t>
      </w:r>
    </w:p>
    <w:p w14:paraId="4262210B">
      <w:pPr>
        <w:spacing w:before="277" w:line="198" w:lineRule="auto"/>
        <w:ind w:left="22" w:right="375" w:firstLine="491"/>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本授权书声明：注册于</w:t>
      </w:r>
      <w:r>
        <w:rPr>
          <w:rFonts w:ascii="微软雅黑" w:hAnsi="微软雅黑" w:eastAsia="微软雅黑" w:cs="微软雅黑"/>
          <w:color w:val="auto"/>
          <w:spacing w:val="-4"/>
          <w:sz w:val="24"/>
          <w:szCs w:val="24"/>
          <w:highlight w:val="none"/>
          <w:u w:val="single" w:color="auto"/>
        </w:rPr>
        <w:t>（国家或地区的名称）</w:t>
      </w:r>
      <w:r>
        <w:rPr>
          <w:rFonts w:ascii="微软雅黑" w:hAnsi="微软雅黑" w:eastAsia="微软雅黑" w:cs="微软雅黑"/>
          <w:color w:val="auto"/>
          <w:spacing w:val="-4"/>
          <w:sz w:val="24"/>
          <w:szCs w:val="24"/>
          <w:highlight w:val="none"/>
        </w:rPr>
        <w:t>的（</w:t>
      </w:r>
      <w:r>
        <w:rPr>
          <w:rFonts w:ascii="微软雅黑" w:hAnsi="微软雅黑" w:eastAsia="微软雅黑" w:cs="微软雅黑"/>
          <w:i/>
          <w:iCs/>
          <w:color w:val="auto"/>
          <w:spacing w:val="-4"/>
          <w:sz w:val="25"/>
          <w:szCs w:val="25"/>
          <w:highlight w:val="none"/>
          <w:u w:val="single" w:color="auto"/>
        </w:rPr>
        <w:t>磋商人</w:t>
      </w:r>
      <w:r>
        <w:rPr>
          <w:rFonts w:ascii="微软雅黑" w:hAnsi="微软雅黑" w:eastAsia="微软雅黑" w:cs="微软雅黑"/>
          <w:color w:val="auto"/>
          <w:spacing w:val="-4"/>
          <w:sz w:val="24"/>
          <w:szCs w:val="24"/>
          <w:highlight w:val="none"/>
        </w:rPr>
        <w:t>）的在下</w:t>
      </w:r>
      <w:r>
        <w:rPr>
          <w:rFonts w:ascii="微软雅黑" w:hAnsi="微软雅黑" w:eastAsia="微软雅黑" w:cs="微软雅黑"/>
          <w:color w:val="auto"/>
          <w:spacing w:val="-5"/>
          <w:sz w:val="24"/>
          <w:szCs w:val="24"/>
          <w:highlight w:val="none"/>
        </w:rPr>
        <w:t>面签字的</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5"/>
          <w:sz w:val="24"/>
          <w:szCs w:val="24"/>
          <w:highlight w:val="none"/>
        </w:rPr>
        <w:t>（</w:t>
      </w:r>
      <w:r>
        <w:rPr>
          <w:rFonts w:ascii="微软雅黑" w:hAnsi="微软雅黑" w:eastAsia="微软雅黑" w:cs="微软雅黑"/>
          <w:i/>
          <w:iCs/>
          <w:color w:val="auto"/>
          <w:spacing w:val="-5"/>
          <w:sz w:val="25"/>
          <w:szCs w:val="25"/>
          <w:highlight w:val="none"/>
          <w:u w:val="single" w:color="auto"/>
        </w:rPr>
        <w:t>法人代表姓名、职务</w:t>
      </w:r>
      <w:r>
        <w:rPr>
          <w:rFonts w:ascii="微软雅黑" w:hAnsi="微软雅黑" w:eastAsia="微软雅黑" w:cs="微软雅黑"/>
          <w:color w:val="auto"/>
          <w:spacing w:val="-5"/>
          <w:sz w:val="24"/>
          <w:szCs w:val="24"/>
          <w:highlight w:val="none"/>
        </w:rPr>
        <w:t>）代表我单位授权（</w:t>
      </w:r>
      <w:r>
        <w:rPr>
          <w:rFonts w:ascii="微软雅黑" w:hAnsi="微软雅黑" w:eastAsia="微软雅黑" w:cs="微软雅黑"/>
          <w:i/>
          <w:iCs/>
          <w:color w:val="auto"/>
          <w:spacing w:val="-5"/>
          <w:sz w:val="25"/>
          <w:szCs w:val="25"/>
          <w:highlight w:val="none"/>
          <w:u w:val="single" w:color="auto"/>
        </w:rPr>
        <w:t>单位名称</w:t>
      </w:r>
      <w:r>
        <w:rPr>
          <w:rFonts w:ascii="微软雅黑" w:hAnsi="微软雅黑" w:eastAsia="微软雅黑" w:cs="微软雅黑"/>
          <w:color w:val="auto"/>
          <w:spacing w:val="-5"/>
          <w:sz w:val="24"/>
          <w:szCs w:val="24"/>
          <w:highlight w:val="none"/>
        </w:rPr>
        <w:t>）的在下面签字的（</w:t>
      </w:r>
      <w:r>
        <w:rPr>
          <w:rFonts w:ascii="微软雅黑" w:hAnsi="微软雅黑" w:eastAsia="微软雅黑" w:cs="微软雅黑"/>
          <w:i/>
          <w:iCs/>
          <w:color w:val="auto"/>
          <w:spacing w:val="-5"/>
          <w:sz w:val="25"/>
          <w:szCs w:val="25"/>
          <w:highlight w:val="none"/>
          <w:u w:val="single" w:color="auto"/>
        </w:rPr>
        <w:t>被授权</w:t>
      </w:r>
      <w:r>
        <w:rPr>
          <w:rFonts w:ascii="微软雅黑" w:hAnsi="微软雅黑" w:eastAsia="微软雅黑" w:cs="微软雅黑"/>
          <w:color w:val="auto"/>
          <w:spacing w:val="4"/>
          <w:sz w:val="25"/>
          <w:szCs w:val="25"/>
          <w:highlight w:val="none"/>
        </w:rPr>
        <w:t xml:space="preserve"> </w:t>
      </w:r>
      <w:r>
        <w:rPr>
          <w:rFonts w:ascii="微软雅黑" w:hAnsi="微软雅黑" w:eastAsia="微软雅黑" w:cs="微软雅黑"/>
          <w:i/>
          <w:iCs/>
          <w:color w:val="auto"/>
          <w:spacing w:val="-6"/>
          <w:sz w:val="25"/>
          <w:szCs w:val="25"/>
          <w:highlight w:val="none"/>
          <w:u w:val="single" w:color="auto"/>
        </w:rPr>
        <w:t>人的姓名、职务</w:t>
      </w:r>
      <w:r>
        <w:rPr>
          <w:rFonts w:ascii="微软雅黑" w:hAnsi="微软雅黑" w:eastAsia="微软雅黑" w:cs="微软雅黑"/>
          <w:color w:val="auto"/>
          <w:spacing w:val="-6"/>
          <w:sz w:val="24"/>
          <w:szCs w:val="24"/>
          <w:highlight w:val="none"/>
        </w:rPr>
        <w:t>）为我单位的合法代理人，就（</w:t>
      </w:r>
      <w:r>
        <w:rPr>
          <w:rFonts w:ascii="微软雅黑" w:hAnsi="微软雅黑" w:eastAsia="微软雅黑" w:cs="微软雅黑"/>
          <w:i/>
          <w:iCs/>
          <w:color w:val="auto"/>
          <w:spacing w:val="-6"/>
          <w:sz w:val="25"/>
          <w:szCs w:val="25"/>
          <w:highlight w:val="none"/>
          <w:u w:val="single" w:color="auto"/>
        </w:rPr>
        <w:t>项目名称</w:t>
      </w:r>
      <w:r>
        <w:rPr>
          <w:rFonts w:ascii="微软雅黑" w:hAnsi="微软雅黑" w:eastAsia="微软雅黑" w:cs="微软雅黑"/>
          <w:color w:val="auto"/>
          <w:spacing w:val="-6"/>
          <w:sz w:val="24"/>
          <w:szCs w:val="24"/>
          <w:highlight w:val="none"/>
        </w:rPr>
        <w:t>）的磋商，以我单位名</w:t>
      </w:r>
      <w:r>
        <w:rPr>
          <w:rFonts w:ascii="微软雅黑" w:hAnsi="微软雅黑" w:eastAsia="微软雅黑" w:cs="微软雅黑"/>
          <w:color w:val="auto"/>
          <w:spacing w:val="9"/>
          <w:sz w:val="24"/>
          <w:szCs w:val="24"/>
          <w:highlight w:val="none"/>
        </w:rPr>
        <w:t xml:space="preserve">  </w:t>
      </w:r>
      <w:r>
        <w:rPr>
          <w:rFonts w:ascii="微软雅黑" w:hAnsi="微软雅黑" w:eastAsia="微软雅黑" w:cs="微软雅黑"/>
          <w:color w:val="auto"/>
          <w:spacing w:val="-3"/>
          <w:sz w:val="24"/>
          <w:szCs w:val="24"/>
          <w:highlight w:val="none"/>
        </w:rPr>
        <w:t>义处理一切与之有关的事务。</w:t>
      </w:r>
    </w:p>
    <w:p w14:paraId="00D48BBA">
      <w:pPr>
        <w:spacing w:line="295" w:lineRule="auto"/>
        <w:rPr>
          <w:rFonts w:ascii="Arial"/>
          <w:color w:val="auto"/>
          <w:sz w:val="21"/>
          <w:highlight w:val="none"/>
        </w:rPr>
      </w:pPr>
    </w:p>
    <w:p w14:paraId="4BA3763E">
      <w:pPr>
        <w:spacing w:before="103" w:line="184" w:lineRule="auto"/>
        <w:ind w:left="39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本授权书于</w:t>
      </w:r>
      <w:r>
        <w:rPr>
          <w:rFonts w:ascii="微软雅黑" w:hAnsi="微软雅黑" w:eastAsia="微软雅黑" w:cs="微软雅黑"/>
          <w:color w:val="auto"/>
          <w:spacing w:val="-2"/>
          <w:sz w:val="24"/>
          <w:szCs w:val="24"/>
          <w:highlight w:val="none"/>
          <w:u w:val="single" w:color="auto"/>
        </w:rPr>
        <w:t xml:space="preserve">                   </w:t>
      </w:r>
      <w:r>
        <w:rPr>
          <w:rFonts w:ascii="微软雅黑" w:hAnsi="微软雅黑" w:eastAsia="微软雅黑" w:cs="微软雅黑"/>
          <w:color w:val="auto"/>
          <w:spacing w:val="-67"/>
          <w:sz w:val="24"/>
          <w:szCs w:val="24"/>
          <w:highlight w:val="none"/>
        </w:rPr>
        <w:t xml:space="preserve"> </w:t>
      </w:r>
      <w:r>
        <w:rPr>
          <w:rFonts w:ascii="微软雅黑" w:hAnsi="微软雅黑" w:eastAsia="微软雅黑" w:cs="微软雅黑"/>
          <w:color w:val="auto"/>
          <w:spacing w:val="-2"/>
          <w:sz w:val="24"/>
          <w:szCs w:val="24"/>
          <w:highlight w:val="none"/>
        </w:rPr>
        <w:t>年</w:t>
      </w:r>
      <w:r>
        <w:rPr>
          <w:rFonts w:ascii="微软雅黑" w:hAnsi="微软雅黑" w:eastAsia="微软雅黑" w:cs="微软雅黑"/>
          <w:color w:val="auto"/>
          <w:spacing w:val="-2"/>
          <w:sz w:val="24"/>
          <w:szCs w:val="24"/>
          <w:highlight w:val="none"/>
          <w:u w:val="single" w:color="auto"/>
        </w:rPr>
        <w:t xml:space="preserve">        </w:t>
      </w:r>
      <w:r>
        <w:rPr>
          <w:rFonts w:ascii="微软雅黑" w:hAnsi="微软雅黑" w:eastAsia="微软雅黑" w:cs="微软雅黑"/>
          <w:color w:val="auto"/>
          <w:spacing w:val="-62"/>
          <w:sz w:val="24"/>
          <w:szCs w:val="24"/>
          <w:highlight w:val="none"/>
        </w:rPr>
        <w:t xml:space="preserve"> </w:t>
      </w:r>
      <w:r>
        <w:rPr>
          <w:rFonts w:ascii="微软雅黑" w:hAnsi="微软雅黑" w:eastAsia="微软雅黑" w:cs="微软雅黑"/>
          <w:color w:val="auto"/>
          <w:spacing w:val="-3"/>
          <w:sz w:val="24"/>
          <w:szCs w:val="24"/>
          <w:highlight w:val="none"/>
        </w:rPr>
        <w:t>月</w:t>
      </w:r>
      <w:r>
        <w:rPr>
          <w:rFonts w:ascii="微软雅黑" w:hAnsi="微软雅黑" w:eastAsia="微软雅黑" w:cs="微软雅黑"/>
          <w:color w:val="auto"/>
          <w:spacing w:val="-3"/>
          <w:sz w:val="24"/>
          <w:szCs w:val="24"/>
          <w:highlight w:val="none"/>
          <w:u w:val="single" w:color="auto"/>
        </w:rPr>
        <w:t xml:space="preserve">         </w:t>
      </w:r>
      <w:r>
        <w:rPr>
          <w:rFonts w:ascii="微软雅黑" w:hAnsi="微软雅黑" w:eastAsia="微软雅黑" w:cs="微软雅黑"/>
          <w:color w:val="auto"/>
          <w:spacing w:val="-35"/>
          <w:sz w:val="24"/>
          <w:szCs w:val="24"/>
          <w:highlight w:val="none"/>
        </w:rPr>
        <w:t xml:space="preserve"> </w:t>
      </w:r>
      <w:r>
        <w:rPr>
          <w:rFonts w:ascii="微软雅黑" w:hAnsi="微软雅黑" w:eastAsia="微软雅黑" w:cs="微软雅黑"/>
          <w:color w:val="auto"/>
          <w:spacing w:val="-3"/>
          <w:sz w:val="24"/>
          <w:szCs w:val="24"/>
          <w:highlight w:val="none"/>
        </w:rPr>
        <w:t>日签字生效,特此声明。</w:t>
      </w:r>
    </w:p>
    <w:p w14:paraId="2DEE92DD">
      <w:pPr>
        <w:spacing w:line="168" w:lineRule="exact"/>
        <w:rPr>
          <w:color w:val="auto"/>
          <w:highlight w:val="none"/>
        </w:rPr>
      </w:pPr>
    </w:p>
    <w:p w14:paraId="5E9146C1">
      <w:pPr>
        <w:spacing w:line="168" w:lineRule="exact"/>
        <w:rPr>
          <w:color w:val="auto"/>
          <w:highlight w:val="none"/>
        </w:rPr>
        <w:sectPr>
          <w:headerReference r:id="rId9" w:type="default"/>
          <w:footerReference r:id="rId10" w:type="default"/>
          <w:pgSz w:w="11906" w:h="16839"/>
          <w:pgMar w:top="1127" w:right="1350" w:bottom="1162" w:left="1767" w:header="870" w:footer="985" w:gutter="0"/>
          <w:pgNumType w:fmt="decimal"/>
          <w:cols w:equalWidth="0" w:num="1">
            <w:col w:w="8789"/>
          </w:cols>
        </w:sectPr>
      </w:pPr>
    </w:p>
    <w:p w14:paraId="0A57CA00">
      <w:pPr>
        <w:spacing w:line="262" w:lineRule="exact"/>
        <w:ind w:firstLine="55"/>
        <w:rPr>
          <w:color w:val="auto"/>
          <w:highlight w:val="none"/>
        </w:rPr>
      </w:pPr>
      <w:r>
        <w:rPr>
          <w:color w:val="auto"/>
          <w:highlight w:val="none"/>
        </w:rPr>
        <w:pict>
          <v:shape id="_x0000_s1054" o:spid="_x0000_s1054" style="position:absolute;left:0pt;margin-left:185.6pt;margin-top:13.1pt;height:49.5pt;width:0.75pt;z-index:251684864;mso-width-relative:page;mso-height-relative:page;" filled="f" stroked="t" coordsize="15,990" path="m7,0l7,989e">
            <v:fill on="f" focussize="0,0"/>
            <v:stroke color="#000000" miterlimit="10" joinstyle="miter"/>
            <v:imagedata o:title=""/>
            <o:lock v:ext="edit"/>
          </v:shape>
        </w:pict>
      </w:r>
      <w:r>
        <w:rPr>
          <w:color w:val="auto"/>
          <w:highlight w:val="none"/>
        </w:rPr>
        <w:pict>
          <v:shape id="_x0000_s1055" o:spid="_x0000_s1055" style="position:absolute;left:0pt;margin-left:3.1pt;margin-top:13.1pt;height:49.5pt;width:0.75pt;z-index:251685888;mso-width-relative:page;mso-height-relative:page;" filled="f" stroked="t" coordsize="15,990" path="m7,989l7,0e">
            <v:fill on="f" focussize="0,0"/>
            <v:stroke color="#000000" miterlimit="10" joinstyle="miter"/>
            <v:imagedata o:title=""/>
            <o:lock v:ext="edit"/>
          </v:shape>
        </w:pict>
      </w:r>
      <w:r>
        <w:rPr>
          <w:color w:val="auto"/>
          <w:highlight w:val="none"/>
        </w:rPr>
        <w:pict>
          <v:shape id="_x0000_s1056" o:spid="_x0000_s1056" style="position:absolute;left:0pt;margin-left:15.85pt;margin-top:0.35pt;height:0.75pt;width:157.8pt;z-index:251677696;mso-width-relative:page;mso-height-relative:page;" filled="f" stroked="t" coordsize="3156,15" path="m0,7l3155,7e">
            <v:fill on="f" focussize="0,0"/>
            <v:stroke color="#000000" miterlimit="10" joinstyle="miter"/>
            <v:imagedata o:title=""/>
            <o:lock v:ext="edit"/>
          </v:shape>
        </w:pict>
      </w:r>
      <w:r>
        <w:rPr>
          <w:color w:val="auto"/>
          <w:highlight w:val="none"/>
        </w:rPr>
        <w:pict>
          <v:shape id="_x0000_s1057" o:spid="_x0000_s1057" style="position:absolute;left:0pt;margin-left:173.25pt;margin-top:0.35pt;height:13.15pt;width:13.15pt;z-index:251676672;mso-width-relative:page;mso-height-relative:page;" filled="f" stroked="t" coordsize="262,262" path="m7,7c73,7,136,33,182,79c228,126,254,189,254,254e">
            <v:fill on="f" focussize="0,0"/>
            <v:stroke color="#000000" miterlimit="10" joinstyle="miter"/>
            <v:imagedata o:title=""/>
            <o:lock v:ext="edit"/>
          </v:shape>
        </w:pict>
      </w:r>
      <w:r>
        <w:rPr>
          <w:color w:val="auto"/>
          <w:position w:val="-5"/>
          <w:highlight w:val="none"/>
        </w:rPr>
        <w:pict>
          <v:shape id="_x0000_s1058" o:spid="_x0000_s1058" style="height:13.15pt;width:13.15pt;" filled="f" stroked="t" coordsize="262,262" path="m7,254c7,189,33,126,79,79c126,33,189,7,254,7e">
            <v:fill on="f" focussize="0,0"/>
            <v:stroke color="#000000" miterlimit="10" joinstyle="miter"/>
            <v:imagedata o:title=""/>
            <o:lock v:ext="edit"/>
            <w10:wrap type="none"/>
            <w10:anchorlock/>
          </v:shape>
        </w:pict>
      </w:r>
    </w:p>
    <w:p w14:paraId="48722257">
      <w:pPr>
        <w:spacing w:line="290" w:lineRule="auto"/>
        <w:rPr>
          <w:rFonts w:ascii="Arial"/>
          <w:color w:val="auto"/>
          <w:sz w:val="21"/>
          <w:highlight w:val="none"/>
        </w:rPr>
      </w:pPr>
    </w:p>
    <w:p w14:paraId="06BBA204">
      <w:pPr>
        <w:spacing w:line="290" w:lineRule="auto"/>
        <w:rPr>
          <w:rFonts w:ascii="Arial"/>
          <w:color w:val="auto"/>
          <w:sz w:val="21"/>
          <w:highlight w:val="none"/>
        </w:rPr>
      </w:pPr>
    </w:p>
    <w:p w14:paraId="1434CC5B">
      <w:pPr>
        <w:pStyle w:val="2"/>
        <w:spacing w:before="69" w:line="220" w:lineRule="auto"/>
        <w:ind w:left="739"/>
        <w:rPr>
          <w:color w:val="auto"/>
          <w:sz w:val="21"/>
          <w:szCs w:val="21"/>
          <w:highlight w:val="none"/>
        </w:rPr>
      </w:pPr>
      <w:r>
        <w:rPr>
          <w:color w:val="auto"/>
          <w:spacing w:val="-1"/>
          <w:sz w:val="21"/>
          <w:szCs w:val="21"/>
          <w:highlight w:val="none"/>
        </w:rPr>
        <w:t>授权委托人身份证复印件</w:t>
      </w:r>
    </w:p>
    <w:p w14:paraId="71C4A481">
      <w:pPr>
        <w:spacing w:before="72" w:line="262" w:lineRule="exact"/>
        <w:ind w:firstLine="55"/>
        <w:rPr>
          <w:color w:val="auto"/>
          <w:highlight w:val="none"/>
        </w:rPr>
      </w:pPr>
      <w:r>
        <w:rPr>
          <w:color w:val="auto"/>
          <w:position w:val="-5"/>
          <w:highlight w:val="none"/>
        </w:rPr>
        <w:pict>
          <v:shape id="_x0000_s1059" o:spid="_x0000_s1059" style="height:13.15pt;width:183.25pt;" filled="f" stroked="t" coordsize="3665,262" path="m3657,7c3657,73,3631,136,3585,182c3538,228,3475,254,3410,254l3410,254,254,254c189,254,126,228,79,182c33,136,7,73,7,7e">
            <v:fill on="f" focussize="0,0"/>
            <v:stroke color="#000000" miterlimit="10" joinstyle="miter"/>
            <v:imagedata o:title=""/>
            <o:lock v:ext="edit"/>
            <w10:wrap type="none"/>
            <w10:anchorlock/>
          </v:shape>
        </w:pict>
      </w:r>
    </w:p>
    <w:p w14:paraId="30273D2C">
      <w:pPr>
        <w:rPr>
          <w:rFonts w:ascii="Arial"/>
          <w:color w:val="auto"/>
          <w:sz w:val="21"/>
          <w:highlight w:val="none"/>
        </w:rPr>
      </w:pPr>
    </w:p>
    <w:p w14:paraId="208460BE">
      <w:pPr>
        <w:rPr>
          <w:rFonts w:ascii="Arial"/>
          <w:color w:val="auto"/>
          <w:sz w:val="21"/>
          <w:highlight w:val="none"/>
        </w:rPr>
      </w:pPr>
    </w:p>
    <w:p w14:paraId="1672895E">
      <w:pPr>
        <w:spacing w:line="241" w:lineRule="auto"/>
        <w:rPr>
          <w:rFonts w:ascii="Arial"/>
          <w:color w:val="auto"/>
          <w:sz w:val="21"/>
          <w:highlight w:val="none"/>
        </w:rPr>
      </w:pPr>
    </w:p>
    <w:p w14:paraId="499C5C3E">
      <w:pPr>
        <w:spacing w:line="241" w:lineRule="auto"/>
        <w:rPr>
          <w:rFonts w:ascii="Arial"/>
          <w:color w:val="auto"/>
          <w:sz w:val="21"/>
          <w:highlight w:val="none"/>
        </w:rPr>
      </w:pPr>
    </w:p>
    <w:p w14:paraId="391D424B">
      <w:pPr>
        <w:spacing w:line="241" w:lineRule="auto"/>
        <w:rPr>
          <w:rFonts w:ascii="Arial"/>
          <w:color w:val="auto"/>
          <w:sz w:val="21"/>
          <w:highlight w:val="none"/>
        </w:rPr>
      </w:pPr>
    </w:p>
    <w:p w14:paraId="55641006">
      <w:pPr>
        <w:spacing w:before="1" w:line="25" w:lineRule="exact"/>
        <w:ind w:firstLine="281"/>
        <w:rPr>
          <w:color w:val="auto"/>
          <w:highlight w:val="none"/>
        </w:rPr>
      </w:pPr>
      <w:r>
        <w:rPr>
          <w:color w:val="auto"/>
          <w:highlight w:val="none"/>
        </w:rPr>
        <w:pict>
          <v:shape id="_x0000_s1060" o:spid="_x0000_s1060" style="position:absolute;left:0pt;margin-left:0.6pt;margin-top:0.6pt;height:14.75pt;width:14.75pt;z-index:251671552;mso-width-relative:page;mso-height-relative:page;" filled="f" stroked="t" coordsize="295,295" path="m12,281c12,210,40,141,91,91c141,40,210,12,281,12e">
            <v:fill on="f" focussize="0,0"/>
            <v:stroke weight="1.25pt" color="#808080" miterlimit="10"/>
            <v:imagedata o:title=""/>
            <o:lock v:ext="edit"/>
          </v:shape>
        </w:pict>
      </w:r>
      <w:r>
        <w:rPr>
          <w:color w:val="auto"/>
          <w:highlight w:val="none"/>
        </w:rPr>
        <w:pict>
          <v:shape id="_x0000_s1061" o:spid="_x0000_s1061" style="position:absolute;left:0pt;margin-left:188.35pt;margin-top:0.6pt;height:14.75pt;width:14.75pt;z-index:251670528;mso-width-relative:page;mso-height-relative:page;" filled="f" stroked="t" coordsize="295,295" path="m12,12c83,12,152,40,202,91c253,141,281,210,281,281e">
            <v:fill on="f" focussize="0,0"/>
            <v:stroke weight="1.25pt" color="#808080" miterlimit="10"/>
            <v:imagedata o:title=""/>
            <o:lock v:ext="edit"/>
          </v:shape>
        </w:pict>
      </w:r>
      <w:r>
        <w:rPr>
          <w:color w:val="auto"/>
          <w:highlight w:val="none"/>
        </w:rPr>
        <w:pict>
          <v:shape id="_x0000_s1062" o:spid="_x0000_s1062" style="height:1.25pt;width:174.3pt;" filled="f" stroked="t" coordsize="3486,25" path="m0,12l3485,12e">
            <v:fill on="f" focussize="0,0"/>
            <v:stroke weight="1.25pt" color="#808080" miterlimit="10"/>
            <v:imagedata o:title=""/>
            <o:lock v:ext="edit"/>
            <w10:wrap type="none"/>
            <w10:anchorlock/>
          </v:shape>
        </w:pict>
      </w:r>
    </w:p>
    <w:p w14:paraId="270489C9">
      <w:pPr>
        <w:spacing w:line="295" w:lineRule="auto"/>
        <w:rPr>
          <w:rFonts w:ascii="Arial"/>
          <w:color w:val="auto"/>
          <w:sz w:val="21"/>
          <w:highlight w:val="none"/>
        </w:rPr>
      </w:pPr>
      <w:r>
        <w:rPr>
          <w:color w:val="auto"/>
          <w:highlight w:val="none"/>
        </w:rPr>
        <w:pict>
          <v:shape id="_x0000_s1063" o:spid="_x0000_s1063" style="position:absolute;left:0pt;margin-left:201.8pt;margin-top:13.4pt;height:53.8pt;width:1.25pt;z-index:251679744;mso-width-relative:page;mso-height-relative:page;" filled="f" stroked="t" coordsize="25,1075" path="m12,0l12,1075e">
            <v:fill on="f" focussize="0,0"/>
            <v:stroke weight="1.25pt" color="#808080" miterlimit="10"/>
            <v:imagedata o:title=""/>
            <o:lock v:ext="edit"/>
          </v:shape>
        </w:pict>
      </w:r>
      <w:r>
        <w:rPr>
          <w:color w:val="auto"/>
          <w:highlight w:val="none"/>
        </w:rPr>
        <w:pict>
          <v:shape id="_x0000_s1064" o:spid="_x0000_s1064" style="position:absolute;left:0pt;margin-left:0.6pt;margin-top:13.4pt;height:53.8pt;width:1.25pt;z-index:251678720;mso-width-relative:page;mso-height-relative:page;" filled="f" stroked="t" coordsize="25,1075" path="m12,1075l12,0e">
            <v:fill on="f" focussize="0,0"/>
            <v:stroke weight="1.25pt" color="#808080" miterlimit="10"/>
            <v:imagedata o:title=""/>
            <o:lock v:ext="edit"/>
          </v:shape>
        </w:pict>
      </w:r>
    </w:p>
    <w:p w14:paraId="3F5D5792">
      <w:pPr>
        <w:spacing w:line="296" w:lineRule="auto"/>
        <w:rPr>
          <w:rFonts w:ascii="Arial"/>
          <w:color w:val="auto"/>
          <w:sz w:val="21"/>
          <w:highlight w:val="none"/>
        </w:rPr>
      </w:pPr>
    </w:p>
    <w:p w14:paraId="023B3CC7">
      <w:pPr>
        <w:pStyle w:val="2"/>
        <w:spacing w:before="68" w:line="220" w:lineRule="auto"/>
        <w:ind w:left="1192"/>
        <w:rPr>
          <w:color w:val="auto"/>
          <w:sz w:val="21"/>
          <w:szCs w:val="21"/>
          <w:highlight w:val="none"/>
        </w:rPr>
      </w:pPr>
      <w:r>
        <w:rPr>
          <w:color w:val="auto"/>
          <w:spacing w:val="-1"/>
          <w:sz w:val="21"/>
          <w:szCs w:val="21"/>
          <w:highlight w:val="none"/>
        </w:rPr>
        <w:t>法人身份证复印件</w:t>
      </w:r>
    </w:p>
    <w:p w14:paraId="1308430D">
      <w:pPr>
        <w:spacing w:line="404" w:lineRule="auto"/>
        <w:rPr>
          <w:rFonts w:ascii="Arial"/>
          <w:color w:val="auto"/>
          <w:sz w:val="21"/>
          <w:highlight w:val="none"/>
        </w:rPr>
      </w:pPr>
    </w:p>
    <w:p w14:paraId="28E52FA7">
      <w:pPr>
        <w:spacing w:line="294" w:lineRule="exact"/>
        <w:rPr>
          <w:color w:val="auto"/>
          <w:highlight w:val="none"/>
        </w:rPr>
      </w:pPr>
      <w:r>
        <w:rPr>
          <w:color w:val="auto"/>
          <w:position w:val="-5"/>
          <w:highlight w:val="none"/>
        </w:rPr>
        <w:pict>
          <v:shape id="_x0000_s1065" o:spid="_x0000_s1065" style="height:14.75pt;width:202.5pt;" filled="f" stroked="t" coordsize="4050,295" path="m4036,12c4036,83,4008,152,3957,202c3907,253,3838,281,3767,281l3767,281,281,281c210,281,141,253,91,202c40,152,12,83,12,12e">
            <v:fill on="f" focussize="0,0"/>
            <v:stroke weight="1.25pt" color="#808080" miterlimit="10"/>
            <v:imagedata o:title=""/>
            <o:lock v:ext="edit"/>
            <w10:wrap type="none"/>
            <w10:anchorlock/>
          </v:shape>
        </w:pict>
      </w:r>
    </w:p>
    <w:p w14:paraId="01323BD4">
      <w:pPr>
        <w:spacing w:line="14" w:lineRule="auto"/>
        <w:rPr>
          <w:rFonts w:ascii="Arial"/>
          <w:color w:val="auto"/>
          <w:sz w:val="2"/>
          <w:highlight w:val="none"/>
        </w:rPr>
      </w:pPr>
      <w:r>
        <w:rPr>
          <w:rFonts w:ascii="Arial" w:hAnsi="Arial" w:eastAsia="Arial" w:cs="Arial"/>
          <w:color w:val="auto"/>
          <w:sz w:val="2"/>
          <w:szCs w:val="2"/>
          <w:highlight w:val="none"/>
        </w:rPr>
        <w:br w:type="column"/>
      </w:r>
    </w:p>
    <w:p w14:paraId="70262552">
      <w:pPr>
        <w:spacing w:before="44" w:line="25" w:lineRule="exact"/>
        <w:ind w:firstLine="299"/>
        <w:rPr>
          <w:color w:val="auto"/>
          <w:highlight w:val="none"/>
        </w:rPr>
      </w:pPr>
      <w:r>
        <w:rPr>
          <w:color w:val="auto"/>
          <w:highlight w:val="none"/>
        </w:rPr>
        <w:pict>
          <v:shape id="_x0000_s1066" o:spid="_x0000_s1066" style="position:absolute;left:0pt;margin-left:2.25pt;margin-top:2.8pt;height:14pt;width:14pt;z-index:251673600;mso-width-relative:page;mso-height-relative:page;" filled="f" stroked="t" coordsize="280,280" path="m12,266c12,199,39,134,86,86c134,39,199,12,266,12e">
            <v:fill on="f" focussize="0,0"/>
            <v:stroke weight="1.25pt" color="#808080" miterlimit="10"/>
            <v:imagedata o:title=""/>
            <o:lock v:ext="edit"/>
          </v:shape>
        </w:pict>
      </w:r>
      <w:r>
        <w:rPr>
          <w:color w:val="auto"/>
          <w:highlight w:val="none"/>
        </w:rPr>
        <w:pict>
          <v:shape id="_x0000_s1067" o:spid="_x0000_s1067" style="position:absolute;left:0pt;margin-left:184.7pt;margin-top:2.8pt;height:14pt;width:14pt;z-index:251672576;mso-width-relative:page;mso-height-relative:page;" filled="f" stroked="t" coordsize="280,280" path="m12,12c79,12,144,39,192,86c240,134,266,199,266,266e">
            <v:fill on="f" focussize="0,0"/>
            <v:stroke weight="1.25pt" color="#808080" miterlimit="10"/>
            <v:imagedata o:title=""/>
            <o:lock v:ext="edit"/>
          </v:shape>
        </w:pict>
      </w:r>
      <w:r>
        <w:rPr>
          <w:color w:val="auto"/>
          <w:highlight w:val="none"/>
        </w:rPr>
        <w:pict>
          <v:shape id="_x0000_s1068" o:spid="_x0000_s1068" style="height:1.25pt;width:169.75pt;" filled="f" stroked="t" coordsize="3395,25" path="m0,12l3394,12e">
            <v:fill on="f" focussize="0,0"/>
            <v:stroke weight="1.25pt" color="#808080" miterlimit="10"/>
            <v:imagedata o:title=""/>
            <o:lock v:ext="edit"/>
            <w10:wrap type="none"/>
            <w10:anchorlock/>
          </v:shape>
        </w:pict>
      </w:r>
    </w:p>
    <w:p w14:paraId="799BC251">
      <w:pPr>
        <w:spacing w:line="275" w:lineRule="auto"/>
        <w:rPr>
          <w:rFonts w:ascii="Arial"/>
          <w:color w:val="auto"/>
          <w:sz w:val="21"/>
          <w:highlight w:val="none"/>
        </w:rPr>
      </w:pPr>
      <w:r>
        <w:rPr>
          <w:color w:val="auto"/>
          <w:highlight w:val="none"/>
        </w:rPr>
        <w:pict>
          <v:shape id="_x0000_s1069" o:spid="_x0000_s1069" style="position:absolute;left:0pt;margin-left:197.4pt;margin-top:12.65pt;height:50.9pt;width:1.25pt;z-index:251681792;mso-width-relative:page;mso-height-relative:page;" filled="f" stroked="t" coordsize="25,1018" path="m12,0l12,1017e">
            <v:fill on="f" focussize="0,0"/>
            <v:stroke weight="1.25pt" color="#808080" miterlimit="10"/>
            <v:imagedata o:title=""/>
            <o:lock v:ext="edit"/>
          </v:shape>
        </w:pict>
      </w:r>
      <w:r>
        <w:rPr>
          <w:color w:val="auto"/>
          <w:highlight w:val="none"/>
        </w:rPr>
        <w:pict>
          <v:shape id="_x0000_s1070" o:spid="_x0000_s1070" style="position:absolute;left:0pt;margin-left:2.25pt;margin-top:12.65pt;height:50.9pt;width:1.25pt;z-index:251680768;mso-width-relative:page;mso-height-relative:page;" filled="f" stroked="t" coordsize="25,1018" path="m12,1017l12,0e">
            <v:fill on="f" focussize="0,0"/>
            <v:stroke weight="1.25pt" color="#808080" miterlimit="10"/>
            <v:imagedata o:title=""/>
            <o:lock v:ext="edit"/>
          </v:shape>
        </w:pict>
      </w:r>
    </w:p>
    <w:p w14:paraId="322C12E9">
      <w:pPr>
        <w:spacing w:line="276" w:lineRule="auto"/>
        <w:rPr>
          <w:rFonts w:ascii="Arial"/>
          <w:color w:val="auto"/>
          <w:sz w:val="21"/>
          <w:highlight w:val="none"/>
        </w:rPr>
      </w:pPr>
    </w:p>
    <w:p w14:paraId="4DF72BAE">
      <w:pPr>
        <w:spacing w:line="276" w:lineRule="auto"/>
        <w:rPr>
          <w:rFonts w:ascii="Arial"/>
          <w:color w:val="auto"/>
          <w:sz w:val="21"/>
          <w:highlight w:val="none"/>
        </w:rPr>
      </w:pPr>
    </w:p>
    <w:p w14:paraId="58599204">
      <w:pPr>
        <w:pStyle w:val="2"/>
        <w:spacing w:before="68" w:line="220" w:lineRule="auto"/>
        <w:ind w:left="700"/>
        <w:rPr>
          <w:color w:val="auto"/>
          <w:sz w:val="21"/>
          <w:szCs w:val="21"/>
          <w:highlight w:val="none"/>
        </w:rPr>
      </w:pPr>
      <w:r>
        <w:rPr>
          <w:color w:val="auto"/>
          <w:spacing w:val="-1"/>
          <w:sz w:val="21"/>
          <w:szCs w:val="21"/>
          <w:highlight w:val="none"/>
        </w:rPr>
        <w:t>授权委托人身份证复印件</w:t>
      </w:r>
    </w:p>
    <w:p w14:paraId="3FABD4B5">
      <w:pPr>
        <w:spacing w:before="96" w:line="279" w:lineRule="exact"/>
        <w:ind w:firstLine="32"/>
        <w:rPr>
          <w:color w:val="auto"/>
          <w:highlight w:val="none"/>
        </w:rPr>
      </w:pPr>
      <w:r>
        <w:rPr>
          <w:color w:val="auto"/>
          <w:position w:val="-5"/>
          <w:highlight w:val="none"/>
        </w:rPr>
        <w:pict>
          <v:shape id="_x0000_s1071" o:spid="_x0000_s1071" style="height:14pt;width:196.45pt;" filled="f" stroked="t" coordsize="3928,280" path="m3915,12c3915,79,3888,144,3841,192c3793,240,3728,266,3661,266l3661,266,266,266c199,266,134,240,86,192c39,144,12,79,12,12e">
            <v:fill on="f" focussize="0,0"/>
            <v:stroke weight="1.25pt" color="#808080" miterlimit="10"/>
            <v:imagedata o:title=""/>
            <o:lock v:ext="edit"/>
            <w10:wrap type="none"/>
            <w10:anchorlock/>
          </v:shape>
        </w:pict>
      </w:r>
    </w:p>
    <w:p w14:paraId="78F12ABF">
      <w:pPr>
        <w:spacing w:line="242" w:lineRule="auto"/>
        <w:rPr>
          <w:rFonts w:ascii="Arial"/>
          <w:color w:val="auto"/>
          <w:sz w:val="21"/>
          <w:highlight w:val="none"/>
        </w:rPr>
      </w:pPr>
    </w:p>
    <w:p w14:paraId="67D1D398">
      <w:pPr>
        <w:spacing w:line="242" w:lineRule="auto"/>
        <w:rPr>
          <w:rFonts w:ascii="Arial"/>
          <w:color w:val="auto"/>
          <w:sz w:val="21"/>
          <w:highlight w:val="none"/>
        </w:rPr>
      </w:pPr>
    </w:p>
    <w:p w14:paraId="7B20A551">
      <w:pPr>
        <w:spacing w:line="242" w:lineRule="auto"/>
        <w:rPr>
          <w:rFonts w:ascii="Arial"/>
          <w:color w:val="auto"/>
          <w:sz w:val="21"/>
          <w:highlight w:val="none"/>
        </w:rPr>
      </w:pPr>
    </w:p>
    <w:p w14:paraId="412CFBE1">
      <w:pPr>
        <w:spacing w:line="242" w:lineRule="auto"/>
        <w:rPr>
          <w:rFonts w:ascii="Arial"/>
          <w:color w:val="auto"/>
          <w:sz w:val="21"/>
          <w:highlight w:val="none"/>
        </w:rPr>
      </w:pPr>
    </w:p>
    <w:p w14:paraId="06AB28B8">
      <w:pPr>
        <w:spacing w:line="243" w:lineRule="auto"/>
        <w:rPr>
          <w:rFonts w:ascii="Arial"/>
          <w:color w:val="auto"/>
          <w:sz w:val="21"/>
          <w:highlight w:val="none"/>
        </w:rPr>
      </w:pPr>
    </w:p>
    <w:p w14:paraId="30B0ADFE">
      <w:pPr>
        <w:spacing w:before="1" w:line="25" w:lineRule="exact"/>
        <w:ind w:firstLine="258"/>
        <w:rPr>
          <w:color w:val="auto"/>
          <w:highlight w:val="none"/>
        </w:rPr>
      </w:pPr>
      <w:r>
        <w:rPr>
          <w:color w:val="auto"/>
          <w:highlight w:val="none"/>
        </w:rPr>
        <w:pict>
          <v:shape id="_x0000_s1072" o:spid="_x0000_s1072" style="position:absolute;left:0pt;margin-left:0.6pt;margin-top:0.6pt;height:13.55pt;width:13.55pt;z-index:251674624;mso-width-relative:page;mso-height-relative:page;" filled="f" stroked="t" coordsize="271,271" path="m12,258c12,192,38,130,84,84c130,38,192,12,258,12e">
            <v:fill on="f" focussize="0,0"/>
            <v:stroke weight="1.25pt" color="#808080" miterlimit="10"/>
            <v:imagedata o:title=""/>
            <o:lock v:ext="edit"/>
          </v:shape>
        </w:pict>
      </w:r>
      <w:r>
        <w:rPr>
          <w:color w:val="auto"/>
          <w:highlight w:val="none"/>
        </w:rPr>
        <w:pict>
          <v:shape id="_x0000_s1073" o:spid="_x0000_s1073" style="position:absolute;left:0pt;margin-left:188pt;margin-top:0.6pt;height:13.55pt;width:13.55pt;z-index:251675648;mso-width-relative:page;mso-height-relative:page;" filled="f" stroked="t" coordsize="271,271" path="m12,12c77,12,140,38,186,84c232,130,258,192,258,258e">
            <v:fill on="f" focussize="0,0"/>
            <v:stroke weight="1.25pt" color="#808080" miterlimit="10"/>
            <v:imagedata o:title=""/>
            <o:lock v:ext="edit"/>
          </v:shape>
        </w:pict>
      </w:r>
      <w:r>
        <w:rPr>
          <w:color w:val="auto"/>
          <w:highlight w:val="none"/>
        </w:rPr>
        <w:pict>
          <v:shape id="_x0000_s1074" o:spid="_x0000_s1074" style="height:1.25pt;width:175.1pt;" filled="f" stroked="t" coordsize="3502,25" path="m0,12l3501,12e">
            <v:fill on="f" focussize="0,0"/>
            <v:stroke weight="1.25pt" color="#808080" miterlimit="10"/>
            <v:imagedata o:title=""/>
            <o:lock v:ext="edit"/>
            <w10:wrap type="none"/>
            <w10:anchorlock/>
          </v:shape>
        </w:pict>
      </w:r>
    </w:p>
    <w:p w14:paraId="301CDA3E">
      <w:pPr>
        <w:spacing w:line="292" w:lineRule="auto"/>
        <w:rPr>
          <w:rFonts w:ascii="Arial"/>
          <w:color w:val="auto"/>
          <w:sz w:val="21"/>
          <w:highlight w:val="none"/>
        </w:rPr>
      </w:pPr>
      <w:r>
        <w:rPr>
          <w:color w:val="auto"/>
          <w:highlight w:val="none"/>
        </w:rPr>
        <w:pict>
          <v:shape id="_x0000_s1075" o:spid="_x0000_s1075" style="position:absolute;left:0pt;margin-left:200.25pt;margin-top:12.2pt;height:49.1pt;width:1.25pt;z-index:251682816;mso-width-relative:page;mso-height-relative:page;" filled="f" stroked="t" coordsize="25,981" path="m12,0l12,981e">
            <v:fill on="f" focussize="0,0"/>
            <v:stroke weight="1.25pt" color="#808080" miterlimit="10"/>
            <v:imagedata o:title=""/>
            <o:lock v:ext="edit"/>
          </v:shape>
        </w:pict>
      </w:r>
      <w:r>
        <w:rPr>
          <w:color w:val="auto"/>
          <w:highlight w:val="none"/>
        </w:rPr>
        <w:pict>
          <v:shape id="_x0000_s1076" o:spid="_x0000_s1076" style="position:absolute;left:0pt;margin-left:0.6pt;margin-top:12.2pt;height:49.1pt;width:1.25pt;z-index:251683840;mso-width-relative:page;mso-height-relative:page;" filled="f" stroked="t" coordsize="25,981" path="m12,981l12,0e">
            <v:fill on="f" focussize="0,0"/>
            <v:stroke weight="1.25pt" color="#808080" miterlimit="10"/>
            <v:imagedata o:title=""/>
            <o:lock v:ext="edit"/>
          </v:shape>
        </w:pict>
      </w:r>
    </w:p>
    <w:p w14:paraId="0324FB3A">
      <w:pPr>
        <w:spacing w:line="292" w:lineRule="auto"/>
        <w:rPr>
          <w:rFonts w:ascii="Arial"/>
          <w:color w:val="auto"/>
          <w:sz w:val="21"/>
          <w:highlight w:val="none"/>
        </w:rPr>
      </w:pPr>
    </w:p>
    <w:p w14:paraId="3B47BEC5">
      <w:pPr>
        <w:pStyle w:val="2"/>
        <w:spacing w:before="68" w:line="220" w:lineRule="auto"/>
        <w:ind w:left="1176"/>
        <w:rPr>
          <w:color w:val="auto"/>
          <w:sz w:val="21"/>
          <w:szCs w:val="21"/>
          <w:highlight w:val="none"/>
        </w:rPr>
      </w:pPr>
      <w:r>
        <w:rPr>
          <w:color w:val="auto"/>
          <w:spacing w:val="-1"/>
          <w:sz w:val="21"/>
          <w:szCs w:val="21"/>
          <w:highlight w:val="none"/>
        </w:rPr>
        <w:t>法人身份证复印件</w:t>
      </w:r>
    </w:p>
    <w:p w14:paraId="1A4D4A32">
      <w:pPr>
        <w:spacing w:line="294" w:lineRule="auto"/>
        <w:rPr>
          <w:rFonts w:ascii="Arial"/>
          <w:color w:val="auto"/>
          <w:sz w:val="21"/>
          <w:highlight w:val="none"/>
        </w:rPr>
      </w:pPr>
    </w:p>
    <w:p w14:paraId="07CC2484">
      <w:pPr>
        <w:spacing w:before="1" w:line="270" w:lineRule="exact"/>
        <w:rPr>
          <w:color w:val="auto"/>
          <w:highlight w:val="none"/>
        </w:rPr>
      </w:pPr>
      <w:r>
        <w:rPr>
          <w:color w:val="auto"/>
          <w:position w:val="-5"/>
          <w:highlight w:val="none"/>
        </w:rPr>
        <w:pict>
          <v:shape id="_x0000_s1077" o:spid="_x0000_s1077" style="height:13.55pt;width:200.95pt;" filled="f" stroked="t" coordsize="4018,271" path="m4005,12c4005,77,3979,140,3933,186c3887,232,3825,258,3759,258l3759,258,258,258c192,258,130,232,84,186c38,140,12,77,12,12e">
            <v:fill on="f" focussize="0,0"/>
            <v:stroke weight="1.25pt" color="#808080" miterlimit="10"/>
            <v:imagedata o:title=""/>
            <o:lock v:ext="edit"/>
            <w10:wrap type="none"/>
            <w10:anchorlock/>
          </v:shape>
        </w:pict>
      </w:r>
    </w:p>
    <w:p w14:paraId="72CB6CDB">
      <w:pPr>
        <w:spacing w:line="270" w:lineRule="exact"/>
        <w:rPr>
          <w:color w:val="auto"/>
          <w:highlight w:val="none"/>
        </w:rPr>
        <w:sectPr>
          <w:type w:val="continuous"/>
          <w:pgSz w:w="11906" w:h="16839"/>
          <w:pgMar w:top="1127" w:right="1350" w:bottom="1162" w:left="1767" w:header="870" w:footer="985" w:gutter="0"/>
          <w:pgNumType w:fmt="decimal"/>
          <w:cols w:equalWidth="0" w:num="2">
            <w:col w:w="4670" w:space="100"/>
            <w:col w:w="4019"/>
          </w:cols>
        </w:sectPr>
      </w:pPr>
    </w:p>
    <w:p w14:paraId="51409AD6">
      <w:pPr>
        <w:spacing w:line="276" w:lineRule="auto"/>
        <w:rPr>
          <w:rFonts w:ascii="Arial"/>
          <w:color w:val="auto"/>
          <w:sz w:val="21"/>
          <w:highlight w:val="none"/>
        </w:rPr>
      </w:pPr>
    </w:p>
    <w:p w14:paraId="3C0C2E70">
      <w:pPr>
        <w:spacing w:line="277" w:lineRule="auto"/>
        <w:rPr>
          <w:rFonts w:ascii="Arial"/>
          <w:color w:val="auto"/>
          <w:sz w:val="21"/>
          <w:highlight w:val="none"/>
        </w:rPr>
      </w:pPr>
    </w:p>
    <w:p w14:paraId="44F128C7">
      <w:pPr>
        <w:spacing w:line="277" w:lineRule="auto"/>
        <w:rPr>
          <w:rFonts w:ascii="Arial"/>
          <w:color w:val="auto"/>
          <w:sz w:val="21"/>
          <w:highlight w:val="none"/>
        </w:rPr>
      </w:pPr>
    </w:p>
    <w:p w14:paraId="6573DF9D">
      <w:pPr>
        <w:spacing w:line="277" w:lineRule="auto"/>
        <w:rPr>
          <w:rFonts w:ascii="Arial"/>
          <w:color w:val="auto"/>
          <w:sz w:val="21"/>
          <w:highlight w:val="none"/>
        </w:rPr>
      </w:pPr>
    </w:p>
    <w:p w14:paraId="1B1EA2B5">
      <w:pPr>
        <w:spacing w:line="277" w:lineRule="auto"/>
        <w:rPr>
          <w:rFonts w:ascii="Arial"/>
          <w:color w:val="auto"/>
          <w:sz w:val="21"/>
          <w:highlight w:val="none"/>
        </w:rPr>
      </w:pPr>
    </w:p>
    <w:p w14:paraId="53524760">
      <w:pPr>
        <w:spacing w:before="104" w:line="206" w:lineRule="auto"/>
        <w:ind w:left="32" w:right="3300" w:hanging="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供应商名称（公章）;</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z w:val="24"/>
          <w:szCs w:val="24"/>
          <w:highlight w:val="none"/>
          <w:u w:val="single" w:color="auto"/>
        </w:rPr>
        <w:t xml:space="preserve">             </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法定代表人（签/章</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z w:val="24"/>
          <w:szCs w:val="24"/>
          <w:highlight w:val="none"/>
          <w:u w:val="single" w:color="auto"/>
        </w:rPr>
        <w:t xml:space="preserve">                                    </w:t>
      </w:r>
    </w:p>
    <w:p w14:paraId="4C978C2A">
      <w:pPr>
        <w:spacing w:before="15" w:line="183" w:lineRule="auto"/>
        <w:ind w:left="3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身份证号码：</w:t>
      </w:r>
      <w:r>
        <w:rPr>
          <w:rFonts w:ascii="微软雅黑" w:hAnsi="微软雅黑" w:eastAsia="微软雅黑" w:cs="微软雅黑"/>
          <w:color w:val="auto"/>
          <w:spacing w:val="-1"/>
          <w:sz w:val="24"/>
          <w:szCs w:val="24"/>
          <w:highlight w:val="none"/>
          <w:u w:val="single" w:color="auto"/>
        </w:rPr>
        <w:t xml:space="preserve">                                                    </w:t>
      </w:r>
    </w:p>
    <w:p w14:paraId="2CE727F2">
      <w:pPr>
        <w:spacing w:before="43" w:line="207" w:lineRule="auto"/>
        <w:ind w:left="34" w:right="313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委托代理人（签/章</w:t>
      </w:r>
      <w:r>
        <w:rPr>
          <w:rFonts w:ascii="微软雅黑" w:hAnsi="微软雅黑" w:eastAsia="微软雅黑" w:cs="微软雅黑"/>
          <w:color w:val="auto"/>
          <w:spacing w:val="1"/>
          <w:sz w:val="24"/>
          <w:szCs w:val="24"/>
          <w:highlight w:val="none"/>
        </w:rPr>
        <w:t>）：</w:t>
      </w:r>
      <w:r>
        <w:rPr>
          <w:rFonts w:ascii="微软雅黑" w:hAnsi="微软雅黑" w:eastAsia="微软雅黑" w:cs="微软雅黑"/>
          <w:color w:val="auto"/>
          <w:spacing w:val="2"/>
          <w:sz w:val="24"/>
          <w:szCs w:val="24"/>
          <w:highlight w:val="none"/>
          <w:u w:val="single" w:color="auto"/>
        </w:rPr>
        <w:t xml:space="preserve">                       </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z w:val="24"/>
          <w:szCs w:val="24"/>
          <w:highlight w:val="none"/>
        </w:rPr>
        <w:t>身份证号码：</w:t>
      </w:r>
      <w:r>
        <w:rPr>
          <w:rFonts w:ascii="微软雅黑" w:hAnsi="微软雅黑" w:eastAsia="微软雅黑" w:cs="微软雅黑"/>
          <w:color w:val="auto"/>
          <w:sz w:val="24"/>
          <w:szCs w:val="24"/>
          <w:highlight w:val="none"/>
          <w:u w:val="single" w:color="auto"/>
        </w:rPr>
        <w:t xml:space="preserve">             </w:t>
      </w:r>
      <w:r>
        <w:rPr>
          <w:rFonts w:ascii="微软雅黑" w:hAnsi="微软雅黑" w:eastAsia="微软雅黑" w:cs="微软雅黑"/>
          <w:color w:val="auto"/>
          <w:spacing w:val="-1"/>
          <w:sz w:val="24"/>
          <w:szCs w:val="24"/>
          <w:highlight w:val="none"/>
          <w:u w:val="single" w:color="auto"/>
        </w:rPr>
        <w:t xml:space="preserve">                                             </w:t>
      </w:r>
    </w:p>
    <w:p w14:paraId="623FCFB8">
      <w:pPr>
        <w:spacing w:before="12" w:line="210" w:lineRule="auto"/>
        <w:ind w:left="46" w:right="3718" w:hanging="1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详细通讯地址：</w:t>
      </w:r>
      <w:r>
        <w:rPr>
          <w:rFonts w:ascii="微软雅黑" w:hAnsi="微软雅黑" w:eastAsia="微软雅黑" w:cs="微软雅黑"/>
          <w:color w:val="auto"/>
          <w:sz w:val="24"/>
          <w:szCs w:val="24"/>
          <w:highlight w:val="none"/>
          <w:u w:val="single" w:color="auto"/>
        </w:rPr>
        <w:t xml:space="preserve">                                               </w:t>
      </w:r>
      <w:r>
        <w:rPr>
          <w:rFonts w:ascii="微软雅黑" w:hAnsi="微软雅黑" w:eastAsia="微软雅黑" w:cs="微软雅黑"/>
          <w:color w:val="auto"/>
          <w:spacing w:val="17"/>
          <w:sz w:val="24"/>
          <w:szCs w:val="24"/>
          <w:highlight w:val="none"/>
        </w:rPr>
        <w:t xml:space="preserve"> </w:t>
      </w:r>
      <w:r>
        <w:rPr>
          <w:rFonts w:ascii="微软雅黑" w:hAnsi="微软雅黑" w:eastAsia="微软雅黑" w:cs="微软雅黑"/>
          <w:color w:val="auto"/>
          <w:spacing w:val="39"/>
          <w:sz w:val="24"/>
          <w:szCs w:val="24"/>
          <w:highlight w:val="none"/>
        </w:rPr>
        <w:t>邮政编码</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9"/>
          <w:sz w:val="24"/>
          <w:szCs w:val="24"/>
          <w:highlight w:val="none"/>
        </w:rPr>
        <w:t>：</w:t>
      </w:r>
      <w:r>
        <w:rPr>
          <w:rFonts w:ascii="微软雅黑" w:hAnsi="微软雅黑" w:eastAsia="微软雅黑" w:cs="微软雅黑"/>
          <w:color w:val="auto"/>
          <w:spacing w:val="26"/>
          <w:w w:val="101"/>
          <w:sz w:val="24"/>
          <w:szCs w:val="24"/>
          <w:highlight w:val="none"/>
        </w:rPr>
        <w:t xml:space="preserve">  </w:t>
      </w:r>
      <w:r>
        <w:rPr>
          <w:rFonts w:ascii="微软雅黑" w:hAnsi="微软雅黑" w:eastAsia="微软雅黑" w:cs="微软雅黑"/>
          <w:color w:val="auto"/>
          <w:sz w:val="24"/>
          <w:szCs w:val="24"/>
          <w:highlight w:val="none"/>
          <w:u w:val="single" w:color="auto"/>
        </w:rPr>
        <w:t xml:space="preserve">                                                </w:t>
      </w:r>
    </w:p>
    <w:p w14:paraId="51D37038">
      <w:pPr>
        <w:spacing w:before="2" w:line="182" w:lineRule="auto"/>
        <w:ind w:left="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传</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1"/>
          <w:sz w:val="24"/>
          <w:szCs w:val="24"/>
          <w:highlight w:val="none"/>
        </w:rPr>
        <w:t>真：</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2"/>
          <w:sz w:val="24"/>
          <w:szCs w:val="24"/>
          <w:highlight w:val="none"/>
          <w:u w:val="single" w:color="auto"/>
        </w:rPr>
        <w:t xml:space="preserve">        </w:t>
      </w:r>
    </w:p>
    <w:p w14:paraId="111A1373">
      <w:pPr>
        <w:spacing w:before="47" w:line="182" w:lineRule="auto"/>
        <w:ind w:left="4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电</w:t>
      </w:r>
      <w:r>
        <w:rPr>
          <w:rFonts w:ascii="微软雅黑" w:hAnsi="微软雅黑" w:eastAsia="微软雅黑" w:cs="微软雅黑"/>
          <w:color w:val="auto"/>
          <w:spacing w:val="4"/>
          <w:sz w:val="24"/>
          <w:szCs w:val="24"/>
          <w:highlight w:val="none"/>
        </w:rPr>
        <w:t xml:space="preserve">             </w:t>
      </w:r>
      <w:r>
        <w:rPr>
          <w:rFonts w:ascii="微软雅黑" w:hAnsi="微软雅黑" w:eastAsia="微软雅黑" w:cs="微软雅黑"/>
          <w:color w:val="auto"/>
          <w:spacing w:val="-3"/>
          <w:sz w:val="24"/>
          <w:szCs w:val="24"/>
          <w:highlight w:val="none"/>
        </w:rPr>
        <w:t>话：</w:t>
      </w:r>
      <w:r>
        <w:rPr>
          <w:rFonts w:ascii="微软雅黑" w:hAnsi="微软雅黑" w:eastAsia="微软雅黑" w:cs="微软雅黑"/>
          <w:color w:val="auto"/>
          <w:spacing w:val="-3"/>
          <w:sz w:val="24"/>
          <w:szCs w:val="24"/>
          <w:highlight w:val="none"/>
          <w:u w:val="single" w:color="auto"/>
        </w:rPr>
        <w:t xml:space="preserve">                                                 </w:t>
      </w:r>
    </w:p>
    <w:p w14:paraId="2F5DD5A3">
      <w:pPr>
        <w:spacing w:before="45" w:line="139" w:lineRule="auto"/>
        <w:ind w:left="3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年</w:t>
      </w:r>
      <w:r>
        <w:rPr>
          <w:rFonts w:ascii="微软雅黑" w:hAnsi="微软雅黑" w:eastAsia="微软雅黑" w:cs="微软雅黑"/>
          <w:color w:val="auto"/>
          <w:spacing w:val="2"/>
          <w:sz w:val="24"/>
          <w:szCs w:val="24"/>
          <w:highlight w:val="none"/>
        </w:rPr>
        <w:t xml:space="preserve">     </w:t>
      </w:r>
      <w:r>
        <w:rPr>
          <w:rFonts w:ascii="微软雅黑" w:hAnsi="微软雅黑" w:eastAsia="微软雅黑" w:cs="微软雅黑"/>
          <w:color w:val="auto"/>
          <w:spacing w:val="-4"/>
          <w:sz w:val="24"/>
          <w:szCs w:val="24"/>
          <w:highlight w:val="none"/>
        </w:rPr>
        <w:t>月</w:t>
      </w:r>
      <w:r>
        <w:rPr>
          <w:rFonts w:ascii="微软雅黑" w:hAnsi="微软雅黑" w:eastAsia="微软雅黑" w:cs="微软雅黑"/>
          <w:color w:val="auto"/>
          <w:spacing w:val="9"/>
          <w:sz w:val="24"/>
          <w:szCs w:val="24"/>
          <w:highlight w:val="none"/>
        </w:rPr>
        <w:t xml:space="preserve">     </w:t>
      </w:r>
      <w:r>
        <w:rPr>
          <w:rFonts w:ascii="微软雅黑" w:hAnsi="微软雅黑" w:eastAsia="微软雅黑" w:cs="微软雅黑"/>
          <w:color w:val="auto"/>
          <w:spacing w:val="-4"/>
          <w:sz w:val="24"/>
          <w:szCs w:val="24"/>
          <w:highlight w:val="none"/>
        </w:rPr>
        <w:t>日：</w:t>
      </w:r>
      <w:r>
        <w:rPr>
          <w:rFonts w:ascii="微软雅黑" w:hAnsi="微软雅黑" w:eastAsia="微软雅黑" w:cs="微软雅黑"/>
          <w:color w:val="auto"/>
          <w:spacing w:val="-4"/>
          <w:sz w:val="24"/>
          <w:szCs w:val="24"/>
          <w:highlight w:val="none"/>
          <w:u w:val="single" w:color="auto"/>
        </w:rPr>
        <w:t xml:space="preserve">                        </w:t>
      </w:r>
      <w:r>
        <w:rPr>
          <w:rFonts w:ascii="微软雅黑" w:hAnsi="微软雅黑" w:eastAsia="微软雅黑" w:cs="微软雅黑"/>
          <w:color w:val="auto"/>
          <w:spacing w:val="-5"/>
          <w:sz w:val="24"/>
          <w:szCs w:val="24"/>
          <w:highlight w:val="none"/>
          <w:u w:val="single" w:color="auto"/>
        </w:rPr>
        <w:t xml:space="preserve">                          </w:t>
      </w:r>
    </w:p>
    <w:p w14:paraId="353B6810">
      <w:pPr>
        <w:spacing w:line="139" w:lineRule="auto"/>
        <w:rPr>
          <w:rFonts w:ascii="微软雅黑" w:hAnsi="微软雅黑" w:eastAsia="微软雅黑" w:cs="微软雅黑"/>
          <w:color w:val="auto"/>
          <w:sz w:val="24"/>
          <w:szCs w:val="24"/>
          <w:highlight w:val="none"/>
        </w:rPr>
        <w:sectPr>
          <w:type w:val="continuous"/>
          <w:pgSz w:w="11906" w:h="16839"/>
          <w:pgMar w:top="1127" w:right="1350" w:bottom="1162" w:left="1767" w:header="870" w:footer="985" w:gutter="0"/>
          <w:pgNumType w:fmt="decimal"/>
          <w:cols w:equalWidth="0" w:num="1">
            <w:col w:w="8789"/>
          </w:cols>
        </w:sectPr>
      </w:pPr>
    </w:p>
    <w:p w14:paraId="13D3656C">
      <w:pPr>
        <w:spacing w:line="418" w:lineRule="auto"/>
        <w:rPr>
          <w:rFonts w:ascii="Arial"/>
          <w:color w:val="auto"/>
          <w:sz w:val="21"/>
          <w:highlight w:val="none"/>
        </w:rPr>
      </w:pPr>
    </w:p>
    <w:p w14:paraId="6216633C">
      <w:pPr>
        <w:spacing w:before="103" w:line="184" w:lineRule="auto"/>
        <w:ind w:left="32"/>
        <w:outlineLvl w:val="3"/>
        <w:rPr>
          <w:rFonts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w:t>
      </w:r>
      <w:r>
        <w:rPr>
          <w:rFonts w:ascii="微软雅黑" w:hAnsi="微软雅黑" w:eastAsia="微软雅黑" w:cs="微软雅黑"/>
          <w:b/>
          <w:bCs/>
          <w:color w:val="auto"/>
          <w:sz w:val="24"/>
          <w:szCs w:val="24"/>
          <w:highlight w:val="none"/>
        </w:rPr>
        <w:t>、具有良好的商业信誉和健全的财务会计制度</w:t>
      </w:r>
      <w:r>
        <w:rPr>
          <w:rFonts w:ascii="微软雅黑" w:hAnsi="微软雅黑" w:eastAsia="微软雅黑" w:cs="微软雅黑"/>
          <w:b/>
          <w:bCs/>
          <w:color w:val="auto"/>
          <w:spacing w:val="-1"/>
          <w:sz w:val="24"/>
          <w:szCs w:val="24"/>
          <w:highlight w:val="none"/>
        </w:rPr>
        <w:t>的证明文件</w:t>
      </w:r>
    </w:p>
    <w:p w14:paraId="44FA5440">
      <w:pPr>
        <w:spacing w:before="96" w:line="183" w:lineRule="auto"/>
        <w:ind w:left="572"/>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0"/>
          <w:sz w:val="24"/>
          <w:szCs w:val="24"/>
          <w:highlight w:val="none"/>
        </w:rPr>
        <w:t>说明：</w:t>
      </w:r>
    </w:p>
    <w:p w14:paraId="494C8B7B">
      <w:pPr>
        <w:spacing w:before="54" w:line="236" w:lineRule="auto"/>
        <w:ind w:left="31" w:firstLine="510"/>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（1）</w:t>
      </w:r>
      <w:r>
        <w:rPr>
          <w:rFonts w:ascii="微软雅黑" w:hAnsi="微软雅黑" w:eastAsia="微软雅黑" w:cs="微软雅黑"/>
          <w:color w:val="auto"/>
          <w:spacing w:val="2"/>
          <w:sz w:val="24"/>
          <w:szCs w:val="24"/>
          <w:highlight w:val="none"/>
        </w:rPr>
        <w:t>提供本单位会计师事务所出具的审计期间为（</w:t>
      </w:r>
      <w:r>
        <w:rPr>
          <w:rFonts w:hint="eastAsia" w:ascii="微软雅黑" w:hAnsi="微软雅黑" w:eastAsia="微软雅黑" w:cs="微软雅黑"/>
          <w:color w:val="auto"/>
          <w:spacing w:val="2"/>
          <w:sz w:val="24"/>
          <w:szCs w:val="24"/>
          <w:highlight w:val="none"/>
          <w:lang w:val="en-US" w:eastAsia="zh-CN"/>
        </w:rPr>
        <w:t>2023年或</w:t>
      </w:r>
      <w:r>
        <w:rPr>
          <w:rFonts w:ascii="微软雅黑" w:hAnsi="微软雅黑" w:eastAsia="微软雅黑" w:cs="微软雅黑"/>
          <w:color w:val="auto"/>
          <w:spacing w:val="2"/>
          <w:sz w:val="24"/>
          <w:szCs w:val="24"/>
          <w:highlight w:val="none"/>
        </w:rPr>
        <w:t>202</w:t>
      </w:r>
      <w:r>
        <w:rPr>
          <w:rFonts w:hint="eastAsia" w:ascii="微软雅黑" w:hAnsi="微软雅黑" w:eastAsia="微软雅黑" w:cs="微软雅黑"/>
          <w:color w:val="auto"/>
          <w:spacing w:val="2"/>
          <w:sz w:val="24"/>
          <w:szCs w:val="24"/>
          <w:highlight w:val="none"/>
          <w:lang w:val="en-US" w:eastAsia="zh-CN"/>
        </w:rPr>
        <w:t>4</w:t>
      </w:r>
      <w:r>
        <w:rPr>
          <w:rFonts w:ascii="微软雅黑" w:hAnsi="微软雅黑" w:eastAsia="微软雅黑" w:cs="微软雅黑"/>
          <w:color w:val="auto"/>
          <w:spacing w:val="2"/>
          <w:sz w:val="24"/>
          <w:szCs w:val="24"/>
          <w:highlight w:val="none"/>
        </w:rPr>
        <w:t>年财务审计报告，</w:t>
      </w:r>
      <w:r>
        <w:rPr>
          <w:rFonts w:ascii="微软雅黑" w:hAnsi="微软雅黑" w:eastAsia="微软雅黑" w:cs="微软雅黑"/>
          <w:color w:val="auto"/>
          <w:spacing w:val="9"/>
          <w:sz w:val="24"/>
          <w:szCs w:val="24"/>
          <w:highlight w:val="none"/>
        </w:rPr>
        <w:t xml:space="preserve"> </w:t>
      </w:r>
      <w:r>
        <w:rPr>
          <w:rFonts w:ascii="微软雅黑" w:hAnsi="微软雅黑" w:eastAsia="微软雅黑" w:cs="微软雅黑"/>
          <w:color w:val="auto"/>
          <w:spacing w:val="4"/>
          <w:sz w:val="24"/>
          <w:szCs w:val="24"/>
          <w:highlight w:val="none"/>
        </w:rPr>
        <w:t>新成立未满一年的公司提供开标前1个月内有效银行资信证明）(①财务审计报</w:t>
      </w:r>
      <w:r>
        <w:rPr>
          <w:rFonts w:ascii="微软雅黑" w:hAnsi="微软雅黑" w:eastAsia="微软雅黑" w:cs="微软雅黑"/>
          <w:color w:val="auto"/>
          <w:spacing w:val="-9"/>
          <w:w w:val="97"/>
          <w:sz w:val="24"/>
          <w:szCs w:val="24"/>
          <w:highlight w:val="none"/>
        </w:rPr>
        <w:t>告须包括资产负债表、利润表、现金流量表、所有者权益变动（如有）及其附注②</w:t>
      </w:r>
      <w:r>
        <w:rPr>
          <w:rFonts w:ascii="微软雅黑" w:hAnsi="微软雅黑" w:eastAsia="微软雅黑" w:cs="微软雅黑"/>
          <w:color w:val="auto"/>
          <w:spacing w:val="9"/>
          <w:sz w:val="24"/>
          <w:szCs w:val="24"/>
          <w:highlight w:val="none"/>
        </w:rPr>
        <w:t xml:space="preserve">  </w:t>
      </w:r>
      <w:r>
        <w:rPr>
          <w:rFonts w:ascii="微软雅黑" w:hAnsi="微软雅黑" w:eastAsia="微软雅黑" w:cs="微软雅黑"/>
          <w:color w:val="auto"/>
          <w:spacing w:val="-3"/>
          <w:sz w:val="24"/>
          <w:szCs w:val="24"/>
          <w:highlight w:val="none"/>
        </w:rPr>
        <w:t>银行资信证明可提供原件的扫描件，也可提供复印件。若银行开具的资信证明声</w:t>
      </w:r>
      <w:r>
        <w:rPr>
          <w:rFonts w:ascii="微软雅黑" w:hAnsi="微软雅黑" w:eastAsia="微软雅黑" w:cs="微软雅黑"/>
          <w:color w:val="auto"/>
          <w:spacing w:val="-7"/>
          <w:sz w:val="24"/>
          <w:szCs w:val="24"/>
          <w:highlight w:val="none"/>
        </w:rPr>
        <w:t>明复印无效的，则磋商人必须提供原件的扫描件，否则视为无效。</w:t>
      </w:r>
      <w:r>
        <w:rPr>
          <w:rFonts w:ascii="微软雅黑" w:hAnsi="微软雅黑" w:eastAsia="微软雅黑" w:cs="微软雅黑"/>
          <w:color w:val="auto"/>
          <w:spacing w:val="-8"/>
          <w:sz w:val="24"/>
          <w:szCs w:val="24"/>
          <w:highlight w:val="none"/>
        </w:rPr>
        <w:t>提供复印件的，</w:t>
      </w:r>
      <w:r>
        <w:rPr>
          <w:rFonts w:ascii="微软雅黑" w:hAnsi="微软雅黑" w:eastAsia="微软雅黑" w:cs="微软雅黑"/>
          <w:color w:val="auto"/>
          <w:spacing w:val="-6"/>
          <w:sz w:val="24"/>
          <w:szCs w:val="24"/>
          <w:highlight w:val="none"/>
        </w:rPr>
        <w:t>必须提供银行资信证明所有内容页的齐全的复印件，含首</w:t>
      </w:r>
      <w:r>
        <w:rPr>
          <w:rFonts w:ascii="微软雅黑" w:hAnsi="微软雅黑" w:eastAsia="微软雅黑" w:cs="微软雅黑"/>
          <w:color w:val="auto"/>
          <w:spacing w:val="-7"/>
          <w:sz w:val="24"/>
          <w:szCs w:val="24"/>
          <w:highlight w:val="none"/>
        </w:rPr>
        <w:t>页、声明页等， 否则视</w:t>
      </w:r>
      <w:r>
        <w:rPr>
          <w:rFonts w:ascii="微软雅黑" w:hAnsi="微软雅黑" w:eastAsia="微软雅黑" w:cs="微软雅黑"/>
          <w:color w:val="auto"/>
          <w:spacing w:val="-9"/>
          <w:sz w:val="24"/>
          <w:szCs w:val="24"/>
          <w:highlight w:val="none"/>
        </w:rPr>
        <w:t>为无效。③银行出具的存款证明不能替代银行资信证明，存款证</w:t>
      </w:r>
      <w:r>
        <w:rPr>
          <w:rFonts w:ascii="微软雅黑" w:hAnsi="微软雅黑" w:eastAsia="微软雅黑" w:cs="微软雅黑"/>
          <w:color w:val="auto"/>
          <w:spacing w:val="-10"/>
          <w:sz w:val="24"/>
          <w:szCs w:val="24"/>
          <w:highlight w:val="none"/>
        </w:rPr>
        <w:t>明无效。④成立不</w:t>
      </w:r>
      <w:r>
        <w:rPr>
          <w:rFonts w:ascii="微软雅黑" w:hAnsi="微软雅黑" w:eastAsia="微软雅黑" w:cs="微软雅黑"/>
          <w:color w:val="auto"/>
          <w:spacing w:val="-1"/>
          <w:sz w:val="24"/>
          <w:szCs w:val="24"/>
          <w:highlight w:val="none"/>
        </w:rPr>
        <w:t>到一年的公司须提交验资证明复印件并加盖磋商人公章或</w:t>
      </w:r>
      <w:r>
        <w:rPr>
          <w:rFonts w:ascii="微软雅黑" w:hAnsi="微软雅黑" w:eastAsia="微软雅黑" w:cs="微软雅黑"/>
          <w:color w:val="auto"/>
          <w:spacing w:val="-2"/>
          <w:sz w:val="24"/>
          <w:szCs w:val="24"/>
          <w:highlight w:val="none"/>
        </w:rPr>
        <w:t>银行资信证明）</w:t>
      </w:r>
    </w:p>
    <w:p w14:paraId="337F5D76">
      <w:pPr>
        <w:spacing w:before="45" w:line="231" w:lineRule="auto"/>
        <w:ind w:left="32" w:right="192" w:firstLine="509"/>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（2）</w:t>
      </w:r>
      <w:r>
        <w:rPr>
          <w:rFonts w:ascii="微软雅黑" w:hAnsi="微软雅黑" w:eastAsia="微软雅黑" w:cs="微软雅黑"/>
          <w:color w:val="auto"/>
          <w:spacing w:val="-1"/>
          <w:sz w:val="24"/>
          <w:szCs w:val="24"/>
          <w:highlight w:val="none"/>
        </w:rPr>
        <w:t>如提供银行出具的证明文件。银行证明文件可提供原件扫描件，也可</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4"/>
          <w:sz w:val="24"/>
          <w:szCs w:val="24"/>
          <w:highlight w:val="none"/>
        </w:rPr>
        <w:t>提供银行在开标前 1 个月内开具证明文件的复印件。银行出具的证明文件应能说</w:t>
      </w:r>
      <w:r>
        <w:rPr>
          <w:rFonts w:ascii="微软雅黑" w:hAnsi="微软雅黑" w:eastAsia="微软雅黑" w:cs="微软雅黑"/>
          <w:color w:val="auto"/>
          <w:spacing w:val="13"/>
          <w:sz w:val="24"/>
          <w:szCs w:val="24"/>
          <w:highlight w:val="none"/>
        </w:rPr>
        <w:t xml:space="preserve"> </w:t>
      </w:r>
      <w:r>
        <w:rPr>
          <w:rFonts w:ascii="微软雅黑" w:hAnsi="微软雅黑" w:eastAsia="微软雅黑" w:cs="微软雅黑"/>
          <w:color w:val="auto"/>
          <w:spacing w:val="-2"/>
          <w:sz w:val="24"/>
          <w:szCs w:val="24"/>
          <w:highlight w:val="none"/>
        </w:rPr>
        <w:t>明该磋商人与银行之间业务往来正常，企业信誉良好等。</w:t>
      </w:r>
    </w:p>
    <w:p w14:paraId="76CEC140">
      <w:pPr>
        <w:spacing w:line="303" w:lineRule="auto"/>
        <w:rPr>
          <w:rFonts w:ascii="Arial"/>
          <w:color w:val="auto"/>
          <w:sz w:val="21"/>
          <w:highlight w:val="none"/>
        </w:rPr>
      </w:pPr>
    </w:p>
    <w:p w14:paraId="46CD17FE">
      <w:pPr>
        <w:spacing w:line="304" w:lineRule="auto"/>
        <w:rPr>
          <w:rFonts w:ascii="Arial"/>
          <w:color w:val="auto"/>
          <w:sz w:val="21"/>
          <w:highlight w:val="none"/>
        </w:rPr>
      </w:pPr>
    </w:p>
    <w:p w14:paraId="78CE4C40">
      <w:pPr>
        <w:spacing w:before="104" w:line="183" w:lineRule="auto"/>
        <w:ind w:left="49"/>
        <w:outlineLvl w:val="3"/>
        <w:rPr>
          <w:rFonts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lang w:val="en-US" w:eastAsia="zh-CN"/>
        </w:rPr>
        <w:t>4</w:t>
      </w:r>
      <w:r>
        <w:rPr>
          <w:rFonts w:ascii="微软雅黑" w:hAnsi="微软雅黑" w:eastAsia="微软雅黑" w:cs="微软雅黑"/>
          <w:b/>
          <w:bCs/>
          <w:color w:val="auto"/>
          <w:spacing w:val="-2"/>
          <w:sz w:val="24"/>
          <w:szCs w:val="24"/>
          <w:highlight w:val="none"/>
        </w:rPr>
        <w:t>、有依法缴纳社会保障资金的良好记录</w:t>
      </w:r>
    </w:p>
    <w:p w14:paraId="046A1C23">
      <w:pPr>
        <w:spacing w:before="66" w:line="216" w:lineRule="auto"/>
        <w:ind w:left="31" w:right="192"/>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说明：</w:t>
      </w:r>
      <w:r>
        <w:rPr>
          <w:rFonts w:ascii="微软雅黑" w:hAnsi="微软雅黑" w:eastAsia="微软雅黑" w:cs="微软雅黑"/>
          <w:color w:val="auto"/>
          <w:spacing w:val="-1"/>
          <w:sz w:val="24"/>
          <w:szCs w:val="24"/>
          <w:highlight w:val="none"/>
        </w:rPr>
        <w:t>须提供近六个月内任意一个月的法人及被授权人&lt;被授权人必须为投标单</w:t>
      </w:r>
      <w:r>
        <w:rPr>
          <w:rFonts w:ascii="微软雅黑" w:hAnsi="微软雅黑" w:eastAsia="微软雅黑" w:cs="微软雅黑"/>
          <w:color w:val="auto"/>
          <w:spacing w:val="4"/>
          <w:sz w:val="24"/>
          <w:szCs w:val="24"/>
          <w:highlight w:val="none"/>
        </w:rPr>
        <w:t xml:space="preserve"> </w:t>
      </w:r>
      <w:r>
        <w:rPr>
          <w:rFonts w:ascii="微软雅黑" w:hAnsi="微软雅黑" w:eastAsia="微软雅黑" w:cs="微软雅黑"/>
          <w:color w:val="auto"/>
          <w:spacing w:val="-1"/>
          <w:sz w:val="24"/>
          <w:szCs w:val="24"/>
          <w:highlight w:val="none"/>
        </w:rPr>
        <w:t>位正式员工&gt;社保部门出具的投标单位的缴纳社保证明和法人及被授权人缴纳社</w:t>
      </w:r>
      <w:r>
        <w:rPr>
          <w:rFonts w:ascii="微软雅黑" w:hAnsi="微软雅黑" w:eastAsia="微软雅黑" w:cs="微软雅黑"/>
          <w:color w:val="auto"/>
          <w:spacing w:val="5"/>
          <w:sz w:val="24"/>
          <w:szCs w:val="24"/>
          <w:highlight w:val="none"/>
        </w:rPr>
        <w:t xml:space="preserve"> </w:t>
      </w:r>
      <w:r>
        <w:rPr>
          <w:rFonts w:ascii="微软雅黑" w:hAnsi="微软雅黑" w:eastAsia="微软雅黑" w:cs="微软雅黑"/>
          <w:color w:val="auto"/>
          <w:spacing w:val="2"/>
          <w:sz w:val="24"/>
          <w:szCs w:val="24"/>
          <w:highlight w:val="none"/>
        </w:rPr>
        <w:t>保明细表原件扫描件/复印件</w:t>
      </w:r>
      <w:r>
        <w:rPr>
          <w:rFonts w:ascii="微软雅黑" w:hAnsi="微软雅黑" w:eastAsia="微软雅黑" w:cs="微软雅黑"/>
          <w:color w:val="auto"/>
          <w:spacing w:val="-34"/>
          <w:sz w:val="24"/>
          <w:szCs w:val="24"/>
          <w:highlight w:val="none"/>
        </w:rPr>
        <w:t xml:space="preserve"> </w:t>
      </w:r>
      <w:r>
        <w:rPr>
          <w:rFonts w:ascii="微软雅黑" w:hAnsi="微软雅黑" w:eastAsia="微软雅黑" w:cs="微软雅黑"/>
          <w:color w:val="auto"/>
          <w:spacing w:val="2"/>
          <w:sz w:val="24"/>
          <w:szCs w:val="24"/>
          <w:highlight w:val="none"/>
        </w:rPr>
        <w:t>&lt;社保证明可提供以下任意一个：社保缴</w:t>
      </w:r>
      <w:r>
        <w:rPr>
          <w:rFonts w:ascii="微软雅黑" w:hAnsi="微软雅黑" w:eastAsia="微软雅黑" w:cs="微软雅黑"/>
          <w:color w:val="auto"/>
          <w:spacing w:val="1"/>
          <w:sz w:val="24"/>
          <w:szCs w:val="24"/>
          <w:highlight w:val="none"/>
        </w:rPr>
        <w:t>费凭证、</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社保缴费证明、社保缴费汇总单、依法缴纳社保的完税证明&gt;；</w:t>
      </w:r>
    </w:p>
    <w:p w14:paraId="28F51FBF">
      <w:pPr>
        <w:spacing w:line="266" w:lineRule="auto"/>
        <w:rPr>
          <w:rFonts w:ascii="Arial"/>
          <w:color w:val="auto"/>
          <w:sz w:val="21"/>
          <w:highlight w:val="none"/>
        </w:rPr>
      </w:pPr>
    </w:p>
    <w:p w14:paraId="274D674A">
      <w:pPr>
        <w:spacing w:line="267" w:lineRule="auto"/>
        <w:rPr>
          <w:rFonts w:ascii="Arial"/>
          <w:color w:val="auto"/>
          <w:sz w:val="21"/>
          <w:highlight w:val="none"/>
        </w:rPr>
      </w:pPr>
    </w:p>
    <w:p w14:paraId="6DDEEA5F">
      <w:pPr>
        <w:spacing w:line="267" w:lineRule="auto"/>
        <w:rPr>
          <w:rFonts w:ascii="Arial"/>
          <w:color w:val="auto"/>
          <w:sz w:val="21"/>
          <w:highlight w:val="none"/>
        </w:rPr>
      </w:pPr>
    </w:p>
    <w:p w14:paraId="6CF06BA8">
      <w:pPr>
        <w:spacing w:before="103" w:line="183" w:lineRule="auto"/>
        <w:ind w:left="41"/>
        <w:outlineLvl w:val="3"/>
        <w:rPr>
          <w:rFonts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lang w:val="en-US" w:eastAsia="zh-CN"/>
        </w:rPr>
        <w:t>5</w:t>
      </w:r>
      <w:r>
        <w:rPr>
          <w:rFonts w:ascii="微软雅黑" w:hAnsi="微软雅黑" w:eastAsia="微软雅黑" w:cs="微软雅黑"/>
          <w:b/>
          <w:bCs/>
          <w:color w:val="auto"/>
          <w:spacing w:val="-1"/>
          <w:sz w:val="24"/>
          <w:szCs w:val="24"/>
          <w:highlight w:val="none"/>
        </w:rPr>
        <w:t>、有依法缴纳税收的良好记录</w:t>
      </w:r>
    </w:p>
    <w:p w14:paraId="4CFE9FC2">
      <w:pPr>
        <w:spacing w:before="23" w:line="217" w:lineRule="auto"/>
        <w:ind w:left="34" w:right="191" w:hanging="2"/>
        <w:jc w:val="both"/>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说明：</w:t>
      </w:r>
      <w:r>
        <w:rPr>
          <w:rFonts w:ascii="微软雅黑" w:hAnsi="微软雅黑" w:eastAsia="微软雅黑" w:cs="微软雅黑"/>
          <w:color w:val="auto"/>
          <w:spacing w:val="1"/>
          <w:sz w:val="24"/>
          <w:szCs w:val="24"/>
          <w:highlight w:val="none"/>
        </w:rPr>
        <w:t>投标单位近六个月内任意一个月依法缴纳税收的完税证明原件扫描件/复</w:t>
      </w:r>
      <w:r>
        <w:rPr>
          <w:rFonts w:ascii="微软雅黑" w:hAnsi="微软雅黑" w:eastAsia="微软雅黑" w:cs="微软雅黑"/>
          <w:color w:val="auto"/>
          <w:spacing w:val="9"/>
          <w:sz w:val="24"/>
          <w:szCs w:val="24"/>
          <w:highlight w:val="none"/>
        </w:rPr>
        <w:t xml:space="preserve"> </w:t>
      </w:r>
      <w:r>
        <w:rPr>
          <w:rFonts w:ascii="微软雅黑" w:hAnsi="微软雅黑" w:eastAsia="微软雅黑" w:cs="微软雅黑"/>
          <w:color w:val="auto"/>
          <w:spacing w:val="-3"/>
          <w:sz w:val="24"/>
          <w:szCs w:val="24"/>
          <w:highlight w:val="none"/>
        </w:rPr>
        <w:t>印件，依法免缴的，应提供依法免缴的相关证明文件或零申报报表（新公司提交</w:t>
      </w:r>
      <w:r>
        <w:rPr>
          <w:rFonts w:ascii="微软雅黑" w:hAnsi="微软雅黑" w:eastAsia="微软雅黑" w:cs="微软雅黑"/>
          <w:color w:val="auto"/>
          <w:spacing w:val="10"/>
          <w:sz w:val="24"/>
          <w:szCs w:val="24"/>
          <w:highlight w:val="none"/>
        </w:rPr>
        <w:t xml:space="preserve"> </w:t>
      </w:r>
      <w:r>
        <w:rPr>
          <w:rFonts w:ascii="微软雅黑" w:hAnsi="微软雅黑" w:eastAsia="微软雅黑" w:cs="微软雅黑"/>
          <w:color w:val="auto"/>
          <w:spacing w:val="-5"/>
          <w:sz w:val="24"/>
          <w:szCs w:val="24"/>
          <w:highlight w:val="none"/>
        </w:rPr>
        <w:t>上述内容实际证明材料</w:t>
      </w:r>
      <w:r>
        <w:rPr>
          <w:rFonts w:ascii="微软雅黑" w:hAnsi="微软雅黑" w:eastAsia="微软雅黑" w:cs="微软雅黑"/>
          <w:color w:val="auto"/>
          <w:spacing w:val="1"/>
          <w:sz w:val="24"/>
          <w:szCs w:val="24"/>
          <w:highlight w:val="none"/>
        </w:rPr>
        <w:t>）；</w:t>
      </w:r>
    </w:p>
    <w:p w14:paraId="7E862052">
      <w:pPr>
        <w:spacing w:before="4" w:line="176" w:lineRule="auto"/>
        <w:ind w:left="30" w:right="192" w:firstLine="242"/>
        <w:jc w:val="both"/>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注：</w:t>
      </w:r>
      <w:r>
        <w:rPr>
          <w:rFonts w:ascii="微软雅黑" w:hAnsi="微软雅黑" w:eastAsia="微软雅黑" w:cs="微软雅黑"/>
          <w:color w:val="auto"/>
          <w:spacing w:val="-3"/>
          <w:sz w:val="24"/>
          <w:szCs w:val="24"/>
          <w:highlight w:val="none"/>
        </w:rPr>
        <w:t>“提供税务部门出具近六个月内任意一个月的的完税证明”：①若供应商</w:t>
      </w:r>
      <w:r>
        <w:rPr>
          <w:rFonts w:ascii="微软雅黑" w:hAnsi="微软雅黑" w:eastAsia="微软雅黑" w:cs="微软雅黑"/>
          <w:color w:val="auto"/>
          <w:spacing w:val="9"/>
          <w:sz w:val="24"/>
          <w:szCs w:val="24"/>
          <w:highlight w:val="none"/>
        </w:rPr>
        <w:t xml:space="preserve"> </w:t>
      </w:r>
      <w:r>
        <w:rPr>
          <w:rFonts w:ascii="微软雅黑" w:hAnsi="微软雅黑" w:eastAsia="微软雅黑" w:cs="微软雅黑"/>
          <w:color w:val="auto"/>
          <w:spacing w:val="-3"/>
          <w:sz w:val="24"/>
          <w:szCs w:val="24"/>
          <w:highlight w:val="none"/>
        </w:rPr>
        <w:t>某月税收为零申报，须提供当月加盖税务局公章的无欠税证明或“国家税务总局</w:t>
      </w:r>
      <w:r>
        <w:rPr>
          <w:rFonts w:ascii="微软雅黑" w:hAnsi="微软雅黑" w:eastAsia="微软雅黑" w:cs="微软雅黑"/>
          <w:color w:val="auto"/>
          <w:spacing w:val="14"/>
          <w:sz w:val="24"/>
          <w:szCs w:val="24"/>
          <w:highlight w:val="none"/>
        </w:rPr>
        <w:t xml:space="preserve"> </w:t>
      </w:r>
      <w:r>
        <w:rPr>
          <w:rFonts w:ascii="微软雅黑" w:hAnsi="微软雅黑" w:eastAsia="微软雅黑" w:cs="微软雅黑"/>
          <w:color w:val="auto"/>
          <w:sz w:val="24"/>
          <w:szCs w:val="24"/>
          <w:highlight w:val="none"/>
        </w:rPr>
        <w:t>电子税务局（12366.chinatax.gov.cn/bsfw/onlinetaxation/main</w:t>
      </w:r>
      <w:r>
        <w:rPr>
          <w:rFonts w:ascii="微软雅黑" w:hAnsi="微软雅黑" w:eastAsia="微软雅黑" w:cs="微软雅黑"/>
          <w:color w:val="auto"/>
          <w:spacing w:val="-1"/>
          <w:sz w:val="24"/>
          <w:szCs w:val="24"/>
          <w:highlight w:val="none"/>
        </w:rPr>
        <w:t>）”的申报</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结果查询截图。②完税证明中“税种”非养老保险、医疗保险、失业保险、工伤</w:t>
      </w:r>
      <w:r>
        <w:rPr>
          <w:rFonts w:ascii="微软雅黑" w:hAnsi="微软雅黑" w:eastAsia="微软雅黑" w:cs="微软雅黑"/>
          <w:color w:val="auto"/>
          <w:spacing w:val="14"/>
          <w:sz w:val="24"/>
          <w:szCs w:val="24"/>
          <w:highlight w:val="none"/>
        </w:rPr>
        <w:t xml:space="preserve"> </w:t>
      </w:r>
      <w:r>
        <w:rPr>
          <w:rFonts w:ascii="微软雅黑" w:hAnsi="微软雅黑" w:eastAsia="微软雅黑" w:cs="微软雅黑"/>
          <w:color w:val="auto"/>
          <w:spacing w:val="-3"/>
          <w:sz w:val="24"/>
          <w:szCs w:val="24"/>
          <w:highlight w:val="none"/>
        </w:rPr>
        <w:t>保险和生育保险。单位代扣代缴的个人所得税不能作为单位纳税的有效凭证。请</w:t>
      </w:r>
      <w:r>
        <w:rPr>
          <w:rFonts w:ascii="微软雅黑" w:hAnsi="微软雅黑" w:eastAsia="微软雅黑" w:cs="微软雅黑"/>
          <w:color w:val="auto"/>
          <w:spacing w:val="14"/>
          <w:sz w:val="24"/>
          <w:szCs w:val="24"/>
          <w:highlight w:val="none"/>
        </w:rPr>
        <w:t xml:space="preserve"> </w:t>
      </w:r>
      <w:r>
        <w:rPr>
          <w:rFonts w:ascii="微软雅黑" w:hAnsi="微软雅黑" w:eastAsia="微软雅黑" w:cs="微软雅黑"/>
          <w:color w:val="auto"/>
          <w:spacing w:val="-6"/>
          <w:sz w:val="24"/>
          <w:szCs w:val="24"/>
          <w:highlight w:val="none"/>
        </w:rPr>
        <w:t>各供应商注意！</w:t>
      </w:r>
    </w:p>
    <w:p w14:paraId="7457B302">
      <w:pPr>
        <w:spacing w:before="103" w:line="183" w:lineRule="auto"/>
        <w:ind w:left="40"/>
        <w:jc w:val="left"/>
        <w:outlineLvl w:val="3"/>
        <w:rPr>
          <w:rFonts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7"/>
          <w:sz w:val="24"/>
          <w:szCs w:val="24"/>
          <w:highlight w:val="none"/>
          <w:lang w:val="en-US" w:eastAsia="zh-CN"/>
        </w:rPr>
        <w:t>6</w:t>
      </w:r>
      <w:r>
        <w:rPr>
          <w:rFonts w:ascii="微软雅黑" w:hAnsi="微软雅黑" w:eastAsia="微软雅黑" w:cs="微软雅黑"/>
          <w:b/>
          <w:bCs/>
          <w:color w:val="auto"/>
          <w:spacing w:val="30"/>
          <w:sz w:val="24"/>
          <w:szCs w:val="24"/>
          <w:highlight w:val="none"/>
        </w:rPr>
        <w:t xml:space="preserve">  </w:t>
      </w:r>
      <w:r>
        <w:rPr>
          <w:rFonts w:ascii="微软雅黑" w:hAnsi="微软雅黑" w:eastAsia="微软雅黑" w:cs="微软雅黑"/>
          <w:b/>
          <w:bCs/>
          <w:color w:val="auto"/>
          <w:spacing w:val="-7"/>
          <w:sz w:val="24"/>
          <w:szCs w:val="24"/>
          <w:highlight w:val="none"/>
        </w:rPr>
        <w:t>、</w:t>
      </w:r>
      <w:r>
        <w:rPr>
          <w:rFonts w:ascii="微软雅黑" w:hAnsi="微软雅黑" w:eastAsia="微软雅黑" w:cs="微软雅黑"/>
          <w:b/>
          <w:bCs/>
          <w:color w:val="auto"/>
          <w:spacing w:val="28"/>
          <w:sz w:val="24"/>
          <w:szCs w:val="24"/>
          <w:highlight w:val="none"/>
        </w:rPr>
        <w:t xml:space="preserve"> </w:t>
      </w:r>
      <w:r>
        <w:rPr>
          <w:rFonts w:ascii="微软雅黑" w:hAnsi="微软雅黑" w:eastAsia="微软雅黑" w:cs="微软雅黑"/>
          <w:b/>
          <w:bCs/>
          <w:color w:val="auto"/>
          <w:spacing w:val="-7"/>
          <w:sz w:val="24"/>
          <w:szCs w:val="24"/>
          <w:highlight w:val="none"/>
        </w:rPr>
        <w:t>参加本次招标项目的供应商，不得在中国政府</w:t>
      </w:r>
      <w:r>
        <w:rPr>
          <w:rFonts w:ascii="微软雅黑" w:hAnsi="微软雅黑" w:eastAsia="微软雅黑" w:cs="微软雅黑"/>
          <w:b/>
          <w:bCs/>
          <w:color w:val="auto"/>
          <w:spacing w:val="-8"/>
          <w:sz w:val="24"/>
          <w:szCs w:val="24"/>
          <w:highlight w:val="none"/>
        </w:rPr>
        <w:t>采购网</w:t>
      </w:r>
    </w:p>
    <w:p w14:paraId="29B5B914">
      <w:pPr>
        <w:spacing w:before="15" w:line="220" w:lineRule="auto"/>
        <w:ind w:left="29" w:firstLine="31"/>
        <w:jc w:val="left"/>
        <w:rPr>
          <w:rFonts w:ascii="微软雅黑" w:hAnsi="微软雅黑" w:eastAsia="微软雅黑" w:cs="微软雅黑"/>
          <w:b/>
          <w:bCs/>
          <w:color w:val="auto"/>
          <w:spacing w:val="-3"/>
          <w:sz w:val="24"/>
          <w:szCs w:val="24"/>
          <w:highlight w:val="none"/>
        </w:rPr>
        <w:sectPr>
          <w:headerReference r:id="rId11" w:type="default"/>
          <w:footerReference r:id="rId12" w:type="default"/>
          <w:pgSz w:w="11906" w:h="16839"/>
          <w:pgMar w:top="1134" w:right="1767" w:bottom="1134" w:left="1768" w:header="870" w:footer="985" w:gutter="0"/>
          <w:pgNumType w:fmt="decimal"/>
          <w:cols w:space="720" w:num="1"/>
        </w:sectPr>
      </w:pPr>
      <w:r>
        <w:rPr>
          <w:rFonts w:ascii="微软雅黑" w:hAnsi="微软雅黑" w:eastAsia="微软雅黑" w:cs="微软雅黑"/>
          <w:b/>
          <w:bCs/>
          <w:color w:val="auto"/>
          <w:spacing w:val="4"/>
          <w:sz w:val="24"/>
          <w:szCs w:val="24"/>
          <w:highlight w:val="none"/>
        </w:rPr>
        <w:t>（</w:t>
      </w:r>
      <w:r>
        <w:rPr>
          <w:rFonts w:ascii="微软雅黑" w:hAnsi="微软雅黑" w:eastAsia="微软雅黑" w:cs="微软雅黑"/>
          <w:b/>
          <w:bCs/>
          <w:color w:val="auto"/>
          <w:spacing w:val="-42"/>
          <w:sz w:val="24"/>
          <w:szCs w:val="24"/>
          <w:highlight w:val="none"/>
        </w:rPr>
        <w:t xml:space="preserve"> </w:t>
      </w:r>
      <w:r>
        <w:rPr>
          <w:color w:val="auto"/>
          <w:highlight w:val="none"/>
        </w:rPr>
        <w:fldChar w:fldCharType="begin"/>
      </w:r>
      <w:r>
        <w:rPr>
          <w:color w:val="auto"/>
          <w:highlight w:val="none"/>
        </w:rPr>
        <w:instrText xml:space="preserve"> HYPERLINK "http://www.ccgp.gov.cn/search/cr/" </w:instrText>
      </w:r>
      <w:r>
        <w:rPr>
          <w:color w:val="auto"/>
          <w:highlight w:val="none"/>
        </w:rPr>
        <w:fldChar w:fldCharType="separate"/>
      </w:r>
      <w:r>
        <w:rPr>
          <w:rFonts w:ascii="微软雅黑" w:hAnsi="微软雅黑" w:eastAsia="微软雅黑" w:cs="微软雅黑"/>
          <w:b/>
          <w:bCs/>
          <w:color w:val="auto"/>
          <w:sz w:val="24"/>
          <w:szCs w:val="24"/>
          <w:highlight w:val="none"/>
        </w:rPr>
        <w:t>http</w:t>
      </w:r>
      <w:r>
        <w:rPr>
          <w:rFonts w:ascii="微软雅黑" w:hAnsi="微软雅黑" w:eastAsia="微软雅黑" w:cs="微软雅黑"/>
          <w:b/>
          <w:bCs/>
          <w:color w:val="auto"/>
          <w:spacing w:val="4"/>
          <w:sz w:val="24"/>
          <w:szCs w:val="24"/>
          <w:highlight w:val="none"/>
        </w:rPr>
        <w:t>://</w:t>
      </w:r>
      <w:r>
        <w:rPr>
          <w:rFonts w:ascii="微软雅黑" w:hAnsi="微软雅黑" w:eastAsia="微软雅黑" w:cs="微软雅黑"/>
          <w:b/>
          <w:bCs/>
          <w:color w:val="auto"/>
          <w:sz w:val="24"/>
          <w:szCs w:val="24"/>
          <w:highlight w:val="none"/>
        </w:rPr>
        <w:t>www</w:t>
      </w:r>
      <w:r>
        <w:rPr>
          <w:rFonts w:ascii="微软雅黑" w:hAnsi="微软雅黑" w:eastAsia="微软雅黑" w:cs="微软雅黑"/>
          <w:b/>
          <w:bCs/>
          <w:color w:val="auto"/>
          <w:spacing w:val="4"/>
          <w:sz w:val="24"/>
          <w:szCs w:val="24"/>
          <w:highlight w:val="none"/>
        </w:rPr>
        <w:t>.</w:t>
      </w:r>
      <w:r>
        <w:rPr>
          <w:rFonts w:ascii="微软雅黑" w:hAnsi="微软雅黑" w:eastAsia="微软雅黑" w:cs="微软雅黑"/>
          <w:b/>
          <w:bCs/>
          <w:color w:val="auto"/>
          <w:sz w:val="24"/>
          <w:szCs w:val="24"/>
          <w:highlight w:val="none"/>
        </w:rPr>
        <w:t>ccgp</w:t>
      </w:r>
      <w:r>
        <w:rPr>
          <w:rFonts w:ascii="微软雅黑" w:hAnsi="微软雅黑" w:eastAsia="微软雅黑" w:cs="微软雅黑"/>
          <w:b/>
          <w:bCs/>
          <w:color w:val="auto"/>
          <w:spacing w:val="4"/>
          <w:sz w:val="24"/>
          <w:szCs w:val="24"/>
          <w:highlight w:val="none"/>
        </w:rPr>
        <w:t>.</w:t>
      </w:r>
      <w:r>
        <w:rPr>
          <w:rFonts w:ascii="微软雅黑" w:hAnsi="微软雅黑" w:eastAsia="微软雅黑" w:cs="微软雅黑"/>
          <w:b/>
          <w:bCs/>
          <w:color w:val="auto"/>
          <w:sz w:val="24"/>
          <w:szCs w:val="24"/>
          <w:highlight w:val="none"/>
        </w:rPr>
        <w:t>gov</w:t>
      </w:r>
      <w:r>
        <w:rPr>
          <w:rFonts w:ascii="微软雅黑" w:hAnsi="微软雅黑" w:eastAsia="微软雅黑" w:cs="微软雅黑"/>
          <w:b/>
          <w:bCs/>
          <w:color w:val="auto"/>
          <w:spacing w:val="4"/>
          <w:sz w:val="24"/>
          <w:szCs w:val="24"/>
          <w:highlight w:val="none"/>
        </w:rPr>
        <w:t>.</w:t>
      </w:r>
      <w:r>
        <w:rPr>
          <w:rFonts w:ascii="微软雅黑" w:hAnsi="微软雅黑" w:eastAsia="微软雅黑" w:cs="微软雅黑"/>
          <w:b/>
          <w:bCs/>
          <w:color w:val="auto"/>
          <w:sz w:val="24"/>
          <w:szCs w:val="24"/>
          <w:highlight w:val="none"/>
        </w:rPr>
        <w:t>cn</w:t>
      </w:r>
      <w:r>
        <w:rPr>
          <w:rFonts w:ascii="微软雅黑" w:hAnsi="微软雅黑" w:eastAsia="微软雅黑" w:cs="微软雅黑"/>
          <w:b/>
          <w:bCs/>
          <w:color w:val="auto"/>
          <w:spacing w:val="4"/>
          <w:sz w:val="24"/>
          <w:szCs w:val="24"/>
          <w:highlight w:val="none"/>
        </w:rPr>
        <w:t>/</w:t>
      </w:r>
      <w:r>
        <w:rPr>
          <w:rFonts w:ascii="微软雅黑" w:hAnsi="微软雅黑" w:eastAsia="微软雅黑" w:cs="微软雅黑"/>
          <w:b/>
          <w:bCs/>
          <w:color w:val="auto"/>
          <w:sz w:val="24"/>
          <w:szCs w:val="24"/>
          <w:highlight w:val="none"/>
        </w:rPr>
        <w:t>search</w:t>
      </w:r>
      <w:r>
        <w:rPr>
          <w:rFonts w:ascii="微软雅黑" w:hAnsi="微软雅黑" w:eastAsia="微软雅黑" w:cs="微软雅黑"/>
          <w:b/>
          <w:bCs/>
          <w:color w:val="auto"/>
          <w:spacing w:val="4"/>
          <w:sz w:val="24"/>
          <w:szCs w:val="24"/>
          <w:highlight w:val="none"/>
        </w:rPr>
        <w:t>/</w:t>
      </w:r>
      <w:r>
        <w:rPr>
          <w:rFonts w:ascii="微软雅黑" w:hAnsi="微软雅黑" w:eastAsia="微软雅黑" w:cs="微软雅黑"/>
          <w:b/>
          <w:bCs/>
          <w:color w:val="auto"/>
          <w:sz w:val="24"/>
          <w:szCs w:val="24"/>
          <w:highlight w:val="none"/>
        </w:rPr>
        <w:t>cr</w:t>
      </w:r>
      <w:r>
        <w:rPr>
          <w:rFonts w:ascii="微软雅黑" w:hAnsi="微软雅黑" w:eastAsia="微软雅黑" w:cs="微软雅黑"/>
          <w:b/>
          <w:bCs/>
          <w:color w:val="auto"/>
          <w:spacing w:val="4"/>
          <w:sz w:val="24"/>
          <w:szCs w:val="24"/>
          <w:highlight w:val="none"/>
        </w:rPr>
        <w:t>/</w:t>
      </w:r>
      <w:r>
        <w:rPr>
          <w:rFonts w:ascii="微软雅黑" w:hAnsi="微软雅黑" w:eastAsia="微软雅黑" w:cs="微软雅黑"/>
          <w:b/>
          <w:bCs/>
          <w:color w:val="auto"/>
          <w:spacing w:val="4"/>
          <w:sz w:val="24"/>
          <w:szCs w:val="24"/>
          <w:highlight w:val="none"/>
        </w:rPr>
        <w:fldChar w:fldCharType="end"/>
      </w:r>
      <w:r>
        <w:rPr>
          <w:rFonts w:ascii="微软雅黑" w:hAnsi="微软雅黑" w:eastAsia="微软雅黑" w:cs="微软雅黑"/>
          <w:b/>
          <w:bCs/>
          <w:color w:val="auto"/>
          <w:spacing w:val="-37"/>
          <w:sz w:val="24"/>
          <w:szCs w:val="24"/>
          <w:highlight w:val="none"/>
        </w:rPr>
        <w:t xml:space="preserve"> </w:t>
      </w:r>
      <w:r>
        <w:rPr>
          <w:rFonts w:ascii="微软雅黑" w:hAnsi="微软雅黑" w:eastAsia="微软雅黑" w:cs="微软雅黑"/>
          <w:b/>
          <w:bCs/>
          <w:color w:val="auto"/>
          <w:spacing w:val="4"/>
          <w:sz w:val="24"/>
          <w:szCs w:val="24"/>
          <w:highlight w:val="none"/>
        </w:rPr>
        <w:t>）存在严重违法失信行为记录名单</w:t>
      </w:r>
      <w:r>
        <w:rPr>
          <w:rFonts w:ascii="微软雅黑" w:hAnsi="微软雅黑" w:eastAsia="微软雅黑" w:cs="微软雅黑"/>
          <w:b/>
          <w:bCs/>
          <w:color w:val="auto"/>
          <w:sz w:val="24"/>
          <w:szCs w:val="24"/>
          <w:highlight w:val="none"/>
        </w:rPr>
        <w:t xml:space="preserve">    </w:t>
      </w:r>
      <w:r>
        <w:rPr>
          <w:rFonts w:ascii="微软雅黑" w:hAnsi="微软雅黑" w:eastAsia="微软雅黑" w:cs="微软雅黑"/>
          <w:b/>
          <w:bCs/>
          <w:color w:val="auto"/>
          <w:spacing w:val="-1"/>
          <w:sz w:val="24"/>
          <w:szCs w:val="24"/>
          <w:highlight w:val="none"/>
        </w:rPr>
        <w:t>（尚在处罚期内的</w:t>
      </w:r>
      <w:r>
        <w:rPr>
          <w:rFonts w:ascii="微软雅黑" w:hAnsi="微软雅黑" w:eastAsia="微软雅黑" w:cs="微软雅黑"/>
          <w:b/>
          <w:bCs/>
          <w:color w:val="auto"/>
          <w:spacing w:val="-11"/>
          <w:sz w:val="24"/>
          <w:szCs w:val="24"/>
          <w:highlight w:val="none"/>
        </w:rPr>
        <w:t>）</w:t>
      </w:r>
      <w:r>
        <w:rPr>
          <w:rFonts w:ascii="微软雅黑" w:hAnsi="微软雅黑" w:eastAsia="微软雅黑" w:cs="微软雅黑"/>
          <w:b/>
          <w:bCs/>
          <w:color w:val="auto"/>
          <w:spacing w:val="-29"/>
          <w:sz w:val="24"/>
          <w:szCs w:val="24"/>
          <w:highlight w:val="none"/>
        </w:rPr>
        <w:t xml:space="preserve"> </w:t>
      </w:r>
      <w:r>
        <w:rPr>
          <w:rFonts w:ascii="微软雅黑" w:hAnsi="微软雅黑" w:eastAsia="微软雅黑" w:cs="微软雅黑"/>
          <w:b/>
          <w:bCs/>
          <w:color w:val="auto"/>
          <w:spacing w:val="-11"/>
          <w:sz w:val="24"/>
          <w:szCs w:val="24"/>
          <w:highlight w:val="none"/>
        </w:rPr>
        <w:t>；</w:t>
      </w:r>
      <w:r>
        <w:rPr>
          <w:rFonts w:ascii="微软雅黑" w:hAnsi="微软雅黑" w:eastAsia="微软雅黑" w:cs="微软雅黑"/>
          <w:b/>
          <w:bCs/>
          <w:color w:val="auto"/>
          <w:spacing w:val="-1"/>
          <w:sz w:val="24"/>
          <w:szCs w:val="24"/>
          <w:highlight w:val="none"/>
        </w:rPr>
        <w:t>近三年内</w:t>
      </w:r>
      <w:r>
        <w:rPr>
          <w:rFonts w:ascii="微软雅黑" w:hAnsi="微软雅黑" w:eastAsia="微软雅黑" w:cs="微软雅黑"/>
          <w:b/>
          <w:bCs/>
          <w:color w:val="auto"/>
          <w:spacing w:val="3"/>
          <w:sz w:val="24"/>
          <w:szCs w:val="24"/>
          <w:highlight w:val="none"/>
        </w:rPr>
        <w:t>不得在“信用中国</w:t>
      </w:r>
      <w:r>
        <w:rPr>
          <w:rFonts w:ascii="微软雅黑" w:hAnsi="微软雅黑" w:eastAsia="微软雅黑" w:cs="微软雅黑"/>
          <w:b/>
          <w:bCs/>
          <w:color w:val="auto"/>
          <w:spacing w:val="-51"/>
          <w:sz w:val="24"/>
          <w:szCs w:val="24"/>
          <w:highlight w:val="none"/>
        </w:rPr>
        <w:t xml:space="preserve"> </w:t>
      </w:r>
      <w:r>
        <w:rPr>
          <w:rFonts w:ascii="微软雅黑" w:hAnsi="微软雅黑" w:eastAsia="微软雅黑" w:cs="微软雅黑"/>
          <w:b/>
          <w:bCs/>
          <w:color w:val="auto"/>
          <w:spacing w:val="3"/>
          <w:sz w:val="24"/>
          <w:szCs w:val="24"/>
          <w:highlight w:val="none"/>
        </w:rPr>
        <w:t>”网站（</w:t>
      </w:r>
      <w:r>
        <w:rPr>
          <w:rFonts w:ascii="微软雅黑" w:hAnsi="微软雅黑" w:eastAsia="微软雅黑" w:cs="微软雅黑"/>
          <w:b/>
          <w:bCs/>
          <w:color w:val="auto"/>
          <w:sz w:val="24"/>
          <w:szCs w:val="24"/>
          <w:highlight w:val="none"/>
        </w:rPr>
        <w:t>www</w:t>
      </w:r>
      <w:r>
        <w:rPr>
          <w:rFonts w:ascii="微软雅黑" w:hAnsi="微软雅黑" w:eastAsia="微软雅黑" w:cs="微软雅黑"/>
          <w:b/>
          <w:bCs/>
          <w:color w:val="auto"/>
          <w:spacing w:val="3"/>
          <w:sz w:val="24"/>
          <w:szCs w:val="24"/>
          <w:highlight w:val="none"/>
        </w:rPr>
        <w:t>.</w:t>
      </w:r>
      <w:r>
        <w:rPr>
          <w:rFonts w:ascii="微软雅黑" w:hAnsi="微软雅黑" w:eastAsia="微软雅黑" w:cs="微软雅黑"/>
          <w:b/>
          <w:bCs/>
          <w:color w:val="auto"/>
          <w:sz w:val="24"/>
          <w:szCs w:val="24"/>
          <w:highlight w:val="none"/>
        </w:rPr>
        <w:t>creditchina</w:t>
      </w:r>
      <w:r>
        <w:rPr>
          <w:rFonts w:ascii="微软雅黑" w:hAnsi="微软雅黑" w:eastAsia="微软雅黑" w:cs="微软雅黑"/>
          <w:b/>
          <w:bCs/>
          <w:color w:val="auto"/>
          <w:spacing w:val="3"/>
          <w:sz w:val="24"/>
          <w:szCs w:val="24"/>
          <w:highlight w:val="none"/>
        </w:rPr>
        <w:t>.</w:t>
      </w:r>
      <w:r>
        <w:rPr>
          <w:rFonts w:ascii="微软雅黑" w:hAnsi="微软雅黑" w:eastAsia="微软雅黑" w:cs="微软雅黑"/>
          <w:b/>
          <w:bCs/>
          <w:color w:val="auto"/>
          <w:sz w:val="24"/>
          <w:szCs w:val="24"/>
          <w:highlight w:val="none"/>
        </w:rPr>
        <w:t>gov</w:t>
      </w:r>
      <w:r>
        <w:rPr>
          <w:rFonts w:ascii="微软雅黑" w:hAnsi="微软雅黑" w:eastAsia="微软雅黑" w:cs="微软雅黑"/>
          <w:b/>
          <w:bCs/>
          <w:color w:val="auto"/>
          <w:spacing w:val="3"/>
          <w:sz w:val="24"/>
          <w:szCs w:val="24"/>
          <w:highlight w:val="none"/>
        </w:rPr>
        <w:t>.</w:t>
      </w:r>
      <w:r>
        <w:rPr>
          <w:rFonts w:ascii="微软雅黑" w:hAnsi="微软雅黑" w:eastAsia="微软雅黑" w:cs="微软雅黑"/>
          <w:b/>
          <w:bCs/>
          <w:color w:val="auto"/>
          <w:sz w:val="24"/>
          <w:szCs w:val="24"/>
          <w:highlight w:val="none"/>
        </w:rPr>
        <w:t>cn</w:t>
      </w:r>
      <w:r>
        <w:rPr>
          <w:rFonts w:ascii="微软雅黑" w:hAnsi="微软雅黑" w:eastAsia="微软雅黑" w:cs="微软雅黑"/>
          <w:b/>
          <w:bCs/>
          <w:color w:val="auto"/>
          <w:spacing w:val="3"/>
          <w:sz w:val="24"/>
          <w:szCs w:val="24"/>
          <w:highlight w:val="none"/>
        </w:rPr>
        <w:t>）被列入失信被执</w:t>
      </w:r>
      <w:r>
        <w:rPr>
          <w:rFonts w:ascii="微软雅黑" w:hAnsi="微软雅黑" w:eastAsia="微软雅黑" w:cs="微软雅黑"/>
          <w:b/>
          <w:bCs/>
          <w:color w:val="auto"/>
          <w:spacing w:val="2"/>
          <w:sz w:val="24"/>
          <w:szCs w:val="24"/>
          <w:highlight w:val="none"/>
        </w:rPr>
        <w:t>行人、</w:t>
      </w:r>
      <w:r>
        <w:rPr>
          <w:rFonts w:ascii="微软雅黑" w:hAnsi="微软雅黑" w:eastAsia="微软雅黑" w:cs="微软雅黑"/>
          <w:b/>
          <w:bCs/>
          <w:color w:val="auto"/>
          <w:sz w:val="24"/>
          <w:szCs w:val="24"/>
          <w:highlight w:val="none"/>
        </w:rPr>
        <w:t xml:space="preserve"> </w:t>
      </w:r>
      <w:r>
        <w:rPr>
          <w:rFonts w:ascii="微软雅黑" w:hAnsi="微软雅黑" w:eastAsia="微软雅黑" w:cs="微软雅黑"/>
          <w:b/>
          <w:bCs/>
          <w:color w:val="auto"/>
          <w:spacing w:val="-3"/>
          <w:sz w:val="24"/>
          <w:szCs w:val="24"/>
          <w:highlight w:val="none"/>
        </w:rPr>
        <w:t>重大税收违法失信主体内将拒绝其参加本次招</w:t>
      </w:r>
    </w:p>
    <w:p w14:paraId="256DC476">
      <w:pPr>
        <w:spacing w:before="15" w:line="220" w:lineRule="auto"/>
        <w:ind w:left="29" w:firstLine="31"/>
        <w:jc w:val="left"/>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标活动。以上内容由投标企业自行</w:t>
      </w:r>
      <w:r>
        <w:rPr>
          <w:rFonts w:ascii="微软雅黑" w:hAnsi="微软雅黑" w:eastAsia="微软雅黑" w:cs="微软雅黑"/>
          <w:b/>
          <w:bCs/>
          <w:color w:val="auto"/>
          <w:spacing w:val="-2"/>
          <w:sz w:val="24"/>
          <w:szCs w:val="24"/>
          <w:highlight w:val="none"/>
        </w:rPr>
        <w:t>承诺，由采购人或采购代理机构在投标截止后核查；</w:t>
      </w:r>
    </w:p>
    <w:p w14:paraId="6670FD0D">
      <w:pPr>
        <w:spacing w:line="337" w:lineRule="auto"/>
        <w:rPr>
          <w:rFonts w:ascii="Arial"/>
          <w:color w:val="auto"/>
          <w:sz w:val="21"/>
          <w:highlight w:val="none"/>
        </w:rPr>
      </w:pPr>
    </w:p>
    <w:p w14:paraId="17B9C6A8">
      <w:pPr>
        <w:spacing w:before="104" w:line="183" w:lineRule="auto"/>
        <w:ind w:left="39"/>
        <w:outlineLvl w:val="3"/>
        <w:rPr>
          <w:rFonts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lang w:val="en-US" w:eastAsia="zh-CN"/>
        </w:rPr>
        <w:t>7</w:t>
      </w:r>
      <w:r>
        <w:rPr>
          <w:rFonts w:ascii="微软雅黑" w:hAnsi="微软雅黑" w:eastAsia="微软雅黑" w:cs="微软雅黑"/>
          <w:b/>
          <w:bCs/>
          <w:color w:val="auto"/>
          <w:spacing w:val="-1"/>
          <w:sz w:val="24"/>
          <w:szCs w:val="24"/>
          <w:highlight w:val="none"/>
        </w:rPr>
        <w:t>、提供针对本次项目《反商业贿赂承诺书》</w:t>
      </w:r>
    </w:p>
    <w:p w14:paraId="03FB09E0">
      <w:pPr>
        <w:spacing w:before="190"/>
        <w:ind w:left="33" w:right="207" w:hanging="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注：磋商人需提供的其他资料，招标文件文件中无固定文件格式的，磋商人自行</w:t>
      </w:r>
      <w:r>
        <w:rPr>
          <w:rFonts w:ascii="微软雅黑" w:hAnsi="微软雅黑" w:eastAsia="微软雅黑" w:cs="微软雅黑"/>
          <w:color w:val="auto"/>
          <w:spacing w:val="12"/>
          <w:sz w:val="24"/>
          <w:szCs w:val="24"/>
          <w:highlight w:val="none"/>
        </w:rPr>
        <w:t xml:space="preserve"> </w:t>
      </w:r>
      <w:r>
        <w:rPr>
          <w:rFonts w:ascii="微软雅黑" w:hAnsi="微软雅黑" w:eastAsia="微软雅黑" w:cs="微软雅黑"/>
          <w:color w:val="auto"/>
          <w:spacing w:val="-12"/>
          <w:sz w:val="24"/>
          <w:szCs w:val="24"/>
          <w:highlight w:val="none"/>
        </w:rPr>
        <w:t>制作。</w:t>
      </w:r>
    </w:p>
    <w:p w14:paraId="1067A79E">
      <w:pPr>
        <w:spacing w:line="291" w:lineRule="auto"/>
        <w:rPr>
          <w:rFonts w:ascii="Arial"/>
          <w:color w:val="auto"/>
          <w:sz w:val="21"/>
          <w:highlight w:val="none"/>
        </w:rPr>
      </w:pPr>
    </w:p>
    <w:p w14:paraId="5B88D32B">
      <w:pPr>
        <w:spacing w:before="103" w:line="183" w:lineRule="auto"/>
        <w:ind w:left="39"/>
        <w:outlineLvl w:val="3"/>
        <w:rPr>
          <w:rFonts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lang w:val="en-US" w:eastAsia="zh-CN"/>
        </w:rPr>
        <w:t>8</w:t>
      </w:r>
      <w:r>
        <w:rPr>
          <w:rFonts w:ascii="微软雅黑" w:hAnsi="微软雅黑" w:eastAsia="微软雅黑" w:cs="微软雅黑"/>
          <w:b/>
          <w:bCs/>
          <w:color w:val="auto"/>
          <w:spacing w:val="-3"/>
          <w:sz w:val="24"/>
          <w:szCs w:val="24"/>
          <w:highlight w:val="none"/>
        </w:rPr>
        <w:t>、提供缴纳磋商保证金的有效凭证；</w:t>
      </w:r>
    </w:p>
    <w:p w14:paraId="5EEA945E">
      <w:pPr>
        <w:spacing w:before="116"/>
        <w:rPr>
          <w:color w:val="auto"/>
          <w:highlight w:val="none"/>
        </w:rPr>
      </w:pPr>
    </w:p>
    <w:tbl>
      <w:tblPr>
        <w:tblStyle w:val="13"/>
        <w:tblW w:w="7879" w:type="dxa"/>
        <w:tblInd w:w="24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79"/>
      </w:tblGrid>
      <w:tr w14:paraId="2CFFA71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2155" w:hRule="atLeast"/>
        </w:trPr>
        <w:tc>
          <w:tcPr>
            <w:tcW w:w="7879" w:type="dxa"/>
            <w:vAlign w:val="top"/>
          </w:tcPr>
          <w:p w14:paraId="4FDC7770">
            <w:pPr>
              <w:spacing w:line="359" w:lineRule="auto"/>
              <w:rPr>
                <w:rFonts w:ascii="Arial"/>
                <w:color w:val="auto"/>
                <w:sz w:val="21"/>
                <w:highlight w:val="none"/>
              </w:rPr>
            </w:pPr>
          </w:p>
          <w:p w14:paraId="4A5E9F79">
            <w:pPr>
              <w:spacing w:line="359" w:lineRule="auto"/>
              <w:rPr>
                <w:rFonts w:ascii="Arial"/>
                <w:color w:val="auto"/>
                <w:sz w:val="21"/>
                <w:highlight w:val="none"/>
              </w:rPr>
            </w:pPr>
          </w:p>
          <w:p w14:paraId="4B01F5CD">
            <w:pPr>
              <w:spacing w:before="78" w:line="220" w:lineRule="auto"/>
              <w:ind w:left="34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缴纳磋商保证金的有效凭证复印件（银行转账回执单/保函/支票等）</w:t>
            </w:r>
          </w:p>
        </w:tc>
      </w:tr>
    </w:tbl>
    <w:p w14:paraId="74AD9B97">
      <w:pPr>
        <w:spacing w:before="106" w:line="238" w:lineRule="auto"/>
        <w:ind w:left="31" w:right="207" w:firstLine="480"/>
        <w:jc w:val="both"/>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说明：</w:t>
      </w:r>
      <w:r>
        <w:rPr>
          <w:rFonts w:ascii="微软雅黑" w:hAnsi="微软雅黑" w:eastAsia="微软雅黑" w:cs="微软雅黑"/>
          <w:color w:val="auto"/>
          <w:spacing w:val="-3"/>
          <w:sz w:val="24"/>
          <w:szCs w:val="24"/>
          <w:highlight w:val="none"/>
        </w:rPr>
        <w:t>磋商人可将本项目磋商保证金支付的汇款凭证、支票、汇票、使用银</w:t>
      </w:r>
      <w:r>
        <w:rPr>
          <w:rFonts w:ascii="微软雅黑" w:hAnsi="微软雅黑" w:eastAsia="微软雅黑" w:cs="微软雅黑"/>
          <w:color w:val="auto"/>
          <w:spacing w:val="6"/>
          <w:sz w:val="24"/>
          <w:szCs w:val="24"/>
          <w:highlight w:val="none"/>
        </w:rPr>
        <w:t xml:space="preserve"> </w:t>
      </w:r>
      <w:r>
        <w:rPr>
          <w:rFonts w:ascii="微软雅黑" w:hAnsi="微软雅黑" w:eastAsia="微软雅黑" w:cs="微软雅黑"/>
          <w:color w:val="auto"/>
          <w:spacing w:val="-3"/>
          <w:sz w:val="24"/>
          <w:szCs w:val="24"/>
          <w:highlight w:val="none"/>
        </w:rPr>
        <w:t>行保函等其他磋商担保函或采购中心出具的收款收据（如有）的复印件作为缴纳</w:t>
      </w:r>
      <w:r>
        <w:rPr>
          <w:rFonts w:ascii="微软雅黑" w:hAnsi="微软雅黑" w:eastAsia="微软雅黑" w:cs="微软雅黑"/>
          <w:color w:val="auto"/>
          <w:spacing w:val="13"/>
          <w:sz w:val="24"/>
          <w:szCs w:val="24"/>
          <w:highlight w:val="none"/>
        </w:rPr>
        <w:t xml:space="preserve"> </w:t>
      </w:r>
      <w:r>
        <w:rPr>
          <w:rFonts w:ascii="微软雅黑" w:hAnsi="微软雅黑" w:eastAsia="微软雅黑" w:cs="微软雅黑"/>
          <w:color w:val="auto"/>
          <w:spacing w:val="-3"/>
          <w:sz w:val="24"/>
          <w:szCs w:val="24"/>
          <w:highlight w:val="none"/>
        </w:rPr>
        <w:t>凭证放入本部分，复印件上应加盖本单位章。</w:t>
      </w:r>
    </w:p>
    <w:p w14:paraId="42843FF2">
      <w:pPr>
        <w:spacing w:before="322" w:line="236" w:lineRule="auto"/>
        <w:ind w:left="30" w:right="209" w:firstLine="23"/>
        <w:rPr>
          <w:rFonts w:hint="eastAsia" w:ascii="微软雅黑" w:hAnsi="微软雅黑" w:eastAsia="微软雅黑" w:cs="微软雅黑"/>
          <w:b/>
          <w:bCs/>
          <w:color w:val="auto"/>
          <w:spacing w:val="2"/>
          <w:sz w:val="24"/>
          <w:szCs w:val="24"/>
          <w:highlight w:val="none"/>
          <w:lang w:val="en-US" w:eastAsia="zh-CN"/>
        </w:rPr>
      </w:pPr>
    </w:p>
    <w:p w14:paraId="125679DF">
      <w:pPr>
        <w:spacing w:before="322" w:line="236" w:lineRule="auto"/>
        <w:ind w:left="30" w:right="209" w:firstLine="23"/>
        <w:rPr>
          <w:rFonts w:hint="eastAsia" w:ascii="微软雅黑" w:hAnsi="微软雅黑" w:eastAsia="微软雅黑" w:cs="微软雅黑"/>
          <w:b/>
          <w:bCs/>
          <w:color w:val="auto"/>
          <w:spacing w:val="2"/>
          <w:sz w:val="24"/>
          <w:szCs w:val="24"/>
          <w:highlight w:val="none"/>
          <w:lang w:val="en-US" w:eastAsia="zh-CN"/>
        </w:rPr>
      </w:pPr>
    </w:p>
    <w:p w14:paraId="1A239086">
      <w:pPr>
        <w:spacing w:before="322" w:line="236" w:lineRule="auto"/>
        <w:ind w:left="30" w:right="209" w:firstLine="23"/>
        <w:rPr>
          <w:rFonts w:ascii="微软雅黑" w:hAnsi="微软雅黑" w:eastAsia="微软雅黑" w:cs="微软雅黑"/>
          <w:color w:val="auto"/>
          <w:spacing w:val="2"/>
          <w:sz w:val="24"/>
          <w:szCs w:val="24"/>
          <w:highlight w:val="none"/>
        </w:rPr>
      </w:pPr>
      <w:r>
        <w:rPr>
          <w:rFonts w:hint="eastAsia" w:ascii="微软雅黑" w:hAnsi="微软雅黑" w:eastAsia="微软雅黑" w:cs="微软雅黑"/>
          <w:b/>
          <w:bCs/>
          <w:color w:val="auto"/>
          <w:spacing w:val="2"/>
          <w:sz w:val="24"/>
          <w:szCs w:val="24"/>
          <w:highlight w:val="none"/>
          <w:lang w:val="en-US" w:eastAsia="zh-CN"/>
        </w:rPr>
        <w:t>9</w:t>
      </w:r>
      <w:r>
        <w:rPr>
          <w:rFonts w:ascii="微软雅黑" w:hAnsi="微软雅黑" w:eastAsia="微软雅黑" w:cs="微软雅黑"/>
          <w:color w:val="auto"/>
          <w:spacing w:val="2"/>
          <w:sz w:val="24"/>
          <w:szCs w:val="24"/>
          <w:highlight w:val="none"/>
        </w:rPr>
        <w:t>、本项目专门面向中小企业采购，根据要求单独上传《中小企业声明函（服 务）》；</w:t>
      </w:r>
    </w:p>
    <w:p w14:paraId="70C25A78">
      <w:pPr>
        <w:spacing w:before="322" w:line="236" w:lineRule="auto"/>
        <w:ind w:left="30" w:right="209" w:firstLine="23"/>
        <w:rPr>
          <w:rFonts w:ascii="微软雅黑" w:hAnsi="微软雅黑" w:eastAsia="微软雅黑" w:cs="微软雅黑"/>
          <w:color w:val="auto"/>
          <w:sz w:val="24"/>
          <w:szCs w:val="24"/>
          <w:highlight w:val="none"/>
        </w:rPr>
      </w:pPr>
    </w:p>
    <w:p w14:paraId="5E8E6870">
      <w:pPr>
        <w:spacing w:line="287" w:lineRule="auto"/>
        <w:rPr>
          <w:rFonts w:ascii="Arial"/>
          <w:color w:val="auto"/>
          <w:sz w:val="21"/>
          <w:highlight w:val="none"/>
        </w:rPr>
      </w:pPr>
    </w:p>
    <w:p w14:paraId="53009000">
      <w:pPr>
        <w:spacing w:before="103" w:line="183" w:lineRule="auto"/>
        <w:ind w:left="51"/>
        <w:outlineLvl w:val="3"/>
        <w:rPr>
          <w:rFonts w:ascii="微软雅黑" w:hAnsi="微软雅黑" w:eastAsia="微软雅黑" w:cs="微软雅黑"/>
          <w:b/>
          <w:bCs/>
          <w:color w:val="auto"/>
          <w:spacing w:val="-3"/>
          <w:sz w:val="24"/>
          <w:szCs w:val="24"/>
          <w:highlight w:val="none"/>
        </w:rPr>
      </w:pPr>
    </w:p>
    <w:p w14:paraId="1596B1D0">
      <w:pPr>
        <w:numPr>
          <w:ilvl w:val="0"/>
          <w:numId w:val="0"/>
        </w:numPr>
        <w:spacing w:before="103" w:line="183" w:lineRule="auto"/>
        <w:outlineLvl w:val="3"/>
        <w:rPr>
          <w:rFonts w:ascii="微软雅黑" w:hAnsi="微软雅黑" w:eastAsia="微软雅黑" w:cs="微软雅黑"/>
          <w:b/>
          <w:bCs/>
          <w:color w:val="auto"/>
          <w:spacing w:val="-3"/>
          <w:sz w:val="24"/>
          <w:szCs w:val="24"/>
          <w:highlight w:val="none"/>
        </w:rPr>
      </w:pPr>
      <w:r>
        <w:rPr>
          <w:rFonts w:hint="eastAsia" w:ascii="微软雅黑" w:hAnsi="微软雅黑" w:eastAsia="微软雅黑" w:cs="微软雅黑"/>
          <w:b/>
          <w:bCs/>
          <w:color w:val="auto"/>
          <w:spacing w:val="-3"/>
          <w:sz w:val="24"/>
          <w:szCs w:val="24"/>
          <w:highlight w:val="none"/>
          <w:lang w:val="en-US" w:eastAsia="zh-CN"/>
        </w:rPr>
        <w:t>10、</w:t>
      </w:r>
      <w:r>
        <w:rPr>
          <w:rFonts w:ascii="微软雅黑" w:hAnsi="微软雅黑" w:eastAsia="微软雅黑" w:cs="微软雅黑"/>
          <w:b/>
          <w:bCs/>
          <w:color w:val="auto"/>
          <w:spacing w:val="-3"/>
          <w:sz w:val="24"/>
          <w:szCs w:val="24"/>
          <w:highlight w:val="none"/>
          <w:lang w:eastAsia="zh-CN"/>
        </w:rPr>
        <w:t>供应商应具备工程监理综合资质或建筑工程</w:t>
      </w:r>
      <w:r>
        <w:rPr>
          <w:rFonts w:hint="eastAsia" w:ascii="微软雅黑" w:hAnsi="微软雅黑" w:eastAsia="微软雅黑" w:cs="微软雅黑"/>
          <w:b/>
          <w:bCs/>
          <w:color w:val="auto"/>
          <w:spacing w:val="-3"/>
          <w:sz w:val="24"/>
          <w:szCs w:val="24"/>
          <w:highlight w:val="none"/>
          <w:lang w:val="en-US" w:eastAsia="zh-CN"/>
        </w:rPr>
        <w:t>和市政工程</w:t>
      </w:r>
      <w:r>
        <w:rPr>
          <w:rFonts w:ascii="微软雅黑" w:hAnsi="微软雅黑" w:eastAsia="微软雅黑" w:cs="微软雅黑"/>
          <w:b/>
          <w:bCs/>
          <w:color w:val="auto"/>
          <w:spacing w:val="-3"/>
          <w:sz w:val="24"/>
          <w:szCs w:val="24"/>
          <w:highlight w:val="none"/>
          <w:lang w:eastAsia="zh-CN"/>
        </w:rPr>
        <w:t>监理</w:t>
      </w:r>
      <w:r>
        <w:rPr>
          <w:rFonts w:hint="eastAsia" w:ascii="微软雅黑" w:hAnsi="微软雅黑" w:eastAsia="微软雅黑" w:cs="微软雅黑"/>
          <w:b/>
          <w:bCs/>
          <w:color w:val="auto"/>
          <w:spacing w:val="-3"/>
          <w:sz w:val="24"/>
          <w:szCs w:val="24"/>
          <w:highlight w:val="none"/>
          <w:lang w:eastAsia="zh-CN"/>
        </w:rPr>
        <w:t>乙级</w:t>
      </w:r>
      <w:r>
        <w:rPr>
          <w:rFonts w:ascii="微软雅黑" w:hAnsi="微软雅黑" w:eastAsia="微软雅黑" w:cs="微软雅黑"/>
          <w:b/>
          <w:bCs/>
          <w:color w:val="auto"/>
          <w:spacing w:val="-3"/>
          <w:sz w:val="24"/>
          <w:szCs w:val="24"/>
          <w:highlight w:val="none"/>
          <w:lang w:eastAsia="zh-CN"/>
        </w:rPr>
        <w:t>（含</w:t>
      </w:r>
      <w:r>
        <w:rPr>
          <w:rFonts w:hint="eastAsia" w:ascii="微软雅黑" w:hAnsi="微软雅黑" w:eastAsia="微软雅黑" w:cs="微软雅黑"/>
          <w:b/>
          <w:bCs/>
          <w:color w:val="auto"/>
          <w:spacing w:val="-3"/>
          <w:sz w:val="24"/>
          <w:szCs w:val="24"/>
          <w:highlight w:val="none"/>
          <w:lang w:eastAsia="zh-CN"/>
        </w:rPr>
        <w:t>乙级</w:t>
      </w:r>
      <w:r>
        <w:rPr>
          <w:rFonts w:ascii="微软雅黑" w:hAnsi="微软雅黑" w:eastAsia="微软雅黑" w:cs="微软雅黑"/>
          <w:b/>
          <w:bCs/>
          <w:color w:val="auto"/>
          <w:spacing w:val="-3"/>
          <w:sz w:val="24"/>
          <w:szCs w:val="24"/>
          <w:highlight w:val="none"/>
          <w:lang w:eastAsia="zh-CN"/>
        </w:rPr>
        <w:t>）以上资质</w:t>
      </w:r>
      <w:r>
        <w:rPr>
          <w:rFonts w:hint="eastAsia" w:ascii="微软雅黑" w:hAnsi="微软雅黑" w:eastAsia="微软雅黑" w:cs="微软雅黑"/>
          <w:b/>
          <w:bCs/>
          <w:color w:val="auto"/>
          <w:spacing w:val="-3"/>
          <w:sz w:val="24"/>
          <w:szCs w:val="24"/>
          <w:highlight w:val="none"/>
          <w:lang w:eastAsia="zh-CN"/>
        </w:rPr>
        <w:t>。</w:t>
      </w:r>
    </w:p>
    <w:p w14:paraId="41A8FBD6">
      <w:pPr>
        <w:numPr>
          <w:ilvl w:val="0"/>
          <w:numId w:val="0"/>
        </w:numPr>
        <w:spacing w:before="103" w:line="183" w:lineRule="auto"/>
        <w:outlineLvl w:val="3"/>
        <w:rPr>
          <w:rFonts w:ascii="微软雅黑" w:hAnsi="微软雅黑" w:eastAsia="微软雅黑" w:cs="微软雅黑"/>
          <w:b/>
          <w:bCs/>
          <w:color w:val="auto"/>
          <w:spacing w:val="-3"/>
          <w:sz w:val="24"/>
          <w:szCs w:val="24"/>
          <w:highlight w:val="none"/>
        </w:rPr>
      </w:pPr>
    </w:p>
    <w:p w14:paraId="257AF1F8">
      <w:pPr>
        <w:spacing w:line="287" w:lineRule="auto"/>
        <w:rPr>
          <w:rFonts w:ascii="Arial"/>
          <w:color w:val="auto"/>
          <w:sz w:val="21"/>
          <w:highlight w:val="none"/>
        </w:rPr>
      </w:pPr>
    </w:p>
    <w:p w14:paraId="44029432">
      <w:pPr>
        <w:spacing w:before="103" w:line="183" w:lineRule="auto"/>
        <w:ind w:left="51"/>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1</w:t>
      </w:r>
      <w:r>
        <w:rPr>
          <w:rFonts w:hint="eastAsia" w:ascii="微软雅黑" w:hAnsi="微软雅黑" w:eastAsia="微软雅黑" w:cs="微软雅黑"/>
          <w:b/>
          <w:bCs/>
          <w:color w:val="auto"/>
          <w:spacing w:val="-3"/>
          <w:sz w:val="24"/>
          <w:szCs w:val="24"/>
          <w:highlight w:val="none"/>
          <w:lang w:val="en-US" w:eastAsia="zh-CN"/>
        </w:rPr>
        <w:t>1、</w:t>
      </w:r>
      <w:r>
        <w:rPr>
          <w:rFonts w:ascii="微软雅黑" w:hAnsi="微软雅黑" w:eastAsia="微软雅黑" w:cs="微软雅黑"/>
          <w:b/>
          <w:bCs/>
          <w:color w:val="auto"/>
          <w:spacing w:val="-3"/>
          <w:sz w:val="24"/>
          <w:szCs w:val="24"/>
          <w:highlight w:val="none"/>
        </w:rPr>
        <w:t>供应商可提供有利于磋商的其他资格证明材料。</w:t>
      </w:r>
    </w:p>
    <w:p w14:paraId="187EFBA8">
      <w:pPr>
        <w:spacing w:line="254" w:lineRule="auto"/>
        <w:rPr>
          <w:rFonts w:ascii="Arial"/>
          <w:color w:val="auto"/>
          <w:sz w:val="21"/>
          <w:highlight w:val="none"/>
        </w:rPr>
      </w:pPr>
    </w:p>
    <w:p w14:paraId="3F3317BF">
      <w:pPr>
        <w:spacing w:line="254" w:lineRule="auto"/>
        <w:rPr>
          <w:rFonts w:ascii="Arial"/>
          <w:color w:val="auto"/>
          <w:sz w:val="21"/>
          <w:highlight w:val="none"/>
        </w:rPr>
      </w:pPr>
    </w:p>
    <w:p w14:paraId="60FCBB8D">
      <w:pPr>
        <w:spacing w:line="254" w:lineRule="auto"/>
        <w:rPr>
          <w:rFonts w:ascii="Arial"/>
          <w:color w:val="auto"/>
          <w:sz w:val="21"/>
          <w:highlight w:val="none"/>
        </w:rPr>
      </w:pPr>
    </w:p>
    <w:p w14:paraId="0BC64F55">
      <w:pPr>
        <w:spacing w:line="254" w:lineRule="auto"/>
        <w:rPr>
          <w:rFonts w:ascii="Arial"/>
          <w:color w:val="auto"/>
          <w:sz w:val="21"/>
          <w:highlight w:val="none"/>
        </w:rPr>
      </w:pPr>
    </w:p>
    <w:p w14:paraId="0072F521">
      <w:pPr>
        <w:spacing w:line="254" w:lineRule="auto"/>
        <w:rPr>
          <w:rFonts w:ascii="Arial"/>
          <w:color w:val="auto"/>
          <w:sz w:val="21"/>
          <w:highlight w:val="none"/>
        </w:rPr>
      </w:pPr>
    </w:p>
    <w:p w14:paraId="1893F07A">
      <w:pPr>
        <w:spacing w:line="254" w:lineRule="auto"/>
        <w:rPr>
          <w:rFonts w:ascii="Arial"/>
          <w:color w:val="auto"/>
          <w:sz w:val="21"/>
          <w:highlight w:val="none"/>
        </w:rPr>
      </w:pPr>
    </w:p>
    <w:p w14:paraId="48E66BEE">
      <w:pPr>
        <w:spacing w:line="254" w:lineRule="auto"/>
        <w:rPr>
          <w:rFonts w:ascii="Arial"/>
          <w:color w:val="auto"/>
          <w:sz w:val="21"/>
          <w:highlight w:val="none"/>
        </w:rPr>
      </w:pPr>
    </w:p>
    <w:p w14:paraId="2F916104">
      <w:pPr>
        <w:spacing w:line="254" w:lineRule="auto"/>
        <w:rPr>
          <w:rFonts w:ascii="Arial"/>
          <w:color w:val="auto"/>
          <w:sz w:val="21"/>
          <w:highlight w:val="none"/>
        </w:rPr>
      </w:pPr>
    </w:p>
    <w:p w14:paraId="7AF061E0">
      <w:pPr>
        <w:spacing w:line="254" w:lineRule="auto"/>
        <w:rPr>
          <w:rFonts w:ascii="Arial"/>
          <w:color w:val="auto"/>
          <w:sz w:val="21"/>
          <w:highlight w:val="none"/>
        </w:rPr>
      </w:pPr>
    </w:p>
    <w:p w14:paraId="46E4A32A">
      <w:pPr>
        <w:spacing w:line="254" w:lineRule="auto"/>
        <w:rPr>
          <w:rFonts w:ascii="Arial"/>
          <w:color w:val="auto"/>
          <w:sz w:val="21"/>
          <w:highlight w:val="none"/>
        </w:rPr>
      </w:pPr>
    </w:p>
    <w:p w14:paraId="4239B490">
      <w:pPr>
        <w:spacing w:line="254" w:lineRule="auto"/>
        <w:rPr>
          <w:rFonts w:ascii="Arial"/>
          <w:color w:val="auto"/>
          <w:sz w:val="21"/>
          <w:highlight w:val="none"/>
        </w:rPr>
      </w:pPr>
    </w:p>
    <w:p w14:paraId="4FBC70C4">
      <w:pPr>
        <w:spacing w:line="254" w:lineRule="auto"/>
        <w:rPr>
          <w:rFonts w:ascii="Arial"/>
          <w:color w:val="auto"/>
          <w:sz w:val="21"/>
          <w:highlight w:val="none"/>
        </w:rPr>
      </w:pPr>
    </w:p>
    <w:p w14:paraId="14A8A84E">
      <w:pPr>
        <w:spacing w:line="266" w:lineRule="auto"/>
        <w:rPr>
          <w:rFonts w:ascii="Arial"/>
          <w:color w:val="auto"/>
          <w:sz w:val="21"/>
          <w:highlight w:val="none"/>
        </w:rPr>
      </w:pPr>
    </w:p>
    <w:p w14:paraId="53F8F427">
      <w:pPr>
        <w:pStyle w:val="2"/>
        <w:spacing w:before="91" w:line="220" w:lineRule="auto"/>
        <w:ind w:left="2779"/>
        <w:outlineLvl w:val="1"/>
        <w:rPr>
          <w:color w:val="auto"/>
          <w:sz w:val="28"/>
          <w:szCs w:val="28"/>
          <w:highlight w:val="none"/>
        </w:rPr>
      </w:pPr>
      <w:r>
        <w:rPr>
          <w:b/>
          <w:bCs/>
          <w:color w:val="auto"/>
          <w:spacing w:val="-3"/>
          <w:sz w:val="28"/>
          <w:szCs w:val="28"/>
          <w:highlight w:val="none"/>
        </w:rPr>
        <w:t>第二部分</w:t>
      </w:r>
      <w:r>
        <w:rPr>
          <w:color w:val="auto"/>
          <w:spacing w:val="-3"/>
          <w:sz w:val="28"/>
          <w:szCs w:val="28"/>
          <w:highlight w:val="none"/>
        </w:rPr>
        <w:t xml:space="preserve">  </w:t>
      </w:r>
      <w:r>
        <w:rPr>
          <w:b/>
          <w:bCs/>
          <w:color w:val="auto"/>
          <w:spacing w:val="-3"/>
          <w:sz w:val="28"/>
          <w:szCs w:val="28"/>
          <w:highlight w:val="none"/>
        </w:rPr>
        <w:t>商务及技术文件</w:t>
      </w:r>
    </w:p>
    <w:p w14:paraId="0E2DE833">
      <w:pPr>
        <w:pStyle w:val="2"/>
        <w:spacing w:before="93" w:line="219" w:lineRule="auto"/>
        <w:ind w:left="595"/>
        <w:rPr>
          <w:color w:val="auto"/>
          <w:sz w:val="24"/>
          <w:szCs w:val="24"/>
          <w:highlight w:val="none"/>
        </w:rPr>
      </w:pPr>
      <w:r>
        <w:rPr>
          <w:color w:val="auto"/>
          <w:spacing w:val="-5"/>
          <w:sz w:val="24"/>
          <w:szCs w:val="24"/>
          <w:highlight w:val="none"/>
        </w:rPr>
        <w:t>1、磋商书</w:t>
      </w:r>
    </w:p>
    <w:p w14:paraId="5A9B9DE7">
      <w:pPr>
        <w:pStyle w:val="2"/>
        <w:spacing w:before="115" w:line="218" w:lineRule="auto"/>
        <w:ind w:left="580"/>
        <w:rPr>
          <w:color w:val="auto"/>
          <w:sz w:val="24"/>
          <w:szCs w:val="24"/>
          <w:highlight w:val="none"/>
        </w:rPr>
      </w:pPr>
      <w:r>
        <w:rPr>
          <w:color w:val="auto"/>
          <w:spacing w:val="-2"/>
          <w:sz w:val="24"/>
          <w:szCs w:val="24"/>
          <w:highlight w:val="none"/>
        </w:rPr>
        <w:t>2、磋商分项报价表</w:t>
      </w:r>
    </w:p>
    <w:p w14:paraId="69A108A5">
      <w:pPr>
        <w:pStyle w:val="2"/>
        <w:spacing w:before="115" w:line="220" w:lineRule="auto"/>
        <w:ind w:left="582"/>
        <w:rPr>
          <w:color w:val="auto"/>
          <w:sz w:val="24"/>
          <w:szCs w:val="24"/>
          <w:highlight w:val="none"/>
        </w:rPr>
      </w:pPr>
      <w:r>
        <w:rPr>
          <w:color w:val="auto"/>
          <w:spacing w:val="-2"/>
          <w:sz w:val="24"/>
          <w:szCs w:val="24"/>
          <w:highlight w:val="none"/>
        </w:rPr>
        <w:t>3、服务说明一览表</w:t>
      </w:r>
    </w:p>
    <w:p w14:paraId="106EEA74">
      <w:pPr>
        <w:pStyle w:val="2"/>
        <w:spacing w:before="114" w:line="220" w:lineRule="auto"/>
        <w:ind w:left="577"/>
        <w:rPr>
          <w:color w:val="auto"/>
          <w:sz w:val="24"/>
          <w:szCs w:val="24"/>
          <w:highlight w:val="none"/>
        </w:rPr>
      </w:pPr>
      <w:r>
        <w:rPr>
          <w:color w:val="auto"/>
          <w:spacing w:val="-1"/>
          <w:sz w:val="24"/>
          <w:szCs w:val="24"/>
          <w:highlight w:val="none"/>
        </w:rPr>
        <w:t>4、服务要求偏离表</w:t>
      </w:r>
    </w:p>
    <w:p w14:paraId="53EEEC74">
      <w:pPr>
        <w:pStyle w:val="2"/>
        <w:spacing w:before="114" w:line="220" w:lineRule="auto"/>
        <w:ind w:left="582"/>
        <w:rPr>
          <w:color w:val="auto"/>
          <w:sz w:val="24"/>
          <w:szCs w:val="24"/>
          <w:highlight w:val="none"/>
        </w:rPr>
      </w:pPr>
      <w:r>
        <w:rPr>
          <w:color w:val="auto"/>
          <w:spacing w:val="-2"/>
          <w:sz w:val="24"/>
          <w:szCs w:val="24"/>
          <w:highlight w:val="none"/>
        </w:rPr>
        <w:t>5、商务条款偏离表</w:t>
      </w:r>
    </w:p>
    <w:p w14:paraId="2A9FAA29">
      <w:pPr>
        <w:pStyle w:val="2"/>
        <w:spacing w:before="115" w:line="219" w:lineRule="auto"/>
        <w:ind w:left="578"/>
        <w:rPr>
          <w:color w:val="auto"/>
          <w:spacing w:val="-2"/>
          <w:sz w:val="24"/>
          <w:szCs w:val="24"/>
          <w:highlight w:val="none"/>
        </w:rPr>
      </w:pPr>
      <w:r>
        <w:rPr>
          <w:color w:val="auto"/>
          <w:spacing w:val="-2"/>
          <w:sz w:val="24"/>
          <w:szCs w:val="24"/>
          <w:highlight w:val="none"/>
        </w:rPr>
        <w:t>6、投入本项目人员配置表</w:t>
      </w:r>
    </w:p>
    <w:p w14:paraId="0D2BB274">
      <w:pPr>
        <w:pStyle w:val="2"/>
        <w:spacing w:before="115" w:line="219" w:lineRule="auto"/>
        <w:ind w:left="578"/>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7-1 《中小企业声明函（服务）》</w:t>
      </w:r>
    </w:p>
    <w:p w14:paraId="0693DF51">
      <w:pPr>
        <w:pStyle w:val="2"/>
        <w:spacing w:before="115" w:line="220" w:lineRule="auto"/>
        <w:ind w:left="582"/>
        <w:rPr>
          <w:color w:val="auto"/>
          <w:spacing w:val="-2"/>
          <w:sz w:val="24"/>
          <w:szCs w:val="24"/>
          <w:highlight w:val="none"/>
        </w:rPr>
      </w:pPr>
      <w:r>
        <w:rPr>
          <w:color w:val="auto"/>
          <w:spacing w:val="-2"/>
          <w:sz w:val="24"/>
          <w:szCs w:val="24"/>
          <w:highlight w:val="none"/>
        </w:rPr>
        <w:t xml:space="preserve"> 7-2 残疾人福利性单位声明函</w:t>
      </w:r>
    </w:p>
    <w:p w14:paraId="249E4D3F">
      <w:pPr>
        <w:pStyle w:val="2"/>
        <w:spacing w:before="115" w:line="220" w:lineRule="auto"/>
        <w:ind w:left="582"/>
        <w:rPr>
          <w:color w:val="auto"/>
          <w:spacing w:val="-2"/>
          <w:sz w:val="24"/>
          <w:szCs w:val="24"/>
          <w:highlight w:val="none"/>
        </w:rPr>
      </w:pPr>
      <w:r>
        <w:rPr>
          <w:color w:val="auto"/>
          <w:spacing w:val="-2"/>
          <w:sz w:val="24"/>
          <w:szCs w:val="24"/>
          <w:highlight w:val="none"/>
        </w:rPr>
        <w:t>8、供应商关联单位的说明（格式自拟）</w:t>
      </w:r>
    </w:p>
    <w:p w14:paraId="05BD068A">
      <w:pPr>
        <w:pStyle w:val="2"/>
        <w:spacing w:before="115" w:line="220" w:lineRule="auto"/>
        <w:ind w:left="582"/>
        <w:rPr>
          <w:color w:val="auto"/>
          <w:spacing w:val="-2"/>
          <w:sz w:val="24"/>
          <w:szCs w:val="24"/>
          <w:highlight w:val="none"/>
        </w:rPr>
      </w:pPr>
      <w:r>
        <w:rPr>
          <w:color w:val="auto"/>
          <w:spacing w:val="-2"/>
          <w:sz w:val="24"/>
          <w:szCs w:val="24"/>
          <w:highlight w:val="none"/>
        </w:rPr>
        <w:t>9、供应商可提供有利于磋商的其他证明材料</w:t>
      </w:r>
    </w:p>
    <w:p w14:paraId="6EA7D8E6">
      <w:pPr>
        <w:pStyle w:val="2"/>
        <w:spacing w:before="115" w:line="220" w:lineRule="auto"/>
        <w:ind w:left="582"/>
        <w:rPr>
          <w:color w:val="auto"/>
          <w:spacing w:val="-2"/>
          <w:sz w:val="24"/>
          <w:szCs w:val="24"/>
          <w:highlight w:val="none"/>
        </w:rPr>
      </w:pPr>
      <w:r>
        <w:rPr>
          <w:color w:val="auto"/>
          <w:spacing w:val="-2"/>
          <w:sz w:val="24"/>
          <w:szCs w:val="24"/>
          <w:highlight w:val="none"/>
        </w:rPr>
        <w:t>10、响应文件格式范本</w:t>
      </w:r>
    </w:p>
    <w:p w14:paraId="6C1BAD9D">
      <w:pPr>
        <w:pStyle w:val="2"/>
        <w:spacing w:before="115" w:line="220" w:lineRule="auto"/>
        <w:ind w:left="582"/>
        <w:rPr>
          <w:color w:val="auto"/>
          <w:spacing w:val="-2"/>
          <w:sz w:val="24"/>
          <w:szCs w:val="24"/>
          <w:highlight w:val="none"/>
        </w:rPr>
      </w:pPr>
      <w:r>
        <w:rPr>
          <w:color w:val="auto"/>
          <w:spacing w:val="-2"/>
          <w:sz w:val="24"/>
          <w:szCs w:val="24"/>
          <w:highlight w:val="none"/>
        </w:rPr>
        <w:t>11、二轮报价表（此表用于磋商现场）</w:t>
      </w:r>
    </w:p>
    <w:p w14:paraId="4AD22D75">
      <w:pPr>
        <w:spacing w:line="253" w:lineRule="auto"/>
        <w:rPr>
          <w:rFonts w:ascii="Arial"/>
          <w:color w:val="auto"/>
          <w:sz w:val="21"/>
          <w:highlight w:val="none"/>
        </w:rPr>
      </w:pPr>
    </w:p>
    <w:p w14:paraId="7B2292F2">
      <w:pPr>
        <w:spacing w:line="253" w:lineRule="auto"/>
        <w:rPr>
          <w:rFonts w:ascii="Arial"/>
          <w:color w:val="auto"/>
          <w:sz w:val="21"/>
          <w:highlight w:val="none"/>
        </w:rPr>
      </w:pPr>
    </w:p>
    <w:p w14:paraId="62D82B0C">
      <w:pPr>
        <w:spacing w:line="253" w:lineRule="auto"/>
        <w:rPr>
          <w:rFonts w:ascii="Arial"/>
          <w:color w:val="auto"/>
          <w:sz w:val="21"/>
          <w:highlight w:val="none"/>
        </w:rPr>
      </w:pPr>
    </w:p>
    <w:p w14:paraId="3AAA3E0E">
      <w:pPr>
        <w:spacing w:line="253" w:lineRule="auto"/>
        <w:rPr>
          <w:rFonts w:ascii="Arial"/>
          <w:color w:val="auto"/>
          <w:sz w:val="21"/>
          <w:highlight w:val="none"/>
        </w:rPr>
      </w:pPr>
    </w:p>
    <w:p w14:paraId="3DE415CD">
      <w:pPr>
        <w:spacing w:line="253" w:lineRule="auto"/>
        <w:rPr>
          <w:rFonts w:ascii="Arial"/>
          <w:color w:val="auto"/>
          <w:sz w:val="21"/>
          <w:highlight w:val="none"/>
        </w:rPr>
      </w:pPr>
    </w:p>
    <w:p w14:paraId="25586FAC">
      <w:pPr>
        <w:spacing w:line="253" w:lineRule="auto"/>
        <w:rPr>
          <w:rFonts w:ascii="Arial"/>
          <w:color w:val="auto"/>
          <w:sz w:val="21"/>
          <w:highlight w:val="none"/>
        </w:rPr>
      </w:pPr>
    </w:p>
    <w:p w14:paraId="36EA6F68">
      <w:pPr>
        <w:spacing w:line="253" w:lineRule="auto"/>
        <w:rPr>
          <w:rFonts w:ascii="Arial"/>
          <w:color w:val="auto"/>
          <w:sz w:val="21"/>
          <w:highlight w:val="none"/>
        </w:rPr>
      </w:pPr>
    </w:p>
    <w:p w14:paraId="66B59B30">
      <w:pPr>
        <w:spacing w:line="253" w:lineRule="auto"/>
        <w:rPr>
          <w:rFonts w:ascii="Arial"/>
          <w:color w:val="auto"/>
          <w:sz w:val="21"/>
          <w:highlight w:val="none"/>
        </w:rPr>
      </w:pPr>
    </w:p>
    <w:p w14:paraId="5A56C14C">
      <w:pPr>
        <w:spacing w:line="253" w:lineRule="auto"/>
        <w:rPr>
          <w:rFonts w:ascii="Arial"/>
          <w:color w:val="auto"/>
          <w:sz w:val="21"/>
          <w:highlight w:val="none"/>
        </w:rPr>
      </w:pPr>
    </w:p>
    <w:p w14:paraId="6DB6F2D1">
      <w:pPr>
        <w:spacing w:line="253" w:lineRule="auto"/>
        <w:rPr>
          <w:rFonts w:ascii="Arial"/>
          <w:color w:val="auto"/>
          <w:sz w:val="21"/>
          <w:highlight w:val="none"/>
        </w:rPr>
      </w:pPr>
    </w:p>
    <w:p w14:paraId="0D6DF06D">
      <w:pPr>
        <w:spacing w:line="253" w:lineRule="auto"/>
        <w:rPr>
          <w:rFonts w:ascii="Arial"/>
          <w:color w:val="auto"/>
          <w:sz w:val="21"/>
          <w:highlight w:val="none"/>
        </w:rPr>
      </w:pPr>
    </w:p>
    <w:p w14:paraId="2703BB82">
      <w:pPr>
        <w:spacing w:line="254" w:lineRule="auto"/>
        <w:rPr>
          <w:rFonts w:ascii="Arial"/>
          <w:color w:val="auto"/>
          <w:sz w:val="21"/>
          <w:highlight w:val="none"/>
        </w:rPr>
      </w:pPr>
    </w:p>
    <w:p w14:paraId="2F372420">
      <w:pPr>
        <w:spacing w:line="254" w:lineRule="auto"/>
        <w:rPr>
          <w:rFonts w:ascii="Arial"/>
          <w:color w:val="auto"/>
          <w:sz w:val="21"/>
          <w:highlight w:val="none"/>
        </w:rPr>
      </w:pPr>
    </w:p>
    <w:p w14:paraId="09EBA3A1">
      <w:pPr>
        <w:spacing w:line="254" w:lineRule="auto"/>
        <w:rPr>
          <w:rFonts w:ascii="Arial"/>
          <w:color w:val="auto"/>
          <w:sz w:val="21"/>
          <w:highlight w:val="none"/>
        </w:rPr>
      </w:pPr>
    </w:p>
    <w:p w14:paraId="55CD3592">
      <w:pPr>
        <w:spacing w:line="254" w:lineRule="auto"/>
        <w:rPr>
          <w:rFonts w:ascii="Arial"/>
          <w:color w:val="auto"/>
          <w:sz w:val="21"/>
          <w:highlight w:val="none"/>
        </w:rPr>
      </w:pPr>
    </w:p>
    <w:p w14:paraId="6D6B05E2">
      <w:pPr>
        <w:spacing w:line="2400" w:lineRule="exact"/>
        <w:ind w:firstLine="4631"/>
        <w:rPr>
          <w:color w:val="auto"/>
          <w:highlight w:val="none"/>
        </w:rPr>
      </w:pPr>
    </w:p>
    <w:p w14:paraId="0BDF5F4C">
      <w:pPr>
        <w:spacing w:line="2400" w:lineRule="exact"/>
        <w:rPr>
          <w:color w:val="auto"/>
          <w:highlight w:val="none"/>
        </w:rPr>
        <w:sectPr>
          <w:footerReference r:id="rId13" w:type="default"/>
          <w:pgSz w:w="11906" w:h="16839"/>
          <w:pgMar w:top="1134" w:right="1767" w:bottom="1134" w:left="1768" w:header="870" w:footer="985" w:gutter="0"/>
          <w:pgNumType w:fmt="decimal"/>
          <w:cols w:space="720" w:num="1"/>
        </w:sectPr>
      </w:pPr>
    </w:p>
    <w:p w14:paraId="288F8854">
      <w:pPr>
        <w:pStyle w:val="2"/>
        <w:spacing w:before="78" w:line="219" w:lineRule="auto"/>
        <w:ind w:left="3669"/>
        <w:outlineLvl w:val="3"/>
        <w:rPr>
          <w:b/>
          <w:bCs/>
          <w:color w:val="auto"/>
          <w:spacing w:val="-8"/>
          <w:sz w:val="24"/>
          <w:szCs w:val="24"/>
          <w:highlight w:val="none"/>
        </w:rPr>
      </w:pPr>
    </w:p>
    <w:p w14:paraId="7443363C">
      <w:pPr>
        <w:pStyle w:val="2"/>
        <w:spacing w:before="78" w:line="219" w:lineRule="auto"/>
        <w:ind w:left="3669"/>
        <w:outlineLvl w:val="3"/>
        <w:rPr>
          <w:color w:val="auto"/>
          <w:sz w:val="24"/>
          <w:szCs w:val="24"/>
          <w:highlight w:val="none"/>
        </w:rPr>
      </w:pPr>
      <w:r>
        <w:rPr>
          <w:b/>
          <w:bCs/>
          <w:color w:val="auto"/>
          <w:spacing w:val="-8"/>
          <w:sz w:val="24"/>
          <w:szCs w:val="24"/>
          <w:highlight w:val="none"/>
        </w:rPr>
        <w:t>1、磋商书</w:t>
      </w:r>
    </w:p>
    <w:p w14:paraId="0682FF28">
      <w:pPr>
        <w:pStyle w:val="2"/>
        <w:spacing w:before="115" w:line="220" w:lineRule="auto"/>
        <w:ind w:left="38"/>
        <w:rPr>
          <w:color w:val="auto"/>
          <w:sz w:val="24"/>
          <w:szCs w:val="24"/>
          <w:highlight w:val="none"/>
        </w:rPr>
      </w:pPr>
      <w:r>
        <w:rPr>
          <w:color w:val="auto"/>
          <w:spacing w:val="-17"/>
          <w:sz w:val="24"/>
          <w:szCs w:val="24"/>
          <w:highlight w:val="none"/>
        </w:rPr>
        <w:t>致：</w:t>
      </w:r>
    </w:p>
    <w:p w14:paraId="2903F637">
      <w:pPr>
        <w:spacing w:line="430" w:lineRule="auto"/>
        <w:rPr>
          <w:rFonts w:ascii="Arial"/>
          <w:color w:val="auto"/>
          <w:sz w:val="21"/>
          <w:highlight w:val="none"/>
        </w:rPr>
      </w:pPr>
    </w:p>
    <w:p w14:paraId="5132DCC5">
      <w:pPr>
        <w:pStyle w:val="2"/>
        <w:spacing w:before="81" w:line="283" w:lineRule="auto"/>
        <w:ind w:left="29" w:firstLine="490"/>
        <w:rPr>
          <w:i w:val="0"/>
          <w:iCs w:val="0"/>
          <w:color w:val="auto"/>
          <w:sz w:val="24"/>
          <w:szCs w:val="24"/>
          <w:highlight w:val="none"/>
        </w:rPr>
      </w:pPr>
      <w:r>
        <w:rPr>
          <w:i w:val="0"/>
          <w:iCs w:val="0"/>
          <w:color w:val="auto"/>
          <w:sz w:val="24"/>
          <w:szCs w:val="24"/>
          <w:highlight w:val="none"/>
        </w:rPr>
        <w:t>根据贵方(</w:t>
      </w:r>
      <w:r>
        <w:rPr>
          <w:i w:val="0"/>
          <w:iCs w:val="0"/>
          <w:color w:val="auto"/>
          <w:sz w:val="25"/>
          <w:szCs w:val="25"/>
          <w:highlight w:val="none"/>
          <w:u w:val="single" w:color="auto"/>
        </w:rPr>
        <w:t>项目名称</w:t>
      </w:r>
      <w:r>
        <w:rPr>
          <w:i w:val="0"/>
          <w:iCs w:val="0"/>
          <w:color w:val="auto"/>
          <w:sz w:val="24"/>
          <w:szCs w:val="24"/>
          <w:highlight w:val="none"/>
        </w:rPr>
        <w:t>)项目的磋商邀请(</w:t>
      </w:r>
      <w:r>
        <w:rPr>
          <w:i w:val="0"/>
          <w:iCs w:val="0"/>
          <w:color w:val="auto"/>
          <w:sz w:val="25"/>
          <w:szCs w:val="25"/>
          <w:highlight w:val="none"/>
          <w:u w:val="single" w:color="auto"/>
        </w:rPr>
        <w:t>项目编号，</w:t>
      </w:r>
      <w:r>
        <w:rPr>
          <w:i w:val="0"/>
          <w:iCs w:val="0"/>
          <w:color w:val="auto"/>
          <w:sz w:val="24"/>
          <w:szCs w:val="24"/>
          <w:highlight w:val="none"/>
          <w:u w:val="single" w:color="auto"/>
        </w:rPr>
        <w:t>标项号</w:t>
      </w:r>
      <w:r>
        <w:rPr>
          <w:i w:val="0"/>
          <w:iCs w:val="0"/>
          <w:color w:val="auto"/>
          <w:sz w:val="24"/>
          <w:szCs w:val="24"/>
          <w:highlight w:val="none"/>
        </w:rPr>
        <w:t>),签字代表(</w:t>
      </w:r>
      <w:r>
        <w:rPr>
          <w:i w:val="0"/>
          <w:iCs w:val="0"/>
          <w:color w:val="auto"/>
          <w:sz w:val="25"/>
          <w:szCs w:val="25"/>
          <w:highlight w:val="none"/>
          <w:u w:val="single" w:color="auto"/>
        </w:rPr>
        <w:t>姓名、</w:t>
      </w:r>
      <w:r>
        <w:rPr>
          <w:i w:val="0"/>
          <w:iCs w:val="0"/>
          <w:color w:val="auto"/>
          <w:spacing w:val="7"/>
          <w:sz w:val="25"/>
          <w:szCs w:val="25"/>
          <w:highlight w:val="none"/>
        </w:rPr>
        <w:t xml:space="preserve"> </w:t>
      </w:r>
      <w:r>
        <w:rPr>
          <w:i w:val="0"/>
          <w:iCs w:val="0"/>
          <w:color w:val="auto"/>
          <w:spacing w:val="-5"/>
          <w:sz w:val="25"/>
          <w:szCs w:val="25"/>
          <w:highlight w:val="none"/>
          <w:u w:val="single" w:color="auto"/>
        </w:rPr>
        <w:t>职务</w:t>
      </w:r>
      <w:r>
        <w:rPr>
          <w:i w:val="0"/>
          <w:iCs w:val="0"/>
          <w:color w:val="auto"/>
          <w:spacing w:val="-5"/>
          <w:sz w:val="24"/>
          <w:szCs w:val="24"/>
          <w:highlight w:val="none"/>
        </w:rPr>
        <w:t>)经正式授权并代表供应商（</w:t>
      </w:r>
      <w:r>
        <w:rPr>
          <w:i w:val="0"/>
          <w:iCs w:val="0"/>
          <w:color w:val="auto"/>
          <w:spacing w:val="-5"/>
          <w:sz w:val="25"/>
          <w:szCs w:val="25"/>
          <w:highlight w:val="none"/>
          <w:u w:val="single" w:color="auto"/>
        </w:rPr>
        <w:t>名称、地址</w:t>
      </w:r>
      <w:r>
        <w:rPr>
          <w:i w:val="0"/>
          <w:iCs w:val="0"/>
          <w:color w:val="auto"/>
          <w:spacing w:val="-5"/>
          <w:sz w:val="24"/>
          <w:szCs w:val="24"/>
          <w:highlight w:val="none"/>
        </w:rPr>
        <w:t>）上传响应文</w:t>
      </w:r>
      <w:r>
        <w:rPr>
          <w:i w:val="0"/>
          <w:iCs w:val="0"/>
          <w:color w:val="auto"/>
          <w:spacing w:val="-6"/>
          <w:sz w:val="24"/>
          <w:szCs w:val="24"/>
          <w:highlight w:val="none"/>
        </w:rPr>
        <w:t>件，并以</w:t>
      </w:r>
      <w:r>
        <w:rPr>
          <w:i w:val="0"/>
          <w:iCs w:val="0"/>
          <w:color w:val="auto"/>
          <w:spacing w:val="-120"/>
          <w:sz w:val="24"/>
          <w:szCs w:val="24"/>
          <w:highlight w:val="none"/>
        </w:rPr>
        <w:t xml:space="preserve"> </w:t>
      </w:r>
      <w:r>
        <w:rPr>
          <w:i w:val="0"/>
          <w:iCs w:val="0"/>
          <w:color w:val="auto"/>
          <w:sz w:val="24"/>
          <w:szCs w:val="24"/>
          <w:highlight w:val="none"/>
          <w:u w:val="single" w:color="auto"/>
        </w:rPr>
        <w:t xml:space="preserve">         </w:t>
      </w:r>
      <w:r>
        <w:rPr>
          <w:i w:val="0"/>
          <w:iCs w:val="0"/>
          <w:color w:val="auto"/>
          <w:spacing w:val="-108"/>
          <w:sz w:val="24"/>
          <w:szCs w:val="24"/>
          <w:highlight w:val="none"/>
        </w:rPr>
        <w:t xml:space="preserve"> </w:t>
      </w:r>
      <w:r>
        <w:rPr>
          <w:i w:val="0"/>
          <w:iCs w:val="0"/>
          <w:color w:val="auto"/>
          <w:spacing w:val="-6"/>
          <w:sz w:val="24"/>
          <w:szCs w:val="24"/>
          <w:highlight w:val="none"/>
        </w:rPr>
        <w:t>形</w:t>
      </w:r>
    </w:p>
    <w:p w14:paraId="7F6C5A76">
      <w:pPr>
        <w:pStyle w:val="2"/>
        <w:spacing w:before="33" w:line="219" w:lineRule="auto"/>
        <w:ind w:left="45"/>
        <w:rPr>
          <w:i w:val="0"/>
          <w:iCs w:val="0"/>
          <w:color w:val="auto"/>
          <w:sz w:val="24"/>
          <w:szCs w:val="24"/>
          <w:highlight w:val="none"/>
        </w:rPr>
      </w:pPr>
      <w:r>
        <w:rPr>
          <w:i w:val="0"/>
          <w:iCs w:val="0"/>
          <w:color w:val="auto"/>
          <w:spacing w:val="-2"/>
          <w:sz w:val="24"/>
          <w:szCs w:val="24"/>
          <w:highlight w:val="none"/>
        </w:rPr>
        <w:t>式出具的金额为人民币</w:t>
      </w:r>
      <w:r>
        <w:rPr>
          <w:i w:val="0"/>
          <w:iCs w:val="0"/>
          <w:color w:val="auto"/>
          <w:spacing w:val="-2"/>
          <w:sz w:val="24"/>
          <w:szCs w:val="24"/>
          <w:highlight w:val="none"/>
          <w:u w:val="single" w:color="auto"/>
        </w:rPr>
        <w:t xml:space="preserve">        </w:t>
      </w:r>
      <w:r>
        <w:rPr>
          <w:i w:val="0"/>
          <w:iCs w:val="0"/>
          <w:color w:val="auto"/>
          <w:spacing w:val="-109"/>
          <w:sz w:val="24"/>
          <w:szCs w:val="24"/>
          <w:highlight w:val="none"/>
        </w:rPr>
        <w:t xml:space="preserve"> </w:t>
      </w:r>
      <w:r>
        <w:rPr>
          <w:i w:val="0"/>
          <w:iCs w:val="0"/>
          <w:color w:val="auto"/>
          <w:spacing w:val="-2"/>
          <w:sz w:val="24"/>
          <w:szCs w:val="24"/>
          <w:highlight w:val="none"/>
        </w:rPr>
        <w:t>元的磋商</w:t>
      </w:r>
      <w:r>
        <w:rPr>
          <w:i w:val="0"/>
          <w:iCs w:val="0"/>
          <w:color w:val="auto"/>
          <w:spacing w:val="-3"/>
          <w:sz w:val="24"/>
          <w:szCs w:val="24"/>
          <w:highlight w:val="none"/>
        </w:rPr>
        <w:t>保证金。</w:t>
      </w:r>
    </w:p>
    <w:p w14:paraId="01A17CE1">
      <w:pPr>
        <w:pStyle w:val="2"/>
        <w:spacing w:before="115" w:line="219" w:lineRule="auto"/>
        <w:ind w:left="577"/>
        <w:rPr>
          <w:color w:val="auto"/>
          <w:sz w:val="24"/>
          <w:szCs w:val="24"/>
          <w:highlight w:val="none"/>
        </w:rPr>
      </w:pPr>
      <w:r>
        <w:rPr>
          <w:color w:val="auto"/>
          <w:spacing w:val="-5"/>
          <w:sz w:val="24"/>
          <w:szCs w:val="24"/>
          <w:highlight w:val="none"/>
        </w:rPr>
        <w:t>据此，签字代表宣布同意如下：</w:t>
      </w:r>
    </w:p>
    <w:p w14:paraId="6054FC33">
      <w:pPr>
        <w:pStyle w:val="2"/>
        <w:spacing w:before="115" w:line="278" w:lineRule="auto"/>
        <w:ind w:left="805" w:right="228" w:hanging="221"/>
        <w:rPr>
          <w:color w:val="auto"/>
          <w:sz w:val="24"/>
          <w:szCs w:val="24"/>
          <w:highlight w:val="none"/>
        </w:rPr>
      </w:pPr>
      <w:r>
        <w:rPr>
          <w:color w:val="auto"/>
          <w:spacing w:val="-1"/>
          <w:sz w:val="24"/>
          <w:szCs w:val="24"/>
          <w:highlight w:val="none"/>
        </w:rPr>
        <w:t>（1）附磋商价格表中规定的应提供服务的磋商</w:t>
      </w:r>
      <w:r>
        <w:rPr>
          <w:color w:val="auto"/>
          <w:spacing w:val="-2"/>
          <w:sz w:val="24"/>
          <w:szCs w:val="24"/>
          <w:highlight w:val="none"/>
        </w:rPr>
        <w:t>总价详见磋商一览表，其中</w:t>
      </w:r>
      <w:r>
        <w:rPr>
          <w:color w:val="auto"/>
          <w:spacing w:val="1"/>
          <w:sz w:val="24"/>
          <w:szCs w:val="24"/>
          <w:highlight w:val="none"/>
        </w:rPr>
        <w:t>由</w:t>
      </w:r>
      <w:r>
        <w:rPr>
          <w:rFonts w:hint="eastAsia"/>
          <w:color w:val="auto"/>
          <w:spacing w:val="1"/>
          <w:sz w:val="24"/>
          <w:szCs w:val="24"/>
          <w:highlight w:val="none"/>
          <w:u w:val="single"/>
          <w:lang w:val="en-US" w:eastAsia="zh-CN"/>
        </w:rPr>
        <w:t>中型、</w:t>
      </w:r>
      <w:r>
        <w:rPr>
          <w:color w:val="auto"/>
          <w:spacing w:val="1"/>
          <w:sz w:val="24"/>
          <w:szCs w:val="24"/>
          <w:highlight w:val="none"/>
          <w:u w:val="single" w:color="auto"/>
        </w:rPr>
        <w:t>小型</w:t>
      </w:r>
      <w:r>
        <w:rPr>
          <w:color w:val="auto"/>
          <w:spacing w:val="1"/>
          <w:sz w:val="24"/>
          <w:szCs w:val="24"/>
          <w:highlight w:val="none"/>
        </w:rPr>
        <w:t>和</w:t>
      </w:r>
      <w:r>
        <w:rPr>
          <w:color w:val="auto"/>
          <w:spacing w:val="1"/>
          <w:sz w:val="24"/>
          <w:szCs w:val="24"/>
          <w:highlight w:val="none"/>
          <w:u w:val="single" w:color="auto"/>
        </w:rPr>
        <w:t>微型</w:t>
      </w:r>
      <w:r>
        <w:rPr>
          <w:color w:val="auto"/>
          <w:spacing w:val="1"/>
          <w:sz w:val="24"/>
          <w:szCs w:val="24"/>
          <w:highlight w:val="none"/>
        </w:rPr>
        <w:t>企业承接服务的价格为</w:t>
      </w:r>
      <w:r>
        <w:rPr>
          <w:color w:val="auto"/>
          <w:spacing w:val="-117"/>
          <w:sz w:val="24"/>
          <w:szCs w:val="24"/>
          <w:highlight w:val="none"/>
        </w:rPr>
        <w:t xml:space="preserve"> </w:t>
      </w:r>
      <w:r>
        <w:rPr>
          <w:color w:val="auto"/>
          <w:spacing w:val="1"/>
          <w:sz w:val="24"/>
          <w:szCs w:val="24"/>
          <w:highlight w:val="none"/>
          <w:u w:val="single" w:color="auto"/>
        </w:rPr>
        <w:t xml:space="preserve">      （用文字和数字表示</w:t>
      </w:r>
      <w:r>
        <w:rPr>
          <w:color w:val="auto"/>
          <w:spacing w:val="3"/>
          <w:sz w:val="24"/>
          <w:szCs w:val="24"/>
          <w:highlight w:val="none"/>
          <w:u w:val="single" w:color="auto"/>
        </w:rPr>
        <w:t>），</w:t>
      </w:r>
      <w:r>
        <w:rPr>
          <w:rFonts w:hint="eastAsia"/>
          <w:color w:val="auto"/>
          <w:spacing w:val="3"/>
          <w:sz w:val="24"/>
          <w:szCs w:val="24"/>
          <w:highlight w:val="none"/>
          <w:u w:val="single" w:color="auto"/>
          <w:lang w:val="en-US" w:eastAsia="zh-CN"/>
        </w:rPr>
        <w:t xml:space="preserve">   </w:t>
      </w:r>
      <w:r>
        <w:rPr>
          <w:color w:val="auto"/>
          <w:spacing w:val="-68"/>
          <w:sz w:val="24"/>
          <w:szCs w:val="24"/>
          <w:highlight w:val="none"/>
          <w:u w:val="single" w:color="auto"/>
        </w:rPr>
        <w:t xml:space="preserve"> </w:t>
      </w:r>
      <w:r>
        <w:rPr>
          <w:color w:val="auto"/>
          <w:spacing w:val="1"/>
          <w:sz w:val="24"/>
          <w:szCs w:val="24"/>
          <w:highlight w:val="none"/>
          <w:u w:val="single" w:color="auto"/>
        </w:rPr>
        <w:t>占</w:t>
      </w:r>
      <w:r>
        <w:rPr>
          <w:color w:val="auto"/>
          <w:spacing w:val="-1"/>
          <w:sz w:val="24"/>
          <w:szCs w:val="24"/>
          <w:highlight w:val="none"/>
          <w:u w:val="single" w:color="auto"/>
        </w:rPr>
        <w:t xml:space="preserve">磋商总价  </w:t>
      </w:r>
      <w:r>
        <w:rPr>
          <w:rFonts w:hint="eastAsia"/>
          <w:color w:val="auto"/>
          <w:spacing w:val="-1"/>
          <w:sz w:val="24"/>
          <w:szCs w:val="24"/>
          <w:highlight w:val="none"/>
          <w:u w:val="single" w:color="auto"/>
          <w:lang w:val="en-US" w:eastAsia="zh-CN"/>
        </w:rPr>
        <w:t xml:space="preserve">  </w:t>
      </w:r>
      <w:r>
        <w:rPr>
          <w:color w:val="auto"/>
          <w:spacing w:val="-1"/>
          <w:sz w:val="24"/>
          <w:szCs w:val="24"/>
          <w:highlight w:val="none"/>
          <w:u w:val="single" w:color="auto"/>
        </w:rPr>
        <w:t xml:space="preserve"> %</w:t>
      </w:r>
      <w:r>
        <w:rPr>
          <w:color w:val="auto"/>
          <w:spacing w:val="-1"/>
          <w:sz w:val="24"/>
          <w:szCs w:val="24"/>
          <w:highlight w:val="none"/>
        </w:rPr>
        <w:t>。</w:t>
      </w:r>
    </w:p>
    <w:p w14:paraId="3E07FD2F">
      <w:pPr>
        <w:pStyle w:val="2"/>
        <w:spacing w:before="116" w:line="219" w:lineRule="auto"/>
        <w:ind w:left="584"/>
        <w:rPr>
          <w:color w:val="auto"/>
          <w:sz w:val="24"/>
          <w:szCs w:val="24"/>
          <w:highlight w:val="none"/>
        </w:rPr>
      </w:pPr>
      <w:r>
        <w:rPr>
          <w:color w:val="auto"/>
          <w:spacing w:val="-3"/>
          <w:sz w:val="24"/>
          <w:szCs w:val="24"/>
          <w:highlight w:val="none"/>
        </w:rPr>
        <w:t>（2）本磋商有效期为自磋商截止之日起</w:t>
      </w:r>
      <w:r>
        <w:rPr>
          <w:color w:val="auto"/>
          <w:spacing w:val="-104"/>
          <w:sz w:val="24"/>
          <w:szCs w:val="24"/>
          <w:highlight w:val="none"/>
        </w:rPr>
        <w:t xml:space="preserve"> </w:t>
      </w:r>
      <w:r>
        <w:rPr>
          <w:color w:val="auto"/>
          <w:sz w:val="24"/>
          <w:szCs w:val="24"/>
          <w:highlight w:val="none"/>
          <w:u w:val="single" w:color="auto"/>
        </w:rPr>
        <w:t xml:space="preserve">          </w:t>
      </w:r>
      <w:r>
        <w:rPr>
          <w:color w:val="auto"/>
          <w:spacing w:val="-110"/>
          <w:sz w:val="24"/>
          <w:szCs w:val="24"/>
          <w:highlight w:val="none"/>
        </w:rPr>
        <w:t xml:space="preserve"> </w:t>
      </w:r>
      <w:r>
        <w:rPr>
          <w:color w:val="auto"/>
          <w:spacing w:val="-3"/>
          <w:sz w:val="24"/>
          <w:szCs w:val="24"/>
          <w:highlight w:val="none"/>
        </w:rPr>
        <w:t>个日历日。</w:t>
      </w:r>
    </w:p>
    <w:p w14:paraId="2E1273C2">
      <w:pPr>
        <w:pStyle w:val="2"/>
        <w:spacing w:before="115" w:line="279" w:lineRule="auto"/>
        <w:ind w:left="1117" w:right="238" w:hanging="533"/>
        <w:rPr>
          <w:color w:val="auto"/>
          <w:sz w:val="24"/>
          <w:szCs w:val="24"/>
          <w:highlight w:val="none"/>
        </w:rPr>
      </w:pPr>
      <w:r>
        <w:rPr>
          <w:color w:val="auto"/>
          <w:spacing w:val="-7"/>
          <w:sz w:val="24"/>
          <w:szCs w:val="24"/>
          <w:highlight w:val="none"/>
        </w:rPr>
        <w:t>（3）联合体中的大型企业和其他自然人、法人或者非法人组织</w:t>
      </w:r>
      <w:r>
        <w:rPr>
          <w:rFonts w:hint="eastAsia"/>
          <w:color w:val="auto"/>
          <w:spacing w:val="-7"/>
          <w:sz w:val="24"/>
          <w:szCs w:val="24"/>
          <w:highlight w:val="none"/>
          <w:lang w:eastAsia="zh-CN"/>
        </w:rPr>
        <w:t>，</w:t>
      </w:r>
      <w:r>
        <w:rPr>
          <w:color w:val="auto"/>
          <w:spacing w:val="-8"/>
          <w:sz w:val="24"/>
          <w:szCs w:val="24"/>
          <w:highlight w:val="none"/>
        </w:rPr>
        <w:t>与联合</w:t>
      </w:r>
      <w:r>
        <w:rPr>
          <w:color w:val="auto"/>
          <w:spacing w:val="-7"/>
          <w:sz w:val="24"/>
          <w:szCs w:val="24"/>
          <w:highlight w:val="none"/>
        </w:rPr>
        <w:t>体中的</w:t>
      </w:r>
      <w:r>
        <w:rPr>
          <w:rFonts w:hint="eastAsia"/>
          <w:color w:val="auto"/>
          <w:spacing w:val="-7"/>
          <w:sz w:val="24"/>
          <w:szCs w:val="24"/>
          <w:highlight w:val="none"/>
          <w:lang w:val="en-US" w:eastAsia="zh-CN"/>
        </w:rPr>
        <w:t>中型、</w:t>
      </w:r>
      <w:r>
        <w:rPr>
          <w:color w:val="auto"/>
          <w:spacing w:val="-7"/>
          <w:sz w:val="24"/>
          <w:szCs w:val="24"/>
          <w:highlight w:val="none"/>
        </w:rPr>
        <w:t>小型、微型企业之间</w:t>
      </w:r>
      <w:r>
        <w:rPr>
          <w:color w:val="auto"/>
          <w:spacing w:val="-7"/>
          <w:sz w:val="24"/>
          <w:szCs w:val="24"/>
          <w:highlight w:val="none"/>
          <w:u w:val="single" w:color="auto"/>
        </w:rPr>
        <w:t xml:space="preserve">     （</w:t>
      </w:r>
      <w:r>
        <w:rPr>
          <w:color w:val="auto"/>
          <w:spacing w:val="-7"/>
          <w:sz w:val="24"/>
          <w:szCs w:val="24"/>
          <w:highlight w:val="none"/>
        </w:rPr>
        <w:t>存在、不存在） 投资关系（如果是</w:t>
      </w:r>
      <w:r>
        <w:rPr>
          <w:color w:val="auto"/>
          <w:spacing w:val="7"/>
          <w:sz w:val="24"/>
          <w:szCs w:val="24"/>
          <w:highlight w:val="none"/>
        </w:rPr>
        <w:t xml:space="preserve"> </w:t>
      </w:r>
      <w:r>
        <w:rPr>
          <w:color w:val="auto"/>
          <w:spacing w:val="-6"/>
          <w:sz w:val="24"/>
          <w:szCs w:val="24"/>
          <w:highlight w:val="none"/>
        </w:rPr>
        <w:t>联合体的话）。</w:t>
      </w:r>
    </w:p>
    <w:p w14:paraId="49565EFC">
      <w:pPr>
        <w:pStyle w:val="2"/>
        <w:spacing w:before="112" w:line="264" w:lineRule="auto"/>
        <w:ind w:left="1120" w:right="239" w:hanging="536"/>
        <w:rPr>
          <w:color w:val="auto"/>
          <w:sz w:val="24"/>
          <w:szCs w:val="24"/>
          <w:highlight w:val="none"/>
        </w:rPr>
      </w:pPr>
      <w:r>
        <w:rPr>
          <w:color w:val="auto"/>
          <w:spacing w:val="-1"/>
          <w:sz w:val="24"/>
          <w:szCs w:val="24"/>
          <w:highlight w:val="none"/>
        </w:rPr>
        <w:t>（4）已详细审查全部磋商文件，包括所有补</w:t>
      </w:r>
      <w:r>
        <w:rPr>
          <w:color w:val="auto"/>
          <w:spacing w:val="-2"/>
          <w:sz w:val="24"/>
          <w:szCs w:val="24"/>
          <w:highlight w:val="none"/>
        </w:rPr>
        <w:t>充通知（如果有的话</w:t>
      </w:r>
      <w:r>
        <w:rPr>
          <w:color w:val="auto"/>
          <w:spacing w:val="-7"/>
          <w:sz w:val="24"/>
          <w:szCs w:val="24"/>
          <w:highlight w:val="none"/>
        </w:rPr>
        <w:t>），</w:t>
      </w:r>
      <w:r>
        <w:rPr>
          <w:color w:val="auto"/>
          <w:spacing w:val="-2"/>
          <w:sz w:val="24"/>
          <w:szCs w:val="24"/>
          <w:highlight w:val="none"/>
        </w:rPr>
        <w:t>完全理解并同意放弃对这方面有不明、误解和质疑的权力。</w:t>
      </w:r>
    </w:p>
    <w:p w14:paraId="2C14B885">
      <w:pPr>
        <w:pStyle w:val="2"/>
        <w:spacing w:before="114" w:line="220" w:lineRule="auto"/>
        <w:ind w:left="584"/>
        <w:rPr>
          <w:color w:val="auto"/>
          <w:sz w:val="24"/>
          <w:szCs w:val="24"/>
          <w:highlight w:val="none"/>
        </w:rPr>
      </w:pPr>
      <w:r>
        <w:rPr>
          <w:color w:val="auto"/>
          <w:spacing w:val="-2"/>
          <w:sz w:val="24"/>
          <w:szCs w:val="24"/>
          <w:highlight w:val="none"/>
        </w:rPr>
        <w:t>（5）在规定的磋商时间后，遵守磋商文件中有关保证金的规定。</w:t>
      </w:r>
    </w:p>
    <w:p w14:paraId="7AE956A7">
      <w:pPr>
        <w:pStyle w:val="2"/>
        <w:spacing w:before="115" w:line="263" w:lineRule="auto"/>
        <w:ind w:left="1118" w:right="238" w:hanging="534"/>
        <w:rPr>
          <w:color w:val="auto"/>
          <w:sz w:val="24"/>
          <w:szCs w:val="24"/>
          <w:highlight w:val="none"/>
        </w:rPr>
      </w:pPr>
      <w:r>
        <w:rPr>
          <w:color w:val="auto"/>
          <w:spacing w:val="-2"/>
          <w:sz w:val="24"/>
          <w:szCs w:val="24"/>
          <w:highlight w:val="none"/>
        </w:rPr>
        <w:t>（6）我方不是为本项目提供整体设计、规范编制或者项目管理、监理、检测等服务的供应商，我方不是采购代理机构的附属机构。</w:t>
      </w:r>
    </w:p>
    <w:p w14:paraId="24DB8CDA">
      <w:pPr>
        <w:pStyle w:val="2"/>
        <w:spacing w:before="115" w:line="263" w:lineRule="auto"/>
        <w:ind w:left="1120" w:right="228" w:hanging="536"/>
        <w:rPr>
          <w:color w:val="auto"/>
          <w:sz w:val="24"/>
          <w:szCs w:val="24"/>
          <w:highlight w:val="none"/>
        </w:rPr>
      </w:pPr>
      <w:r>
        <w:rPr>
          <w:color w:val="auto"/>
          <w:spacing w:val="-1"/>
          <w:sz w:val="24"/>
          <w:szCs w:val="24"/>
          <w:highlight w:val="none"/>
        </w:rPr>
        <w:t>（7）按照贵方可能要求，提供与其磋商有关的</w:t>
      </w:r>
      <w:r>
        <w:rPr>
          <w:color w:val="auto"/>
          <w:spacing w:val="-2"/>
          <w:sz w:val="24"/>
          <w:szCs w:val="24"/>
          <w:highlight w:val="none"/>
        </w:rPr>
        <w:t>一切数据或资料，完全理解贵方不一定接受最低价的磋商或收到的任何</w:t>
      </w:r>
      <w:r>
        <w:rPr>
          <w:color w:val="auto"/>
          <w:spacing w:val="-3"/>
          <w:sz w:val="24"/>
          <w:szCs w:val="24"/>
          <w:highlight w:val="none"/>
        </w:rPr>
        <w:t>磋商。</w:t>
      </w:r>
    </w:p>
    <w:p w14:paraId="5CCB5D95">
      <w:pPr>
        <w:pStyle w:val="2"/>
        <w:spacing w:before="117" w:line="263" w:lineRule="auto"/>
        <w:ind w:left="425" w:right="2875" w:firstLine="158"/>
        <w:rPr>
          <w:color w:val="auto"/>
          <w:sz w:val="24"/>
          <w:szCs w:val="24"/>
          <w:highlight w:val="none"/>
        </w:rPr>
      </w:pPr>
      <w:r>
        <w:rPr>
          <w:color w:val="auto"/>
          <w:spacing w:val="-3"/>
          <w:sz w:val="24"/>
          <w:szCs w:val="24"/>
          <w:highlight w:val="none"/>
        </w:rPr>
        <w:t>（8）按照磋商文件的规定履行合同责任和义务。</w:t>
      </w:r>
      <w:r>
        <w:rPr>
          <w:color w:val="auto"/>
          <w:spacing w:val="-4"/>
          <w:sz w:val="24"/>
          <w:szCs w:val="24"/>
          <w:highlight w:val="none"/>
        </w:rPr>
        <w:t>与本磋商有关的一切正式往来信函请寄：</w:t>
      </w:r>
    </w:p>
    <w:p w14:paraId="1F862AAA">
      <w:pPr>
        <w:pStyle w:val="2"/>
        <w:tabs>
          <w:tab w:val="left" w:pos="8340"/>
        </w:tabs>
        <w:spacing w:before="114" w:line="299" w:lineRule="auto"/>
        <w:ind w:left="578" w:right="228"/>
        <w:jc w:val="both"/>
        <w:rPr>
          <w:color w:val="auto"/>
          <w:sz w:val="24"/>
          <w:szCs w:val="24"/>
          <w:highlight w:val="none"/>
          <w:u w:val="single" w:color="auto"/>
        </w:rPr>
      </w:pPr>
      <w:r>
        <w:rPr>
          <w:color w:val="auto"/>
          <w:spacing w:val="-5"/>
          <w:sz w:val="24"/>
          <w:szCs w:val="24"/>
          <w:highlight w:val="none"/>
        </w:rPr>
        <w:t>地址</w:t>
      </w:r>
      <w:r>
        <w:rPr>
          <w:color w:val="auto"/>
          <w:sz w:val="24"/>
          <w:szCs w:val="24"/>
          <w:highlight w:val="none"/>
          <w:u w:val="single" w:color="auto"/>
        </w:rPr>
        <w:t xml:space="preserve">                         </w:t>
      </w:r>
      <w:r>
        <w:rPr>
          <w:color w:val="auto"/>
          <w:spacing w:val="1"/>
          <w:sz w:val="24"/>
          <w:szCs w:val="24"/>
          <w:highlight w:val="none"/>
        </w:rPr>
        <w:t xml:space="preserve">     </w:t>
      </w:r>
      <w:r>
        <w:rPr>
          <w:color w:val="auto"/>
          <w:spacing w:val="-5"/>
          <w:sz w:val="24"/>
          <w:szCs w:val="24"/>
          <w:highlight w:val="none"/>
        </w:rPr>
        <w:t>传真</w:t>
      </w:r>
      <w:r>
        <w:rPr>
          <w:color w:val="auto"/>
          <w:sz w:val="24"/>
          <w:szCs w:val="24"/>
          <w:highlight w:val="none"/>
          <w:u w:val="single" w:color="auto"/>
        </w:rPr>
        <w:tab/>
      </w:r>
    </w:p>
    <w:p w14:paraId="7DB3A9F1">
      <w:pPr>
        <w:pStyle w:val="2"/>
        <w:tabs>
          <w:tab w:val="left" w:pos="8340"/>
        </w:tabs>
        <w:spacing w:before="114" w:line="299" w:lineRule="auto"/>
        <w:ind w:left="578" w:right="228"/>
        <w:jc w:val="both"/>
        <w:rPr>
          <w:color w:val="auto"/>
          <w:sz w:val="24"/>
          <w:szCs w:val="24"/>
          <w:highlight w:val="none"/>
        </w:rPr>
      </w:pPr>
      <w:r>
        <w:rPr>
          <w:color w:val="auto"/>
          <w:spacing w:val="-8"/>
          <w:sz w:val="24"/>
          <w:szCs w:val="24"/>
          <w:highlight w:val="none"/>
        </w:rPr>
        <w:t>电话</w:t>
      </w:r>
      <w:r>
        <w:rPr>
          <w:color w:val="auto"/>
          <w:sz w:val="24"/>
          <w:szCs w:val="24"/>
          <w:highlight w:val="none"/>
          <w:u w:val="single" w:color="auto"/>
        </w:rPr>
        <w:t xml:space="preserve">                         </w:t>
      </w:r>
      <w:r>
        <w:rPr>
          <w:color w:val="auto"/>
          <w:spacing w:val="7"/>
          <w:sz w:val="24"/>
          <w:szCs w:val="24"/>
          <w:highlight w:val="none"/>
        </w:rPr>
        <w:t xml:space="preserve">     </w:t>
      </w:r>
      <w:r>
        <w:rPr>
          <w:color w:val="auto"/>
          <w:spacing w:val="-8"/>
          <w:sz w:val="24"/>
          <w:szCs w:val="24"/>
          <w:highlight w:val="none"/>
        </w:rPr>
        <w:t>电子函件</w:t>
      </w:r>
      <w:r>
        <w:rPr>
          <w:color w:val="auto"/>
          <w:sz w:val="24"/>
          <w:szCs w:val="24"/>
          <w:highlight w:val="none"/>
          <w:u w:val="single" w:color="auto"/>
        </w:rPr>
        <w:tab/>
      </w:r>
      <w:r>
        <w:rPr>
          <w:color w:val="auto"/>
          <w:sz w:val="24"/>
          <w:szCs w:val="24"/>
          <w:highlight w:val="none"/>
        </w:rPr>
        <w:t xml:space="preserve"> </w:t>
      </w:r>
    </w:p>
    <w:p w14:paraId="26E74ABA">
      <w:pPr>
        <w:pStyle w:val="2"/>
        <w:tabs>
          <w:tab w:val="left" w:pos="8340"/>
        </w:tabs>
        <w:spacing w:before="114" w:line="299" w:lineRule="auto"/>
        <w:ind w:left="578" w:right="228"/>
        <w:jc w:val="both"/>
        <w:rPr>
          <w:color w:val="auto"/>
          <w:sz w:val="24"/>
          <w:szCs w:val="24"/>
          <w:highlight w:val="none"/>
        </w:rPr>
      </w:pPr>
      <w:r>
        <w:rPr>
          <w:color w:val="auto"/>
          <w:spacing w:val="-2"/>
          <w:sz w:val="24"/>
          <w:szCs w:val="24"/>
          <w:highlight w:val="none"/>
        </w:rPr>
        <w:t>法定代表人（签/章）</w:t>
      </w:r>
      <w:r>
        <w:rPr>
          <w:color w:val="auto"/>
          <w:sz w:val="24"/>
          <w:szCs w:val="24"/>
          <w:highlight w:val="none"/>
          <w:u w:val="single" w:color="auto"/>
        </w:rPr>
        <w:t xml:space="preserve">               </w:t>
      </w:r>
    </w:p>
    <w:p w14:paraId="1045B76C">
      <w:pPr>
        <w:pStyle w:val="2"/>
        <w:spacing w:before="36" w:line="219" w:lineRule="auto"/>
        <w:ind w:left="578"/>
        <w:rPr>
          <w:color w:val="auto"/>
          <w:sz w:val="24"/>
          <w:szCs w:val="24"/>
          <w:highlight w:val="none"/>
        </w:rPr>
      </w:pPr>
      <w:r>
        <w:rPr>
          <w:color w:val="auto"/>
          <w:spacing w:val="-2"/>
          <w:sz w:val="24"/>
          <w:szCs w:val="24"/>
          <w:highlight w:val="none"/>
        </w:rPr>
        <w:t>供应商名称（公章）</w:t>
      </w:r>
      <w:r>
        <w:rPr>
          <w:color w:val="auto"/>
          <w:sz w:val="24"/>
          <w:szCs w:val="24"/>
          <w:highlight w:val="none"/>
          <w:u w:val="single" w:color="auto"/>
        </w:rPr>
        <w:t xml:space="preserve">                </w:t>
      </w:r>
    </w:p>
    <w:p w14:paraId="129FA1A6">
      <w:pPr>
        <w:pStyle w:val="2"/>
        <w:spacing w:before="115" w:line="299" w:lineRule="auto"/>
        <w:ind w:left="578" w:right="3800"/>
        <w:rPr>
          <w:color w:val="auto"/>
          <w:spacing w:val="13"/>
          <w:sz w:val="24"/>
          <w:szCs w:val="24"/>
          <w:highlight w:val="none"/>
        </w:rPr>
      </w:pPr>
      <w:r>
        <w:rPr>
          <w:color w:val="auto"/>
          <w:spacing w:val="-1"/>
          <w:sz w:val="24"/>
          <w:szCs w:val="24"/>
          <w:highlight w:val="none"/>
        </w:rPr>
        <w:t>供应商开户银行（全称）</w:t>
      </w:r>
      <w:r>
        <w:rPr>
          <w:color w:val="auto"/>
          <w:spacing w:val="-1"/>
          <w:sz w:val="24"/>
          <w:szCs w:val="24"/>
          <w:highlight w:val="none"/>
          <w:u w:val="single" w:color="auto"/>
        </w:rPr>
        <w:t xml:space="preserve">             </w:t>
      </w:r>
      <w:r>
        <w:rPr>
          <w:color w:val="auto"/>
          <w:spacing w:val="13"/>
          <w:sz w:val="24"/>
          <w:szCs w:val="24"/>
          <w:highlight w:val="none"/>
        </w:rPr>
        <w:t xml:space="preserve"> </w:t>
      </w:r>
    </w:p>
    <w:p w14:paraId="6CE9352D">
      <w:pPr>
        <w:pStyle w:val="2"/>
        <w:spacing w:before="115" w:line="299" w:lineRule="auto"/>
        <w:ind w:left="578" w:right="3800"/>
        <w:rPr>
          <w:color w:val="auto"/>
          <w:spacing w:val="-1"/>
          <w:sz w:val="24"/>
          <w:szCs w:val="24"/>
          <w:highlight w:val="none"/>
          <w:u w:val="single" w:color="auto"/>
        </w:rPr>
      </w:pPr>
      <w:r>
        <w:rPr>
          <w:color w:val="auto"/>
          <w:spacing w:val="-1"/>
          <w:sz w:val="24"/>
          <w:szCs w:val="24"/>
          <w:highlight w:val="none"/>
        </w:rPr>
        <w:t>供应商银行帐号</w:t>
      </w:r>
      <w:r>
        <w:rPr>
          <w:color w:val="auto"/>
          <w:spacing w:val="-1"/>
          <w:sz w:val="24"/>
          <w:szCs w:val="24"/>
          <w:highlight w:val="none"/>
          <w:u w:val="single" w:color="auto"/>
        </w:rPr>
        <w:t xml:space="preserve">                     </w:t>
      </w:r>
    </w:p>
    <w:p w14:paraId="31E2DC85">
      <w:pPr>
        <w:pStyle w:val="2"/>
        <w:spacing w:before="115" w:line="299" w:lineRule="auto"/>
        <w:ind w:left="578" w:right="3800"/>
        <w:rPr>
          <w:color w:val="auto"/>
          <w:sz w:val="24"/>
          <w:szCs w:val="24"/>
          <w:highlight w:val="none"/>
        </w:rPr>
      </w:pPr>
      <w:r>
        <w:rPr>
          <w:color w:val="auto"/>
          <w:spacing w:val="-11"/>
          <w:sz w:val="24"/>
          <w:szCs w:val="24"/>
          <w:highlight w:val="none"/>
        </w:rPr>
        <w:t>日</w:t>
      </w:r>
      <w:r>
        <w:rPr>
          <w:color w:val="auto"/>
          <w:spacing w:val="12"/>
          <w:sz w:val="24"/>
          <w:szCs w:val="24"/>
          <w:highlight w:val="none"/>
        </w:rPr>
        <w:t xml:space="preserve"> </w:t>
      </w:r>
      <w:r>
        <w:rPr>
          <w:color w:val="auto"/>
          <w:spacing w:val="-11"/>
          <w:sz w:val="24"/>
          <w:szCs w:val="24"/>
          <w:highlight w:val="none"/>
        </w:rPr>
        <w:t>期</w:t>
      </w:r>
      <w:r>
        <w:rPr>
          <w:color w:val="auto"/>
          <w:sz w:val="24"/>
          <w:szCs w:val="24"/>
          <w:highlight w:val="none"/>
          <w:u w:val="single" w:color="auto"/>
        </w:rPr>
        <w:t xml:space="preserve">                </w:t>
      </w:r>
    </w:p>
    <w:p w14:paraId="23DF32BC">
      <w:pPr>
        <w:spacing w:line="260" w:lineRule="auto"/>
        <w:rPr>
          <w:rFonts w:ascii="Arial"/>
          <w:color w:val="auto"/>
          <w:sz w:val="21"/>
          <w:highlight w:val="none"/>
        </w:rPr>
      </w:pPr>
    </w:p>
    <w:p w14:paraId="7BD06B3F">
      <w:pPr>
        <w:spacing w:line="260" w:lineRule="auto"/>
        <w:rPr>
          <w:rFonts w:ascii="Arial"/>
          <w:color w:val="auto"/>
          <w:sz w:val="21"/>
          <w:highlight w:val="none"/>
        </w:rPr>
      </w:pPr>
    </w:p>
    <w:p w14:paraId="4C1DD186">
      <w:pPr>
        <w:spacing w:line="260" w:lineRule="auto"/>
        <w:rPr>
          <w:rFonts w:ascii="Arial"/>
          <w:color w:val="auto"/>
          <w:sz w:val="21"/>
          <w:highlight w:val="none"/>
        </w:rPr>
      </w:pPr>
    </w:p>
    <w:p w14:paraId="25A47B67">
      <w:pPr>
        <w:spacing w:line="260" w:lineRule="auto"/>
        <w:rPr>
          <w:rFonts w:ascii="Arial"/>
          <w:color w:val="auto"/>
          <w:sz w:val="21"/>
          <w:highlight w:val="none"/>
        </w:rPr>
      </w:pPr>
    </w:p>
    <w:p w14:paraId="4F15F339">
      <w:pPr>
        <w:spacing w:line="261" w:lineRule="auto"/>
        <w:rPr>
          <w:rFonts w:ascii="Arial"/>
          <w:color w:val="auto"/>
          <w:sz w:val="21"/>
          <w:highlight w:val="none"/>
        </w:rPr>
      </w:pPr>
    </w:p>
    <w:p w14:paraId="741FD60E">
      <w:pPr>
        <w:spacing w:line="261" w:lineRule="auto"/>
        <w:rPr>
          <w:rFonts w:ascii="Arial"/>
          <w:color w:val="auto"/>
          <w:sz w:val="21"/>
          <w:highlight w:val="none"/>
        </w:rPr>
      </w:pPr>
    </w:p>
    <w:p w14:paraId="0E13D005">
      <w:pPr>
        <w:spacing w:line="418" w:lineRule="auto"/>
        <w:rPr>
          <w:rFonts w:hint="eastAsia" w:eastAsia="宋体"/>
          <w:color w:val="auto"/>
          <w:spacing w:val="-3"/>
          <w:position w:val="-3"/>
          <w:sz w:val="18"/>
          <w:szCs w:val="18"/>
          <w:highlight w:val="none"/>
          <w:lang w:val="en-US" w:eastAsia="zh-CN"/>
        </w:rPr>
      </w:pPr>
    </w:p>
    <w:p w14:paraId="2EA0E0D4">
      <w:pPr>
        <w:spacing w:line="418" w:lineRule="auto"/>
        <w:rPr>
          <w:rFonts w:hint="eastAsia" w:eastAsia="宋体"/>
          <w:color w:val="auto"/>
          <w:spacing w:val="-3"/>
          <w:position w:val="-3"/>
          <w:sz w:val="18"/>
          <w:szCs w:val="18"/>
          <w:highlight w:val="none"/>
          <w:lang w:val="en-US" w:eastAsia="zh-CN"/>
        </w:rPr>
      </w:pPr>
    </w:p>
    <w:p w14:paraId="24DAEBD0">
      <w:pPr>
        <w:pStyle w:val="2"/>
        <w:spacing w:before="78" w:line="218" w:lineRule="auto"/>
        <w:ind w:left="3256"/>
        <w:outlineLvl w:val="3"/>
        <w:rPr>
          <w:color w:val="auto"/>
          <w:sz w:val="24"/>
          <w:szCs w:val="24"/>
          <w:highlight w:val="none"/>
        </w:rPr>
      </w:pPr>
      <w:r>
        <w:rPr>
          <w:b/>
          <w:bCs/>
          <w:color w:val="auto"/>
          <w:spacing w:val="-4"/>
          <w:sz w:val="24"/>
          <w:szCs w:val="24"/>
          <w:highlight w:val="none"/>
        </w:rPr>
        <w:t>2、磋商分项报价表</w:t>
      </w:r>
    </w:p>
    <w:p w14:paraId="595FB668">
      <w:pPr>
        <w:pStyle w:val="2"/>
        <w:spacing w:before="115" w:line="220" w:lineRule="auto"/>
        <w:ind w:left="665"/>
        <w:rPr>
          <w:color w:val="auto"/>
          <w:sz w:val="24"/>
          <w:szCs w:val="24"/>
          <w:highlight w:val="none"/>
        </w:rPr>
      </w:pPr>
      <w:r>
        <w:rPr>
          <w:color w:val="auto"/>
          <w:spacing w:val="-3"/>
          <w:sz w:val="24"/>
          <w:szCs w:val="24"/>
          <w:highlight w:val="none"/>
        </w:rPr>
        <w:t>项目名称:</w:t>
      </w:r>
      <w:r>
        <w:rPr>
          <w:color w:val="auto"/>
          <w:sz w:val="24"/>
          <w:szCs w:val="24"/>
          <w:highlight w:val="none"/>
        </w:rPr>
        <w:t xml:space="preserve">                      </w:t>
      </w:r>
      <w:r>
        <w:rPr>
          <w:color w:val="auto"/>
          <w:spacing w:val="-3"/>
          <w:sz w:val="24"/>
          <w:szCs w:val="24"/>
          <w:highlight w:val="none"/>
        </w:rPr>
        <w:t>项目编号:</w:t>
      </w:r>
    </w:p>
    <w:p w14:paraId="672CC7BE">
      <w:pPr>
        <w:pStyle w:val="2"/>
        <w:spacing w:before="114" w:line="218" w:lineRule="auto"/>
        <w:ind w:left="660"/>
        <w:rPr>
          <w:color w:val="auto"/>
          <w:sz w:val="24"/>
          <w:szCs w:val="24"/>
          <w:highlight w:val="none"/>
        </w:rPr>
      </w:pPr>
      <w:r>
        <w:rPr>
          <w:color w:val="auto"/>
          <w:spacing w:val="-1"/>
          <w:sz w:val="24"/>
          <w:szCs w:val="24"/>
          <w:highlight w:val="none"/>
        </w:rPr>
        <w:t xml:space="preserve">报价单位：人民币 </w:t>
      </w:r>
      <w:r>
        <w:rPr>
          <w:b/>
          <w:bCs/>
          <w:color w:val="auto"/>
          <w:spacing w:val="-1"/>
          <w:sz w:val="24"/>
          <w:szCs w:val="24"/>
          <w:highlight w:val="none"/>
        </w:rPr>
        <w:t>元</w:t>
      </w:r>
      <w:r>
        <w:rPr>
          <w:color w:val="auto"/>
          <w:spacing w:val="-1"/>
          <w:sz w:val="24"/>
          <w:szCs w:val="24"/>
          <w:highlight w:val="none"/>
        </w:rPr>
        <w:t xml:space="preserve">           标项号</w:t>
      </w:r>
      <w:r>
        <w:rPr>
          <w:color w:val="auto"/>
          <w:spacing w:val="2"/>
          <w:sz w:val="24"/>
          <w:szCs w:val="24"/>
          <w:highlight w:val="none"/>
        </w:rPr>
        <w:t>：（</w:t>
      </w:r>
      <w:r>
        <w:rPr>
          <w:color w:val="auto"/>
          <w:spacing w:val="-1"/>
          <w:sz w:val="24"/>
          <w:szCs w:val="24"/>
          <w:highlight w:val="none"/>
        </w:rPr>
        <w:t>如有）</w:t>
      </w:r>
    </w:p>
    <w:p w14:paraId="5239191F">
      <w:pPr>
        <w:spacing w:line="36" w:lineRule="auto"/>
        <w:rPr>
          <w:rFonts w:ascii="Arial"/>
          <w:color w:val="auto"/>
          <w:sz w:val="2"/>
          <w:highlight w:val="none"/>
        </w:rPr>
      </w:pPr>
    </w:p>
    <w:tbl>
      <w:tblPr>
        <w:tblStyle w:val="13"/>
        <w:tblW w:w="85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150"/>
        <w:gridCol w:w="1031"/>
        <w:gridCol w:w="1031"/>
        <w:gridCol w:w="1031"/>
        <w:gridCol w:w="1031"/>
        <w:gridCol w:w="646"/>
        <w:gridCol w:w="656"/>
        <w:gridCol w:w="646"/>
        <w:gridCol w:w="656"/>
      </w:tblGrid>
      <w:tr w14:paraId="27BB5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650" w:type="dxa"/>
            <w:tcBorders>
              <w:bottom w:val="nil"/>
            </w:tcBorders>
            <w:vAlign w:val="top"/>
          </w:tcPr>
          <w:p w14:paraId="49D234E1">
            <w:pPr>
              <w:spacing w:before="226" w:line="221" w:lineRule="auto"/>
              <w:ind w:left="206"/>
              <w:rPr>
                <w:rFonts w:ascii="宋体" w:hAnsi="宋体" w:eastAsia="宋体" w:cs="宋体"/>
                <w:color w:val="auto"/>
                <w:sz w:val="24"/>
                <w:szCs w:val="24"/>
                <w:highlight w:val="none"/>
              </w:rPr>
            </w:pPr>
            <w:r>
              <w:rPr>
                <w:rFonts w:ascii="宋体" w:hAnsi="宋体" w:eastAsia="宋体" w:cs="宋体"/>
                <w:color w:val="auto"/>
                <w:sz w:val="24"/>
                <w:szCs w:val="24"/>
                <w:highlight w:val="none"/>
              </w:rPr>
              <w:t>序号</w:t>
            </w:r>
          </w:p>
        </w:tc>
        <w:tc>
          <w:tcPr>
            <w:tcW w:w="1150" w:type="dxa"/>
            <w:tcBorders>
              <w:bottom w:val="nil"/>
            </w:tcBorders>
            <w:vAlign w:val="top"/>
          </w:tcPr>
          <w:p w14:paraId="7960FF1A">
            <w:pPr>
              <w:spacing w:before="225" w:line="220" w:lineRule="auto"/>
              <w:ind w:left="2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服务名</w:t>
            </w:r>
            <w:r>
              <w:rPr>
                <w:rFonts w:ascii="宋体" w:hAnsi="宋体" w:eastAsia="宋体" w:cs="宋体"/>
                <w:color w:val="auto"/>
                <w:sz w:val="24"/>
                <w:szCs w:val="24"/>
                <w:highlight w:val="none"/>
              </w:rPr>
              <w:t>称</w:t>
            </w:r>
          </w:p>
        </w:tc>
        <w:tc>
          <w:tcPr>
            <w:tcW w:w="1031" w:type="dxa"/>
            <w:tcBorders>
              <w:bottom w:val="nil"/>
            </w:tcBorders>
            <w:vAlign w:val="top"/>
          </w:tcPr>
          <w:p w14:paraId="32A6C356">
            <w:pPr>
              <w:spacing w:before="225" w:line="220" w:lineRule="auto"/>
              <w:ind w:left="15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服务范</w:t>
            </w:r>
            <w:r>
              <w:rPr>
                <w:rFonts w:ascii="宋体" w:hAnsi="宋体" w:eastAsia="宋体" w:cs="宋体"/>
                <w:color w:val="auto"/>
                <w:sz w:val="24"/>
                <w:szCs w:val="24"/>
                <w:highlight w:val="none"/>
              </w:rPr>
              <w:t>围</w:t>
            </w:r>
          </w:p>
        </w:tc>
        <w:tc>
          <w:tcPr>
            <w:tcW w:w="1031" w:type="dxa"/>
            <w:tcBorders>
              <w:bottom w:val="nil"/>
            </w:tcBorders>
            <w:vAlign w:val="top"/>
          </w:tcPr>
          <w:p w14:paraId="37396A4C">
            <w:pPr>
              <w:spacing w:before="225" w:line="220" w:lineRule="auto"/>
              <w:ind w:left="15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服务要</w:t>
            </w:r>
            <w:r>
              <w:rPr>
                <w:rFonts w:ascii="宋体" w:hAnsi="宋体" w:eastAsia="宋体" w:cs="宋体"/>
                <w:color w:val="auto"/>
                <w:sz w:val="24"/>
                <w:szCs w:val="24"/>
                <w:highlight w:val="none"/>
              </w:rPr>
              <w:t>求</w:t>
            </w:r>
          </w:p>
        </w:tc>
        <w:tc>
          <w:tcPr>
            <w:tcW w:w="1031" w:type="dxa"/>
            <w:tcBorders>
              <w:bottom w:val="nil"/>
            </w:tcBorders>
            <w:vAlign w:val="top"/>
          </w:tcPr>
          <w:p w14:paraId="00638D0E">
            <w:pPr>
              <w:spacing w:before="225" w:line="220" w:lineRule="auto"/>
              <w:ind w:left="15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服务时</w:t>
            </w:r>
            <w:r>
              <w:rPr>
                <w:rFonts w:ascii="宋体" w:hAnsi="宋体" w:eastAsia="宋体" w:cs="宋体"/>
                <w:color w:val="auto"/>
                <w:sz w:val="24"/>
                <w:szCs w:val="24"/>
                <w:highlight w:val="none"/>
              </w:rPr>
              <w:t>间</w:t>
            </w:r>
          </w:p>
        </w:tc>
        <w:tc>
          <w:tcPr>
            <w:tcW w:w="1031" w:type="dxa"/>
            <w:tcBorders>
              <w:bottom w:val="nil"/>
            </w:tcBorders>
            <w:vAlign w:val="top"/>
          </w:tcPr>
          <w:p w14:paraId="3643B695">
            <w:pPr>
              <w:spacing w:before="225" w:line="220" w:lineRule="auto"/>
              <w:ind w:left="16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服务标</w:t>
            </w:r>
            <w:r>
              <w:rPr>
                <w:rFonts w:ascii="宋体" w:hAnsi="宋体" w:eastAsia="宋体" w:cs="宋体"/>
                <w:color w:val="auto"/>
                <w:sz w:val="24"/>
                <w:szCs w:val="24"/>
                <w:highlight w:val="none"/>
              </w:rPr>
              <w:t>准</w:t>
            </w:r>
          </w:p>
        </w:tc>
        <w:tc>
          <w:tcPr>
            <w:tcW w:w="646" w:type="dxa"/>
            <w:tcBorders>
              <w:bottom w:val="nil"/>
            </w:tcBorders>
            <w:vAlign w:val="top"/>
          </w:tcPr>
          <w:p w14:paraId="1390EF54">
            <w:pPr>
              <w:spacing w:before="225" w:line="220" w:lineRule="auto"/>
              <w:ind w:left="210"/>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656" w:type="dxa"/>
            <w:tcBorders>
              <w:bottom w:val="nil"/>
            </w:tcBorders>
            <w:vAlign w:val="top"/>
          </w:tcPr>
          <w:p w14:paraId="28406578">
            <w:pPr>
              <w:spacing w:before="226" w:line="220" w:lineRule="auto"/>
              <w:ind w:left="216"/>
              <w:rPr>
                <w:rFonts w:ascii="宋体" w:hAnsi="宋体" w:eastAsia="宋体" w:cs="宋体"/>
                <w:color w:val="auto"/>
                <w:sz w:val="24"/>
                <w:szCs w:val="24"/>
                <w:highlight w:val="none"/>
              </w:rPr>
            </w:pPr>
            <w:r>
              <w:rPr>
                <w:rFonts w:ascii="宋体" w:hAnsi="宋体" w:eastAsia="宋体" w:cs="宋体"/>
                <w:color w:val="auto"/>
                <w:sz w:val="24"/>
                <w:szCs w:val="24"/>
                <w:highlight w:val="none"/>
              </w:rPr>
              <w:t>单价</w:t>
            </w:r>
          </w:p>
        </w:tc>
        <w:tc>
          <w:tcPr>
            <w:tcW w:w="646" w:type="dxa"/>
            <w:tcBorders>
              <w:bottom w:val="nil"/>
            </w:tcBorders>
            <w:vAlign w:val="top"/>
          </w:tcPr>
          <w:p w14:paraId="31C03883">
            <w:pPr>
              <w:spacing w:before="226" w:line="229" w:lineRule="auto"/>
              <w:ind w:left="217"/>
              <w:rPr>
                <w:rFonts w:ascii="宋体" w:hAnsi="宋体" w:eastAsia="宋体" w:cs="宋体"/>
                <w:color w:val="auto"/>
                <w:sz w:val="24"/>
                <w:szCs w:val="24"/>
                <w:highlight w:val="none"/>
              </w:rPr>
            </w:pPr>
            <w:r>
              <w:rPr>
                <w:rFonts w:ascii="宋体" w:hAnsi="宋体" w:eastAsia="宋体" w:cs="宋体"/>
                <w:color w:val="auto"/>
                <w:sz w:val="24"/>
                <w:szCs w:val="24"/>
                <w:highlight w:val="none"/>
              </w:rPr>
              <w:t>总价</w:t>
            </w:r>
          </w:p>
        </w:tc>
        <w:tc>
          <w:tcPr>
            <w:tcW w:w="656" w:type="dxa"/>
            <w:tcBorders>
              <w:bottom w:val="nil"/>
            </w:tcBorders>
            <w:vAlign w:val="top"/>
          </w:tcPr>
          <w:p w14:paraId="6DA8321C">
            <w:pPr>
              <w:spacing w:before="226" w:line="221" w:lineRule="auto"/>
              <w:ind w:left="217"/>
              <w:rPr>
                <w:rFonts w:ascii="宋体" w:hAnsi="宋体" w:eastAsia="宋体" w:cs="宋体"/>
                <w:color w:val="auto"/>
                <w:sz w:val="24"/>
                <w:szCs w:val="24"/>
                <w:highlight w:val="none"/>
              </w:rPr>
            </w:pPr>
            <w:r>
              <w:rPr>
                <w:rFonts w:ascii="宋体" w:hAnsi="宋体" w:eastAsia="宋体" w:cs="宋体"/>
                <w:color w:val="auto"/>
                <w:sz w:val="24"/>
                <w:szCs w:val="24"/>
                <w:highlight w:val="none"/>
              </w:rPr>
              <w:t>备注</w:t>
            </w:r>
          </w:p>
        </w:tc>
      </w:tr>
      <w:tr w14:paraId="5BD42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50" w:type="dxa"/>
            <w:vAlign w:val="top"/>
          </w:tcPr>
          <w:p w14:paraId="1EA7DB2C">
            <w:pPr>
              <w:spacing w:before="176" w:line="182" w:lineRule="auto"/>
              <w:ind w:left="285"/>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150" w:type="dxa"/>
            <w:vAlign w:val="top"/>
          </w:tcPr>
          <w:p w14:paraId="3A5BC5B4">
            <w:pPr>
              <w:pStyle w:val="14"/>
              <w:rPr>
                <w:color w:val="auto"/>
                <w:highlight w:val="none"/>
              </w:rPr>
            </w:pPr>
          </w:p>
        </w:tc>
        <w:tc>
          <w:tcPr>
            <w:tcW w:w="1031" w:type="dxa"/>
            <w:vAlign w:val="top"/>
          </w:tcPr>
          <w:p w14:paraId="15227A38">
            <w:pPr>
              <w:pStyle w:val="14"/>
              <w:rPr>
                <w:color w:val="auto"/>
                <w:highlight w:val="none"/>
              </w:rPr>
            </w:pPr>
          </w:p>
        </w:tc>
        <w:tc>
          <w:tcPr>
            <w:tcW w:w="1031" w:type="dxa"/>
            <w:vAlign w:val="top"/>
          </w:tcPr>
          <w:p w14:paraId="1C6868F3">
            <w:pPr>
              <w:pStyle w:val="14"/>
              <w:rPr>
                <w:color w:val="auto"/>
                <w:highlight w:val="none"/>
              </w:rPr>
            </w:pPr>
          </w:p>
        </w:tc>
        <w:tc>
          <w:tcPr>
            <w:tcW w:w="1031" w:type="dxa"/>
            <w:vAlign w:val="top"/>
          </w:tcPr>
          <w:p w14:paraId="21D493A9">
            <w:pPr>
              <w:pStyle w:val="14"/>
              <w:rPr>
                <w:color w:val="auto"/>
                <w:highlight w:val="none"/>
              </w:rPr>
            </w:pPr>
          </w:p>
        </w:tc>
        <w:tc>
          <w:tcPr>
            <w:tcW w:w="1031" w:type="dxa"/>
            <w:vAlign w:val="top"/>
          </w:tcPr>
          <w:p w14:paraId="2AAE1F39">
            <w:pPr>
              <w:pStyle w:val="14"/>
              <w:rPr>
                <w:color w:val="auto"/>
                <w:highlight w:val="none"/>
              </w:rPr>
            </w:pPr>
          </w:p>
        </w:tc>
        <w:tc>
          <w:tcPr>
            <w:tcW w:w="646" w:type="dxa"/>
            <w:vAlign w:val="top"/>
          </w:tcPr>
          <w:p w14:paraId="44D48594">
            <w:pPr>
              <w:pStyle w:val="14"/>
              <w:rPr>
                <w:color w:val="auto"/>
                <w:highlight w:val="none"/>
              </w:rPr>
            </w:pPr>
          </w:p>
        </w:tc>
        <w:tc>
          <w:tcPr>
            <w:tcW w:w="656" w:type="dxa"/>
            <w:vAlign w:val="top"/>
          </w:tcPr>
          <w:p w14:paraId="60109336">
            <w:pPr>
              <w:pStyle w:val="14"/>
              <w:rPr>
                <w:color w:val="auto"/>
                <w:highlight w:val="none"/>
              </w:rPr>
            </w:pPr>
          </w:p>
        </w:tc>
        <w:tc>
          <w:tcPr>
            <w:tcW w:w="646" w:type="dxa"/>
            <w:vAlign w:val="top"/>
          </w:tcPr>
          <w:p w14:paraId="73072A6C">
            <w:pPr>
              <w:pStyle w:val="14"/>
              <w:rPr>
                <w:color w:val="auto"/>
                <w:highlight w:val="none"/>
              </w:rPr>
            </w:pPr>
          </w:p>
        </w:tc>
        <w:tc>
          <w:tcPr>
            <w:tcW w:w="656" w:type="dxa"/>
            <w:vAlign w:val="top"/>
          </w:tcPr>
          <w:p w14:paraId="113E3F6E">
            <w:pPr>
              <w:pStyle w:val="14"/>
              <w:rPr>
                <w:color w:val="auto"/>
                <w:highlight w:val="none"/>
              </w:rPr>
            </w:pPr>
          </w:p>
        </w:tc>
      </w:tr>
      <w:tr w14:paraId="28B12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0" w:hRule="atLeast"/>
        </w:trPr>
        <w:tc>
          <w:tcPr>
            <w:tcW w:w="650" w:type="dxa"/>
            <w:vAlign w:val="top"/>
          </w:tcPr>
          <w:p w14:paraId="3320817F">
            <w:pPr>
              <w:spacing w:before="179" w:line="181" w:lineRule="auto"/>
              <w:ind w:left="27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150" w:type="dxa"/>
            <w:vAlign w:val="top"/>
          </w:tcPr>
          <w:p w14:paraId="42C982CA">
            <w:pPr>
              <w:pStyle w:val="14"/>
              <w:rPr>
                <w:color w:val="auto"/>
                <w:highlight w:val="none"/>
              </w:rPr>
            </w:pPr>
          </w:p>
        </w:tc>
        <w:tc>
          <w:tcPr>
            <w:tcW w:w="1031" w:type="dxa"/>
            <w:vAlign w:val="top"/>
          </w:tcPr>
          <w:p w14:paraId="57BD45FD">
            <w:pPr>
              <w:pStyle w:val="14"/>
              <w:rPr>
                <w:color w:val="auto"/>
                <w:highlight w:val="none"/>
              </w:rPr>
            </w:pPr>
          </w:p>
        </w:tc>
        <w:tc>
          <w:tcPr>
            <w:tcW w:w="1031" w:type="dxa"/>
            <w:vAlign w:val="top"/>
          </w:tcPr>
          <w:p w14:paraId="21E55864">
            <w:pPr>
              <w:pStyle w:val="14"/>
              <w:rPr>
                <w:color w:val="auto"/>
                <w:highlight w:val="none"/>
              </w:rPr>
            </w:pPr>
          </w:p>
        </w:tc>
        <w:tc>
          <w:tcPr>
            <w:tcW w:w="1031" w:type="dxa"/>
            <w:vAlign w:val="top"/>
          </w:tcPr>
          <w:p w14:paraId="10784012">
            <w:pPr>
              <w:pStyle w:val="14"/>
              <w:rPr>
                <w:color w:val="auto"/>
                <w:highlight w:val="none"/>
              </w:rPr>
            </w:pPr>
          </w:p>
        </w:tc>
        <w:tc>
          <w:tcPr>
            <w:tcW w:w="1031" w:type="dxa"/>
            <w:vAlign w:val="top"/>
          </w:tcPr>
          <w:p w14:paraId="496AECBD">
            <w:pPr>
              <w:pStyle w:val="14"/>
              <w:rPr>
                <w:color w:val="auto"/>
                <w:highlight w:val="none"/>
              </w:rPr>
            </w:pPr>
          </w:p>
        </w:tc>
        <w:tc>
          <w:tcPr>
            <w:tcW w:w="646" w:type="dxa"/>
            <w:vAlign w:val="top"/>
          </w:tcPr>
          <w:p w14:paraId="5CD81ED7">
            <w:pPr>
              <w:pStyle w:val="14"/>
              <w:rPr>
                <w:color w:val="auto"/>
                <w:highlight w:val="none"/>
              </w:rPr>
            </w:pPr>
          </w:p>
        </w:tc>
        <w:tc>
          <w:tcPr>
            <w:tcW w:w="656" w:type="dxa"/>
            <w:vAlign w:val="top"/>
          </w:tcPr>
          <w:p w14:paraId="08ADD7D8">
            <w:pPr>
              <w:pStyle w:val="14"/>
              <w:rPr>
                <w:color w:val="auto"/>
                <w:highlight w:val="none"/>
              </w:rPr>
            </w:pPr>
          </w:p>
        </w:tc>
        <w:tc>
          <w:tcPr>
            <w:tcW w:w="646" w:type="dxa"/>
            <w:vAlign w:val="top"/>
          </w:tcPr>
          <w:p w14:paraId="35BC6D64">
            <w:pPr>
              <w:pStyle w:val="14"/>
              <w:rPr>
                <w:color w:val="auto"/>
                <w:highlight w:val="none"/>
              </w:rPr>
            </w:pPr>
          </w:p>
        </w:tc>
        <w:tc>
          <w:tcPr>
            <w:tcW w:w="656" w:type="dxa"/>
            <w:vAlign w:val="top"/>
          </w:tcPr>
          <w:p w14:paraId="52A29976">
            <w:pPr>
              <w:pStyle w:val="14"/>
              <w:rPr>
                <w:color w:val="auto"/>
                <w:highlight w:val="none"/>
              </w:rPr>
            </w:pPr>
          </w:p>
        </w:tc>
      </w:tr>
      <w:tr w14:paraId="65381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50" w:type="dxa"/>
            <w:vAlign w:val="top"/>
          </w:tcPr>
          <w:p w14:paraId="6852B775">
            <w:pPr>
              <w:spacing w:before="180" w:line="181" w:lineRule="auto"/>
              <w:ind w:left="272"/>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150" w:type="dxa"/>
            <w:vAlign w:val="top"/>
          </w:tcPr>
          <w:p w14:paraId="156302E6">
            <w:pPr>
              <w:pStyle w:val="14"/>
              <w:rPr>
                <w:color w:val="auto"/>
                <w:highlight w:val="none"/>
              </w:rPr>
            </w:pPr>
          </w:p>
        </w:tc>
        <w:tc>
          <w:tcPr>
            <w:tcW w:w="1031" w:type="dxa"/>
            <w:vAlign w:val="top"/>
          </w:tcPr>
          <w:p w14:paraId="3B761C0A">
            <w:pPr>
              <w:pStyle w:val="14"/>
              <w:rPr>
                <w:color w:val="auto"/>
                <w:highlight w:val="none"/>
              </w:rPr>
            </w:pPr>
          </w:p>
        </w:tc>
        <w:tc>
          <w:tcPr>
            <w:tcW w:w="1031" w:type="dxa"/>
            <w:vAlign w:val="top"/>
          </w:tcPr>
          <w:p w14:paraId="58C90774">
            <w:pPr>
              <w:pStyle w:val="14"/>
              <w:rPr>
                <w:color w:val="auto"/>
                <w:highlight w:val="none"/>
              </w:rPr>
            </w:pPr>
          </w:p>
        </w:tc>
        <w:tc>
          <w:tcPr>
            <w:tcW w:w="1031" w:type="dxa"/>
            <w:vAlign w:val="top"/>
          </w:tcPr>
          <w:p w14:paraId="0520EB3B">
            <w:pPr>
              <w:pStyle w:val="14"/>
              <w:rPr>
                <w:color w:val="auto"/>
                <w:highlight w:val="none"/>
              </w:rPr>
            </w:pPr>
          </w:p>
        </w:tc>
        <w:tc>
          <w:tcPr>
            <w:tcW w:w="1031" w:type="dxa"/>
            <w:vAlign w:val="top"/>
          </w:tcPr>
          <w:p w14:paraId="1D7323CF">
            <w:pPr>
              <w:pStyle w:val="14"/>
              <w:rPr>
                <w:color w:val="auto"/>
                <w:highlight w:val="none"/>
              </w:rPr>
            </w:pPr>
          </w:p>
        </w:tc>
        <w:tc>
          <w:tcPr>
            <w:tcW w:w="646" w:type="dxa"/>
            <w:vAlign w:val="top"/>
          </w:tcPr>
          <w:p w14:paraId="58744C2E">
            <w:pPr>
              <w:pStyle w:val="14"/>
              <w:rPr>
                <w:color w:val="auto"/>
                <w:highlight w:val="none"/>
              </w:rPr>
            </w:pPr>
          </w:p>
        </w:tc>
        <w:tc>
          <w:tcPr>
            <w:tcW w:w="656" w:type="dxa"/>
            <w:vAlign w:val="top"/>
          </w:tcPr>
          <w:p w14:paraId="0619F822">
            <w:pPr>
              <w:pStyle w:val="14"/>
              <w:rPr>
                <w:color w:val="auto"/>
                <w:highlight w:val="none"/>
              </w:rPr>
            </w:pPr>
          </w:p>
        </w:tc>
        <w:tc>
          <w:tcPr>
            <w:tcW w:w="646" w:type="dxa"/>
            <w:vAlign w:val="top"/>
          </w:tcPr>
          <w:p w14:paraId="17DF84D4">
            <w:pPr>
              <w:pStyle w:val="14"/>
              <w:rPr>
                <w:color w:val="auto"/>
                <w:highlight w:val="none"/>
              </w:rPr>
            </w:pPr>
          </w:p>
        </w:tc>
        <w:tc>
          <w:tcPr>
            <w:tcW w:w="656" w:type="dxa"/>
            <w:vAlign w:val="top"/>
          </w:tcPr>
          <w:p w14:paraId="7B610F04">
            <w:pPr>
              <w:pStyle w:val="14"/>
              <w:rPr>
                <w:color w:val="auto"/>
                <w:highlight w:val="none"/>
              </w:rPr>
            </w:pPr>
          </w:p>
        </w:tc>
      </w:tr>
      <w:tr w14:paraId="73232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9" w:hRule="atLeast"/>
        </w:trPr>
        <w:tc>
          <w:tcPr>
            <w:tcW w:w="650" w:type="dxa"/>
            <w:vAlign w:val="top"/>
          </w:tcPr>
          <w:p w14:paraId="0F78FD75">
            <w:pPr>
              <w:spacing w:before="191" w:line="181" w:lineRule="auto"/>
              <w:ind w:left="266"/>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150" w:type="dxa"/>
            <w:vAlign w:val="top"/>
          </w:tcPr>
          <w:p w14:paraId="5B0237FA">
            <w:pPr>
              <w:pStyle w:val="14"/>
              <w:spacing w:line="248" w:lineRule="auto"/>
              <w:rPr>
                <w:color w:val="auto"/>
                <w:highlight w:val="none"/>
              </w:rPr>
            </w:pPr>
          </w:p>
          <w:p w14:paraId="525A17C9">
            <w:pPr>
              <w:spacing w:before="78" w:line="98" w:lineRule="exact"/>
              <w:ind w:left="162"/>
              <w:rPr>
                <w:rFonts w:ascii="宋体" w:hAnsi="宋体" w:eastAsia="宋体" w:cs="宋体"/>
                <w:color w:val="auto"/>
                <w:sz w:val="24"/>
                <w:szCs w:val="24"/>
                <w:highlight w:val="none"/>
              </w:rPr>
            </w:pPr>
            <w:r>
              <w:rPr>
                <w:rFonts w:ascii="宋体" w:hAnsi="宋体" w:eastAsia="宋体" w:cs="宋体"/>
                <w:color w:val="auto"/>
                <w:spacing w:val="-2"/>
                <w:position w:val="-2"/>
                <w:sz w:val="24"/>
                <w:szCs w:val="24"/>
                <w:highlight w:val="none"/>
              </w:rPr>
              <w:t>.......</w:t>
            </w:r>
          </w:p>
        </w:tc>
        <w:tc>
          <w:tcPr>
            <w:tcW w:w="1031" w:type="dxa"/>
            <w:vAlign w:val="top"/>
          </w:tcPr>
          <w:p w14:paraId="05259643">
            <w:pPr>
              <w:pStyle w:val="14"/>
              <w:rPr>
                <w:color w:val="auto"/>
                <w:highlight w:val="none"/>
              </w:rPr>
            </w:pPr>
          </w:p>
        </w:tc>
        <w:tc>
          <w:tcPr>
            <w:tcW w:w="1031" w:type="dxa"/>
            <w:vAlign w:val="top"/>
          </w:tcPr>
          <w:p w14:paraId="0D0B0564">
            <w:pPr>
              <w:pStyle w:val="14"/>
              <w:rPr>
                <w:color w:val="auto"/>
                <w:highlight w:val="none"/>
              </w:rPr>
            </w:pPr>
          </w:p>
        </w:tc>
        <w:tc>
          <w:tcPr>
            <w:tcW w:w="1031" w:type="dxa"/>
            <w:vAlign w:val="top"/>
          </w:tcPr>
          <w:p w14:paraId="46B55EA3">
            <w:pPr>
              <w:pStyle w:val="14"/>
              <w:rPr>
                <w:color w:val="auto"/>
                <w:highlight w:val="none"/>
              </w:rPr>
            </w:pPr>
          </w:p>
        </w:tc>
        <w:tc>
          <w:tcPr>
            <w:tcW w:w="1031" w:type="dxa"/>
            <w:vAlign w:val="top"/>
          </w:tcPr>
          <w:p w14:paraId="4BAD0CA5">
            <w:pPr>
              <w:pStyle w:val="14"/>
              <w:rPr>
                <w:color w:val="auto"/>
                <w:highlight w:val="none"/>
              </w:rPr>
            </w:pPr>
          </w:p>
        </w:tc>
        <w:tc>
          <w:tcPr>
            <w:tcW w:w="646" w:type="dxa"/>
            <w:vAlign w:val="top"/>
          </w:tcPr>
          <w:p w14:paraId="4B2B1D89">
            <w:pPr>
              <w:pStyle w:val="14"/>
              <w:rPr>
                <w:color w:val="auto"/>
                <w:highlight w:val="none"/>
              </w:rPr>
            </w:pPr>
          </w:p>
        </w:tc>
        <w:tc>
          <w:tcPr>
            <w:tcW w:w="656" w:type="dxa"/>
            <w:vAlign w:val="top"/>
          </w:tcPr>
          <w:p w14:paraId="2A14426C">
            <w:pPr>
              <w:pStyle w:val="14"/>
              <w:rPr>
                <w:color w:val="auto"/>
                <w:highlight w:val="none"/>
              </w:rPr>
            </w:pPr>
          </w:p>
        </w:tc>
        <w:tc>
          <w:tcPr>
            <w:tcW w:w="646" w:type="dxa"/>
            <w:vAlign w:val="top"/>
          </w:tcPr>
          <w:p w14:paraId="1EFAFAB2">
            <w:pPr>
              <w:pStyle w:val="14"/>
              <w:rPr>
                <w:color w:val="auto"/>
                <w:highlight w:val="none"/>
              </w:rPr>
            </w:pPr>
          </w:p>
        </w:tc>
        <w:tc>
          <w:tcPr>
            <w:tcW w:w="656" w:type="dxa"/>
            <w:vAlign w:val="top"/>
          </w:tcPr>
          <w:p w14:paraId="6F3CB02E">
            <w:pPr>
              <w:pStyle w:val="14"/>
              <w:rPr>
                <w:color w:val="auto"/>
                <w:highlight w:val="none"/>
              </w:rPr>
            </w:pPr>
          </w:p>
        </w:tc>
      </w:tr>
      <w:tr w14:paraId="06A3F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4" w:hRule="atLeast"/>
        </w:trPr>
        <w:tc>
          <w:tcPr>
            <w:tcW w:w="7226" w:type="dxa"/>
            <w:gridSpan w:val="8"/>
            <w:vAlign w:val="top"/>
          </w:tcPr>
          <w:p w14:paraId="5718B383">
            <w:pPr>
              <w:spacing w:before="152" w:line="218" w:lineRule="auto"/>
              <w:ind w:left="302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总价（元）</w:t>
            </w:r>
          </w:p>
        </w:tc>
        <w:tc>
          <w:tcPr>
            <w:tcW w:w="1302" w:type="dxa"/>
            <w:gridSpan w:val="2"/>
            <w:vAlign w:val="top"/>
          </w:tcPr>
          <w:p w14:paraId="1A739632">
            <w:pPr>
              <w:pStyle w:val="14"/>
              <w:rPr>
                <w:color w:val="auto"/>
                <w:highlight w:val="none"/>
              </w:rPr>
            </w:pPr>
          </w:p>
        </w:tc>
      </w:tr>
    </w:tbl>
    <w:p w14:paraId="79EEA71B">
      <w:pPr>
        <w:spacing w:line="432" w:lineRule="auto"/>
        <w:rPr>
          <w:rFonts w:ascii="Arial"/>
          <w:color w:val="auto"/>
          <w:sz w:val="21"/>
          <w:highlight w:val="none"/>
        </w:rPr>
      </w:pPr>
    </w:p>
    <w:p w14:paraId="2F8530B2">
      <w:pPr>
        <w:pStyle w:val="2"/>
        <w:spacing w:before="79" w:line="219" w:lineRule="auto"/>
        <w:ind w:left="362"/>
        <w:rPr>
          <w:color w:val="auto"/>
          <w:sz w:val="24"/>
          <w:szCs w:val="24"/>
          <w:highlight w:val="none"/>
        </w:rPr>
      </w:pPr>
      <w:r>
        <w:rPr>
          <w:color w:val="auto"/>
          <w:spacing w:val="-1"/>
          <w:sz w:val="24"/>
          <w:szCs w:val="24"/>
          <w:highlight w:val="none"/>
        </w:rPr>
        <w:t>供应商名称（公章）：</w:t>
      </w:r>
      <w:r>
        <w:rPr>
          <w:color w:val="auto"/>
          <w:sz w:val="24"/>
          <w:szCs w:val="24"/>
          <w:highlight w:val="none"/>
          <w:u w:val="single" w:color="auto"/>
        </w:rPr>
        <w:t xml:space="preserve">                       </w:t>
      </w:r>
    </w:p>
    <w:p w14:paraId="137D03D2">
      <w:pPr>
        <w:pStyle w:val="2"/>
        <w:spacing w:before="114" w:line="295" w:lineRule="auto"/>
        <w:ind w:left="403" w:right="2785" w:hanging="40"/>
        <w:rPr>
          <w:color w:val="auto"/>
          <w:sz w:val="24"/>
          <w:szCs w:val="24"/>
          <w:highlight w:val="none"/>
        </w:rPr>
      </w:pPr>
      <w:r>
        <w:rPr>
          <w:color w:val="auto"/>
          <w:sz w:val="24"/>
          <w:szCs w:val="24"/>
          <w:highlight w:val="none"/>
        </w:rPr>
        <w:t>法定代表人(签/章):</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z w:val="24"/>
          <w:szCs w:val="24"/>
          <w:highlight w:val="none"/>
        </w:rPr>
        <w:t xml:space="preserve"> </w:t>
      </w:r>
    </w:p>
    <w:p w14:paraId="5BB283B6">
      <w:pPr>
        <w:pStyle w:val="2"/>
        <w:spacing w:before="114" w:line="295" w:lineRule="auto"/>
        <w:ind w:left="403" w:right="2785" w:hanging="40"/>
        <w:rPr>
          <w:color w:val="auto"/>
          <w:sz w:val="24"/>
          <w:szCs w:val="24"/>
          <w:highlight w:val="none"/>
        </w:rPr>
      </w:pPr>
      <w:r>
        <w:rPr>
          <w:color w:val="auto"/>
          <w:spacing w:val="-27"/>
          <w:sz w:val="24"/>
          <w:szCs w:val="24"/>
          <w:highlight w:val="none"/>
        </w:rPr>
        <w:t>日期</w:t>
      </w:r>
      <w:r>
        <w:rPr>
          <w:color w:val="auto"/>
          <w:spacing w:val="30"/>
          <w:sz w:val="24"/>
          <w:szCs w:val="24"/>
          <w:highlight w:val="none"/>
        </w:rPr>
        <w:t xml:space="preserve"> </w:t>
      </w:r>
      <w:r>
        <w:rPr>
          <w:color w:val="auto"/>
          <w:spacing w:val="-27"/>
          <w:sz w:val="24"/>
          <w:szCs w:val="24"/>
          <w:highlight w:val="none"/>
        </w:rPr>
        <w:t>：</w:t>
      </w:r>
      <w:r>
        <w:rPr>
          <w:color w:val="auto"/>
          <w:sz w:val="24"/>
          <w:szCs w:val="24"/>
          <w:highlight w:val="none"/>
          <w:u w:val="single" w:color="auto"/>
        </w:rPr>
        <w:t xml:space="preserve">                                </w:t>
      </w:r>
    </w:p>
    <w:p w14:paraId="23FC7EB4">
      <w:pPr>
        <w:spacing w:line="353" w:lineRule="auto"/>
        <w:rPr>
          <w:rFonts w:ascii="Arial"/>
          <w:color w:val="auto"/>
          <w:sz w:val="21"/>
          <w:highlight w:val="none"/>
        </w:rPr>
      </w:pPr>
    </w:p>
    <w:p w14:paraId="3757730B">
      <w:pPr>
        <w:pStyle w:val="2"/>
        <w:spacing w:before="79" w:line="224" w:lineRule="auto"/>
        <w:ind w:left="122"/>
        <w:rPr>
          <w:color w:val="auto"/>
          <w:sz w:val="24"/>
          <w:szCs w:val="24"/>
          <w:highlight w:val="none"/>
        </w:rPr>
      </w:pPr>
      <w:r>
        <w:rPr>
          <w:color w:val="auto"/>
          <w:spacing w:val="-4"/>
          <w:sz w:val="24"/>
          <w:szCs w:val="24"/>
          <w:highlight w:val="none"/>
        </w:rPr>
        <w:t>注:</w:t>
      </w:r>
    </w:p>
    <w:p w14:paraId="69D182EE">
      <w:pPr>
        <w:pStyle w:val="2"/>
        <w:spacing w:before="108" w:line="219" w:lineRule="auto"/>
        <w:ind w:left="140"/>
        <w:rPr>
          <w:color w:val="auto"/>
          <w:sz w:val="24"/>
          <w:szCs w:val="24"/>
          <w:highlight w:val="none"/>
        </w:rPr>
      </w:pPr>
      <w:r>
        <w:rPr>
          <w:color w:val="auto"/>
          <w:spacing w:val="-3"/>
          <w:sz w:val="24"/>
          <w:szCs w:val="24"/>
          <w:highlight w:val="none"/>
        </w:rPr>
        <w:t>1.如果供应商认为需要，每种服务填写一份该表。</w:t>
      </w:r>
    </w:p>
    <w:p w14:paraId="53D4301A">
      <w:pPr>
        <w:pStyle w:val="2"/>
        <w:spacing w:before="115" w:line="294" w:lineRule="auto"/>
        <w:ind w:left="126" w:right="1859" w:hanging="1"/>
        <w:rPr>
          <w:color w:val="auto"/>
          <w:spacing w:val="9"/>
          <w:sz w:val="24"/>
          <w:szCs w:val="24"/>
          <w:highlight w:val="none"/>
        </w:rPr>
      </w:pPr>
      <w:r>
        <w:rPr>
          <w:color w:val="auto"/>
          <w:spacing w:val="-2"/>
          <w:sz w:val="24"/>
          <w:szCs w:val="24"/>
          <w:highlight w:val="none"/>
        </w:rPr>
        <w:t>2.如果按单价计算的结果与总价不一致,以单价为准修正总价。</w:t>
      </w:r>
      <w:r>
        <w:rPr>
          <w:color w:val="auto"/>
          <w:spacing w:val="9"/>
          <w:sz w:val="24"/>
          <w:szCs w:val="24"/>
          <w:highlight w:val="none"/>
        </w:rPr>
        <w:t xml:space="preserve"> </w:t>
      </w:r>
    </w:p>
    <w:p w14:paraId="10569689">
      <w:pPr>
        <w:pStyle w:val="2"/>
        <w:spacing w:before="115" w:line="294" w:lineRule="auto"/>
        <w:ind w:left="126" w:right="1859" w:hanging="1"/>
        <w:rPr>
          <w:color w:val="auto"/>
          <w:sz w:val="24"/>
          <w:szCs w:val="24"/>
          <w:highlight w:val="none"/>
        </w:rPr>
      </w:pPr>
      <w:r>
        <w:rPr>
          <w:color w:val="auto"/>
          <w:spacing w:val="-2"/>
          <w:sz w:val="24"/>
          <w:szCs w:val="24"/>
          <w:highlight w:val="none"/>
        </w:rPr>
        <w:t>3.如果不提供详细分项报价将视为没有实质性响应磋商文件。</w:t>
      </w:r>
    </w:p>
    <w:p w14:paraId="7D7E5F8D">
      <w:pPr>
        <w:pStyle w:val="2"/>
        <w:spacing w:before="36" w:line="294" w:lineRule="auto"/>
        <w:ind w:left="551" w:right="113" w:hanging="430"/>
        <w:rPr>
          <w:color w:val="auto"/>
          <w:sz w:val="24"/>
          <w:szCs w:val="24"/>
          <w:highlight w:val="none"/>
        </w:rPr>
      </w:pPr>
      <w:r>
        <w:rPr>
          <w:color w:val="auto"/>
          <w:spacing w:val="-3"/>
          <w:sz w:val="24"/>
          <w:szCs w:val="24"/>
          <w:highlight w:val="none"/>
        </w:rPr>
        <w:t>4.如果磋商一览表（报价表）内容与响应文件中明细表内容不一致的，以磋商一</w:t>
      </w:r>
      <w:r>
        <w:rPr>
          <w:color w:val="auto"/>
          <w:spacing w:val="10"/>
          <w:sz w:val="24"/>
          <w:szCs w:val="24"/>
          <w:highlight w:val="none"/>
        </w:rPr>
        <w:t xml:space="preserve"> </w:t>
      </w:r>
      <w:r>
        <w:rPr>
          <w:color w:val="auto"/>
          <w:spacing w:val="-4"/>
          <w:sz w:val="24"/>
          <w:szCs w:val="24"/>
          <w:highlight w:val="none"/>
        </w:rPr>
        <w:t>览表（报价表）内容为准。</w:t>
      </w:r>
    </w:p>
    <w:p w14:paraId="3DC81067">
      <w:pPr>
        <w:spacing w:line="246" w:lineRule="auto"/>
        <w:rPr>
          <w:rFonts w:ascii="Arial"/>
          <w:color w:val="auto"/>
          <w:sz w:val="21"/>
          <w:highlight w:val="none"/>
        </w:rPr>
      </w:pPr>
    </w:p>
    <w:p w14:paraId="55D53705">
      <w:pPr>
        <w:spacing w:line="246" w:lineRule="auto"/>
        <w:rPr>
          <w:rFonts w:ascii="Arial"/>
          <w:color w:val="auto"/>
          <w:sz w:val="21"/>
          <w:highlight w:val="none"/>
        </w:rPr>
      </w:pPr>
    </w:p>
    <w:p w14:paraId="7744C910">
      <w:pPr>
        <w:spacing w:line="246" w:lineRule="auto"/>
        <w:rPr>
          <w:rFonts w:ascii="Arial"/>
          <w:color w:val="auto"/>
          <w:sz w:val="21"/>
          <w:highlight w:val="none"/>
        </w:rPr>
      </w:pPr>
    </w:p>
    <w:p w14:paraId="15BDFE0D">
      <w:pPr>
        <w:spacing w:line="246" w:lineRule="auto"/>
        <w:rPr>
          <w:rFonts w:ascii="Arial"/>
          <w:color w:val="auto"/>
          <w:sz w:val="21"/>
          <w:highlight w:val="none"/>
        </w:rPr>
      </w:pPr>
    </w:p>
    <w:p w14:paraId="1FBF6B9E">
      <w:pPr>
        <w:spacing w:line="247" w:lineRule="auto"/>
        <w:rPr>
          <w:rFonts w:ascii="Arial"/>
          <w:color w:val="auto"/>
          <w:sz w:val="21"/>
          <w:highlight w:val="none"/>
        </w:rPr>
      </w:pPr>
    </w:p>
    <w:p w14:paraId="64A0626B">
      <w:pPr>
        <w:spacing w:line="247" w:lineRule="auto"/>
        <w:rPr>
          <w:rFonts w:ascii="Arial"/>
          <w:color w:val="auto"/>
          <w:sz w:val="21"/>
          <w:highlight w:val="none"/>
        </w:rPr>
      </w:pPr>
    </w:p>
    <w:p w14:paraId="73556865">
      <w:pPr>
        <w:spacing w:line="247" w:lineRule="auto"/>
        <w:rPr>
          <w:rFonts w:ascii="Arial"/>
          <w:color w:val="auto"/>
          <w:sz w:val="21"/>
          <w:highlight w:val="none"/>
        </w:rPr>
      </w:pPr>
    </w:p>
    <w:p w14:paraId="63001932">
      <w:pPr>
        <w:spacing w:line="247" w:lineRule="auto"/>
        <w:rPr>
          <w:rFonts w:ascii="Arial"/>
          <w:color w:val="auto"/>
          <w:sz w:val="21"/>
          <w:highlight w:val="none"/>
        </w:rPr>
      </w:pPr>
    </w:p>
    <w:p w14:paraId="687A0C2A">
      <w:pPr>
        <w:spacing w:line="247" w:lineRule="auto"/>
        <w:rPr>
          <w:rFonts w:ascii="Arial"/>
          <w:color w:val="auto"/>
          <w:sz w:val="21"/>
          <w:highlight w:val="none"/>
        </w:rPr>
      </w:pPr>
    </w:p>
    <w:p w14:paraId="68EB739A">
      <w:pPr>
        <w:spacing w:line="345" w:lineRule="auto"/>
        <w:rPr>
          <w:rFonts w:ascii="Arial"/>
          <w:color w:val="auto"/>
          <w:sz w:val="21"/>
          <w:highlight w:val="none"/>
        </w:rPr>
      </w:pPr>
    </w:p>
    <w:p w14:paraId="75850575">
      <w:pPr>
        <w:spacing w:line="345" w:lineRule="auto"/>
        <w:rPr>
          <w:rFonts w:ascii="Arial"/>
          <w:color w:val="auto"/>
          <w:sz w:val="21"/>
          <w:highlight w:val="none"/>
        </w:rPr>
      </w:pPr>
    </w:p>
    <w:p w14:paraId="514E9CC0">
      <w:pPr>
        <w:pStyle w:val="2"/>
        <w:rPr>
          <w:rFonts w:ascii="Arial"/>
          <w:color w:val="auto"/>
          <w:sz w:val="21"/>
          <w:highlight w:val="none"/>
        </w:rPr>
      </w:pPr>
    </w:p>
    <w:p w14:paraId="062CDE39">
      <w:pPr>
        <w:pStyle w:val="2"/>
        <w:rPr>
          <w:rFonts w:ascii="Arial"/>
          <w:color w:val="auto"/>
          <w:sz w:val="21"/>
          <w:highlight w:val="none"/>
        </w:rPr>
      </w:pPr>
    </w:p>
    <w:p w14:paraId="74555353">
      <w:pPr>
        <w:pStyle w:val="2"/>
        <w:rPr>
          <w:rFonts w:ascii="Arial"/>
          <w:color w:val="auto"/>
          <w:sz w:val="21"/>
          <w:highlight w:val="none"/>
        </w:rPr>
      </w:pPr>
    </w:p>
    <w:p w14:paraId="7105AB51">
      <w:pPr>
        <w:spacing w:line="345" w:lineRule="auto"/>
        <w:rPr>
          <w:rFonts w:ascii="Arial"/>
          <w:color w:val="auto"/>
          <w:sz w:val="21"/>
          <w:highlight w:val="none"/>
        </w:rPr>
      </w:pPr>
    </w:p>
    <w:p w14:paraId="301CD0F1">
      <w:pPr>
        <w:pStyle w:val="2"/>
        <w:spacing w:before="78" w:line="220" w:lineRule="auto"/>
        <w:ind w:left="3544"/>
        <w:outlineLvl w:val="3"/>
        <w:rPr>
          <w:color w:val="auto"/>
          <w:sz w:val="24"/>
          <w:szCs w:val="24"/>
          <w:highlight w:val="none"/>
        </w:rPr>
      </w:pPr>
      <w:r>
        <w:rPr>
          <w:b/>
          <w:bCs/>
          <w:color w:val="auto"/>
          <w:spacing w:val="-4"/>
          <w:sz w:val="24"/>
          <w:szCs w:val="24"/>
          <w:highlight w:val="none"/>
        </w:rPr>
        <w:t>3、服务说明一览表</w:t>
      </w:r>
    </w:p>
    <w:p w14:paraId="5ACB53D7">
      <w:pPr>
        <w:pStyle w:val="2"/>
        <w:spacing w:before="82" w:line="214" w:lineRule="auto"/>
        <w:ind w:left="951"/>
        <w:rPr>
          <w:color w:val="auto"/>
          <w:sz w:val="24"/>
          <w:szCs w:val="24"/>
          <w:highlight w:val="none"/>
        </w:rPr>
      </w:pPr>
      <w:r>
        <w:rPr>
          <w:color w:val="auto"/>
          <w:spacing w:val="-1"/>
          <w:sz w:val="24"/>
          <w:szCs w:val="24"/>
          <w:highlight w:val="none"/>
        </w:rPr>
        <w:t>项目名称:                    项目编号:</w:t>
      </w:r>
      <w:r>
        <w:rPr>
          <w:color w:val="auto"/>
          <w:spacing w:val="1"/>
          <w:sz w:val="24"/>
          <w:szCs w:val="24"/>
          <w:highlight w:val="none"/>
        </w:rPr>
        <w:t xml:space="preserve">         </w:t>
      </w:r>
      <w:r>
        <w:rPr>
          <w:color w:val="auto"/>
          <w:spacing w:val="-1"/>
          <w:sz w:val="24"/>
          <w:szCs w:val="24"/>
          <w:highlight w:val="none"/>
        </w:rPr>
        <w:t>标项号：（如有）</w:t>
      </w:r>
    </w:p>
    <w:tbl>
      <w:tblPr>
        <w:tblStyle w:val="13"/>
        <w:tblW w:w="95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2155"/>
        <w:gridCol w:w="1774"/>
        <w:gridCol w:w="1192"/>
        <w:gridCol w:w="1519"/>
        <w:gridCol w:w="1187"/>
        <w:gridCol w:w="993"/>
      </w:tblGrid>
      <w:tr w14:paraId="0C0F1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746" w:type="dxa"/>
            <w:vAlign w:val="top"/>
          </w:tcPr>
          <w:p w14:paraId="76845E31">
            <w:pPr>
              <w:spacing w:before="259" w:line="221" w:lineRule="auto"/>
              <w:ind w:left="1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2155" w:type="dxa"/>
            <w:vAlign w:val="top"/>
          </w:tcPr>
          <w:p w14:paraId="6D347F12">
            <w:pPr>
              <w:spacing w:before="258" w:line="220" w:lineRule="auto"/>
              <w:ind w:left="5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服务名称</w:t>
            </w:r>
          </w:p>
        </w:tc>
        <w:tc>
          <w:tcPr>
            <w:tcW w:w="1774" w:type="dxa"/>
            <w:vAlign w:val="top"/>
          </w:tcPr>
          <w:p w14:paraId="2451009E">
            <w:pPr>
              <w:spacing w:before="258" w:line="220" w:lineRule="auto"/>
              <w:ind w:left="41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服务内容</w:t>
            </w:r>
          </w:p>
        </w:tc>
        <w:tc>
          <w:tcPr>
            <w:tcW w:w="1192" w:type="dxa"/>
            <w:vAlign w:val="top"/>
          </w:tcPr>
          <w:p w14:paraId="6F709891">
            <w:pPr>
              <w:spacing w:before="258" w:line="220" w:lineRule="auto"/>
              <w:ind w:left="36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数量</w:t>
            </w:r>
          </w:p>
        </w:tc>
        <w:tc>
          <w:tcPr>
            <w:tcW w:w="1519" w:type="dxa"/>
            <w:vAlign w:val="top"/>
          </w:tcPr>
          <w:p w14:paraId="38592055">
            <w:pPr>
              <w:spacing w:before="270" w:line="220" w:lineRule="auto"/>
              <w:ind w:left="2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服务期限</w:t>
            </w:r>
          </w:p>
        </w:tc>
        <w:tc>
          <w:tcPr>
            <w:tcW w:w="1187" w:type="dxa"/>
            <w:vAlign w:val="top"/>
          </w:tcPr>
          <w:p w14:paraId="4A78345F">
            <w:pPr>
              <w:spacing w:before="270" w:line="220" w:lineRule="auto"/>
              <w:ind w:left="1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服务地点</w:t>
            </w:r>
          </w:p>
        </w:tc>
        <w:tc>
          <w:tcPr>
            <w:tcW w:w="993" w:type="dxa"/>
            <w:vAlign w:val="top"/>
          </w:tcPr>
          <w:p w14:paraId="087954C0">
            <w:pPr>
              <w:spacing w:before="271" w:line="221" w:lineRule="auto"/>
              <w:ind w:left="26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备注</w:t>
            </w:r>
          </w:p>
        </w:tc>
      </w:tr>
      <w:tr w14:paraId="1C534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6" w:type="dxa"/>
            <w:vAlign w:val="top"/>
          </w:tcPr>
          <w:p w14:paraId="41AF8572">
            <w:pPr>
              <w:pStyle w:val="14"/>
              <w:rPr>
                <w:color w:val="auto"/>
                <w:highlight w:val="none"/>
              </w:rPr>
            </w:pPr>
          </w:p>
        </w:tc>
        <w:tc>
          <w:tcPr>
            <w:tcW w:w="2155" w:type="dxa"/>
            <w:vAlign w:val="top"/>
          </w:tcPr>
          <w:p w14:paraId="719E61BD">
            <w:pPr>
              <w:pStyle w:val="14"/>
              <w:rPr>
                <w:color w:val="auto"/>
                <w:highlight w:val="none"/>
              </w:rPr>
            </w:pPr>
          </w:p>
        </w:tc>
        <w:tc>
          <w:tcPr>
            <w:tcW w:w="1774" w:type="dxa"/>
            <w:vAlign w:val="top"/>
          </w:tcPr>
          <w:p w14:paraId="4D2B5CE4">
            <w:pPr>
              <w:pStyle w:val="14"/>
              <w:rPr>
                <w:color w:val="auto"/>
                <w:highlight w:val="none"/>
              </w:rPr>
            </w:pPr>
          </w:p>
        </w:tc>
        <w:tc>
          <w:tcPr>
            <w:tcW w:w="1192" w:type="dxa"/>
            <w:vAlign w:val="top"/>
          </w:tcPr>
          <w:p w14:paraId="1C9CAE27">
            <w:pPr>
              <w:pStyle w:val="14"/>
              <w:rPr>
                <w:color w:val="auto"/>
                <w:highlight w:val="none"/>
              </w:rPr>
            </w:pPr>
          </w:p>
        </w:tc>
        <w:tc>
          <w:tcPr>
            <w:tcW w:w="1519" w:type="dxa"/>
            <w:vAlign w:val="top"/>
          </w:tcPr>
          <w:p w14:paraId="3EE573F7">
            <w:pPr>
              <w:pStyle w:val="14"/>
              <w:rPr>
                <w:color w:val="auto"/>
                <w:highlight w:val="none"/>
              </w:rPr>
            </w:pPr>
          </w:p>
        </w:tc>
        <w:tc>
          <w:tcPr>
            <w:tcW w:w="1187" w:type="dxa"/>
            <w:vAlign w:val="top"/>
          </w:tcPr>
          <w:p w14:paraId="2847F8D9">
            <w:pPr>
              <w:pStyle w:val="14"/>
              <w:rPr>
                <w:color w:val="auto"/>
                <w:highlight w:val="none"/>
              </w:rPr>
            </w:pPr>
          </w:p>
        </w:tc>
        <w:tc>
          <w:tcPr>
            <w:tcW w:w="993" w:type="dxa"/>
            <w:vAlign w:val="top"/>
          </w:tcPr>
          <w:p w14:paraId="2DABD13D">
            <w:pPr>
              <w:pStyle w:val="14"/>
              <w:rPr>
                <w:color w:val="auto"/>
                <w:highlight w:val="none"/>
              </w:rPr>
            </w:pPr>
          </w:p>
        </w:tc>
      </w:tr>
      <w:tr w14:paraId="28EE5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6" w:type="dxa"/>
            <w:vAlign w:val="top"/>
          </w:tcPr>
          <w:p w14:paraId="13E21D3A">
            <w:pPr>
              <w:pStyle w:val="14"/>
              <w:rPr>
                <w:color w:val="auto"/>
                <w:highlight w:val="none"/>
              </w:rPr>
            </w:pPr>
          </w:p>
        </w:tc>
        <w:tc>
          <w:tcPr>
            <w:tcW w:w="2155" w:type="dxa"/>
            <w:vAlign w:val="top"/>
          </w:tcPr>
          <w:p w14:paraId="5194814C">
            <w:pPr>
              <w:pStyle w:val="14"/>
              <w:rPr>
                <w:color w:val="auto"/>
                <w:highlight w:val="none"/>
              </w:rPr>
            </w:pPr>
          </w:p>
        </w:tc>
        <w:tc>
          <w:tcPr>
            <w:tcW w:w="1774" w:type="dxa"/>
            <w:vAlign w:val="top"/>
          </w:tcPr>
          <w:p w14:paraId="280FA2AB">
            <w:pPr>
              <w:pStyle w:val="14"/>
              <w:rPr>
                <w:color w:val="auto"/>
                <w:highlight w:val="none"/>
              </w:rPr>
            </w:pPr>
          </w:p>
        </w:tc>
        <w:tc>
          <w:tcPr>
            <w:tcW w:w="1192" w:type="dxa"/>
            <w:vAlign w:val="top"/>
          </w:tcPr>
          <w:p w14:paraId="2EDCB1A8">
            <w:pPr>
              <w:pStyle w:val="14"/>
              <w:rPr>
                <w:color w:val="auto"/>
                <w:highlight w:val="none"/>
              </w:rPr>
            </w:pPr>
          </w:p>
        </w:tc>
        <w:tc>
          <w:tcPr>
            <w:tcW w:w="1519" w:type="dxa"/>
            <w:vAlign w:val="top"/>
          </w:tcPr>
          <w:p w14:paraId="7E9C4AE7">
            <w:pPr>
              <w:pStyle w:val="14"/>
              <w:rPr>
                <w:color w:val="auto"/>
                <w:highlight w:val="none"/>
              </w:rPr>
            </w:pPr>
          </w:p>
        </w:tc>
        <w:tc>
          <w:tcPr>
            <w:tcW w:w="1187" w:type="dxa"/>
            <w:vAlign w:val="top"/>
          </w:tcPr>
          <w:p w14:paraId="5C43B7FD">
            <w:pPr>
              <w:pStyle w:val="14"/>
              <w:rPr>
                <w:color w:val="auto"/>
                <w:highlight w:val="none"/>
              </w:rPr>
            </w:pPr>
          </w:p>
        </w:tc>
        <w:tc>
          <w:tcPr>
            <w:tcW w:w="993" w:type="dxa"/>
            <w:vAlign w:val="top"/>
          </w:tcPr>
          <w:p w14:paraId="1737AE29">
            <w:pPr>
              <w:pStyle w:val="14"/>
              <w:rPr>
                <w:color w:val="auto"/>
                <w:highlight w:val="none"/>
              </w:rPr>
            </w:pPr>
          </w:p>
        </w:tc>
      </w:tr>
      <w:tr w14:paraId="6EE8E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6" w:type="dxa"/>
            <w:vAlign w:val="top"/>
          </w:tcPr>
          <w:p w14:paraId="759E65C7">
            <w:pPr>
              <w:pStyle w:val="14"/>
              <w:rPr>
                <w:color w:val="auto"/>
                <w:highlight w:val="none"/>
              </w:rPr>
            </w:pPr>
          </w:p>
        </w:tc>
        <w:tc>
          <w:tcPr>
            <w:tcW w:w="2155" w:type="dxa"/>
            <w:vAlign w:val="top"/>
          </w:tcPr>
          <w:p w14:paraId="58069FC0">
            <w:pPr>
              <w:pStyle w:val="14"/>
              <w:rPr>
                <w:color w:val="auto"/>
                <w:highlight w:val="none"/>
              </w:rPr>
            </w:pPr>
          </w:p>
        </w:tc>
        <w:tc>
          <w:tcPr>
            <w:tcW w:w="1774" w:type="dxa"/>
            <w:vAlign w:val="top"/>
          </w:tcPr>
          <w:p w14:paraId="6025106E">
            <w:pPr>
              <w:pStyle w:val="14"/>
              <w:rPr>
                <w:color w:val="auto"/>
                <w:highlight w:val="none"/>
              </w:rPr>
            </w:pPr>
          </w:p>
        </w:tc>
        <w:tc>
          <w:tcPr>
            <w:tcW w:w="1192" w:type="dxa"/>
            <w:vAlign w:val="top"/>
          </w:tcPr>
          <w:p w14:paraId="2094A296">
            <w:pPr>
              <w:pStyle w:val="14"/>
              <w:rPr>
                <w:color w:val="auto"/>
                <w:highlight w:val="none"/>
              </w:rPr>
            </w:pPr>
          </w:p>
        </w:tc>
        <w:tc>
          <w:tcPr>
            <w:tcW w:w="1519" w:type="dxa"/>
            <w:vAlign w:val="top"/>
          </w:tcPr>
          <w:p w14:paraId="6EBDAD6B">
            <w:pPr>
              <w:pStyle w:val="14"/>
              <w:rPr>
                <w:color w:val="auto"/>
                <w:highlight w:val="none"/>
              </w:rPr>
            </w:pPr>
          </w:p>
        </w:tc>
        <w:tc>
          <w:tcPr>
            <w:tcW w:w="1187" w:type="dxa"/>
            <w:vAlign w:val="top"/>
          </w:tcPr>
          <w:p w14:paraId="6CC4379E">
            <w:pPr>
              <w:pStyle w:val="14"/>
              <w:rPr>
                <w:color w:val="auto"/>
                <w:highlight w:val="none"/>
              </w:rPr>
            </w:pPr>
          </w:p>
        </w:tc>
        <w:tc>
          <w:tcPr>
            <w:tcW w:w="993" w:type="dxa"/>
            <w:vAlign w:val="top"/>
          </w:tcPr>
          <w:p w14:paraId="4F31D3D4">
            <w:pPr>
              <w:pStyle w:val="14"/>
              <w:rPr>
                <w:color w:val="auto"/>
                <w:highlight w:val="none"/>
              </w:rPr>
            </w:pPr>
          </w:p>
        </w:tc>
      </w:tr>
      <w:tr w14:paraId="5C190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6" w:type="dxa"/>
            <w:vAlign w:val="top"/>
          </w:tcPr>
          <w:p w14:paraId="2BA22B70">
            <w:pPr>
              <w:pStyle w:val="14"/>
              <w:rPr>
                <w:color w:val="auto"/>
                <w:highlight w:val="none"/>
              </w:rPr>
            </w:pPr>
          </w:p>
        </w:tc>
        <w:tc>
          <w:tcPr>
            <w:tcW w:w="2155" w:type="dxa"/>
            <w:vAlign w:val="top"/>
          </w:tcPr>
          <w:p w14:paraId="49E7EC2D">
            <w:pPr>
              <w:pStyle w:val="14"/>
              <w:rPr>
                <w:color w:val="auto"/>
                <w:highlight w:val="none"/>
              </w:rPr>
            </w:pPr>
          </w:p>
        </w:tc>
        <w:tc>
          <w:tcPr>
            <w:tcW w:w="1774" w:type="dxa"/>
            <w:vAlign w:val="top"/>
          </w:tcPr>
          <w:p w14:paraId="041E2613">
            <w:pPr>
              <w:pStyle w:val="14"/>
              <w:rPr>
                <w:color w:val="auto"/>
                <w:highlight w:val="none"/>
              </w:rPr>
            </w:pPr>
          </w:p>
        </w:tc>
        <w:tc>
          <w:tcPr>
            <w:tcW w:w="1192" w:type="dxa"/>
            <w:vAlign w:val="top"/>
          </w:tcPr>
          <w:p w14:paraId="44C17F3B">
            <w:pPr>
              <w:pStyle w:val="14"/>
              <w:rPr>
                <w:color w:val="auto"/>
                <w:highlight w:val="none"/>
              </w:rPr>
            </w:pPr>
          </w:p>
        </w:tc>
        <w:tc>
          <w:tcPr>
            <w:tcW w:w="1519" w:type="dxa"/>
            <w:vAlign w:val="top"/>
          </w:tcPr>
          <w:p w14:paraId="1F20609E">
            <w:pPr>
              <w:pStyle w:val="14"/>
              <w:rPr>
                <w:color w:val="auto"/>
                <w:highlight w:val="none"/>
              </w:rPr>
            </w:pPr>
          </w:p>
        </w:tc>
        <w:tc>
          <w:tcPr>
            <w:tcW w:w="1187" w:type="dxa"/>
            <w:vAlign w:val="top"/>
          </w:tcPr>
          <w:p w14:paraId="59DBB7DB">
            <w:pPr>
              <w:pStyle w:val="14"/>
              <w:rPr>
                <w:color w:val="auto"/>
                <w:highlight w:val="none"/>
              </w:rPr>
            </w:pPr>
          </w:p>
        </w:tc>
        <w:tc>
          <w:tcPr>
            <w:tcW w:w="993" w:type="dxa"/>
            <w:vAlign w:val="top"/>
          </w:tcPr>
          <w:p w14:paraId="68F850EE">
            <w:pPr>
              <w:pStyle w:val="14"/>
              <w:rPr>
                <w:color w:val="auto"/>
                <w:highlight w:val="none"/>
              </w:rPr>
            </w:pPr>
          </w:p>
        </w:tc>
      </w:tr>
      <w:tr w14:paraId="2E3C7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6" w:type="dxa"/>
            <w:vAlign w:val="top"/>
          </w:tcPr>
          <w:p w14:paraId="14F21EC7">
            <w:pPr>
              <w:pStyle w:val="14"/>
              <w:rPr>
                <w:color w:val="auto"/>
                <w:highlight w:val="none"/>
              </w:rPr>
            </w:pPr>
          </w:p>
        </w:tc>
        <w:tc>
          <w:tcPr>
            <w:tcW w:w="2155" w:type="dxa"/>
            <w:vAlign w:val="top"/>
          </w:tcPr>
          <w:p w14:paraId="43309EC0">
            <w:pPr>
              <w:pStyle w:val="14"/>
              <w:rPr>
                <w:color w:val="auto"/>
                <w:highlight w:val="none"/>
              </w:rPr>
            </w:pPr>
          </w:p>
        </w:tc>
        <w:tc>
          <w:tcPr>
            <w:tcW w:w="1774" w:type="dxa"/>
            <w:vAlign w:val="top"/>
          </w:tcPr>
          <w:p w14:paraId="3AFAAD86">
            <w:pPr>
              <w:pStyle w:val="14"/>
              <w:rPr>
                <w:color w:val="auto"/>
                <w:highlight w:val="none"/>
              </w:rPr>
            </w:pPr>
          </w:p>
        </w:tc>
        <w:tc>
          <w:tcPr>
            <w:tcW w:w="1192" w:type="dxa"/>
            <w:vAlign w:val="top"/>
          </w:tcPr>
          <w:p w14:paraId="36260C23">
            <w:pPr>
              <w:pStyle w:val="14"/>
              <w:rPr>
                <w:color w:val="auto"/>
                <w:highlight w:val="none"/>
              </w:rPr>
            </w:pPr>
          </w:p>
        </w:tc>
        <w:tc>
          <w:tcPr>
            <w:tcW w:w="1519" w:type="dxa"/>
            <w:vAlign w:val="top"/>
          </w:tcPr>
          <w:p w14:paraId="1BD1294C">
            <w:pPr>
              <w:pStyle w:val="14"/>
              <w:rPr>
                <w:color w:val="auto"/>
                <w:highlight w:val="none"/>
              </w:rPr>
            </w:pPr>
          </w:p>
        </w:tc>
        <w:tc>
          <w:tcPr>
            <w:tcW w:w="1187" w:type="dxa"/>
            <w:vAlign w:val="top"/>
          </w:tcPr>
          <w:p w14:paraId="76B09E9E">
            <w:pPr>
              <w:pStyle w:val="14"/>
              <w:rPr>
                <w:color w:val="auto"/>
                <w:highlight w:val="none"/>
              </w:rPr>
            </w:pPr>
          </w:p>
        </w:tc>
        <w:tc>
          <w:tcPr>
            <w:tcW w:w="993" w:type="dxa"/>
            <w:vAlign w:val="top"/>
          </w:tcPr>
          <w:p w14:paraId="69ABB1C6">
            <w:pPr>
              <w:pStyle w:val="14"/>
              <w:rPr>
                <w:color w:val="auto"/>
                <w:highlight w:val="none"/>
              </w:rPr>
            </w:pPr>
          </w:p>
        </w:tc>
      </w:tr>
      <w:tr w14:paraId="7ECCF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6" w:type="dxa"/>
            <w:vAlign w:val="top"/>
          </w:tcPr>
          <w:p w14:paraId="6599B43B">
            <w:pPr>
              <w:pStyle w:val="14"/>
              <w:rPr>
                <w:color w:val="auto"/>
                <w:highlight w:val="none"/>
              </w:rPr>
            </w:pPr>
          </w:p>
        </w:tc>
        <w:tc>
          <w:tcPr>
            <w:tcW w:w="2155" w:type="dxa"/>
            <w:vAlign w:val="top"/>
          </w:tcPr>
          <w:p w14:paraId="6FC3C45E">
            <w:pPr>
              <w:pStyle w:val="14"/>
              <w:rPr>
                <w:color w:val="auto"/>
                <w:highlight w:val="none"/>
              </w:rPr>
            </w:pPr>
          </w:p>
        </w:tc>
        <w:tc>
          <w:tcPr>
            <w:tcW w:w="1774" w:type="dxa"/>
            <w:vAlign w:val="top"/>
          </w:tcPr>
          <w:p w14:paraId="7BB63551">
            <w:pPr>
              <w:pStyle w:val="14"/>
              <w:rPr>
                <w:color w:val="auto"/>
                <w:highlight w:val="none"/>
              </w:rPr>
            </w:pPr>
          </w:p>
        </w:tc>
        <w:tc>
          <w:tcPr>
            <w:tcW w:w="1192" w:type="dxa"/>
            <w:vAlign w:val="top"/>
          </w:tcPr>
          <w:p w14:paraId="6F59832D">
            <w:pPr>
              <w:pStyle w:val="14"/>
              <w:rPr>
                <w:color w:val="auto"/>
                <w:highlight w:val="none"/>
              </w:rPr>
            </w:pPr>
          </w:p>
        </w:tc>
        <w:tc>
          <w:tcPr>
            <w:tcW w:w="1519" w:type="dxa"/>
            <w:vAlign w:val="top"/>
          </w:tcPr>
          <w:p w14:paraId="2F3AC218">
            <w:pPr>
              <w:pStyle w:val="14"/>
              <w:rPr>
                <w:color w:val="auto"/>
                <w:highlight w:val="none"/>
              </w:rPr>
            </w:pPr>
          </w:p>
        </w:tc>
        <w:tc>
          <w:tcPr>
            <w:tcW w:w="1187" w:type="dxa"/>
            <w:vAlign w:val="top"/>
          </w:tcPr>
          <w:p w14:paraId="3CDF4C52">
            <w:pPr>
              <w:pStyle w:val="14"/>
              <w:rPr>
                <w:color w:val="auto"/>
                <w:highlight w:val="none"/>
              </w:rPr>
            </w:pPr>
          </w:p>
        </w:tc>
        <w:tc>
          <w:tcPr>
            <w:tcW w:w="993" w:type="dxa"/>
            <w:vAlign w:val="top"/>
          </w:tcPr>
          <w:p w14:paraId="115B3F3C">
            <w:pPr>
              <w:pStyle w:val="14"/>
              <w:rPr>
                <w:color w:val="auto"/>
                <w:highlight w:val="none"/>
              </w:rPr>
            </w:pPr>
          </w:p>
        </w:tc>
      </w:tr>
      <w:tr w14:paraId="47167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6" w:type="dxa"/>
            <w:vAlign w:val="top"/>
          </w:tcPr>
          <w:p w14:paraId="413E4615">
            <w:pPr>
              <w:pStyle w:val="14"/>
              <w:rPr>
                <w:color w:val="auto"/>
                <w:highlight w:val="none"/>
              </w:rPr>
            </w:pPr>
          </w:p>
        </w:tc>
        <w:tc>
          <w:tcPr>
            <w:tcW w:w="2155" w:type="dxa"/>
            <w:vAlign w:val="top"/>
          </w:tcPr>
          <w:p w14:paraId="6EC051F3">
            <w:pPr>
              <w:pStyle w:val="14"/>
              <w:rPr>
                <w:color w:val="auto"/>
                <w:highlight w:val="none"/>
              </w:rPr>
            </w:pPr>
          </w:p>
        </w:tc>
        <w:tc>
          <w:tcPr>
            <w:tcW w:w="1774" w:type="dxa"/>
            <w:vAlign w:val="top"/>
          </w:tcPr>
          <w:p w14:paraId="3C0ECB62">
            <w:pPr>
              <w:pStyle w:val="14"/>
              <w:rPr>
                <w:color w:val="auto"/>
                <w:highlight w:val="none"/>
              </w:rPr>
            </w:pPr>
          </w:p>
        </w:tc>
        <w:tc>
          <w:tcPr>
            <w:tcW w:w="1192" w:type="dxa"/>
            <w:vAlign w:val="top"/>
          </w:tcPr>
          <w:p w14:paraId="6550033B">
            <w:pPr>
              <w:pStyle w:val="14"/>
              <w:rPr>
                <w:color w:val="auto"/>
                <w:highlight w:val="none"/>
              </w:rPr>
            </w:pPr>
          </w:p>
        </w:tc>
        <w:tc>
          <w:tcPr>
            <w:tcW w:w="1519" w:type="dxa"/>
            <w:vAlign w:val="top"/>
          </w:tcPr>
          <w:p w14:paraId="1B3D377C">
            <w:pPr>
              <w:pStyle w:val="14"/>
              <w:rPr>
                <w:color w:val="auto"/>
                <w:highlight w:val="none"/>
              </w:rPr>
            </w:pPr>
          </w:p>
        </w:tc>
        <w:tc>
          <w:tcPr>
            <w:tcW w:w="1187" w:type="dxa"/>
            <w:vAlign w:val="top"/>
          </w:tcPr>
          <w:p w14:paraId="377AF0AF">
            <w:pPr>
              <w:pStyle w:val="14"/>
              <w:rPr>
                <w:color w:val="auto"/>
                <w:highlight w:val="none"/>
              </w:rPr>
            </w:pPr>
          </w:p>
        </w:tc>
        <w:tc>
          <w:tcPr>
            <w:tcW w:w="993" w:type="dxa"/>
            <w:vAlign w:val="top"/>
          </w:tcPr>
          <w:p w14:paraId="7A2D0EEB">
            <w:pPr>
              <w:pStyle w:val="14"/>
              <w:rPr>
                <w:color w:val="auto"/>
                <w:highlight w:val="none"/>
              </w:rPr>
            </w:pPr>
          </w:p>
        </w:tc>
      </w:tr>
      <w:tr w14:paraId="733EA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46" w:type="dxa"/>
            <w:vAlign w:val="top"/>
          </w:tcPr>
          <w:p w14:paraId="44449BBF">
            <w:pPr>
              <w:pStyle w:val="14"/>
              <w:rPr>
                <w:color w:val="auto"/>
                <w:highlight w:val="none"/>
              </w:rPr>
            </w:pPr>
          </w:p>
        </w:tc>
        <w:tc>
          <w:tcPr>
            <w:tcW w:w="2155" w:type="dxa"/>
            <w:vAlign w:val="top"/>
          </w:tcPr>
          <w:p w14:paraId="50A6B82A">
            <w:pPr>
              <w:pStyle w:val="14"/>
              <w:rPr>
                <w:color w:val="auto"/>
                <w:highlight w:val="none"/>
              </w:rPr>
            </w:pPr>
          </w:p>
        </w:tc>
        <w:tc>
          <w:tcPr>
            <w:tcW w:w="1774" w:type="dxa"/>
            <w:vAlign w:val="top"/>
          </w:tcPr>
          <w:p w14:paraId="77A59551">
            <w:pPr>
              <w:pStyle w:val="14"/>
              <w:rPr>
                <w:color w:val="auto"/>
                <w:highlight w:val="none"/>
              </w:rPr>
            </w:pPr>
          </w:p>
        </w:tc>
        <w:tc>
          <w:tcPr>
            <w:tcW w:w="1192" w:type="dxa"/>
            <w:vAlign w:val="top"/>
          </w:tcPr>
          <w:p w14:paraId="0DF3B5BD">
            <w:pPr>
              <w:pStyle w:val="14"/>
              <w:rPr>
                <w:color w:val="auto"/>
                <w:highlight w:val="none"/>
              </w:rPr>
            </w:pPr>
          </w:p>
        </w:tc>
        <w:tc>
          <w:tcPr>
            <w:tcW w:w="1519" w:type="dxa"/>
            <w:vAlign w:val="top"/>
          </w:tcPr>
          <w:p w14:paraId="768FBD40">
            <w:pPr>
              <w:pStyle w:val="14"/>
              <w:rPr>
                <w:color w:val="auto"/>
                <w:highlight w:val="none"/>
              </w:rPr>
            </w:pPr>
          </w:p>
        </w:tc>
        <w:tc>
          <w:tcPr>
            <w:tcW w:w="1187" w:type="dxa"/>
            <w:vAlign w:val="top"/>
          </w:tcPr>
          <w:p w14:paraId="0B946D8C">
            <w:pPr>
              <w:pStyle w:val="14"/>
              <w:rPr>
                <w:color w:val="auto"/>
                <w:highlight w:val="none"/>
              </w:rPr>
            </w:pPr>
          </w:p>
        </w:tc>
        <w:tc>
          <w:tcPr>
            <w:tcW w:w="993" w:type="dxa"/>
            <w:vAlign w:val="top"/>
          </w:tcPr>
          <w:p w14:paraId="171E6742">
            <w:pPr>
              <w:pStyle w:val="14"/>
              <w:rPr>
                <w:color w:val="auto"/>
                <w:highlight w:val="none"/>
              </w:rPr>
            </w:pPr>
          </w:p>
        </w:tc>
      </w:tr>
    </w:tbl>
    <w:p w14:paraId="2CB6DEB9">
      <w:pPr>
        <w:spacing w:line="263" w:lineRule="auto"/>
        <w:rPr>
          <w:rFonts w:ascii="Arial"/>
          <w:color w:val="auto"/>
          <w:sz w:val="21"/>
          <w:highlight w:val="none"/>
        </w:rPr>
      </w:pPr>
    </w:p>
    <w:p w14:paraId="60B446F6">
      <w:pPr>
        <w:spacing w:line="263" w:lineRule="auto"/>
        <w:rPr>
          <w:rFonts w:ascii="Arial"/>
          <w:color w:val="auto"/>
          <w:sz w:val="21"/>
          <w:highlight w:val="none"/>
        </w:rPr>
      </w:pPr>
    </w:p>
    <w:p w14:paraId="3E4522F7">
      <w:pPr>
        <w:spacing w:line="264" w:lineRule="auto"/>
        <w:rPr>
          <w:rFonts w:ascii="Arial"/>
          <w:color w:val="auto"/>
          <w:sz w:val="21"/>
          <w:highlight w:val="none"/>
        </w:rPr>
      </w:pPr>
    </w:p>
    <w:p w14:paraId="083B974C">
      <w:pPr>
        <w:pStyle w:val="2"/>
        <w:spacing w:before="78" w:line="219" w:lineRule="auto"/>
        <w:ind w:left="648"/>
        <w:rPr>
          <w:color w:val="auto"/>
          <w:sz w:val="24"/>
          <w:szCs w:val="24"/>
          <w:highlight w:val="none"/>
        </w:rPr>
      </w:pPr>
      <w:r>
        <w:rPr>
          <w:color w:val="auto"/>
          <w:spacing w:val="-1"/>
          <w:sz w:val="24"/>
          <w:szCs w:val="24"/>
          <w:highlight w:val="none"/>
        </w:rPr>
        <w:t>供应商名称（公章）：</w:t>
      </w:r>
      <w:r>
        <w:rPr>
          <w:color w:val="auto"/>
          <w:sz w:val="24"/>
          <w:szCs w:val="24"/>
          <w:highlight w:val="none"/>
          <w:u w:val="single" w:color="auto"/>
        </w:rPr>
        <w:t xml:space="preserve">                       </w:t>
      </w:r>
    </w:p>
    <w:p w14:paraId="0E4C4F63">
      <w:pPr>
        <w:pStyle w:val="2"/>
        <w:spacing w:before="114" w:line="295" w:lineRule="auto"/>
        <w:ind w:left="689" w:right="3537" w:hanging="40"/>
        <w:rPr>
          <w:color w:val="auto"/>
          <w:sz w:val="24"/>
          <w:szCs w:val="24"/>
          <w:highlight w:val="none"/>
        </w:rPr>
      </w:pPr>
      <w:r>
        <w:rPr>
          <w:color w:val="auto"/>
          <w:sz w:val="24"/>
          <w:szCs w:val="24"/>
          <w:highlight w:val="none"/>
        </w:rPr>
        <w:t>法定代表人(签/章):</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z w:val="24"/>
          <w:szCs w:val="24"/>
          <w:highlight w:val="none"/>
        </w:rPr>
        <w:t xml:space="preserve"> </w:t>
      </w:r>
      <w:r>
        <w:rPr>
          <w:color w:val="auto"/>
          <w:spacing w:val="-27"/>
          <w:sz w:val="24"/>
          <w:szCs w:val="24"/>
          <w:highlight w:val="none"/>
        </w:rPr>
        <w:t>日期</w:t>
      </w:r>
      <w:r>
        <w:rPr>
          <w:color w:val="auto"/>
          <w:spacing w:val="30"/>
          <w:sz w:val="24"/>
          <w:szCs w:val="24"/>
          <w:highlight w:val="none"/>
        </w:rPr>
        <w:t xml:space="preserve"> </w:t>
      </w:r>
      <w:r>
        <w:rPr>
          <w:color w:val="auto"/>
          <w:spacing w:val="-27"/>
          <w:sz w:val="24"/>
          <w:szCs w:val="24"/>
          <w:highlight w:val="none"/>
        </w:rPr>
        <w:t>：</w:t>
      </w:r>
      <w:r>
        <w:rPr>
          <w:color w:val="auto"/>
          <w:sz w:val="24"/>
          <w:szCs w:val="24"/>
          <w:highlight w:val="none"/>
          <w:u w:val="single" w:color="auto"/>
        </w:rPr>
        <w:t xml:space="preserve">                                </w:t>
      </w:r>
    </w:p>
    <w:p w14:paraId="0524A8D1">
      <w:pPr>
        <w:spacing w:line="295" w:lineRule="auto"/>
        <w:rPr>
          <w:rFonts w:ascii="Arial"/>
          <w:color w:val="auto"/>
          <w:sz w:val="21"/>
          <w:highlight w:val="none"/>
        </w:rPr>
      </w:pPr>
    </w:p>
    <w:p w14:paraId="4DCA279F">
      <w:pPr>
        <w:spacing w:line="296" w:lineRule="auto"/>
        <w:rPr>
          <w:rFonts w:ascii="Arial"/>
          <w:color w:val="auto"/>
          <w:sz w:val="21"/>
          <w:highlight w:val="none"/>
        </w:rPr>
      </w:pPr>
    </w:p>
    <w:p w14:paraId="0E49DCC0">
      <w:pPr>
        <w:spacing w:line="2400" w:lineRule="exact"/>
        <w:ind w:firstLine="5001"/>
        <w:rPr>
          <w:color w:val="auto"/>
          <w:highlight w:val="none"/>
        </w:rPr>
      </w:pPr>
    </w:p>
    <w:p w14:paraId="267E630C">
      <w:pPr>
        <w:spacing w:line="2400" w:lineRule="exact"/>
        <w:rPr>
          <w:color w:val="auto"/>
          <w:highlight w:val="none"/>
        </w:rPr>
        <w:sectPr>
          <w:headerReference r:id="rId14" w:type="default"/>
          <w:footerReference r:id="rId15" w:type="default"/>
          <w:pgSz w:w="11906" w:h="16839"/>
          <w:pgMar w:top="1127" w:right="930" w:bottom="1162" w:left="1398" w:header="870" w:footer="985" w:gutter="0"/>
          <w:pgNumType w:fmt="decimal"/>
          <w:cols w:space="720" w:num="1"/>
        </w:sectPr>
      </w:pPr>
    </w:p>
    <w:p w14:paraId="6ABED42D">
      <w:pPr>
        <w:spacing w:line="345" w:lineRule="auto"/>
        <w:rPr>
          <w:rFonts w:ascii="Arial"/>
          <w:color w:val="auto"/>
          <w:sz w:val="21"/>
          <w:highlight w:val="none"/>
        </w:rPr>
      </w:pPr>
    </w:p>
    <w:p w14:paraId="2FD282CB">
      <w:pPr>
        <w:pStyle w:val="2"/>
        <w:spacing w:before="78" w:line="220" w:lineRule="auto"/>
        <w:ind w:left="3169"/>
        <w:outlineLvl w:val="3"/>
        <w:rPr>
          <w:color w:val="auto"/>
          <w:sz w:val="24"/>
          <w:szCs w:val="24"/>
          <w:highlight w:val="none"/>
        </w:rPr>
      </w:pPr>
      <w:r>
        <w:rPr>
          <w:b/>
          <w:bCs/>
          <w:color w:val="auto"/>
          <w:spacing w:val="-3"/>
          <w:sz w:val="24"/>
          <w:szCs w:val="24"/>
          <w:highlight w:val="none"/>
        </w:rPr>
        <w:t>4、服务要求偏离表</w:t>
      </w:r>
    </w:p>
    <w:p w14:paraId="61FF7778">
      <w:pPr>
        <w:pStyle w:val="2"/>
        <w:spacing w:before="114" w:line="220" w:lineRule="auto"/>
        <w:ind w:left="42"/>
        <w:rPr>
          <w:color w:val="auto"/>
          <w:sz w:val="24"/>
          <w:szCs w:val="24"/>
          <w:highlight w:val="none"/>
        </w:rPr>
      </w:pPr>
      <w:r>
        <w:rPr>
          <w:color w:val="auto"/>
          <w:spacing w:val="-1"/>
          <w:sz w:val="24"/>
          <w:szCs w:val="24"/>
          <w:highlight w:val="none"/>
        </w:rPr>
        <w:t>项目名称:                  项目编号:</w:t>
      </w:r>
      <w:r>
        <w:rPr>
          <w:color w:val="auto"/>
          <w:sz w:val="24"/>
          <w:szCs w:val="24"/>
          <w:highlight w:val="none"/>
        </w:rPr>
        <w:t xml:space="preserve">                </w:t>
      </w:r>
      <w:r>
        <w:rPr>
          <w:color w:val="auto"/>
          <w:spacing w:val="-1"/>
          <w:sz w:val="24"/>
          <w:szCs w:val="24"/>
          <w:highlight w:val="none"/>
        </w:rPr>
        <w:t>标项号</w:t>
      </w:r>
      <w:r>
        <w:rPr>
          <w:color w:val="auto"/>
          <w:spacing w:val="-2"/>
          <w:sz w:val="24"/>
          <w:szCs w:val="24"/>
          <w:highlight w:val="none"/>
        </w:rPr>
        <w:t>：（</w:t>
      </w:r>
      <w:r>
        <w:rPr>
          <w:color w:val="auto"/>
          <w:spacing w:val="-1"/>
          <w:sz w:val="24"/>
          <w:szCs w:val="24"/>
          <w:highlight w:val="none"/>
        </w:rPr>
        <w:t>如有）</w:t>
      </w:r>
    </w:p>
    <w:tbl>
      <w:tblPr>
        <w:tblStyle w:val="13"/>
        <w:tblW w:w="808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1947"/>
        <w:gridCol w:w="1465"/>
        <w:gridCol w:w="1499"/>
        <w:gridCol w:w="1123"/>
        <w:gridCol w:w="1056"/>
      </w:tblGrid>
      <w:tr w14:paraId="1BE3A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994" w:type="dxa"/>
            <w:vAlign w:val="top"/>
          </w:tcPr>
          <w:p w14:paraId="545F25E0">
            <w:pPr>
              <w:spacing w:before="315" w:line="221" w:lineRule="auto"/>
              <w:ind w:left="25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1947" w:type="dxa"/>
            <w:vAlign w:val="top"/>
          </w:tcPr>
          <w:p w14:paraId="51C10912">
            <w:pPr>
              <w:spacing w:before="315" w:line="220" w:lineRule="auto"/>
              <w:ind w:left="49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服务名称</w:t>
            </w:r>
          </w:p>
        </w:tc>
        <w:tc>
          <w:tcPr>
            <w:tcW w:w="1465" w:type="dxa"/>
            <w:vAlign w:val="top"/>
          </w:tcPr>
          <w:p w14:paraId="4FE6659A">
            <w:pPr>
              <w:spacing w:before="316" w:line="220" w:lineRule="auto"/>
              <w:ind w:left="25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磋商要求</w:t>
            </w:r>
          </w:p>
        </w:tc>
        <w:tc>
          <w:tcPr>
            <w:tcW w:w="1499" w:type="dxa"/>
            <w:vAlign w:val="top"/>
          </w:tcPr>
          <w:p w14:paraId="0CF23AEA">
            <w:pPr>
              <w:spacing w:before="315" w:line="221" w:lineRule="auto"/>
              <w:ind w:left="28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响应要求</w:t>
            </w:r>
          </w:p>
        </w:tc>
        <w:tc>
          <w:tcPr>
            <w:tcW w:w="1123" w:type="dxa"/>
            <w:vAlign w:val="top"/>
          </w:tcPr>
          <w:p w14:paraId="06F62D73">
            <w:pPr>
              <w:spacing w:before="115" w:line="262" w:lineRule="auto"/>
              <w:ind w:left="329" w:right="312" w:firstLine="3"/>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是否</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偏离</w:t>
            </w:r>
          </w:p>
        </w:tc>
        <w:tc>
          <w:tcPr>
            <w:tcW w:w="1056" w:type="dxa"/>
            <w:vAlign w:val="top"/>
          </w:tcPr>
          <w:p w14:paraId="136DA7E9">
            <w:pPr>
              <w:spacing w:before="315" w:line="220" w:lineRule="auto"/>
              <w:ind w:left="29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说明</w:t>
            </w:r>
          </w:p>
        </w:tc>
      </w:tr>
      <w:tr w14:paraId="3DF83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994" w:type="dxa"/>
            <w:vAlign w:val="top"/>
          </w:tcPr>
          <w:p w14:paraId="0F689ECB">
            <w:pPr>
              <w:pStyle w:val="14"/>
              <w:rPr>
                <w:color w:val="auto"/>
                <w:highlight w:val="none"/>
              </w:rPr>
            </w:pPr>
          </w:p>
        </w:tc>
        <w:tc>
          <w:tcPr>
            <w:tcW w:w="1947" w:type="dxa"/>
            <w:vAlign w:val="top"/>
          </w:tcPr>
          <w:p w14:paraId="24094A07">
            <w:pPr>
              <w:pStyle w:val="14"/>
              <w:rPr>
                <w:color w:val="auto"/>
                <w:highlight w:val="none"/>
              </w:rPr>
            </w:pPr>
          </w:p>
        </w:tc>
        <w:tc>
          <w:tcPr>
            <w:tcW w:w="1465" w:type="dxa"/>
            <w:vAlign w:val="top"/>
          </w:tcPr>
          <w:p w14:paraId="249A246E">
            <w:pPr>
              <w:pStyle w:val="14"/>
              <w:rPr>
                <w:color w:val="auto"/>
                <w:highlight w:val="none"/>
              </w:rPr>
            </w:pPr>
          </w:p>
        </w:tc>
        <w:tc>
          <w:tcPr>
            <w:tcW w:w="1499" w:type="dxa"/>
            <w:vAlign w:val="top"/>
          </w:tcPr>
          <w:p w14:paraId="11DD2F6C">
            <w:pPr>
              <w:pStyle w:val="14"/>
              <w:rPr>
                <w:color w:val="auto"/>
                <w:highlight w:val="none"/>
              </w:rPr>
            </w:pPr>
          </w:p>
        </w:tc>
        <w:tc>
          <w:tcPr>
            <w:tcW w:w="1123" w:type="dxa"/>
            <w:vAlign w:val="top"/>
          </w:tcPr>
          <w:p w14:paraId="0AC976F2">
            <w:pPr>
              <w:pStyle w:val="14"/>
              <w:rPr>
                <w:color w:val="auto"/>
                <w:highlight w:val="none"/>
              </w:rPr>
            </w:pPr>
          </w:p>
        </w:tc>
        <w:tc>
          <w:tcPr>
            <w:tcW w:w="1056" w:type="dxa"/>
            <w:vAlign w:val="top"/>
          </w:tcPr>
          <w:p w14:paraId="7901D2A8">
            <w:pPr>
              <w:pStyle w:val="14"/>
              <w:rPr>
                <w:color w:val="auto"/>
                <w:highlight w:val="none"/>
              </w:rPr>
            </w:pPr>
          </w:p>
        </w:tc>
      </w:tr>
      <w:tr w14:paraId="11DF6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994" w:type="dxa"/>
            <w:vAlign w:val="top"/>
          </w:tcPr>
          <w:p w14:paraId="14B1886F">
            <w:pPr>
              <w:pStyle w:val="14"/>
              <w:rPr>
                <w:color w:val="auto"/>
                <w:highlight w:val="none"/>
              </w:rPr>
            </w:pPr>
          </w:p>
        </w:tc>
        <w:tc>
          <w:tcPr>
            <w:tcW w:w="1947" w:type="dxa"/>
            <w:vAlign w:val="top"/>
          </w:tcPr>
          <w:p w14:paraId="126D02B0">
            <w:pPr>
              <w:pStyle w:val="14"/>
              <w:rPr>
                <w:color w:val="auto"/>
                <w:highlight w:val="none"/>
              </w:rPr>
            </w:pPr>
          </w:p>
        </w:tc>
        <w:tc>
          <w:tcPr>
            <w:tcW w:w="1465" w:type="dxa"/>
            <w:vAlign w:val="top"/>
          </w:tcPr>
          <w:p w14:paraId="3948F2C3">
            <w:pPr>
              <w:pStyle w:val="14"/>
              <w:rPr>
                <w:color w:val="auto"/>
                <w:highlight w:val="none"/>
              </w:rPr>
            </w:pPr>
          </w:p>
        </w:tc>
        <w:tc>
          <w:tcPr>
            <w:tcW w:w="1499" w:type="dxa"/>
            <w:vAlign w:val="top"/>
          </w:tcPr>
          <w:p w14:paraId="4EE25495">
            <w:pPr>
              <w:pStyle w:val="14"/>
              <w:rPr>
                <w:color w:val="auto"/>
                <w:highlight w:val="none"/>
              </w:rPr>
            </w:pPr>
          </w:p>
        </w:tc>
        <w:tc>
          <w:tcPr>
            <w:tcW w:w="1123" w:type="dxa"/>
            <w:vAlign w:val="top"/>
          </w:tcPr>
          <w:p w14:paraId="53B3336A">
            <w:pPr>
              <w:pStyle w:val="14"/>
              <w:rPr>
                <w:color w:val="auto"/>
                <w:highlight w:val="none"/>
              </w:rPr>
            </w:pPr>
          </w:p>
        </w:tc>
        <w:tc>
          <w:tcPr>
            <w:tcW w:w="1056" w:type="dxa"/>
            <w:vAlign w:val="top"/>
          </w:tcPr>
          <w:p w14:paraId="6465AF1D">
            <w:pPr>
              <w:pStyle w:val="14"/>
              <w:rPr>
                <w:color w:val="auto"/>
                <w:highlight w:val="none"/>
              </w:rPr>
            </w:pPr>
          </w:p>
        </w:tc>
      </w:tr>
      <w:tr w14:paraId="24F87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994" w:type="dxa"/>
            <w:vAlign w:val="top"/>
          </w:tcPr>
          <w:p w14:paraId="2328892E">
            <w:pPr>
              <w:pStyle w:val="14"/>
              <w:rPr>
                <w:color w:val="auto"/>
                <w:highlight w:val="none"/>
              </w:rPr>
            </w:pPr>
          </w:p>
        </w:tc>
        <w:tc>
          <w:tcPr>
            <w:tcW w:w="1947" w:type="dxa"/>
            <w:vAlign w:val="top"/>
          </w:tcPr>
          <w:p w14:paraId="119BB201">
            <w:pPr>
              <w:pStyle w:val="14"/>
              <w:rPr>
                <w:color w:val="auto"/>
                <w:highlight w:val="none"/>
              </w:rPr>
            </w:pPr>
          </w:p>
        </w:tc>
        <w:tc>
          <w:tcPr>
            <w:tcW w:w="1465" w:type="dxa"/>
            <w:vAlign w:val="top"/>
          </w:tcPr>
          <w:p w14:paraId="5E2B5829">
            <w:pPr>
              <w:pStyle w:val="14"/>
              <w:rPr>
                <w:color w:val="auto"/>
                <w:highlight w:val="none"/>
              </w:rPr>
            </w:pPr>
          </w:p>
        </w:tc>
        <w:tc>
          <w:tcPr>
            <w:tcW w:w="1499" w:type="dxa"/>
            <w:vAlign w:val="top"/>
          </w:tcPr>
          <w:p w14:paraId="06343F91">
            <w:pPr>
              <w:pStyle w:val="14"/>
              <w:rPr>
                <w:color w:val="auto"/>
                <w:highlight w:val="none"/>
              </w:rPr>
            </w:pPr>
          </w:p>
        </w:tc>
        <w:tc>
          <w:tcPr>
            <w:tcW w:w="1123" w:type="dxa"/>
            <w:vAlign w:val="top"/>
          </w:tcPr>
          <w:p w14:paraId="1988A564">
            <w:pPr>
              <w:pStyle w:val="14"/>
              <w:rPr>
                <w:color w:val="auto"/>
                <w:highlight w:val="none"/>
              </w:rPr>
            </w:pPr>
          </w:p>
        </w:tc>
        <w:tc>
          <w:tcPr>
            <w:tcW w:w="1056" w:type="dxa"/>
            <w:vAlign w:val="top"/>
          </w:tcPr>
          <w:p w14:paraId="2DAB2EDE">
            <w:pPr>
              <w:pStyle w:val="14"/>
              <w:rPr>
                <w:color w:val="auto"/>
                <w:highlight w:val="none"/>
              </w:rPr>
            </w:pPr>
          </w:p>
        </w:tc>
      </w:tr>
      <w:tr w14:paraId="7CAF3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994" w:type="dxa"/>
            <w:vAlign w:val="top"/>
          </w:tcPr>
          <w:p w14:paraId="15F7428F">
            <w:pPr>
              <w:pStyle w:val="14"/>
              <w:rPr>
                <w:color w:val="auto"/>
                <w:highlight w:val="none"/>
              </w:rPr>
            </w:pPr>
          </w:p>
        </w:tc>
        <w:tc>
          <w:tcPr>
            <w:tcW w:w="1947" w:type="dxa"/>
            <w:vAlign w:val="top"/>
          </w:tcPr>
          <w:p w14:paraId="50B94E81">
            <w:pPr>
              <w:pStyle w:val="14"/>
              <w:rPr>
                <w:color w:val="auto"/>
                <w:highlight w:val="none"/>
              </w:rPr>
            </w:pPr>
          </w:p>
        </w:tc>
        <w:tc>
          <w:tcPr>
            <w:tcW w:w="1465" w:type="dxa"/>
            <w:vAlign w:val="top"/>
          </w:tcPr>
          <w:p w14:paraId="0714FCEE">
            <w:pPr>
              <w:pStyle w:val="14"/>
              <w:rPr>
                <w:color w:val="auto"/>
                <w:highlight w:val="none"/>
              </w:rPr>
            </w:pPr>
          </w:p>
        </w:tc>
        <w:tc>
          <w:tcPr>
            <w:tcW w:w="1499" w:type="dxa"/>
            <w:vAlign w:val="top"/>
          </w:tcPr>
          <w:p w14:paraId="209A986C">
            <w:pPr>
              <w:pStyle w:val="14"/>
              <w:rPr>
                <w:color w:val="auto"/>
                <w:highlight w:val="none"/>
              </w:rPr>
            </w:pPr>
          </w:p>
        </w:tc>
        <w:tc>
          <w:tcPr>
            <w:tcW w:w="1123" w:type="dxa"/>
            <w:vAlign w:val="top"/>
          </w:tcPr>
          <w:p w14:paraId="584883E5">
            <w:pPr>
              <w:pStyle w:val="14"/>
              <w:rPr>
                <w:color w:val="auto"/>
                <w:highlight w:val="none"/>
              </w:rPr>
            </w:pPr>
          </w:p>
        </w:tc>
        <w:tc>
          <w:tcPr>
            <w:tcW w:w="1056" w:type="dxa"/>
            <w:vAlign w:val="top"/>
          </w:tcPr>
          <w:p w14:paraId="7ADA48FE">
            <w:pPr>
              <w:pStyle w:val="14"/>
              <w:rPr>
                <w:color w:val="auto"/>
                <w:highlight w:val="none"/>
              </w:rPr>
            </w:pPr>
          </w:p>
        </w:tc>
      </w:tr>
      <w:tr w14:paraId="55BA8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994" w:type="dxa"/>
            <w:vAlign w:val="top"/>
          </w:tcPr>
          <w:p w14:paraId="06979277">
            <w:pPr>
              <w:pStyle w:val="14"/>
              <w:rPr>
                <w:color w:val="auto"/>
                <w:highlight w:val="none"/>
              </w:rPr>
            </w:pPr>
          </w:p>
        </w:tc>
        <w:tc>
          <w:tcPr>
            <w:tcW w:w="1947" w:type="dxa"/>
            <w:vAlign w:val="top"/>
          </w:tcPr>
          <w:p w14:paraId="4FA02266">
            <w:pPr>
              <w:pStyle w:val="14"/>
              <w:rPr>
                <w:color w:val="auto"/>
                <w:highlight w:val="none"/>
              </w:rPr>
            </w:pPr>
          </w:p>
        </w:tc>
        <w:tc>
          <w:tcPr>
            <w:tcW w:w="1465" w:type="dxa"/>
            <w:vAlign w:val="top"/>
          </w:tcPr>
          <w:p w14:paraId="29F0F73B">
            <w:pPr>
              <w:pStyle w:val="14"/>
              <w:rPr>
                <w:color w:val="auto"/>
                <w:highlight w:val="none"/>
              </w:rPr>
            </w:pPr>
          </w:p>
        </w:tc>
        <w:tc>
          <w:tcPr>
            <w:tcW w:w="1499" w:type="dxa"/>
            <w:vAlign w:val="top"/>
          </w:tcPr>
          <w:p w14:paraId="47A6F95E">
            <w:pPr>
              <w:pStyle w:val="14"/>
              <w:rPr>
                <w:color w:val="auto"/>
                <w:highlight w:val="none"/>
              </w:rPr>
            </w:pPr>
          </w:p>
        </w:tc>
        <w:tc>
          <w:tcPr>
            <w:tcW w:w="1123" w:type="dxa"/>
            <w:vAlign w:val="top"/>
          </w:tcPr>
          <w:p w14:paraId="3991272C">
            <w:pPr>
              <w:pStyle w:val="14"/>
              <w:rPr>
                <w:color w:val="auto"/>
                <w:highlight w:val="none"/>
              </w:rPr>
            </w:pPr>
          </w:p>
        </w:tc>
        <w:tc>
          <w:tcPr>
            <w:tcW w:w="1056" w:type="dxa"/>
            <w:vAlign w:val="top"/>
          </w:tcPr>
          <w:p w14:paraId="64F251FC">
            <w:pPr>
              <w:pStyle w:val="14"/>
              <w:rPr>
                <w:color w:val="auto"/>
                <w:highlight w:val="none"/>
              </w:rPr>
            </w:pPr>
          </w:p>
        </w:tc>
      </w:tr>
      <w:tr w14:paraId="60088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994" w:type="dxa"/>
            <w:vAlign w:val="top"/>
          </w:tcPr>
          <w:p w14:paraId="5140FA27">
            <w:pPr>
              <w:pStyle w:val="14"/>
              <w:rPr>
                <w:color w:val="auto"/>
                <w:highlight w:val="none"/>
              </w:rPr>
            </w:pPr>
          </w:p>
        </w:tc>
        <w:tc>
          <w:tcPr>
            <w:tcW w:w="1947" w:type="dxa"/>
            <w:vAlign w:val="top"/>
          </w:tcPr>
          <w:p w14:paraId="4DB08604">
            <w:pPr>
              <w:pStyle w:val="14"/>
              <w:rPr>
                <w:color w:val="auto"/>
                <w:highlight w:val="none"/>
              </w:rPr>
            </w:pPr>
          </w:p>
        </w:tc>
        <w:tc>
          <w:tcPr>
            <w:tcW w:w="1465" w:type="dxa"/>
            <w:vAlign w:val="top"/>
          </w:tcPr>
          <w:p w14:paraId="337428A8">
            <w:pPr>
              <w:pStyle w:val="14"/>
              <w:rPr>
                <w:color w:val="auto"/>
                <w:highlight w:val="none"/>
              </w:rPr>
            </w:pPr>
          </w:p>
        </w:tc>
        <w:tc>
          <w:tcPr>
            <w:tcW w:w="1499" w:type="dxa"/>
            <w:vAlign w:val="top"/>
          </w:tcPr>
          <w:p w14:paraId="6BE2D6AA">
            <w:pPr>
              <w:pStyle w:val="14"/>
              <w:rPr>
                <w:color w:val="auto"/>
                <w:highlight w:val="none"/>
              </w:rPr>
            </w:pPr>
          </w:p>
        </w:tc>
        <w:tc>
          <w:tcPr>
            <w:tcW w:w="1123" w:type="dxa"/>
            <w:vAlign w:val="top"/>
          </w:tcPr>
          <w:p w14:paraId="06726010">
            <w:pPr>
              <w:pStyle w:val="14"/>
              <w:rPr>
                <w:color w:val="auto"/>
                <w:highlight w:val="none"/>
              </w:rPr>
            </w:pPr>
          </w:p>
        </w:tc>
        <w:tc>
          <w:tcPr>
            <w:tcW w:w="1056" w:type="dxa"/>
            <w:vAlign w:val="top"/>
          </w:tcPr>
          <w:p w14:paraId="07637398">
            <w:pPr>
              <w:pStyle w:val="14"/>
              <w:rPr>
                <w:color w:val="auto"/>
                <w:highlight w:val="none"/>
              </w:rPr>
            </w:pPr>
          </w:p>
        </w:tc>
      </w:tr>
      <w:tr w14:paraId="2EC09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994" w:type="dxa"/>
            <w:vAlign w:val="top"/>
          </w:tcPr>
          <w:p w14:paraId="3345BCF9">
            <w:pPr>
              <w:pStyle w:val="14"/>
              <w:rPr>
                <w:color w:val="auto"/>
                <w:highlight w:val="none"/>
              </w:rPr>
            </w:pPr>
          </w:p>
        </w:tc>
        <w:tc>
          <w:tcPr>
            <w:tcW w:w="1947" w:type="dxa"/>
            <w:vAlign w:val="top"/>
          </w:tcPr>
          <w:p w14:paraId="6041EC1F">
            <w:pPr>
              <w:pStyle w:val="14"/>
              <w:rPr>
                <w:color w:val="auto"/>
                <w:highlight w:val="none"/>
              </w:rPr>
            </w:pPr>
          </w:p>
        </w:tc>
        <w:tc>
          <w:tcPr>
            <w:tcW w:w="1465" w:type="dxa"/>
            <w:vAlign w:val="top"/>
          </w:tcPr>
          <w:p w14:paraId="06BE18C1">
            <w:pPr>
              <w:pStyle w:val="14"/>
              <w:rPr>
                <w:color w:val="auto"/>
                <w:highlight w:val="none"/>
              </w:rPr>
            </w:pPr>
          </w:p>
        </w:tc>
        <w:tc>
          <w:tcPr>
            <w:tcW w:w="1499" w:type="dxa"/>
            <w:vAlign w:val="top"/>
          </w:tcPr>
          <w:p w14:paraId="3780A76D">
            <w:pPr>
              <w:pStyle w:val="14"/>
              <w:rPr>
                <w:color w:val="auto"/>
                <w:highlight w:val="none"/>
              </w:rPr>
            </w:pPr>
          </w:p>
        </w:tc>
        <w:tc>
          <w:tcPr>
            <w:tcW w:w="1123" w:type="dxa"/>
            <w:vAlign w:val="top"/>
          </w:tcPr>
          <w:p w14:paraId="5AA68E2E">
            <w:pPr>
              <w:pStyle w:val="14"/>
              <w:rPr>
                <w:color w:val="auto"/>
                <w:highlight w:val="none"/>
              </w:rPr>
            </w:pPr>
          </w:p>
        </w:tc>
        <w:tc>
          <w:tcPr>
            <w:tcW w:w="1056" w:type="dxa"/>
            <w:vAlign w:val="top"/>
          </w:tcPr>
          <w:p w14:paraId="562A0CD2">
            <w:pPr>
              <w:pStyle w:val="14"/>
              <w:rPr>
                <w:color w:val="auto"/>
                <w:highlight w:val="none"/>
              </w:rPr>
            </w:pPr>
          </w:p>
        </w:tc>
      </w:tr>
    </w:tbl>
    <w:p w14:paraId="7CBB2E02">
      <w:pPr>
        <w:spacing w:line="276" w:lineRule="auto"/>
        <w:rPr>
          <w:rFonts w:ascii="Arial"/>
          <w:color w:val="auto"/>
          <w:sz w:val="21"/>
          <w:highlight w:val="none"/>
        </w:rPr>
      </w:pPr>
    </w:p>
    <w:p w14:paraId="516D05E4">
      <w:pPr>
        <w:spacing w:line="277" w:lineRule="auto"/>
        <w:rPr>
          <w:rFonts w:ascii="Arial"/>
          <w:color w:val="auto"/>
          <w:sz w:val="21"/>
          <w:highlight w:val="none"/>
        </w:rPr>
      </w:pPr>
    </w:p>
    <w:p w14:paraId="6C0E6236">
      <w:pPr>
        <w:spacing w:line="277" w:lineRule="auto"/>
        <w:rPr>
          <w:rFonts w:ascii="Arial"/>
          <w:color w:val="auto"/>
          <w:sz w:val="21"/>
          <w:highlight w:val="none"/>
        </w:rPr>
      </w:pPr>
    </w:p>
    <w:p w14:paraId="5800A7FE">
      <w:pPr>
        <w:pStyle w:val="2"/>
        <w:spacing w:before="78" w:line="219" w:lineRule="auto"/>
        <w:ind w:left="278"/>
        <w:rPr>
          <w:rFonts w:hint="default" w:eastAsia="宋体"/>
          <w:color w:val="auto"/>
          <w:sz w:val="24"/>
          <w:szCs w:val="24"/>
          <w:highlight w:val="none"/>
          <w:u w:val="none"/>
          <w:lang w:val="en-US" w:eastAsia="zh-CN"/>
        </w:rPr>
      </w:pPr>
      <w:r>
        <w:rPr>
          <w:color w:val="auto"/>
          <w:spacing w:val="-1"/>
          <w:sz w:val="24"/>
          <w:szCs w:val="24"/>
          <w:highlight w:val="none"/>
        </w:rPr>
        <w:t>供应商名称（公章）</w:t>
      </w:r>
      <w:r>
        <w:rPr>
          <w:color w:val="auto"/>
          <w:spacing w:val="-1"/>
          <w:sz w:val="24"/>
          <w:szCs w:val="24"/>
          <w:highlight w:val="none"/>
          <w:u w:val="single"/>
        </w:rPr>
        <w:t>：</w:t>
      </w:r>
      <w:r>
        <w:rPr>
          <w:rFonts w:hint="eastAsia"/>
          <w:color w:val="auto"/>
          <w:spacing w:val="-1"/>
          <w:sz w:val="24"/>
          <w:szCs w:val="24"/>
          <w:highlight w:val="none"/>
          <w:u w:val="single"/>
          <w:lang w:val="en-US" w:eastAsia="zh-CN"/>
        </w:rPr>
        <w:t xml:space="preserve">    </w:t>
      </w:r>
      <w:r>
        <w:rPr>
          <w:rFonts w:hint="eastAsia"/>
          <w:color w:val="auto"/>
          <w:spacing w:val="-1"/>
          <w:sz w:val="24"/>
          <w:szCs w:val="24"/>
          <w:highlight w:val="none"/>
          <w:u w:val="none"/>
          <w:lang w:val="en-US" w:eastAsia="zh-CN"/>
        </w:rPr>
        <w:t xml:space="preserve">           </w:t>
      </w:r>
    </w:p>
    <w:p w14:paraId="66E7FE76">
      <w:pPr>
        <w:pStyle w:val="2"/>
        <w:spacing w:before="114" w:line="295" w:lineRule="auto"/>
        <w:ind w:left="319" w:right="2700" w:hanging="40"/>
        <w:rPr>
          <w:color w:val="auto"/>
          <w:sz w:val="24"/>
          <w:szCs w:val="24"/>
          <w:highlight w:val="none"/>
        </w:rPr>
      </w:pPr>
      <w:r>
        <w:rPr>
          <w:color w:val="auto"/>
          <w:sz w:val="24"/>
          <w:szCs w:val="24"/>
          <w:highlight w:val="none"/>
        </w:rPr>
        <w:t>法定代表人(签/章):</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z w:val="24"/>
          <w:szCs w:val="24"/>
          <w:highlight w:val="none"/>
        </w:rPr>
        <w:t xml:space="preserve"> </w:t>
      </w:r>
      <w:r>
        <w:rPr>
          <w:color w:val="auto"/>
          <w:spacing w:val="-17"/>
          <w:sz w:val="24"/>
          <w:szCs w:val="24"/>
          <w:highlight w:val="none"/>
        </w:rPr>
        <w:t>日期</w:t>
      </w:r>
      <w:r>
        <w:rPr>
          <w:color w:val="auto"/>
          <w:sz w:val="24"/>
          <w:szCs w:val="24"/>
          <w:highlight w:val="none"/>
        </w:rPr>
        <w:t xml:space="preserve"> </w:t>
      </w:r>
      <w:r>
        <w:rPr>
          <w:color w:val="auto"/>
          <w:spacing w:val="-17"/>
          <w:sz w:val="24"/>
          <w:szCs w:val="24"/>
          <w:highlight w:val="none"/>
        </w:rPr>
        <w:t>：</w:t>
      </w:r>
    </w:p>
    <w:p w14:paraId="0EC5932B">
      <w:pPr>
        <w:spacing w:line="295" w:lineRule="auto"/>
        <w:rPr>
          <w:color w:val="auto"/>
          <w:sz w:val="24"/>
          <w:szCs w:val="24"/>
          <w:highlight w:val="none"/>
        </w:rPr>
        <w:sectPr>
          <w:headerReference r:id="rId16" w:type="default"/>
          <w:footerReference r:id="rId17" w:type="default"/>
          <w:pgSz w:w="11906" w:h="16839"/>
          <w:pgMar w:top="1127" w:right="1767" w:bottom="1162" w:left="1768" w:header="870" w:footer="985" w:gutter="0"/>
          <w:pgNumType w:fmt="decimal"/>
          <w:cols w:space="720" w:num="1"/>
        </w:sectPr>
      </w:pPr>
    </w:p>
    <w:p w14:paraId="26AA8C7D">
      <w:pPr>
        <w:spacing w:line="345" w:lineRule="auto"/>
        <w:rPr>
          <w:rFonts w:ascii="Arial"/>
          <w:color w:val="auto"/>
          <w:sz w:val="21"/>
          <w:highlight w:val="none"/>
        </w:rPr>
      </w:pPr>
    </w:p>
    <w:p w14:paraId="133C1960">
      <w:pPr>
        <w:pStyle w:val="2"/>
        <w:spacing w:before="78" w:line="220" w:lineRule="auto"/>
        <w:ind w:left="3355"/>
        <w:outlineLvl w:val="3"/>
        <w:rPr>
          <w:color w:val="auto"/>
          <w:sz w:val="24"/>
          <w:szCs w:val="24"/>
          <w:highlight w:val="none"/>
        </w:rPr>
      </w:pPr>
      <w:r>
        <w:rPr>
          <w:b/>
          <w:bCs/>
          <w:color w:val="auto"/>
          <w:spacing w:val="-4"/>
          <w:sz w:val="24"/>
          <w:szCs w:val="24"/>
          <w:highlight w:val="none"/>
        </w:rPr>
        <w:t>5、商务条款偏离表</w:t>
      </w:r>
    </w:p>
    <w:p w14:paraId="08D2494E">
      <w:pPr>
        <w:pStyle w:val="2"/>
        <w:spacing w:before="114" w:line="220" w:lineRule="auto"/>
        <w:ind w:left="762"/>
        <w:rPr>
          <w:color w:val="auto"/>
          <w:sz w:val="24"/>
          <w:szCs w:val="24"/>
          <w:highlight w:val="none"/>
        </w:rPr>
      </w:pPr>
      <w:r>
        <w:rPr>
          <w:color w:val="auto"/>
          <w:spacing w:val="-1"/>
          <w:sz w:val="24"/>
          <w:szCs w:val="24"/>
          <w:highlight w:val="none"/>
        </w:rPr>
        <w:t>项目名称:                  项目编号:</w:t>
      </w:r>
      <w:r>
        <w:rPr>
          <w:color w:val="auto"/>
          <w:sz w:val="24"/>
          <w:szCs w:val="24"/>
          <w:highlight w:val="none"/>
        </w:rPr>
        <w:t xml:space="preserve">             </w:t>
      </w:r>
      <w:r>
        <w:rPr>
          <w:color w:val="auto"/>
          <w:spacing w:val="-1"/>
          <w:sz w:val="24"/>
          <w:szCs w:val="24"/>
          <w:highlight w:val="none"/>
        </w:rPr>
        <w:t>标项号</w:t>
      </w:r>
      <w:r>
        <w:rPr>
          <w:color w:val="auto"/>
          <w:spacing w:val="-2"/>
          <w:sz w:val="24"/>
          <w:szCs w:val="24"/>
          <w:highlight w:val="none"/>
        </w:rPr>
        <w:t>：（</w:t>
      </w:r>
      <w:r>
        <w:rPr>
          <w:color w:val="auto"/>
          <w:spacing w:val="-1"/>
          <w:sz w:val="24"/>
          <w:szCs w:val="24"/>
          <w:highlight w:val="none"/>
        </w:rPr>
        <w:t>如有）</w:t>
      </w:r>
    </w:p>
    <w:tbl>
      <w:tblPr>
        <w:tblStyle w:val="13"/>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844"/>
        <w:gridCol w:w="2309"/>
        <w:gridCol w:w="1943"/>
        <w:gridCol w:w="1050"/>
        <w:gridCol w:w="799"/>
      </w:tblGrid>
      <w:tr w14:paraId="05664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75" w:type="dxa"/>
            <w:vAlign w:val="top"/>
          </w:tcPr>
          <w:p w14:paraId="0E146801">
            <w:pPr>
              <w:spacing w:before="313" w:line="221" w:lineRule="auto"/>
              <w:ind w:left="14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1844" w:type="dxa"/>
            <w:vAlign w:val="top"/>
          </w:tcPr>
          <w:p w14:paraId="69DDF011">
            <w:pPr>
              <w:spacing w:before="112" w:line="262" w:lineRule="auto"/>
              <w:ind w:left="564" w:right="440" w:hanging="12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磋商文件</w:t>
            </w:r>
            <w:r>
              <w:rPr>
                <w:rFonts w:ascii="宋体" w:hAnsi="宋体" w:eastAsia="宋体" w:cs="宋体"/>
                <w:color w:val="auto"/>
                <w:spacing w:val="2"/>
                <w:sz w:val="24"/>
                <w:szCs w:val="24"/>
                <w:highlight w:val="none"/>
              </w:rPr>
              <w:t xml:space="preserve"> </w:t>
            </w:r>
            <w:r>
              <w:rPr>
                <w:rFonts w:ascii="宋体" w:hAnsi="宋体" w:eastAsia="宋体" w:cs="宋体"/>
                <w:color w:val="auto"/>
                <w:spacing w:val="-3"/>
                <w:sz w:val="24"/>
                <w:szCs w:val="24"/>
                <w:highlight w:val="none"/>
              </w:rPr>
              <w:t>条款号</w:t>
            </w:r>
          </w:p>
        </w:tc>
        <w:tc>
          <w:tcPr>
            <w:tcW w:w="2309" w:type="dxa"/>
            <w:vAlign w:val="top"/>
          </w:tcPr>
          <w:p w14:paraId="53D40FA4">
            <w:pPr>
              <w:spacing w:before="112" w:line="262" w:lineRule="auto"/>
              <w:ind w:left="919" w:right="310" w:hanging="60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磋商文件的商务</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条款</w:t>
            </w:r>
          </w:p>
        </w:tc>
        <w:tc>
          <w:tcPr>
            <w:tcW w:w="1943" w:type="dxa"/>
            <w:vAlign w:val="top"/>
          </w:tcPr>
          <w:p w14:paraId="5B71413D">
            <w:pPr>
              <w:spacing w:before="112" w:line="262" w:lineRule="auto"/>
              <w:ind w:left="739" w:right="124" w:hanging="58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响应文件的商务</w:t>
            </w:r>
            <w:r>
              <w:rPr>
                <w:rFonts w:ascii="宋体" w:hAnsi="宋体" w:eastAsia="宋体" w:cs="宋体"/>
                <w:color w:val="auto"/>
                <w:spacing w:val="5"/>
                <w:sz w:val="24"/>
                <w:szCs w:val="24"/>
                <w:highlight w:val="none"/>
              </w:rPr>
              <w:t xml:space="preserve"> </w:t>
            </w:r>
            <w:r>
              <w:rPr>
                <w:rFonts w:ascii="宋体" w:hAnsi="宋体" w:eastAsia="宋体" w:cs="宋体"/>
                <w:color w:val="auto"/>
                <w:spacing w:val="-3"/>
                <w:sz w:val="24"/>
                <w:szCs w:val="24"/>
                <w:highlight w:val="none"/>
              </w:rPr>
              <w:t>条款</w:t>
            </w:r>
          </w:p>
        </w:tc>
        <w:tc>
          <w:tcPr>
            <w:tcW w:w="1050" w:type="dxa"/>
            <w:vAlign w:val="top"/>
          </w:tcPr>
          <w:p w14:paraId="33E8A22E">
            <w:pPr>
              <w:spacing w:before="112" w:line="262" w:lineRule="auto"/>
              <w:ind w:left="293" w:right="275" w:firstLine="3"/>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是否</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偏离</w:t>
            </w:r>
          </w:p>
        </w:tc>
        <w:tc>
          <w:tcPr>
            <w:tcW w:w="799" w:type="dxa"/>
            <w:vAlign w:val="top"/>
          </w:tcPr>
          <w:p w14:paraId="391E7CF1">
            <w:pPr>
              <w:spacing w:before="313" w:line="220" w:lineRule="auto"/>
              <w:ind w:left="16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说明</w:t>
            </w:r>
          </w:p>
        </w:tc>
      </w:tr>
      <w:tr w14:paraId="68651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24FDF40A">
            <w:pPr>
              <w:pStyle w:val="14"/>
              <w:rPr>
                <w:color w:val="auto"/>
                <w:highlight w:val="none"/>
              </w:rPr>
            </w:pPr>
          </w:p>
        </w:tc>
        <w:tc>
          <w:tcPr>
            <w:tcW w:w="1844" w:type="dxa"/>
            <w:vAlign w:val="top"/>
          </w:tcPr>
          <w:p w14:paraId="513680AB">
            <w:pPr>
              <w:pStyle w:val="14"/>
              <w:rPr>
                <w:color w:val="auto"/>
                <w:highlight w:val="none"/>
              </w:rPr>
            </w:pPr>
          </w:p>
        </w:tc>
        <w:tc>
          <w:tcPr>
            <w:tcW w:w="2309" w:type="dxa"/>
            <w:vAlign w:val="top"/>
          </w:tcPr>
          <w:p w14:paraId="2267DEA7">
            <w:pPr>
              <w:pStyle w:val="14"/>
              <w:rPr>
                <w:color w:val="auto"/>
                <w:highlight w:val="none"/>
              </w:rPr>
            </w:pPr>
          </w:p>
        </w:tc>
        <w:tc>
          <w:tcPr>
            <w:tcW w:w="1943" w:type="dxa"/>
            <w:vAlign w:val="top"/>
          </w:tcPr>
          <w:p w14:paraId="5615E58F">
            <w:pPr>
              <w:pStyle w:val="14"/>
              <w:rPr>
                <w:color w:val="auto"/>
                <w:highlight w:val="none"/>
              </w:rPr>
            </w:pPr>
          </w:p>
        </w:tc>
        <w:tc>
          <w:tcPr>
            <w:tcW w:w="1050" w:type="dxa"/>
            <w:vAlign w:val="top"/>
          </w:tcPr>
          <w:p w14:paraId="28656365">
            <w:pPr>
              <w:pStyle w:val="14"/>
              <w:rPr>
                <w:color w:val="auto"/>
                <w:highlight w:val="none"/>
              </w:rPr>
            </w:pPr>
          </w:p>
        </w:tc>
        <w:tc>
          <w:tcPr>
            <w:tcW w:w="799" w:type="dxa"/>
            <w:vAlign w:val="top"/>
          </w:tcPr>
          <w:p w14:paraId="066B6596">
            <w:pPr>
              <w:pStyle w:val="14"/>
              <w:rPr>
                <w:color w:val="auto"/>
                <w:highlight w:val="none"/>
              </w:rPr>
            </w:pPr>
          </w:p>
        </w:tc>
      </w:tr>
      <w:tr w14:paraId="5EA41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16DB4777">
            <w:pPr>
              <w:pStyle w:val="14"/>
              <w:rPr>
                <w:color w:val="auto"/>
                <w:highlight w:val="none"/>
              </w:rPr>
            </w:pPr>
          </w:p>
        </w:tc>
        <w:tc>
          <w:tcPr>
            <w:tcW w:w="1844" w:type="dxa"/>
            <w:vAlign w:val="top"/>
          </w:tcPr>
          <w:p w14:paraId="22D95715">
            <w:pPr>
              <w:pStyle w:val="14"/>
              <w:rPr>
                <w:color w:val="auto"/>
                <w:highlight w:val="none"/>
              </w:rPr>
            </w:pPr>
          </w:p>
        </w:tc>
        <w:tc>
          <w:tcPr>
            <w:tcW w:w="2309" w:type="dxa"/>
            <w:vAlign w:val="top"/>
          </w:tcPr>
          <w:p w14:paraId="383FD6AF">
            <w:pPr>
              <w:pStyle w:val="14"/>
              <w:rPr>
                <w:color w:val="auto"/>
                <w:highlight w:val="none"/>
              </w:rPr>
            </w:pPr>
          </w:p>
        </w:tc>
        <w:tc>
          <w:tcPr>
            <w:tcW w:w="1943" w:type="dxa"/>
            <w:vAlign w:val="top"/>
          </w:tcPr>
          <w:p w14:paraId="662A11B5">
            <w:pPr>
              <w:pStyle w:val="14"/>
              <w:rPr>
                <w:color w:val="auto"/>
                <w:highlight w:val="none"/>
              </w:rPr>
            </w:pPr>
          </w:p>
        </w:tc>
        <w:tc>
          <w:tcPr>
            <w:tcW w:w="1050" w:type="dxa"/>
            <w:vAlign w:val="top"/>
          </w:tcPr>
          <w:p w14:paraId="219C01E7">
            <w:pPr>
              <w:pStyle w:val="14"/>
              <w:rPr>
                <w:color w:val="auto"/>
                <w:highlight w:val="none"/>
              </w:rPr>
            </w:pPr>
          </w:p>
        </w:tc>
        <w:tc>
          <w:tcPr>
            <w:tcW w:w="799" w:type="dxa"/>
            <w:vAlign w:val="top"/>
          </w:tcPr>
          <w:p w14:paraId="73EAC08C">
            <w:pPr>
              <w:pStyle w:val="14"/>
              <w:rPr>
                <w:color w:val="auto"/>
                <w:highlight w:val="none"/>
              </w:rPr>
            </w:pPr>
          </w:p>
        </w:tc>
      </w:tr>
      <w:tr w14:paraId="35852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1E32D4BD">
            <w:pPr>
              <w:pStyle w:val="14"/>
              <w:rPr>
                <w:color w:val="auto"/>
                <w:highlight w:val="none"/>
              </w:rPr>
            </w:pPr>
          </w:p>
        </w:tc>
        <w:tc>
          <w:tcPr>
            <w:tcW w:w="1844" w:type="dxa"/>
            <w:vAlign w:val="top"/>
          </w:tcPr>
          <w:p w14:paraId="7E8E4132">
            <w:pPr>
              <w:pStyle w:val="14"/>
              <w:rPr>
                <w:color w:val="auto"/>
                <w:highlight w:val="none"/>
              </w:rPr>
            </w:pPr>
          </w:p>
        </w:tc>
        <w:tc>
          <w:tcPr>
            <w:tcW w:w="2309" w:type="dxa"/>
            <w:vAlign w:val="top"/>
          </w:tcPr>
          <w:p w14:paraId="5D55595B">
            <w:pPr>
              <w:pStyle w:val="14"/>
              <w:rPr>
                <w:color w:val="auto"/>
                <w:highlight w:val="none"/>
              </w:rPr>
            </w:pPr>
          </w:p>
        </w:tc>
        <w:tc>
          <w:tcPr>
            <w:tcW w:w="1943" w:type="dxa"/>
            <w:vAlign w:val="top"/>
          </w:tcPr>
          <w:p w14:paraId="30D644CD">
            <w:pPr>
              <w:pStyle w:val="14"/>
              <w:rPr>
                <w:color w:val="auto"/>
                <w:highlight w:val="none"/>
              </w:rPr>
            </w:pPr>
          </w:p>
        </w:tc>
        <w:tc>
          <w:tcPr>
            <w:tcW w:w="1050" w:type="dxa"/>
            <w:vAlign w:val="top"/>
          </w:tcPr>
          <w:p w14:paraId="1E6450C3">
            <w:pPr>
              <w:pStyle w:val="14"/>
              <w:rPr>
                <w:color w:val="auto"/>
                <w:highlight w:val="none"/>
              </w:rPr>
            </w:pPr>
          </w:p>
        </w:tc>
        <w:tc>
          <w:tcPr>
            <w:tcW w:w="799" w:type="dxa"/>
            <w:vAlign w:val="top"/>
          </w:tcPr>
          <w:p w14:paraId="618E91AB">
            <w:pPr>
              <w:pStyle w:val="14"/>
              <w:rPr>
                <w:color w:val="auto"/>
                <w:highlight w:val="none"/>
              </w:rPr>
            </w:pPr>
          </w:p>
        </w:tc>
      </w:tr>
      <w:tr w14:paraId="5D7E1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4D14D6E1">
            <w:pPr>
              <w:pStyle w:val="14"/>
              <w:rPr>
                <w:color w:val="auto"/>
                <w:highlight w:val="none"/>
              </w:rPr>
            </w:pPr>
          </w:p>
        </w:tc>
        <w:tc>
          <w:tcPr>
            <w:tcW w:w="1844" w:type="dxa"/>
            <w:vAlign w:val="top"/>
          </w:tcPr>
          <w:p w14:paraId="22D3A849">
            <w:pPr>
              <w:pStyle w:val="14"/>
              <w:rPr>
                <w:color w:val="auto"/>
                <w:highlight w:val="none"/>
              </w:rPr>
            </w:pPr>
          </w:p>
        </w:tc>
        <w:tc>
          <w:tcPr>
            <w:tcW w:w="2309" w:type="dxa"/>
            <w:vAlign w:val="top"/>
          </w:tcPr>
          <w:p w14:paraId="524B1AD7">
            <w:pPr>
              <w:pStyle w:val="14"/>
              <w:rPr>
                <w:color w:val="auto"/>
                <w:highlight w:val="none"/>
              </w:rPr>
            </w:pPr>
          </w:p>
        </w:tc>
        <w:tc>
          <w:tcPr>
            <w:tcW w:w="1943" w:type="dxa"/>
            <w:vAlign w:val="top"/>
          </w:tcPr>
          <w:p w14:paraId="65EADE89">
            <w:pPr>
              <w:pStyle w:val="14"/>
              <w:rPr>
                <w:color w:val="auto"/>
                <w:highlight w:val="none"/>
              </w:rPr>
            </w:pPr>
          </w:p>
        </w:tc>
        <w:tc>
          <w:tcPr>
            <w:tcW w:w="1050" w:type="dxa"/>
            <w:vAlign w:val="top"/>
          </w:tcPr>
          <w:p w14:paraId="3FCA3FCF">
            <w:pPr>
              <w:pStyle w:val="14"/>
              <w:rPr>
                <w:color w:val="auto"/>
                <w:highlight w:val="none"/>
              </w:rPr>
            </w:pPr>
          </w:p>
        </w:tc>
        <w:tc>
          <w:tcPr>
            <w:tcW w:w="799" w:type="dxa"/>
            <w:vAlign w:val="top"/>
          </w:tcPr>
          <w:p w14:paraId="646A457E">
            <w:pPr>
              <w:pStyle w:val="14"/>
              <w:rPr>
                <w:color w:val="auto"/>
                <w:highlight w:val="none"/>
              </w:rPr>
            </w:pPr>
          </w:p>
        </w:tc>
      </w:tr>
      <w:tr w14:paraId="070EF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0C5C9E87">
            <w:pPr>
              <w:pStyle w:val="14"/>
              <w:rPr>
                <w:color w:val="auto"/>
                <w:highlight w:val="none"/>
              </w:rPr>
            </w:pPr>
          </w:p>
        </w:tc>
        <w:tc>
          <w:tcPr>
            <w:tcW w:w="1844" w:type="dxa"/>
            <w:vAlign w:val="top"/>
          </w:tcPr>
          <w:p w14:paraId="1001184C">
            <w:pPr>
              <w:pStyle w:val="14"/>
              <w:rPr>
                <w:color w:val="auto"/>
                <w:highlight w:val="none"/>
              </w:rPr>
            </w:pPr>
          </w:p>
        </w:tc>
        <w:tc>
          <w:tcPr>
            <w:tcW w:w="2309" w:type="dxa"/>
            <w:vAlign w:val="top"/>
          </w:tcPr>
          <w:p w14:paraId="7944C36B">
            <w:pPr>
              <w:pStyle w:val="14"/>
              <w:rPr>
                <w:color w:val="auto"/>
                <w:highlight w:val="none"/>
              </w:rPr>
            </w:pPr>
          </w:p>
        </w:tc>
        <w:tc>
          <w:tcPr>
            <w:tcW w:w="1943" w:type="dxa"/>
            <w:vAlign w:val="top"/>
          </w:tcPr>
          <w:p w14:paraId="74A0BD53">
            <w:pPr>
              <w:pStyle w:val="14"/>
              <w:rPr>
                <w:color w:val="auto"/>
                <w:highlight w:val="none"/>
              </w:rPr>
            </w:pPr>
          </w:p>
        </w:tc>
        <w:tc>
          <w:tcPr>
            <w:tcW w:w="1050" w:type="dxa"/>
            <w:vAlign w:val="top"/>
          </w:tcPr>
          <w:p w14:paraId="4374E547">
            <w:pPr>
              <w:pStyle w:val="14"/>
              <w:rPr>
                <w:color w:val="auto"/>
                <w:highlight w:val="none"/>
              </w:rPr>
            </w:pPr>
          </w:p>
        </w:tc>
        <w:tc>
          <w:tcPr>
            <w:tcW w:w="799" w:type="dxa"/>
            <w:vAlign w:val="top"/>
          </w:tcPr>
          <w:p w14:paraId="009E2E51">
            <w:pPr>
              <w:pStyle w:val="14"/>
              <w:rPr>
                <w:color w:val="auto"/>
                <w:highlight w:val="none"/>
              </w:rPr>
            </w:pPr>
          </w:p>
        </w:tc>
      </w:tr>
      <w:tr w14:paraId="54F86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12182E36">
            <w:pPr>
              <w:pStyle w:val="14"/>
              <w:rPr>
                <w:color w:val="auto"/>
                <w:highlight w:val="none"/>
              </w:rPr>
            </w:pPr>
          </w:p>
        </w:tc>
        <w:tc>
          <w:tcPr>
            <w:tcW w:w="1844" w:type="dxa"/>
            <w:vAlign w:val="top"/>
          </w:tcPr>
          <w:p w14:paraId="6411F750">
            <w:pPr>
              <w:pStyle w:val="14"/>
              <w:rPr>
                <w:color w:val="auto"/>
                <w:highlight w:val="none"/>
              </w:rPr>
            </w:pPr>
          </w:p>
        </w:tc>
        <w:tc>
          <w:tcPr>
            <w:tcW w:w="2309" w:type="dxa"/>
            <w:vAlign w:val="top"/>
          </w:tcPr>
          <w:p w14:paraId="6727EAEF">
            <w:pPr>
              <w:pStyle w:val="14"/>
              <w:rPr>
                <w:color w:val="auto"/>
                <w:highlight w:val="none"/>
              </w:rPr>
            </w:pPr>
          </w:p>
        </w:tc>
        <w:tc>
          <w:tcPr>
            <w:tcW w:w="1943" w:type="dxa"/>
            <w:vAlign w:val="top"/>
          </w:tcPr>
          <w:p w14:paraId="64085494">
            <w:pPr>
              <w:pStyle w:val="14"/>
              <w:rPr>
                <w:color w:val="auto"/>
                <w:highlight w:val="none"/>
              </w:rPr>
            </w:pPr>
          </w:p>
        </w:tc>
        <w:tc>
          <w:tcPr>
            <w:tcW w:w="1050" w:type="dxa"/>
            <w:vAlign w:val="top"/>
          </w:tcPr>
          <w:p w14:paraId="38E9937D">
            <w:pPr>
              <w:pStyle w:val="14"/>
              <w:rPr>
                <w:color w:val="auto"/>
                <w:highlight w:val="none"/>
              </w:rPr>
            </w:pPr>
          </w:p>
        </w:tc>
        <w:tc>
          <w:tcPr>
            <w:tcW w:w="799" w:type="dxa"/>
            <w:vAlign w:val="top"/>
          </w:tcPr>
          <w:p w14:paraId="13C6AC08">
            <w:pPr>
              <w:pStyle w:val="14"/>
              <w:rPr>
                <w:color w:val="auto"/>
                <w:highlight w:val="none"/>
              </w:rPr>
            </w:pPr>
          </w:p>
        </w:tc>
      </w:tr>
      <w:tr w14:paraId="55302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68E60BFE">
            <w:pPr>
              <w:pStyle w:val="14"/>
              <w:rPr>
                <w:color w:val="auto"/>
                <w:highlight w:val="none"/>
              </w:rPr>
            </w:pPr>
          </w:p>
        </w:tc>
        <w:tc>
          <w:tcPr>
            <w:tcW w:w="1844" w:type="dxa"/>
            <w:vAlign w:val="top"/>
          </w:tcPr>
          <w:p w14:paraId="5EBC298B">
            <w:pPr>
              <w:pStyle w:val="14"/>
              <w:rPr>
                <w:color w:val="auto"/>
                <w:highlight w:val="none"/>
              </w:rPr>
            </w:pPr>
          </w:p>
        </w:tc>
        <w:tc>
          <w:tcPr>
            <w:tcW w:w="2309" w:type="dxa"/>
            <w:vAlign w:val="top"/>
          </w:tcPr>
          <w:p w14:paraId="5857296D">
            <w:pPr>
              <w:pStyle w:val="14"/>
              <w:rPr>
                <w:color w:val="auto"/>
                <w:highlight w:val="none"/>
              </w:rPr>
            </w:pPr>
          </w:p>
        </w:tc>
        <w:tc>
          <w:tcPr>
            <w:tcW w:w="1943" w:type="dxa"/>
            <w:vAlign w:val="top"/>
          </w:tcPr>
          <w:p w14:paraId="64CCA15B">
            <w:pPr>
              <w:pStyle w:val="14"/>
              <w:rPr>
                <w:color w:val="auto"/>
                <w:highlight w:val="none"/>
              </w:rPr>
            </w:pPr>
          </w:p>
        </w:tc>
        <w:tc>
          <w:tcPr>
            <w:tcW w:w="1050" w:type="dxa"/>
            <w:vAlign w:val="top"/>
          </w:tcPr>
          <w:p w14:paraId="5813D672">
            <w:pPr>
              <w:pStyle w:val="14"/>
              <w:rPr>
                <w:color w:val="auto"/>
                <w:highlight w:val="none"/>
              </w:rPr>
            </w:pPr>
          </w:p>
        </w:tc>
        <w:tc>
          <w:tcPr>
            <w:tcW w:w="799" w:type="dxa"/>
            <w:vAlign w:val="top"/>
          </w:tcPr>
          <w:p w14:paraId="7E213573">
            <w:pPr>
              <w:pStyle w:val="14"/>
              <w:rPr>
                <w:color w:val="auto"/>
                <w:highlight w:val="none"/>
              </w:rPr>
            </w:pPr>
          </w:p>
        </w:tc>
      </w:tr>
      <w:tr w14:paraId="7F01B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47D32978">
            <w:pPr>
              <w:pStyle w:val="14"/>
              <w:rPr>
                <w:color w:val="auto"/>
                <w:highlight w:val="none"/>
              </w:rPr>
            </w:pPr>
          </w:p>
        </w:tc>
        <w:tc>
          <w:tcPr>
            <w:tcW w:w="1844" w:type="dxa"/>
            <w:vAlign w:val="top"/>
          </w:tcPr>
          <w:p w14:paraId="6EE054DB">
            <w:pPr>
              <w:pStyle w:val="14"/>
              <w:rPr>
                <w:color w:val="auto"/>
                <w:highlight w:val="none"/>
              </w:rPr>
            </w:pPr>
          </w:p>
        </w:tc>
        <w:tc>
          <w:tcPr>
            <w:tcW w:w="2309" w:type="dxa"/>
            <w:vAlign w:val="top"/>
          </w:tcPr>
          <w:p w14:paraId="22460C05">
            <w:pPr>
              <w:pStyle w:val="14"/>
              <w:rPr>
                <w:color w:val="auto"/>
                <w:highlight w:val="none"/>
              </w:rPr>
            </w:pPr>
          </w:p>
        </w:tc>
        <w:tc>
          <w:tcPr>
            <w:tcW w:w="1943" w:type="dxa"/>
            <w:vAlign w:val="top"/>
          </w:tcPr>
          <w:p w14:paraId="1BE13AF4">
            <w:pPr>
              <w:pStyle w:val="14"/>
              <w:rPr>
                <w:color w:val="auto"/>
                <w:highlight w:val="none"/>
              </w:rPr>
            </w:pPr>
          </w:p>
        </w:tc>
        <w:tc>
          <w:tcPr>
            <w:tcW w:w="1050" w:type="dxa"/>
            <w:vAlign w:val="top"/>
          </w:tcPr>
          <w:p w14:paraId="1A91B527">
            <w:pPr>
              <w:pStyle w:val="14"/>
              <w:rPr>
                <w:color w:val="auto"/>
                <w:highlight w:val="none"/>
              </w:rPr>
            </w:pPr>
          </w:p>
        </w:tc>
        <w:tc>
          <w:tcPr>
            <w:tcW w:w="799" w:type="dxa"/>
            <w:vAlign w:val="top"/>
          </w:tcPr>
          <w:p w14:paraId="08C6AD8D">
            <w:pPr>
              <w:pStyle w:val="14"/>
              <w:rPr>
                <w:color w:val="auto"/>
                <w:highlight w:val="none"/>
              </w:rPr>
            </w:pPr>
          </w:p>
        </w:tc>
      </w:tr>
      <w:tr w14:paraId="0F644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21A89DF8">
            <w:pPr>
              <w:pStyle w:val="14"/>
              <w:rPr>
                <w:color w:val="auto"/>
                <w:highlight w:val="none"/>
              </w:rPr>
            </w:pPr>
          </w:p>
        </w:tc>
        <w:tc>
          <w:tcPr>
            <w:tcW w:w="1844" w:type="dxa"/>
            <w:vAlign w:val="top"/>
          </w:tcPr>
          <w:p w14:paraId="60317765">
            <w:pPr>
              <w:pStyle w:val="14"/>
              <w:rPr>
                <w:color w:val="auto"/>
                <w:highlight w:val="none"/>
              </w:rPr>
            </w:pPr>
          </w:p>
        </w:tc>
        <w:tc>
          <w:tcPr>
            <w:tcW w:w="2309" w:type="dxa"/>
            <w:vAlign w:val="top"/>
          </w:tcPr>
          <w:p w14:paraId="54E0AF1F">
            <w:pPr>
              <w:pStyle w:val="14"/>
              <w:rPr>
                <w:color w:val="auto"/>
                <w:highlight w:val="none"/>
              </w:rPr>
            </w:pPr>
          </w:p>
        </w:tc>
        <w:tc>
          <w:tcPr>
            <w:tcW w:w="1943" w:type="dxa"/>
            <w:vAlign w:val="top"/>
          </w:tcPr>
          <w:p w14:paraId="0D9BB292">
            <w:pPr>
              <w:pStyle w:val="14"/>
              <w:rPr>
                <w:color w:val="auto"/>
                <w:highlight w:val="none"/>
              </w:rPr>
            </w:pPr>
          </w:p>
        </w:tc>
        <w:tc>
          <w:tcPr>
            <w:tcW w:w="1050" w:type="dxa"/>
            <w:vAlign w:val="top"/>
          </w:tcPr>
          <w:p w14:paraId="0FA6CC17">
            <w:pPr>
              <w:pStyle w:val="14"/>
              <w:rPr>
                <w:color w:val="auto"/>
                <w:highlight w:val="none"/>
              </w:rPr>
            </w:pPr>
          </w:p>
        </w:tc>
        <w:tc>
          <w:tcPr>
            <w:tcW w:w="799" w:type="dxa"/>
            <w:vAlign w:val="top"/>
          </w:tcPr>
          <w:p w14:paraId="29044A8C">
            <w:pPr>
              <w:pStyle w:val="14"/>
              <w:rPr>
                <w:color w:val="auto"/>
                <w:highlight w:val="none"/>
              </w:rPr>
            </w:pPr>
          </w:p>
        </w:tc>
      </w:tr>
      <w:tr w14:paraId="7BBE5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75" w:type="dxa"/>
            <w:vAlign w:val="top"/>
          </w:tcPr>
          <w:p w14:paraId="7AB7703E">
            <w:pPr>
              <w:pStyle w:val="14"/>
              <w:rPr>
                <w:color w:val="auto"/>
                <w:highlight w:val="none"/>
              </w:rPr>
            </w:pPr>
          </w:p>
        </w:tc>
        <w:tc>
          <w:tcPr>
            <w:tcW w:w="1844" w:type="dxa"/>
            <w:vAlign w:val="top"/>
          </w:tcPr>
          <w:p w14:paraId="1D8C6A8B">
            <w:pPr>
              <w:pStyle w:val="14"/>
              <w:rPr>
                <w:color w:val="auto"/>
                <w:highlight w:val="none"/>
              </w:rPr>
            </w:pPr>
          </w:p>
        </w:tc>
        <w:tc>
          <w:tcPr>
            <w:tcW w:w="2309" w:type="dxa"/>
            <w:vAlign w:val="top"/>
          </w:tcPr>
          <w:p w14:paraId="107200FA">
            <w:pPr>
              <w:pStyle w:val="14"/>
              <w:rPr>
                <w:color w:val="auto"/>
                <w:highlight w:val="none"/>
              </w:rPr>
            </w:pPr>
          </w:p>
        </w:tc>
        <w:tc>
          <w:tcPr>
            <w:tcW w:w="1943" w:type="dxa"/>
            <w:vAlign w:val="top"/>
          </w:tcPr>
          <w:p w14:paraId="2B806479">
            <w:pPr>
              <w:pStyle w:val="14"/>
              <w:rPr>
                <w:color w:val="auto"/>
                <w:highlight w:val="none"/>
              </w:rPr>
            </w:pPr>
          </w:p>
        </w:tc>
        <w:tc>
          <w:tcPr>
            <w:tcW w:w="1050" w:type="dxa"/>
            <w:vAlign w:val="top"/>
          </w:tcPr>
          <w:p w14:paraId="72A0AD59">
            <w:pPr>
              <w:pStyle w:val="14"/>
              <w:rPr>
                <w:color w:val="auto"/>
                <w:highlight w:val="none"/>
              </w:rPr>
            </w:pPr>
          </w:p>
        </w:tc>
        <w:tc>
          <w:tcPr>
            <w:tcW w:w="799" w:type="dxa"/>
            <w:vAlign w:val="top"/>
          </w:tcPr>
          <w:p w14:paraId="305D38E5">
            <w:pPr>
              <w:pStyle w:val="14"/>
              <w:rPr>
                <w:color w:val="auto"/>
                <w:highlight w:val="none"/>
              </w:rPr>
            </w:pPr>
          </w:p>
        </w:tc>
      </w:tr>
      <w:tr w14:paraId="3DF66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75" w:type="dxa"/>
            <w:vAlign w:val="top"/>
          </w:tcPr>
          <w:p w14:paraId="21685B44">
            <w:pPr>
              <w:pStyle w:val="14"/>
              <w:rPr>
                <w:color w:val="auto"/>
                <w:highlight w:val="none"/>
              </w:rPr>
            </w:pPr>
          </w:p>
        </w:tc>
        <w:tc>
          <w:tcPr>
            <w:tcW w:w="1844" w:type="dxa"/>
            <w:vAlign w:val="top"/>
          </w:tcPr>
          <w:p w14:paraId="40357328">
            <w:pPr>
              <w:pStyle w:val="14"/>
              <w:rPr>
                <w:color w:val="auto"/>
                <w:highlight w:val="none"/>
              </w:rPr>
            </w:pPr>
          </w:p>
        </w:tc>
        <w:tc>
          <w:tcPr>
            <w:tcW w:w="2309" w:type="dxa"/>
            <w:vAlign w:val="top"/>
          </w:tcPr>
          <w:p w14:paraId="43420A07">
            <w:pPr>
              <w:pStyle w:val="14"/>
              <w:rPr>
                <w:color w:val="auto"/>
                <w:highlight w:val="none"/>
              </w:rPr>
            </w:pPr>
          </w:p>
        </w:tc>
        <w:tc>
          <w:tcPr>
            <w:tcW w:w="1943" w:type="dxa"/>
            <w:vAlign w:val="top"/>
          </w:tcPr>
          <w:p w14:paraId="1B2258B9">
            <w:pPr>
              <w:pStyle w:val="14"/>
              <w:rPr>
                <w:color w:val="auto"/>
                <w:highlight w:val="none"/>
              </w:rPr>
            </w:pPr>
          </w:p>
        </w:tc>
        <w:tc>
          <w:tcPr>
            <w:tcW w:w="1050" w:type="dxa"/>
            <w:vAlign w:val="top"/>
          </w:tcPr>
          <w:p w14:paraId="130A40ED">
            <w:pPr>
              <w:pStyle w:val="14"/>
              <w:rPr>
                <w:color w:val="auto"/>
                <w:highlight w:val="none"/>
              </w:rPr>
            </w:pPr>
          </w:p>
        </w:tc>
        <w:tc>
          <w:tcPr>
            <w:tcW w:w="799" w:type="dxa"/>
            <w:vAlign w:val="top"/>
          </w:tcPr>
          <w:p w14:paraId="711F85E2">
            <w:pPr>
              <w:pStyle w:val="14"/>
              <w:rPr>
                <w:color w:val="auto"/>
                <w:highlight w:val="none"/>
              </w:rPr>
            </w:pPr>
          </w:p>
        </w:tc>
      </w:tr>
      <w:tr w14:paraId="3CBC9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75" w:type="dxa"/>
            <w:vAlign w:val="top"/>
          </w:tcPr>
          <w:p w14:paraId="57B016EE">
            <w:pPr>
              <w:pStyle w:val="14"/>
              <w:rPr>
                <w:color w:val="auto"/>
                <w:highlight w:val="none"/>
              </w:rPr>
            </w:pPr>
          </w:p>
        </w:tc>
        <w:tc>
          <w:tcPr>
            <w:tcW w:w="1844" w:type="dxa"/>
            <w:vAlign w:val="top"/>
          </w:tcPr>
          <w:p w14:paraId="327770A4">
            <w:pPr>
              <w:pStyle w:val="14"/>
              <w:rPr>
                <w:color w:val="auto"/>
                <w:highlight w:val="none"/>
              </w:rPr>
            </w:pPr>
          </w:p>
        </w:tc>
        <w:tc>
          <w:tcPr>
            <w:tcW w:w="2309" w:type="dxa"/>
            <w:vAlign w:val="top"/>
          </w:tcPr>
          <w:p w14:paraId="194EB9F2">
            <w:pPr>
              <w:pStyle w:val="14"/>
              <w:rPr>
                <w:color w:val="auto"/>
                <w:highlight w:val="none"/>
              </w:rPr>
            </w:pPr>
          </w:p>
        </w:tc>
        <w:tc>
          <w:tcPr>
            <w:tcW w:w="1943" w:type="dxa"/>
            <w:vAlign w:val="top"/>
          </w:tcPr>
          <w:p w14:paraId="049A78B2">
            <w:pPr>
              <w:pStyle w:val="14"/>
              <w:rPr>
                <w:color w:val="auto"/>
                <w:highlight w:val="none"/>
              </w:rPr>
            </w:pPr>
          </w:p>
        </w:tc>
        <w:tc>
          <w:tcPr>
            <w:tcW w:w="1050" w:type="dxa"/>
            <w:vAlign w:val="top"/>
          </w:tcPr>
          <w:p w14:paraId="77A466B5">
            <w:pPr>
              <w:pStyle w:val="14"/>
              <w:rPr>
                <w:color w:val="auto"/>
                <w:highlight w:val="none"/>
              </w:rPr>
            </w:pPr>
          </w:p>
        </w:tc>
        <w:tc>
          <w:tcPr>
            <w:tcW w:w="799" w:type="dxa"/>
            <w:vAlign w:val="top"/>
          </w:tcPr>
          <w:p w14:paraId="7ED2CCA6">
            <w:pPr>
              <w:pStyle w:val="14"/>
              <w:rPr>
                <w:color w:val="auto"/>
                <w:highlight w:val="none"/>
              </w:rPr>
            </w:pPr>
          </w:p>
        </w:tc>
      </w:tr>
      <w:tr w14:paraId="08FC9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75" w:type="dxa"/>
            <w:vAlign w:val="top"/>
          </w:tcPr>
          <w:p w14:paraId="1DCC122E">
            <w:pPr>
              <w:pStyle w:val="14"/>
              <w:rPr>
                <w:color w:val="auto"/>
                <w:highlight w:val="none"/>
              </w:rPr>
            </w:pPr>
          </w:p>
        </w:tc>
        <w:tc>
          <w:tcPr>
            <w:tcW w:w="1844" w:type="dxa"/>
            <w:vAlign w:val="top"/>
          </w:tcPr>
          <w:p w14:paraId="74BC60B8">
            <w:pPr>
              <w:pStyle w:val="14"/>
              <w:rPr>
                <w:color w:val="auto"/>
                <w:highlight w:val="none"/>
              </w:rPr>
            </w:pPr>
          </w:p>
        </w:tc>
        <w:tc>
          <w:tcPr>
            <w:tcW w:w="2309" w:type="dxa"/>
            <w:vAlign w:val="top"/>
          </w:tcPr>
          <w:p w14:paraId="074DEE29">
            <w:pPr>
              <w:pStyle w:val="14"/>
              <w:rPr>
                <w:color w:val="auto"/>
                <w:highlight w:val="none"/>
              </w:rPr>
            </w:pPr>
          </w:p>
        </w:tc>
        <w:tc>
          <w:tcPr>
            <w:tcW w:w="1943" w:type="dxa"/>
            <w:vAlign w:val="top"/>
          </w:tcPr>
          <w:p w14:paraId="1FED8B62">
            <w:pPr>
              <w:pStyle w:val="14"/>
              <w:rPr>
                <w:color w:val="auto"/>
                <w:highlight w:val="none"/>
              </w:rPr>
            </w:pPr>
          </w:p>
        </w:tc>
        <w:tc>
          <w:tcPr>
            <w:tcW w:w="1050" w:type="dxa"/>
            <w:vAlign w:val="top"/>
          </w:tcPr>
          <w:p w14:paraId="028BF2F3">
            <w:pPr>
              <w:pStyle w:val="14"/>
              <w:rPr>
                <w:color w:val="auto"/>
                <w:highlight w:val="none"/>
              </w:rPr>
            </w:pPr>
          </w:p>
        </w:tc>
        <w:tc>
          <w:tcPr>
            <w:tcW w:w="799" w:type="dxa"/>
            <w:vAlign w:val="top"/>
          </w:tcPr>
          <w:p w14:paraId="140B349B">
            <w:pPr>
              <w:pStyle w:val="14"/>
              <w:rPr>
                <w:color w:val="auto"/>
                <w:highlight w:val="none"/>
              </w:rPr>
            </w:pPr>
          </w:p>
        </w:tc>
      </w:tr>
    </w:tbl>
    <w:p w14:paraId="45D02B22">
      <w:pPr>
        <w:spacing w:line="276" w:lineRule="auto"/>
        <w:rPr>
          <w:rFonts w:ascii="Arial"/>
          <w:color w:val="auto"/>
          <w:sz w:val="21"/>
          <w:highlight w:val="none"/>
        </w:rPr>
      </w:pPr>
    </w:p>
    <w:p w14:paraId="17E60D3E">
      <w:pPr>
        <w:spacing w:line="277" w:lineRule="auto"/>
        <w:rPr>
          <w:rFonts w:ascii="Arial"/>
          <w:color w:val="auto"/>
          <w:sz w:val="21"/>
          <w:highlight w:val="none"/>
        </w:rPr>
      </w:pPr>
    </w:p>
    <w:p w14:paraId="5A63E2B2">
      <w:pPr>
        <w:spacing w:line="277" w:lineRule="auto"/>
        <w:rPr>
          <w:rFonts w:ascii="Arial"/>
          <w:color w:val="auto"/>
          <w:sz w:val="21"/>
          <w:highlight w:val="none"/>
        </w:rPr>
      </w:pPr>
    </w:p>
    <w:p w14:paraId="60B07223">
      <w:pPr>
        <w:pStyle w:val="2"/>
        <w:spacing w:before="78" w:line="219" w:lineRule="auto"/>
        <w:ind w:left="458"/>
        <w:rPr>
          <w:color w:val="auto"/>
          <w:sz w:val="24"/>
          <w:szCs w:val="24"/>
          <w:highlight w:val="none"/>
        </w:rPr>
      </w:pPr>
      <w:r>
        <w:rPr>
          <w:color w:val="auto"/>
          <w:highlight w:val="none"/>
        </w:rPr>
        <w:pict>
          <v:shape id="_x0000_s1082" o:spid="_x0000_s1082" style="position:absolute;left:0pt;margin-left:142.75pt;margin-top:15.85pt;height:0.65pt;width:138pt;z-index:251686912;mso-width-relative:page;mso-height-relative:page;" filled="f" stroked="t" coordsize="2760,12" path="m0,6l2760,6e">
            <v:fill on="f" focussize="0,0"/>
            <v:stroke weight="0.6pt" color="#000000" miterlimit="10" joinstyle="miter"/>
            <v:imagedata o:title=""/>
            <o:lock v:ext="edit"/>
          </v:shape>
        </w:pict>
      </w:r>
      <w:r>
        <w:rPr>
          <w:color w:val="auto"/>
          <w:spacing w:val="-7"/>
          <w:sz w:val="24"/>
          <w:szCs w:val="24"/>
          <w:highlight w:val="none"/>
        </w:rPr>
        <w:t>供应商名称（公章</w:t>
      </w:r>
      <w:r>
        <w:rPr>
          <w:color w:val="auto"/>
          <w:spacing w:val="-2"/>
          <w:sz w:val="24"/>
          <w:szCs w:val="24"/>
          <w:highlight w:val="none"/>
        </w:rPr>
        <w:t>）：</w:t>
      </w:r>
    </w:p>
    <w:p w14:paraId="6A8381F5">
      <w:pPr>
        <w:pStyle w:val="2"/>
        <w:spacing w:before="115" w:line="219" w:lineRule="auto"/>
        <w:ind w:left="459"/>
        <w:rPr>
          <w:color w:val="auto"/>
          <w:sz w:val="24"/>
          <w:szCs w:val="24"/>
          <w:highlight w:val="none"/>
        </w:rPr>
      </w:pPr>
      <w:r>
        <w:rPr>
          <w:color w:val="auto"/>
          <w:highlight w:val="none"/>
        </w:rPr>
        <w:pict>
          <v:shape id="_x0000_s1083" o:spid="_x0000_s1083" style="position:absolute;left:0pt;margin-left:130.75pt;margin-top:17.7pt;height:0.65pt;width:162pt;z-index:251687936;mso-width-relative:page;mso-height-relative:page;" filled="f" stroked="t" coordsize="3240,12" path="m0,6l3240,6e">
            <v:fill on="f" focussize="0,0"/>
            <v:stroke weight="0.6pt" color="#000000" miterlimit="10" joinstyle="miter"/>
            <v:imagedata o:title=""/>
            <o:lock v:ext="edit"/>
          </v:shape>
        </w:pict>
      </w:r>
      <w:r>
        <w:rPr>
          <w:color w:val="auto"/>
          <w:spacing w:val="-1"/>
          <w:sz w:val="24"/>
          <w:szCs w:val="24"/>
          <w:highlight w:val="none"/>
        </w:rPr>
        <w:t>法定代表人(签/章):</w:t>
      </w:r>
    </w:p>
    <w:p w14:paraId="5E4C16DD">
      <w:pPr>
        <w:pStyle w:val="2"/>
        <w:spacing w:before="115" w:line="220" w:lineRule="auto"/>
        <w:ind w:left="500"/>
        <w:rPr>
          <w:color w:val="auto"/>
          <w:sz w:val="24"/>
          <w:szCs w:val="24"/>
          <w:highlight w:val="none"/>
        </w:rPr>
      </w:pPr>
      <w:r>
        <w:rPr>
          <w:color w:val="auto"/>
          <w:highlight w:val="none"/>
        </w:rPr>
        <w:pict>
          <v:shape id="_x0000_s1084" o:spid="_x0000_s1084" style="position:absolute;left:0pt;margin-left:64.75pt;margin-top:17.7pt;height:0.65pt;width:192pt;z-index:251688960;mso-width-relative:page;mso-height-relative:page;" filled="f" stroked="t" coordsize="3840,12" path="m0,6l3840,6e">
            <v:fill on="f" focussize="0,0"/>
            <v:stroke weight="0.6pt" color="#000000" miterlimit="10" joinstyle="miter"/>
            <v:imagedata o:title=""/>
            <o:lock v:ext="edit"/>
          </v:shape>
        </w:pict>
      </w:r>
      <w:r>
        <w:rPr>
          <w:color w:val="auto"/>
          <w:spacing w:val="-17"/>
          <w:sz w:val="24"/>
          <w:szCs w:val="24"/>
          <w:highlight w:val="none"/>
        </w:rPr>
        <w:t>日期</w:t>
      </w:r>
      <w:r>
        <w:rPr>
          <w:color w:val="auto"/>
          <w:sz w:val="24"/>
          <w:szCs w:val="24"/>
          <w:highlight w:val="none"/>
        </w:rPr>
        <w:t xml:space="preserve"> </w:t>
      </w:r>
      <w:r>
        <w:rPr>
          <w:color w:val="auto"/>
          <w:spacing w:val="-17"/>
          <w:sz w:val="24"/>
          <w:szCs w:val="24"/>
          <w:highlight w:val="none"/>
        </w:rPr>
        <w:t>：</w:t>
      </w:r>
    </w:p>
    <w:p w14:paraId="156B7511">
      <w:pPr>
        <w:spacing w:line="220" w:lineRule="auto"/>
        <w:rPr>
          <w:color w:val="auto"/>
          <w:sz w:val="24"/>
          <w:szCs w:val="24"/>
          <w:highlight w:val="none"/>
        </w:rPr>
        <w:sectPr>
          <w:headerReference r:id="rId18" w:type="default"/>
          <w:footerReference r:id="rId19" w:type="default"/>
          <w:pgSz w:w="11906" w:h="16839"/>
          <w:pgMar w:top="1127" w:right="1587" w:bottom="1162" w:left="1587" w:header="870" w:footer="985" w:gutter="0"/>
          <w:pgNumType w:fmt="decimal"/>
          <w:cols w:space="720" w:num="1"/>
        </w:sectPr>
      </w:pPr>
    </w:p>
    <w:p w14:paraId="37A03D74">
      <w:pPr>
        <w:spacing w:line="345" w:lineRule="auto"/>
        <w:rPr>
          <w:rFonts w:ascii="Arial"/>
          <w:color w:val="auto"/>
          <w:sz w:val="21"/>
          <w:highlight w:val="none"/>
        </w:rPr>
      </w:pPr>
    </w:p>
    <w:p w14:paraId="011C6080">
      <w:pPr>
        <w:pStyle w:val="2"/>
        <w:spacing w:before="78" w:line="219" w:lineRule="auto"/>
        <w:ind w:left="2810"/>
        <w:outlineLvl w:val="3"/>
        <w:rPr>
          <w:color w:val="auto"/>
          <w:sz w:val="24"/>
          <w:szCs w:val="24"/>
          <w:highlight w:val="none"/>
        </w:rPr>
      </w:pPr>
      <w:r>
        <w:rPr>
          <w:b/>
          <w:bCs/>
          <w:color w:val="auto"/>
          <w:spacing w:val="-3"/>
          <w:sz w:val="24"/>
          <w:szCs w:val="24"/>
          <w:highlight w:val="none"/>
        </w:rPr>
        <w:t>6、投入本项目人员配置表</w:t>
      </w:r>
    </w:p>
    <w:p w14:paraId="235C4534">
      <w:pPr>
        <w:spacing w:line="319" w:lineRule="auto"/>
        <w:rPr>
          <w:rFonts w:ascii="Arial"/>
          <w:color w:val="auto"/>
          <w:sz w:val="21"/>
          <w:highlight w:val="none"/>
        </w:rPr>
      </w:pPr>
    </w:p>
    <w:p w14:paraId="004CA66F">
      <w:pPr>
        <w:pStyle w:val="2"/>
        <w:tabs>
          <w:tab w:val="left" w:pos="163"/>
        </w:tabs>
        <w:spacing w:before="78" w:line="219" w:lineRule="auto"/>
        <w:ind w:left="28"/>
        <w:outlineLvl w:val="5"/>
        <w:rPr>
          <w:color w:val="auto"/>
          <w:sz w:val="24"/>
          <w:szCs w:val="24"/>
          <w:highlight w:val="none"/>
        </w:rPr>
      </w:pPr>
      <w:r>
        <w:rPr>
          <w:color w:val="auto"/>
          <w:sz w:val="24"/>
          <w:szCs w:val="24"/>
          <w:highlight w:val="none"/>
          <w:u w:val="single" w:color="auto"/>
        </w:rPr>
        <w:tab/>
      </w:r>
      <w:r>
        <w:rPr>
          <w:b/>
          <w:bCs/>
          <w:color w:val="auto"/>
          <w:spacing w:val="-15"/>
          <w:sz w:val="24"/>
          <w:szCs w:val="24"/>
          <w:highlight w:val="none"/>
          <w:u w:val="single" w:color="auto"/>
        </w:rPr>
        <w:t>（1）项目负责人简历表</w:t>
      </w:r>
    </w:p>
    <w:p w14:paraId="69A31A17">
      <w:pPr>
        <w:spacing w:before="3"/>
        <w:rPr>
          <w:color w:val="auto"/>
          <w:highlight w:val="none"/>
        </w:rPr>
      </w:pPr>
    </w:p>
    <w:p w14:paraId="7FB26181">
      <w:pPr>
        <w:spacing w:before="2"/>
        <w:rPr>
          <w:color w:val="auto"/>
          <w:highlight w:val="none"/>
        </w:rPr>
      </w:pPr>
    </w:p>
    <w:p w14:paraId="02153DD5">
      <w:pPr>
        <w:spacing w:before="2"/>
        <w:rPr>
          <w:color w:val="auto"/>
          <w:highlight w:val="none"/>
        </w:rPr>
      </w:pPr>
    </w:p>
    <w:tbl>
      <w:tblPr>
        <w:tblStyle w:val="13"/>
        <w:tblW w:w="8670"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744"/>
        <w:gridCol w:w="1353"/>
        <w:gridCol w:w="509"/>
        <w:gridCol w:w="839"/>
        <w:gridCol w:w="1101"/>
        <w:gridCol w:w="1124"/>
        <w:gridCol w:w="838"/>
        <w:gridCol w:w="241"/>
        <w:gridCol w:w="420"/>
        <w:gridCol w:w="762"/>
      </w:tblGrid>
      <w:tr w14:paraId="1B2E9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39" w:type="dxa"/>
            <w:vAlign w:val="top"/>
          </w:tcPr>
          <w:p w14:paraId="5407D918">
            <w:pPr>
              <w:spacing w:before="103" w:line="220" w:lineRule="auto"/>
              <w:ind w:left="13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姓名</w:t>
            </w:r>
          </w:p>
        </w:tc>
        <w:tc>
          <w:tcPr>
            <w:tcW w:w="2606" w:type="dxa"/>
            <w:gridSpan w:val="3"/>
            <w:vAlign w:val="top"/>
          </w:tcPr>
          <w:p w14:paraId="1FE55918">
            <w:pPr>
              <w:pStyle w:val="14"/>
              <w:rPr>
                <w:color w:val="auto"/>
                <w:highlight w:val="none"/>
              </w:rPr>
            </w:pPr>
          </w:p>
        </w:tc>
        <w:tc>
          <w:tcPr>
            <w:tcW w:w="839" w:type="dxa"/>
            <w:vAlign w:val="top"/>
          </w:tcPr>
          <w:p w14:paraId="617D1838">
            <w:pPr>
              <w:spacing w:before="104" w:line="220" w:lineRule="auto"/>
              <w:ind w:left="1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性别</w:t>
            </w:r>
          </w:p>
        </w:tc>
        <w:tc>
          <w:tcPr>
            <w:tcW w:w="2225" w:type="dxa"/>
            <w:gridSpan w:val="2"/>
            <w:vAlign w:val="top"/>
          </w:tcPr>
          <w:p w14:paraId="039A6982">
            <w:pPr>
              <w:pStyle w:val="14"/>
              <w:rPr>
                <w:color w:val="auto"/>
                <w:highlight w:val="none"/>
              </w:rPr>
            </w:pPr>
          </w:p>
        </w:tc>
        <w:tc>
          <w:tcPr>
            <w:tcW w:w="1079" w:type="dxa"/>
            <w:gridSpan w:val="2"/>
            <w:vAlign w:val="top"/>
          </w:tcPr>
          <w:p w14:paraId="2817205D">
            <w:pPr>
              <w:spacing w:before="103" w:line="220" w:lineRule="auto"/>
              <w:ind w:left="3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年龄</w:t>
            </w:r>
          </w:p>
        </w:tc>
        <w:tc>
          <w:tcPr>
            <w:tcW w:w="1182" w:type="dxa"/>
            <w:gridSpan w:val="2"/>
            <w:vAlign w:val="top"/>
          </w:tcPr>
          <w:p w14:paraId="0191582E">
            <w:pPr>
              <w:pStyle w:val="14"/>
              <w:rPr>
                <w:color w:val="auto"/>
                <w:highlight w:val="none"/>
              </w:rPr>
            </w:pPr>
          </w:p>
        </w:tc>
      </w:tr>
      <w:tr w14:paraId="62A9F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39" w:type="dxa"/>
            <w:vAlign w:val="top"/>
          </w:tcPr>
          <w:p w14:paraId="18A46BEB">
            <w:pPr>
              <w:spacing w:before="110" w:line="220" w:lineRule="auto"/>
              <w:ind w:left="13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职务</w:t>
            </w:r>
          </w:p>
        </w:tc>
        <w:tc>
          <w:tcPr>
            <w:tcW w:w="2606" w:type="dxa"/>
            <w:gridSpan w:val="3"/>
            <w:vAlign w:val="top"/>
          </w:tcPr>
          <w:p w14:paraId="49808D13">
            <w:pPr>
              <w:pStyle w:val="14"/>
              <w:rPr>
                <w:color w:val="auto"/>
                <w:highlight w:val="none"/>
              </w:rPr>
            </w:pPr>
          </w:p>
        </w:tc>
        <w:tc>
          <w:tcPr>
            <w:tcW w:w="839" w:type="dxa"/>
            <w:vAlign w:val="top"/>
          </w:tcPr>
          <w:p w14:paraId="336F257D">
            <w:pPr>
              <w:spacing w:before="110" w:line="222" w:lineRule="auto"/>
              <w:ind w:left="1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职称</w:t>
            </w:r>
          </w:p>
        </w:tc>
        <w:tc>
          <w:tcPr>
            <w:tcW w:w="2225" w:type="dxa"/>
            <w:gridSpan w:val="2"/>
            <w:vAlign w:val="top"/>
          </w:tcPr>
          <w:p w14:paraId="21B1CFC5">
            <w:pPr>
              <w:pStyle w:val="14"/>
              <w:rPr>
                <w:color w:val="auto"/>
                <w:highlight w:val="none"/>
              </w:rPr>
            </w:pPr>
          </w:p>
        </w:tc>
        <w:tc>
          <w:tcPr>
            <w:tcW w:w="1079" w:type="dxa"/>
            <w:gridSpan w:val="2"/>
            <w:vAlign w:val="top"/>
          </w:tcPr>
          <w:p w14:paraId="70647CBA">
            <w:pPr>
              <w:spacing w:before="110" w:line="221" w:lineRule="auto"/>
              <w:ind w:left="31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学历</w:t>
            </w:r>
          </w:p>
        </w:tc>
        <w:tc>
          <w:tcPr>
            <w:tcW w:w="1182" w:type="dxa"/>
            <w:gridSpan w:val="2"/>
            <w:vAlign w:val="top"/>
          </w:tcPr>
          <w:p w14:paraId="4AC123E9">
            <w:pPr>
              <w:pStyle w:val="14"/>
              <w:rPr>
                <w:color w:val="auto"/>
                <w:highlight w:val="none"/>
              </w:rPr>
            </w:pPr>
          </w:p>
        </w:tc>
      </w:tr>
      <w:tr w14:paraId="3D296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836" w:type="dxa"/>
            <w:gridSpan w:val="3"/>
            <w:vAlign w:val="top"/>
          </w:tcPr>
          <w:p w14:paraId="69953D1D">
            <w:pPr>
              <w:spacing w:before="100" w:line="220" w:lineRule="auto"/>
              <w:ind w:left="70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参加工作时间</w:t>
            </w:r>
          </w:p>
        </w:tc>
        <w:tc>
          <w:tcPr>
            <w:tcW w:w="2449" w:type="dxa"/>
            <w:gridSpan w:val="3"/>
            <w:vAlign w:val="top"/>
          </w:tcPr>
          <w:p w14:paraId="521BCB11">
            <w:pPr>
              <w:pStyle w:val="14"/>
              <w:rPr>
                <w:color w:val="auto"/>
                <w:highlight w:val="none"/>
              </w:rPr>
            </w:pPr>
          </w:p>
        </w:tc>
        <w:tc>
          <w:tcPr>
            <w:tcW w:w="2623" w:type="dxa"/>
            <w:gridSpan w:val="4"/>
            <w:vAlign w:val="top"/>
          </w:tcPr>
          <w:p w14:paraId="3D8A3D0E">
            <w:pPr>
              <w:spacing w:before="99" w:line="220" w:lineRule="auto"/>
              <w:ind w:left="23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担任项目负责人年限</w:t>
            </w:r>
          </w:p>
        </w:tc>
        <w:tc>
          <w:tcPr>
            <w:tcW w:w="762" w:type="dxa"/>
            <w:vAlign w:val="top"/>
          </w:tcPr>
          <w:p w14:paraId="06CC2468">
            <w:pPr>
              <w:pStyle w:val="14"/>
              <w:rPr>
                <w:color w:val="auto"/>
                <w:highlight w:val="none"/>
              </w:rPr>
            </w:pPr>
          </w:p>
        </w:tc>
      </w:tr>
      <w:tr w14:paraId="34EF4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836" w:type="dxa"/>
            <w:gridSpan w:val="3"/>
            <w:vAlign w:val="top"/>
          </w:tcPr>
          <w:p w14:paraId="09F1C881">
            <w:pPr>
              <w:spacing w:before="33" w:line="219" w:lineRule="auto"/>
              <w:ind w:left="71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资格证书编号</w:t>
            </w:r>
          </w:p>
        </w:tc>
        <w:tc>
          <w:tcPr>
            <w:tcW w:w="5834" w:type="dxa"/>
            <w:gridSpan w:val="8"/>
            <w:vAlign w:val="top"/>
          </w:tcPr>
          <w:p w14:paraId="367D06D6">
            <w:pPr>
              <w:pStyle w:val="14"/>
              <w:rPr>
                <w:color w:val="auto"/>
                <w:highlight w:val="none"/>
              </w:rPr>
            </w:pPr>
          </w:p>
        </w:tc>
      </w:tr>
      <w:tr w14:paraId="21F2A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670" w:type="dxa"/>
            <w:gridSpan w:val="11"/>
            <w:vAlign w:val="top"/>
          </w:tcPr>
          <w:p w14:paraId="5AF580E1">
            <w:pPr>
              <w:spacing w:before="110" w:line="220" w:lineRule="auto"/>
              <w:ind w:left="417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项目情况</w:t>
            </w:r>
          </w:p>
        </w:tc>
      </w:tr>
      <w:tr w14:paraId="55B79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483" w:type="dxa"/>
            <w:gridSpan w:val="2"/>
            <w:vAlign w:val="top"/>
          </w:tcPr>
          <w:p w14:paraId="075F583F">
            <w:pPr>
              <w:spacing w:before="268" w:line="220" w:lineRule="auto"/>
              <w:ind w:left="26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建设单位</w:t>
            </w:r>
          </w:p>
        </w:tc>
        <w:tc>
          <w:tcPr>
            <w:tcW w:w="3802" w:type="dxa"/>
            <w:gridSpan w:val="4"/>
            <w:vAlign w:val="top"/>
          </w:tcPr>
          <w:p w14:paraId="6E27D109">
            <w:pPr>
              <w:spacing w:before="268" w:line="220" w:lineRule="auto"/>
              <w:ind w:left="142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项目名称</w:t>
            </w:r>
          </w:p>
        </w:tc>
        <w:tc>
          <w:tcPr>
            <w:tcW w:w="1962" w:type="dxa"/>
            <w:gridSpan w:val="2"/>
            <w:vAlign w:val="top"/>
          </w:tcPr>
          <w:p w14:paraId="46D0B867">
            <w:pPr>
              <w:spacing w:before="267" w:line="220" w:lineRule="auto"/>
              <w:ind w:left="26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开、竣工日期</w:t>
            </w:r>
          </w:p>
        </w:tc>
        <w:tc>
          <w:tcPr>
            <w:tcW w:w="1423" w:type="dxa"/>
            <w:gridSpan w:val="3"/>
            <w:vAlign w:val="top"/>
          </w:tcPr>
          <w:p w14:paraId="122C2546">
            <w:pPr>
              <w:spacing w:before="33" w:line="342" w:lineRule="auto"/>
              <w:ind w:right="18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本项目中承担职</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务</w:t>
            </w:r>
          </w:p>
        </w:tc>
      </w:tr>
      <w:tr w14:paraId="49438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83" w:type="dxa"/>
            <w:gridSpan w:val="2"/>
            <w:vAlign w:val="top"/>
          </w:tcPr>
          <w:p w14:paraId="2C60648E">
            <w:pPr>
              <w:pStyle w:val="14"/>
              <w:rPr>
                <w:color w:val="auto"/>
                <w:highlight w:val="none"/>
              </w:rPr>
            </w:pPr>
          </w:p>
        </w:tc>
        <w:tc>
          <w:tcPr>
            <w:tcW w:w="3802" w:type="dxa"/>
            <w:gridSpan w:val="4"/>
            <w:vAlign w:val="top"/>
          </w:tcPr>
          <w:p w14:paraId="223550CE">
            <w:pPr>
              <w:pStyle w:val="14"/>
              <w:rPr>
                <w:color w:val="auto"/>
                <w:highlight w:val="none"/>
              </w:rPr>
            </w:pPr>
          </w:p>
        </w:tc>
        <w:tc>
          <w:tcPr>
            <w:tcW w:w="1962" w:type="dxa"/>
            <w:gridSpan w:val="2"/>
            <w:vAlign w:val="top"/>
          </w:tcPr>
          <w:p w14:paraId="3DDB537E">
            <w:pPr>
              <w:pStyle w:val="14"/>
              <w:rPr>
                <w:color w:val="auto"/>
                <w:highlight w:val="none"/>
              </w:rPr>
            </w:pPr>
          </w:p>
        </w:tc>
        <w:tc>
          <w:tcPr>
            <w:tcW w:w="1423" w:type="dxa"/>
            <w:gridSpan w:val="3"/>
            <w:vAlign w:val="top"/>
          </w:tcPr>
          <w:p w14:paraId="70BBF2B2">
            <w:pPr>
              <w:pStyle w:val="14"/>
              <w:rPr>
                <w:color w:val="auto"/>
                <w:highlight w:val="none"/>
              </w:rPr>
            </w:pPr>
          </w:p>
        </w:tc>
      </w:tr>
      <w:tr w14:paraId="77316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83" w:type="dxa"/>
            <w:gridSpan w:val="2"/>
            <w:vAlign w:val="top"/>
          </w:tcPr>
          <w:p w14:paraId="206FFAF4">
            <w:pPr>
              <w:pStyle w:val="14"/>
              <w:rPr>
                <w:color w:val="auto"/>
                <w:highlight w:val="none"/>
              </w:rPr>
            </w:pPr>
          </w:p>
        </w:tc>
        <w:tc>
          <w:tcPr>
            <w:tcW w:w="3802" w:type="dxa"/>
            <w:gridSpan w:val="4"/>
            <w:vAlign w:val="top"/>
          </w:tcPr>
          <w:p w14:paraId="5EE173E7">
            <w:pPr>
              <w:pStyle w:val="14"/>
              <w:rPr>
                <w:color w:val="auto"/>
                <w:highlight w:val="none"/>
              </w:rPr>
            </w:pPr>
          </w:p>
        </w:tc>
        <w:tc>
          <w:tcPr>
            <w:tcW w:w="1962" w:type="dxa"/>
            <w:gridSpan w:val="2"/>
            <w:vAlign w:val="top"/>
          </w:tcPr>
          <w:p w14:paraId="3B98A00E">
            <w:pPr>
              <w:pStyle w:val="14"/>
              <w:rPr>
                <w:color w:val="auto"/>
                <w:highlight w:val="none"/>
              </w:rPr>
            </w:pPr>
          </w:p>
        </w:tc>
        <w:tc>
          <w:tcPr>
            <w:tcW w:w="1423" w:type="dxa"/>
            <w:gridSpan w:val="3"/>
            <w:vAlign w:val="top"/>
          </w:tcPr>
          <w:p w14:paraId="247B4618">
            <w:pPr>
              <w:pStyle w:val="14"/>
              <w:rPr>
                <w:color w:val="auto"/>
                <w:highlight w:val="none"/>
              </w:rPr>
            </w:pPr>
          </w:p>
        </w:tc>
      </w:tr>
      <w:tr w14:paraId="7288B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83" w:type="dxa"/>
            <w:gridSpan w:val="2"/>
            <w:vAlign w:val="top"/>
          </w:tcPr>
          <w:p w14:paraId="088C89B5">
            <w:pPr>
              <w:pStyle w:val="14"/>
              <w:rPr>
                <w:color w:val="auto"/>
                <w:highlight w:val="none"/>
              </w:rPr>
            </w:pPr>
          </w:p>
        </w:tc>
        <w:tc>
          <w:tcPr>
            <w:tcW w:w="3802" w:type="dxa"/>
            <w:gridSpan w:val="4"/>
            <w:vAlign w:val="top"/>
          </w:tcPr>
          <w:p w14:paraId="265DF228">
            <w:pPr>
              <w:pStyle w:val="14"/>
              <w:rPr>
                <w:color w:val="auto"/>
                <w:highlight w:val="none"/>
              </w:rPr>
            </w:pPr>
          </w:p>
        </w:tc>
        <w:tc>
          <w:tcPr>
            <w:tcW w:w="1962" w:type="dxa"/>
            <w:gridSpan w:val="2"/>
            <w:vAlign w:val="top"/>
          </w:tcPr>
          <w:p w14:paraId="200CF41B">
            <w:pPr>
              <w:pStyle w:val="14"/>
              <w:rPr>
                <w:color w:val="auto"/>
                <w:highlight w:val="none"/>
              </w:rPr>
            </w:pPr>
          </w:p>
        </w:tc>
        <w:tc>
          <w:tcPr>
            <w:tcW w:w="1423" w:type="dxa"/>
            <w:gridSpan w:val="3"/>
            <w:vAlign w:val="top"/>
          </w:tcPr>
          <w:p w14:paraId="3694E0F6">
            <w:pPr>
              <w:pStyle w:val="14"/>
              <w:rPr>
                <w:color w:val="auto"/>
                <w:highlight w:val="none"/>
              </w:rPr>
            </w:pPr>
          </w:p>
        </w:tc>
      </w:tr>
      <w:tr w14:paraId="11516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83" w:type="dxa"/>
            <w:gridSpan w:val="2"/>
            <w:vAlign w:val="top"/>
          </w:tcPr>
          <w:p w14:paraId="2379DA07">
            <w:pPr>
              <w:pStyle w:val="14"/>
              <w:rPr>
                <w:color w:val="auto"/>
                <w:highlight w:val="none"/>
              </w:rPr>
            </w:pPr>
          </w:p>
        </w:tc>
        <w:tc>
          <w:tcPr>
            <w:tcW w:w="3802" w:type="dxa"/>
            <w:gridSpan w:val="4"/>
            <w:vAlign w:val="top"/>
          </w:tcPr>
          <w:p w14:paraId="011C1D3E">
            <w:pPr>
              <w:pStyle w:val="14"/>
              <w:rPr>
                <w:color w:val="auto"/>
                <w:highlight w:val="none"/>
              </w:rPr>
            </w:pPr>
          </w:p>
        </w:tc>
        <w:tc>
          <w:tcPr>
            <w:tcW w:w="1962" w:type="dxa"/>
            <w:gridSpan w:val="2"/>
            <w:vAlign w:val="top"/>
          </w:tcPr>
          <w:p w14:paraId="5D4B6BD5">
            <w:pPr>
              <w:pStyle w:val="14"/>
              <w:rPr>
                <w:color w:val="auto"/>
                <w:highlight w:val="none"/>
              </w:rPr>
            </w:pPr>
          </w:p>
        </w:tc>
        <w:tc>
          <w:tcPr>
            <w:tcW w:w="1423" w:type="dxa"/>
            <w:gridSpan w:val="3"/>
            <w:vAlign w:val="top"/>
          </w:tcPr>
          <w:p w14:paraId="6AF5223D">
            <w:pPr>
              <w:pStyle w:val="14"/>
              <w:rPr>
                <w:color w:val="auto"/>
                <w:highlight w:val="none"/>
              </w:rPr>
            </w:pPr>
          </w:p>
        </w:tc>
      </w:tr>
      <w:tr w14:paraId="04E36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5" w:hRule="atLeast"/>
        </w:trPr>
        <w:tc>
          <w:tcPr>
            <w:tcW w:w="1483" w:type="dxa"/>
            <w:gridSpan w:val="2"/>
            <w:vAlign w:val="top"/>
          </w:tcPr>
          <w:p w14:paraId="72851C73">
            <w:pPr>
              <w:pStyle w:val="14"/>
              <w:rPr>
                <w:color w:val="auto"/>
                <w:highlight w:val="none"/>
              </w:rPr>
            </w:pPr>
          </w:p>
        </w:tc>
        <w:tc>
          <w:tcPr>
            <w:tcW w:w="3802" w:type="dxa"/>
            <w:gridSpan w:val="4"/>
            <w:vAlign w:val="top"/>
          </w:tcPr>
          <w:p w14:paraId="44499C54">
            <w:pPr>
              <w:pStyle w:val="14"/>
              <w:rPr>
                <w:color w:val="auto"/>
                <w:highlight w:val="none"/>
              </w:rPr>
            </w:pPr>
          </w:p>
        </w:tc>
        <w:tc>
          <w:tcPr>
            <w:tcW w:w="1962" w:type="dxa"/>
            <w:gridSpan w:val="2"/>
            <w:vAlign w:val="top"/>
          </w:tcPr>
          <w:p w14:paraId="0BAFDCC9">
            <w:pPr>
              <w:pStyle w:val="14"/>
              <w:rPr>
                <w:color w:val="auto"/>
                <w:highlight w:val="none"/>
              </w:rPr>
            </w:pPr>
          </w:p>
        </w:tc>
        <w:tc>
          <w:tcPr>
            <w:tcW w:w="1423" w:type="dxa"/>
            <w:gridSpan w:val="3"/>
            <w:vAlign w:val="top"/>
          </w:tcPr>
          <w:p w14:paraId="5E3F2E26">
            <w:pPr>
              <w:pStyle w:val="14"/>
              <w:rPr>
                <w:color w:val="auto"/>
                <w:highlight w:val="none"/>
              </w:rPr>
            </w:pPr>
          </w:p>
        </w:tc>
      </w:tr>
      <w:tr w14:paraId="738E7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83" w:type="dxa"/>
            <w:gridSpan w:val="2"/>
            <w:vAlign w:val="top"/>
          </w:tcPr>
          <w:p w14:paraId="3640A1F0">
            <w:pPr>
              <w:pStyle w:val="14"/>
              <w:rPr>
                <w:color w:val="auto"/>
                <w:highlight w:val="none"/>
              </w:rPr>
            </w:pPr>
          </w:p>
        </w:tc>
        <w:tc>
          <w:tcPr>
            <w:tcW w:w="3802" w:type="dxa"/>
            <w:gridSpan w:val="4"/>
            <w:vAlign w:val="top"/>
          </w:tcPr>
          <w:p w14:paraId="4FEC87B3">
            <w:pPr>
              <w:pStyle w:val="14"/>
              <w:rPr>
                <w:color w:val="auto"/>
                <w:highlight w:val="none"/>
              </w:rPr>
            </w:pPr>
          </w:p>
        </w:tc>
        <w:tc>
          <w:tcPr>
            <w:tcW w:w="1962" w:type="dxa"/>
            <w:gridSpan w:val="2"/>
            <w:vAlign w:val="top"/>
          </w:tcPr>
          <w:p w14:paraId="675593D0">
            <w:pPr>
              <w:pStyle w:val="14"/>
              <w:rPr>
                <w:color w:val="auto"/>
                <w:highlight w:val="none"/>
              </w:rPr>
            </w:pPr>
          </w:p>
        </w:tc>
        <w:tc>
          <w:tcPr>
            <w:tcW w:w="1423" w:type="dxa"/>
            <w:gridSpan w:val="3"/>
            <w:vAlign w:val="top"/>
          </w:tcPr>
          <w:p w14:paraId="5FDA7B94">
            <w:pPr>
              <w:pStyle w:val="14"/>
              <w:rPr>
                <w:color w:val="auto"/>
                <w:highlight w:val="none"/>
              </w:rPr>
            </w:pPr>
          </w:p>
        </w:tc>
      </w:tr>
      <w:tr w14:paraId="7D06E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83" w:type="dxa"/>
            <w:gridSpan w:val="2"/>
            <w:vAlign w:val="top"/>
          </w:tcPr>
          <w:p w14:paraId="5A69F71E">
            <w:pPr>
              <w:pStyle w:val="14"/>
              <w:rPr>
                <w:color w:val="auto"/>
                <w:highlight w:val="none"/>
              </w:rPr>
            </w:pPr>
          </w:p>
        </w:tc>
        <w:tc>
          <w:tcPr>
            <w:tcW w:w="3802" w:type="dxa"/>
            <w:gridSpan w:val="4"/>
            <w:vAlign w:val="top"/>
          </w:tcPr>
          <w:p w14:paraId="50445B13">
            <w:pPr>
              <w:pStyle w:val="14"/>
              <w:rPr>
                <w:color w:val="auto"/>
                <w:highlight w:val="none"/>
              </w:rPr>
            </w:pPr>
          </w:p>
        </w:tc>
        <w:tc>
          <w:tcPr>
            <w:tcW w:w="1962" w:type="dxa"/>
            <w:gridSpan w:val="2"/>
            <w:vAlign w:val="top"/>
          </w:tcPr>
          <w:p w14:paraId="756C1564">
            <w:pPr>
              <w:pStyle w:val="14"/>
              <w:rPr>
                <w:color w:val="auto"/>
                <w:highlight w:val="none"/>
              </w:rPr>
            </w:pPr>
          </w:p>
        </w:tc>
        <w:tc>
          <w:tcPr>
            <w:tcW w:w="1423" w:type="dxa"/>
            <w:gridSpan w:val="3"/>
            <w:vAlign w:val="top"/>
          </w:tcPr>
          <w:p w14:paraId="7A8C846C">
            <w:pPr>
              <w:pStyle w:val="14"/>
              <w:rPr>
                <w:color w:val="auto"/>
                <w:highlight w:val="none"/>
              </w:rPr>
            </w:pPr>
          </w:p>
        </w:tc>
      </w:tr>
      <w:tr w14:paraId="52755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83" w:type="dxa"/>
            <w:gridSpan w:val="2"/>
            <w:vAlign w:val="top"/>
          </w:tcPr>
          <w:p w14:paraId="57811359">
            <w:pPr>
              <w:pStyle w:val="14"/>
              <w:rPr>
                <w:color w:val="auto"/>
                <w:highlight w:val="none"/>
              </w:rPr>
            </w:pPr>
          </w:p>
        </w:tc>
        <w:tc>
          <w:tcPr>
            <w:tcW w:w="3802" w:type="dxa"/>
            <w:gridSpan w:val="4"/>
            <w:vAlign w:val="top"/>
          </w:tcPr>
          <w:p w14:paraId="68185DB8">
            <w:pPr>
              <w:pStyle w:val="14"/>
              <w:rPr>
                <w:color w:val="auto"/>
                <w:highlight w:val="none"/>
              </w:rPr>
            </w:pPr>
          </w:p>
        </w:tc>
        <w:tc>
          <w:tcPr>
            <w:tcW w:w="1962" w:type="dxa"/>
            <w:gridSpan w:val="2"/>
            <w:vAlign w:val="top"/>
          </w:tcPr>
          <w:p w14:paraId="1F9F93BE">
            <w:pPr>
              <w:pStyle w:val="14"/>
              <w:rPr>
                <w:color w:val="auto"/>
                <w:highlight w:val="none"/>
              </w:rPr>
            </w:pPr>
          </w:p>
        </w:tc>
        <w:tc>
          <w:tcPr>
            <w:tcW w:w="1423" w:type="dxa"/>
            <w:gridSpan w:val="3"/>
            <w:vAlign w:val="top"/>
          </w:tcPr>
          <w:p w14:paraId="47F61A46">
            <w:pPr>
              <w:pStyle w:val="14"/>
              <w:rPr>
                <w:color w:val="auto"/>
                <w:highlight w:val="none"/>
              </w:rPr>
            </w:pPr>
          </w:p>
        </w:tc>
      </w:tr>
    </w:tbl>
    <w:p w14:paraId="41816832">
      <w:pPr>
        <w:pStyle w:val="2"/>
        <w:spacing w:before="37" w:line="219" w:lineRule="auto"/>
        <w:ind w:left="57"/>
        <w:rPr>
          <w:color w:val="auto"/>
          <w:sz w:val="24"/>
          <w:szCs w:val="24"/>
          <w:highlight w:val="none"/>
        </w:rPr>
      </w:pPr>
      <w:r>
        <w:rPr>
          <w:color w:val="auto"/>
          <w:spacing w:val="-7"/>
          <w:sz w:val="24"/>
          <w:szCs w:val="24"/>
          <w:highlight w:val="none"/>
        </w:rPr>
        <w:t>附资格证明文件。</w:t>
      </w:r>
    </w:p>
    <w:p w14:paraId="57701F01">
      <w:pPr>
        <w:spacing w:line="219" w:lineRule="auto"/>
        <w:rPr>
          <w:color w:val="auto"/>
          <w:sz w:val="24"/>
          <w:szCs w:val="24"/>
          <w:highlight w:val="none"/>
        </w:rPr>
        <w:sectPr>
          <w:headerReference r:id="rId20" w:type="default"/>
          <w:footerReference r:id="rId21" w:type="default"/>
          <w:pgSz w:w="11906" w:h="16839"/>
          <w:pgMar w:top="1134" w:right="696" w:bottom="1162" w:left="1768" w:header="870" w:footer="985" w:gutter="0"/>
          <w:pgNumType w:fmt="decimal"/>
          <w:cols w:space="720" w:num="1"/>
        </w:sectPr>
      </w:pPr>
    </w:p>
    <w:p w14:paraId="16A91506">
      <w:pPr>
        <w:spacing w:line="269" w:lineRule="auto"/>
        <w:rPr>
          <w:rFonts w:ascii="Arial"/>
          <w:color w:val="auto"/>
          <w:sz w:val="21"/>
          <w:highlight w:val="none"/>
        </w:rPr>
      </w:pPr>
    </w:p>
    <w:p w14:paraId="7136DFDA">
      <w:pPr>
        <w:pStyle w:val="2"/>
        <w:tabs>
          <w:tab w:val="left" w:pos="245"/>
        </w:tabs>
        <w:spacing w:before="78" w:line="219" w:lineRule="auto"/>
        <w:ind w:left="110"/>
        <w:outlineLvl w:val="5"/>
        <w:rPr>
          <w:color w:val="auto"/>
          <w:sz w:val="24"/>
          <w:szCs w:val="24"/>
          <w:highlight w:val="none"/>
        </w:rPr>
      </w:pPr>
      <w:r>
        <w:rPr>
          <w:color w:val="auto"/>
          <w:sz w:val="24"/>
          <w:szCs w:val="24"/>
          <w:highlight w:val="none"/>
          <w:u w:val="single" w:color="auto"/>
        </w:rPr>
        <w:tab/>
      </w:r>
      <w:r>
        <w:rPr>
          <w:b/>
          <w:bCs/>
          <w:color w:val="auto"/>
          <w:spacing w:val="-13"/>
          <w:sz w:val="24"/>
          <w:szCs w:val="24"/>
          <w:highlight w:val="none"/>
          <w:u w:val="single" w:color="auto"/>
        </w:rPr>
        <w:t>（2）项目技术负责人简历表</w:t>
      </w:r>
    </w:p>
    <w:p w14:paraId="0FC81457">
      <w:pPr>
        <w:spacing w:before="3"/>
        <w:rPr>
          <w:color w:val="auto"/>
          <w:highlight w:val="none"/>
        </w:rPr>
      </w:pPr>
    </w:p>
    <w:p w14:paraId="06DDAE30">
      <w:pPr>
        <w:spacing w:before="2"/>
        <w:rPr>
          <w:color w:val="auto"/>
          <w:highlight w:val="none"/>
        </w:rPr>
      </w:pPr>
    </w:p>
    <w:p w14:paraId="1F04D686">
      <w:pPr>
        <w:spacing w:before="2"/>
        <w:rPr>
          <w:color w:val="auto"/>
          <w:highlight w:val="none"/>
        </w:rPr>
      </w:pPr>
    </w:p>
    <w:tbl>
      <w:tblPr>
        <w:tblStyle w:val="13"/>
        <w:tblW w:w="94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744"/>
        <w:gridCol w:w="934"/>
        <w:gridCol w:w="929"/>
        <w:gridCol w:w="839"/>
        <w:gridCol w:w="553"/>
        <w:gridCol w:w="1485"/>
        <w:gridCol w:w="824"/>
        <w:gridCol w:w="75"/>
        <w:gridCol w:w="239"/>
        <w:gridCol w:w="2100"/>
      </w:tblGrid>
      <w:tr w14:paraId="4EEA7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39" w:type="dxa"/>
            <w:vAlign w:val="top"/>
          </w:tcPr>
          <w:p w14:paraId="3DCC0520">
            <w:pPr>
              <w:spacing w:before="103" w:line="220" w:lineRule="auto"/>
              <w:ind w:left="13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姓名</w:t>
            </w:r>
          </w:p>
        </w:tc>
        <w:tc>
          <w:tcPr>
            <w:tcW w:w="2607" w:type="dxa"/>
            <w:gridSpan w:val="3"/>
            <w:vAlign w:val="top"/>
          </w:tcPr>
          <w:p w14:paraId="7A5AB8BF">
            <w:pPr>
              <w:pStyle w:val="14"/>
              <w:rPr>
                <w:color w:val="auto"/>
                <w:highlight w:val="none"/>
              </w:rPr>
            </w:pPr>
          </w:p>
        </w:tc>
        <w:tc>
          <w:tcPr>
            <w:tcW w:w="839" w:type="dxa"/>
            <w:vAlign w:val="top"/>
          </w:tcPr>
          <w:p w14:paraId="0FB9FA21">
            <w:pPr>
              <w:spacing w:before="104" w:line="220" w:lineRule="auto"/>
              <w:ind w:left="1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性别</w:t>
            </w:r>
          </w:p>
        </w:tc>
        <w:tc>
          <w:tcPr>
            <w:tcW w:w="2038" w:type="dxa"/>
            <w:gridSpan w:val="2"/>
            <w:vAlign w:val="top"/>
          </w:tcPr>
          <w:p w14:paraId="663C6FCA">
            <w:pPr>
              <w:pStyle w:val="14"/>
              <w:rPr>
                <w:color w:val="auto"/>
                <w:highlight w:val="none"/>
              </w:rPr>
            </w:pPr>
          </w:p>
        </w:tc>
        <w:tc>
          <w:tcPr>
            <w:tcW w:w="899" w:type="dxa"/>
            <w:gridSpan w:val="2"/>
            <w:vAlign w:val="top"/>
          </w:tcPr>
          <w:p w14:paraId="0EACF1D4">
            <w:pPr>
              <w:spacing w:before="103" w:line="220" w:lineRule="auto"/>
              <w:ind w:left="2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年龄</w:t>
            </w:r>
          </w:p>
        </w:tc>
        <w:tc>
          <w:tcPr>
            <w:tcW w:w="2339" w:type="dxa"/>
            <w:gridSpan w:val="2"/>
            <w:vAlign w:val="top"/>
          </w:tcPr>
          <w:p w14:paraId="20502E00">
            <w:pPr>
              <w:pStyle w:val="14"/>
              <w:rPr>
                <w:color w:val="auto"/>
                <w:highlight w:val="none"/>
              </w:rPr>
            </w:pPr>
          </w:p>
        </w:tc>
      </w:tr>
      <w:tr w14:paraId="26BFC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39" w:type="dxa"/>
            <w:vAlign w:val="top"/>
          </w:tcPr>
          <w:p w14:paraId="48D88859">
            <w:pPr>
              <w:spacing w:before="111" w:line="220" w:lineRule="auto"/>
              <w:ind w:left="13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职务</w:t>
            </w:r>
          </w:p>
        </w:tc>
        <w:tc>
          <w:tcPr>
            <w:tcW w:w="2607" w:type="dxa"/>
            <w:gridSpan w:val="3"/>
            <w:vAlign w:val="top"/>
          </w:tcPr>
          <w:p w14:paraId="1C9141CE">
            <w:pPr>
              <w:pStyle w:val="14"/>
              <w:rPr>
                <w:color w:val="auto"/>
                <w:highlight w:val="none"/>
              </w:rPr>
            </w:pPr>
          </w:p>
        </w:tc>
        <w:tc>
          <w:tcPr>
            <w:tcW w:w="839" w:type="dxa"/>
            <w:vAlign w:val="top"/>
          </w:tcPr>
          <w:p w14:paraId="0F6B6B9A">
            <w:pPr>
              <w:spacing w:before="111" w:line="222" w:lineRule="auto"/>
              <w:ind w:left="18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职称</w:t>
            </w:r>
          </w:p>
        </w:tc>
        <w:tc>
          <w:tcPr>
            <w:tcW w:w="2038" w:type="dxa"/>
            <w:gridSpan w:val="2"/>
            <w:vAlign w:val="top"/>
          </w:tcPr>
          <w:p w14:paraId="27F508DF">
            <w:pPr>
              <w:pStyle w:val="14"/>
              <w:rPr>
                <w:color w:val="auto"/>
                <w:highlight w:val="none"/>
              </w:rPr>
            </w:pPr>
          </w:p>
        </w:tc>
        <w:tc>
          <w:tcPr>
            <w:tcW w:w="899" w:type="dxa"/>
            <w:gridSpan w:val="2"/>
            <w:vAlign w:val="top"/>
          </w:tcPr>
          <w:p w14:paraId="796DA28E">
            <w:pPr>
              <w:spacing w:before="111" w:line="221" w:lineRule="auto"/>
              <w:ind w:left="22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学历</w:t>
            </w:r>
          </w:p>
        </w:tc>
        <w:tc>
          <w:tcPr>
            <w:tcW w:w="2339" w:type="dxa"/>
            <w:gridSpan w:val="2"/>
            <w:vAlign w:val="top"/>
          </w:tcPr>
          <w:p w14:paraId="246626C7">
            <w:pPr>
              <w:pStyle w:val="14"/>
              <w:rPr>
                <w:color w:val="auto"/>
                <w:highlight w:val="none"/>
              </w:rPr>
            </w:pPr>
          </w:p>
        </w:tc>
      </w:tr>
      <w:tr w14:paraId="25566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417" w:type="dxa"/>
            <w:gridSpan w:val="3"/>
            <w:vAlign w:val="top"/>
          </w:tcPr>
          <w:p w14:paraId="573F59B8">
            <w:pPr>
              <w:spacing w:before="101" w:line="220" w:lineRule="auto"/>
              <w:ind w:left="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参加工作时间</w:t>
            </w:r>
          </w:p>
        </w:tc>
        <w:tc>
          <w:tcPr>
            <w:tcW w:w="2321" w:type="dxa"/>
            <w:gridSpan w:val="3"/>
            <w:vAlign w:val="top"/>
          </w:tcPr>
          <w:p w14:paraId="05C0620A">
            <w:pPr>
              <w:pStyle w:val="14"/>
              <w:rPr>
                <w:color w:val="auto"/>
                <w:highlight w:val="none"/>
              </w:rPr>
            </w:pPr>
          </w:p>
        </w:tc>
        <w:tc>
          <w:tcPr>
            <w:tcW w:w="2623" w:type="dxa"/>
            <w:gridSpan w:val="4"/>
            <w:vAlign w:val="top"/>
          </w:tcPr>
          <w:p w14:paraId="34FD8323">
            <w:pPr>
              <w:spacing w:before="100" w:line="220" w:lineRule="auto"/>
              <w:ind w:left="22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担任技术负责人年限</w:t>
            </w:r>
          </w:p>
        </w:tc>
        <w:tc>
          <w:tcPr>
            <w:tcW w:w="2100" w:type="dxa"/>
            <w:vAlign w:val="top"/>
          </w:tcPr>
          <w:p w14:paraId="3593109B">
            <w:pPr>
              <w:pStyle w:val="14"/>
              <w:rPr>
                <w:color w:val="auto"/>
                <w:highlight w:val="none"/>
              </w:rPr>
            </w:pPr>
          </w:p>
        </w:tc>
      </w:tr>
      <w:tr w14:paraId="72B01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461" w:type="dxa"/>
            <w:gridSpan w:val="11"/>
            <w:vAlign w:val="top"/>
          </w:tcPr>
          <w:p w14:paraId="0E2CBCED">
            <w:pPr>
              <w:spacing w:before="111" w:line="220" w:lineRule="auto"/>
              <w:ind w:left="425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项目情况</w:t>
            </w:r>
          </w:p>
        </w:tc>
      </w:tr>
      <w:tr w14:paraId="7F7E9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83" w:type="dxa"/>
            <w:gridSpan w:val="2"/>
            <w:vAlign w:val="top"/>
          </w:tcPr>
          <w:p w14:paraId="6F3CD446">
            <w:pPr>
              <w:spacing w:before="102" w:line="220" w:lineRule="auto"/>
              <w:ind w:left="26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建设单位</w:t>
            </w:r>
          </w:p>
        </w:tc>
        <w:tc>
          <w:tcPr>
            <w:tcW w:w="3255" w:type="dxa"/>
            <w:gridSpan w:val="4"/>
            <w:vAlign w:val="top"/>
          </w:tcPr>
          <w:p w14:paraId="2EBBE684">
            <w:pPr>
              <w:spacing w:before="102" w:line="220" w:lineRule="auto"/>
              <w:ind w:left="11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项目名称</w:t>
            </w:r>
          </w:p>
        </w:tc>
        <w:tc>
          <w:tcPr>
            <w:tcW w:w="2309" w:type="dxa"/>
            <w:gridSpan w:val="2"/>
            <w:vAlign w:val="top"/>
          </w:tcPr>
          <w:p w14:paraId="5FA8F65C">
            <w:pPr>
              <w:spacing w:before="101" w:line="220" w:lineRule="auto"/>
              <w:ind w:left="44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开、竣工日期</w:t>
            </w:r>
          </w:p>
        </w:tc>
        <w:tc>
          <w:tcPr>
            <w:tcW w:w="2414" w:type="dxa"/>
            <w:gridSpan w:val="3"/>
            <w:vAlign w:val="top"/>
          </w:tcPr>
          <w:p w14:paraId="26F7CD71">
            <w:pPr>
              <w:spacing w:before="101" w:line="219" w:lineRule="auto"/>
              <w:ind w:left="25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本项目中承担职务</w:t>
            </w:r>
          </w:p>
        </w:tc>
      </w:tr>
      <w:tr w14:paraId="5CBA3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83" w:type="dxa"/>
            <w:gridSpan w:val="2"/>
            <w:vAlign w:val="top"/>
          </w:tcPr>
          <w:p w14:paraId="33D42FB7">
            <w:pPr>
              <w:pStyle w:val="14"/>
              <w:rPr>
                <w:color w:val="auto"/>
                <w:highlight w:val="none"/>
              </w:rPr>
            </w:pPr>
          </w:p>
        </w:tc>
        <w:tc>
          <w:tcPr>
            <w:tcW w:w="3255" w:type="dxa"/>
            <w:gridSpan w:val="4"/>
            <w:vAlign w:val="top"/>
          </w:tcPr>
          <w:p w14:paraId="3981915C">
            <w:pPr>
              <w:pStyle w:val="14"/>
              <w:rPr>
                <w:color w:val="auto"/>
                <w:highlight w:val="none"/>
              </w:rPr>
            </w:pPr>
          </w:p>
        </w:tc>
        <w:tc>
          <w:tcPr>
            <w:tcW w:w="2309" w:type="dxa"/>
            <w:gridSpan w:val="2"/>
            <w:vAlign w:val="top"/>
          </w:tcPr>
          <w:p w14:paraId="46B9C37A">
            <w:pPr>
              <w:pStyle w:val="14"/>
              <w:rPr>
                <w:color w:val="auto"/>
                <w:highlight w:val="none"/>
              </w:rPr>
            </w:pPr>
          </w:p>
        </w:tc>
        <w:tc>
          <w:tcPr>
            <w:tcW w:w="2414" w:type="dxa"/>
            <w:gridSpan w:val="3"/>
            <w:vAlign w:val="top"/>
          </w:tcPr>
          <w:p w14:paraId="676CABD0">
            <w:pPr>
              <w:pStyle w:val="14"/>
              <w:rPr>
                <w:color w:val="auto"/>
                <w:highlight w:val="none"/>
              </w:rPr>
            </w:pPr>
          </w:p>
        </w:tc>
      </w:tr>
      <w:tr w14:paraId="08738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83" w:type="dxa"/>
            <w:gridSpan w:val="2"/>
            <w:vAlign w:val="top"/>
          </w:tcPr>
          <w:p w14:paraId="696FAE09">
            <w:pPr>
              <w:pStyle w:val="14"/>
              <w:rPr>
                <w:color w:val="auto"/>
                <w:highlight w:val="none"/>
              </w:rPr>
            </w:pPr>
          </w:p>
        </w:tc>
        <w:tc>
          <w:tcPr>
            <w:tcW w:w="3255" w:type="dxa"/>
            <w:gridSpan w:val="4"/>
            <w:vAlign w:val="top"/>
          </w:tcPr>
          <w:p w14:paraId="33594DB4">
            <w:pPr>
              <w:pStyle w:val="14"/>
              <w:rPr>
                <w:color w:val="auto"/>
                <w:highlight w:val="none"/>
              </w:rPr>
            </w:pPr>
          </w:p>
        </w:tc>
        <w:tc>
          <w:tcPr>
            <w:tcW w:w="2309" w:type="dxa"/>
            <w:gridSpan w:val="2"/>
            <w:vAlign w:val="top"/>
          </w:tcPr>
          <w:p w14:paraId="4B8DD791">
            <w:pPr>
              <w:pStyle w:val="14"/>
              <w:rPr>
                <w:color w:val="auto"/>
                <w:highlight w:val="none"/>
              </w:rPr>
            </w:pPr>
          </w:p>
        </w:tc>
        <w:tc>
          <w:tcPr>
            <w:tcW w:w="2414" w:type="dxa"/>
            <w:gridSpan w:val="3"/>
            <w:vAlign w:val="top"/>
          </w:tcPr>
          <w:p w14:paraId="17FDC679">
            <w:pPr>
              <w:pStyle w:val="14"/>
              <w:rPr>
                <w:color w:val="auto"/>
                <w:highlight w:val="none"/>
              </w:rPr>
            </w:pPr>
          </w:p>
        </w:tc>
      </w:tr>
      <w:tr w14:paraId="400BD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83" w:type="dxa"/>
            <w:gridSpan w:val="2"/>
            <w:vAlign w:val="top"/>
          </w:tcPr>
          <w:p w14:paraId="63908FB9">
            <w:pPr>
              <w:pStyle w:val="14"/>
              <w:rPr>
                <w:color w:val="auto"/>
                <w:highlight w:val="none"/>
              </w:rPr>
            </w:pPr>
          </w:p>
        </w:tc>
        <w:tc>
          <w:tcPr>
            <w:tcW w:w="3255" w:type="dxa"/>
            <w:gridSpan w:val="4"/>
            <w:vAlign w:val="top"/>
          </w:tcPr>
          <w:p w14:paraId="53E5711F">
            <w:pPr>
              <w:pStyle w:val="14"/>
              <w:rPr>
                <w:color w:val="auto"/>
                <w:highlight w:val="none"/>
              </w:rPr>
            </w:pPr>
          </w:p>
        </w:tc>
        <w:tc>
          <w:tcPr>
            <w:tcW w:w="2309" w:type="dxa"/>
            <w:gridSpan w:val="2"/>
            <w:vAlign w:val="top"/>
          </w:tcPr>
          <w:p w14:paraId="6DACC720">
            <w:pPr>
              <w:pStyle w:val="14"/>
              <w:rPr>
                <w:color w:val="auto"/>
                <w:highlight w:val="none"/>
              </w:rPr>
            </w:pPr>
          </w:p>
        </w:tc>
        <w:tc>
          <w:tcPr>
            <w:tcW w:w="2414" w:type="dxa"/>
            <w:gridSpan w:val="3"/>
            <w:vAlign w:val="top"/>
          </w:tcPr>
          <w:p w14:paraId="482BDF15">
            <w:pPr>
              <w:pStyle w:val="14"/>
              <w:rPr>
                <w:color w:val="auto"/>
                <w:highlight w:val="none"/>
              </w:rPr>
            </w:pPr>
          </w:p>
        </w:tc>
      </w:tr>
      <w:tr w14:paraId="29D4D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83" w:type="dxa"/>
            <w:gridSpan w:val="2"/>
            <w:vAlign w:val="top"/>
          </w:tcPr>
          <w:p w14:paraId="3F6FC0AA">
            <w:pPr>
              <w:pStyle w:val="14"/>
              <w:rPr>
                <w:color w:val="auto"/>
                <w:highlight w:val="none"/>
              </w:rPr>
            </w:pPr>
          </w:p>
        </w:tc>
        <w:tc>
          <w:tcPr>
            <w:tcW w:w="3255" w:type="dxa"/>
            <w:gridSpan w:val="4"/>
            <w:vAlign w:val="top"/>
          </w:tcPr>
          <w:p w14:paraId="6A668E44">
            <w:pPr>
              <w:pStyle w:val="14"/>
              <w:rPr>
                <w:color w:val="auto"/>
                <w:highlight w:val="none"/>
              </w:rPr>
            </w:pPr>
          </w:p>
        </w:tc>
        <w:tc>
          <w:tcPr>
            <w:tcW w:w="2309" w:type="dxa"/>
            <w:gridSpan w:val="2"/>
            <w:vAlign w:val="top"/>
          </w:tcPr>
          <w:p w14:paraId="1C7D9A7B">
            <w:pPr>
              <w:pStyle w:val="14"/>
              <w:rPr>
                <w:color w:val="auto"/>
                <w:highlight w:val="none"/>
              </w:rPr>
            </w:pPr>
          </w:p>
        </w:tc>
        <w:tc>
          <w:tcPr>
            <w:tcW w:w="2414" w:type="dxa"/>
            <w:gridSpan w:val="3"/>
            <w:vAlign w:val="top"/>
          </w:tcPr>
          <w:p w14:paraId="15EBAC39">
            <w:pPr>
              <w:pStyle w:val="14"/>
              <w:rPr>
                <w:color w:val="auto"/>
                <w:highlight w:val="none"/>
              </w:rPr>
            </w:pPr>
          </w:p>
        </w:tc>
      </w:tr>
      <w:tr w14:paraId="68B63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83" w:type="dxa"/>
            <w:gridSpan w:val="2"/>
            <w:vAlign w:val="top"/>
          </w:tcPr>
          <w:p w14:paraId="024FF7C7">
            <w:pPr>
              <w:pStyle w:val="14"/>
              <w:rPr>
                <w:color w:val="auto"/>
                <w:highlight w:val="none"/>
              </w:rPr>
            </w:pPr>
          </w:p>
        </w:tc>
        <w:tc>
          <w:tcPr>
            <w:tcW w:w="3255" w:type="dxa"/>
            <w:gridSpan w:val="4"/>
            <w:vAlign w:val="top"/>
          </w:tcPr>
          <w:p w14:paraId="0E1BB661">
            <w:pPr>
              <w:pStyle w:val="14"/>
              <w:rPr>
                <w:color w:val="auto"/>
                <w:highlight w:val="none"/>
              </w:rPr>
            </w:pPr>
          </w:p>
        </w:tc>
        <w:tc>
          <w:tcPr>
            <w:tcW w:w="2309" w:type="dxa"/>
            <w:gridSpan w:val="2"/>
            <w:vAlign w:val="top"/>
          </w:tcPr>
          <w:p w14:paraId="744A6630">
            <w:pPr>
              <w:pStyle w:val="14"/>
              <w:rPr>
                <w:color w:val="auto"/>
                <w:highlight w:val="none"/>
              </w:rPr>
            </w:pPr>
          </w:p>
        </w:tc>
        <w:tc>
          <w:tcPr>
            <w:tcW w:w="2414" w:type="dxa"/>
            <w:gridSpan w:val="3"/>
            <w:vAlign w:val="top"/>
          </w:tcPr>
          <w:p w14:paraId="207FCBB9">
            <w:pPr>
              <w:pStyle w:val="14"/>
              <w:rPr>
                <w:color w:val="auto"/>
                <w:highlight w:val="none"/>
              </w:rPr>
            </w:pPr>
          </w:p>
        </w:tc>
      </w:tr>
      <w:tr w14:paraId="42D43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83" w:type="dxa"/>
            <w:gridSpan w:val="2"/>
            <w:vAlign w:val="top"/>
          </w:tcPr>
          <w:p w14:paraId="33783710">
            <w:pPr>
              <w:pStyle w:val="14"/>
              <w:rPr>
                <w:color w:val="auto"/>
                <w:highlight w:val="none"/>
              </w:rPr>
            </w:pPr>
          </w:p>
        </w:tc>
        <w:tc>
          <w:tcPr>
            <w:tcW w:w="3255" w:type="dxa"/>
            <w:gridSpan w:val="4"/>
            <w:vAlign w:val="top"/>
          </w:tcPr>
          <w:p w14:paraId="7C84F0A0">
            <w:pPr>
              <w:pStyle w:val="14"/>
              <w:rPr>
                <w:color w:val="auto"/>
                <w:highlight w:val="none"/>
              </w:rPr>
            </w:pPr>
          </w:p>
        </w:tc>
        <w:tc>
          <w:tcPr>
            <w:tcW w:w="2309" w:type="dxa"/>
            <w:gridSpan w:val="2"/>
            <w:vAlign w:val="top"/>
          </w:tcPr>
          <w:p w14:paraId="6F289EE9">
            <w:pPr>
              <w:pStyle w:val="14"/>
              <w:rPr>
                <w:color w:val="auto"/>
                <w:highlight w:val="none"/>
              </w:rPr>
            </w:pPr>
          </w:p>
        </w:tc>
        <w:tc>
          <w:tcPr>
            <w:tcW w:w="2414" w:type="dxa"/>
            <w:gridSpan w:val="3"/>
            <w:vAlign w:val="top"/>
          </w:tcPr>
          <w:p w14:paraId="46421471">
            <w:pPr>
              <w:pStyle w:val="14"/>
              <w:rPr>
                <w:color w:val="auto"/>
                <w:highlight w:val="none"/>
              </w:rPr>
            </w:pPr>
          </w:p>
        </w:tc>
      </w:tr>
      <w:tr w14:paraId="47DC8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83" w:type="dxa"/>
            <w:gridSpan w:val="2"/>
            <w:vAlign w:val="top"/>
          </w:tcPr>
          <w:p w14:paraId="7EA14086">
            <w:pPr>
              <w:pStyle w:val="14"/>
              <w:rPr>
                <w:color w:val="auto"/>
                <w:highlight w:val="none"/>
              </w:rPr>
            </w:pPr>
          </w:p>
        </w:tc>
        <w:tc>
          <w:tcPr>
            <w:tcW w:w="3255" w:type="dxa"/>
            <w:gridSpan w:val="4"/>
            <w:vAlign w:val="top"/>
          </w:tcPr>
          <w:p w14:paraId="1AA3831E">
            <w:pPr>
              <w:pStyle w:val="14"/>
              <w:rPr>
                <w:color w:val="auto"/>
                <w:highlight w:val="none"/>
              </w:rPr>
            </w:pPr>
          </w:p>
        </w:tc>
        <w:tc>
          <w:tcPr>
            <w:tcW w:w="2309" w:type="dxa"/>
            <w:gridSpan w:val="2"/>
            <w:vAlign w:val="top"/>
          </w:tcPr>
          <w:p w14:paraId="1C942295">
            <w:pPr>
              <w:pStyle w:val="14"/>
              <w:rPr>
                <w:color w:val="auto"/>
                <w:highlight w:val="none"/>
              </w:rPr>
            </w:pPr>
          </w:p>
        </w:tc>
        <w:tc>
          <w:tcPr>
            <w:tcW w:w="2414" w:type="dxa"/>
            <w:gridSpan w:val="3"/>
            <w:vAlign w:val="top"/>
          </w:tcPr>
          <w:p w14:paraId="4BA7EBBB">
            <w:pPr>
              <w:pStyle w:val="14"/>
              <w:rPr>
                <w:color w:val="auto"/>
                <w:highlight w:val="none"/>
              </w:rPr>
            </w:pPr>
          </w:p>
        </w:tc>
      </w:tr>
      <w:tr w14:paraId="07CC7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83" w:type="dxa"/>
            <w:gridSpan w:val="2"/>
            <w:vAlign w:val="top"/>
          </w:tcPr>
          <w:p w14:paraId="0B48DDCA">
            <w:pPr>
              <w:pStyle w:val="14"/>
              <w:rPr>
                <w:color w:val="auto"/>
                <w:highlight w:val="none"/>
              </w:rPr>
            </w:pPr>
          </w:p>
        </w:tc>
        <w:tc>
          <w:tcPr>
            <w:tcW w:w="3255" w:type="dxa"/>
            <w:gridSpan w:val="4"/>
            <w:vAlign w:val="top"/>
          </w:tcPr>
          <w:p w14:paraId="3058A11C">
            <w:pPr>
              <w:pStyle w:val="14"/>
              <w:rPr>
                <w:color w:val="auto"/>
                <w:highlight w:val="none"/>
              </w:rPr>
            </w:pPr>
          </w:p>
        </w:tc>
        <w:tc>
          <w:tcPr>
            <w:tcW w:w="2309" w:type="dxa"/>
            <w:gridSpan w:val="2"/>
            <w:vAlign w:val="top"/>
          </w:tcPr>
          <w:p w14:paraId="6D3C1A02">
            <w:pPr>
              <w:pStyle w:val="14"/>
              <w:rPr>
                <w:color w:val="auto"/>
                <w:highlight w:val="none"/>
              </w:rPr>
            </w:pPr>
          </w:p>
        </w:tc>
        <w:tc>
          <w:tcPr>
            <w:tcW w:w="2414" w:type="dxa"/>
            <w:gridSpan w:val="3"/>
            <w:vAlign w:val="top"/>
          </w:tcPr>
          <w:p w14:paraId="578A1A6F">
            <w:pPr>
              <w:pStyle w:val="14"/>
              <w:rPr>
                <w:color w:val="auto"/>
                <w:highlight w:val="none"/>
              </w:rPr>
            </w:pPr>
          </w:p>
        </w:tc>
      </w:tr>
      <w:tr w14:paraId="1C2F7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83" w:type="dxa"/>
            <w:gridSpan w:val="2"/>
            <w:vAlign w:val="top"/>
          </w:tcPr>
          <w:p w14:paraId="1C9A8765">
            <w:pPr>
              <w:pStyle w:val="14"/>
              <w:rPr>
                <w:color w:val="auto"/>
                <w:highlight w:val="none"/>
              </w:rPr>
            </w:pPr>
          </w:p>
        </w:tc>
        <w:tc>
          <w:tcPr>
            <w:tcW w:w="3255" w:type="dxa"/>
            <w:gridSpan w:val="4"/>
            <w:vAlign w:val="top"/>
          </w:tcPr>
          <w:p w14:paraId="1BC8F6CF">
            <w:pPr>
              <w:pStyle w:val="14"/>
              <w:rPr>
                <w:color w:val="auto"/>
                <w:highlight w:val="none"/>
              </w:rPr>
            </w:pPr>
          </w:p>
        </w:tc>
        <w:tc>
          <w:tcPr>
            <w:tcW w:w="2309" w:type="dxa"/>
            <w:gridSpan w:val="2"/>
            <w:vAlign w:val="top"/>
          </w:tcPr>
          <w:p w14:paraId="16F24DD7">
            <w:pPr>
              <w:pStyle w:val="14"/>
              <w:rPr>
                <w:color w:val="auto"/>
                <w:highlight w:val="none"/>
              </w:rPr>
            </w:pPr>
          </w:p>
        </w:tc>
        <w:tc>
          <w:tcPr>
            <w:tcW w:w="2414" w:type="dxa"/>
            <w:gridSpan w:val="3"/>
            <w:vAlign w:val="top"/>
          </w:tcPr>
          <w:p w14:paraId="593C0A26">
            <w:pPr>
              <w:pStyle w:val="14"/>
              <w:rPr>
                <w:color w:val="auto"/>
                <w:highlight w:val="none"/>
              </w:rPr>
            </w:pPr>
          </w:p>
        </w:tc>
      </w:tr>
      <w:tr w14:paraId="0DBF9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83" w:type="dxa"/>
            <w:gridSpan w:val="2"/>
            <w:vAlign w:val="top"/>
          </w:tcPr>
          <w:p w14:paraId="7AC30179">
            <w:pPr>
              <w:pStyle w:val="14"/>
              <w:rPr>
                <w:color w:val="auto"/>
                <w:highlight w:val="none"/>
              </w:rPr>
            </w:pPr>
          </w:p>
        </w:tc>
        <w:tc>
          <w:tcPr>
            <w:tcW w:w="3255" w:type="dxa"/>
            <w:gridSpan w:val="4"/>
            <w:vAlign w:val="top"/>
          </w:tcPr>
          <w:p w14:paraId="74B76FBF">
            <w:pPr>
              <w:pStyle w:val="14"/>
              <w:rPr>
                <w:color w:val="auto"/>
                <w:highlight w:val="none"/>
              </w:rPr>
            </w:pPr>
          </w:p>
        </w:tc>
        <w:tc>
          <w:tcPr>
            <w:tcW w:w="2309" w:type="dxa"/>
            <w:gridSpan w:val="2"/>
            <w:vAlign w:val="top"/>
          </w:tcPr>
          <w:p w14:paraId="096121AD">
            <w:pPr>
              <w:pStyle w:val="14"/>
              <w:rPr>
                <w:color w:val="auto"/>
                <w:highlight w:val="none"/>
              </w:rPr>
            </w:pPr>
          </w:p>
        </w:tc>
        <w:tc>
          <w:tcPr>
            <w:tcW w:w="2414" w:type="dxa"/>
            <w:gridSpan w:val="3"/>
            <w:vAlign w:val="top"/>
          </w:tcPr>
          <w:p w14:paraId="136D7FFF">
            <w:pPr>
              <w:pStyle w:val="14"/>
              <w:rPr>
                <w:color w:val="auto"/>
                <w:highlight w:val="none"/>
              </w:rPr>
            </w:pPr>
          </w:p>
        </w:tc>
      </w:tr>
      <w:tr w14:paraId="6ADA6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83" w:type="dxa"/>
            <w:gridSpan w:val="2"/>
            <w:vAlign w:val="top"/>
          </w:tcPr>
          <w:p w14:paraId="78D1CED6">
            <w:pPr>
              <w:pStyle w:val="14"/>
              <w:rPr>
                <w:color w:val="auto"/>
                <w:highlight w:val="none"/>
              </w:rPr>
            </w:pPr>
          </w:p>
        </w:tc>
        <w:tc>
          <w:tcPr>
            <w:tcW w:w="3255" w:type="dxa"/>
            <w:gridSpan w:val="4"/>
            <w:vAlign w:val="top"/>
          </w:tcPr>
          <w:p w14:paraId="7CCF1971">
            <w:pPr>
              <w:pStyle w:val="14"/>
              <w:rPr>
                <w:color w:val="auto"/>
                <w:highlight w:val="none"/>
              </w:rPr>
            </w:pPr>
          </w:p>
        </w:tc>
        <w:tc>
          <w:tcPr>
            <w:tcW w:w="2309" w:type="dxa"/>
            <w:gridSpan w:val="2"/>
            <w:vAlign w:val="top"/>
          </w:tcPr>
          <w:p w14:paraId="45B31A79">
            <w:pPr>
              <w:pStyle w:val="14"/>
              <w:rPr>
                <w:color w:val="auto"/>
                <w:highlight w:val="none"/>
              </w:rPr>
            </w:pPr>
          </w:p>
        </w:tc>
        <w:tc>
          <w:tcPr>
            <w:tcW w:w="2414" w:type="dxa"/>
            <w:gridSpan w:val="3"/>
            <w:vAlign w:val="top"/>
          </w:tcPr>
          <w:p w14:paraId="4DBBAC5E">
            <w:pPr>
              <w:pStyle w:val="14"/>
              <w:rPr>
                <w:color w:val="auto"/>
                <w:highlight w:val="none"/>
              </w:rPr>
            </w:pPr>
          </w:p>
        </w:tc>
      </w:tr>
    </w:tbl>
    <w:p w14:paraId="17D1C0F9">
      <w:pPr>
        <w:pStyle w:val="2"/>
        <w:spacing w:before="37" w:line="219" w:lineRule="auto"/>
        <w:ind w:left="138"/>
        <w:rPr>
          <w:color w:val="auto"/>
          <w:sz w:val="24"/>
          <w:szCs w:val="24"/>
          <w:highlight w:val="none"/>
        </w:rPr>
      </w:pPr>
      <w:r>
        <w:rPr>
          <w:color w:val="auto"/>
          <w:spacing w:val="-7"/>
          <w:sz w:val="24"/>
          <w:szCs w:val="24"/>
          <w:highlight w:val="none"/>
        </w:rPr>
        <w:t>附资格证明文件。</w:t>
      </w:r>
    </w:p>
    <w:p w14:paraId="3C99F503">
      <w:pPr>
        <w:spacing w:line="219" w:lineRule="auto"/>
        <w:rPr>
          <w:color w:val="auto"/>
          <w:sz w:val="24"/>
          <w:szCs w:val="24"/>
          <w:highlight w:val="none"/>
        </w:rPr>
        <w:sectPr>
          <w:headerReference r:id="rId22" w:type="default"/>
          <w:footerReference r:id="rId23" w:type="default"/>
          <w:pgSz w:w="11906" w:h="16839"/>
          <w:pgMar w:top="1127" w:right="747" w:bottom="1162" w:left="1687" w:header="870" w:footer="985" w:gutter="0"/>
          <w:pgNumType w:fmt="decimal"/>
          <w:cols w:space="720" w:num="1"/>
        </w:sectPr>
      </w:pPr>
    </w:p>
    <w:p w14:paraId="7D2AAD6B">
      <w:pPr>
        <w:spacing w:line="269" w:lineRule="auto"/>
        <w:rPr>
          <w:rFonts w:ascii="Arial"/>
          <w:color w:val="auto"/>
          <w:sz w:val="21"/>
          <w:highlight w:val="none"/>
        </w:rPr>
      </w:pPr>
    </w:p>
    <w:p w14:paraId="5D92E9F9">
      <w:pPr>
        <w:pStyle w:val="2"/>
        <w:tabs>
          <w:tab w:val="left" w:pos="247"/>
        </w:tabs>
        <w:spacing w:before="78" w:line="220" w:lineRule="auto"/>
        <w:ind w:left="113"/>
        <w:outlineLvl w:val="5"/>
        <w:rPr>
          <w:color w:val="auto"/>
          <w:sz w:val="24"/>
          <w:szCs w:val="24"/>
          <w:highlight w:val="none"/>
        </w:rPr>
      </w:pPr>
      <w:r>
        <w:rPr>
          <w:color w:val="auto"/>
          <w:sz w:val="24"/>
          <w:szCs w:val="24"/>
          <w:highlight w:val="none"/>
          <w:u w:val="single" w:color="auto"/>
        </w:rPr>
        <w:tab/>
      </w:r>
      <w:r>
        <w:rPr>
          <w:b/>
          <w:bCs/>
          <w:color w:val="auto"/>
          <w:spacing w:val="-12"/>
          <w:sz w:val="24"/>
          <w:szCs w:val="24"/>
          <w:highlight w:val="none"/>
          <w:u w:val="single" w:color="auto"/>
        </w:rPr>
        <w:t>（3）其他主要技术人员情况表</w:t>
      </w:r>
    </w:p>
    <w:p w14:paraId="3F4FC83A">
      <w:pPr>
        <w:spacing w:before="22"/>
        <w:rPr>
          <w:color w:val="auto"/>
          <w:highlight w:val="none"/>
        </w:rPr>
      </w:pPr>
    </w:p>
    <w:tbl>
      <w:tblPr>
        <w:tblStyle w:val="13"/>
        <w:tblW w:w="86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303"/>
        <w:gridCol w:w="1226"/>
        <w:gridCol w:w="1107"/>
        <w:gridCol w:w="1241"/>
        <w:gridCol w:w="1290"/>
        <w:gridCol w:w="1425"/>
      </w:tblGrid>
      <w:tr w14:paraId="5C53E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075" w:type="dxa"/>
            <w:vAlign w:val="top"/>
          </w:tcPr>
          <w:p w14:paraId="5D6C61B8">
            <w:pPr>
              <w:spacing w:before="270" w:line="220" w:lineRule="auto"/>
              <w:ind w:left="29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姓名</w:t>
            </w:r>
          </w:p>
        </w:tc>
        <w:tc>
          <w:tcPr>
            <w:tcW w:w="1303" w:type="dxa"/>
            <w:vAlign w:val="top"/>
          </w:tcPr>
          <w:p w14:paraId="67A199CE">
            <w:pPr>
              <w:spacing w:before="38" w:line="342" w:lineRule="auto"/>
              <w:ind w:left="416" w:right="409" w:hanging="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专业</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学历</w:t>
            </w:r>
          </w:p>
        </w:tc>
        <w:tc>
          <w:tcPr>
            <w:tcW w:w="1226" w:type="dxa"/>
            <w:vAlign w:val="top"/>
          </w:tcPr>
          <w:p w14:paraId="3FB2D971">
            <w:pPr>
              <w:spacing w:before="271" w:line="220" w:lineRule="auto"/>
              <w:ind w:left="37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性别</w:t>
            </w:r>
          </w:p>
        </w:tc>
        <w:tc>
          <w:tcPr>
            <w:tcW w:w="1107" w:type="dxa"/>
            <w:vAlign w:val="top"/>
          </w:tcPr>
          <w:p w14:paraId="16D2FF8A">
            <w:pPr>
              <w:spacing w:before="270" w:line="220" w:lineRule="auto"/>
              <w:ind w:left="31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年龄</w:t>
            </w:r>
          </w:p>
        </w:tc>
        <w:tc>
          <w:tcPr>
            <w:tcW w:w="1241" w:type="dxa"/>
            <w:vAlign w:val="top"/>
          </w:tcPr>
          <w:p w14:paraId="5DC9DF24">
            <w:pPr>
              <w:spacing w:before="270" w:line="22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职称资格</w:t>
            </w:r>
          </w:p>
        </w:tc>
        <w:tc>
          <w:tcPr>
            <w:tcW w:w="1290" w:type="dxa"/>
            <w:vAlign w:val="top"/>
          </w:tcPr>
          <w:p w14:paraId="73FA3727">
            <w:pPr>
              <w:spacing w:before="38" w:line="342" w:lineRule="auto"/>
              <w:ind w:right="98"/>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专</w:t>
            </w:r>
            <w:r>
              <w:rPr>
                <w:rFonts w:ascii="宋体" w:hAnsi="宋体" w:eastAsia="宋体" w:cs="宋体"/>
                <w:color w:val="auto"/>
                <w:spacing w:val="-25"/>
                <w:sz w:val="24"/>
                <w:szCs w:val="24"/>
                <w:highlight w:val="none"/>
              </w:rPr>
              <w:t xml:space="preserve"> </w:t>
            </w:r>
            <w:r>
              <w:rPr>
                <w:rFonts w:ascii="宋体" w:hAnsi="宋体" w:eastAsia="宋体" w:cs="宋体"/>
                <w:color w:val="auto"/>
                <w:spacing w:val="-11"/>
                <w:sz w:val="24"/>
                <w:szCs w:val="24"/>
                <w:highlight w:val="none"/>
              </w:rPr>
              <w:t>业</w:t>
            </w:r>
            <w:r>
              <w:rPr>
                <w:rFonts w:ascii="宋体" w:hAnsi="宋体" w:eastAsia="宋体" w:cs="宋体"/>
                <w:color w:val="auto"/>
                <w:spacing w:val="-21"/>
                <w:sz w:val="24"/>
                <w:szCs w:val="24"/>
                <w:highlight w:val="none"/>
              </w:rPr>
              <w:t xml:space="preserve"> </w:t>
            </w:r>
            <w:r>
              <w:rPr>
                <w:rFonts w:ascii="宋体" w:hAnsi="宋体" w:eastAsia="宋体" w:cs="宋体"/>
                <w:color w:val="auto"/>
                <w:spacing w:val="-11"/>
                <w:sz w:val="24"/>
                <w:szCs w:val="24"/>
                <w:highlight w:val="none"/>
              </w:rPr>
              <w:t>工</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作年限</w:t>
            </w:r>
          </w:p>
        </w:tc>
        <w:tc>
          <w:tcPr>
            <w:tcW w:w="1425" w:type="dxa"/>
            <w:vAlign w:val="top"/>
          </w:tcPr>
          <w:p w14:paraId="1D488E82">
            <w:pPr>
              <w:spacing w:before="38" w:line="342" w:lineRule="auto"/>
              <w:ind w:right="10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本项目中拟任职</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务</w:t>
            </w:r>
          </w:p>
        </w:tc>
      </w:tr>
      <w:tr w14:paraId="1A5B1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075" w:type="dxa"/>
            <w:vAlign w:val="top"/>
          </w:tcPr>
          <w:p w14:paraId="4C833300">
            <w:pPr>
              <w:pStyle w:val="14"/>
              <w:rPr>
                <w:color w:val="auto"/>
                <w:highlight w:val="none"/>
              </w:rPr>
            </w:pPr>
          </w:p>
        </w:tc>
        <w:tc>
          <w:tcPr>
            <w:tcW w:w="1303" w:type="dxa"/>
            <w:vAlign w:val="top"/>
          </w:tcPr>
          <w:p w14:paraId="5021981F">
            <w:pPr>
              <w:pStyle w:val="14"/>
              <w:rPr>
                <w:color w:val="auto"/>
                <w:highlight w:val="none"/>
              </w:rPr>
            </w:pPr>
          </w:p>
        </w:tc>
        <w:tc>
          <w:tcPr>
            <w:tcW w:w="1226" w:type="dxa"/>
            <w:vAlign w:val="top"/>
          </w:tcPr>
          <w:p w14:paraId="23EF82BD">
            <w:pPr>
              <w:pStyle w:val="14"/>
              <w:rPr>
                <w:color w:val="auto"/>
                <w:highlight w:val="none"/>
              </w:rPr>
            </w:pPr>
          </w:p>
        </w:tc>
        <w:tc>
          <w:tcPr>
            <w:tcW w:w="1107" w:type="dxa"/>
            <w:vAlign w:val="top"/>
          </w:tcPr>
          <w:p w14:paraId="1DAE8E05">
            <w:pPr>
              <w:pStyle w:val="14"/>
              <w:rPr>
                <w:color w:val="auto"/>
                <w:highlight w:val="none"/>
              </w:rPr>
            </w:pPr>
          </w:p>
        </w:tc>
        <w:tc>
          <w:tcPr>
            <w:tcW w:w="1241" w:type="dxa"/>
            <w:vAlign w:val="top"/>
          </w:tcPr>
          <w:p w14:paraId="6F59599B">
            <w:pPr>
              <w:pStyle w:val="14"/>
              <w:rPr>
                <w:color w:val="auto"/>
                <w:highlight w:val="none"/>
              </w:rPr>
            </w:pPr>
          </w:p>
        </w:tc>
        <w:tc>
          <w:tcPr>
            <w:tcW w:w="1290" w:type="dxa"/>
            <w:vAlign w:val="top"/>
          </w:tcPr>
          <w:p w14:paraId="7AE2ECAE">
            <w:pPr>
              <w:pStyle w:val="14"/>
              <w:rPr>
                <w:color w:val="auto"/>
                <w:highlight w:val="none"/>
              </w:rPr>
            </w:pPr>
          </w:p>
        </w:tc>
        <w:tc>
          <w:tcPr>
            <w:tcW w:w="1425" w:type="dxa"/>
            <w:vAlign w:val="top"/>
          </w:tcPr>
          <w:p w14:paraId="604405BF">
            <w:pPr>
              <w:pStyle w:val="14"/>
              <w:rPr>
                <w:color w:val="auto"/>
                <w:highlight w:val="none"/>
              </w:rPr>
            </w:pPr>
          </w:p>
        </w:tc>
      </w:tr>
      <w:tr w14:paraId="2CDB6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075" w:type="dxa"/>
            <w:vAlign w:val="top"/>
          </w:tcPr>
          <w:p w14:paraId="33319047">
            <w:pPr>
              <w:pStyle w:val="14"/>
              <w:rPr>
                <w:color w:val="auto"/>
                <w:highlight w:val="none"/>
              </w:rPr>
            </w:pPr>
          </w:p>
        </w:tc>
        <w:tc>
          <w:tcPr>
            <w:tcW w:w="1303" w:type="dxa"/>
            <w:vAlign w:val="top"/>
          </w:tcPr>
          <w:p w14:paraId="537E35B8">
            <w:pPr>
              <w:pStyle w:val="14"/>
              <w:rPr>
                <w:color w:val="auto"/>
                <w:highlight w:val="none"/>
              </w:rPr>
            </w:pPr>
          </w:p>
        </w:tc>
        <w:tc>
          <w:tcPr>
            <w:tcW w:w="1226" w:type="dxa"/>
            <w:vAlign w:val="top"/>
          </w:tcPr>
          <w:p w14:paraId="2C00C6A6">
            <w:pPr>
              <w:pStyle w:val="14"/>
              <w:rPr>
                <w:color w:val="auto"/>
                <w:highlight w:val="none"/>
              </w:rPr>
            </w:pPr>
          </w:p>
        </w:tc>
        <w:tc>
          <w:tcPr>
            <w:tcW w:w="1107" w:type="dxa"/>
            <w:vAlign w:val="top"/>
          </w:tcPr>
          <w:p w14:paraId="064A2966">
            <w:pPr>
              <w:pStyle w:val="14"/>
              <w:rPr>
                <w:color w:val="auto"/>
                <w:highlight w:val="none"/>
              </w:rPr>
            </w:pPr>
          </w:p>
        </w:tc>
        <w:tc>
          <w:tcPr>
            <w:tcW w:w="1241" w:type="dxa"/>
            <w:vAlign w:val="top"/>
          </w:tcPr>
          <w:p w14:paraId="56B53986">
            <w:pPr>
              <w:pStyle w:val="14"/>
              <w:rPr>
                <w:color w:val="auto"/>
                <w:highlight w:val="none"/>
              </w:rPr>
            </w:pPr>
          </w:p>
        </w:tc>
        <w:tc>
          <w:tcPr>
            <w:tcW w:w="1290" w:type="dxa"/>
            <w:vAlign w:val="top"/>
          </w:tcPr>
          <w:p w14:paraId="61089639">
            <w:pPr>
              <w:pStyle w:val="14"/>
              <w:rPr>
                <w:color w:val="auto"/>
                <w:highlight w:val="none"/>
              </w:rPr>
            </w:pPr>
          </w:p>
        </w:tc>
        <w:tc>
          <w:tcPr>
            <w:tcW w:w="1425" w:type="dxa"/>
            <w:vAlign w:val="top"/>
          </w:tcPr>
          <w:p w14:paraId="7BEC57CB">
            <w:pPr>
              <w:pStyle w:val="14"/>
              <w:rPr>
                <w:color w:val="auto"/>
                <w:highlight w:val="none"/>
              </w:rPr>
            </w:pPr>
          </w:p>
        </w:tc>
      </w:tr>
      <w:tr w14:paraId="17980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075" w:type="dxa"/>
            <w:vAlign w:val="top"/>
          </w:tcPr>
          <w:p w14:paraId="1AEC7173">
            <w:pPr>
              <w:pStyle w:val="14"/>
              <w:rPr>
                <w:color w:val="auto"/>
                <w:highlight w:val="none"/>
              </w:rPr>
            </w:pPr>
          </w:p>
        </w:tc>
        <w:tc>
          <w:tcPr>
            <w:tcW w:w="1303" w:type="dxa"/>
            <w:vAlign w:val="top"/>
          </w:tcPr>
          <w:p w14:paraId="5B93E1A3">
            <w:pPr>
              <w:pStyle w:val="14"/>
              <w:rPr>
                <w:color w:val="auto"/>
                <w:highlight w:val="none"/>
              </w:rPr>
            </w:pPr>
          </w:p>
        </w:tc>
        <w:tc>
          <w:tcPr>
            <w:tcW w:w="1226" w:type="dxa"/>
            <w:vAlign w:val="top"/>
          </w:tcPr>
          <w:p w14:paraId="72701995">
            <w:pPr>
              <w:pStyle w:val="14"/>
              <w:rPr>
                <w:color w:val="auto"/>
                <w:highlight w:val="none"/>
              </w:rPr>
            </w:pPr>
          </w:p>
        </w:tc>
        <w:tc>
          <w:tcPr>
            <w:tcW w:w="1107" w:type="dxa"/>
            <w:vAlign w:val="top"/>
          </w:tcPr>
          <w:p w14:paraId="42811F75">
            <w:pPr>
              <w:pStyle w:val="14"/>
              <w:rPr>
                <w:color w:val="auto"/>
                <w:highlight w:val="none"/>
              </w:rPr>
            </w:pPr>
          </w:p>
        </w:tc>
        <w:tc>
          <w:tcPr>
            <w:tcW w:w="1241" w:type="dxa"/>
            <w:vAlign w:val="top"/>
          </w:tcPr>
          <w:p w14:paraId="4B6D515A">
            <w:pPr>
              <w:pStyle w:val="14"/>
              <w:rPr>
                <w:color w:val="auto"/>
                <w:highlight w:val="none"/>
              </w:rPr>
            </w:pPr>
          </w:p>
        </w:tc>
        <w:tc>
          <w:tcPr>
            <w:tcW w:w="1290" w:type="dxa"/>
            <w:vAlign w:val="top"/>
          </w:tcPr>
          <w:p w14:paraId="774A59B4">
            <w:pPr>
              <w:pStyle w:val="14"/>
              <w:rPr>
                <w:color w:val="auto"/>
                <w:highlight w:val="none"/>
              </w:rPr>
            </w:pPr>
          </w:p>
        </w:tc>
        <w:tc>
          <w:tcPr>
            <w:tcW w:w="1425" w:type="dxa"/>
            <w:vAlign w:val="top"/>
          </w:tcPr>
          <w:p w14:paraId="50C99597">
            <w:pPr>
              <w:pStyle w:val="14"/>
              <w:rPr>
                <w:color w:val="auto"/>
                <w:highlight w:val="none"/>
              </w:rPr>
            </w:pPr>
          </w:p>
        </w:tc>
      </w:tr>
      <w:tr w14:paraId="69729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075" w:type="dxa"/>
            <w:vAlign w:val="top"/>
          </w:tcPr>
          <w:p w14:paraId="6AA03692">
            <w:pPr>
              <w:pStyle w:val="14"/>
              <w:rPr>
                <w:color w:val="auto"/>
                <w:highlight w:val="none"/>
              </w:rPr>
            </w:pPr>
          </w:p>
        </w:tc>
        <w:tc>
          <w:tcPr>
            <w:tcW w:w="1303" w:type="dxa"/>
            <w:vAlign w:val="top"/>
          </w:tcPr>
          <w:p w14:paraId="251AA155">
            <w:pPr>
              <w:pStyle w:val="14"/>
              <w:rPr>
                <w:color w:val="auto"/>
                <w:highlight w:val="none"/>
              </w:rPr>
            </w:pPr>
          </w:p>
        </w:tc>
        <w:tc>
          <w:tcPr>
            <w:tcW w:w="1226" w:type="dxa"/>
            <w:vAlign w:val="top"/>
          </w:tcPr>
          <w:p w14:paraId="34595F08">
            <w:pPr>
              <w:pStyle w:val="14"/>
              <w:rPr>
                <w:color w:val="auto"/>
                <w:highlight w:val="none"/>
              </w:rPr>
            </w:pPr>
          </w:p>
        </w:tc>
        <w:tc>
          <w:tcPr>
            <w:tcW w:w="1107" w:type="dxa"/>
            <w:vAlign w:val="top"/>
          </w:tcPr>
          <w:p w14:paraId="5325F0B2">
            <w:pPr>
              <w:pStyle w:val="14"/>
              <w:rPr>
                <w:color w:val="auto"/>
                <w:highlight w:val="none"/>
              </w:rPr>
            </w:pPr>
          </w:p>
        </w:tc>
        <w:tc>
          <w:tcPr>
            <w:tcW w:w="1241" w:type="dxa"/>
            <w:vAlign w:val="top"/>
          </w:tcPr>
          <w:p w14:paraId="33C0EB0A">
            <w:pPr>
              <w:pStyle w:val="14"/>
              <w:rPr>
                <w:color w:val="auto"/>
                <w:highlight w:val="none"/>
              </w:rPr>
            </w:pPr>
          </w:p>
        </w:tc>
        <w:tc>
          <w:tcPr>
            <w:tcW w:w="1290" w:type="dxa"/>
            <w:vAlign w:val="top"/>
          </w:tcPr>
          <w:p w14:paraId="46040FC6">
            <w:pPr>
              <w:pStyle w:val="14"/>
              <w:rPr>
                <w:color w:val="auto"/>
                <w:highlight w:val="none"/>
              </w:rPr>
            </w:pPr>
          </w:p>
        </w:tc>
        <w:tc>
          <w:tcPr>
            <w:tcW w:w="1425" w:type="dxa"/>
            <w:vAlign w:val="top"/>
          </w:tcPr>
          <w:p w14:paraId="09B6751C">
            <w:pPr>
              <w:pStyle w:val="14"/>
              <w:rPr>
                <w:color w:val="auto"/>
                <w:highlight w:val="none"/>
              </w:rPr>
            </w:pPr>
          </w:p>
        </w:tc>
      </w:tr>
      <w:tr w14:paraId="25D1D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075" w:type="dxa"/>
            <w:vAlign w:val="top"/>
          </w:tcPr>
          <w:p w14:paraId="13AC3875">
            <w:pPr>
              <w:pStyle w:val="14"/>
              <w:rPr>
                <w:color w:val="auto"/>
                <w:highlight w:val="none"/>
              </w:rPr>
            </w:pPr>
          </w:p>
        </w:tc>
        <w:tc>
          <w:tcPr>
            <w:tcW w:w="1303" w:type="dxa"/>
            <w:vAlign w:val="top"/>
          </w:tcPr>
          <w:p w14:paraId="60D4D595">
            <w:pPr>
              <w:pStyle w:val="14"/>
              <w:rPr>
                <w:color w:val="auto"/>
                <w:highlight w:val="none"/>
              </w:rPr>
            </w:pPr>
          </w:p>
        </w:tc>
        <w:tc>
          <w:tcPr>
            <w:tcW w:w="1226" w:type="dxa"/>
            <w:vAlign w:val="top"/>
          </w:tcPr>
          <w:p w14:paraId="1745F598">
            <w:pPr>
              <w:pStyle w:val="14"/>
              <w:rPr>
                <w:color w:val="auto"/>
                <w:highlight w:val="none"/>
              </w:rPr>
            </w:pPr>
          </w:p>
        </w:tc>
        <w:tc>
          <w:tcPr>
            <w:tcW w:w="1107" w:type="dxa"/>
            <w:vAlign w:val="top"/>
          </w:tcPr>
          <w:p w14:paraId="55E94CB2">
            <w:pPr>
              <w:pStyle w:val="14"/>
              <w:rPr>
                <w:color w:val="auto"/>
                <w:highlight w:val="none"/>
              </w:rPr>
            </w:pPr>
          </w:p>
        </w:tc>
        <w:tc>
          <w:tcPr>
            <w:tcW w:w="1241" w:type="dxa"/>
            <w:vAlign w:val="top"/>
          </w:tcPr>
          <w:p w14:paraId="2FBE8B00">
            <w:pPr>
              <w:pStyle w:val="14"/>
              <w:rPr>
                <w:color w:val="auto"/>
                <w:highlight w:val="none"/>
              </w:rPr>
            </w:pPr>
          </w:p>
        </w:tc>
        <w:tc>
          <w:tcPr>
            <w:tcW w:w="1290" w:type="dxa"/>
            <w:vAlign w:val="top"/>
          </w:tcPr>
          <w:p w14:paraId="4E3FBC53">
            <w:pPr>
              <w:pStyle w:val="14"/>
              <w:rPr>
                <w:color w:val="auto"/>
                <w:highlight w:val="none"/>
              </w:rPr>
            </w:pPr>
          </w:p>
        </w:tc>
        <w:tc>
          <w:tcPr>
            <w:tcW w:w="1425" w:type="dxa"/>
            <w:vAlign w:val="top"/>
          </w:tcPr>
          <w:p w14:paraId="519491E7">
            <w:pPr>
              <w:pStyle w:val="14"/>
              <w:rPr>
                <w:color w:val="auto"/>
                <w:highlight w:val="none"/>
              </w:rPr>
            </w:pPr>
          </w:p>
        </w:tc>
      </w:tr>
      <w:tr w14:paraId="22526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075" w:type="dxa"/>
            <w:vAlign w:val="top"/>
          </w:tcPr>
          <w:p w14:paraId="52707DA4">
            <w:pPr>
              <w:pStyle w:val="14"/>
              <w:rPr>
                <w:color w:val="auto"/>
                <w:highlight w:val="none"/>
              </w:rPr>
            </w:pPr>
          </w:p>
        </w:tc>
        <w:tc>
          <w:tcPr>
            <w:tcW w:w="1303" w:type="dxa"/>
            <w:vAlign w:val="top"/>
          </w:tcPr>
          <w:p w14:paraId="1BBBE5B6">
            <w:pPr>
              <w:pStyle w:val="14"/>
              <w:rPr>
                <w:color w:val="auto"/>
                <w:highlight w:val="none"/>
              </w:rPr>
            </w:pPr>
          </w:p>
        </w:tc>
        <w:tc>
          <w:tcPr>
            <w:tcW w:w="1226" w:type="dxa"/>
            <w:vAlign w:val="top"/>
          </w:tcPr>
          <w:p w14:paraId="47FE311B">
            <w:pPr>
              <w:pStyle w:val="14"/>
              <w:rPr>
                <w:color w:val="auto"/>
                <w:highlight w:val="none"/>
              </w:rPr>
            </w:pPr>
          </w:p>
        </w:tc>
        <w:tc>
          <w:tcPr>
            <w:tcW w:w="1107" w:type="dxa"/>
            <w:vAlign w:val="top"/>
          </w:tcPr>
          <w:p w14:paraId="5901C92C">
            <w:pPr>
              <w:pStyle w:val="14"/>
              <w:rPr>
                <w:color w:val="auto"/>
                <w:highlight w:val="none"/>
              </w:rPr>
            </w:pPr>
          </w:p>
        </w:tc>
        <w:tc>
          <w:tcPr>
            <w:tcW w:w="1241" w:type="dxa"/>
            <w:vAlign w:val="top"/>
          </w:tcPr>
          <w:p w14:paraId="15460105">
            <w:pPr>
              <w:pStyle w:val="14"/>
              <w:rPr>
                <w:color w:val="auto"/>
                <w:highlight w:val="none"/>
              </w:rPr>
            </w:pPr>
          </w:p>
        </w:tc>
        <w:tc>
          <w:tcPr>
            <w:tcW w:w="1290" w:type="dxa"/>
            <w:vAlign w:val="top"/>
          </w:tcPr>
          <w:p w14:paraId="68165221">
            <w:pPr>
              <w:pStyle w:val="14"/>
              <w:rPr>
                <w:color w:val="auto"/>
                <w:highlight w:val="none"/>
              </w:rPr>
            </w:pPr>
          </w:p>
        </w:tc>
        <w:tc>
          <w:tcPr>
            <w:tcW w:w="1425" w:type="dxa"/>
            <w:vAlign w:val="top"/>
          </w:tcPr>
          <w:p w14:paraId="6CA014FD">
            <w:pPr>
              <w:pStyle w:val="14"/>
              <w:rPr>
                <w:color w:val="auto"/>
                <w:highlight w:val="none"/>
              </w:rPr>
            </w:pPr>
          </w:p>
        </w:tc>
      </w:tr>
      <w:tr w14:paraId="13334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075" w:type="dxa"/>
            <w:vAlign w:val="top"/>
          </w:tcPr>
          <w:p w14:paraId="2F3C5A16">
            <w:pPr>
              <w:pStyle w:val="14"/>
              <w:rPr>
                <w:color w:val="auto"/>
                <w:highlight w:val="none"/>
              </w:rPr>
            </w:pPr>
          </w:p>
        </w:tc>
        <w:tc>
          <w:tcPr>
            <w:tcW w:w="1303" w:type="dxa"/>
            <w:vAlign w:val="top"/>
          </w:tcPr>
          <w:p w14:paraId="5011077B">
            <w:pPr>
              <w:pStyle w:val="14"/>
              <w:rPr>
                <w:color w:val="auto"/>
                <w:highlight w:val="none"/>
              </w:rPr>
            </w:pPr>
          </w:p>
        </w:tc>
        <w:tc>
          <w:tcPr>
            <w:tcW w:w="1226" w:type="dxa"/>
            <w:vAlign w:val="top"/>
          </w:tcPr>
          <w:p w14:paraId="034007B4">
            <w:pPr>
              <w:pStyle w:val="14"/>
              <w:rPr>
                <w:color w:val="auto"/>
                <w:highlight w:val="none"/>
              </w:rPr>
            </w:pPr>
          </w:p>
        </w:tc>
        <w:tc>
          <w:tcPr>
            <w:tcW w:w="1107" w:type="dxa"/>
            <w:vAlign w:val="top"/>
          </w:tcPr>
          <w:p w14:paraId="3453BD0C">
            <w:pPr>
              <w:pStyle w:val="14"/>
              <w:rPr>
                <w:color w:val="auto"/>
                <w:highlight w:val="none"/>
              </w:rPr>
            </w:pPr>
          </w:p>
        </w:tc>
        <w:tc>
          <w:tcPr>
            <w:tcW w:w="1241" w:type="dxa"/>
            <w:vAlign w:val="top"/>
          </w:tcPr>
          <w:p w14:paraId="1E923C6F">
            <w:pPr>
              <w:pStyle w:val="14"/>
              <w:rPr>
                <w:color w:val="auto"/>
                <w:highlight w:val="none"/>
              </w:rPr>
            </w:pPr>
          </w:p>
        </w:tc>
        <w:tc>
          <w:tcPr>
            <w:tcW w:w="1290" w:type="dxa"/>
            <w:vAlign w:val="top"/>
          </w:tcPr>
          <w:p w14:paraId="65370A97">
            <w:pPr>
              <w:pStyle w:val="14"/>
              <w:rPr>
                <w:color w:val="auto"/>
                <w:highlight w:val="none"/>
              </w:rPr>
            </w:pPr>
          </w:p>
        </w:tc>
        <w:tc>
          <w:tcPr>
            <w:tcW w:w="1425" w:type="dxa"/>
            <w:vAlign w:val="top"/>
          </w:tcPr>
          <w:p w14:paraId="1A6187A1">
            <w:pPr>
              <w:pStyle w:val="14"/>
              <w:rPr>
                <w:color w:val="auto"/>
                <w:highlight w:val="none"/>
              </w:rPr>
            </w:pPr>
          </w:p>
        </w:tc>
      </w:tr>
      <w:tr w14:paraId="21320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075" w:type="dxa"/>
            <w:vAlign w:val="top"/>
          </w:tcPr>
          <w:p w14:paraId="198280BC">
            <w:pPr>
              <w:pStyle w:val="14"/>
              <w:rPr>
                <w:color w:val="auto"/>
                <w:highlight w:val="none"/>
              </w:rPr>
            </w:pPr>
          </w:p>
        </w:tc>
        <w:tc>
          <w:tcPr>
            <w:tcW w:w="1303" w:type="dxa"/>
            <w:vAlign w:val="top"/>
          </w:tcPr>
          <w:p w14:paraId="098894D7">
            <w:pPr>
              <w:pStyle w:val="14"/>
              <w:rPr>
                <w:color w:val="auto"/>
                <w:highlight w:val="none"/>
              </w:rPr>
            </w:pPr>
          </w:p>
        </w:tc>
        <w:tc>
          <w:tcPr>
            <w:tcW w:w="1226" w:type="dxa"/>
            <w:vAlign w:val="top"/>
          </w:tcPr>
          <w:p w14:paraId="26DF6ADC">
            <w:pPr>
              <w:pStyle w:val="14"/>
              <w:rPr>
                <w:color w:val="auto"/>
                <w:highlight w:val="none"/>
              </w:rPr>
            </w:pPr>
          </w:p>
        </w:tc>
        <w:tc>
          <w:tcPr>
            <w:tcW w:w="1107" w:type="dxa"/>
            <w:vAlign w:val="top"/>
          </w:tcPr>
          <w:p w14:paraId="643F26CD">
            <w:pPr>
              <w:pStyle w:val="14"/>
              <w:rPr>
                <w:color w:val="auto"/>
                <w:highlight w:val="none"/>
              </w:rPr>
            </w:pPr>
          </w:p>
        </w:tc>
        <w:tc>
          <w:tcPr>
            <w:tcW w:w="1241" w:type="dxa"/>
            <w:vAlign w:val="top"/>
          </w:tcPr>
          <w:p w14:paraId="6F4E0875">
            <w:pPr>
              <w:pStyle w:val="14"/>
              <w:rPr>
                <w:color w:val="auto"/>
                <w:highlight w:val="none"/>
              </w:rPr>
            </w:pPr>
          </w:p>
        </w:tc>
        <w:tc>
          <w:tcPr>
            <w:tcW w:w="1290" w:type="dxa"/>
            <w:vAlign w:val="top"/>
          </w:tcPr>
          <w:p w14:paraId="2577833E">
            <w:pPr>
              <w:pStyle w:val="14"/>
              <w:rPr>
                <w:color w:val="auto"/>
                <w:highlight w:val="none"/>
              </w:rPr>
            </w:pPr>
          </w:p>
        </w:tc>
        <w:tc>
          <w:tcPr>
            <w:tcW w:w="1425" w:type="dxa"/>
            <w:vAlign w:val="top"/>
          </w:tcPr>
          <w:p w14:paraId="5E22EE94">
            <w:pPr>
              <w:pStyle w:val="14"/>
              <w:rPr>
                <w:color w:val="auto"/>
                <w:highlight w:val="none"/>
              </w:rPr>
            </w:pPr>
          </w:p>
        </w:tc>
      </w:tr>
      <w:tr w14:paraId="7EF8C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075" w:type="dxa"/>
            <w:vAlign w:val="top"/>
          </w:tcPr>
          <w:p w14:paraId="40F5335C">
            <w:pPr>
              <w:pStyle w:val="14"/>
              <w:rPr>
                <w:color w:val="auto"/>
                <w:highlight w:val="none"/>
              </w:rPr>
            </w:pPr>
          </w:p>
        </w:tc>
        <w:tc>
          <w:tcPr>
            <w:tcW w:w="1303" w:type="dxa"/>
            <w:vAlign w:val="top"/>
          </w:tcPr>
          <w:p w14:paraId="0191A387">
            <w:pPr>
              <w:pStyle w:val="14"/>
              <w:rPr>
                <w:color w:val="auto"/>
                <w:highlight w:val="none"/>
              </w:rPr>
            </w:pPr>
          </w:p>
        </w:tc>
        <w:tc>
          <w:tcPr>
            <w:tcW w:w="1226" w:type="dxa"/>
            <w:vAlign w:val="top"/>
          </w:tcPr>
          <w:p w14:paraId="7F469C21">
            <w:pPr>
              <w:pStyle w:val="14"/>
              <w:rPr>
                <w:color w:val="auto"/>
                <w:highlight w:val="none"/>
              </w:rPr>
            </w:pPr>
          </w:p>
        </w:tc>
        <w:tc>
          <w:tcPr>
            <w:tcW w:w="1107" w:type="dxa"/>
            <w:vAlign w:val="top"/>
          </w:tcPr>
          <w:p w14:paraId="7B3C2E4A">
            <w:pPr>
              <w:pStyle w:val="14"/>
              <w:rPr>
                <w:color w:val="auto"/>
                <w:highlight w:val="none"/>
              </w:rPr>
            </w:pPr>
          </w:p>
        </w:tc>
        <w:tc>
          <w:tcPr>
            <w:tcW w:w="1241" w:type="dxa"/>
            <w:vAlign w:val="top"/>
          </w:tcPr>
          <w:p w14:paraId="228EF058">
            <w:pPr>
              <w:pStyle w:val="14"/>
              <w:rPr>
                <w:color w:val="auto"/>
                <w:highlight w:val="none"/>
              </w:rPr>
            </w:pPr>
          </w:p>
        </w:tc>
        <w:tc>
          <w:tcPr>
            <w:tcW w:w="1290" w:type="dxa"/>
            <w:vAlign w:val="top"/>
          </w:tcPr>
          <w:p w14:paraId="16D6BD37">
            <w:pPr>
              <w:pStyle w:val="14"/>
              <w:rPr>
                <w:color w:val="auto"/>
                <w:highlight w:val="none"/>
              </w:rPr>
            </w:pPr>
          </w:p>
        </w:tc>
        <w:tc>
          <w:tcPr>
            <w:tcW w:w="1425" w:type="dxa"/>
            <w:vAlign w:val="top"/>
          </w:tcPr>
          <w:p w14:paraId="5B01B091">
            <w:pPr>
              <w:pStyle w:val="14"/>
              <w:rPr>
                <w:color w:val="auto"/>
                <w:highlight w:val="none"/>
              </w:rPr>
            </w:pPr>
          </w:p>
        </w:tc>
      </w:tr>
      <w:tr w14:paraId="46845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075" w:type="dxa"/>
            <w:vAlign w:val="top"/>
          </w:tcPr>
          <w:p w14:paraId="603FED17">
            <w:pPr>
              <w:pStyle w:val="14"/>
              <w:rPr>
                <w:color w:val="auto"/>
                <w:highlight w:val="none"/>
              </w:rPr>
            </w:pPr>
          </w:p>
        </w:tc>
        <w:tc>
          <w:tcPr>
            <w:tcW w:w="1303" w:type="dxa"/>
            <w:vAlign w:val="top"/>
          </w:tcPr>
          <w:p w14:paraId="6F09FA2D">
            <w:pPr>
              <w:pStyle w:val="14"/>
              <w:rPr>
                <w:color w:val="auto"/>
                <w:highlight w:val="none"/>
              </w:rPr>
            </w:pPr>
          </w:p>
        </w:tc>
        <w:tc>
          <w:tcPr>
            <w:tcW w:w="1226" w:type="dxa"/>
            <w:vAlign w:val="top"/>
          </w:tcPr>
          <w:p w14:paraId="4989361A">
            <w:pPr>
              <w:pStyle w:val="14"/>
              <w:rPr>
                <w:color w:val="auto"/>
                <w:highlight w:val="none"/>
              </w:rPr>
            </w:pPr>
          </w:p>
        </w:tc>
        <w:tc>
          <w:tcPr>
            <w:tcW w:w="1107" w:type="dxa"/>
            <w:vAlign w:val="top"/>
          </w:tcPr>
          <w:p w14:paraId="4DE9950A">
            <w:pPr>
              <w:pStyle w:val="14"/>
              <w:rPr>
                <w:color w:val="auto"/>
                <w:highlight w:val="none"/>
              </w:rPr>
            </w:pPr>
          </w:p>
        </w:tc>
        <w:tc>
          <w:tcPr>
            <w:tcW w:w="1241" w:type="dxa"/>
            <w:vAlign w:val="top"/>
          </w:tcPr>
          <w:p w14:paraId="19E1BA9C">
            <w:pPr>
              <w:pStyle w:val="14"/>
              <w:rPr>
                <w:color w:val="auto"/>
                <w:highlight w:val="none"/>
              </w:rPr>
            </w:pPr>
          </w:p>
        </w:tc>
        <w:tc>
          <w:tcPr>
            <w:tcW w:w="1290" w:type="dxa"/>
            <w:vAlign w:val="top"/>
          </w:tcPr>
          <w:p w14:paraId="5DB27B42">
            <w:pPr>
              <w:pStyle w:val="14"/>
              <w:rPr>
                <w:color w:val="auto"/>
                <w:highlight w:val="none"/>
              </w:rPr>
            </w:pPr>
          </w:p>
        </w:tc>
        <w:tc>
          <w:tcPr>
            <w:tcW w:w="1425" w:type="dxa"/>
            <w:vAlign w:val="top"/>
          </w:tcPr>
          <w:p w14:paraId="4B939964">
            <w:pPr>
              <w:pStyle w:val="14"/>
              <w:rPr>
                <w:color w:val="auto"/>
                <w:highlight w:val="none"/>
              </w:rPr>
            </w:pPr>
          </w:p>
        </w:tc>
      </w:tr>
    </w:tbl>
    <w:p w14:paraId="72A072F8">
      <w:pPr>
        <w:pStyle w:val="2"/>
        <w:spacing w:before="37" w:line="219" w:lineRule="auto"/>
        <w:ind w:left="141"/>
        <w:rPr>
          <w:color w:val="auto"/>
          <w:sz w:val="24"/>
          <w:szCs w:val="24"/>
          <w:highlight w:val="none"/>
        </w:rPr>
      </w:pPr>
      <w:r>
        <w:rPr>
          <w:color w:val="auto"/>
          <w:spacing w:val="-7"/>
          <w:sz w:val="24"/>
          <w:szCs w:val="24"/>
          <w:highlight w:val="none"/>
        </w:rPr>
        <w:t>附资格证明文件。</w:t>
      </w:r>
    </w:p>
    <w:p w14:paraId="123CE5F1">
      <w:pPr>
        <w:spacing w:before="147" w:line="2400" w:lineRule="exact"/>
        <w:ind w:firstLine="4715"/>
        <w:rPr>
          <w:color w:val="auto"/>
          <w:highlight w:val="none"/>
        </w:rPr>
      </w:pPr>
    </w:p>
    <w:p w14:paraId="39581F86">
      <w:pPr>
        <w:spacing w:line="2400" w:lineRule="exact"/>
        <w:rPr>
          <w:color w:val="auto"/>
          <w:highlight w:val="none"/>
        </w:rPr>
        <w:sectPr>
          <w:headerReference r:id="rId24" w:type="default"/>
          <w:footerReference r:id="rId25" w:type="default"/>
          <w:pgSz w:w="11906" w:h="16839"/>
          <w:pgMar w:top="1127" w:right="750" w:bottom="1162" w:left="1684" w:header="870" w:footer="985" w:gutter="0"/>
          <w:pgNumType w:fmt="decimal"/>
          <w:cols w:space="720" w:num="1"/>
        </w:sectPr>
      </w:pPr>
    </w:p>
    <w:p w14:paraId="539E9761">
      <w:pPr>
        <w:pStyle w:val="2"/>
        <w:spacing w:before="78" w:line="220" w:lineRule="auto"/>
        <w:ind w:left="2573"/>
        <w:outlineLvl w:val="3"/>
        <w:rPr>
          <w:b/>
          <w:bCs/>
          <w:spacing w:val="-6"/>
          <w:sz w:val="32"/>
          <w:szCs w:val="32"/>
          <w:highlight w:val="none"/>
        </w:rPr>
      </w:pPr>
      <w:r>
        <w:rPr>
          <w:b/>
          <w:bCs/>
          <w:spacing w:val="-6"/>
          <w:sz w:val="32"/>
          <w:szCs w:val="32"/>
          <w:highlight w:val="none"/>
        </w:rPr>
        <w:t>7-1</w:t>
      </w:r>
      <w:r>
        <w:rPr>
          <w:spacing w:val="22"/>
          <w:sz w:val="32"/>
          <w:szCs w:val="32"/>
          <w:highlight w:val="none"/>
        </w:rPr>
        <w:t xml:space="preserve">  </w:t>
      </w:r>
      <w:r>
        <w:rPr>
          <w:b/>
          <w:bCs/>
          <w:spacing w:val="-6"/>
          <w:sz w:val="32"/>
          <w:szCs w:val="32"/>
          <w:highlight w:val="none"/>
        </w:rPr>
        <w:t>中小企业声明函（服务）</w:t>
      </w:r>
    </w:p>
    <w:p w14:paraId="13749BCA">
      <w:pPr>
        <w:pStyle w:val="2"/>
        <w:spacing w:before="78" w:line="220" w:lineRule="auto"/>
        <w:ind w:left="2573"/>
        <w:outlineLvl w:val="3"/>
        <w:rPr>
          <w:b/>
          <w:bCs/>
          <w:spacing w:val="-6"/>
          <w:sz w:val="32"/>
          <w:szCs w:val="32"/>
          <w:highlight w:val="none"/>
        </w:rPr>
      </w:pPr>
    </w:p>
    <w:p w14:paraId="658170FE">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960" w:firstLineChars="4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本公司（联合体）郑重声明，根据《政府采购促进中小企业发展管理办法》（财库﹝2020﹞46号）的规定，本公司（联合体）参加</w:t>
      </w:r>
      <w:r>
        <w:rPr>
          <w:rFonts w:hint="eastAsia" w:ascii="微软雅黑" w:hAnsi="微软雅黑" w:eastAsia="微软雅黑" w:cs="微软雅黑"/>
          <w:color w:val="auto"/>
          <w:kern w:val="0"/>
          <w:sz w:val="24"/>
          <w:szCs w:val="24"/>
          <w:highlight w:val="none"/>
          <w:u w:val="single"/>
        </w:rPr>
        <w:t>（单位名称）</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u w:val="single"/>
        </w:rPr>
        <w:t>（</w:t>
      </w:r>
      <w:r>
        <w:rPr>
          <w:rFonts w:hint="eastAsia" w:ascii="微软雅黑" w:hAnsi="微软雅黑" w:eastAsia="微软雅黑" w:cs="微软雅黑"/>
          <w:color w:val="auto"/>
          <w:kern w:val="0"/>
          <w:sz w:val="24"/>
          <w:szCs w:val="24"/>
          <w:highlight w:val="none"/>
          <w:u w:val="single"/>
          <w:lang w:eastAsia="zh-CN"/>
        </w:rPr>
        <w:t>标项</w:t>
      </w:r>
      <w:r>
        <w:rPr>
          <w:rFonts w:hint="eastAsia" w:ascii="微软雅黑" w:hAnsi="微软雅黑" w:eastAsia="微软雅黑" w:cs="微软雅黑"/>
          <w:color w:val="auto"/>
          <w:kern w:val="0"/>
          <w:sz w:val="24"/>
          <w:szCs w:val="24"/>
          <w:highlight w:val="none"/>
          <w:u w:val="single"/>
        </w:rPr>
        <w:t>名称）</w:t>
      </w:r>
      <w:r>
        <w:rPr>
          <w:rFonts w:hint="eastAsia" w:ascii="微软雅黑" w:hAnsi="微软雅黑" w:eastAsia="微软雅黑" w:cs="微软雅黑"/>
          <w:color w:val="auto"/>
          <w:kern w:val="0"/>
          <w:sz w:val="24"/>
          <w:szCs w:val="24"/>
          <w:highlight w:val="none"/>
        </w:rPr>
        <w:t>采购活动，服务全部由符合政策要求的中小企业承接。相关企业（含联合体中的中小企业、签订分包意向协议的中小企业）的具体情况如下：</w:t>
      </w:r>
    </w:p>
    <w:p w14:paraId="7004F968">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val="en-US" w:eastAsia="zh-CN"/>
        </w:rPr>
        <w:t>1.</w:t>
      </w:r>
      <w:r>
        <w:rPr>
          <w:rFonts w:hint="eastAsia" w:ascii="微软雅黑" w:hAnsi="微软雅黑" w:eastAsia="微软雅黑" w:cs="微软雅黑"/>
          <w:color w:val="auto"/>
          <w:kern w:val="0"/>
          <w:sz w:val="24"/>
          <w:szCs w:val="24"/>
          <w:highlight w:val="none"/>
          <w:u w:val="single"/>
        </w:rPr>
        <w:t>（标的名称）</w:t>
      </w:r>
      <w:r>
        <w:rPr>
          <w:rFonts w:hint="eastAsia" w:ascii="微软雅黑" w:hAnsi="微软雅黑" w:eastAsia="微软雅黑" w:cs="微软雅黑"/>
          <w:color w:val="auto"/>
          <w:kern w:val="0"/>
          <w:sz w:val="24"/>
          <w:szCs w:val="24"/>
          <w:highlight w:val="none"/>
        </w:rPr>
        <w:t>，属于</w:t>
      </w:r>
      <w:r>
        <w:rPr>
          <w:rFonts w:hint="eastAsia" w:ascii="微软雅黑" w:hAnsi="微软雅黑" w:eastAsia="微软雅黑" w:cs="微软雅黑"/>
          <w:color w:val="auto"/>
          <w:kern w:val="0"/>
          <w:sz w:val="24"/>
          <w:szCs w:val="24"/>
          <w:highlight w:val="none"/>
          <w:u w:val="single"/>
        </w:rPr>
        <w:t>（</w:t>
      </w:r>
      <w:r>
        <w:rPr>
          <w:rFonts w:hint="eastAsia" w:ascii="微软雅黑" w:hAnsi="微软雅黑" w:eastAsia="微软雅黑" w:cs="微软雅黑"/>
          <w:color w:val="auto"/>
          <w:kern w:val="0"/>
          <w:sz w:val="24"/>
          <w:szCs w:val="24"/>
          <w:highlight w:val="none"/>
          <w:u w:val="single"/>
          <w:lang w:eastAsia="zh-CN"/>
        </w:rPr>
        <w:t>招标文件</w:t>
      </w:r>
      <w:r>
        <w:rPr>
          <w:rFonts w:hint="eastAsia" w:ascii="微软雅黑" w:hAnsi="微软雅黑" w:eastAsia="微软雅黑" w:cs="微软雅黑"/>
          <w:color w:val="auto"/>
          <w:kern w:val="0"/>
          <w:sz w:val="24"/>
          <w:szCs w:val="24"/>
          <w:highlight w:val="none"/>
          <w:u w:val="single"/>
        </w:rPr>
        <w:t>中明确的所属行业）</w:t>
      </w:r>
      <w:r>
        <w:rPr>
          <w:rFonts w:hint="eastAsia" w:ascii="微软雅黑" w:hAnsi="微软雅黑" w:eastAsia="微软雅黑" w:cs="微软雅黑"/>
          <w:color w:val="auto"/>
          <w:kern w:val="0"/>
          <w:sz w:val="24"/>
          <w:szCs w:val="24"/>
          <w:highlight w:val="none"/>
        </w:rPr>
        <w:t>；承建（承接）企业为</w:t>
      </w:r>
      <w:r>
        <w:rPr>
          <w:rFonts w:hint="eastAsia" w:ascii="微软雅黑" w:hAnsi="微软雅黑" w:eastAsia="微软雅黑" w:cs="微软雅黑"/>
          <w:color w:val="auto"/>
          <w:kern w:val="0"/>
          <w:sz w:val="24"/>
          <w:szCs w:val="24"/>
          <w:highlight w:val="none"/>
          <w:u w:val="single"/>
        </w:rPr>
        <w:t>（企业名称）</w:t>
      </w:r>
      <w:r>
        <w:rPr>
          <w:rFonts w:hint="eastAsia" w:ascii="微软雅黑" w:hAnsi="微软雅黑" w:eastAsia="微软雅黑" w:cs="微软雅黑"/>
          <w:color w:val="auto"/>
          <w:kern w:val="0"/>
          <w:sz w:val="24"/>
          <w:szCs w:val="24"/>
          <w:highlight w:val="none"/>
        </w:rPr>
        <w:t>，从业人员</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人，营业收入为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万元，资产总额为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u w:val="single"/>
        </w:rPr>
        <w:tab/>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万元，属于</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u w:val="none"/>
        </w:rPr>
        <w:t>（中型企业、小型企业、微型企业）</w:t>
      </w:r>
      <w:r>
        <w:rPr>
          <w:rFonts w:hint="eastAsia" w:ascii="微软雅黑" w:hAnsi="微软雅黑" w:eastAsia="微软雅黑" w:cs="微软雅黑"/>
          <w:color w:val="auto"/>
          <w:kern w:val="0"/>
          <w:sz w:val="24"/>
          <w:szCs w:val="24"/>
          <w:highlight w:val="none"/>
        </w:rPr>
        <w:t>；</w:t>
      </w:r>
    </w:p>
    <w:p w14:paraId="06A8553C">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val="en-US" w:eastAsia="zh-CN"/>
        </w:rPr>
        <w:t>2.</w:t>
      </w:r>
      <w:r>
        <w:rPr>
          <w:rFonts w:hint="eastAsia" w:ascii="微软雅黑" w:hAnsi="微软雅黑" w:eastAsia="微软雅黑" w:cs="微软雅黑"/>
          <w:color w:val="auto"/>
          <w:kern w:val="0"/>
          <w:sz w:val="24"/>
          <w:szCs w:val="24"/>
          <w:highlight w:val="none"/>
          <w:u w:val="single"/>
        </w:rPr>
        <w:t>（标的名称）</w:t>
      </w:r>
      <w:r>
        <w:rPr>
          <w:rFonts w:hint="eastAsia" w:ascii="微软雅黑" w:hAnsi="微软雅黑" w:eastAsia="微软雅黑" w:cs="微软雅黑"/>
          <w:color w:val="auto"/>
          <w:kern w:val="0"/>
          <w:sz w:val="24"/>
          <w:szCs w:val="24"/>
          <w:highlight w:val="none"/>
        </w:rPr>
        <w:t>，属于</w:t>
      </w:r>
      <w:r>
        <w:rPr>
          <w:rFonts w:hint="eastAsia" w:ascii="微软雅黑" w:hAnsi="微软雅黑" w:eastAsia="微软雅黑" w:cs="微软雅黑"/>
          <w:color w:val="auto"/>
          <w:kern w:val="0"/>
          <w:sz w:val="24"/>
          <w:szCs w:val="24"/>
          <w:highlight w:val="none"/>
          <w:u w:val="single"/>
        </w:rPr>
        <w:t>（</w:t>
      </w:r>
      <w:r>
        <w:rPr>
          <w:rFonts w:hint="eastAsia" w:ascii="微软雅黑" w:hAnsi="微软雅黑" w:eastAsia="微软雅黑" w:cs="微软雅黑"/>
          <w:color w:val="auto"/>
          <w:kern w:val="0"/>
          <w:sz w:val="24"/>
          <w:szCs w:val="24"/>
          <w:highlight w:val="none"/>
          <w:u w:val="single"/>
          <w:lang w:eastAsia="zh-CN"/>
        </w:rPr>
        <w:t>招标文件</w:t>
      </w:r>
      <w:r>
        <w:rPr>
          <w:rFonts w:hint="eastAsia" w:ascii="微软雅黑" w:hAnsi="微软雅黑" w:eastAsia="微软雅黑" w:cs="微软雅黑"/>
          <w:color w:val="auto"/>
          <w:kern w:val="0"/>
          <w:sz w:val="24"/>
          <w:szCs w:val="24"/>
          <w:highlight w:val="none"/>
          <w:u w:val="single"/>
        </w:rPr>
        <w:t>中明确的所属行业）</w:t>
      </w:r>
      <w:r>
        <w:rPr>
          <w:rFonts w:hint="eastAsia" w:ascii="微软雅黑" w:hAnsi="微软雅黑" w:eastAsia="微软雅黑" w:cs="微软雅黑"/>
          <w:color w:val="auto"/>
          <w:kern w:val="0"/>
          <w:sz w:val="24"/>
          <w:szCs w:val="24"/>
          <w:highlight w:val="none"/>
        </w:rPr>
        <w:t>；承建（承接）企业为</w:t>
      </w:r>
      <w:r>
        <w:rPr>
          <w:rFonts w:hint="eastAsia" w:ascii="微软雅黑" w:hAnsi="微软雅黑" w:eastAsia="微软雅黑" w:cs="微软雅黑"/>
          <w:color w:val="auto"/>
          <w:kern w:val="0"/>
          <w:sz w:val="24"/>
          <w:szCs w:val="24"/>
          <w:highlight w:val="none"/>
          <w:u w:val="single"/>
        </w:rPr>
        <w:t>（企业名称）</w:t>
      </w:r>
      <w:r>
        <w:rPr>
          <w:rFonts w:hint="eastAsia" w:ascii="微软雅黑" w:hAnsi="微软雅黑" w:eastAsia="微软雅黑" w:cs="微软雅黑"/>
          <w:color w:val="auto"/>
          <w:kern w:val="0"/>
          <w:sz w:val="24"/>
          <w:szCs w:val="24"/>
          <w:highlight w:val="none"/>
        </w:rPr>
        <w:t>，从业人员</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人，营业收入为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u w:val="single"/>
        </w:rPr>
        <w:tab/>
      </w:r>
      <w:r>
        <w:rPr>
          <w:rFonts w:hint="eastAsia" w:ascii="微软雅黑" w:hAnsi="微软雅黑" w:eastAsia="微软雅黑" w:cs="微软雅黑"/>
          <w:color w:val="auto"/>
          <w:kern w:val="0"/>
          <w:sz w:val="24"/>
          <w:szCs w:val="24"/>
          <w:highlight w:val="none"/>
        </w:rPr>
        <w:t>万元，资产总额为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u w:val="single"/>
        </w:rPr>
        <w:tab/>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万元，属于</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u w:val="none"/>
        </w:rPr>
        <w:t>（中型企业、小型企业、微型企业）</w:t>
      </w:r>
      <w:r>
        <w:rPr>
          <w:rFonts w:hint="eastAsia" w:ascii="微软雅黑" w:hAnsi="微软雅黑" w:eastAsia="微软雅黑" w:cs="微软雅黑"/>
          <w:color w:val="auto"/>
          <w:kern w:val="0"/>
          <w:sz w:val="24"/>
          <w:szCs w:val="24"/>
          <w:highlight w:val="none"/>
        </w:rPr>
        <w:t>；</w:t>
      </w:r>
    </w:p>
    <w:p w14:paraId="7BA8E79E">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w:t>
      </w:r>
    </w:p>
    <w:p w14:paraId="400C0BD8">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以上企业，不属于大企业的分支机构，不存在控股股东为大企业的情形，也不存在与大企业的负责人为同一人的情形。</w:t>
      </w:r>
    </w:p>
    <w:p w14:paraId="6DF62921">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375A2EAC">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rPr>
        <w:t>本企业对上述声明内容的真实性负责。如有虚假，将依法承担相应责任。</w:t>
      </w:r>
      <w:r>
        <w:rPr>
          <w:rFonts w:hint="eastAsia" w:ascii="微软雅黑" w:hAnsi="微软雅黑" w:eastAsia="微软雅黑" w:cs="微软雅黑"/>
          <w:b/>
          <w:color w:val="auto"/>
          <w:kern w:val="0"/>
          <w:sz w:val="24"/>
          <w:szCs w:val="24"/>
          <w:highlight w:val="none"/>
        </w:rPr>
        <w:t>　</w:t>
      </w:r>
    </w:p>
    <w:p w14:paraId="528CABC4">
      <w:pPr>
        <w:widowControl/>
        <w:spacing w:before="100" w:beforeAutospacing="1" w:after="100" w:afterAutospacing="1" w:line="330" w:lineRule="atLeast"/>
        <w:ind w:firstLine="3960" w:firstLineChars="165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投标人</w:t>
      </w:r>
      <w:r>
        <w:rPr>
          <w:rFonts w:hint="eastAsia" w:ascii="微软雅黑" w:hAnsi="微软雅黑" w:eastAsia="微软雅黑" w:cs="微软雅黑"/>
          <w:color w:val="auto"/>
          <w:kern w:val="0"/>
          <w:sz w:val="24"/>
          <w:szCs w:val="24"/>
          <w:highlight w:val="none"/>
        </w:rPr>
        <w:t>名称（单位盖章）：</w:t>
      </w:r>
      <w:r>
        <w:rPr>
          <w:rFonts w:hint="eastAsia" w:ascii="微软雅黑" w:hAnsi="微软雅黑" w:eastAsia="微软雅黑" w:cs="微软雅黑"/>
          <w:color w:val="auto"/>
          <w:kern w:val="0"/>
          <w:sz w:val="24"/>
          <w:szCs w:val="24"/>
          <w:highlight w:val="none"/>
          <w:u w:val="single"/>
        </w:rPr>
        <w:t xml:space="preserve">             </w:t>
      </w:r>
    </w:p>
    <w:p w14:paraId="169F1068">
      <w:pPr>
        <w:widowControl/>
        <w:spacing w:before="100" w:beforeAutospacing="1" w:after="100" w:afterAutospacing="1" w:line="330" w:lineRule="atLeast"/>
        <w:ind w:firstLine="3720" w:firstLineChars="1550"/>
        <w:jc w:val="left"/>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　日　期：</w:t>
      </w:r>
      <w:r>
        <w:rPr>
          <w:rFonts w:hint="eastAsia" w:ascii="微软雅黑" w:hAnsi="微软雅黑" w:eastAsia="微软雅黑" w:cs="微软雅黑"/>
          <w:color w:val="auto"/>
          <w:kern w:val="0"/>
          <w:sz w:val="24"/>
          <w:szCs w:val="24"/>
          <w:highlight w:val="none"/>
          <w:u w:val="single"/>
        </w:rPr>
        <w:t xml:space="preserve">             </w:t>
      </w:r>
    </w:p>
    <w:p w14:paraId="723E561E">
      <w:pPr>
        <w:widowControl/>
        <w:spacing w:before="100" w:beforeAutospacing="1" w:after="100" w:afterAutospacing="1" w:line="330" w:lineRule="atLeast"/>
        <w:jc w:val="left"/>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b/>
          <w:color w:val="auto"/>
          <w:sz w:val="21"/>
          <w:szCs w:val="24"/>
          <w:highlight w:val="none"/>
        </w:rPr>
        <w:t>说明：</w:t>
      </w:r>
      <w:r>
        <w:rPr>
          <w:rFonts w:hint="eastAsia" w:ascii="微软雅黑" w:hAnsi="微软雅黑" w:eastAsia="微软雅黑" w:cs="微软雅黑"/>
          <w:color w:val="auto"/>
          <w:sz w:val="21"/>
          <w:szCs w:val="24"/>
          <w:highlight w:val="none"/>
        </w:rPr>
        <w:t>对中小企业的认定，由货物制造商或者工程、服务</w:t>
      </w:r>
      <w:r>
        <w:rPr>
          <w:rFonts w:hint="eastAsia" w:ascii="微软雅黑" w:hAnsi="微软雅黑" w:eastAsia="微软雅黑" w:cs="微软雅黑"/>
          <w:color w:val="auto"/>
          <w:sz w:val="21"/>
          <w:szCs w:val="24"/>
          <w:highlight w:val="none"/>
          <w:lang w:eastAsia="zh-CN"/>
        </w:rPr>
        <w:t>投标人</w:t>
      </w:r>
      <w:r>
        <w:rPr>
          <w:rFonts w:hint="eastAsia" w:ascii="微软雅黑" w:hAnsi="微软雅黑" w:eastAsia="微软雅黑" w:cs="微软雅黑"/>
          <w:color w:val="auto"/>
          <w:sz w:val="21"/>
          <w:szCs w:val="24"/>
          <w:highlight w:val="none"/>
        </w:rPr>
        <w:t>注册登记所在地的县级以上人民政府中小企业主管部门负责。如因</w:t>
      </w:r>
      <w:r>
        <w:rPr>
          <w:rFonts w:hint="eastAsia" w:ascii="微软雅黑" w:hAnsi="微软雅黑" w:eastAsia="微软雅黑" w:cs="微软雅黑"/>
          <w:color w:val="auto"/>
          <w:sz w:val="21"/>
          <w:szCs w:val="24"/>
          <w:highlight w:val="none"/>
          <w:lang w:eastAsia="zh-CN"/>
        </w:rPr>
        <w:t>投标人</w:t>
      </w:r>
      <w:r>
        <w:rPr>
          <w:rFonts w:hint="eastAsia" w:ascii="微软雅黑" w:hAnsi="微软雅黑" w:eastAsia="微软雅黑" w:cs="微软雅黑"/>
          <w:color w:val="auto"/>
          <w:sz w:val="21"/>
          <w:szCs w:val="24"/>
          <w:highlight w:val="none"/>
        </w:rPr>
        <w:t>提供的《中小企业声明函》引起的质疑、投诉、信访或其他方式情况反映等，</w:t>
      </w:r>
      <w:r>
        <w:rPr>
          <w:rFonts w:hint="eastAsia" w:ascii="微软雅黑" w:hAnsi="微软雅黑" w:eastAsia="微软雅黑" w:cs="微软雅黑"/>
          <w:color w:val="auto"/>
          <w:sz w:val="21"/>
          <w:szCs w:val="24"/>
          <w:highlight w:val="none"/>
          <w:lang w:eastAsia="zh-CN"/>
        </w:rPr>
        <w:t>投标人</w:t>
      </w:r>
      <w:r>
        <w:rPr>
          <w:rFonts w:hint="eastAsia" w:ascii="微软雅黑" w:hAnsi="微软雅黑" w:eastAsia="微软雅黑" w:cs="微软雅黑"/>
          <w:color w:val="auto"/>
          <w:sz w:val="21"/>
          <w:szCs w:val="24"/>
          <w:highlight w:val="none"/>
        </w:rPr>
        <w:t>须自行澄清，并提供由中小企业主管部门出具的企业划型证明。对于不能出具企业划型证明的</w:t>
      </w:r>
      <w:r>
        <w:rPr>
          <w:rFonts w:hint="eastAsia" w:ascii="微软雅黑" w:hAnsi="微软雅黑" w:eastAsia="微软雅黑" w:cs="微软雅黑"/>
          <w:color w:val="auto"/>
          <w:sz w:val="21"/>
          <w:szCs w:val="24"/>
          <w:highlight w:val="none"/>
          <w:lang w:eastAsia="zh-CN"/>
        </w:rPr>
        <w:t>投标人</w:t>
      </w:r>
      <w:r>
        <w:rPr>
          <w:rFonts w:hint="eastAsia" w:ascii="微软雅黑" w:hAnsi="微软雅黑" w:eastAsia="微软雅黑" w:cs="微软雅黑"/>
          <w:color w:val="auto"/>
          <w:sz w:val="21"/>
          <w:szCs w:val="24"/>
          <w:highlight w:val="none"/>
        </w:rPr>
        <w:t>，自行承担由此产生的一切后果，包括声明内容视为无效、不享受相关政府采购优惠政策等。</w:t>
      </w:r>
    </w:p>
    <w:p w14:paraId="1844D9C3">
      <w:pPr>
        <w:spacing w:line="266" w:lineRule="auto"/>
        <w:rPr>
          <w:rFonts w:ascii="Arial"/>
          <w:color w:val="auto"/>
          <w:sz w:val="21"/>
          <w:highlight w:val="none"/>
        </w:rPr>
      </w:pPr>
    </w:p>
    <w:p w14:paraId="4641E6FA">
      <w:pPr>
        <w:pStyle w:val="2"/>
        <w:rPr>
          <w:rFonts w:ascii="Arial"/>
          <w:color w:val="auto"/>
          <w:sz w:val="21"/>
          <w:highlight w:val="none"/>
        </w:rPr>
      </w:pPr>
    </w:p>
    <w:p w14:paraId="2EF6D6C0">
      <w:pPr>
        <w:pStyle w:val="2"/>
        <w:rPr>
          <w:rFonts w:ascii="Arial"/>
          <w:color w:val="auto"/>
          <w:sz w:val="21"/>
          <w:highlight w:val="none"/>
        </w:rPr>
      </w:pPr>
    </w:p>
    <w:p w14:paraId="387DEFAA">
      <w:pPr>
        <w:pStyle w:val="2"/>
        <w:rPr>
          <w:rFonts w:ascii="Arial"/>
          <w:color w:val="auto"/>
          <w:sz w:val="21"/>
          <w:highlight w:val="none"/>
        </w:rPr>
      </w:pPr>
    </w:p>
    <w:p w14:paraId="1BCEB84D">
      <w:pPr>
        <w:pStyle w:val="2"/>
        <w:rPr>
          <w:rFonts w:ascii="Arial"/>
          <w:color w:val="auto"/>
          <w:sz w:val="21"/>
          <w:highlight w:val="none"/>
        </w:rPr>
      </w:pPr>
    </w:p>
    <w:p w14:paraId="214DC112">
      <w:pPr>
        <w:pStyle w:val="2"/>
        <w:rPr>
          <w:rFonts w:ascii="Arial"/>
          <w:color w:val="auto"/>
          <w:sz w:val="21"/>
          <w:highlight w:val="none"/>
        </w:rPr>
      </w:pPr>
    </w:p>
    <w:p w14:paraId="64E547FF">
      <w:pPr>
        <w:spacing w:line="266" w:lineRule="auto"/>
        <w:rPr>
          <w:rFonts w:ascii="Arial"/>
          <w:color w:val="auto"/>
          <w:sz w:val="21"/>
          <w:highlight w:val="none"/>
        </w:rPr>
      </w:pPr>
    </w:p>
    <w:p w14:paraId="77B3716F">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rPr>
          <w:rFonts w:hint="eastAsia" w:ascii="微软雅黑" w:hAnsi="微软雅黑" w:eastAsia="微软雅黑" w:cs="微软雅黑"/>
          <w:color w:val="auto"/>
          <w:sz w:val="28"/>
          <w:szCs w:val="28"/>
          <w:highlight w:val="none"/>
        </w:rPr>
      </w:pPr>
      <w:r>
        <w:rPr>
          <w:rStyle w:val="11"/>
          <w:rFonts w:hint="eastAsia" w:ascii="微软雅黑" w:hAnsi="微软雅黑" w:eastAsia="微软雅黑" w:cs="微软雅黑"/>
          <w:color w:val="auto"/>
          <w:sz w:val="28"/>
          <w:szCs w:val="28"/>
          <w:highlight w:val="none"/>
          <w:shd w:val="clear" w:color="auto" w:fill="FFFFFF"/>
        </w:rPr>
        <w:t>中小企业划型标准规定</w:t>
      </w:r>
    </w:p>
    <w:p w14:paraId="396C1488">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0" w:firstLineChars="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　　2011年6月18日，工业和信息化部、国家统计局、国家发展和改革委员会、财政部联合印发了《关于印发中小企业划型标准规定的通知》， 规定各行业划型标准为:</w:t>
      </w:r>
    </w:p>
    <w:p w14:paraId="51C37445">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b w:val="0"/>
          <w:bCs w:val="0"/>
          <w:color w:val="auto"/>
          <w:sz w:val="24"/>
          <w:szCs w:val="24"/>
          <w:highlight w:val="none"/>
          <w:shd w:val="clear" w:color="auto" w:fill="FFFFFF"/>
        </w:rPr>
      </w:pPr>
      <w:r>
        <w:rPr>
          <w:rFonts w:hint="eastAsia" w:ascii="微软雅黑" w:hAnsi="微软雅黑" w:eastAsia="微软雅黑" w:cs="微软雅黑"/>
          <w:b w:val="0"/>
          <w:bCs w:val="0"/>
          <w:color w:val="auto"/>
          <w:sz w:val="24"/>
          <w:szCs w:val="24"/>
          <w:highlight w:val="none"/>
          <w:shd w:val="clear" w:color="auto" w:fill="FFFFFF"/>
        </w:rPr>
        <w:t>(一)农、林、牧、渔业。营业收入20000万元以下的为中小微型企业。其中，营业收入500万元及以上的为中型企业，营业收入50万元及以上的为小型企业，营业收入50万元以下的为微型企业。</w:t>
      </w:r>
    </w:p>
    <w:p w14:paraId="6937155F">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6F21AD">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6705271">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DED4D7">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五)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45128BF">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rPr>
        <w:t>(六)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5B61CB6">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七)住宿业和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7611B1">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(八)信息传输业。从业人员2000人以下或营业收入10000万元以下的为中小微型企业。</w:t>
      </w:r>
    </w:p>
    <w:p w14:paraId="77A04248">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注:(六)、(七)(八)3条，从业人员10人及以上，且营业收入100万元及以上的为小型企业;从业人员10人以下或营业收入100万元以下的为微型企业。</w:t>
      </w:r>
    </w:p>
    <w:p w14:paraId="6EF192CA">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九)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BFC3E18">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(十)仓储业。从业人员200人以下或营业收入3000万元以下的为中小微型企业。</w:t>
      </w:r>
    </w:p>
    <w:p w14:paraId="2083D648">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rPr>
        <w:t>注:(八)(九)(十)3条，其中，从业人员100人及以上，且营业收入1000万元及以上的为中型企业</w:t>
      </w:r>
      <w:r>
        <w:rPr>
          <w:rFonts w:hint="eastAsia" w:ascii="微软雅黑" w:hAnsi="微软雅黑" w:eastAsia="微软雅黑" w:cs="微软雅黑"/>
          <w:color w:val="auto"/>
          <w:sz w:val="24"/>
          <w:szCs w:val="24"/>
          <w:highlight w:val="none"/>
          <w:shd w:val="clear" w:color="auto" w:fill="FFFFFF"/>
          <w:lang w:eastAsia="zh-CN"/>
        </w:rPr>
        <w:t>。</w:t>
      </w:r>
    </w:p>
    <w:p w14:paraId="399394CB">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(十一)邮政业。营业收入2000万元及以上的为中型企业;</w:t>
      </w:r>
    </w:p>
    <w:p w14:paraId="0665FE19">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注:(十)(十一)2条，从业人员20人及以上，且营业收入100万元及以上的为小型企业;从业人员20人以下或营业收入100万元以下的为微型企业。</w:t>
      </w:r>
    </w:p>
    <w:p w14:paraId="16A84C4B">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交通运输业和邮政业从业人员1000人以下或营业收入30000万元以下的为中小微型企业。其中，从业人员300人及以上。</w:t>
      </w:r>
    </w:p>
    <w:p w14:paraId="687D107F">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二)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57E4022">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三)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1C5CB19">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四)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D9F7130">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b w:val="0"/>
          <w:bCs w:val="0"/>
          <w:color w:val="auto"/>
          <w:sz w:val="24"/>
          <w:szCs w:val="24"/>
          <w:highlight w:val="none"/>
          <w:shd w:val="clear" w:color="auto" w:fill="FFFFFF"/>
        </w:rPr>
      </w:pPr>
      <w:r>
        <w:rPr>
          <w:rFonts w:hint="eastAsia" w:ascii="微软雅黑" w:hAnsi="微软雅黑" w:eastAsia="微软雅黑" w:cs="微软雅黑"/>
          <w:b w:val="0"/>
          <w:bCs w:val="0"/>
          <w:color w:val="auto"/>
          <w:sz w:val="24"/>
          <w:szCs w:val="24"/>
          <w:highlight w:val="none"/>
          <w:shd w:val="clear" w:color="auto" w:fill="FFFFFF"/>
        </w:rPr>
        <w:t>(十五)其他未列明行业。从业人员300人以下的为中小微型企业。其中，从业人员100人及以上的为中型企业;从业人员10人及以上的为小型企业;从业人员10人以下的为微型企业。</w:t>
      </w:r>
    </w:p>
    <w:p w14:paraId="17F39E79">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说明：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A498AA1">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(1)在货物采购项目中，货物由中小企业制造，即货物由中小企业生产且使用该中小企业商号或者注册商标，不对其中涉及的工程承建商和服务的承接商作出要求；</w:t>
      </w:r>
    </w:p>
    <w:p w14:paraId="4219F7B3">
      <w:pPr>
        <w:pStyle w:val="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(2)在工程采购项目中，工程由中小企业承建，即工程施工单位为中小企业，不对其中涉及的货物的制造商和服务的承接商作出要求；</w:t>
      </w:r>
    </w:p>
    <w:p w14:paraId="3F7624A7">
      <w:pPr>
        <w:spacing w:line="240" w:lineRule="auto"/>
        <w:ind w:firstLine="480" w:firstLineChars="200"/>
        <w:rPr>
          <w:rFonts w:hint="eastAsia" w:ascii="微软雅黑" w:hAnsi="微软雅黑" w:eastAsia="微软雅黑" w:cs="微软雅黑"/>
          <w:color w:val="auto"/>
          <w:kern w:val="0"/>
          <w:sz w:val="21"/>
          <w:szCs w:val="21"/>
          <w:highlight w:val="none"/>
          <w:u w:val="none"/>
        </w:rPr>
        <w:sectPr>
          <w:headerReference r:id="rId26" w:type="default"/>
          <w:footerReference r:id="rId27" w:type="default"/>
          <w:pgSz w:w="11907" w:h="16840"/>
          <w:pgMar w:top="1440" w:right="1080" w:bottom="1440" w:left="1080" w:header="851" w:footer="851" w:gutter="0"/>
          <w:pgNumType w:fmt="decimal"/>
          <w:cols w:space="720" w:num="1"/>
          <w:docGrid w:linePitch="462" w:charSpace="0"/>
        </w:sectPr>
      </w:pPr>
      <w:r>
        <w:rPr>
          <w:rFonts w:hint="eastAsia" w:ascii="微软雅黑" w:hAnsi="微软雅黑" w:eastAsia="微软雅黑" w:cs="微软雅黑"/>
          <w:color w:val="auto"/>
          <w:sz w:val="24"/>
          <w:szCs w:val="24"/>
          <w:highlight w:val="none"/>
          <w:shd w:val="clear" w:color="auto" w:fill="FFFFFF"/>
          <w:lang w:val="en-US" w:eastAsia="zh-CN"/>
        </w:rPr>
        <w:t>(3)在服务采购项目中，服务由中小企业承接，即提供服务的人员为中小企业依照《中华人民共和国劳动合同法》订立劳动合同的从业人员，不对其中涉及的货物的制造商和工程承建商作出要求。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依据本招标文件规定享受扶持政策获得政府采购合同的，小微企业不得将合同分包给大中型企业，中型企业不得将合同分包给大型企业</w:t>
      </w:r>
      <w:r>
        <w:rPr>
          <w:rFonts w:hint="eastAsia" w:ascii="微软雅黑" w:hAnsi="微软雅黑" w:eastAsia="微软雅黑" w:cs="微软雅黑"/>
          <w:color w:val="auto"/>
          <w:kern w:val="0"/>
          <w:sz w:val="21"/>
          <w:szCs w:val="21"/>
          <w:highlight w:val="none"/>
          <w:u w:val="none"/>
        </w:rPr>
        <w:t>。</w:t>
      </w:r>
    </w:p>
    <w:p w14:paraId="19FBF7F3">
      <w:pPr>
        <w:pStyle w:val="2"/>
        <w:spacing w:before="78" w:line="220" w:lineRule="auto"/>
        <w:ind w:left="2573"/>
        <w:outlineLvl w:val="3"/>
        <w:rPr>
          <w:b/>
          <w:bCs/>
          <w:color w:val="auto"/>
          <w:spacing w:val="-3"/>
          <w:sz w:val="24"/>
          <w:szCs w:val="24"/>
          <w:highlight w:val="none"/>
        </w:rPr>
      </w:pPr>
    </w:p>
    <w:p w14:paraId="2FEE47E5">
      <w:pPr>
        <w:pStyle w:val="2"/>
        <w:spacing w:before="78" w:line="220" w:lineRule="auto"/>
        <w:ind w:left="2573"/>
        <w:outlineLvl w:val="3"/>
        <w:rPr>
          <w:b/>
          <w:bCs/>
          <w:color w:val="auto"/>
          <w:spacing w:val="-3"/>
          <w:sz w:val="24"/>
          <w:szCs w:val="24"/>
          <w:highlight w:val="none"/>
        </w:rPr>
      </w:pPr>
    </w:p>
    <w:p w14:paraId="618F4393">
      <w:pPr>
        <w:pStyle w:val="2"/>
        <w:spacing w:before="78" w:line="220" w:lineRule="auto"/>
        <w:ind w:left="2573"/>
        <w:outlineLvl w:val="3"/>
        <w:rPr>
          <w:color w:val="auto"/>
          <w:sz w:val="24"/>
          <w:szCs w:val="24"/>
          <w:highlight w:val="none"/>
        </w:rPr>
      </w:pPr>
      <w:r>
        <w:rPr>
          <w:b/>
          <w:bCs/>
          <w:color w:val="auto"/>
          <w:spacing w:val="-3"/>
          <w:sz w:val="24"/>
          <w:szCs w:val="24"/>
          <w:highlight w:val="none"/>
        </w:rPr>
        <w:t>7-2</w:t>
      </w:r>
      <w:r>
        <w:rPr>
          <w:color w:val="auto"/>
          <w:spacing w:val="-3"/>
          <w:sz w:val="24"/>
          <w:szCs w:val="24"/>
          <w:highlight w:val="none"/>
        </w:rPr>
        <w:t xml:space="preserve">  </w:t>
      </w:r>
      <w:r>
        <w:rPr>
          <w:b/>
          <w:bCs/>
          <w:color w:val="auto"/>
          <w:spacing w:val="-3"/>
          <w:sz w:val="24"/>
          <w:szCs w:val="24"/>
          <w:highlight w:val="none"/>
        </w:rPr>
        <w:t>残疾人福利性单位声明函</w:t>
      </w:r>
    </w:p>
    <w:p w14:paraId="4C62FBBD">
      <w:pPr>
        <w:spacing w:line="436" w:lineRule="auto"/>
        <w:rPr>
          <w:rFonts w:ascii="Arial"/>
          <w:color w:val="auto"/>
          <w:sz w:val="21"/>
          <w:highlight w:val="none"/>
        </w:rPr>
      </w:pPr>
    </w:p>
    <w:p w14:paraId="5886AFA2">
      <w:pPr>
        <w:pStyle w:val="2"/>
        <w:spacing w:before="78" w:line="302" w:lineRule="auto"/>
        <w:ind w:left="38" w:right="28" w:firstLine="567"/>
        <w:jc w:val="both"/>
        <w:rPr>
          <w:color w:val="auto"/>
          <w:sz w:val="24"/>
          <w:szCs w:val="24"/>
          <w:highlight w:val="none"/>
        </w:rPr>
      </w:pPr>
      <w:r>
        <w:rPr>
          <w:color w:val="auto"/>
          <w:spacing w:val="-5"/>
          <w:sz w:val="24"/>
          <w:szCs w:val="24"/>
          <w:highlight w:val="none"/>
        </w:rPr>
        <w:t>本单位郑重声明，根据《财政部 民政部</w:t>
      </w:r>
      <w:r>
        <w:rPr>
          <w:color w:val="auto"/>
          <w:spacing w:val="-22"/>
          <w:sz w:val="24"/>
          <w:szCs w:val="24"/>
          <w:highlight w:val="none"/>
        </w:rPr>
        <w:t xml:space="preserve"> </w:t>
      </w:r>
      <w:r>
        <w:rPr>
          <w:color w:val="auto"/>
          <w:spacing w:val="-5"/>
          <w:sz w:val="24"/>
          <w:szCs w:val="24"/>
          <w:highlight w:val="none"/>
        </w:rPr>
        <w:t>中国残疾人联合会关于促进残疾人</w:t>
      </w:r>
      <w:r>
        <w:rPr>
          <w:color w:val="auto"/>
          <w:sz w:val="24"/>
          <w:szCs w:val="24"/>
          <w:highlight w:val="none"/>
        </w:rPr>
        <w:t xml:space="preserve"> </w:t>
      </w:r>
      <w:r>
        <w:rPr>
          <w:color w:val="auto"/>
          <w:spacing w:val="-1"/>
          <w:sz w:val="24"/>
          <w:szCs w:val="24"/>
          <w:highlight w:val="none"/>
        </w:rPr>
        <w:t>就业政府采购政策的通知》（财库〔2017〕1</w:t>
      </w:r>
      <w:r>
        <w:rPr>
          <w:color w:val="auto"/>
          <w:spacing w:val="-2"/>
          <w:sz w:val="24"/>
          <w:szCs w:val="24"/>
          <w:highlight w:val="none"/>
        </w:rPr>
        <w:t>41</w:t>
      </w:r>
      <w:r>
        <w:rPr>
          <w:color w:val="auto"/>
          <w:spacing w:val="-45"/>
          <w:sz w:val="24"/>
          <w:szCs w:val="24"/>
          <w:highlight w:val="none"/>
        </w:rPr>
        <w:t xml:space="preserve"> </w:t>
      </w:r>
      <w:r>
        <w:rPr>
          <w:color w:val="auto"/>
          <w:spacing w:val="-2"/>
          <w:sz w:val="24"/>
          <w:szCs w:val="24"/>
          <w:highlight w:val="none"/>
        </w:rPr>
        <w:t>号）的规定，本单位为符合条件</w:t>
      </w:r>
      <w:r>
        <w:rPr>
          <w:color w:val="auto"/>
          <w:sz w:val="24"/>
          <w:szCs w:val="24"/>
          <w:highlight w:val="none"/>
        </w:rPr>
        <w:t xml:space="preserve"> </w:t>
      </w:r>
      <w:r>
        <w:rPr>
          <w:color w:val="auto"/>
          <w:spacing w:val="-3"/>
          <w:sz w:val="24"/>
          <w:szCs w:val="24"/>
          <w:highlight w:val="none"/>
        </w:rPr>
        <w:t>的残疾人福利性单位，且本单位参加</w:t>
      </w:r>
      <w:r>
        <w:rPr>
          <w:color w:val="auto"/>
          <w:spacing w:val="-3"/>
          <w:sz w:val="24"/>
          <w:szCs w:val="24"/>
          <w:highlight w:val="none"/>
          <w:u w:val="single" w:color="auto"/>
        </w:rPr>
        <w:t xml:space="preserve">      </w:t>
      </w:r>
      <w:r>
        <w:rPr>
          <w:color w:val="auto"/>
          <w:spacing w:val="-109"/>
          <w:sz w:val="24"/>
          <w:szCs w:val="24"/>
          <w:highlight w:val="none"/>
        </w:rPr>
        <w:t xml:space="preserve"> </w:t>
      </w:r>
      <w:r>
        <w:rPr>
          <w:color w:val="auto"/>
          <w:spacing w:val="-3"/>
          <w:sz w:val="24"/>
          <w:szCs w:val="24"/>
          <w:highlight w:val="none"/>
        </w:rPr>
        <w:t>单位的</w:t>
      </w:r>
      <w:r>
        <w:rPr>
          <w:color w:val="auto"/>
          <w:spacing w:val="-3"/>
          <w:sz w:val="24"/>
          <w:szCs w:val="24"/>
          <w:highlight w:val="none"/>
          <w:u w:val="single" w:color="auto"/>
        </w:rPr>
        <w:t xml:space="preserve">      </w:t>
      </w:r>
      <w:r>
        <w:rPr>
          <w:color w:val="auto"/>
          <w:spacing w:val="-107"/>
          <w:sz w:val="24"/>
          <w:szCs w:val="24"/>
          <w:highlight w:val="none"/>
        </w:rPr>
        <w:t xml:space="preserve"> </w:t>
      </w:r>
      <w:r>
        <w:rPr>
          <w:color w:val="auto"/>
          <w:spacing w:val="-3"/>
          <w:sz w:val="24"/>
          <w:szCs w:val="24"/>
          <w:highlight w:val="none"/>
        </w:rPr>
        <w:t>项目采购活动提供本单</w:t>
      </w:r>
      <w:r>
        <w:rPr>
          <w:color w:val="auto"/>
          <w:sz w:val="24"/>
          <w:szCs w:val="24"/>
          <w:highlight w:val="none"/>
        </w:rPr>
        <w:t xml:space="preserve"> </w:t>
      </w:r>
      <w:r>
        <w:rPr>
          <w:color w:val="auto"/>
          <w:spacing w:val="-3"/>
          <w:sz w:val="24"/>
          <w:szCs w:val="24"/>
          <w:highlight w:val="none"/>
        </w:rPr>
        <w:t>位的服务，或者提供其他残疾人福利性单位的服务（不包括使用非残疾人</w:t>
      </w:r>
      <w:r>
        <w:rPr>
          <w:color w:val="auto"/>
          <w:spacing w:val="-4"/>
          <w:sz w:val="24"/>
          <w:szCs w:val="24"/>
          <w:highlight w:val="none"/>
        </w:rPr>
        <w:t>福利性</w:t>
      </w:r>
      <w:r>
        <w:rPr>
          <w:color w:val="auto"/>
          <w:sz w:val="24"/>
          <w:szCs w:val="24"/>
          <w:highlight w:val="none"/>
        </w:rPr>
        <w:t xml:space="preserve"> </w:t>
      </w:r>
      <w:r>
        <w:rPr>
          <w:color w:val="auto"/>
          <w:spacing w:val="-4"/>
          <w:sz w:val="24"/>
          <w:szCs w:val="24"/>
          <w:highlight w:val="none"/>
        </w:rPr>
        <w:t>单位注册商标的服务）。</w:t>
      </w:r>
    </w:p>
    <w:p w14:paraId="372064A9">
      <w:pPr>
        <w:pStyle w:val="2"/>
        <w:spacing w:before="34" w:line="219" w:lineRule="auto"/>
        <w:ind w:left="579"/>
        <w:rPr>
          <w:color w:val="auto"/>
          <w:sz w:val="24"/>
          <w:szCs w:val="24"/>
          <w:highlight w:val="none"/>
        </w:rPr>
      </w:pPr>
      <w:r>
        <w:rPr>
          <w:color w:val="auto"/>
          <w:spacing w:val="-2"/>
          <w:sz w:val="24"/>
          <w:szCs w:val="24"/>
          <w:highlight w:val="none"/>
        </w:rPr>
        <w:t>本单位对上述声明的真实性负责。如有虚假，将依法承担相应责任。</w:t>
      </w:r>
    </w:p>
    <w:p w14:paraId="0F9AEF09">
      <w:pPr>
        <w:pStyle w:val="2"/>
        <w:spacing w:before="115" w:line="219" w:lineRule="auto"/>
        <w:ind w:firstLine="1904" w:firstLineChars="800"/>
        <w:rPr>
          <w:color w:val="auto"/>
          <w:spacing w:val="-1"/>
          <w:sz w:val="24"/>
          <w:szCs w:val="24"/>
          <w:highlight w:val="none"/>
        </w:rPr>
      </w:pPr>
    </w:p>
    <w:p w14:paraId="55527DF5">
      <w:pPr>
        <w:pStyle w:val="2"/>
        <w:spacing w:before="115" w:line="219" w:lineRule="auto"/>
        <w:ind w:firstLine="1904" w:firstLineChars="800"/>
        <w:rPr>
          <w:color w:val="auto"/>
          <w:spacing w:val="-1"/>
          <w:sz w:val="24"/>
          <w:szCs w:val="24"/>
          <w:highlight w:val="none"/>
        </w:rPr>
      </w:pPr>
    </w:p>
    <w:p w14:paraId="02F31062">
      <w:pPr>
        <w:pStyle w:val="2"/>
        <w:spacing w:before="115" w:line="219" w:lineRule="auto"/>
        <w:ind w:firstLine="1904" w:firstLineChars="800"/>
        <w:rPr>
          <w:color w:val="auto"/>
          <w:spacing w:val="-1"/>
          <w:sz w:val="24"/>
          <w:szCs w:val="24"/>
          <w:highlight w:val="none"/>
        </w:rPr>
      </w:pPr>
    </w:p>
    <w:p w14:paraId="4BBF3B16">
      <w:pPr>
        <w:pStyle w:val="2"/>
        <w:spacing w:before="115" w:line="219" w:lineRule="auto"/>
        <w:ind w:firstLine="1904" w:firstLineChars="800"/>
        <w:rPr>
          <w:color w:val="auto"/>
          <w:spacing w:val="-1"/>
          <w:sz w:val="24"/>
          <w:szCs w:val="24"/>
          <w:highlight w:val="none"/>
        </w:rPr>
      </w:pPr>
    </w:p>
    <w:p w14:paraId="6A5D64FE">
      <w:pPr>
        <w:pStyle w:val="2"/>
        <w:spacing w:before="115" w:line="219" w:lineRule="auto"/>
        <w:ind w:firstLine="1904" w:firstLineChars="800"/>
        <w:rPr>
          <w:color w:val="auto"/>
          <w:sz w:val="24"/>
          <w:szCs w:val="24"/>
          <w:highlight w:val="none"/>
        </w:rPr>
      </w:pPr>
      <w:r>
        <w:rPr>
          <w:color w:val="auto"/>
          <w:spacing w:val="-1"/>
          <w:sz w:val="24"/>
          <w:szCs w:val="24"/>
          <w:highlight w:val="none"/>
        </w:rPr>
        <w:t>残疾人福利性单位名称（公章</w:t>
      </w:r>
      <w:r>
        <w:rPr>
          <w:color w:val="auto"/>
          <w:spacing w:val="1"/>
          <w:sz w:val="24"/>
          <w:szCs w:val="24"/>
          <w:highlight w:val="none"/>
        </w:rPr>
        <w:t>）：</w:t>
      </w:r>
      <w:r>
        <w:rPr>
          <w:color w:val="auto"/>
          <w:sz w:val="24"/>
          <w:szCs w:val="24"/>
          <w:highlight w:val="none"/>
          <w:u w:val="single" w:color="auto"/>
        </w:rPr>
        <w:t xml:space="preserve">              </w:t>
      </w:r>
    </w:p>
    <w:p w14:paraId="29248B16">
      <w:pPr>
        <w:pStyle w:val="2"/>
        <w:tabs>
          <w:tab w:val="left" w:pos="1865"/>
        </w:tabs>
        <w:spacing w:before="116" w:line="220" w:lineRule="auto"/>
        <w:ind w:left="974"/>
        <w:rPr>
          <w:color w:val="auto"/>
          <w:sz w:val="24"/>
          <w:szCs w:val="24"/>
          <w:highlight w:val="none"/>
        </w:rPr>
      </w:pPr>
      <w:r>
        <w:rPr>
          <w:color w:val="auto"/>
          <w:sz w:val="24"/>
          <w:szCs w:val="24"/>
          <w:highlight w:val="none"/>
        </w:rPr>
        <w:tab/>
      </w:r>
      <w:r>
        <w:rPr>
          <w:color w:val="auto"/>
          <w:spacing w:val="-21"/>
          <w:sz w:val="24"/>
          <w:szCs w:val="24"/>
          <w:highlight w:val="none"/>
        </w:rPr>
        <w:t>日</w:t>
      </w:r>
      <w:r>
        <w:rPr>
          <w:color w:val="auto"/>
          <w:spacing w:val="6"/>
          <w:sz w:val="24"/>
          <w:szCs w:val="24"/>
          <w:highlight w:val="none"/>
        </w:rPr>
        <w:t xml:space="preserve">  </w:t>
      </w:r>
      <w:r>
        <w:rPr>
          <w:color w:val="auto"/>
          <w:spacing w:val="-21"/>
          <w:sz w:val="24"/>
          <w:szCs w:val="24"/>
          <w:highlight w:val="none"/>
        </w:rPr>
        <w:t>期：</w:t>
      </w:r>
      <w:r>
        <w:rPr>
          <w:color w:val="auto"/>
          <w:sz w:val="24"/>
          <w:szCs w:val="24"/>
          <w:highlight w:val="none"/>
          <w:u w:val="single" w:color="auto"/>
        </w:rPr>
        <w:t xml:space="preserve">                                             </w:t>
      </w:r>
    </w:p>
    <w:p w14:paraId="6FA7CC71">
      <w:pPr>
        <w:spacing w:line="261" w:lineRule="auto"/>
        <w:rPr>
          <w:rFonts w:ascii="Arial"/>
          <w:color w:val="auto"/>
          <w:sz w:val="21"/>
          <w:highlight w:val="none"/>
        </w:rPr>
      </w:pPr>
    </w:p>
    <w:p w14:paraId="484EE9D0">
      <w:pPr>
        <w:spacing w:line="261" w:lineRule="auto"/>
        <w:rPr>
          <w:rFonts w:ascii="Arial"/>
          <w:color w:val="auto"/>
          <w:sz w:val="21"/>
          <w:highlight w:val="none"/>
        </w:rPr>
      </w:pPr>
    </w:p>
    <w:p w14:paraId="434069E7">
      <w:pPr>
        <w:spacing w:line="261" w:lineRule="auto"/>
        <w:rPr>
          <w:rFonts w:ascii="Arial"/>
          <w:color w:val="auto"/>
          <w:sz w:val="21"/>
          <w:highlight w:val="none"/>
        </w:rPr>
      </w:pPr>
    </w:p>
    <w:p w14:paraId="09548814">
      <w:pPr>
        <w:spacing w:line="261" w:lineRule="auto"/>
        <w:rPr>
          <w:rFonts w:ascii="Arial"/>
          <w:color w:val="auto"/>
          <w:sz w:val="21"/>
          <w:highlight w:val="none"/>
        </w:rPr>
      </w:pPr>
    </w:p>
    <w:p w14:paraId="61C355C8">
      <w:pPr>
        <w:spacing w:line="261" w:lineRule="auto"/>
        <w:rPr>
          <w:rFonts w:ascii="Arial"/>
          <w:color w:val="auto"/>
          <w:sz w:val="21"/>
          <w:highlight w:val="none"/>
        </w:rPr>
      </w:pPr>
    </w:p>
    <w:p w14:paraId="319FA962">
      <w:pPr>
        <w:spacing w:line="261" w:lineRule="auto"/>
        <w:rPr>
          <w:rFonts w:ascii="Arial"/>
          <w:color w:val="auto"/>
          <w:sz w:val="21"/>
          <w:highlight w:val="none"/>
        </w:rPr>
      </w:pPr>
    </w:p>
    <w:p w14:paraId="2E17FA2F">
      <w:pPr>
        <w:spacing w:line="261" w:lineRule="auto"/>
        <w:rPr>
          <w:rFonts w:ascii="Arial"/>
          <w:color w:val="auto"/>
          <w:sz w:val="21"/>
          <w:highlight w:val="none"/>
        </w:rPr>
      </w:pPr>
    </w:p>
    <w:p w14:paraId="1C4FED08">
      <w:pPr>
        <w:spacing w:line="261" w:lineRule="auto"/>
        <w:rPr>
          <w:rFonts w:ascii="Arial"/>
          <w:color w:val="auto"/>
          <w:sz w:val="21"/>
          <w:highlight w:val="none"/>
        </w:rPr>
      </w:pPr>
    </w:p>
    <w:p w14:paraId="70B2F041">
      <w:pPr>
        <w:spacing w:line="261" w:lineRule="auto"/>
        <w:rPr>
          <w:rFonts w:ascii="Arial"/>
          <w:color w:val="auto"/>
          <w:sz w:val="21"/>
          <w:highlight w:val="none"/>
        </w:rPr>
      </w:pPr>
    </w:p>
    <w:p w14:paraId="5487976B">
      <w:pPr>
        <w:spacing w:line="261" w:lineRule="auto"/>
        <w:rPr>
          <w:rFonts w:ascii="Arial"/>
          <w:color w:val="auto"/>
          <w:sz w:val="21"/>
          <w:highlight w:val="none"/>
        </w:rPr>
      </w:pPr>
    </w:p>
    <w:p w14:paraId="457B96E9">
      <w:pPr>
        <w:spacing w:line="261" w:lineRule="auto"/>
        <w:rPr>
          <w:rFonts w:ascii="Arial"/>
          <w:color w:val="auto"/>
          <w:sz w:val="21"/>
          <w:highlight w:val="none"/>
        </w:rPr>
      </w:pPr>
    </w:p>
    <w:p w14:paraId="620568CD">
      <w:pPr>
        <w:spacing w:line="261" w:lineRule="auto"/>
        <w:rPr>
          <w:rFonts w:ascii="Arial"/>
          <w:color w:val="auto"/>
          <w:sz w:val="21"/>
          <w:highlight w:val="none"/>
        </w:rPr>
      </w:pPr>
    </w:p>
    <w:p w14:paraId="28079A99">
      <w:pPr>
        <w:spacing w:line="261" w:lineRule="auto"/>
        <w:rPr>
          <w:rFonts w:ascii="Arial"/>
          <w:color w:val="auto"/>
          <w:sz w:val="21"/>
          <w:highlight w:val="none"/>
        </w:rPr>
      </w:pPr>
    </w:p>
    <w:p w14:paraId="45A3031B">
      <w:pPr>
        <w:spacing w:line="261" w:lineRule="auto"/>
        <w:rPr>
          <w:rFonts w:ascii="Arial"/>
          <w:color w:val="auto"/>
          <w:sz w:val="21"/>
          <w:highlight w:val="none"/>
        </w:rPr>
      </w:pPr>
    </w:p>
    <w:p w14:paraId="502F8134">
      <w:pPr>
        <w:spacing w:line="261" w:lineRule="auto"/>
        <w:rPr>
          <w:rFonts w:ascii="Arial"/>
          <w:color w:val="auto"/>
          <w:sz w:val="21"/>
          <w:highlight w:val="none"/>
        </w:rPr>
      </w:pPr>
    </w:p>
    <w:p w14:paraId="671D17F8">
      <w:pPr>
        <w:spacing w:line="261" w:lineRule="auto"/>
        <w:rPr>
          <w:rFonts w:ascii="Arial"/>
          <w:color w:val="auto"/>
          <w:sz w:val="21"/>
          <w:highlight w:val="none"/>
        </w:rPr>
      </w:pPr>
    </w:p>
    <w:p w14:paraId="7F98FC32">
      <w:pPr>
        <w:spacing w:line="261" w:lineRule="auto"/>
        <w:rPr>
          <w:rFonts w:ascii="Arial"/>
          <w:color w:val="auto"/>
          <w:sz w:val="21"/>
          <w:highlight w:val="none"/>
        </w:rPr>
      </w:pPr>
    </w:p>
    <w:p w14:paraId="75FA82F1">
      <w:pPr>
        <w:spacing w:line="261" w:lineRule="auto"/>
        <w:rPr>
          <w:rFonts w:ascii="Arial"/>
          <w:color w:val="auto"/>
          <w:sz w:val="21"/>
          <w:highlight w:val="none"/>
        </w:rPr>
      </w:pPr>
    </w:p>
    <w:p w14:paraId="2139C929">
      <w:pPr>
        <w:spacing w:line="261" w:lineRule="auto"/>
        <w:rPr>
          <w:rFonts w:ascii="Arial"/>
          <w:color w:val="auto"/>
          <w:sz w:val="21"/>
          <w:highlight w:val="none"/>
        </w:rPr>
      </w:pPr>
    </w:p>
    <w:p w14:paraId="710BD2E7">
      <w:pPr>
        <w:spacing w:line="261" w:lineRule="auto"/>
        <w:rPr>
          <w:rFonts w:ascii="Arial"/>
          <w:color w:val="auto"/>
          <w:sz w:val="21"/>
          <w:highlight w:val="none"/>
        </w:rPr>
      </w:pPr>
    </w:p>
    <w:p w14:paraId="0B3657F5">
      <w:pPr>
        <w:spacing w:line="261" w:lineRule="auto"/>
        <w:rPr>
          <w:rFonts w:ascii="Arial"/>
          <w:color w:val="auto"/>
          <w:sz w:val="21"/>
          <w:highlight w:val="none"/>
        </w:rPr>
      </w:pPr>
    </w:p>
    <w:p w14:paraId="171BFBD0">
      <w:pPr>
        <w:spacing w:line="261" w:lineRule="auto"/>
        <w:rPr>
          <w:rFonts w:ascii="Arial"/>
          <w:color w:val="auto"/>
          <w:sz w:val="21"/>
          <w:highlight w:val="none"/>
        </w:rPr>
      </w:pPr>
    </w:p>
    <w:p w14:paraId="68D1FEDA">
      <w:pPr>
        <w:spacing w:line="261" w:lineRule="auto"/>
        <w:rPr>
          <w:rFonts w:ascii="Arial"/>
          <w:color w:val="auto"/>
          <w:sz w:val="21"/>
          <w:highlight w:val="none"/>
        </w:rPr>
      </w:pPr>
    </w:p>
    <w:p w14:paraId="7B193D36">
      <w:pPr>
        <w:spacing w:line="261" w:lineRule="auto"/>
        <w:rPr>
          <w:rFonts w:ascii="Arial"/>
          <w:color w:val="auto"/>
          <w:sz w:val="21"/>
          <w:highlight w:val="none"/>
        </w:rPr>
      </w:pPr>
    </w:p>
    <w:p w14:paraId="5F67295F">
      <w:pPr>
        <w:spacing w:line="261" w:lineRule="auto"/>
        <w:rPr>
          <w:rFonts w:ascii="Arial"/>
          <w:color w:val="auto"/>
          <w:sz w:val="21"/>
          <w:highlight w:val="none"/>
        </w:rPr>
      </w:pPr>
    </w:p>
    <w:p w14:paraId="58812FE5">
      <w:pPr>
        <w:spacing w:line="261" w:lineRule="auto"/>
        <w:rPr>
          <w:rFonts w:ascii="Arial"/>
          <w:color w:val="auto"/>
          <w:sz w:val="21"/>
          <w:highlight w:val="none"/>
        </w:rPr>
      </w:pPr>
    </w:p>
    <w:p w14:paraId="6E951964">
      <w:pPr>
        <w:spacing w:line="261" w:lineRule="auto"/>
        <w:rPr>
          <w:rFonts w:ascii="Arial"/>
          <w:color w:val="auto"/>
          <w:sz w:val="21"/>
          <w:highlight w:val="none"/>
        </w:rPr>
      </w:pPr>
    </w:p>
    <w:p w14:paraId="569D139F">
      <w:pPr>
        <w:spacing w:line="261" w:lineRule="auto"/>
        <w:rPr>
          <w:rFonts w:ascii="Arial"/>
          <w:color w:val="auto"/>
          <w:sz w:val="21"/>
          <w:highlight w:val="none"/>
        </w:rPr>
      </w:pPr>
    </w:p>
    <w:p w14:paraId="61D12D4A">
      <w:pPr>
        <w:spacing w:line="261" w:lineRule="auto"/>
        <w:rPr>
          <w:rFonts w:ascii="Arial"/>
          <w:color w:val="auto"/>
          <w:sz w:val="21"/>
          <w:highlight w:val="none"/>
        </w:rPr>
      </w:pPr>
    </w:p>
    <w:p w14:paraId="6FD31D3E">
      <w:pPr>
        <w:spacing w:line="261" w:lineRule="auto"/>
        <w:rPr>
          <w:rFonts w:ascii="Arial"/>
          <w:color w:val="auto"/>
          <w:sz w:val="21"/>
          <w:highlight w:val="none"/>
        </w:rPr>
      </w:pPr>
    </w:p>
    <w:p w14:paraId="6299AD0E">
      <w:pPr>
        <w:spacing w:line="261" w:lineRule="auto"/>
        <w:rPr>
          <w:rFonts w:ascii="Arial"/>
          <w:color w:val="auto"/>
          <w:sz w:val="21"/>
          <w:highlight w:val="none"/>
        </w:rPr>
      </w:pPr>
    </w:p>
    <w:p w14:paraId="0FE56117">
      <w:pPr>
        <w:spacing w:line="261" w:lineRule="auto"/>
        <w:rPr>
          <w:rFonts w:ascii="Arial"/>
          <w:color w:val="auto"/>
          <w:sz w:val="21"/>
          <w:highlight w:val="none"/>
        </w:rPr>
      </w:pPr>
    </w:p>
    <w:p w14:paraId="1F6F57C3">
      <w:pPr>
        <w:spacing w:line="261" w:lineRule="auto"/>
        <w:rPr>
          <w:rFonts w:ascii="Arial"/>
          <w:color w:val="auto"/>
          <w:sz w:val="21"/>
          <w:highlight w:val="none"/>
        </w:rPr>
      </w:pPr>
    </w:p>
    <w:p w14:paraId="50684694">
      <w:pPr>
        <w:spacing w:line="262" w:lineRule="auto"/>
        <w:rPr>
          <w:rFonts w:ascii="Arial"/>
          <w:color w:val="auto"/>
          <w:sz w:val="21"/>
          <w:highlight w:val="none"/>
        </w:rPr>
      </w:pPr>
    </w:p>
    <w:p w14:paraId="1400E72F">
      <w:pPr>
        <w:spacing w:line="262" w:lineRule="auto"/>
        <w:rPr>
          <w:rFonts w:ascii="Arial"/>
          <w:color w:val="auto"/>
          <w:sz w:val="21"/>
          <w:highlight w:val="none"/>
        </w:rPr>
      </w:pPr>
    </w:p>
    <w:p w14:paraId="0499B5B8">
      <w:pPr>
        <w:pStyle w:val="2"/>
        <w:spacing w:before="78" w:line="219" w:lineRule="auto"/>
        <w:ind w:left="2086"/>
        <w:outlineLvl w:val="3"/>
        <w:rPr>
          <w:color w:val="auto"/>
          <w:sz w:val="24"/>
          <w:szCs w:val="24"/>
          <w:highlight w:val="none"/>
        </w:rPr>
      </w:pPr>
      <w:r>
        <w:rPr>
          <w:b/>
          <w:bCs/>
          <w:color w:val="auto"/>
          <w:spacing w:val="-3"/>
          <w:sz w:val="24"/>
          <w:szCs w:val="24"/>
          <w:highlight w:val="none"/>
        </w:rPr>
        <w:t>8、供应商关联单位的说明（格式自拟）</w:t>
      </w:r>
    </w:p>
    <w:p w14:paraId="77D969FF">
      <w:pPr>
        <w:spacing w:line="434" w:lineRule="auto"/>
        <w:rPr>
          <w:rFonts w:ascii="Arial"/>
          <w:color w:val="auto"/>
          <w:sz w:val="21"/>
          <w:highlight w:val="none"/>
        </w:rPr>
      </w:pPr>
    </w:p>
    <w:p w14:paraId="3E861481">
      <w:pPr>
        <w:pStyle w:val="2"/>
        <w:spacing w:before="79" w:line="219" w:lineRule="auto"/>
        <w:ind w:left="521"/>
        <w:rPr>
          <w:color w:val="auto"/>
          <w:sz w:val="24"/>
          <w:szCs w:val="24"/>
          <w:highlight w:val="none"/>
        </w:rPr>
      </w:pPr>
      <w:r>
        <w:rPr>
          <w:color w:val="auto"/>
          <w:spacing w:val="-2"/>
          <w:sz w:val="24"/>
          <w:szCs w:val="24"/>
          <w:highlight w:val="none"/>
        </w:rPr>
        <w:t>说明：供应商应当如实披露与本单位存在下列关联关</w:t>
      </w:r>
      <w:r>
        <w:rPr>
          <w:color w:val="auto"/>
          <w:spacing w:val="-3"/>
          <w:sz w:val="24"/>
          <w:szCs w:val="24"/>
          <w:highlight w:val="none"/>
        </w:rPr>
        <w:t>系的单位名称：</w:t>
      </w:r>
    </w:p>
    <w:p w14:paraId="2D36E892">
      <w:pPr>
        <w:pStyle w:val="2"/>
        <w:spacing w:before="115" w:line="219" w:lineRule="auto"/>
        <w:ind w:left="1004"/>
        <w:rPr>
          <w:color w:val="auto"/>
          <w:sz w:val="24"/>
          <w:szCs w:val="24"/>
          <w:highlight w:val="none"/>
        </w:rPr>
      </w:pPr>
      <w:r>
        <w:rPr>
          <w:color w:val="auto"/>
          <w:spacing w:val="-3"/>
          <w:sz w:val="24"/>
          <w:szCs w:val="24"/>
          <w:highlight w:val="none"/>
        </w:rPr>
        <w:t>（1）与供应商单位负责人为同一人的其他单位；</w:t>
      </w:r>
    </w:p>
    <w:p w14:paraId="22766828">
      <w:pPr>
        <w:pStyle w:val="2"/>
        <w:spacing w:before="115" w:line="219" w:lineRule="auto"/>
        <w:ind w:left="1004"/>
        <w:rPr>
          <w:color w:val="auto"/>
          <w:sz w:val="24"/>
          <w:szCs w:val="24"/>
          <w:highlight w:val="none"/>
        </w:rPr>
      </w:pPr>
      <w:r>
        <w:rPr>
          <w:color w:val="auto"/>
          <w:spacing w:val="-2"/>
          <w:sz w:val="24"/>
          <w:szCs w:val="24"/>
          <w:highlight w:val="none"/>
        </w:rPr>
        <w:t>（2）与供应商存在直接控股、管理关系的其他单</w:t>
      </w:r>
      <w:r>
        <w:rPr>
          <w:color w:val="auto"/>
          <w:spacing w:val="-3"/>
          <w:sz w:val="24"/>
          <w:szCs w:val="24"/>
          <w:highlight w:val="none"/>
        </w:rPr>
        <w:t>位。</w:t>
      </w:r>
    </w:p>
    <w:p w14:paraId="7E7FABD6">
      <w:pPr>
        <w:spacing w:line="265" w:lineRule="auto"/>
        <w:rPr>
          <w:rFonts w:ascii="Arial"/>
          <w:color w:val="auto"/>
          <w:sz w:val="21"/>
          <w:highlight w:val="none"/>
        </w:rPr>
      </w:pPr>
    </w:p>
    <w:p w14:paraId="110A4C58">
      <w:pPr>
        <w:spacing w:line="265" w:lineRule="auto"/>
        <w:rPr>
          <w:rFonts w:ascii="Arial"/>
          <w:color w:val="auto"/>
          <w:sz w:val="21"/>
          <w:highlight w:val="none"/>
        </w:rPr>
      </w:pPr>
    </w:p>
    <w:p w14:paraId="08F0923E">
      <w:pPr>
        <w:spacing w:line="265" w:lineRule="auto"/>
        <w:rPr>
          <w:rFonts w:ascii="Arial"/>
          <w:color w:val="auto"/>
          <w:sz w:val="21"/>
          <w:highlight w:val="none"/>
        </w:rPr>
      </w:pPr>
    </w:p>
    <w:p w14:paraId="5C42F8AF">
      <w:pPr>
        <w:spacing w:line="265" w:lineRule="auto"/>
        <w:rPr>
          <w:rFonts w:ascii="Arial"/>
          <w:color w:val="auto"/>
          <w:sz w:val="21"/>
          <w:highlight w:val="none"/>
        </w:rPr>
      </w:pPr>
    </w:p>
    <w:p w14:paraId="28419435">
      <w:pPr>
        <w:spacing w:line="265" w:lineRule="auto"/>
        <w:rPr>
          <w:rFonts w:ascii="Arial"/>
          <w:color w:val="auto"/>
          <w:sz w:val="21"/>
          <w:highlight w:val="none"/>
        </w:rPr>
      </w:pPr>
    </w:p>
    <w:p w14:paraId="5EB035EE">
      <w:pPr>
        <w:spacing w:line="266" w:lineRule="auto"/>
        <w:rPr>
          <w:rFonts w:ascii="Arial"/>
          <w:color w:val="auto"/>
          <w:sz w:val="21"/>
          <w:highlight w:val="none"/>
        </w:rPr>
      </w:pPr>
    </w:p>
    <w:p w14:paraId="2B16B635">
      <w:pPr>
        <w:spacing w:line="266" w:lineRule="auto"/>
        <w:rPr>
          <w:rFonts w:ascii="Arial"/>
          <w:color w:val="auto"/>
          <w:sz w:val="21"/>
          <w:highlight w:val="none"/>
        </w:rPr>
      </w:pPr>
    </w:p>
    <w:p w14:paraId="05D068EC">
      <w:pPr>
        <w:pStyle w:val="2"/>
        <w:spacing w:before="79" w:line="219" w:lineRule="auto"/>
        <w:ind w:left="1845"/>
        <w:outlineLvl w:val="3"/>
        <w:rPr>
          <w:color w:val="auto"/>
          <w:sz w:val="24"/>
          <w:szCs w:val="24"/>
          <w:highlight w:val="none"/>
        </w:rPr>
      </w:pPr>
      <w:r>
        <w:rPr>
          <w:b/>
          <w:bCs/>
          <w:color w:val="auto"/>
          <w:spacing w:val="-3"/>
          <w:sz w:val="24"/>
          <w:szCs w:val="24"/>
          <w:highlight w:val="none"/>
        </w:rPr>
        <w:t>9、供应商可提供有利于磋商的其他证明材料</w:t>
      </w:r>
    </w:p>
    <w:p w14:paraId="59E3296B">
      <w:pPr>
        <w:spacing w:line="243" w:lineRule="auto"/>
        <w:rPr>
          <w:rFonts w:ascii="Arial"/>
          <w:color w:val="auto"/>
          <w:sz w:val="21"/>
          <w:highlight w:val="none"/>
        </w:rPr>
      </w:pPr>
    </w:p>
    <w:p w14:paraId="71E47058">
      <w:pPr>
        <w:spacing w:line="243" w:lineRule="auto"/>
        <w:rPr>
          <w:rFonts w:ascii="Arial"/>
          <w:color w:val="auto"/>
          <w:sz w:val="21"/>
          <w:highlight w:val="none"/>
        </w:rPr>
      </w:pPr>
    </w:p>
    <w:p w14:paraId="631E40D1">
      <w:pPr>
        <w:spacing w:line="243" w:lineRule="auto"/>
        <w:rPr>
          <w:rFonts w:ascii="Arial"/>
          <w:color w:val="auto"/>
          <w:sz w:val="21"/>
          <w:highlight w:val="none"/>
        </w:rPr>
      </w:pPr>
    </w:p>
    <w:p w14:paraId="1C59085C">
      <w:pPr>
        <w:spacing w:line="243" w:lineRule="auto"/>
        <w:rPr>
          <w:rFonts w:ascii="Arial"/>
          <w:color w:val="auto"/>
          <w:sz w:val="21"/>
          <w:highlight w:val="none"/>
        </w:rPr>
      </w:pPr>
    </w:p>
    <w:p w14:paraId="79A67B10">
      <w:pPr>
        <w:spacing w:line="243" w:lineRule="auto"/>
        <w:rPr>
          <w:rFonts w:ascii="Arial"/>
          <w:color w:val="auto"/>
          <w:sz w:val="21"/>
          <w:highlight w:val="none"/>
        </w:rPr>
      </w:pPr>
    </w:p>
    <w:p w14:paraId="0E28EF58">
      <w:pPr>
        <w:spacing w:line="243" w:lineRule="auto"/>
        <w:rPr>
          <w:rFonts w:ascii="Arial"/>
          <w:color w:val="auto"/>
          <w:sz w:val="21"/>
          <w:highlight w:val="none"/>
        </w:rPr>
      </w:pPr>
    </w:p>
    <w:p w14:paraId="21268667">
      <w:pPr>
        <w:spacing w:line="243" w:lineRule="auto"/>
        <w:rPr>
          <w:rFonts w:ascii="Arial"/>
          <w:color w:val="auto"/>
          <w:sz w:val="21"/>
          <w:highlight w:val="none"/>
        </w:rPr>
      </w:pPr>
    </w:p>
    <w:p w14:paraId="7A1D8481">
      <w:pPr>
        <w:spacing w:line="243" w:lineRule="auto"/>
        <w:rPr>
          <w:rFonts w:ascii="Arial"/>
          <w:color w:val="auto"/>
          <w:sz w:val="21"/>
          <w:highlight w:val="none"/>
        </w:rPr>
      </w:pPr>
    </w:p>
    <w:p w14:paraId="207E3A63">
      <w:pPr>
        <w:spacing w:line="243" w:lineRule="auto"/>
        <w:rPr>
          <w:rFonts w:ascii="Arial"/>
          <w:color w:val="auto"/>
          <w:sz w:val="21"/>
          <w:highlight w:val="none"/>
        </w:rPr>
      </w:pPr>
    </w:p>
    <w:p w14:paraId="276A3F63">
      <w:pPr>
        <w:spacing w:line="243" w:lineRule="auto"/>
        <w:rPr>
          <w:rFonts w:ascii="Arial"/>
          <w:color w:val="auto"/>
          <w:sz w:val="21"/>
          <w:highlight w:val="none"/>
        </w:rPr>
      </w:pPr>
    </w:p>
    <w:p w14:paraId="36EECA38">
      <w:pPr>
        <w:spacing w:line="243" w:lineRule="auto"/>
        <w:rPr>
          <w:rFonts w:ascii="Arial"/>
          <w:color w:val="auto"/>
          <w:sz w:val="21"/>
          <w:highlight w:val="none"/>
        </w:rPr>
      </w:pPr>
    </w:p>
    <w:p w14:paraId="683BF8DC">
      <w:pPr>
        <w:spacing w:line="243" w:lineRule="auto"/>
        <w:rPr>
          <w:rFonts w:ascii="Arial"/>
          <w:color w:val="auto"/>
          <w:sz w:val="21"/>
          <w:highlight w:val="none"/>
        </w:rPr>
      </w:pPr>
    </w:p>
    <w:p w14:paraId="6B993BDC">
      <w:pPr>
        <w:spacing w:line="243" w:lineRule="auto"/>
        <w:rPr>
          <w:rFonts w:ascii="Arial"/>
          <w:color w:val="auto"/>
          <w:sz w:val="21"/>
          <w:highlight w:val="none"/>
        </w:rPr>
      </w:pPr>
    </w:p>
    <w:p w14:paraId="33DA533E">
      <w:pPr>
        <w:spacing w:line="243" w:lineRule="auto"/>
        <w:rPr>
          <w:rFonts w:ascii="Arial"/>
          <w:color w:val="auto"/>
          <w:sz w:val="21"/>
          <w:highlight w:val="none"/>
        </w:rPr>
      </w:pPr>
    </w:p>
    <w:p w14:paraId="1AABC76F">
      <w:pPr>
        <w:spacing w:line="243" w:lineRule="auto"/>
        <w:rPr>
          <w:rFonts w:ascii="Arial"/>
          <w:color w:val="auto"/>
          <w:sz w:val="21"/>
          <w:highlight w:val="none"/>
        </w:rPr>
      </w:pPr>
    </w:p>
    <w:p w14:paraId="458829F0">
      <w:pPr>
        <w:spacing w:line="243" w:lineRule="auto"/>
        <w:rPr>
          <w:rFonts w:ascii="Arial"/>
          <w:color w:val="auto"/>
          <w:sz w:val="21"/>
          <w:highlight w:val="none"/>
        </w:rPr>
      </w:pPr>
    </w:p>
    <w:p w14:paraId="03EBA97C">
      <w:pPr>
        <w:spacing w:line="243" w:lineRule="auto"/>
        <w:rPr>
          <w:rFonts w:ascii="Arial"/>
          <w:color w:val="auto"/>
          <w:sz w:val="21"/>
          <w:highlight w:val="none"/>
        </w:rPr>
      </w:pPr>
    </w:p>
    <w:p w14:paraId="7DD9493B">
      <w:pPr>
        <w:spacing w:line="243" w:lineRule="auto"/>
        <w:rPr>
          <w:rFonts w:ascii="Arial"/>
          <w:color w:val="auto"/>
          <w:sz w:val="21"/>
          <w:highlight w:val="none"/>
        </w:rPr>
      </w:pPr>
    </w:p>
    <w:p w14:paraId="65A93E3C">
      <w:pPr>
        <w:spacing w:line="243" w:lineRule="auto"/>
        <w:rPr>
          <w:rFonts w:ascii="Arial"/>
          <w:color w:val="auto"/>
          <w:sz w:val="21"/>
          <w:highlight w:val="none"/>
        </w:rPr>
      </w:pPr>
    </w:p>
    <w:p w14:paraId="79D211CA">
      <w:pPr>
        <w:spacing w:line="243" w:lineRule="auto"/>
        <w:rPr>
          <w:rFonts w:ascii="Arial"/>
          <w:color w:val="auto"/>
          <w:sz w:val="21"/>
          <w:highlight w:val="none"/>
        </w:rPr>
      </w:pPr>
    </w:p>
    <w:p w14:paraId="0CBE0253">
      <w:pPr>
        <w:spacing w:line="243" w:lineRule="auto"/>
        <w:rPr>
          <w:rFonts w:ascii="Arial"/>
          <w:color w:val="auto"/>
          <w:sz w:val="21"/>
          <w:highlight w:val="none"/>
        </w:rPr>
      </w:pPr>
    </w:p>
    <w:p w14:paraId="14014ACF">
      <w:pPr>
        <w:spacing w:line="243" w:lineRule="auto"/>
        <w:rPr>
          <w:rFonts w:ascii="Arial"/>
          <w:color w:val="auto"/>
          <w:sz w:val="21"/>
          <w:highlight w:val="none"/>
        </w:rPr>
      </w:pPr>
    </w:p>
    <w:p w14:paraId="711F85B8">
      <w:pPr>
        <w:spacing w:line="243" w:lineRule="auto"/>
        <w:rPr>
          <w:rFonts w:ascii="Arial"/>
          <w:color w:val="auto"/>
          <w:sz w:val="21"/>
          <w:highlight w:val="none"/>
        </w:rPr>
      </w:pPr>
    </w:p>
    <w:p w14:paraId="0D522B08">
      <w:pPr>
        <w:spacing w:line="243" w:lineRule="auto"/>
        <w:rPr>
          <w:rFonts w:ascii="Arial"/>
          <w:color w:val="auto"/>
          <w:sz w:val="21"/>
          <w:highlight w:val="none"/>
        </w:rPr>
      </w:pPr>
    </w:p>
    <w:p w14:paraId="0F4694FA">
      <w:pPr>
        <w:spacing w:line="243" w:lineRule="auto"/>
        <w:rPr>
          <w:rFonts w:ascii="Arial"/>
          <w:color w:val="auto"/>
          <w:sz w:val="21"/>
          <w:highlight w:val="none"/>
        </w:rPr>
      </w:pPr>
    </w:p>
    <w:p w14:paraId="14B78693">
      <w:pPr>
        <w:spacing w:line="243" w:lineRule="auto"/>
        <w:rPr>
          <w:rFonts w:ascii="Arial"/>
          <w:color w:val="auto"/>
          <w:sz w:val="21"/>
          <w:highlight w:val="none"/>
        </w:rPr>
      </w:pPr>
    </w:p>
    <w:p w14:paraId="4A09E7B5">
      <w:pPr>
        <w:spacing w:line="243" w:lineRule="auto"/>
        <w:rPr>
          <w:rFonts w:ascii="Arial"/>
          <w:color w:val="auto"/>
          <w:sz w:val="21"/>
          <w:highlight w:val="none"/>
        </w:rPr>
      </w:pPr>
    </w:p>
    <w:p w14:paraId="531D2596">
      <w:pPr>
        <w:spacing w:line="243" w:lineRule="auto"/>
        <w:rPr>
          <w:rFonts w:ascii="Arial"/>
          <w:color w:val="auto"/>
          <w:sz w:val="21"/>
          <w:highlight w:val="none"/>
        </w:rPr>
      </w:pPr>
    </w:p>
    <w:p w14:paraId="5DEA992C">
      <w:pPr>
        <w:spacing w:line="243" w:lineRule="auto"/>
        <w:rPr>
          <w:rFonts w:ascii="Arial"/>
          <w:color w:val="auto"/>
          <w:sz w:val="21"/>
          <w:highlight w:val="none"/>
        </w:rPr>
      </w:pPr>
    </w:p>
    <w:p w14:paraId="747BBAA8">
      <w:pPr>
        <w:spacing w:line="243" w:lineRule="auto"/>
        <w:rPr>
          <w:rFonts w:ascii="Arial"/>
          <w:color w:val="auto"/>
          <w:sz w:val="21"/>
          <w:highlight w:val="none"/>
        </w:rPr>
      </w:pPr>
    </w:p>
    <w:p w14:paraId="338E0181">
      <w:pPr>
        <w:spacing w:line="243" w:lineRule="auto"/>
        <w:rPr>
          <w:rFonts w:ascii="Arial"/>
          <w:color w:val="auto"/>
          <w:sz w:val="21"/>
          <w:highlight w:val="none"/>
        </w:rPr>
      </w:pPr>
    </w:p>
    <w:p w14:paraId="28246D20">
      <w:pPr>
        <w:spacing w:line="243" w:lineRule="auto"/>
        <w:rPr>
          <w:rFonts w:ascii="Arial"/>
          <w:color w:val="auto"/>
          <w:sz w:val="21"/>
          <w:highlight w:val="none"/>
        </w:rPr>
      </w:pPr>
    </w:p>
    <w:p w14:paraId="5F707836">
      <w:pPr>
        <w:spacing w:line="243" w:lineRule="auto"/>
        <w:rPr>
          <w:rFonts w:ascii="Arial"/>
          <w:color w:val="auto"/>
          <w:sz w:val="21"/>
          <w:highlight w:val="none"/>
        </w:rPr>
      </w:pPr>
    </w:p>
    <w:p w14:paraId="787CDB3A">
      <w:pPr>
        <w:spacing w:line="243" w:lineRule="auto"/>
        <w:rPr>
          <w:rFonts w:ascii="Arial"/>
          <w:color w:val="auto"/>
          <w:sz w:val="21"/>
          <w:highlight w:val="none"/>
        </w:rPr>
      </w:pPr>
    </w:p>
    <w:p w14:paraId="0AFAEE34">
      <w:pPr>
        <w:spacing w:line="244" w:lineRule="auto"/>
        <w:rPr>
          <w:rFonts w:ascii="Arial"/>
          <w:color w:val="auto"/>
          <w:sz w:val="21"/>
          <w:highlight w:val="none"/>
        </w:rPr>
      </w:pPr>
    </w:p>
    <w:p w14:paraId="2064F988">
      <w:pPr>
        <w:spacing w:line="244" w:lineRule="auto"/>
        <w:rPr>
          <w:rFonts w:ascii="Arial"/>
          <w:color w:val="auto"/>
          <w:sz w:val="21"/>
          <w:highlight w:val="none"/>
        </w:rPr>
      </w:pPr>
    </w:p>
    <w:p w14:paraId="4A53B82D">
      <w:pPr>
        <w:spacing w:line="244" w:lineRule="auto"/>
        <w:rPr>
          <w:rFonts w:ascii="Arial"/>
          <w:color w:val="auto"/>
          <w:sz w:val="21"/>
          <w:highlight w:val="none"/>
        </w:rPr>
      </w:pPr>
    </w:p>
    <w:p w14:paraId="375D36EA">
      <w:pPr>
        <w:spacing w:line="244" w:lineRule="auto"/>
        <w:rPr>
          <w:rFonts w:ascii="Arial"/>
          <w:color w:val="auto"/>
          <w:sz w:val="21"/>
          <w:highlight w:val="none"/>
        </w:rPr>
      </w:pPr>
    </w:p>
    <w:p w14:paraId="066A5EBA">
      <w:pPr>
        <w:spacing w:line="418" w:lineRule="auto"/>
        <w:rPr>
          <w:rFonts w:ascii="Arial"/>
          <w:color w:val="auto"/>
          <w:sz w:val="21"/>
          <w:highlight w:val="none"/>
        </w:rPr>
      </w:pPr>
    </w:p>
    <w:p w14:paraId="31DAF32C">
      <w:pPr>
        <w:pStyle w:val="2"/>
        <w:spacing w:before="78" w:line="219" w:lineRule="auto"/>
        <w:ind w:left="3518"/>
        <w:outlineLvl w:val="3"/>
        <w:rPr>
          <w:color w:val="auto"/>
          <w:sz w:val="24"/>
          <w:szCs w:val="24"/>
          <w:highlight w:val="none"/>
        </w:rPr>
      </w:pPr>
      <w:r>
        <w:rPr>
          <w:b/>
          <w:bCs/>
          <w:color w:val="auto"/>
          <w:spacing w:val="-5"/>
          <w:sz w:val="24"/>
          <w:szCs w:val="24"/>
          <w:highlight w:val="none"/>
        </w:rPr>
        <w:t>10、响应文件格式范本</w:t>
      </w:r>
    </w:p>
    <w:p w14:paraId="2C23A70E">
      <w:pPr>
        <w:spacing w:before="199"/>
        <w:rPr>
          <w:color w:val="auto"/>
          <w:highlight w:val="none"/>
        </w:rPr>
      </w:pPr>
    </w:p>
    <w:tbl>
      <w:tblPr>
        <w:tblStyle w:val="13"/>
        <w:tblW w:w="9140" w:type="dxa"/>
        <w:tblInd w:w="5" w:type="dxa"/>
        <w:tblBorders>
          <w:top w:val="single" w:color="666699" w:sz="4" w:space="0"/>
          <w:left w:val="single" w:color="666699" w:sz="4" w:space="0"/>
          <w:bottom w:val="single" w:color="666699" w:sz="4" w:space="0"/>
          <w:right w:val="single" w:color="666699" w:sz="4"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0"/>
      </w:tblGrid>
      <w:tr w14:paraId="526C3DD3">
        <w:tblPrEx>
          <w:tblBorders>
            <w:top w:val="single" w:color="666699" w:sz="4" w:space="0"/>
            <w:left w:val="single" w:color="666699" w:sz="4" w:space="0"/>
            <w:bottom w:val="single" w:color="666699" w:sz="4" w:space="0"/>
            <w:right w:val="single" w:color="666699" w:sz="4" w:space="0"/>
            <w:insideH w:val="none" w:color="auto" w:sz="0" w:space="0"/>
            <w:insideV w:val="none" w:color="auto" w:sz="0" w:space="0"/>
          </w:tblBorders>
          <w:shd w:val="clear" w:color="auto" w:fill="FCFEEA"/>
          <w:tblCellMar>
            <w:top w:w="0" w:type="dxa"/>
            <w:left w:w="0" w:type="dxa"/>
            <w:bottom w:w="0" w:type="dxa"/>
            <w:right w:w="0" w:type="dxa"/>
          </w:tblCellMar>
        </w:tblPrEx>
        <w:trPr>
          <w:trHeight w:val="11171" w:hRule="atLeast"/>
        </w:trPr>
        <w:tc>
          <w:tcPr>
            <w:tcW w:w="9140" w:type="dxa"/>
            <w:shd w:val="clear" w:color="auto" w:fill="FCFEEA"/>
            <w:vAlign w:val="top"/>
          </w:tcPr>
          <w:p w14:paraId="63FA5F9E">
            <w:pPr>
              <w:pStyle w:val="14"/>
              <w:spacing w:line="251" w:lineRule="auto"/>
              <w:rPr>
                <w:color w:val="auto"/>
                <w:highlight w:val="none"/>
              </w:rPr>
            </w:pPr>
            <w:r>
              <w:rPr>
                <w:color w:val="auto"/>
                <w:highlight w:val="none"/>
              </w:rPr>
              <w:pict>
                <v:shape id="_x0000_s1090" o:spid="_x0000_s1090" o:spt="202" type="#_x0000_t202" style="position:absolute;left:0pt;margin-left:107.9pt;margin-top:456.85pt;height:14.5pt;width:241.6pt;mso-position-horizontal-relative:page;mso-position-vertical-relative:page;z-index:251689984;mso-width-relative:page;mso-height-relative:page;" filled="f" stroked="f" coordsize="21600,21600">
                  <v:path/>
                  <v:fill on="f" focussize="0,0"/>
                  <v:stroke on="f"/>
                  <v:imagedata o:title=""/>
                  <o:lock v:ext="edit" aspectratio="f"/>
                  <v:textbox inset="0mm,0mm,0mm,0mm">
                    <w:txbxContent>
                      <w:p w14:paraId="5712D29D">
                        <w:pPr>
                          <w:spacing w:before="19" w:line="220" w:lineRule="auto"/>
                          <w:ind w:left="20"/>
                          <w:rPr>
                            <w:rFonts w:ascii="宋体" w:hAnsi="宋体" w:eastAsia="宋体" w:cs="宋体"/>
                            <w:sz w:val="21"/>
                            <w:szCs w:val="21"/>
                          </w:rPr>
                        </w:pPr>
                        <w:r>
                          <w:rPr>
                            <w:rFonts w:ascii="宋体" w:hAnsi="宋体" w:eastAsia="宋体" w:cs="宋体"/>
                            <w:b/>
                            <w:bCs/>
                            <w:spacing w:val="-2"/>
                            <w:sz w:val="21"/>
                            <w:szCs w:val="21"/>
                          </w:rPr>
                          <w:t>注：在</w:t>
                        </w:r>
                        <w:r>
                          <w:rPr>
                            <w:rFonts w:ascii="宋体" w:hAnsi="宋体" w:eastAsia="宋体" w:cs="宋体"/>
                            <w:spacing w:val="-41"/>
                            <w:sz w:val="21"/>
                            <w:szCs w:val="21"/>
                          </w:rPr>
                          <w:t xml:space="preserve"> </w:t>
                        </w:r>
                        <w:r>
                          <w:rPr>
                            <w:rFonts w:ascii="宋体" w:hAnsi="宋体" w:eastAsia="宋体" w:cs="宋体"/>
                            <w:b/>
                            <w:bCs/>
                            <w:spacing w:val="-2"/>
                            <w:sz w:val="21"/>
                            <w:szCs w:val="21"/>
                          </w:rPr>
                          <w:t>20**年*月*日*午**时**分之前不</w:t>
                        </w:r>
                        <w:r>
                          <w:rPr>
                            <w:rFonts w:ascii="宋体" w:hAnsi="宋体" w:eastAsia="宋体" w:cs="宋体"/>
                            <w:b/>
                            <w:bCs/>
                            <w:spacing w:val="-3"/>
                            <w:sz w:val="21"/>
                            <w:szCs w:val="21"/>
                          </w:rPr>
                          <w:t>得开启解密</w:t>
                        </w:r>
                      </w:p>
                    </w:txbxContent>
                  </v:textbox>
                </v:shape>
              </w:pict>
            </w:r>
          </w:p>
          <w:p w14:paraId="48F64DB3">
            <w:pPr>
              <w:pStyle w:val="14"/>
              <w:spacing w:line="251" w:lineRule="auto"/>
              <w:rPr>
                <w:color w:val="auto"/>
                <w:highlight w:val="none"/>
              </w:rPr>
            </w:pPr>
          </w:p>
          <w:p w14:paraId="6851060D">
            <w:pPr>
              <w:pStyle w:val="14"/>
              <w:spacing w:line="251" w:lineRule="auto"/>
              <w:rPr>
                <w:color w:val="auto"/>
                <w:highlight w:val="none"/>
              </w:rPr>
            </w:pPr>
          </w:p>
          <w:p w14:paraId="6593F117">
            <w:pPr>
              <w:pStyle w:val="14"/>
              <w:spacing w:line="252" w:lineRule="auto"/>
              <w:rPr>
                <w:color w:val="auto"/>
                <w:highlight w:val="none"/>
              </w:rPr>
            </w:pPr>
          </w:p>
          <w:p w14:paraId="2AE63EDC">
            <w:pPr>
              <w:pStyle w:val="14"/>
              <w:spacing w:line="252" w:lineRule="auto"/>
              <w:rPr>
                <w:color w:val="auto"/>
                <w:highlight w:val="none"/>
              </w:rPr>
            </w:pPr>
          </w:p>
          <w:p w14:paraId="47F8A0E0">
            <w:pPr>
              <w:pStyle w:val="14"/>
              <w:spacing w:line="252" w:lineRule="auto"/>
              <w:rPr>
                <w:color w:val="auto"/>
                <w:highlight w:val="none"/>
              </w:rPr>
            </w:pPr>
          </w:p>
          <w:p w14:paraId="3356602F">
            <w:pPr>
              <w:pStyle w:val="14"/>
              <w:spacing w:line="252" w:lineRule="auto"/>
              <w:rPr>
                <w:color w:val="auto"/>
                <w:highlight w:val="none"/>
              </w:rPr>
            </w:pPr>
          </w:p>
          <w:p w14:paraId="72B1DC07">
            <w:pPr>
              <w:pStyle w:val="14"/>
              <w:spacing w:line="252" w:lineRule="auto"/>
              <w:rPr>
                <w:color w:val="auto"/>
                <w:highlight w:val="none"/>
              </w:rPr>
            </w:pPr>
          </w:p>
          <w:p w14:paraId="6A435362">
            <w:pPr>
              <w:spacing w:before="91" w:line="220" w:lineRule="auto"/>
              <w:ind w:left="2010"/>
              <w:rPr>
                <w:rFonts w:ascii="宋体" w:hAnsi="宋体" w:eastAsia="宋体" w:cs="宋体"/>
                <w:color w:val="auto"/>
                <w:sz w:val="28"/>
                <w:szCs w:val="28"/>
                <w:highlight w:val="none"/>
              </w:rPr>
            </w:pPr>
            <w:r>
              <w:rPr>
                <w:rFonts w:ascii="宋体" w:hAnsi="宋体" w:eastAsia="宋体" w:cs="宋体"/>
                <w:b/>
                <w:bCs/>
                <w:color w:val="auto"/>
                <w:spacing w:val="-2"/>
                <w:sz w:val="21"/>
                <w:szCs w:val="21"/>
                <w:highlight w:val="none"/>
              </w:rPr>
              <w:t>*********************</w:t>
            </w:r>
            <w:r>
              <w:rPr>
                <w:rFonts w:ascii="宋体" w:hAnsi="宋体" w:eastAsia="宋体" w:cs="宋体"/>
                <w:b/>
                <w:bCs/>
                <w:color w:val="auto"/>
                <w:spacing w:val="-2"/>
                <w:sz w:val="28"/>
                <w:szCs w:val="28"/>
                <w:highlight w:val="none"/>
              </w:rPr>
              <w:t>项目</w:t>
            </w:r>
          </w:p>
          <w:p w14:paraId="3410095D">
            <w:pPr>
              <w:pStyle w:val="14"/>
              <w:spacing w:line="243" w:lineRule="auto"/>
              <w:rPr>
                <w:color w:val="auto"/>
                <w:highlight w:val="none"/>
              </w:rPr>
            </w:pPr>
          </w:p>
          <w:p w14:paraId="7A13728A">
            <w:pPr>
              <w:pStyle w:val="14"/>
              <w:spacing w:line="243" w:lineRule="auto"/>
              <w:rPr>
                <w:color w:val="auto"/>
                <w:highlight w:val="none"/>
              </w:rPr>
            </w:pPr>
          </w:p>
          <w:p w14:paraId="27AE2BA5">
            <w:pPr>
              <w:pStyle w:val="14"/>
              <w:spacing w:line="243" w:lineRule="auto"/>
              <w:rPr>
                <w:color w:val="auto"/>
                <w:highlight w:val="none"/>
              </w:rPr>
            </w:pPr>
          </w:p>
          <w:p w14:paraId="5BBB56C1">
            <w:pPr>
              <w:spacing w:before="68" w:line="220" w:lineRule="auto"/>
              <w:ind w:left="285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项目编号</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标项号：***（如有）</w:t>
            </w:r>
          </w:p>
          <w:p w14:paraId="0BFE8336">
            <w:pPr>
              <w:pStyle w:val="14"/>
              <w:spacing w:line="255" w:lineRule="auto"/>
              <w:rPr>
                <w:color w:val="auto"/>
                <w:highlight w:val="none"/>
              </w:rPr>
            </w:pPr>
          </w:p>
          <w:p w14:paraId="2A286467">
            <w:pPr>
              <w:pStyle w:val="14"/>
              <w:spacing w:line="255" w:lineRule="auto"/>
              <w:rPr>
                <w:color w:val="auto"/>
                <w:highlight w:val="none"/>
              </w:rPr>
            </w:pPr>
          </w:p>
          <w:p w14:paraId="06F7FDE4">
            <w:pPr>
              <w:pStyle w:val="14"/>
              <w:spacing w:line="255" w:lineRule="auto"/>
              <w:rPr>
                <w:color w:val="auto"/>
                <w:highlight w:val="none"/>
              </w:rPr>
            </w:pPr>
          </w:p>
          <w:p w14:paraId="75DF01D9">
            <w:pPr>
              <w:spacing w:before="156" w:line="220" w:lineRule="auto"/>
              <w:ind w:left="3284"/>
              <w:rPr>
                <w:rFonts w:ascii="宋体" w:hAnsi="宋体" w:eastAsia="宋体" w:cs="宋体"/>
                <w:color w:val="auto"/>
                <w:sz w:val="48"/>
                <w:szCs w:val="48"/>
                <w:highlight w:val="none"/>
              </w:rPr>
            </w:pPr>
            <w:r>
              <w:rPr>
                <w:rFonts w:ascii="宋体" w:hAnsi="宋体" w:eastAsia="宋体" w:cs="宋体"/>
                <w:b/>
                <w:bCs/>
                <w:color w:val="auto"/>
                <w:spacing w:val="-27"/>
                <w:sz w:val="48"/>
                <w:szCs w:val="48"/>
                <w:highlight w:val="none"/>
              </w:rPr>
              <w:t>响</w:t>
            </w:r>
            <w:r>
              <w:rPr>
                <w:rFonts w:ascii="宋体" w:hAnsi="宋体" w:eastAsia="宋体" w:cs="宋体"/>
                <w:color w:val="auto"/>
                <w:spacing w:val="24"/>
                <w:sz w:val="48"/>
                <w:szCs w:val="48"/>
                <w:highlight w:val="none"/>
              </w:rPr>
              <w:t xml:space="preserve"> </w:t>
            </w:r>
            <w:r>
              <w:rPr>
                <w:rFonts w:ascii="宋体" w:hAnsi="宋体" w:eastAsia="宋体" w:cs="宋体"/>
                <w:b/>
                <w:bCs/>
                <w:color w:val="auto"/>
                <w:spacing w:val="-27"/>
                <w:sz w:val="48"/>
                <w:szCs w:val="48"/>
                <w:highlight w:val="none"/>
              </w:rPr>
              <w:t>应</w:t>
            </w:r>
            <w:r>
              <w:rPr>
                <w:rFonts w:ascii="宋体" w:hAnsi="宋体" w:eastAsia="宋体" w:cs="宋体"/>
                <w:color w:val="auto"/>
                <w:spacing w:val="27"/>
                <w:sz w:val="48"/>
                <w:szCs w:val="48"/>
                <w:highlight w:val="none"/>
              </w:rPr>
              <w:t xml:space="preserve"> </w:t>
            </w:r>
            <w:r>
              <w:rPr>
                <w:rFonts w:ascii="宋体" w:hAnsi="宋体" w:eastAsia="宋体" w:cs="宋体"/>
                <w:b/>
                <w:bCs/>
                <w:color w:val="auto"/>
                <w:spacing w:val="-27"/>
                <w:sz w:val="48"/>
                <w:szCs w:val="48"/>
                <w:highlight w:val="none"/>
              </w:rPr>
              <w:t>文</w:t>
            </w:r>
            <w:r>
              <w:rPr>
                <w:rFonts w:ascii="宋体" w:hAnsi="宋体" w:eastAsia="宋体" w:cs="宋体"/>
                <w:color w:val="auto"/>
                <w:spacing w:val="20"/>
                <w:sz w:val="48"/>
                <w:szCs w:val="48"/>
                <w:highlight w:val="none"/>
              </w:rPr>
              <w:t xml:space="preserve"> </w:t>
            </w:r>
            <w:r>
              <w:rPr>
                <w:rFonts w:ascii="宋体" w:hAnsi="宋体" w:eastAsia="宋体" w:cs="宋体"/>
                <w:b/>
                <w:bCs/>
                <w:color w:val="auto"/>
                <w:spacing w:val="-27"/>
                <w:sz w:val="48"/>
                <w:szCs w:val="48"/>
                <w:highlight w:val="none"/>
              </w:rPr>
              <w:t>件</w:t>
            </w:r>
          </w:p>
          <w:p w14:paraId="22E479E1">
            <w:pPr>
              <w:pStyle w:val="14"/>
              <w:spacing w:line="255" w:lineRule="auto"/>
              <w:rPr>
                <w:color w:val="auto"/>
                <w:highlight w:val="none"/>
              </w:rPr>
            </w:pPr>
          </w:p>
          <w:p w14:paraId="7C35F7AD">
            <w:pPr>
              <w:pStyle w:val="14"/>
              <w:spacing w:line="255" w:lineRule="auto"/>
              <w:rPr>
                <w:color w:val="auto"/>
                <w:highlight w:val="none"/>
              </w:rPr>
            </w:pPr>
          </w:p>
          <w:p w14:paraId="098BE1D6">
            <w:pPr>
              <w:pStyle w:val="14"/>
              <w:spacing w:line="256" w:lineRule="auto"/>
              <w:rPr>
                <w:color w:val="auto"/>
                <w:highlight w:val="none"/>
              </w:rPr>
            </w:pPr>
          </w:p>
          <w:p w14:paraId="47F2B3B7">
            <w:pPr>
              <w:spacing w:before="69" w:line="346" w:lineRule="auto"/>
              <w:ind w:left="1560" w:right="1609" w:hanging="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供 应</w:t>
            </w:r>
            <w:r>
              <w:rPr>
                <w:rFonts w:ascii="宋体" w:hAnsi="宋体" w:eastAsia="宋体" w:cs="宋体"/>
                <w:color w:val="auto"/>
                <w:spacing w:val="12"/>
                <w:sz w:val="21"/>
                <w:szCs w:val="21"/>
                <w:highlight w:val="none"/>
              </w:rPr>
              <w:t xml:space="preserve"> </w:t>
            </w:r>
            <w:r>
              <w:rPr>
                <w:rFonts w:ascii="宋体" w:hAnsi="宋体" w:eastAsia="宋体" w:cs="宋体"/>
                <w:color w:val="auto"/>
                <w:spacing w:val="-4"/>
                <w:sz w:val="21"/>
                <w:szCs w:val="21"/>
                <w:highlight w:val="none"/>
              </w:rPr>
              <w:t>商：</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4"/>
                <w:sz w:val="21"/>
                <w:szCs w:val="21"/>
                <w:highlight w:val="none"/>
              </w:rPr>
              <w:t>（公章）</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项目名称：</w:t>
            </w:r>
            <w:r>
              <w:rPr>
                <w:rFonts w:ascii="宋体" w:hAnsi="宋体" w:eastAsia="宋体" w:cs="宋体"/>
                <w:color w:val="auto"/>
                <w:sz w:val="21"/>
                <w:szCs w:val="21"/>
                <w:highlight w:val="none"/>
                <w:u w:val="single" w:color="auto"/>
              </w:rPr>
              <w:t xml:space="preserve">                                       </w:t>
            </w:r>
          </w:p>
          <w:p w14:paraId="40D6C32D">
            <w:pPr>
              <w:tabs>
                <w:tab w:val="left" w:pos="6694"/>
              </w:tabs>
              <w:spacing w:before="28" w:line="355" w:lineRule="auto"/>
              <w:ind w:left="1557" w:right="2435" w:firstLine="3"/>
              <w:jc w:val="both"/>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项目编号：</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联</w:t>
            </w:r>
            <w:r>
              <w:rPr>
                <w:rFonts w:ascii="宋体" w:hAnsi="宋体" w:eastAsia="宋体" w:cs="宋体"/>
                <w:color w:val="auto"/>
                <w:spacing w:val="12"/>
                <w:sz w:val="21"/>
                <w:szCs w:val="21"/>
                <w:highlight w:val="none"/>
              </w:rPr>
              <w:t xml:space="preserve"> </w:t>
            </w:r>
            <w:r>
              <w:rPr>
                <w:rFonts w:ascii="宋体" w:hAnsi="宋体" w:eastAsia="宋体" w:cs="宋体"/>
                <w:color w:val="auto"/>
                <w:spacing w:val="-8"/>
                <w:sz w:val="21"/>
                <w:szCs w:val="21"/>
                <w:highlight w:val="none"/>
              </w:rPr>
              <w:t>系</w:t>
            </w:r>
            <w:r>
              <w:rPr>
                <w:rFonts w:ascii="宋体" w:hAnsi="宋体" w:eastAsia="宋体" w:cs="宋体"/>
                <w:color w:val="auto"/>
                <w:spacing w:val="10"/>
                <w:sz w:val="21"/>
                <w:szCs w:val="21"/>
                <w:highlight w:val="none"/>
              </w:rPr>
              <w:t xml:space="preserve"> </w:t>
            </w:r>
            <w:r>
              <w:rPr>
                <w:rFonts w:ascii="宋体" w:hAnsi="宋体" w:eastAsia="宋体" w:cs="宋体"/>
                <w:color w:val="auto"/>
                <w:spacing w:val="-8"/>
                <w:sz w:val="21"/>
                <w:szCs w:val="21"/>
                <w:highlight w:val="none"/>
              </w:rPr>
              <w:t>人：</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话：</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地</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址：</w:t>
            </w:r>
            <w:r>
              <w:rPr>
                <w:rFonts w:ascii="宋体" w:hAnsi="宋体" w:eastAsia="宋体" w:cs="宋体"/>
                <w:color w:val="auto"/>
                <w:sz w:val="21"/>
                <w:szCs w:val="21"/>
                <w:highlight w:val="none"/>
                <w:u w:val="single" w:color="auto"/>
              </w:rPr>
              <w:t xml:space="preserve">                                       </w:t>
            </w:r>
          </w:p>
        </w:tc>
      </w:tr>
    </w:tbl>
    <w:p w14:paraId="654D3F0D">
      <w:pPr>
        <w:spacing w:line="266" w:lineRule="auto"/>
        <w:rPr>
          <w:rFonts w:ascii="Arial"/>
          <w:color w:val="auto"/>
          <w:sz w:val="21"/>
          <w:highlight w:val="none"/>
        </w:rPr>
      </w:pPr>
    </w:p>
    <w:p w14:paraId="6D6D4C53">
      <w:pPr>
        <w:spacing w:line="266" w:lineRule="auto"/>
        <w:rPr>
          <w:rFonts w:ascii="Arial"/>
          <w:color w:val="auto"/>
          <w:sz w:val="21"/>
          <w:highlight w:val="none"/>
        </w:rPr>
      </w:pPr>
    </w:p>
    <w:p w14:paraId="61A74D6A">
      <w:pPr>
        <w:spacing w:line="418" w:lineRule="auto"/>
        <w:rPr>
          <w:rFonts w:ascii="Arial"/>
          <w:color w:val="auto"/>
          <w:sz w:val="21"/>
          <w:highlight w:val="none"/>
        </w:rPr>
      </w:pPr>
    </w:p>
    <w:p w14:paraId="72F0B6E3">
      <w:pPr>
        <w:pStyle w:val="2"/>
        <w:spacing w:before="78" w:line="218" w:lineRule="auto"/>
        <w:ind w:left="3452"/>
        <w:outlineLvl w:val="3"/>
        <w:rPr>
          <w:b/>
          <w:bCs/>
          <w:color w:val="auto"/>
          <w:spacing w:val="-6"/>
          <w:sz w:val="24"/>
          <w:szCs w:val="24"/>
          <w:highlight w:val="none"/>
        </w:rPr>
      </w:pPr>
    </w:p>
    <w:p w14:paraId="23620549">
      <w:pPr>
        <w:pStyle w:val="2"/>
        <w:spacing w:before="78" w:line="218" w:lineRule="auto"/>
        <w:ind w:left="3452"/>
        <w:outlineLvl w:val="3"/>
        <w:rPr>
          <w:b/>
          <w:bCs/>
          <w:color w:val="auto"/>
          <w:spacing w:val="-6"/>
          <w:sz w:val="24"/>
          <w:szCs w:val="24"/>
          <w:highlight w:val="none"/>
        </w:rPr>
      </w:pPr>
    </w:p>
    <w:p w14:paraId="08E65B57">
      <w:pPr>
        <w:pStyle w:val="2"/>
        <w:spacing w:before="78" w:line="218" w:lineRule="auto"/>
        <w:ind w:left="3452"/>
        <w:outlineLvl w:val="3"/>
        <w:rPr>
          <w:b/>
          <w:bCs/>
          <w:color w:val="auto"/>
          <w:spacing w:val="-6"/>
          <w:sz w:val="24"/>
          <w:szCs w:val="24"/>
          <w:highlight w:val="none"/>
        </w:rPr>
      </w:pPr>
    </w:p>
    <w:p w14:paraId="631497E4">
      <w:pPr>
        <w:pStyle w:val="2"/>
        <w:spacing w:before="78" w:line="218" w:lineRule="auto"/>
        <w:ind w:left="3452"/>
        <w:outlineLvl w:val="3"/>
        <w:rPr>
          <w:b/>
          <w:bCs/>
          <w:color w:val="auto"/>
          <w:spacing w:val="-6"/>
          <w:sz w:val="24"/>
          <w:szCs w:val="24"/>
          <w:highlight w:val="none"/>
        </w:rPr>
      </w:pPr>
    </w:p>
    <w:p w14:paraId="17E2A529">
      <w:pPr>
        <w:pStyle w:val="2"/>
        <w:spacing w:before="78" w:line="218" w:lineRule="auto"/>
        <w:ind w:left="3452"/>
        <w:outlineLvl w:val="3"/>
        <w:rPr>
          <w:b/>
          <w:bCs/>
          <w:color w:val="auto"/>
          <w:spacing w:val="-6"/>
          <w:sz w:val="24"/>
          <w:szCs w:val="24"/>
          <w:highlight w:val="none"/>
        </w:rPr>
      </w:pPr>
    </w:p>
    <w:p w14:paraId="5035F316">
      <w:pPr>
        <w:pStyle w:val="2"/>
        <w:spacing w:before="78" w:line="218" w:lineRule="auto"/>
        <w:ind w:left="3452"/>
        <w:outlineLvl w:val="3"/>
        <w:rPr>
          <w:color w:val="auto"/>
          <w:sz w:val="24"/>
          <w:szCs w:val="24"/>
          <w:highlight w:val="none"/>
        </w:rPr>
      </w:pPr>
      <w:r>
        <w:rPr>
          <w:b/>
          <w:bCs/>
          <w:color w:val="auto"/>
          <w:spacing w:val="-6"/>
          <w:sz w:val="24"/>
          <w:szCs w:val="24"/>
          <w:highlight w:val="none"/>
        </w:rPr>
        <w:t>11、二轮报价表</w:t>
      </w:r>
    </w:p>
    <w:p w14:paraId="5AA61F5A">
      <w:pPr>
        <w:spacing w:line="27" w:lineRule="auto"/>
        <w:rPr>
          <w:rFonts w:ascii="Arial"/>
          <w:color w:val="auto"/>
          <w:sz w:val="2"/>
          <w:highlight w:val="none"/>
        </w:rPr>
      </w:pPr>
    </w:p>
    <w:tbl>
      <w:tblPr>
        <w:tblStyle w:val="13"/>
        <w:tblW w:w="85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7"/>
      </w:tblGrid>
      <w:tr w14:paraId="5F975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527" w:type="dxa"/>
            <w:vAlign w:val="top"/>
          </w:tcPr>
          <w:p w14:paraId="6F71C70F">
            <w:pPr>
              <w:spacing w:before="121" w:line="218" w:lineRule="auto"/>
              <w:ind w:left="3468"/>
              <w:rPr>
                <w:rFonts w:ascii="宋体" w:hAnsi="宋体" w:eastAsia="宋体" w:cs="宋体"/>
                <w:color w:val="auto"/>
                <w:sz w:val="32"/>
                <w:szCs w:val="32"/>
                <w:highlight w:val="none"/>
              </w:rPr>
            </w:pPr>
            <w:r>
              <w:rPr>
                <w:rFonts w:ascii="宋体" w:hAnsi="宋体" w:eastAsia="宋体" w:cs="宋体"/>
                <w:b/>
                <w:bCs/>
                <w:color w:val="auto"/>
                <w:spacing w:val="-5"/>
                <w:sz w:val="32"/>
                <w:szCs w:val="32"/>
                <w:highlight w:val="none"/>
              </w:rPr>
              <w:t>第二轮报价</w:t>
            </w:r>
          </w:p>
        </w:tc>
      </w:tr>
      <w:tr w14:paraId="661C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27" w:type="dxa"/>
            <w:vAlign w:val="top"/>
          </w:tcPr>
          <w:p w14:paraId="0B6DF943">
            <w:pPr>
              <w:spacing w:before="156" w:line="219" w:lineRule="auto"/>
              <w:ind w:left="1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供应商名称（盖章</w:t>
            </w:r>
            <w:r>
              <w:rPr>
                <w:rFonts w:ascii="宋体" w:hAnsi="宋体" w:eastAsia="宋体" w:cs="宋体"/>
                <w:color w:val="auto"/>
                <w:spacing w:val="-2"/>
                <w:sz w:val="24"/>
                <w:szCs w:val="24"/>
                <w:highlight w:val="none"/>
              </w:rPr>
              <w:t>）：</w:t>
            </w:r>
          </w:p>
        </w:tc>
      </w:tr>
      <w:tr w14:paraId="50436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8527" w:type="dxa"/>
            <w:vAlign w:val="top"/>
          </w:tcPr>
          <w:p w14:paraId="0F3455B4">
            <w:pPr>
              <w:spacing w:before="285" w:line="230" w:lineRule="auto"/>
              <w:ind w:left="115" w:right="6549"/>
              <w:jc w:val="right"/>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最终报价：小写：</w:t>
            </w:r>
            <w:r>
              <w:rPr>
                <w:rFonts w:ascii="宋体" w:hAnsi="宋体" w:eastAsia="宋体" w:cs="宋体"/>
                <w:color w:val="auto"/>
                <w:spacing w:val="3"/>
                <w:sz w:val="24"/>
                <w:szCs w:val="24"/>
                <w:highlight w:val="none"/>
              </w:rPr>
              <w:t xml:space="preserve"> </w:t>
            </w:r>
            <w:r>
              <w:rPr>
                <w:rFonts w:ascii="宋体" w:hAnsi="宋体" w:eastAsia="宋体" w:cs="宋体"/>
                <w:color w:val="auto"/>
                <w:spacing w:val="-15"/>
                <w:sz w:val="24"/>
                <w:szCs w:val="24"/>
                <w:highlight w:val="none"/>
              </w:rPr>
              <w:t>大写：</w:t>
            </w:r>
          </w:p>
        </w:tc>
      </w:tr>
      <w:tr w14:paraId="3ADAB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4" w:hRule="atLeast"/>
        </w:trPr>
        <w:tc>
          <w:tcPr>
            <w:tcW w:w="8527" w:type="dxa"/>
            <w:vAlign w:val="top"/>
          </w:tcPr>
          <w:p w14:paraId="61FC32CA">
            <w:pPr>
              <w:pStyle w:val="14"/>
              <w:spacing w:line="260" w:lineRule="auto"/>
              <w:rPr>
                <w:color w:val="auto"/>
                <w:highlight w:val="none"/>
              </w:rPr>
            </w:pPr>
          </w:p>
          <w:p w14:paraId="1BDDC2EF">
            <w:pPr>
              <w:pStyle w:val="14"/>
              <w:spacing w:line="260" w:lineRule="auto"/>
              <w:rPr>
                <w:color w:val="auto"/>
                <w:highlight w:val="none"/>
              </w:rPr>
            </w:pPr>
          </w:p>
          <w:p w14:paraId="249C59A8">
            <w:pPr>
              <w:pStyle w:val="14"/>
              <w:spacing w:line="260" w:lineRule="auto"/>
              <w:rPr>
                <w:color w:val="auto"/>
                <w:highlight w:val="none"/>
              </w:rPr>
            </w:pPr>
          </w:p>
          <w:p w14:paraId="1422F18E">
            <w:pPr>
              <w:pStyle w:val="14"/>
              <w:spacing w:line="260" w:lineRule="auto"/>
              <w:rPr>
                <w:color w:val="auto"/>
                <w:highlight w:val="none"/>
              </w:rPr>
            </w:pPr>
          </w:p>
          <w:p w14:paraId="6B3A0C62">
            <w:pPr>
              <w:pStyle w:val="14"/>
              <w:spacing w:line="260" w:lineRule="auto"/>
              <w:rPr>
                <w:color w:val="auto"/>
                <w:highlight w:val="none"/>
              </w:rPr>
            </w:pPr>
          </w:p>
          <w:p w14:paraId="7D5993BA">
            <w:pPr>
              <w:pStyle w:val="14"/>
              <w:spacing w:line="261" w:lineRule="auto"/>
              <w:rPr>
                <w:color w:val="auto"/>
                <w:highlight w:val="none"/>
              </w:rPr>
            </w:pPr>
          </w:p>
          <w:p w14:paraId="0A76980E">
            <w:pPr>
              <w:pStyle w:val="14"/>
              <w:spacing w:line="261" w:lineRule="auto"/>
              <w:rPr>
                <w:color w:val="auto"/>
                <w:highlight w:val="none"/>
              </w:rPr>
            </w:pPr>
          </w:p>
          <w:p w14:paraId="7A4FD1EE">
            <w:pPr>
              <w:pStyle w:val="14"/>
              <w:spacing w:line="261" w:lineRule="auto"/>
              <w:rPr>
                <w:color w:val="auto"/>
                <w:highlight w:val="none"/>
              </w:rPr>
            </w:pPr>
          </w:p>
          <w:p w14:paraId="28239F43">
            <w:pPr>
              <w:spacing w:before="78" w:line="220" w:lineRule="auto"/>
              <w:ind w:left="112"/>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承诺：</w:t>
            </w:r>
          </w:p>
        </w:tc>
      </w:tr>
      <w:tr w14:paraId="7297E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8527" w:type="dxa"/>
            <w:vAlign w:val="top"/>
          </w:tcPr>
          <w:p w14:paraId="675726CC">
            <w:pPr>
              <w:pStyle w:val="14"/>
              <w:spacing w:line="368" w:lineRule="auto"/>
              <w:rPr>
                <w:color w:val="auto"/>
                <w:highlight w:val="none"/>
              </w:rPr>
            </w:pPr>
          </w:p>
          <w:p w14:paraId="1B7DE4D7">
            <w:pPr>
              <w:spacing w:before="78" w:line="220" w:lineRule="auto"/>
              <w:ind w:left="11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承诺人：</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年</w:t>
            </w:r>
            <w:r>
              <w:rPr>
                <w:rFonts w:ascii="宋体" w:hAnsi="宋体" w:eastAsia="宋体" w:cs="宋体"/>
                <w:color w:val="auto"/>
                <w:spacing w:val="8"/>
                <w:sz w:val="24"/>
                <w:szCs w:val="24"/>
                <w:highlight w:val="none"/>
              </w:rPr>
              <w:t xml:space="preserve">   </w:t>
            </w:r>
            <w:r>
              <w:rPr>
                <w:rFonts w:ascii="宋体" w:hAnsi="宋体" w:eastAsia="宋体" w:cs="宋体"/>
                <w:color w:val="auto"/>
                <w:spacing w:val="-5"/>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5"/>
                <w:sz w:val="24"/>
                <w:szCs w:val="24"/>
                <w:highlight w:val="none"/>
              </w:rPr>
              <w:t>日</w:t>
            </w:r>
          </w:p>
        </w:tc>
      </w:tr>
    </w:tbl>
    <w:p w14:paraId="4F0F9772">
      <w:pPr>
        <w:spacing w:line="251" w:lineRule="auto"/>
        <w:rPr>
          <w:rFonts w:ascii="Arial"/>
          <w:color w:val="auto"/>
          <w:sz w:val="21"/>
          <w:highlight w:val="none"/>
        </w:rPr>
      </w:pPr>
    </w:p>
    <w:p w14:paraId="3E028E16">
      <w:pPr>
        <w:spacing w:line="252" w:lineRule="auto"/>
        <w:rPr>
          <w:rFonts w:ascii="Arial"/>
          <w:color w:val="auto"/>
          <w:sz w:val="21"/>
          <w:highlight w:val="none"/>
        </w:rPr>
      </w:pPr>
    </w:p>
    <w:p w14:paraId="74669BC4">
      <w:pPr>
        <w:spacing w:line="252" w:lineRule="auto"/>
        <w:rPr>
          <w:rFonts w:ascii="Arial"/>
          <w:color w:val="auto"/>
          <w:sz w:val="21"/>
          <w:highlight w:val="none"/>
        </w:rPr>
      </w:pPr>
    </w:p>
    <w:p w14:paraId="7A310ED1">
      <w:pPr>
        <w:spacing w:line="252" w:lineRule="auto"/>
        <w:rPr>
          <w:rFonts w:ascii="Arial"/>
          <w:color w:val="auto"/>
          <w:sz w:val="21"/>
          <w:highlight w:val="none"/>
        </w:rPr>
      </w:pPr>
    </w:p>
    <w:p w14:paraId="36EC22FD">
      <w:pPr>
        <w:pStyle w:val="2"/>
        <w:spacing w:before="78" w:line="229" w:lineRule="auto"/>
        <w:ind w:left="123" w:right="114" w:hanging="1"/>
        <w:rPr>
          <w:color w:val="auto"/>
          <w:sz w:val="24"/>
          <w:szCs w:val="24"/>
          <w:highlight w:val="none"/>
        </w:rPr>
      </w:pPr>
      <w:r>
        <w:rPr>
          <w:b/>
          <w:bCs/>
          <w:color w:val="auto"/>
          <w:spacing w:val="2"/>
          <w:sz w:val="24"/>
          <w:szCs w:val="24"/>
          <w:highlight w:val="none"/>
        </w:rPr>
        <w:t>注：此表只用于磋商现场，请各供应商根据以</w:t>
      </w:r>
      <w:r>
        <w:rPr>
          <w:b/>
          <w:bCs/>
          <w:color w:val="auto"/>
          <w:spacing w:val="1"/>
          <w:sz w:val="24"/>
          <w:szCs w:val="24"/>
          <w:highlight w:val="none"/>
        </w:rPr>
        <w:t>上内容提前考虑，在二轮报价时</w:t>
      </w:r>
      <w:r>
        <w:rPr>
          <w:b/>
          <w:bCs/>
          <w:color w:val="auto"/>
          <w:spacing w:val="-4"/>
          <w:sz w:val="24"/>
          <w:szCs w:val="24"/>
          <w:highlight w:val="none"/>
        </w:rPr>
        <w:t>上传至政采云平台。</w:t>
      </w:r>
    </w:p>
    <w:p w14:paraId="71126DDA">
      <w:pPr>
        <w:spacing w:line="253" w:lineRule="auto"/>
        <w:rPr>
          <w:rFonts w:ascii="Arial"/>
          <w:color w:val="auto"/>
          <w:sz w:val="21"/>
          <w:highlight w:val="none"/>
        </w:rPr>
      </w:pPr>
    </w:p>
    <w:p w14:paraId="75349432">
      <w:pPr>
        <w:spacing w:line="253" w:lineRule="auto"/>
        <w:rPr>
          <w:rFonts w:ascii="Arial"/>
          <w:color w:val="auto"/>
          <w:sz w:val="21"/>
          <w:highlight w:val="none"/>
        </w:rPr>
      </w:pPr>
    </w:p>
    <w:p w14:paraId="2597E2EE">
      <w:pPr>
        <w:spacing w:line="253" w:lineRule="auto"/>
        <w:rPr>
          <w:rFonts w:ascii="Arial"/>
          <w:color w:val="auto"/>
          <w:sz w:val="21"/>
          <w:highlight w:val="none"/>
        </w:rPr>
      </w:pPr>
    </w:p>
    <w:p w14:paraId="6ED7CAEF">
      <w:pPr>
        <w:spacing w:line="253" w:lineRule="auto"/>
        <w:rPr>
          <w:rFonts w:ascii="Arial"/>
          <w:color w:val="auto"/>
          <w:sz w:val="21"/>
          <w:highlight w:val="none"/>
        </w:rPr>
      </w:pPr>
    </w:p>
    <w:p w14:paraId="6A1768B8">
      <w:pPr>
        <w:spacing w:line="253" w:lineRule="auto"/>
        <w:rPr>
          <w:rFonts w:ascii="Arial"/>
          <w:color w:val="auto"/>
          <w:sz w:val="21"/>
          <w:highlight w:val="none"/>
        </w:rPr>
      </w:pPr>
    </w:p>
    <w:p w14:paraId="2FF78244">
      <w:pPr>
        <w:spacing w:line="253" w:lineRule="auto"/>
        <w:rPr>
          <w:rFonts w:ascii="Arial"/>
          <w:color w:val="auto"/>
          <w:sz w:val="21"/>
          <w:highlight w:val="none"/>
        </w:rPr>
      </w:pPr>
    </w:p>
    <w:p w14:paraId="72015F64">
      <w:pPr>
        <w:spacing w:line="253" w:lineRule="auto"/>
        <w:rPr>
          <w:rFonts w:ascii="Arial"/>
          <w:color w:val="auto"/>
          <w:sz w:val="21"/>
          <w:highlight w:val="none"/>
        </w:rPr>
      </w:pPr>
    </w:p>
    <w:p w14:paraId="250AF7A2">
      <w:pPr>
        <w:spacing w:line="253" w:lineRule="auto"/>
        <w:rPr>
          <w:rFonts w:ascii="Arial"/>
          <w:color w:val="auto"/>
          <w:sz w:val="21"/>
          <w:highlight w:val="none"/>
        </w:rPr>
      </w:pPr>
    </w:p>
    <w:p w14:paraId="668E91D3">
      <w:pPr>
        <w:spacing w:line="253" w:lineRule="auto"/>
        <w:rPr>
          <w:rFonts w:ascii="Arial"/>
          <w:color w:val="auto"/>
          <w:sz w:val="21"/>
          <w:highlight w:val="none"/>
        </w:rPr>
      </w:pPr>
    </w:p>
    <w:p w14:paraId="5D421426">
      <w:pPr>
        <w:spacing w:line="253" w:lineRule="auto"/>
        <w:rPr>
          <w:rFonts w:ascii="Arial"/>
          <w:color w:val="auto"/>
          <w:sz w:val="21"/>
          <w:highlight w:val="none"/>
        </w:rPr>
      </w:pPr>
    </w:p>
    <w:p w14:paraId="29ECF90B">
      <w:pPr>
        <w:spacing w:line="253" w:lineRule="auto"/>
        <w:rPr>
          <w:rFonts w:ascii="Arial"/>
          <w:color w:val="auto"/>
          <w:sz w:val="21"/>
          <w:highlight w:val="none"/>
        </w:rPr>
      </w:pPr>
    </w:p>
    <w:p w14:paraId="42B48664">
      <w:pPr>
        <w:spacing w:line="253" w:lineRule="auto"/>
        <w:rPr>
          <w:rFonts w:ascii="Arial"/>
          <w:color w:val="auto"/>
          <w:sz w:val="21"/>
          <w:highlight w:val="none"/>
        </w:rPr>
      </w:pPr>
    </w:p>
    <w:p w14:paraId="384FC092">
      <w:pPr>
        <w:spacing w:line="253" w:lineRule="auto"/>
        <w:rPr>
          <w:rFonts w:ascii="Arial"/>
          <w:color w:val="auto"/>
          <w:sz w:val="21"/>
          <w:highlight w:val="none"/>
        </w:rPr>
      </w:pPr>
    </w:p>
    <w:p w14:paraId="75AF0B6F">
      <w:pPr>
        <w:spacing w:line="253" w:lineRule="auto"/>
        <w:rPr>
          <w:rFonts w:ascii="Arial"/>
          <w:color w:val="auto"/>
          <w:sz w:val="21"/>
          <w:highlight w:val="none"/>
        </w:rPr>
      </w:pPr>
    </w:p>
    <w:p w14:paraId="187DF216">
      <w:pPr>
        <w:spacing w:line="253" w:lineRule="auto"/>
        <w:rPr>
          <w:rFonts w:ascii="Arial"/>
          <w:color w:val="auto"/>
          <w:sz w:val="21"/>
          <w:highlight w:val="none"/>
        </w:rPr>
      </w:pPr>
    </w:p>
    <w:p w14:paraId="457A0737">
      <w:pPr>
        <w:spacing w:line="254" w:lineRule="auto"/>
        <w:rPr>
          <w:rFonts w:ascii="Arial"/>
          <w:color w:val="auto"/>
          <w:sz w:val="21"/>
          <w:highlight w:val="none"/>
        </w:rPr>
      </w:pPr>
    </w:p>
    <w:p w14:paraId="197A725E">
      <w:pPr>
        <w:spacing w:line="253" w:lineRule="auto"/>
        <w:rPr>
          <w:rFonts w:ascii="Arial"/>
          <w:color w:val="auto"/>
          <w:sz w:val="21"/>
          <w:highlight w:val="none"/>
        </w:rPr>
      </w:pPr>
    </w:p>
    <w:p w14:paraId="2FEA3210">
      <w:pPr>
        <w:spacing w:line="253" w:lineRule="auto"/>
        <w:rPr>
          <w:rFonts w:ascii="Arial"/>
          <w:color w:val="auto"/>
          <w:sz w:val="21"/>
          <w:highlight w:val="none"/>
        </w:rPr>
      </w:pPr>
    </w:p>
    <w:p w14:paraId="62A9C35A">
      <w:pPr>
        <w:pStyle w:val="2"/>
        <w:spacing w:before="143" w:line="220" w:lineRule="auto"/>
        <w:ind w:left="2986"/>
        <w:outlineLvl w:val="1"/>
        <w:rPr>
          <w:color w:val="auto"/>
          <w:sz w:val="44"/>
          <w:szCs w:val="44"/>
          <w:highlight w:val="none"/>
        </w:rPr>
      </w:pPr>
      <w:r>
        <w:rPr>
          <w:b/>
          <w:bCs/>
          <w:color w:val="auto"/>
          <w:spacing w:val="-21"/>
          <w:sz w:val="44"/>
          <w:szCs w:val="44"/>
          <w:highlight w:val="none"/>
        </w:rPr>
        <w:t>磋</w:t>
      </w:r>
      <w:r>
        <w:rPr>
          <w:color w:val="auto"/>
          <w:spacing w:val="31"/>
          <w:sz w:val="44"/>
          <w:szCs w:val="44"/>
          <w:highlight w:val="none"/>
        </w:rPr>
        <w:t xml:space="preserve"> </w:t>
      </w:r>
      <w:r>
        <w:rPr>
          <w:b/>
          <w:bCs/>
          <w:color w:val="auto"/>
          <w:spacing w:val="-21"/>
          <w:sz w:val="44"/>
          <w:szCs w:val="44"/>
          <w:highlight w:val="none"/>
        </w:rPr>
        <w:t>商</w:t>
      </w:r>
      <w:r>
        <w:rPr>
          <w:color w:val="auto"/>
          <w:spacing w:val="25"/>
          <w:sz w:val="44"/>
          <w:szCs w:val="44"/>
          <w:highlight w:val="none"/>
        </w:rPr>
        <w:t xml:space="preserve"> </w:t>
      </w:r>
      <w:r>
        <w:rPr>
          <w:b/>
          <w:bCs/>
          <w:color w:val="auto"/>
          <w:spacing w:val="-21"/>
          <w:sz w:val="44"/>
          <w:szCs w:val="44"/>
          <w:highlight w:val="none"/>
        </w:rPr>
        <w:t>文</w:t>
      </w:r>
      <w:r>
        <w:rPr>
          <w:color w:val="auto"/>
          <w:spacing w:val="18"/>
          <w:sz w:val="44"/>
          <w:szCs w:val="44"/>
          <w:highlight w:val="none"/>
        </w:rPr>
        <w:t xml:space="preserve"> </w:t>
      </w:r>
      <w:r>
        <w:rPr>
          <w:b/>
          <w:bCs/>
          <w:color w:val="auto"/>
          <w:spacing w:val="-21"/>
          <w:sz w:val="44"/>
          <w:szCs w:val="44"/>
          <w:highlight w:val="none"/>
        </w:rPr>
        <w:t>件</w:t>
      </w:r>
    </w:p>
    <w:p w14:paraId="3A3987A2">
      <w:pPr>
        <w:spacing w:line="427" w:lineRule="auto"/>
        <w:rPr>
          <w:rFonts w:ascii="Arial"/>
          <w:color w:val="auto"/>
          <w:sz w:val="21"/>
          <w:highlight w:val="none"/>
        </w:rPr>
      </w:pPr>
    </w:p>
    <w:p w14:paraId="57D68DF4">
      <w:pPr>
        <w:pStyle w:val="2"/>
        <w:spacing w:before="130" w:line="218" w:lineRule="auto"/>
        <w:ind w:left="1037"/>
        <w:rPr>
          <w:rFonts w:hint="eastAsia" w:eastAsia="宋体"/>
          <w:color w:val="auto"/>
          <w:sz w:val="40"/>
          <w:szCs w:val="40"/>
          <w:highlight w:val="none"/>
          <w:lang w:eastAsia="zh-CN"/>
        </w:rPr>
      </w:pPr>
      <w:r>
        <w:rPr>
          <w:b/>
          <w:bCs/>
          <w:color w:val="auto"/>
          <w:spacing w:val="-4"/>
          <w:sz w:val="40"/>
          <w:szCs w:val="40"/>
          <w:highlight w:val="none"/>
        </w:rPr>
        <w:t>项目编号：</w:t>
      </w:r>
      <w:r>
        <w:rPr>
          <w:rFonts w:hint="eastAsia"/>
          <w:b/>
          <w:bCs/>
          <w:color w:val="auto"/>
          <w:spacing w:val="-4"/>
          <w:sz w:val="40"/>
          <w:szCs w:val="40"/>
          <w:highlight w:val="none"/>
          <w:lang w:eastAsia="zh-CN"/>
        </w:rPr>
        <w:t>XJBT-MGTX(CS)2025-08 号</w:t>
      </w:r>
    </w:p>
    <w:p w14:paraId="0FEB07A8">
      <w:pPr>
        <w:spacing w:line="302" w:lineRule="auto"/>
        <w:rPr>
          <w:rFonts w:ascii="Arial"/>
          <w:color w:val="auto"/>
          <w:sz w:val="21"/>
          <w:highlight w:val="none"/>
        </w:rPr>
      </w:pPr>
    </w:p>
    <w:p w14:paraId="4AD4447D">
      <w:pPr>
        <w:spacing w:line="302" w:lineRule="auto"/>
        <w:rPr>
          <w:rFonts w:ascii="Arial"/>
          <w:color w:val="auto"/>
          <w:sz w:val="21"/>
          <w:highlight w:val="none"/>
        </w:rPr>
      </w:pPr>
    </w:p>
    <w:p w14:paraId="2318B7E0">
      <w:pPr>
        <w:pStyle w:val="2"/>
        <w:spacing w:before="143" w:line="220" w:lineRule="auto"/>
        <w:ind w:left="3319"/>
        <w:outlineLvl w:val="1"/>
        <w:rPr>
          <w:color w:val="auto"/>
          <w:sz w:val="44"/>
          <w:szCs w:val="44"/>
          <w:highlight w:val="none"/>
        </w:rPr>
      </w:pPr>
      <w:r>
        <w:rPr>
          <w:b/>
          <w:bCs/>
          <w:color w:val="auto"/>
          <w:spacing w:val="-19"/>
          <w:sz w:val="44"/>
          <w:szCs w:val="44"/>
          <w:highlight w:val="none"/>
        </w:rPr>
        <w:t>第</w:t>
      </w:r>
      <w:r>
        <w:rPr>
          <w:color w:val="auto"/>
          <w:spacing w:val="28"/>
          <w:sz w:val="44"/>
          <w:szCs w:val="44"/>
          <w:highlight w:val="none"/>
        </w:rPr>
        <w:t xml:space="preserve"> </w:t>
      </w:r>
      <w:r>
        <w:rPr>
          <w:b/>
          <w:bCs/>
          <w:color w:val="auto"/>
          <w:spacing w:val="-19"/>
          <w:sz w:val="44"/>
          <w:szCs w:val="44"/>
          <w:highlight w:val="none"/>
        </w:rPr>
        <w:t>二</w:t>
      </w:r>
      <w:r>
        <w:rPr>
          <w:color w:val="auto"/>
          <w:spacing w:val="21"/>
          <w:sz w:val="44"/>
          <w:szCs w:val="44"/>
          <w:highlight w:val="none"/>
        </w:rPr>
        <w:t xml:space="preserve"> </w:t>
      </w:r>
      <w:r>
        <w:rPr>
          <w:b/>
          <w:bCs/>
          <w:color w:val="auto"/>
          <w:spacing w:val="-19"/>
          <w:sz w:val="44"/>
          <w:szCs w:val="44"/>
          <w:highlight w:val="none"/>
        </w:rPr>
        <w:t>册</w:t>
      </w:r>
    </w:p>
    <w:p w14:paraId="6014135D">
      <w:pPr>
        <w:rPr>
          <w:rFonts w:ascii="Arial"/>
          <w:color w:val="auto"/>
          <w:sz w:val="21"/>
          <w:highlight w:val="none"/>
        </w:rPr>
      </w:pPr>
    </w:p>
    <w:p w14:paraId="5CF2B7A7">
      <w:pPr>
        <w:rPr>
          <w:rFonts w:ascii="Arial"/>
          <w:color w:val="auto"/>
          <w:sz w:val="21"/>
          <w:highlight w:val="none"/>
        </w:rPr>
      </w:pPr>
    </w:p>
    <w:p w14:paraId="0E72BF95">
      <w:pPr>
        <w:rPr>
          <w:rFonts w:ascii="Arial"/>
          <w:color w:val="auto"/>
          <w:sz w:val="21"/>
          <w:highlight w:val="none"/>
        </w:rPr>
      </w:pPr>
    </w:p>
    <w:p w14:paraId="2A38E9EC">
      <w:pPr>
        <w:rPr>
          <w:rFonts w:ascii="Arial"/>
          <w:color w:val="auto"/>
          <w:sz w:val="21"/>
          <w:highlight w:val="none"/>
        </w:rPr>
      </w:pPr>
    </w:p>
    <w:p w14:paraId="761EAC84">
      <w:pPr>
        <w:rPr>
          <w:rFonts w:ascii="Arial"/>
          <w:color w:val="auto"/>
          <w:sz w:val="21"/>
          <w:highlight w:val="none"/>
        </w:rPr>
      </w:pPr>
    </w:p>
    <w:p w14:paraId="30D96FEF">
      <w:pPr>
        <w:rPr>
          <w:rFonts w:ascii="Arial"/>
          <w:color w:val="auto"/>
          <w:sz w:val="21"/>
          <w:highlight w:val="none"/>
        </w:rPr>
      </w:pPr>
    </w:p>
    <w:p w14:paraId="21540DFD">
      <w:pPr>
        <w:rPr>
          <w:rFonts w:ascii="Arial"/>
          <w:color w:val="auto"/>
          <w:sz w:val="21"/>
          <w:highlight w:val="none"/>
        </w:rPr>
      </w:pPr>
    </w:p>
    <w:p w14:paraId="0C871820">
      <w:pPr>
        <w:rPr>
          <w:rFonts w:ascii="Arial"/>
          <w:color w:val="auto"/>
          <w:sz w:val="21"/>
          <w:highlight w:val="none"/>
        </w:rPr>
      </w:pPr>
    </w:p>
    <w:p w14:paraId="6B4D095E">
      <w:pPr>
        <w:rPr>
          <w:rFonts w:ascii="Arial"/>
          <w:color w:val="auto"/>
          <w:sz w:val="21"/>
          <w:highlight w:val="none"/>
        </w:rPr>
      </w:pPr>
    </w:p>
    <w:p w14:paraId="3DA8924C">
      <w:pPr>
        <w:rPr>
          <w:rFonts w:ascii="Arial"/>
          <w:color w:val="auto"/>
          <w:sz w:val="21"/>
          <w:highlight w:val="none"/>
        </w:rPr>
      </w:pPr>
    </w:p>
    <w:p w14:paraId="020F2CB7">
      <w:pPr>
        <w:rPr>
          <w:rFonts w:ascii="Arial"/>
          <w:color w:val="auto"/>
          <w:sz w:val="21"/>
          <w:highlight w:val="none"/>
        </w:rPr>
      </w:pPr>
    </w:p>
    <w:p w14:paraId="5558FD2D">
      <w:pPr>
        <w:rPr>
          <w:rFonts w:ascii="Arial"/>
          <w:color w:val="auto"/>
          <w:sz w:val="21"/>
          <w:highlight w:val="none"/>
        </w:rPr>
      </w:pPr>
    </w:p>
    <w:p w14:paraId="3B0A5469">
      <w:pPr>
        <w:rPr>
          <w:rFonts w:ascii="Arial"/>
          <w:color w:val="auto"/>
          <w:sz w:val="21"/>
          <w:highlight w:val="none"/>
        </w:rPr>
      </w:pPr>
    </w:p>
    <w:p w14:paraId="1EFA82EA">
      <w:pPr>
        <w:spacing w:line="241" w:lineRule="auto"/>
        <w:rPr>
          <w:rFonts w:ascii="Arial"/>
          <w:color w:val="auto"/>
          <w:sz w:val="21"/>
          <w:highlight w:val="none"/>
        </w:rPr>
      </w:pPr>
    </w:p>
    <w:p w14:paraId="324EBB43">
      <w:pPr>
        <w:spacing w:line="241" w:lineRule="auto"/>
        <w:rPr>
          <w:rFonts w:ascii="Arial"/>
          <w:color w:val="auto"/>
          <w:sz w:val="21"/>
          <w:highlight w:val="none"/>
        </w:rPr>
      </w:pPr>
    </w:p>
    <w:p w14:paraId="65337022">
      <w:pPr>
        <w:spacing w:line="241" w:lineRule="auto"/>
        <w:rPr>
          <w:rFonts w:ascii="Arial"/>
          <w:color w:val="auto"/>
          <w:sz w:val="21"/>
          <w:highlight w:val="none"/>
        </w:rPr>
      </w:pPr>
    </w:p>
    <w:p w14:paraId="3A03B704">
      <w:pPr>
        <w:spacing w:line="241" w:lineRule="auto"/>
        <w:rPr>
          <w:rFonts w:ascii="Arial"/>
          <w:color w:val="auto"/>
          <w:sz w:val="21"/>
          <w:highlight w:val="none"/>
        </w:rPr>
      </w:pPr>
    </w:p>
    <w:p w14:paraId="77C35C1F">
      <w:pPr>
        <w:spacing w:line="241" w:lineRule="auto"/>
        <w:rPr>
          <w:rFonts w:ascii="Arial"/>
          <w:color w:val="auto"/>
          <w:sz w:val="21"/>
          <w:highlight w:val="none"/>
        </w:rPr>
      </w:pPr>
    </w:p>
    <w:p w14:paraId="71BA71C6">
      <w:pPr>
        <w:spacing w:line="241" w:lineRule="auto"/>
        <w:rPr>
          <w:rFonts w:ascii="Arial"/>
          <w:color w:val="auto"/>
          <w:sz w:val="21"/>
          <w:highlight w:val="none"/>
        </w:rPr>
      </w:pPr>
    </w:p>
    <w:p w14:paraId="039CA9DB">
      <w:pPr>
        <w:spacing w:line="241" w:lineRule="auto"/>
        <w:rPr>
          <w:rFonts w:ascii="Arial"/>
          <w:color w:val="auto"/>
          <w:sz w:val="21"/>
          <w:highlight w:val="none"/>
        </w:rPr>
      </w:pPr>
    </w:p>
    <w:p w14:paraId="3EE5BA23">
      <w:pPr>
        <w:spacing w:line="241" w:lineRule="auto"/>
        <w:rPr>
          <w:rFonts w:ascii="Arial"/>
          <w:color w:val="auto"/>
          <w:sz w:val="21"/>
          <w:highlight w:val="none"/>
        </w:rPr>
      </w:pPr>
    </w:p>
    <w:p w14:paraId="1175BCB7">
      <w:pPr>
        <w:spacing w:line="241" w:lineRule="auto"/>
        <w:rPr>
          <w:rFonts w:ascii="Arial"/>
          <w:color w:val="auto"/>
          <w:sz w:val="21"/>
          <w:highlight w:val="none"/>
        </w:rPr>
      </w:pPr>
    </w:p>
    <w:p w14:paraId="1027DFEB">
      <w:pPr>
        <w:spacing w:line="241" w:lineRule="auto"/>
        <w:rPr>
          <w:rFonts w:ascii="Arial"/>
          <w:color w:val="auto"/>
          <w:sz w:val="21"/>
          <w:highlight w:val="none"/>
        </w:rPr>
      </w:pPr>
    </w:p>
    <w:p w14:paraId="38724594">
      <w:pPr>
        <w:spacing w:line="241" w:lineRule="auto"/>
        <w:rPr>
          <w:rFonts w:ascii="Arial"/>
          <w:color w:val="auto"/>
          <w:sz w:val="21"/>
          <w:highlight w:val="none"/>
        </w:rPr>
      </w:pPr>
    </w:p>
    <w:p w14:paraId="6D0F163A">
      <w:pPr>
        <w:spacing w:line="2400" w:lineRule="exact"/>
        <w:ind w:firstLine="4631"/>
        <w:rPr>
          <w:color w:val="auto"/>
          <w:highlight w:val="none"/>
        </w:rPr>
      </w:pPr>
    </w:p>
    <w:p w14:paraId="7DDD0DF1">
      <w:pPr>
        <w:spacing w:line="2400" w:lineRule="exact"/>
        <w:rPr>
          <w:color w:val="auto"/>
          <w:highlight w:val="none"/>
        </w:rPr>
        <w:sectPr>
          <w:headerReference r:id="rId28" w:type="default"/>
          <w:footerReference r:id="rId29" w:type="default"/>
          <w:pgSz w:w="11906" w:h="16839"/>
          <w:pgMar w:top="1134" w:right="1767" w:bottom="1162" w:left="1768" w:header="870" w:footer="985" w:gutter="0"/>
          <w:pgNumType w:fmt="decimal"/>
          <w:cols w:space="720" w:num="1"/>
        </w:sectPr>
      </w:pPr>
    </w:p>
    <w:p w14:paraId="1F8DAF58">
      <w:pPr>
        <w:spacing w:line="418" w:lineRule="auto"/>
        <w:rPr>
          <w:rFonts w:ascii="Arial"/>
          <w:color w:val="auto"/>
          <w:sz w:val="21"/>
          <w:highlight w:val="none"/>
        </w:rPr>
      </w:pPr>
    </w:p>
    <w:p w14:paraId="528123CB">
      <w:pPr>
        <w:pStyle w:val="2"/>
        <w:spacing w:before="104" w:line="219" w:lineRule="auto"/>
        <w:ind w:left="3056"/>
        <w:outlineLvl w:val="1"/>
        <w:rPr>
          <w:b/>
          <w:bCs/>
          <w:color w:val="auto"/>
          <w:spacing w:val="-4"/>
          <w:sz w:val="32"/>
          <w:szCs w:val="32"/>
          <w:highlight w:val="none"/>
        </w:rPr>
      </w:pPr>
    </w:p>
    <w:p w14:paraId="0C6609EE">
      <w:pPr>
        <w:pStyle w:val="2"/>
        <w:spacing w:before="104" w:line="219" w:lineRule="auto"/>
        <w:ind w:left="3056" w:firstLine="313" w:firstLineChars="100"/>
        <w:jc w:val="both"/>
        <w:outlineLvl w:val="1"/>
        <w:rPr>
          <w:color w:val="auto"/>
          <w:sz w:val="32"/>
          <w:szCs w:val="32"/>
          <w:highlight w:val="none"/>
        </w:rPr>
      </w:pPr>
      <w:r>
        <w:rPr>
          <w:b/>
          <w:bCs/>
          <w:color w:val="auto"/>
          <w:spacing w:val="-4"/>
          <w:sz w:val="32"/>
          <w:szCs w:val="32"/>
          <w:highlight w:val="none"/>
        </w:rPr>
        <w:t>第3章</w:t>
      </w:r>
      <w:r>
        <w:rPr>
          <w:color w:val="auto"/>
          <w:spacing w:val="-4"/>
          <w:sz w:val="32"/>
          <w:szCs w:val="32"/>
          <w:highlight w:val="none"/>
        </w:rPr>
        <w:t xml:space="preserve"> </w:t>
      </w:r>
      <w:r>
        <w:rPr>
          <w:b/>
          <w:bCs/>
          <w:color w:val="auto"/>
          <w:spacing w:val="-4"/>
          <w:sz w:val="32"/>
          <w:szCs w:val="32"/>
          <w:highlight w:val="none"/>
        </w:rPr>
        <w:t>磋商邀请</w:t>
      </w:r>
    </w:p>
    <w:p w14:paraId="32CBDEB5">
      <w:pPr>
        <w:spacing w:before="358" w:line="183" w:lineRule="auto"/>
        <w:ind w:left="1173"/>
        <w:jc w:val="both"/>
        <w:outlineLvl w:val="1"/>
        <w:rPr>
          <w:rFonts w:ascii="微软雅黑" w:hAnsi="微软雅黑" w:eastAsia="微软雅黑" w:cs="微软雅黑"/>
          <w:b/>
          <w:bCs/>
          <w:color w:val="auto"/>
          <w:spacing w:val="-1"/>
          <w:sz w:val="30"/>
          <w:szCs w:val="30"/>
          <w:highlight w:val="none"/>
        </w:rPr>
      </w:pPr>
      <w:r>
        <w:rPr>
          <w:rFonts w:hint="eastAsia" w:ascii="微软雅黑" w:hAnsi="微软雅黑" w:eastAsia="微软雅黑" w:cs="微软雅黑"/>
          <w:b/>
          <w:bCs/>
          <w:color w:val="auto"/>
          <w:spacing w:val="-1"/>
          <w:sz w:val="30"/>
          <w:szCs w:val="30"/>
          <w:highlight w:val="none"/>
          <w:lang w:eastAsia="zh-CN"/>
        </w:rPr>
        <w:t>麦盖提县专业人才合作项目（二次）</w:t>
      </w:r>
      <w:r>
        <w:rPr>
          <w:rFonts w:ascii="微软雅黑" w:hAnsi="微软雅黑" w:eastAsia="微软雅黑" w:cs="微软雅黑"/>
          <w:b/>
          <w:bCs/>
          <w:color w:val="auto"/>
          <w:spacing w:val="-1"/>
          <w:sz w:val="30"/>
          <w:szCs w:val="30"/>
          <w:highlight w:val="none"/>
        </w:rPr>
        <w:t>竞争性磋商公告</w:t>
      </w:r>
    </w:p>
    <w:tbl>
      <w:tblPr>
        <w:tblStyle w:val="9"/>
        <w:tblpPr w:leftFromText="180" w:rightFromText="180" w:vertAnchor="text" w:horzAnchor="page" w:tblpX="1977" w:tblpY="3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4"/>
      </w:tblGrid>
      <w:tr w14:paraId="697D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4" w:type="dxa"/>
          </w:tcPr>
          <w:p w14:paraId="4AA04142">
            <w:pPr>
              <w:pStyle w:val="7"/>
              <w:keepNext w:val="0"/>
              <w:keepLines w:val="0"/>
              <w:widowControl/>
              <w:suppressLineNumbers w:val="0"/>
              <w:wordWrap w:val="0"/>
              <w:spacing w:before="75" w:beforeAutospacing="0" w:after="75" w:afterAutospacing="0"/>
              <w:ind w:left="0" w:right="0" w:firstLine="0"/>
              <w:jc w:val="left"/>
              <w:rPr>
                <w:rFonts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项目概况</w:t>
            </w:r>
          </w:p>
          <w:p w14:paraId="134F4EC6">
            <w:pPr>
              <w:pStyle w:val="7"/>
              <w:keepNext w:val="0"/>
              <w:keepLines w:val="0"/>
              <w:widowControl/>
              <w:suppressLineNumbers w:val="0"/>
              <w:wordWrap w:val="0"/>
              <w:spacing w:before="75" w:beforeAutospacing="0" w:after="75" w:afterAutospacing="0"/>
              <w:ind w:right="0" w:firstLine="540" w:firstLineChars="200"/>
              <w:jc w:val="left"/>
              <w:rPr>
                <w:rFonts w:hint="eastAsia" w:ascii="仿宋" w:hAnsi="仿宋" w:eastAsia="仿宋" w:cs="仿宋"/>
                <w:i w:val="0"/>
                <w:iCs w:val="0"/>
                <w:caps w:val="0"/>
                <w:color w:val="auto"/>
                <w:spacing w:val="0"/>
                <w:sz w:val="27"/>
                <w:szCs w:val="27"/>
                <w:highlight w:val="none"/>
                <w:vertAlign w:val="baseline"/>
              </w:rPr>
            </w:pPr>
            <w:r>
              <w:rPr>
                <w:rFonts w:hint="eastAsia" w:ascii="仿宋" w:hAnsi="仿宋" w:eastAsia="仿宋" w:cs="仿宋"/>
                <w:i w:val="0"/>
                <w:iCs w:val="0"/>
                <w:caps w:val="0"/>
                <w:color w:val="auto"/>
                <w:spacing w:val="0"/>
                <w:sz w:val="27"/>
                <w:szCs w:val="27"/>
                <w:highlight w:val="none"/>
                <w:lang w:eastAsia="zh-CN"/>
              </w:rPr>
              <w:t>麦盖提县专业人才合作项目（二次）</w:t>
            </w:r>
            <w:r>
              <w:rPr>
                <w:rFonts w:hint="eastAsia" w:ascii="仿宋" w:hAnsi="仿宋" w:eastAsia="仿宋" w:cs="仿宋"/>
                <w:i w:val="0"/>
                <w:iCs w:val="0"/>
                <w:caps w:val="0"/>
                <w:color w:val="auto"/>
                <w:spacing w:val="0"/>
                <w:sz w:val="27"/>
                <w:szCs w:val="27"/>
                <w:highlight w:val="none"/>
              </w:rPr>
              <w:t>的潜在投标人应在政采云平台线上获取招标文件，并于2025年</w:t>
            </w:r>
            <w:r>
              <w:rPr>
                <w:rFonts w:hint="eastAsia" w:ascii="仿宋" w:hAnsi="仿宋" w:eastAsia="仿宋" w:cs="仿宋"/>
                <w:i w:val="0"/>
                <w:iCs w:val="0"/>
                <w:caps w:val="0"/>
                <w:color w:val="auto"/>
                <w:spacing w:val="0"/>
                <w:sz w:val="27"/>
                <w:szCs w:val="27"/>
                <w:highlight w:val="none"/>
                <w:lang w:val="en-US" w:eastAsia="zh-CN"/>
              </w:rPr>
              <w:t>07</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08</w:t>
            </w:r>
            <w:r>
              <w:rPr>
                <w:rFonts w:hint="eastAsia" w:ascii="仿宋" w:hAnsi="仿宋" w:eastAsia="仿宋" w:cs="仿宋"/>
                <w:i w:val="0"/>
                <w:iCs w:val="0"/>
                <w:caps w:val="0"/>
                <w:color w:val="auto"/>
                <w:spacing w:val="0"/>
                <w:sz w:val="27"/>
                <w:szCs w:val="27"/>
                <w:highlight w:val="none"/>
              </w:rPr>
              <w:t>日</w:t>
            </w:r>
            <w:r>
              <w:rPr>
                <w:rFonts w:hint="eastAsia" w:ascii="仿宋" w:hAnsi="仿宋" w:eastAsia="仿宋" w:cs="仿宋"/>
                <w:i w:val="0"/>
                <w:iCs w:val="0"/>
                <w:caps w:val="0"/>
                <w:color w:val="auto"/>
                <w:spacing w:val="0"/>
                <w:sz w:val="27"/>
                <w:szCs w:val="27"/>
                <w:highlight w:val="none"/>
                <w:lang w:val="en-US" w:eastAsia="zh-CN"/>
              </w:rPr>
              <w:t>16：00</w:t>
            </w:r>
            <w:r>
              <w:rPr>
                <w:rFonts w:hint="eastAsia" w:ascii="仿宋" w:hAnsi="仿宋" w:eastAsia="仿宋" w:cs="仿宋"/>
                <w:i w:val="0"/>
                <w:iCs w:val="0"/>
                <w:caps w:val="0"/>
                <w:color w:val="auto"/>
                <w:spacing w:val="0"/>
                <w:sz w:val="27"/>
                <w:szCs w:val="27"/>
                <w:highlight w:val="none"/>
              </w:rPr>
              <w:t>（北京时间）前递交投标文件。</w:t>
            </w:r>
          </w:p>
        </w:tc>
      </w:tr>
    </w:tbl>
    <w:p w14:paraId="3D56D45A">
      <w:pPr>
        <w:pStyle w:val="2"/>
      </w:pPr>
    </w:p>
    <w:p w14:paraId="7F6DBE37">
      <w:pPr>
        <w:spacing w:before="3" w:line="183" w:lineRule="auto"/>
        <w:ind w:left="51"/>
        <w:jc w:val="center"/>
        <w:rPr>
          <w:rStyle w:val="11"/>
          <w:rFonts w:ascii="黑体" w:hAnsi="宋体" w:eastAsia="黑体" w:cs="黑体"/>
          <w:i w:val="0"/>
          <w:iCs w:val="0"/>
          <w:caps w:val="0"/>
          <w:color w:val="auto"/>
          <w:spacing w:val="0"/>
          <w:sz w:val="27"/>
          <w:szCs w:val="27"/>
          <w:highlight w:val="none"/>
        </w:rPr>
      </w:pPr>
    </w:p>
    <w:p w14:paraId="20B9DC75">
      <w:pPr>
        <w:spacing w:before="3" w:line="183" w:lineRule="auto"/>
        <w:ind w:left="51"/>
        <w:rPr>
          <w:rFonts w:ascii="微软雅黑" w:hAnsi="微软雅黑" w:eastAsia="微软雅黑" w:cs="微软雅黑"/>
          <w:b/>
          <w:bCs/>
          <w:color w:val="auto"/>
          <w:spacing w:val="-1"/>
          <w:sz w:val="28"/>
          <w:szCs w:val="28"/>
          <w:highlight w:val="none"/>
        </w:rPr>
      </w:pPr>
    </w:p>
    <w:p w14:paraId="0F4F75C6">
      <w:pPr>
        <w:spacing w:before="3" w:line="183" w:lineRule="auto"/>
        <w:ind w:left="51"/>
        <w:rPr>
          <w:rFonts w:ascii="微软雅黑" w:hAnsi="微软雅黑" w:eastAsia="微软雅黑" w:cs="微软雅黑"/>
          <w:b/>
          <w:bCs/>
          <w:color w:val="auto"/>
          <w:spacing w:val="-1"/>
          <w:sz w:val="28"/>
          <w:szCs w:val="28"/>
          <w:highlight w:val="none"/>
        </w:rPr>
      </w:pPr>
    </w:p>
    <w:p w14:paraId="6DC82862">
      <w:pPr>
        <w:spacing w:before="3" w:line="183" w:lineRule="auto"/>
        <w:ind w:left="51"/>
        <w:rPr>
          <w:rFonts w:ascii="微软雅黑" w:hAnsi="微软雅黑" w:eastAsia="微软雅黑" w:cs="微软雅黑"/>
          <w:b/>
          <w:bCs/>
          <w:color w:val="auto"/>
          <w:spacing w:val="-1"/>
          <w:sz w:val="28"/>
          <w:szCs w:val="28"/>
          <w:highlight w:val="none"/>
        </w:rPr>
      </w:pPr>
    </w:p>
    <w:p w14:paraId="3C78DB55">
      <w:pPr>
        <w:spacing w:before="3" w:line="183" w:lineRule="auto"/>
        <w:ind w:left="51"/>
        <w:rPr>
          <w:rFonts w:ascii="微软雅黑" w:hAnsi="微软雅黑" w:eastAsia="微软雅黑" w:cs="微软雅黑"/>
          <w:b/>
          <w:bCs/>
          <w:color w:val="auto"/>
          <w:spacing w:val="-1"/>
          <w:sz w:val="28"/>
          <w:szCs w:val="28"/>
          <w:highlight w:val="none"/>
        </w:rPr>
      </w:pPr>
    </w:p>
    <w:p w14:paraId="7331343C">
      <w:pPr>
        <w:spacing w:before="3" w:line="183" w:lineRule="auto"/>
        <w:ind w:left="51"/>
        <w:rPr>
          <w:rFonts w:ascii="微软雅黑" w:hAnsi="微软雅黑" w:eastAsia="微软雅黑" w:cs="微软雅黑"/>
          <w:b/>
          <w:bCs/>
          <w:color w:val="auto"/>
          <w:spacing w:val="-1"/>
          <w:sz w:val="28"/>
          <w:szCs w:val="28"/>
          <w:highlight w:val="none"/>
        </w:rPr>
      </w:pPr>
    </w:p>
    <w:p w14:paraId="3FA3F777">
      <w:pPr>
        <w:spacing w:before="3" w:line="183" w:lineRule="auto"/>
        <w:ind w:left="357" w:leftChars="170" w:firstLine="58" w:firstLineChars="21"/>
        <w:rPr>
          <w:rFonts w:ascii="微软雅黑" w:hAnsi="微软雅黑" w:eastAsia="微软雅黑" w:cs="微软雅黑"/>
          <w:b/>
          <w:bCs/>
          <w:color w:val="auto"/>
          <w:spacing w:val="-1"/>
          <w:sz w:val="28"/>
          <w:szCs w:val="28"/>
          <w:highlight w:val="none"/>
        </w:rPr>
      </w:pPr>
      <w:r>
        <w:rPr>
          <w:rFonts w:ascii="微软雅黑" w:hAnsi="微软雅黑" w:eastAsia="微软雅黑" w:cs="微软雅黑"/>
          <w:b/>
          <w:bCs/>
          <w:color w:val="auto"/>
          <w:spacing w:val="-1"/>
          <w:sz w:val="28"/>
          <w:szCs w:val="28"/>
          <w:highlight w:val="none"/>
        </w:rPr>
        <w:t>一、项目基本情况</w:t>
      </w:r>
    </w:p>
    <w:p w14:paraId="58A51675">
      <w:pPr>
        <w:spacing w:before="3" w:line="183" w:lineRule="auto"/>
        <w:ind w:left="51"/>
        <w:rPr>
          <w:rFonts w:hint="eastAsia" w:ascii="微软雅黑" w:hAnsi="微软雅黑" w:eastAsia="微软雅黑" w:cs="微软雅黑"/>
          <w:color w:val="auto"/>
          <w:spacing w:val="-1"/>
          <w:sz w:val="24"/>
          <w:szCs w:val="24"/>
          <w:highlight w:val="none"/>
          <w:lang w:eastAsia="zh-CN"/>
        </w:rPr>
      </w:pPr>
      <w:r>
        <w:rPr>
          <w:rFonts w:hint="eastAsia" w:ascii="微软雅黑" w:hAnsi="微软雅黑" w:eastAsia="微软雅黑" w:cs="微软雅黑"/>
          <w:color w:val="auto"/>
          <w:spacing w:val="-1"/>
          <w:sz w:val="24"/>
          <w:szCs w:val="24"/>
          <w:highlight w:val="none"/>
          <w:lang w:eastAsia="zh-CN"/>
        </w:rPr>
        <w:t>招标编号：</w:t>
      </w:r>
      <w:r>
        <w:rPr>
          <w:rFonts w:hint="eastAsia" w:ascii="微软雅黑" w:hAnsi="微软雅黑" w:eastAsia="微软雅黑" w:cs="微软雅黑"/>
          <w:color w:val="auto"/>
          <w:spacing w:val="-1"/>
          <w:sz w:val="24"/>
          <w:szCs w:val="24"/>
          <w:highlight w:val="none"/>
          <w:lang w:val="en-US" w:eastAsia="zh-CN"/>
        </w:rPr>
        <w:t>XJBT-</w:t>
      </w:r>
      <w:r>
        <w:rPr>
          <w:rFonts w:hint="eastAsia" w:ascii="微软雅黑" w:hAnsi="微软雅黑" w:eastAsia="微软雅黑" w:cs="微软雅黑"/>
          <w:color w:val="auto"/>
          <w:spacing w:val="-1"/>
          <w:sz w:val="24"/>
          <w:szCs w:val="24"/>
          <w:highlight w:val="none"/>
          <w:lang w:eastAsia="zh-CN"/>
        </w:rPr>
        <w:t>MGTX(CS)2025-0</w:t>
      </w:r>
      <w:r>
        <w:rPr>
          <w:rFonts w:hint="eastAsia" w:ascii="微软雅黑" w:hAnsi="微软雅黑" w:eastAsia="微软雅黑" w:cs="微软雅黑"/>
          <w:color w:val="auto"/>
          <w:spacing w:val="-1"/>
          <w:sz w:val="24"/>
          <w:szCs w:val="24"/>
          <w:highlight w:val="none"/>
          <w:lang w:val="en-US" w:eastAsia="zh-CN"/>
        </w:rPr>
        <w:t>8</w:t>
      </w:r>
      <w:r>
        <w:rPr>
          <w:rFonts w:hint="eastAsia" w:ascii="微软雅黑" w:hAnsi="微软雅黑" w:eastAsia="微软雅黑" w:cs="微软雅黑"/>
          <w:color w:val="auto"/>
          <w:spacing w:val="-1"/>
          <w:sz w:val="24"/>
          <w:szCs w:val="24"/>
          <w:highlight w:val="none"/>
          <w:lang w:eastAsia="zh-CN"/>
        </w:rPr>
        <w:t xml:space="preserve"> 号</w:t>
      </w:r>
    </w:p>
    <w:p w14:paraId="4AC96E11">
      <w:pPr>
        <w:spacing w:before="3" w:line="183" w:lineRule="auto"/>
        <w:ind w:left="51"/>
        <w:rPr>
          <w:rFonts w:hint="eastAsia" w:ascii="微软雅黑" w:hAnsi="微软雅黑" w:eastAsia="微软雅黑" w:cs="微软雅黑"/>
          <w:color w:val="auto"/>
          <w:spacing w:val="-1"/>
          <w:sz w:val="24"/>
          <w:szCs w:val="24"/>
          <w:highlight w:val="none"/>
          <w:lang w:eastAsia="zh-CN"/>
        </w:rPr>
      </w:pPr>
      <w:r>
        <w:rPr>
          <w:rFonts w:hint="eastAsia" w:ascii="微软雅黑" w:hAnsi="微软雅黑" w:eastAsia="微软雅黑" w:cs="微软雅黑"/>
          <w:color w:val="auto"/>
          <w:spacing w:val="-1"/>
          <w:sz w:val="24"/>
          <w:szCs w:val="24"/>
          <w:highlight w:val="none"/>
          <w:lang w:eastAsia="zh-CN"/>
        </w:rPr>
        <w:t>项目名称：麦盖提县专业人才合作项目（二次）</w:t>
      </w:r>
    </w:p>
    <w:p w14:paraId="6BB18887">
      <w:pPr>
        <w:spacing w:before="3" w:line="183" w:lineRule="auto"/>
        <w:ind w:left="51"/>
        <w:rPr>
          <w:rFonts w:hint="eastAsia" w:ascii="微软雅黑" w:hAnsi="微软雅黑" w:eastAsia="微软雅黑" w:cs="微软雅黑"/>
          <w:color w:val="auto"/>
          <w:spacing w:val="-1"/>
          <w:sz w:val="24"/>
          <w:szCs w:val="24"/>
          <w:highlight w:val="none"/>
          <w:lang w:val="en-US" w:eastAsia="zh-CN"/>
        </w:rPr>
      </w:pPr>
      <w:r>
        <w:rPr>
          <w:rFonts w:hint="eastAsia" w:ascii="微软雅黑" w:hAnsi="微软雅黑" w:eastAsia="微软雅黑" w:cs="微软雅黑"/>
          <w:color w:val="auto"/>
          <w:spacing w:val="-1"/>
          <w:sz w:val="24"/>
          <w:szCs w:val="24"/>
          <w:highlight w:val="none"/>
          <w:lang w:val="en-US" w:eastAsia="en-US"/>
        </w:rPr>
        <w:t>采购方式：</w:t>
      </w:r>
      <w:r>
        <w:rPr>
          <w:rFonts w:hint="eastAsia" w:ascii="微软雅黑" w:hAnsi="微软雅黑" w:eastAsia="微软雅黑" w:cs="微软雅黑"/>
          <w:color w:val="auto"/>
          <w:spacing w:val="-1"/>
          <w:sz w:val="24"/>
          <w:szCs w:val="24"/>
          <w:highlight w:val="none"/>
          <w:lang w:val="en-US" w:eastAsia="zh-CN"/>
        </w:rPr>
        <w:t>竞争性磋商</w:t>
      </w:r>
    </w:p>
    <w:p w14:paraId="04552CF6">
      <w:pPr>
        <w:spacing w:before="3" w:line="183" w:lineRule="auto"/>
        <w:rPr>
          <w:rFonts w:hint="eastAsia" w:ascii="微软雅黑" w:hAnsi="微软雅黑" w:eastAsia="微软雅黑" w:cs="微软雅黑"/>
          <w:b/>
          <w:bCs/>
          <w:snapToGrid w:val="0"/>
          <w:color w:val="auto"/>
          <w:spacing w:val="-3"/>
          <w:kern w:val="0"/>
          <w:sz w:val="24"/>
          <w:szCs w:val="24"/>
          <w:highlight w:val="none"/>
          <w:lang w:val="en-US" w:eastAsia="en-US" w:bidi="ar-SA"/>
        </w:rPr>
      </w:pPr>
      <w:r>
        <w:rPr>
          <w:rFonts w:hint="eastAsia" w:ascii="微软雅黑" w:hAnsi="微软雅黑" w:eastAsia="微软雅黑" w:cs="微软雅黑"/>
          <w:color w:val="auto"/>
          <w:spacing w:val="-1"/>
          <w:sz w:val="24"/>
          <w:szCs w:val="24"/>
          <w:highlight w:val="none"/>
          <w:lang w:val="en-US" w:eastAsia="en-US"/>
        </w:rPr>
        <w:t>本项目预算价：</w:t>
      </w:r>
      <w:r>
        <w:rPr>
          <w:rFonts w:hint="eastAsia" w:ascii="微软雅黑" w:hAnsi="微软雅黑" w:eastAsia="微软雅黑" w:cs="微软雅黑"/>
          <w:color w:val="auto"/>
          <w:spacing w:val="-1"/>
          <w:sz w:val="24"/>
          <w:szCs w:val="24"/>
          <w:highlight w:val="none"/>
          <w:lang w:val="en-US" w:eastAsia="zh-CN"/>
        </w:rPr>
        <w:t>700000.00</w:t>
      </w:r>
      <w:r>
        <w:rPr>
          <w:rFonts w:hint="eastAsia" w:ascii="微软雅黑" w:hAnsi="微软雅黑" w:eastAsia="微软雅黑" w:cs="微软雅黑"/>
          <w:color w:val="auto"/>
          <w:spacing w:val="-1"/>
          <w:sz w:val="24"/>
          <w:szCs w:val="24"/>
          <w:highlight w:val="none"/>
          <w:lang w:val="en-US" w:eastAsia="zh-CN"/>
        </w:rPr>
        <w:br w:type="textWrapping"/>
      </w:r>
      <w:r>
        <w:rPr>
          <w:rFonts w:hint="default" w:ascii="微软雅黑" w:hAnsi="微软雅黑" w:eastAsia="微软雅黑" w:cs="微软雅黑"/>
          <w:color w:val="auto"/>
          <w:spacing w:val="-1"/>
          <w:sz w:val="24"/>
          <w:szCs w:val="24"/>
          <w:highlight w:val="none"/>
          <w:lang w:val="en-US" w:eastAsia="zh-CN"/>
        </w:rPr>
        <w:t>采购需求：</w:t>
      </w:r>
      <w:r>
        <w:rPr>
          <w:rFonts w:hint="eastAsia" w:ascii="微软雅黑" w:hAnsi="微软雅黑" w:eastAsia="微软雅黑" w:cs="微软雅黑"/>
          <w:color w:val="auto"/>
          <w:spacing w:val="-1"/>
          <w:sz w:val="24"/>
          <w:szCs w:val="24"/>
          <w:highlight w:val="none"/>
          <w:lang w:val="en-US" w:eastAsia="en-US"/>
        </w:rPr>
        <w:t xml:space="preserve"> 主要包括施工全过程项目管理、造价咨询、项目监理、项目竣工结算及审计、项目档案移交等</w:t>
      </w:r>
      <w:r>
        <w:rPr>
          <w:rFonts w:hint="eastAsia" w:ascii="微软雅黑" w:hAnsi="微软雅黑" w:eastAsia="微软雅黑" w:cs="微软雅黑"/>
          <w:color w:val="auto"/>
          <w:spacing w:val="-1"/>
          <w:sz w:val="24"/>
          <w:szCs w:val="24"/>
          <w:highlight w:val="none"/>
          <w:lang w:val="en-US" w:eastAsia="zh-CN"/>
        </w:rPr>
        <w:t>管理服务</w:t>
      </w:r>
      <w:r>
        <w:rPr>
          <w:rFonts w:hint="eastAsia" w:ascii="微软雅黑" w:hAnsi="微软雅黑" w:eastAsia="微软雅黑" w:cs="微软雅黑"/>
          <w:color w:val="auto"/>
          <w:spacing w:val="-1"/>
          <w:sz w:val="24"/>
          <w:szCs w:val="24"/>
          <w:highlight w:val="none"/>
          <w:lang w:val="en-US" w:eastAsia="en-US"/>
        </w:rPr>
        <w:t>，详见采购文件。</w:t>
      </w:r>
      <w:r>
        <w:rPr>
          <w:rFonts w:hint="eastAsia" w:ascii="微软雅黑" w:hAnsi="微软雅黑" w:eastAsia="微软雅黑" w:cs="微软雅黑"/>
          <w:b/>
          <w:bCs/>
          <w:snapToGrid w:val="0"/>
          <w:color w:val="auto"/>
          <w:spacing w:val="-3"/>
          <w:kern w:val="0"/>
          <w:sz w:val="24"/>
          <w:szCs w:val="24"/>
          <w:highlight w:val="none"/>
          <w:lang w:val="en-US" w:eastAsia="en-US" w:bidi="ar-SA"/>
        </w:rPr>
        <w:t> </w:t>
      </w:r>
    </w:p>
    <w:p w14:paraId="669F9FA6">
      <w:pPr>
        <w:numPr>
          <w:ilvl w:val="0"/>
          <w:numId w:val="3"/>
        </w:numPr>
        <w:spacing w:before="66" w:line="183" w:lineRule="auto"/>
        <w:ind w:left="49" w:leftChars="0" w:firstLine="171" w:firstLineChars="63"/>
        <w:outlineLvl w:val="3"/>
        <w:rPr>
          <w:rStyle w:val="11"/>
          <w:rFonts w:ascii="黑体" w:hAnsi="宋体" w:eastAsia="黑体" w:cs="黑体"/>
          <w:i w:val="0"/>
          <w:iCs w:val="0"/>
          <w:caps w:val="0"/>
          <w:color w:val="auto"/>
          <w:spacing w:val="0"/>
          <w:sz w:val="27"/>
          <w:szCs w:val="27"/>
          <w:highlight w:val="none"/>
        </w:rPr>
      </w:pPr>
      <w:r>
        <w:rPr>
          <w:rStyle w:val="11"/>
          <w:rFonts w:ascii="黑体" w:hAnsi="宋体" w:eastAsia="黑体" w:cs="黑体"/>
          <w:i w:val="0"/>
          <w:iCs w:val="0"/>
          <w:caps w:val="0"/>
          <w:color w:val="auto"/>
          <w:spacing w:val="0"/>
          <w:sz w:val="27"/>
          <w:szCs w:val="27"/>
          <w:highlight w:val="none"/>
        </w:rPr>
        <w:t>申请人的资格要求：</w:t>
      </w:r>
    </w:p>
    <w:p w14:paraId="65EA2734">
      <w:pPr>
        <w:pStyle w:val="2"/>
        <w:spacing w:before="130" w:line="228" w:lineRule="auto"/>
        <w:ind w:left="116"/>
        <w:outlineLvl w:val="1"/>
        <w:rPr>
          <w:rFonts w:hint="eastAsia" w:ascii="微软雅黑" w:hAnsi="微软雅黑" w:eastAsia="微软雅黑" w:cs="微软雅黑"/>
          <w:snapToGrid w:val="0"/>
          <w:color w:val="auto"/>
          <w:spacing w:val="-4"/>
          <w:kern w:val="0"/>
          <w:sz w:val="24"/>
          <w:szCs w:val="24"/>
          <w:highlight w:val="none"/>
          <w:lang w:val="en-US" w:eastAsia="zh-CN" w:bidi="ar-SA"/>
        </w:rPr>
      </w:pPr>
      <w:bookmarkStart w:id="0" w:name="_Toc12984"/>
      <w:bookmarkStart w:id="1" w:name="_Toc14077"/>
      <w:r>
        <w:rPr>
          <w:rFonts w:hint="eastAsia" w:ascii="微软雅黑" w:hAnsi="微软雅黑" w:eastAsia="微软雅黑" w:cs="微软雅黑"/>
          <w:snapToGrid w:val="0"/>
          <w:color w:val="auto"/>
          <w:spacing w:val="-4"/>
          <w:kern w:val="0"/>
          <w:sz w:val="24"/>
          <w:szCs w:val="24"/>
          <w:highlight w:val="none"/>
          <w:lang w:val="en-US" w:eastAsia="zh-CN" w:bidi="ar-SA"/>
        </w:rPr>
        <w:t>1.满足《中华人民共和国政府采购法》第二十二条规定；</w:t>
      </w:r>
      <w:bookmarkEnd w:id="0"/>
    </w:p>
    <w:bookmarkEnd w:id="1"/>
    <w:p w14:paraId="3CA09E9D">
      <w:pPr>
        <w:pStyle w:val="2"/>
        <w:spacing w:before="130" w:line="228" w:lineRule="auto"/>
        <w:ind w:left="116"/>
        <w:outlineLvl w:val="1"/>
        <w:rPr>
          <w:rFonts w:hint="eastAsia" w:ascii="微软雅黑" w:hAnsi="微软雅黑" w:eastAsia="微软雅黑" w:cs="微软雅黑"/>
          <w:snapToGrid w:val="0"/>
          <w:color w:val="auto"/>
          <w:spacing w:val="-4"/>
          <w:kern w:val="0"/>
          <w:sz w:val="24"/>
          <w:szCs w:val="24"/>
          <w:highlight w:val="none"/>
          <w:lang w:val="en-US" w:eastAsia="zh-CN" w:bidi="ar-SA"/>
        </w:rPr>
      </w:pPr>
      <w:bookmarkStart w:id="2" w:name="_Toc3878"/>
      <w:r>
        <w:rPr>
          <w:rFonts w:hint="eastAsia" w:ascii="微软雅黑" w:hAnsi="微软雅黑" w:eastAsia="微软雅黑" w:cs="微软雅黑"/>
          <w:snapToGrid w:val="0"/>
          <w:color w:val="auto"/>
          <w:spacing w:val="-4"/>
          <w:kern w:val="0"/>
          <w:sz w:val="24"/>
          <w:szCs w:val="24"/>
          <w:highlight w:val="none"/>
          <w:lang w:val="en-US" w:eastAsia="zh-CN" w:bidi="ar-SA"/>
        </w:rPr>
        <w:t>2.落实政府采购政策需满足的资格要求：</w:t>
      </w:r>
      <w:bookmarkEnd w:id="2"/>
      <w:r>
        <w:rPr>
          <w:rFonts w:hint="eastAsia" w:ascii="微软雅黑" w:hAnsi="微软雅黑" w:eastAsia="微软雅黑" w:cs="微软雅黑"/>
          <w:snapToGrid w:val="0"/>
          <w:color w:val="auto"/>
          <w:spacing w:val="-4"/>
          <w:kern w:val="0"/>
          <w:sz w:val="24"/>
          <w:szCs w:val="24"/>
          <w:highlight w:val="none"/>
          <w:lang w:val="en-US" w:eastAsia="zh-CN" w:bidi="ar-SA"/>
        </w:rPr>
        <w:t>本项目专门面向中小微企业；</w:t>
      </w:r>
    </w:p>
    <w:p w14:paraId="18354850">
      <w:pPr>
        <w:spacing w:before="66" w:line="183" w:lineRule="auto"/>
        <w:ind w:left="6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（1）具有三证合一企业法人营业执照副本原件的扫描</w:t>
      </w:r>
      <w:r>
        <w:rPr>
          <w:rFonts w:ascii="微软雅黑" w:hAnsi="微软雅黑" w:eastAsia="微软雅黑" w:cs="微软雅黑"/>
          <w:color w:val="auto"/>
          <w:spacing w:val="-4"/>
          <w:sz w:val="24"/>
          <w:szCs w:val="24"/>
          <w:highlight w:val="none"/>
        </w:rPr>
        <w:t>件；</w:t>
      </w:r>
    </w:p>
    <w:p w14:paraId="5AA456E7">
      <w:pPr>
        <w:spacing w:before="64" w:line="203" w:lineRule="auto"/>
        <w:ind w:left="32" w:right="195" w:firstLine="3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（2）提供法定代表人资格证明及授权书、被授权人身份证复印件；(法定代表人</w:t>
      </w:r>
      <w:r>
        <w:rPr>
          <w:rFonts w:ascii="微软雅黑" w:hAnsi="微软雅黑" w:eastAsia="微软雅黑" w:cs="微软雅黑"/>
          <w:color w:val="auto"/>
          <w:spacing w:val="-1"/>
          <w:sz w:val="24"/>
          <w:szCs w:val="24"/>
          <w:highlight w:val="none"/>
        </w:rPr>
        <w:t>投标需提供法定代表人身份证复印件)</w:t>
      </w:r>
    </w:p>
    <w:p w14:paraId="606C67DC">
      <w:pPr>
        <w:spacing w:before="22" w:line="215" w:lineRule="auto"/>
        <w:ind w:left="41" w:right="192" w:firstLine="2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（3）具有良好的商业信誉和健全的财务会计制度（投标人提供</w:t>
      </w:r>
      <w:r>
        <w:rPr>
          <w:rFonts w:hint="eastAsia" w:ascii="微软雅黑" w:hAnsi="微软雅黑" w:eastAsia="微软雅黑" w:cs="微软雅黑"/>
          <w:color w:val="auto"/>
          <w:spacing w:val="-1"/>
          <w:sz w:val="24"/>
          <w:szCs w:val="24"/>
          <w:highlight w:val="none"/>
          <w:lang w:val="en-US" w:eastAsia="zh-CN"/>
        </w:rPr>
        <w:t>2023年或</w:t>
      </w:r>
      <w:r>
        <w:rPr>
          <w:rFonts w:ascii="微软雅黑" w:hAnsi="微软雅黑" w:eastAsia="微软雅黑" w:cs="微软雅黑"/>
          <w:color w:val="auto"/>
          <w:spacing w:val="-1"/>
          <w:sz w:val="24"/>
          <w:szCs w:val="24"/>
          <w:highlight w:val="none"/>
        </w:rPr>
        <w:t xml:space="preserve"> 20</w:t>
      </w:r>
      <w:r>
        <w:rPr>
          <w:rFonts w:ascii="微软雅黑" w:hAnsi="微软雅黑" w:eastAsia="微软雅黑" w:cs="微软雅黑"/>
          <w:color w:val="auto"/>
          <w:spacing w:val="-2"/>
          <w:sz w:val="24"/>
          <w:szCs w:val="24"/>
          <w:highlight w:val="none"/>
        </w:rPr>
        <w:t>2</w:t>
      </w:r>
      <w:r>
        <w:rPr>
          <w:rFonts w:hint="eastAsia" w:ascii="微软雅黑" w:hAnsi="微软雅黑" w:eastAsia="微软雅黑" w:cs="微软雅黑"/>
          <w:color w:val="auto"/>
          <w:spacing w:val="-2"/>
          <w:sz w:val="24"/>
          <w:szCs w:val="24"/>
          <w:highlight w:val="none"/>
          <w:lang w:val="en-US" w:eastAsia="zh-CN"/>
        </w:rPr>
        <w:t>4</w:t>
      </w:r>
      <w:r>
        <w:rPr>
          <w:rFonts w:ascii="微软雅黑" w:hAnsi="微软雅黑" w:eastAsia="微软雅黑" w:cs="微软雅黑"/>
          <w:color w:val="auto"/>
          <w:spacing w:val="-2"/>
          <w:sz w:val="24"/>
          <w:szCs w:val="24"/>
          <w:highlight w:val="none"/>
        </w:rPr>
        <w:t xml:space="preserve"> 年度财务审计报告，新成立未满一年的公司提供开标前 1 个月内有效</w:t>
      </w:r>
      <w:r>
        <w:rPr>
          <w:rFonts w:ascii="微软雅黑" w:hAnsi="微软雅黑" w:eastAsia="微软雅黑" w:cs="微软雅黑"/>
          <w:color w:val="auto"/>
          <w:spacing w:val="-3"/>
          <w:sz w:val="24"/>
          <w:szCs w:val="24"/>
          <w:highlight w:val="none"/>
        </w:rPr>
        <w:t>银行资信证明</w:t>
      </w:r>
      <w:r>
        <w:rPr>
          <w:rFonts w:ascii="微软雅黑" w:hAnsi="微软雅黑" w:eastAsia="微软雅黑" w:cs="微软雅黑"/>
          <w:color w:val="auto"/>
          <w:spacing w:val="-2"/>
          <w:sz w:val="24"/>
          <w:szCs w:val="24"/>
          <w:highlight w:val="none"/>
        </w:rPr>
        <w:t>）；</w:t>
      </w:r>
    </w:p>
    <w:p w14:paraId="4501CE78">
      <w:pPr>
        <w:spacing w:before="64" w:line="214" w:lineRule="auto"/>
        <w:ind w:left="32" w:right="192" w:firstLine="3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（4）有依法缴纳社会保障资金的良好记录；须提供近六个月内任意一个月的法</w:t>
      </w:r>
      <w:r>
        <w:rPr>
          <w:rFonts w:ascii="微软雅黑" w:hAnsi="微软雅黑" w:eastAsia="微软雅黑" w:cs="微软雅黑"/>
          <w:color w:val="auto"/>
          <w:spacing w:val="10"/>
          <w:sz w:val="24"/>
          <w:szCs w:val="24"/>
          <w:highlight w:val="none"/>
        </w:rPr>
        <w:t xml:space="preserve"> </w:t>
      </w:r>
      <w:r>
        <w:rPr>
          <w:rFonts w:ascii="微软雅黑" w:hAnsi="微软雅黑" w:eastAsia="微软雅黑" w:cs="微软雅黑"/>
          <w:color w:val="auto"/>
          <w:sz w:val="24"/>
          <w:szCs w:val="24"/>
          <w:highlight w:val="none"/>
        </w:rPr>
        <w:t>人及被授权人&lt;被授权人必须为投标单位正式员工&gt;社保部门出具的投标单</w:t>
      </w:r>
      <w:r>
        <w:rPr>
          <w:rFonts w:ascii="微软雅黑" w:hAnsi="微软雅黑" w:eastAsia="微软雅黑" w:cs="微软雅黑"/>
          <w:color w:val="auto"/>
          <w:spacing w:val="-1"/>
          <w:sz w:val="24"/>
          <w:szCs w:val="24"/>
          <w:highlight w:val="none"/>
        </w:rPr>
        <w:t>位的</w:t>
      </w:r>
      <w:r>
        <w:rPr>
          <w:rFonts w:ascii="微软雅黑" w:hAnsi="微软雅黑" w:eastAsia="微软雅黑" w:cs="微软雅黑"/>
          <w:color w:val="auto"/>
          <w:spacing w:val="2"/>
          <w:sz w:val="24"/>
          <w:szCs w:val="24"/>
          <w:highlight w:val="none"/>
        </w:rPr>
        <w:t>缴纳社保证明和法人及被授权人缴纳社保明细表原件扫描件/复印件&lt;社保证明</w:t>
      </w:r>
      <w:r>
        <w:rPr>
          <w:rFonts w:ascii="微软雅黑" w:hAnsi="微软雅黑" w:eastAsia="微软雅黑" w:cs="微软雅黑"/>
          <w:color w:val="auto"/>
          <w:spacing w:val="3"/>
          <w:sz w:val="24"/>
          <w:szCs w:val="24"/>
          <w:highlight w:val="none"/>
        </w:rPr>
        <w:t>可提供以下任意一个：社保缴费凭证、社保缴费证明、社保缴费汇总单、依法</w:t>
      </w:r>
      <w:r>
        <w:rPr>
          <w:rFonts w:ascii="微软雅黑" w:hAnsi="微软雅黑" w:eastAsia="微软雅黑" w:cs="微软雅黑"/>
          <w:color w:val="auto"/>
          <w:spacing w:val="-4"/>
          <w:sz w:val="24"/>
          <w:szCs w:val="24"/>
          <w:highlight w:val="none"/>
        </w:rPr>
        <w:t>缴纳社保的完税证明&gt;；</w:t>
      </w:r>
    </w:p>
    <w:p w14:paraId="19D99D68">
      <w:pPr>
        <w:spacing w:before="64" w:line="209" w:lineRule="auto"/>
        <w:ind w:left="31" w:right="192" w:firstLine="3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（5）有依法缴纳税收的良好记录；投标单位近六个月内任意一个月依法缴纳税</w:t>
      </w:r>
      <w:r>
        <w:rPr>
          <w:rFonts w:ascii="微软雅黑" w:hAnsi="微软雅黑" w:eastAsia="微软雅黑" w:cs="微软雅黑"/>
          <w:color w:val="auto"/>
          <w:sz w:val="24"/>
          <w:szCs w:val="24"/>
          <w:highlight w:val="none"/>
        </w:rPr>
        <w:t>收的完税证明原件扫描件/复印件，依法免缴的，应提供依法免缴的相关证明文</w:t>
      </w:r>
      <w:r>
        <w:rPr>
          <w:rFonts w:ascii="微软雅黑" w:hAnsi="微软雅黑" w:eastAsia="微软雅黑" w:cs="微软雅黑"/>
          <w:color w:val="auto"/>
          <w:spacing w:val="-2"/>
          <w:sz w:val="24"/>
          <w:szCs w:val="24"/>
          <w:highlight w:val="none"/>
        </w:rPr>
        <w:t>件或零申报报表（新公司提交上述内容实际证明材料</w:t>
      </w:r>
      <w:r>
        <w:rPr>
          <w:rFonts w:ascii="微软雅黑" w:hAnsi="微软雅黑" w:eastAsia="微软雅黑" w:cs="微软雅黑"/>
          <w:color w:val="auto"/>
          <w:spacing w:val="-1"/>
          <w:sz w:val="24"/>
          <w:szCs w:val="24"/>
          <w:highlight w:val="none"/>
        </w:rPr>
        <w:t>）；</w:t>
      </w:r>
    </w:p>
    <w:p w14:paraId="6098474B">
      <w:pPr>
        <w:spacing w:before="19" w:line="221" w:lineRule="auto"/>
        <w:ind w:left="31" w:right="192" w:firstLine="33"/>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lang w:eastAsia="zh-CN"/>
        </w:rPr>
        <w:t>（</w:t>
      </w:r>
      <w:r>
        <w:rPr>
          <w:rFonts w:hint="eastAsia" w:ascii="微软雅黑" w:hAnsi="微软雅黑" w:eastAsia="微软雅黑" w:cs="微软雅黑"/>
          <w:color w:val="auto"/>
          <w:spacing w:val="-8"/>
          <w:sz w:val="24"/>
          <w:szCs w:val="24"/>
          <w:highlight w:val="none"/>
          <w:lang w:val="en-US" w:eastAsia="zh-CN"/>
        </w:rPr>
        <w:t>6</w:t>
      </w:r>
      <w:r>
        <w:rPr>
          <w:rFonts w:ascii="微软雅黑" w:hAnsi="微软雅黑" w:eastAsia="微软雅黑" w:cs="微软雅黑"/>
          <w:color w:val="auto"/>
          <w:spacing w:val="-8"/>
          <w:sz w:val="24"/>
          <w:szCs w:val="24"/>
          <w:highlight w:val="none"/>
        </w:rPr>
        <w:t>）</w:t>
      </w:r>
      <w:r>
        <w:rPr>
          <w:rFonts w:ascii="微软雅黑" w:hAnsi="微软雅黑" w:eastAsia="微软雅黑" w:cs="微软雅黑"/>
          <w:color w:val="auto"/>
          <w:spacing w:val="17"/>
          <w:sz w:val="24"/>
          <w:szCs w:val="24"/>
          <w:highlight w:val="none"/>
        </w:rPr>
        <w:t xml:space="preserve"> </w:t>
      </w:r>
      <w:r>
        <w:rPr>
          <w:rFonts w:ascii="微软雅黑" w:hAnsi="微软雅黑" w:eastAsia="微软雅黑" w:cs="微软雅黑"/>
          <w:color w:val="auto"/>
          <w:spacing w:val="-8"/>
          <w:sz w:val="24"/>
          <w:szCs w:val="24"/>
          <w:highlight w:val="none"/>
        </w:rPr>
        <w:t>参加本次招标项目的供应商 ，</w:t>
      </w:r>
      <w:r>
        <w:rPr>
          <w:rFonts w:ascii="微软雅黑" w:hAnsi="微软雅黑" w:eastAsia="微软雅黑" w:cs="微软雅黑"/>
          <w:color w:val="auto"/>
          <w:spacing w:val="16"/>
          <w:sz w:val="24"/>
          <w:szCs w:val="24"/>
          <w:highlight w:val="none"/>
        </w:rPr>
        <w:t xml:space="preserve"> </w:t>
      </w:r>
      <w:r>
        <w:rPr>
          <w:rFonts w:ascii="微软雅黑" w:hAnsi="微软雅黑" w:eastAsia="微软雅黑" w:cs="微软雅黑"/>
          <w:color w:val="auto"/>
          <w:spacing w:val="-8"/>
          <w:sz w:val="24"/>
          <w:szCs w:val="24"/>
          <w:highlight w:val="none"/>
        </w:rPr>
        <w:t>不得在中国政府采购网</w:t>
      </w:r>
      <w:r>
        <w:rPr>
          <w:rFonts w:hint="eastAsia" w:ascii="微软雅黑" w:hAnsi="微软雅黑" w:eastAsia="微软雅黑" w:cs="微软雅黑"/>
          <w:color w:val="auto"/>
          <w:spacing w:val="-8"/>
          <w:sz w:val="24"/>
          <w:szCs w:val="24"/>
          <w:highlight w:val="none"/>
          <w:lang w:eastAsia="zh-CN"/>
        </w:rPr>
        <w:t>（</w:t>
      </w:r>
      <w:r>
        <w:rPr>
          <w:color w:val="auto"/>
          <w:highlight w:val="none"/>
        </w:rPr>
        <w:fldChar w:fldCharType="begin"/>
      </w:r>
      <w:r>
        <w:rPr>
          <w:color w:val="auto"/>
          <w:highlight w:val="none"/>
        </w:rPr>
        <w:instrText xml:space="preserve"> HYPERLINK "http://www.ccgp.gov.cn/search/cr/" </w:instrText>
      </w:r>
      <w:r>
        <w:rPr>
          <w:color w:val="auto"/>
          <w:highlight w:val="none"/>
        </w:rPr>
        <w:fldChar w:fldCharType="separate"/>
      </w:r>
      <w:r>
        <w:rPr>
          <w:rFonts w:ascii="微软雅黑" w:hAnsi="微软雅黑" w:eastAsia="微软雅黑" w:cs="微软雅黑"/>
          <w:color w:val="auto"/>
          <w:spacing w:val="-2"/>
          <w:sz w:val="24"/>
          <w:szCs w:val="24"/>
          <w:highlight w:val="none"/>
        </w:rPr>
        <w:t>http://www.ccgp.gov.cn/search/cr/</w:t>
      </w:r>
      <w:r>
        <w:rPr>
          <w:rFonts w:ascii="微软雅黑" w:hAnsi="微软雅黑" w:eastAsia="微软雅黑" w:cs="微软雅黑"/>
          <w:color w:val="auto"/>
          <w:spacing w:val="-2"/>
          <w:sz w:val="24"/>
          <w:szCs w:val="24"/>
          <w:highlight w:val="none"/>
        </w:rPr>
        <w:fldChar w:fldCharType="end"/>
      </w:r>
      <w:r>
        <w:rPr>
          <w:rFonts w:ascii="微软雅黑" w:hAnsi="微软雅黑" w:eastAsia="微软雅黑" w:cs="微软雅黑"/>
          <w:color w:val="auto"/>
          <w:spacing w:val="-2"/>
          <w:sz w:val="24"/>
          <w:szCs w:val="24"/>
          <w:highlight w:val="none"/>
        </w:rPr>
        <w:t>）存在严重违法失信行为记录名单（尚</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在处罚期内的</w:t>
      </w:r>
      <w:r>
        <w:rPr>
          <w:rFonts w:ascii="微软雅黑" w:hAnsi="微软雅黑" w:eastAsia="微软雅黑" w:cs="微软雅黑"/>
          <w:color w:val="auto"/>
          <w:spacing w:val="-15"/>
          <w:sz w:val="24"/>
          <w:szCs w:val="24"/>
          <w:highlight w:val="none"/>
        </w:rPr>
        <w:t>）</w:t>
      </w:r>
      <w:r>
        <w:rPr>
          <w:rFonts w:ascii="微软雅黑" w:hAnsi="微软雅黑" w:eastAsia="微软雅黑" w:cs="微软雅黑"/>
          <w:color w:val="auto"/>
          <w:spacing w:val="-32"/>
          <w:sz w:val="24"/>
          <w:szCs w:val="24"/>
          <w:highlight w:val="none"/>
        </w:rPr>
        <w:t xml:space="preserve"> </w:t>
      </w:r>
      <w:r>
        <w:rPr>
          <w:rFonts w:ascii="微软雅黑" w:hAnsi="微软雅黑" w:eastAsia="微软雅黑" w:cs="微软雅黑"/>
          <w:color w:val="auto"/>
          <w:spacing w:val="-15"/>
          <w:sz w:val="24"/>
          <w:szCs w:val="24"/>
          <w:highlight w:val="none"/>
        </w:rPr>
        <w:t>；</w:t>
      </w:r>
      <w:r>
        <w:rPr>
          <w:rFonts w:ascii="微软雅黑" w:hAnsi="微软雅黑" w:eastAsia="微软雅黑" w:cs="微软雅黑"/>
          <w:color w:val="auto"/>
          <w:spacing w:val="-1"/>
          <w:sz w:val="24"/>
          <w:szCs w:val="24"/>
          <w:highlight w:val="none"/>
        </w:rPr>
        <w:t>近三年内</w:t>
      </w:r>
      <w:r>
        <w:rPr>
          <w:rFonts w:ascii="微软雅黑" w:hAnsi="微软雅黑" w:eastAsia="微软雅黑" w:cs="微软雅黑"/>
          <w:color w:val="auto"/>
          <w:spacing w:val="-2"/>
          <w:sz w:val="24"/>
          <w:szCs w:val="24"/>
          <w:highlight w:val="none"/>
        </w:rPr>
        <w:t>不得</w:t>
      </w:r>
      <w:r>
        <w:rPr>
          <w:rFonts w:ascii="微软雅黑" w:hAnsi="微软雅黑" w:eastAsia="微软雅黑" w:cs="微软雅黑"/>
          <w:color w:val="auto"/>
          <w:spacing w:val="2"/>
          <w:sz w:val="24"/>
          <w:szCs w:val="24"/>
          <w:highlight w:val="none"/>
        </w:rPr>
        <w:t>在“信用中国”网站（</w:t>
      </w:r>
      <w:r>
        <w:rPr>
          <w:rFonts w:ascii="微软雅黑" w:hAnsi="微软雅黑" w:eastAsia="微软雅黑" w:cs="微软雅黑"/>
          <w:color w:val="auto"/>
          <w:sz w:val="24"/>
          <w:szCs w:val="24"/>
          <w:highlight w:val="none"/>
        </w:rPr>
        <w:t>www</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z w:val="24"/>
          <w:szCs w:val="24"/>
          <w:highlight w:val="none"/>
        </w:rPr>
        <w:t>creditchina</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z w:val="24"/>
          <w:szCs w:val="24"/>
          <w:highlight w:val="none"/>
        </w:rPr>
        <w:t>gov</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z w:val="24"/>
          <w:szCs w:val="24"/>
          <w:highlight w:val="none"/>
        </w:rPr>
        <w:t>cn</w:t>
      </w:r>
      <w:r>
        <w:rPr>
          <w:rFonts w:ascii="微软雅黑" w:hAnsi="微软雅黑" w:eastAsia="微软雅黑" w:cs="微软雅黑"/>
          <w:color w:val="auto"/>
          <w:spacing w:val="2"/>
          <w:sz w:val="24"/>
          <w:szCs w:val="24"/>
          <w:highlight w:val="none"/>
        </w:rPr>
        <w:t>）被列入失信</w:t>
      </w:r>
      <w:r>
        <w:rPr>
          <w:rFonts w:ascii="微软雅黑" w:hAnsi="微软雅黑" w:eastAsia="微软雅黑" w:cs="微软雅黑"/>
          <w:color w:val="auto"/>
          <w:spacing w:val="1"/>
          <w:sz w:val="24"/>
          <w:szCs w:val="24"/>
          <w:highlight w:val="none"/>
        </w:rPr>
        <w:t>被执行人、重大</w:t>
      </w:r>
      <w:r>
        <w:rPr>
          <w:rFonts w:ascii="微软雅黑" w:hAnsi="微软雅黑" w:eastAsia="微软雅黑" w:cs="微软雅黑"/>
          <w:color w:val="auto"/>
          <w:spacing w:val="3"/>
          <w:sz w:val="24"/>
          <w:szCs w:val="24"/>
          <w:highlight w:val="none"/>
        </w:rPr>
        <w:t>税收违法失信主体内将拒绝其参加本次招标活动。以上内容由投标企业自行承</w:t>
      </w:r>
      <w:r>
        <w:rPr>
          <w:rFonts w:ascii="微软雅黑" w:hAnsi="微软雅黑" w:eastAsia="微软雅黑" w:cs="微软雅黑"/>
          <w:color w:val="auto"/>
          <w:spacing w:val="12"/>
          <w:sz w:val="24"/>
          <w:szCs w:val="24"/>
          <w:highlight w:val="none"/>
        </w:rPr>
        <w:t xml:space="preserve"> </w:t>
      </w:r>
      <w:r>
        <w:rPr>
          <w:rFonts w:ascii="微软雅黑" w:hAnsi="微软雅黑" w:eastAsia="微软雅黑" w:cs="微软雅黑"/>
          <w:color w:val="auto"/>
          <w:spacing w:val="-3"/>
          <w:sz w:val="24"/>
          <w:szCs w:val="24"/>
          <w:highlight w:val="none"/>
        </w:rPr>
        <w:t>诺，由采购人或采购代理机构在投标截止后核查。</w:t>
      </w:r>
    </w:p>
    <w:p w14:paraId="630FA9F2">
      <w:pPr>
        <w:spacing w:before="52" w:line="183" w:lineRule="auto"/>
        <w:ind w:left="6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（7）提供针对本次项目《反商业贿赂承诺书》；</w:t>
      </w:r>
    </w:p>
    <w:p w14:paraId="12C61F39">
      <w:pPr>
        <w:spacing w:before="66" w:line="183" w:lineRule="auto"/>
        <w:ind w:left="65"/>
        <w:rPr>
          <w:rFonts w:ascii="微软雅黑" w:hAnsi="微软雅黑" w:eastAsia="微软雅黑" w:cs="微软雅黑"/>
          <w:color w:val="auto"/>
          <w:spacing w:val="-5"/>
          <w:sz w:val="24"/>
          <w:szCs w:val="24"/>
          <w:highlight w:val="none"/>
        </w:rPr>
      </w:pPr>
      <w:r>
        <w:rPr>
          <w:rFonts w:ascii="微软雅黑" w:hAnsi="微软雅黑" w:eastAsia="微软雅黑" w:cs="微软雅黑"/>
          <w:color w:val="auto"/>
          <w:spacing w:val="-5"/>
          <w:sz w:val="24"/>
          <w:szCs w:val="24"/>
          <w:highlight w:val="none"/>
        </w:rPr>
        <w:t>（8）提供缴纳投标保证金的有效凭证；</w:t>
      </w:r>
    </w:p>
    <w:p w14:paraId="413768A3">
      <w:pPr>
        <w:spacing w:before="66" w:line="183" w:lineRule="auto"/>
        <w:ind w:left="65"/>
        <w:rPr>
          <w:rFonts w:hint="eastAsia" w:ascii="微软雅黑" w:hAnsi="微软雅黑" w:eastAsia="微软雅黑" w:cs="微软雅黑"/>
          <w:color w:val="auto"/>
          <w:spacing w:val="-5"/>
          <w:sz w:val="24"/>
          <w:szCs w:val="24"/>
          <w:highlight w:val="none"/>
        </w:rPr>
      </w:pPr>
      <w:r>
        <w:rPr>
          <w:rFonts w:ascii="微软雅黑" w:hAnsi="微软雅黑" w:eastAsia="微软雅黑" w:cs="微软雅黑"/>
          <w:color w:val="auto"/>
          <w:spacing w:val="-5"/>
          <w:sz w:val="24"/>
          <w:szCs w:val="24"/>
          <w:highlight w:val="none"/>
        </w:rPr>
        <w:t>（9）</w:t>
      </w:r>
      <w:r>
        <w:rPr>
          <w:rFonts w:ascii="微软雅黑" w:hAnsi="微软雅黑" w:eastAsia="微软雅黑" w:cs="微软雅黑"/>
          <w:color w:val="auto"/>
          <w:spacing w:val="-5"/>
          <w:sz w:val="24"/>
          <w:szCs w:val="24"/>
          <w:highlight w:val="none"/>
          <w:lang w:eastAsia="zh-CN"/>
        </w:rPr>
        <w:t>供应商应具备工程监理综合资质或建筑工程</w:t>
      </w:r>
      <w:r>
        <w:rPr>
          <w:rFonts w:hint="eastAsia" w:ascii="微软雅黑" w:hAnsi="微软雅黑" w:eastAsia="微软雅黑" w:cs="微软雅黑"/>
          <w:color w:val="auto"/>
          <w:spacing w:val="-5"/>
          <w:sz w:val="24"/>
          <w:szCs w:val="24"/>
          <w:highlight w:val="none"/>
          <w:lang w:val="en-US" w:eastAsia="zh-CN"/>
        </w:rPr>
        <w:t>和市政工程</w:t>
      </w:r>
      <w:r>
        <w:rPr>
          <w:rFonts w:ascii="微软雅黑" w:hAnsi="微软雅黑" w:eastAsia="微软雅黑" w:cs="微软雅黑"/>
          <w:color w:val="auto"/>
          <w:spacing w:val="-5"/>
          <w:sz w:val="24"/>
          <w:szCs w:val="24"/>
          <w:highlight w:val="none"/>
          <w:lang w:eastAsia="zh-CN"/>
        </w:rPr>
        <w:t>监理</w:t>
      </w:r>
      <w:r>
        <w:rPr>
          <w:rFonts w:hint="eastAsia" w:ascii="微软雅黑" w:hAnsi="微软雅黑" w:eastAsia="微软雅黑" w:cs="微软雅黑"/>
          <w:color w:val="auto"/>
          <w:spacing w:val="-5"/>
          <w:sz w:val="24"/>
          <w:szCs w:val="24"/>
          <w:highlight w:val="none"/>
          <w:lang w:eastAsia="zh-CN"/>
        </w:rPr>
        <w:t>乙级</w:t>
      </w:r>
      <w:r>
        <w:rPr>
          <w:rFonts w:ascii="微软雅黑" w:hAnsi="微软雅黑" w:eastAsia="微软雅黑" w:cs="微软雅黑"/>
          <w:color w:val="auto"/>
          <w:spacing w:val="-5"/>
          <w:sz w:val="24"/>
          <w:szCs w:val="24"/>
          <w:highlight w:val="none"/>
          <w:lang w:eastAsia="zh-CN"/>
        </w:rPr>
        <w:t>（含</w:t>
      </w:r>
      <w:r>
        <w:rPr>
          <w:rFonts w:hint="eastAsia" w:ascii="微软雅黑" w:hAnsi="微软雅黑" w:eastAsia="微软雅黑" w:cs="微软雅黑"/>
          <w:color w:val="auto"/>
          <w:spacing w:val="-5"/>
          <w:sz w:val="24"/>
          <w:szCs w:val="24"/>
          <w:highlight w:val="none"/>
          <w:lang w:eastAsia="zh-CN"/>
        </w:rPr>
        <w:t>乙级</w:t>
      </w:r>
      <w:r>
        <w:rPr>
          <w:rFonts w:ascii="微软雅黑" w:hAnsi="微软雅黑" w:eastAsia="微软雅黑" w:cs="微软雅黑"/>
          <w:color w:val="auto"/>
          <w:spacing w:val="-5"/>
          <w:sz w:val="24"/>
          <w:szCs w:val="24"/>
          <w:highlight w:val="none"/>
          <w:lang w:eastAsia="zh-CN"/>
        </w:rPr>
        <w:t>）以上资质</w:t>
      </w:r>
      <w:r>
        <w:rPr>
          <w:rFonts w:hint="eastAsia" w:ascii="微软雅黑" w:hAnsi="微软雅黑" w:eastAsia="微软雅黑" w:cs="微软雅黑"/>
          <w:color w:val="auto"/>
          <w:spacing w:val="-5"/>
          <w:sz w:val="24"/>
          <w:szCs w:val="24"/>
          <w:highlight w:val="none"/>
          <w:lang w:eastAsia="zh-CN"/>
        </w:rPr>
        <w:t>。</w:t>
      </w:r>
    </w:p>
    <w:p w14:paraId="63899007">
      <w:pPr>
        <w:spacing w:before="66" w:line="183" w:lineRule="auto"/>
        <w:ind w:left="65"/>
        <w:rPr>
          <w:rFonts w:ascii="微软雅黑" w:hAnsi="微软雅黑" w:eastAsia="微软雅黑" w:cs="微软雅黑"/>
          <w:color w:val="auto"/>
          <w:spacing w:val="-5"/>
          <w:sz w:val="24"/>
          <w:szCs w:val="24"/>
          <w:highlight w:val="none"/>
        </w:rPr>
      </w:pPr>
      <w:r>
        <w:rPr>
          <w:rFonts w:ascii="微软雅黑" w:hAnsi="微软雅黑" w:eastAsia="微软雅黑" w:cs="微软雅黑"/>
          <w:color w:val="auto"/>
          <w:spacing w:val="-5"/>
          <w:sz w:val="24"/>
          <w:szCs w:val="24"/>
          <w:highlight w:val="none"/>
        </w:rPr>
        <w:t>（10）本项目不接受联合体投标。</w:t>
      </w:r>
    </w:p>
    <w:p w14:paraId="19CAEDC0">
      <w:pPr>
        <w:spacing w:before="66" w:line="183" w:lineRule="auto"/>
        <w:ind w:left="65"/>
        <w:rPr>
          <w:rFonts w:ascii="微软雅黑" w:hAnsi="微软雅黑" w:eastAsia="微软雅黑" w:cs="微软雅黑"/>
          <w:color w:val="auto"/>
          <w:spacing w:val="-5"/>
          <w:sz w:val="24"/>
          <w:szCs w:val="24"/>
          <w:highlight w:val="none"/>
        </w:rPr>
      </w:pPr>
      <w:r>
        <w:rPr>
          <w:rFonts w:hint="eastAsia" w:ascii="微软雅黑" w:hAnsi="微软雅黑" w:eastAsia="微软雅黑" w:cs="微软雅黑"/>
          <w:color w:val="auto"/>
          <w:spacing w:val="-5"/>
          <w:sz w:val="24"/>
          <w:szCs w:val="24"/>
          <w:highlight w:val="none"/>
          <w:lang w:val="en-US" w:eastAsia="zh-CN"/>
        </w:rPr>
        <w:t>三</w:t>
      </w:r>
      <w:r>
        <w:rPr>
          <w:rFonts w:ascii="微软雅黑" w:hAnsi="微软雅黑" w:eastAsia="微软雅黑" w:cs="微软雅黑"/>
          <w:color w:val="auto"/>
          <w:spacing w:val="-5"/>
          <w:sz w:val="24"/>
          <w:szCs w:val="24"/>
          <w:highlight w:val="none"/>
        </w:rPr>
        <w:t>、获取招标文件</w:t>
      </w:r>
    </w:p>
    <w:p w14:paraId="258E82CD">
      <w:pPr>
        <w:pStyle w:val="7"/>
        <w:keepNext w:val="0"/>
        <w:keepLines w:val="0"/>
        <w:widowControl/>
        <w:suppressLineNumbers w:val="0"/>
        <w:wordWrap w:val="0"/>
        <w:spacing w:before="75" w:beforeAutospacing="0" w:after="75" w:afterAutospacing="0" w:line="300" w:lineRule="atLeast"/>
        <w:ind w:left="0" w:right="0" w:firstLine="420"/>
        <w:rPr>
          <w:rFonts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时间：2025年</w:t>
      </w:r>
      <w:r>
        <w:rPr>
          <w:rFonts w:hint="eastAsia" w:ascii="仿宋" w:hAnsi="仿宋" w:eastAsia="仿宋" w:cs="仿宋"/>
          <w:i w:val="0"/>
          <w:iCs w:val="0"/>
          <w:caps w:val="0"/>
          <w:color w:val="auto"/>
          <w:spacing w:val="0"/>
          <w:sz w:val="27"/>
          <w:szCs w:val="27"/>
          <w:highlight w:val="none"/>
          <w:lang w:val="en-US" w:eastAsia="zh-CN"/>
        </w:rPr>
        <w:t>6</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25</w:t>
      </w:r>
      <w:r>
        <w:rPr>
          <w:rFonts w:hint="eastAsia" w:ascii="仿宋" w:hAnsi="仿宋" w:eastAsia="仿宋" w:cs="仿宋"/>
          <w:i w:val="0"/>
          <w:iCs w:val="0"/>
          <w:caps w:val="0"/>
          <w:color w:val="auto"/>
          <w:spacing w:val="0"/>
          <w:sz w:val="27"/>
          <w:szCs w:val="27"/>
          <w:highlight w:val="none"/>
        </w:rPr>
        <w:t>日至2025年</w:t>
      </w:r>
      <w:r>
        <w:rPr>
          <w:rFonts w:hint="eastAsia" w:ascii="仿宋" w:hAnsi="仿宋" w:eastAsia="仿宋" w:cs="仿宋"/>
          <w:i w:val="0"/>
          <w:iCs w:val="0"/>
          <w:caps w:val="0"/>
          <w:color w:val="auto"/>
          <w:spacing w:val="0"/>
          <w:sz w:val="27"/>
          <w:szCs w:val="27"/>
          <w:highlight w:val="none"/>
          <w:lang w:val="en-US" w:eastAsia="zh-CN"/>
        </w:rPr>
        <w:t>7</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02日</w:t>
      </w:r>
      <w:r>
        <w:rPr>
          <w:rFonts w:hint="eastAsia" w:ascii="仿宋" w:hAnsi="仿宋" w:eastAsia="仿宋" w:cs="仿宋"/>
          <w:i w:val="0"/>
          <w:iCs w:val="0"/>
          <w:caps w:val="0"/>
          <w:color w:val="auto"/>
          <w:spacing w:val="0"/>
          <w:sz w:val="27"/>
          <w:szCs w:val="27"/>
          <w:highlight w:val="none"/>
        </w:rPr>
        <w:t>，每天上午10:</w:t>
      </w:r>
      <w:r>
        <w:rPr>
          <w:rFonts w:hint="eastAsia" w:ascii="仿宋" w:hAnsi="仿宋" w:eastAsia="仿宋" w:cs="仿宋"/>
          <w:i w:val="0"/>
          <w:iCs w:val="0"/>
          <w:caps w:val="0"/>
          <w:color w:val="auto"/>
          <w:spacing w:val="0"/>
          <w:sz w:val="27"/>
          <w:szCs w:val="27"/>
          <w:highlight w:val="none"/>
          <w:lang w:val="en-US" w:eastAsia="zh-CN"/>
        </w:rPr>
        <w:t>0</w:t>
      </w:r>
      <w:r>
        <w:rPr>
          <w:rFonts w:hint="eastAsia" w:ascii="仿宋" w:hAnsi="仿宋" w:eastAsia="仿宋" w:cs="仿宋"/>
          <w:i w:val="0"/>
          <w:iCs w:val="0"/>
          <w:caps w:val="0"/>
          <w:color w:val="auto"/>
          <w:spacing w:val="0"/>
          <w:sz w:val="27"/>
          <w:szCs w:val="27"/>
          <w:highlight w:val="none"/>
        </w:rPr>
        <w:t>0至1</w:t>
      </w:r>
      <w:r>
        <w:rPr>
          <w:rFonts w:hint="eastAsia" w:ascii="仿宋" w:hAnsi="仿宋" w:eastAsia="仿宋" w:cs="仿宋"/>
          <w:i w:val="0"/>
          <w:iCs w:val="0"/>
          <w:caps w:val="0"/>
          <w:color w:val="auto"/>
          <w:spacing w:val="0"/>
          <w:sz w:val="27"/>
          <w:szCs w:val="27"/>
          <w:highlight w:val="none"/>
          <w:lang w:val="en-US" w:eastAsia="zh-CN"/>
        </w:rPr>
        <w:t>4</w:t>
      </w:r>
      <w:r>
        <w:rPr>
          <w:rFonts w:hint="eastAsia" w:ascii="仿宋" w:hAnsi="仿宋" w:eastAsia="仿宋" w:cs="仿宋"/>
          <w:i w:val="0"/>
          <w:iCs w:val="0"/>
          <w:caps w:val="0"/>
          <w:color w:val="auto"/>
          <w:spacing w:val="0"/>
          <w:sz w:val="27"/>
          <w:szCs w:val="27"/>
          <w:highlight w:val="none"/>
        </w:rPr>
        <w:t>:</w:t>
      </w:r>
      <w:r>
        <w:rPr>
          <w:rFonts w:hint="eastAsia" w:ascii="仿宋" w:hAnsi="仿宋" w:eastAsia="仿宋" w:cs="仿宋"/>
          <w:i w:val="0"/>
          <w:iCs w:val="0"/>
          <w:caps w:val="0"/>
          <w:color w:val="auto"/>
          <w:spacing w:val="0"/>
          <w:sz w:val="27"/>
          <w:szCs w:val="27"/>
          <w:highlight w:val="none"/>
          <w:lang w:val="en-US" w:eastAsia="zh-CN"/>
        </w:rPr>
        <w:t>0</w:t>
      </w:r>
      <w:r>
        <w:rPr>
          <w:rFonts w:hint="eastAsia" w:ascii="仿宋" w:hAnsi="仿宋" w:eastAsia="仿宋" w:cs="仿宋"/>
          <w:i w:val="0"/>
          <w:iCs w:val="0"/>
          <w:caps w:val="0"/>
          <w:color w:val="auto"/>
          <w:spacing w:val="0"/>
          <w:sz w:val="27"/>
          <w:szCs w:val="27"/>
          <w:highlight w:val="none"/>
        </w:rPr>
        <w:t>0，下午16:00至</w:t>
      </w:r>
      <w:r>
        <w:rPr>
          <w:rFonts w:hint="eastAsia" w:ascii="仿宋" w:hAnsi="仿宋" w:eastAsia="仿宋" w:cs="仿宋"/>
          <w:i w:val="0"/>
          <w:iCs w:val="0"/>
          <w:caps w:val="0"/>
          <w:color w:val="auto"/>
          <w:spacing w:val="0"/>
          <w:sz w:val="27"/>
          <w:szCs w:val="27"/>
          <w:highlight w:val="none"/>
          <w:lang w:val="en-US" w:eastAsia="zh-CN"/>
        </w:rPr>
        <w:t>20</w:t>
      </w:r>
      <w:r>
        <w:rPr>
          <w:rFonts w:hint="eastAsia" w:ascii="仿宋" w:hAnsi="仿宋" w:eastAsia="仿宋" w:cs="仿宋"/>
          <w:i w:val="0"/>
          <w:iCs w:val="0"/>
          <w:caps w:val="0"/>
          <w:color w:val="auto"/>
          <w:spacing w:val="0"/>
          <w:sz w:val="27"/>
          <w:szCs w:val="27"/>
          <w:highlight w:val="none"/>
        </w:rPr>
        <w:t>:00（北京时间，法定节假日除外）</w:t>
      </w:r>
    </w:p>
    <w:p w14:paraId="546EAF9A">
      <w:pPr>
        <w:pStyle w:val="7"/>
        <w:keepNext w:val="0"/>
        <w:keepLines w:val="0"/>
        <w:widowControl/>
        <w:suppressLineNumbers w:val="0"/>
        <w:wordWrap w:val="0"/>
        <w:spacing w:before="75" w:beforeAutospacing="0" w:after="75" w:afterAutospacing="0"/>
        <w:ind w:left="0" w:right="0"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地点：政采云平台线上</w:t>
      </w:r>
    </w:p>
    <w:p w14:paraId="33152322">
      <w:pPr>
        <w:pStyle w:val="7"/>
        <w:keepNext w:val="0"/>
        <w:keepLines w:val="0"/>
        <w:widowControl/>
        <w:suppressLineNumbers w:val="0"/>
        <w:wordWrap w:val="0"/>
        <w:spacing w:before="75" w:beforeAutospacing="0" w:after="75" w:afterAutospacing="0"/>
        <w:ind w:left="0" w:right="0"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9133546">
      <w:pPr>
        <w:pStyle w:val="7"/>
        <w:keepNext w:val="0"/>
        <w:keepLines w:val="0"/>
        <w:widowControl/>
        <w:suppressLineNumbers w:val="0"/>
        <w:wordWrap w:val="0"/>
        <w:spacing w:before="75" w:beforeAutospacing="0" w:after="75" w:afterAutospacing="0"/>
        <w:ind w:left="0" w:right="0"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售价（元）：0</w:t>
      </w:r>
    </w:p>
    <w:p w14:paraId="09E520FE">
      <w:pPr>
        <w:numPr>
          <w:ilvl w:val="0"/>
          <w:numId w:val="4"/>
        </w:numPr>
        <w:spacing w:before="64" w:line="221" w:lineRule="auto"/>
        <w:ind w:left="31" w:right="28" w:firstLine="7"/>
        <w:rPr>
          <w:rFonts w:ascii="微软雅黑" w:hAnsi="微软雅黑" w:eastAsia="微软雅黑" w:cs="微软雅黑"/>
          <w:color w:val="auto"/>
          <w:spacing w:val="-4"/>
          <w:sz w:val="24"/>
          <w:szCs w:val="24"/>
          <w:highlight w:val="none"/>
        </w:rPr>
      </w:pPr>
      <w:r>
        <w:rPr>
          <w:rFonts w:ascii="微软雅黑" w:hAnsi="微软雅黑" w:eastAsia="微软雅黑" w:cs="微软雅黑"/>
          <w:b/>
          <w:bCs/>
          <w:color w:val="auto"/>
          <w:spacing w:val="-4"/>
          <w:sz w:val="24"/>
          <w:szCs w:val="24"/>
          <w:highlight w:val="none"/>
        </w:rPr>
        <w:t>投标截止时间</w:t>
      </w:r>
      <w:r>
        <w:rPr>
          <w:rFonts w:ascii="微软雅黑" w:hAnsi="微软雅黑" w:eastAsia="微软雅黑" w:cs="微软雅黑"/>
          <w:color w:val="auto"/>
          <w:spacing w:val="-4"/>
          <w:sz w:val="24"/>
          <w:szCs w:val="24"/>
          <w:highlight w:val="none"/>
        </w:rPr>
        <w:t>：</w:t>
      </w:r>
    </w:p>
    <w:p w14:paraId="2BADF5EA">
      <w:pPr>
        <w:pStyle w:val="7"/>
        <w:keepNext w:val="0"/>
        <w:keepLines w:val="0"/>
        <w:widowControl/>
        <w:suppressLineNumbers w:val="0"/>
        <w:wordWrap w:val="0"/>
        <w:spacing w:before="75" w:beforeAutospacing="0" w:after="75" w:afterAutospacing="0"/>
        <w:ind w:left="0" w:right="0" w:firstLine="420"/>
        <w:rPr>
          <w:rFonts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提交投标文件截止时间：2025年</w:t>
      </w:r>
      <w:r>
        <w:rPr>
          <w:rFonts w:hint="eastAsia" w:ascii="仿宋" w:hAnsi="仿宋" w:eastAsia="仿宋" w:cs="仿宋"/>
          <w:i w:val="0"/>
          <w:iCs w:val="0"/>
          <w:caps w:val="0"/>
          <w:color w:val="auto"/>
          <w:spacing w:val="0"/>
          <w:sz w:val="27"/>
          <w:szCs w:val="27"/>
          <w:highlight w:val="none"/>
          <w:lang w:val="en-US" w:eastAsia="zh-CN"/>
        </w:rPr>
        <w:t>07</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08</w:t>
      </w:r>
      <w:r>
        <w:rPr>
          <w:rFonts w:hint="eastAsia" w:ascii="仿宋" w:hAnsi="仿宋" w:eastAsia="仿宋" w:cs="仿宋"/>
          <w:i w:val="0"/>
          <w:iCs w:val="0"/>
          <w:caps w:val="0"/>
          <w:color w:val="auto"/>
          <w:spacing w:val="0"/>
          <w:sz w:val="27"/>
          <w:szCs w:val="27"/>
          <w:highlight w:val="none"/>
        </w:rPr>
        <w:t>日</w:t>
      </w:r>
      <w:r>
        <w:rPr>
          <w:rFonts w:hint="eastAsia" w:ascii="仿宋" w:hAnsi="仿宋" w:eastAsia="仿宋" w:cs="仿宋"/>
          <w:i w:val="0"/>
          <w:iCs w:val="0"/>
          <w:caps w:val="0"/>
          <w:color w:val="auto"/>
          <w:spacing w:val="0"/>
          <w:sz w:val="27"/>
          <w:szCs w:val="27"/>
          <w:highlight w:val="none"/>
          <w:lang w:val="en-US" w:eastAsia="zh-CN"/>
        </w:rPr>
        <w:t>16</w:t>
      </w:r>
      <w:r>
        <w:rPr>
          <w:rFonts w:hint="eastAsia" w:ascii="仿宋" w:hAnsi="仿宋" w:eastAsia="仿宋" w:cs="仿宋"/>
          <w:i w:val="0"/>
          <w:iCs w:val="0"/>
          <w:caps w:val="0"/>
          <w:color w:val="auto"/>
          <w:spacing w:val="0"/>
          <w:sz w:val="27"/>
          <w:szCs w:val="27"/>
          <w:highlight w:val="none"/>
        </w:rPr>
        <w:t>:00（北京时间）</w:t>
      </w:r>
    </w:p>
    <w:p w14:paraId="04D1C216">
      <w:pPr>
        <w:pStyle w:val="7"/>
        <w:keepNext w:val="0"/>
        <w:keepLines w:val="0"/>
        <w:widowControl/>
        <w:suppressLineNumbers w:val="0"/>
        <w:wordWrap w:val="0"/>
        <w:spacing w:before="75" w:beforeAutospacing="0" w:after="75" w:afterAutospacing="0"/>
        <w:ind w:left="0" w:right="0"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投标地点：请登录政采云投标客户端投标</w:t>
      </w:r>
    </w:p>
    <w:p w14:paraId="7315625E">
      <w:pPr>
        <w:pStyle w:val="7"/>
        <w:keepNext w:val="0"/>
        <w:keepLines w:val="0"/>
        <w:widowControl/>
        <w:suppressLineNumbers w:val="0"/>
        <w:wordWrap w:val="0"/>
        <w:spacing w:before="75" w:beforeAutospacing="0" w:after="75" w:afterAutospacing="0"/>
        <w:ind w:left="0" w:right="0"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开标时间：2025年</w:t>
      </w:r>
      <w:r>
        <w:rPr>
          <w:rFonts w:hint="eastAsia" w:ascii="仿宋" w:hAnsi="仿宋" w:eastAsia="仿宋" w:cs="仿宋"/>
          <w:i w:val="0"/>
          <w:iCs w:val="0"/>
          <w:caps w:val="0"/>
          <w:color w:val="auto"/>
          <w:spacing w:val="0"/>
          <w:sz w:val="27"/>
          <w:szCs w:val="27"/>
          <w:highlight w:val="none"/>
          <w:lang w:val="en-US" w:eastAsia="zh-CN"/>
        </w:rPr>
        <w:t>07</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08</w:t>
      </w:r>
      <w:r>
        <w:rPr>
          <w:rFonts w:hint="eastAsia" w:ascii="仿宋" w:hAnsi="仿宋" w:eastAsia="仿宋" w:cs="仿宋"/>
          <w:i w:val="0"/>
          <w:iCs w:val="0"/>
          <w:caps w:val="0"/>
          <w:color w:val="auto"/>
          <w:spacing w:val="0"/>
          <w:sz w:val="27"/>
          <w:szCs w:val="27"/>
          <w:highlight w:val="none"/>
        </w:rPr>
        <w:t>日 1</w:t>
      </w:r>
      <w:r>
        <w:rPr>
          <w:rFonts w:hint="eastAsia" w:ascii="仿宋" w:hAnsi="仿宋" w:eastAsia="仿宋" w:cs="仿宋"/>
          <w:i w:val="0"/>
          <w:iCs w:val="0"/>
          <w:caps w:val="0"/>
          <w:color w:val="auto"/>
          <w:spacing w:val="0"/>
          <w:sz w:val="27"/>
          <w:szCs w:val="27"/>
          <w:highlight w:val="none"/>
          <w:lang w:val="en-US" w:eastAsia="zh-CN"/>
        </w:rPr>
        <w:t>6</w:t>
      </w:r>
      <w:r>
        <w:rPr>
          <w:rFonts w:hint="eastAsia" w:ascii="仿宋" w:hAnsi="仿宋" w:eastAsia="仿宋" w:cs="仿宋"/>
          <w:i w:val="0"/>
          <w:iCs w:val="0"/>
          <w:caps w:val="0"/>
          <w:color w:val="auto"/>
          <w:spacing w:val="0"/>
          <w:sz w:val="27"/>
          <w:szCs w:val="27"/>
          <w:highlight w:val="none"/>
        </w:rPr>
        <w:t>:00（北京时间）</w:t>
      </w:r>
    </w:p>
    <w:p w14:paraId="18BC65E3">
      <w:pPr>
        <w:pStyle w:val="7"/>
        <w:keepNext w:val="0"/>
        <w:keepLines w:val="0"/>
        <w:widowControl/>
        <w:suppressLineNumbers w:val="0"/>
        <w:wordWrap w:val="0"/>
        <w:spacing w:before="75" w:beforeAutospacing="0" w:after="75" w:afterAutospacing="0"/>
        <w:ind w:left="0" w:right="0"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开标地点：投标人登录政采云平台https://www.zcygov.cn/，进入“项目采购-开标评标-右边选择对应项目点击“进入项目”进入开标大厅。</w:t>
      </w:r>
    </w:p>
    <w:p w14:paraId="64903519">
      <w:pPr>
        <w:pStyle w:val="7"/>
        <w:keepNext w:val="0"/>
        <w:keepLines w:val="0"/>
        <w:widowControl/>
        <w:suppressLineNumbers w:val="0"/>
        <w:wordWrap w:val="0"/>
        <w:spacing w:before="255" w:beforeAutospacing="0" w:after="255" w:afterAutospacing="0" w:line="300" w:lineRule="atLeast"/>
        <w:ind w:left="0" w:right="0" w:firstLine="0"/>
        <w:jc w:val="both"/>
        <w:rPr>
          <w:rFonts w:ascii="黑体" w:hAnsi="宋体" w:eastAsia="黑体" w:cs="黑体"/>
          <w:i w:val="0"/>
          <w:iCs w:val="0"/>
          <w:caps w:val="0"/>
          <w:color w:val="auto"/>
          <w:spacing w:val="0"/>
          <w:sz w:val="31"/>
          <w:szCs w:val="31"/>
          <w:highlight w:val="none"/>
        </w:rPr>
      </w:pPr>
      <w:r>
        <w:rPr>
          <w:rStyle w:val="11"/>
          <w:rFonts w:ascii="黑体" w:hAnsi="宋体" w:eastAsia="黑体" w:cs="黑体"/>
          <w:i w:val="0"/>
          <w:iCs w:val="0"/>
          <w:caps w:val="0"/>
          <w:color w:val="auto"/>
          <w:spacing w:val="0"/>
          <w:sz w:val="27"/>
          <w:szCs w:val="27"/>
          <w:highlight w:val="none"/>
        </w:rPr>
        <w:t>五、公告期限</w:t>
      </w:r>
    </w:p>
    <w:p w14:paraId="5D2A54D4">
      <w:pPr>
        <w:pStyle w:val="7"/>
        <w:keepNext w:val="0"/>
        <w:keepLines w:val="0"/>
        <w:widowControl/>
        <w:suppressLineNumbers w:val="0"/>
        <w:wordWrap w:val="0"/>
        <w:spacing w:before="75" w:beforeAutospacing="0" w:after="75" w:afterAutospacing="0"/>
        <w:ind w:left="0" w:right="0" w:firstLine="420"/>
        <w:rPr>
          <w:rFonts w:ascii="微软雅黑" w:hAnsi="微软雅黑" w:eastAsia="微软雅黑" w:cs="微软雅黑"/>
          <w:i w:val="0"/>
          <w:iCs w:val="0"/>
          <w:caps w:val="0"/>
          <w:color w:val="auto"/>
          <w:spacing w:val="0"/>
          <w:sz w:val="27"/>
          <w:szCs w:val="27"/>
          <w:highlight w:val="none"/>
        </w:rPr>
      </w:pPr>
      <w:r>
        <w:rPr>
          <w:rFonts w:ascii="仿宋" w:hAnsi="仿宋" w:eastAsia="仿宋" w:cs="仿宋"/>
          <w:i w:val="0"/>
          <w:iCs w:val="0"/>
          <w:caps w:val="0"/>
          <w:color w:val="auto"/>
          <w:spacing w:val="0"/>
          <w:sz w:val="27"/>
          <w:szCs w:val="27"/>
          <w:highlight w:val="none"/>
        </w:rPr>
        <w:t>自本公告发布之日起</w:t>
      </w:r>
      <w:r>
        <w:rPr>
          <w:rFonts w:hint="eastAsia" w:ascii="仿宋" w:hAnsi="仿宋" w:eastAsia="仿宋" w:cs="仿宋"/>
          <w:i w:val="0"/>
          <w:iCs w:val="0"/>
          <w:caps w:val="0"/>
          <w:color w:val="auto"/>
          <w:spacing w:val="0"/>
          <w:sz w:val="27"/>
          <w:szCs w:val="27"/>
          <w:highlight w:val="none"/>
          <w:lang w:val="en-US" w:eastAsia="zh-CN"/>
        </w:rPr>
        <w:t>5</w:t>
      </w:r>
      <w:r>
        <w:rPr>
          <w:rFonts w:ascii="仿宋" w:hAnsi="仿宋" w:eastAsia="仿宋" w:cs="仿宋"/>
          <w:i w:val="0"/>
          <w:iCs w:val="0"/>
          <w:caps w:val="0"/>
          <w:color w:val="auto"/>
          <w:spacing w:val="0"/>
          <w:sz w:val="27"/>
          <w:szCs w:val="27"/>
          <w:highlight w:val="none"/>
        </w:rPr>
        <w:t>个工作日。</w:t>
      </w:r>
    </w:p>
    <w:p w14:paraId="25F274A4">
      <w:pPr>
        <w:pStyle w:val="7"/>
        <w:keepNext w:val="0"/>
        <w:keepLines w:val="0"/>
        <w:widowControl/>
        <w:suppressLineNumbers w:val="0"/>
        <w:wordWrap w:val="0"/>
        <w:spacing w:before="255" w:beforeAutospacing="0" w:after="255" w:afterAutospacing="0" w:line="300" w:lineRule="atLeast"/>
        <w:ind w:left="0" w:right="0" w:firstLine="0"/>
        <w:jc w:val="both"/>
        <w:rPr>
          <w:rFonts w:ascii="黑体" w:hAnsi="宋体" w:eastAsia="黑体" w:cs="黑体"/>
          <w:i w:val="0"/>
          <w:iCs w:val="0"/>
          <w:caps w:val="0"/>
          <w:color w:val="auto"/>
          <w:spacing w:val="0"/>
          <w:sz w:val="27"/>
          <w:szCs w:val="27"/>
          <w:highlight w:val="none"/>
        </w:rPr>
      </w:pPr>
      <w:r>
        <w:rPr>
          <w:rStyle w:val="11"/>
          <w:rFonts w:ascii="黑体" w:hAnsi="宋体" w:eastAsia="黑体" w:cs="黑体"/>
          <w:i w:val="0"/>
          <w:iCs w:val="0"/>
          <w:caps w:val="0"/>
          <w:color w:val="auto"/>
          <w:spacing w:val="0"/>
          <w:sz w:val="27"/>
          <w:szCs w:val="27"/>
          <w:highlight w:val="none"/>
        </w:rPr>
        <w:t>六、其他补充事宜</w:t>
      </w:r>
    </w:p>
    <w:p w14:paraId="2E54C12E">
      <w:pPr>
        <w:pStyle w:val="7"/>
        <w:keepNext w:val="0"/>
        <w:keepLines w:val="0"/>
        <w:widowControl/>
        <w:suppressLineNumbers w:val="0"/>
        <w:wordWrap w:val="0"/>
        <w:spacing w:before="255" w:beforeAutospacing="0" w:after="255" w:afterAutospacing="0" w:line="300" w:lineRule="atLeast"/>
        <w:ind w:left="0" w:right="0" w:firstLine="0"/>
        <w:jc w:val="both"/>
        <w:rPr>
          <w:rFonts w:ascii="黑体" w:hAnsi="宋体" w:eastAsia="黑体" w:cs="黑体"/>
          <w:i w:val="0"/>
          <w:iCs w:val="0"/>
          <w:caps w:val="0"/>
          <w:color w:val="auto"/>
          <w:spacing w:val="0"/>
          <w:sz w:val="27"/>
          <w:szCs w:val="27"/>
          <w:highlight w:val="none"/>
        </w:rPr>
      </w:pPr>
      <w:r>
        <w:rPr>
          <w:rFonts w:ascii="仿宋" w:hAnsi="仿宋" w:eastAsia="仿宋" w:cs="仿宋"/>
          <w:i w:val="0"/>
          <w:iCs w:val="0"/>
          <w:caps w:val="0"/>
          <w:color w:val="auto"/>
          <w:spacing w:val="0"/>
          <w:sz w:val="27"/>
          <w:szCs w:val="27"/>
          <w:highlight w:val="none"/>
        </w:rPr>
        <w:t>    1、本项目实行网上投标，采用电子投标文件。</w:t>
      </w:r>
    </w:p>
    <w:p w14:paraId="4F05B928">
      <w:pPr>
        <w:pStyle w:val="7"/>
        <w:keepNext w:val="0"/>
        <w:keepLines w:val="0"/>
        <w:widowControl/>
        <w:suppressLineNumbers w:val="0"/>
        <w:wordWrap w:val="0"/>
        <w:spacing w:before="75" w:beforeAutospacing="0" w:after="75" w:afterAutospacing="0"/>
        <w:ind w:left="0" w:right="0" w:firstLine="0"/>
        <w:rPr>
          <w:rFonts w:ascii="微软雅黑" w:hAnsi="微软雅黑" w:eastAsia="微软雅黑" w:cs="微软雅黑"/>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B911032">
      <w:pPr>
        <w:pStyle w:val="7"/>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3、供应商将政采云电子交易客户端下载、安装完成后，可通过账号密码或CA登录客户端进行投标文件的制作。在使用政采云投标客户端时，建议使用WIN7及以上操作系统。</w:t>
      </w:r>
    </w:p>
    <w:p w14:paraId="4B91EB38">
      <w:pPr>
        <w:pStyle w:val="7"/>
        <w:keepNext w:val="0"/>
        <w:keepLines w:val="0"/>
        <w:widowControl/>
        <w:suppressLineNumbers w:val="0"/>
        <w:wordWrap w:val="0"/>
        <w:spacing w:before="75" w:beforeAutospacing="0" w:after="75" w:afterAutospacing="0"/>
        <w:ind w:left="0" w:right="0" w:firstLine="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p>
    <w:p w14:paraId="262D8B66">
      <w:pPr>
        <w:pStyle w:val="7"/>
        <w:keepNext w:val="0"/>
        <w:keepLines w:val="0"/>
        <w:widowControl/>
        <w:suppressLineNumbers w:val="0"/>
        <w:wordWrap w:val="0"/>
        <w:spacing w:before="75" w:beforeAutospacing="0" w:after="75" w:afterAutospacing="0"/>
        <w:ind w:left="0" w:right="0" w:firstLine="0"/>
        <w:rPr>
          <w:rFonts w:hint="eastAsia" w:ascii="仿宋" w:hAnsi="仿宋" w:eastAsia="仿宋" w:cs="仿宋"/>
          <w:i w:val="0"/>
          <w:iCs w:val="0"/>
          <w:caps w:val="0"/>
          <w:color w:val="auto"/>
          <w:spacing w:val="0"/>
          <w:sz w:val="27"/>
          <w:szCs w:val="27"/>
          <w:highlight w:val="none"/>
        </w:rPr>
      </w:pPr>
    </w:p>
    <w:p w14:paraId="5C87B14F">
      <w:pPr>
        <w:pStyle w:val="7"/>
        <w:keepNext w:val="0"/>
        <w:keepLines w:val="0"/>
        <w:widowControl/>
        <w:suppressLineNumbers w:val="0"/>
        <w:wordWrap w:val="0"/>
        <w:spacing w:before="75" w:beforeAutospacing="0" w:after="75" w:afterAutospacing="0"/>
        <w:ind w:left="0" w:right="0" w:firstLine="0"/>
        <w:rPr>
          <w:rFonts w:hint="eastAsia" w:ascii="仿宋" w:hAnsi="仿宋" w:eastAsia="仿宋" w:cs="仿宋"/>
          <w:i w:val="0"/>
          <w:iCs w:val="0"/>
          <w:caps w:val="0"/>
          <w:color w:val="auto"/>
          <w:spacing w:val="0"/>
          <w:sz w:val="27"/>
          <w:szCs w:val="27"/>
          <w:highlight w:val="none"/>
        </w:rPr>
      </w:pPr>
    </w:p>
    <w:p w14:paraId="769224D1">
      <w:pPr>
        <w:pStyle w:val="7"/>
        <w:keepNext w:val="0"/>
        <w:keepLines w:val="0"/>
        <w:widowControl/>
        <w:numPr>
          <w:ilvl w:val="0"/>
          <w:numId w:val="5"/>
        </w:numPr>
        <w:suppressLineNumbers w:val="0"/>
        <w:wordWrap w:val="0"/>
        <w:spacing w:before="75" w:beforeAutospacing="0" w:after="75" w:afterAutospacing="0"/>
        <w:ind w:left="75" w:leftChars="0" w:right="0" w:firstLine="0" w:firstLineChars="0"/>
        <w:rPr>
          <w:rStyle w:val="12"/>
          <w:rFonts w:hint="eastAsia" w:ascii="仿宋" w:hAnsi="仿宋" w:eastAsia="仿宋" w:cs="仿宋"/>
          <w:b/>
          <w:bCs/>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其他事项： </w:t>
      </w:r>
      <w:r>
        <w:rPr>
          <w:rStyle w:val="12"/>
          <w:rFonts w:hint="eastAsia" w:ascii="仿宋" w:hAnsi="仿宋" w:eastAsia="仿宋" w:cs="仿宋"/>
          <w:i w:val="0"/>
          <w:iCs w:val="0"/>
          <w:caps w:val="0"/>
          <w:color w:val="auto"/>
          <w:spacing w:val="0"/>
          <w:sz w:val="27"/>
          <w:szCs w:val="27"/>
          <w:highlight w:val="none"/>
        </w:rPr>
        <w:t>1、采购文件获取须知：</w:t>
      </w:r>
      <w:r>
        <w:rPr>
          <w:rStyle w:val="12"/>
          <w:rFonts w:hint="eastAsia" w:ascii="仿宋" w:hAnsi="仿宋" w:eastAsia="仿宋" w:cs="仿宋"/>
          <w:i w:val="0"/>
          <w:iCs w:val="0"/>
          <w:caps w:val="0"/>
          <w:color w:val="auto"/>
          <w:spacing w:val="0"/>
          <w:sz w:val="27"/>
          <w:szCs w:val="27"/>
          <w:highlight w:val="none"/>
        </w:rPr>
        <w:br w:type="textWrapping"/>
      </w:r>
      <w:r>
        <w:rPr>
          <w:rStyle w:val="12"/>
          <w:rFonts w:hint="eastAsia" w:ascii="仿宋" w:hAnsi="仿宋" w:eastAsia="仿宋" w:cs="仿宋"/>
          <w:i w:val="0"/>
          <w:iCs w:val="0"/>
          <w:caps w:val="0"/>
          <w:color w:val="auto"/>
          <w:spacing w:val="0"/>
          <w:sz w:val="27"/>
          <w:szCs w:val="27"/>
          <w:highlight w:val="none"/>
        </w:rPr>
        <w:t>（1）政采云平台已注册供应商可申请获取采购文件；</w:t>
      </w:r>
      <w:r>
        <w:rPr>
          <w:rStyle w:val="12"/>
          <w:rFonts w:hint="eastAsia" w:ascii="仿宋" w:hAnsi="仿宋" w:eastAsia="仿宋" w:cs="仿宋"/>
          <w:i w:val="0"/>
          <w:iCs w:val="0"/>
          <w:caps w:val="0"/>
          <w:color w:val="auto"/>
          <w:spacing w:val="0"/>
          <w:sz w:val="27"/>
          <w:szCs w:val="27"/>
          <w:highlight w:val="none"/>
        </w:rPr>
        <w:br w:type="textWrapping"/>
      </w:r>
      <w:r>
        <w:rPr>
          <w:rStyle w:val="12"/>
          <w:rFonts w:hint="eastAsia" w:ascii="仿宋" w:hAnsi="仿宋" w:eastAsia="仿宋" w:cs="仿宋"/>
          <w:i w:val="0"/>
          <w:iCs w:val="0"/>
          <w:caps w:val="0"/>
          <w:color w:val="auto"/>
          <w:spacing w:val="0"/>
          <w:sz w:val="27"/>
          <w:szCs w:val="27"/>
          <w:highlight w:val="none"/>
        </w:rPr>
        <w:t>网址：https://middle.zcygov.cn/v-settle-front/registry</w:t>
      </w:r>
      <w:r>
        <w:rPr>
          <w:rStyle w:val="12"/>
          <w:rFonts w:hint="eastAsia" w:ascii="仿宋" w:hAnsi="仿宋" w:eastAsia="仿宋" w:cs="仿宋"/>
          <w:i w:val="0"/>
          <w:iCs w:val="0"/>
          <w:caps w:val="0"/>
          <w:color w:val="auto"/>
          <w:spacing w:val="0"/>
          <w:sz w:val="27"/>
          <w:szCs w:val="27"/>
          <w:highlight w:val="none"/>
        </w:rPr>
        <w:br w:type="textWrapping"/>
      </w:r>
      <w:r>
        <w:rPr>
          <w:rStyle w:val="12"/>
          <w:rFonts w:hint="eastAsia" w:ascii="仿宋" w:hAnsi="仿宋" w:eastAsia="仿宋" w:cs="仿宋"/>
          <w:i w:val="0"/>
          <w:iCs w:val="0"/>
          <w:caps w:val="0"/>
          <w:color w:val="auto"/>
          <w:spacing w:val="0"/>
          <w:sz w:val="27"/>
          <w:szCs w:val="27"/>
          <w:highlight w:val="none"/>
        </w:rPr>
        <w:t>（2）登陆网址：https://login.zcygov.cn </w:t>
      </w:r>
      <w:r>
        <w:rPr>
          <w:rStyle w:val="12"/>
          <w:rFonts w:hint="eastAsia" w:ascii="仿宋" w:hAnsi="仿宋" w:eastAsia="仿宋" w:cs="仿宋"/>
          <w:i w:val="0"/>
          <w:iCs w:val="0"/>
          <w:caps w:val="0"/>
          <w:color w:val="auto"/>
          <w:spacing w:val="0"/>
          <w:sz w:val="27"/>
          <w:szCs w:val="27"/>
          <w:highlight w:val="none"/>
        </w:rPr>
        <w:br w:type="textWrapping"/>
      </w:r>
      <w:r>
        <w:rPr>
          <w:rStyle w:val="12"/>
          <w:rFonts w:hint="eastAsia" w:ascii="仿宋" w:hAnsi="仿宋" w:eastAsia="仿宋" w:cs="仿宋"/>
          <w:i w:val="0"/>
          <w:iCs w:val="0"/>
          <w:caps w:val="0"/>
          <w:color w:val="auto"/>
          <w:spacing w:val="0"/>
          <w:sz w:val="27"/>
          <w:szCs w:val="27"/>
          <w:highlight w:val="none"/>
        </w:rPr>
        <w:t>（3）操作方法：登录政采云平台→【项目采购】→【获取采购文件】→通过项目区划或项目编号搜索项目→申请获取采购文件→进入获取采购文件信息填写页面，按要求规范填写信息（其中带“*”项为必填项）并提交；</w:t>
      </w:r>
      <w:r>
        <w:rPr>
          <w:rStyle w:val="12"/>
          <w:rFonts w:hint="eastAsia" w:ascii="仿宋" w:hAnsi="仿宋" w:eastAsia="仿宋" w:cs="仿宋"/>
          <w:i w:val="0"/>
          <w:iCs w:val="0"/>
          <w:caps w:val="0"/>
          <w:color w:val="auto"/>
          <w:spacing w:val="0"/>
          <w:sz w:val="27"/>
          <w:szCs w:val="27"/>
          <w:highlight w:val="none"/>
        </w:rPr>
        <w:br w:type="textWrapping"/>
      </w:r>
      <w:r>
        <w:rPr>
          <w:rStyle w:val="12"/>
          <w:rFonts w:hint="eastAsia" w:ascii="仿宋" w:hAnsi="仿宋" w:eastAsia="仿宋" w:cs="仿宋"/>
          <w:i w:val="0"/>
          <w:iCs w:val="0"/>
          <w:caps w:val="0"/>
          <w:color w:val="auto"/>
          <w:spacing w:val="0"/>
          <w:sz w:val="27"/>
          <w:szCs w:val="27"/>
          <w:highlight w:val="none"/>
        </w:rPr>
        <w:t>（4）如有操作性问题，请咨询政采云在线客服，咨询电话：40088171902</w:t>
      </w:r>
      <w:r>
        <w:rPr>
          <w:rStyle w:val="12"/>
          <w:rFonts w:hint="eastAsia" w:ascii="仿宋" w:hAnsi="仿宋" w:eastAsia="仿宋" w:cs="仿宋"/>
          <w:i w:val="0"/>
          <w:iCs w:val="0"/>
          <w:caps w:val="0"/>
          <w:color w:val="auto"/>
          <w:spacing w:val="0"/>
          <w:sz w:val="27"/>
          <w:szCs w:val="27"/>
          <w:highlight w:val="none"/>
        </w:rPr>
        <w:br w:type="textWrapping"/>
      </w:r>
      <w:r>
        <w:rPr>
          <w:rStyle w:val="12"/>
          <w:rFonts w:hint="eastAsia" w:ascii="仿宋" w:hAnsi="仿宋" w:eastAsia="仿宋" w:cs="仿宋"/>
          <w:i w:val="0"/>
          <w:iCs w:val="0"/>
          <w:caps w:val="0"/>
          <w:color w:val="auto"/>
          <w:spacing w:val="0"/>
          <w:sz w:val="27"/>
          <w:szCs w:val="27"/>
          <w:highlight w:val="none"/>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r>
        <w:rPr>
          <w:rStyle w:val="12"/>
          <w:rFonts w:hint="eastAsia" w:ascii="仿宋" w:hAnsi="仿宋" w:eastAsia="仿宋" w:cs="仿宋"/>
          <w:i w:val="0"/>
          <w:iCs w:val="0"/>
          <w:caps w:val="0"/>
          <w:color w:val="auto"/>
          <w:spacing w:val="0"/>
          <w:sz w:val="27"/>
          <w:szCs w:val="27"/>
          <w:highlight w:val="none"/>
        </w:rPr>
        <w:br w:type="textWrapping"/>
      </w:r>
      <w:r>
        <w:rPr>
          <w:rStyle w:val="12"/>
          <w:rFonts w:hint="eastAsia" w:ascii="仿宋" w:hAnsi="仿宋" w:eastAsia="仿宋" w:cs="仿宋"/>
          <w:i w:val="0"/>
          <w:iCs w:val="0"/>
          <w:caps w:val="0"/>
          <w:color w:val="auto"/>
          <w:spacing w:val="0"/>
          <w:sz w:val="27"/>
          <w:szCs w:val="27"/>
          <w:highlight w:val="none"/>
        </w:rPr>
        <w:t>3、本项目实行网上投标，采用电子投标文件(供应商须使用CA加密设备通过政采云电子投标客户端制作投标文件)。若供应商参与投标，自行承担投标一切费用。</w:t>
      </w:r>
      <w:r>
        <w:rPr>
          <w:rStyle w:val="12"/>
          <w:rFonts w:hint="eastAsia" w:ascii="仿宋" w:hAnsi="仿宋" w:eastAsia="仿宋" w:cs="仿宋"/>
          <w:i w:val="0"/>
          <w:iCs w:val="0"/>
          <w:caps w:val="0"/>
          <w:color w:val="auto"/>
          <w:spacing w:val="0"/>
          <w:sz w:val="27"/>
          <w:szCs w:val="27"/>
          <w:highlight w:val="none"/>
        </w:rPr>
        <w:br w:type="textWrapping"/>
      </w:r>
      <w:r>
        <w:rPr>
          <w:rStyle w:val="12"/>
          <w:rFonts w:hint="eastAsia" w:ascii="仿宋" w:hAnsi="仿宋" w:eastAsia="仿宋" w:cs="仿宋"/>
          <w:i w:val="0"/>
          <w:iCs w:val="0"/>
          <w:caps w:val="0"/>
          <w:color w:val="auto"/>
          <w:spacing w:val="0"/>
          <w:sz w:val="27"/>
          <w:szCs w:val="27"/>
          <w:highlight w:val="none"/>
        </w:rPr>
        <w:t>4、各供应商应在开标前应确保成为新疆政府采购网正式注册入库供应商，并完成CA数字证书申领。因未注册入库、未办理CA数字证书等原因造成无法投标或投标失败等后果由供应商自行承担。</w:t>
      </w:r>
      <w:r>
        <w:rPr>
          <w:rStyle w:val="12"/>
          <w:rFonts w:hint="eastAsia" w:ascii="仿宋" w:hAnsi="仿宋" w:eastAsia="仿宋" w:cs="仿宋"/>
          <w:i w:val="0"/>
          <w:iCs w:val="0"/>
          <w:caps w:val="0"/>
          <w:color w:val="auto"/>
          <w:spacing w:val="0"/>
          <w:sz w:val="27"/>
          <w:szCs w:val="27"/>
          <w:highlight w:val="none"/>
        </w:rPr>
        <w:br w:type="textWrapping"/>
      </w:r>
      <w:r>
        <w:rPr>
          <w:rStyle w:val="12"/>
          <w:rFonts w:hint="eastAsia" w:ascii="仿宋" w:hAnsi="仿宋" w:eastAsia="仿宋" w:cs="仿宋"/>
          <w:i w:val="0"/>
          <w:iCs w:val="0"/>
          <w:caps w:val="0"/>
          <w:color w:val="auto"/>
          <w:spacing w:val="0"/>
          <w:sz w:val="27"/>
          <w:szCs w:val="27"/>
          <w:highlight w:val="none"/>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r>
        <w:rPr>
          <w:rStyle w:val="12"/>
          <w:rFonts w:hint="eastAsia" w:ascii="仿宋" w:hAnsi="仿宋" w:eastAsia="仿宋" w:cs="仿宋"/>
          <w:i w:val="0"/>
          <w:iCs w:val="0"/>
          <w:caps w:val="0"/>
          <w:color w:val="auto"/>
          <w:spacing w:val="0"/>
          <w:sz w:val="27"/>
          <w:szCs w:val="27"/>
          <w:highlight w:val="none"/>
        </w:rPr>
        <w:br w:type="textWrapping"/>
      </w:r>
      <w:r>
        <w:rPr>
          <w:rStyle w:val="12"/>
          <w:rFonts w:hint="eastAsia" w:ascii="仿宋" w:hAnsi="仿宋" w:eastAsia="仿宋" w:cs="仿宋"/>
          <w:i w:val="0"/>
          <w:iCs w:val="0"/>
          <w:caps w:val="0"/>
          <w:color w:val="auto"/>
          <w:spacing w:val="0"/>
          <w:sz w:val="27"/>
          <w:szCs w:val="27"/>
          <w:highlight w:val="none"/>
        </w:rPr>
        <w:t>6.供应商在开标时须使用制作加密电子投标文件所使用的CA锁及电脑，电脑须提前配置好浏览器（建议使用360浏览器或谷歌浏览器），以便开标时解锁。</w:t>
      </w:r>
      <w:r>
        <w:rPr>
          <w:rStyle w:val="12"/>
          <w:rFonts w:hint="eastAsia" w:ascii="仿宋" w:hAnsi="仿宋" w:eastAsia="仿宋" w:cs="仿宋"/>
          <w:i w:val="0"/>
          <w:iCs w:val="0"/>
          <w:caps w:val="0"/>
          <w:color w:val="auto"/>
          <w:spacing w:val="0"/>
          <w:sz w:val="27"/>
          <w:szCs w:val="27"/>
          <w:highlight w:val="none"/>
        </w:rPr>
        <w:br w:type="textWrapping"/>
      </w:r>
      <w:r>
        <w:rPr>
          <w:rStyle w:val="12"/>
          <w:rFonts w:hint="eastAsia" w:ascii="仿宋" w:hAnsi="仿宋" w:eastAsia="仿宋" w:cs="仿宋"/>
          <w:i w:val="0"/>
          <w:iCs w:val="0"/>
          <w:caps w:val="0"/>
          <w:color w:val="auto"/>
          <w:spacing w:val="0"/>
          <w:sz w:val="27"/>
          <w:szCs w:val="27"/>
          <w:highlight w:val="none"/>
        </w:rPr>
        <w:t>7.投标保证金缴纳及确认时间：凡拟参加本次招标项目的供应商，必须在开标前将投标保证金汇入指定账户。否则，届时其投标将被拒绝。</w:t>
      </w:r>
      <w:r>
        <w:rPr>
          <w:rStyle w:val="12"/>
          <w:rFonts w:hint="eastAsia" w:ascii="仿宋" w:hAnsi="仿宋" w:eastAsia="仿宋" w:cs="仿宋"/>
          <w:i w:val="0"/>
          <w:iCs w:val="0"/>
          <w:caps w:val="0"/>
          <w:color w:val="auto"/>
          <w:spacing w:val="0"/>
          <w:sz w:val="27"/>
          <w:szCs w:val="27"/>
          <w:highlight w:val="none"/>
        </w:rPr>
        <w:br w:type="textWrapping"/>
      </w:r>
      <w:r>
        <w:rPr>
          <w:rStyle w:val="12"/>
          <w:rFonts w:hint="eastAsia" w:ascii="仿宋" w:hAnsi="仿宋" w:eastAsia="仿宋" w:cs="仿宋"/>
          <w:i w:val="0"/>
          <w:iCs w:val="0"/>
          <w:caps w:val="0"/>
          <w:color w:val="auto"/>
          <w:spacing w:val="0"/>
          <w:sz w:val="27"/>
          <w:szCs w:val="27"/>
          <w:highlight w:val="none"/>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r>
        <w:rPr>
          <w:rStyle w:val="12"/>
          <w:rFonts w:hint="eastAsia" w:ascii="仿宋" w:hAnsi="仿宋" w:eastAsia="仿宋" w:cs="仿宋"/>
          <w:i w:val="0"/>
          <w:iCs w:val="0"/>
          <w:caps w:val="0"/>
          <w:color w:val="auto"/>
          <w:spacing w:val="0"/>
          <w:sz w:val="27"/>
          <w:szCs w:val="27"/>
          <w:highlight w:val="none"/>
        </w:rPr>
        <w:br w:type="textWrapping"/>
      </w:r>
      <w:r>
        <w:rPr>
          <w:rStyle w:val="12"/>
          <w:rFonts w:hint="eastAsia" w:ascii="仿宋" w:hAnsi="仿宋" w:eastAsia="仿宋" w:cs="仿宋"/>
          <w:b/>
          <w:bCs/>
          <w:i w:val="0"/>
          <w:iCs w:val="0"/>
          <w:caps w:val="0"/>
          <w:color w:val="auto"/>
          <w:spacing w:val="0"/>
          <w:sz w:val="27"/>
          <w:szCs w:val="27"/>
          <w:highlight w:val="none"/>
        </w:rPr>
        <w:t>特别提示：</w:t>
      </w:r>
      <w:r>
        <w:rPr>
          <w:rStyle w:val="12"/>
          <w:rFonts w:hint="eastAsia" w:ascii="仿宋" w:hAnsi="仿宋" w:eastAsia="仿宋" w:cs="仿宋"/>
          <w:b/>
          <w:bCs/>
          <w:i w:val="0"/>
          <w:iCs w:val="0"/>
          <w:caps w:val="0"/>
          <w:color w:val="auto"/>
          <w:spacing w:val="0"/>
          <w:sz w:val="27"/>
          <w:szCs w:val="27"/>
          <w:highlight w:val="none"/>
        </w:rPr>
        <w:br w:type="textWrapping"/>
      </w:r>
      <w:r>
        <w:rPr>
          <w:rStyle w:val="12"/>
          <w:rFonts w:hint="eastAsia" w:ascii="仿宋" w:hAnsi="仿宋" w:eastAsia="仿宋" w:cs="仿宋"/>
          <w:b/>
          <w:bCs/>
          <w:i w:val="0"/>
          <w:iCs w:val="0"/>
          <w:caps w:val="0"/>
          <w:color w:val="auto"/>
          <w:spacing w:val="0"/>
          <w:sz w:val="27"/>
          <w:szCs w:val="27"/>
          <w:highlight w:val="none"/>
        </w:rPr>
        <w:t>1、采购限额标准以上，200万元以下的货物和服务采购项目、400万元以下的工程采购项目，适宜由中小企业提供的，采购人应当专门面向中小企业采购。</w:t>
      </w:r>
      <w:r>
        <w:rPr>
          <w:rStyle w:val="12"/>
          <w:rFonts w:hint="eastAsia" w:ascii="仿宋" w:hAnsi="仿宋" w:eastAsia="仿宋" w:cs="仿宋"/>
          <w:b/>
          <w:bCs/>
          <w:i w:val="0"/>
          <w:iCs w:val="0"/>
          <w:caps w:val="0"/>
          <w:color w:val="auto"/>
          <w:spacing w:val="0"/>
          <w:sz w:val="27"/>
          <w:szCs w:val="27"/>
          <w:highlight w:val="none"/>
        </w:rPr>
        <w:br w:type="textWrapping"/>
      </w:r>
      <w:r>
        <w:rPr>
          <w:rStyle w:val="12"/>
          <w:rFonts w:hint="eastAsia" w:ascii="仿宋" w:hAnsi="仿宋" w:eastAsia="仿宋" w:cs="仿宋"/>
          <w:b/>
          <w:bCs/>
          <w:i w:val="0"/>
          <w:iCs w:val="0"/>
          <w:caps w:val="0"/>
          <w:color w:val="auto"/>
          <w:spacing w:val="0"/>
          <w:sz w:val="27"/>
          <w:szCs w:val="27"/>
          <w:highlight w:val="none"/>
        </w:rPr>
        <w:t>2、超过200万元的货物和服务采购项目，预留该部分采购项目预算总额的30%以上专门面向中小企业采购，其中预留给小微企业的比例不低于60%。</w:t>
      </w:r>
    </w:p>
    <w:p w14:paraId="45370F1D">
      <w:pPr>
        <w:pStyle w:val="7"/>
        <w:keepNext w:val="0"/>
        <w:keepLines w:val="0"/>
        <w:widowControl/>
        <w:numPr>
          <w:ilvl w:val="0"/>
          <w:numId w:val="0"/>
        </w:numPr>
        <w:suppressLineNumbers w:val="0"/>
        <w:wordWrap w:val="0"/>
        <w:spacing w:before="75" w:beforeAutospacing="0" w:after="75" w:afterAutospacing="0"/>
        <w:ind w:left="75" w:leftChars="0" w:right="0" w:rightChars="0"/>
        <w:rPr>
          <w:rFonts w:hint="eastAsia" w:ascii="微软雅黑" w:hAnsi="微软雅黑" w:eastAsia="微软雅黑" w:cs="微软雅黑"/>
          <w:b/>
          <w:bCs/>
          <w:i w:val="0"/>
          <w:iCs w:val="0"/>
          <w:caps w:val="0"/>
          <w:color w:val="auto"/>
          <w:spacing w:val="0"/>
          <w:sz w:val="27"/>
          <w:szCs w:val="27"/>
          <w:highlight w:val="none"/>
        </w:rPr>
      </w:pPr>
    </w:p>
    <w:p w14:paraId="57148C09">
      <w:pPr>
        <w:pStyle w:val="7"/>
        <w:keepNext w:val="0"/>
        <w:keepLines w:val="0"/>
        <w:widowControl/>
        <w:numPr>
          <w:ilvl w:val="0"/>
          <w:numId w:val="0"/>
        </w:numPr>
        <w:suppressLineNumbers w:val="0"/>
        <w:wordWrap w:val="0"/>
        <w:spacing w:before="75" w:beforeAutospacing="0" w:after="75" w:afterAutospacing="0"/>
        <w:ind w:left="75" w:leftChars="0" w:right="0" w:rightChars="0"/>
        <w:rPr>
          <w:rFonts w:hint="eastAsia" w:ascii="微软雅黑" w:hAnsi="微软雅黑" w:eastAsia="微软雅黑" w:cs="微软雅黑"/>
          <w:b/>
          <w:bCs/>
          <w:i w:val="0"/>
          <w:iCs w:val="0"/>
          <w:caps w:val="0"/>
          <w:color w:val="auto"/>
          <w:spacing w:val="0"/>
          <w:sz w:val="27"/>
          <w:szCs w:val="27"/>
          <w:highlight w:val="none"/>
        </w:rPr>
      </w:pPr>
      <w:r>
        <w:rPr>
          <w:rStyle w:val="12"/>
          <w:rFonts w:hint="eastAsia" w:ascii="仿宋" w:hAnsi="仿宋" w:eastAsia="仿宋" w:cs="仿宋"/>
          <w:b/>
          <w:bCs/>
          <w:i w:val="0"/>
          <w:iCs w:val="0"/>
          <w:caps w:val="0"/>
          <w:color w:val="auto"/>
          <w:spacing w:val="0"/>
          <w:sz w:val="27"/>
          <w:szCs w:val="27"/>
          <w:highlight w:val="none"/>
        </w:rPr>
        <w:br w:type="textWrapping"/>
      </w:r>
      <w:r>
        <w:rPr>
          <w:rStyle w:val="12"/>
          <w:rFonts w:hint="eastAsia" w:ascii="仿宋" w:hAnsi="仿宋" w:eastAsia="仿宋" w:cs="仿宋"/>
          <w:b/>
          <w:bCs/>
          <w:i w:val="0"/>
          <w:iCs w:val="0"/>
          <w:caps w:val="0"/>
          <w:color w:val="auto"/>
          <w:spacing w:val="0"/>
          <w:sz w:val="27"/>
          <w:szCs w:val="27"/>
          <w:highlight w:val="none"/>
        </w:rPr>
        <w:t>3、超过400万元的工程采购项目中适宜由中小企业提供的，预留该部分采购项目预算总额的40%以上专门面向中小企业采购，其中预留给小微企业的比例不低于60%。</w:t>
      </w:r>
      <w:r>
        <w:rPr>
          <w:rStyle w:val="12"/>
          <w:rFonts w:hint="eastAsia" w:ascii="仿宋" w:hAnsi="仿宋" w:eastAsia="仿宋" w:cs="仿宋"/>
          <w:b/>
          <w:bCs/>
          <w:i w:val="0"/>
          <w:iCs w:val="0"/>
          <w:caps w:val="0"/>
          <w:color w:val="auto"/>
          <w:spacing w:val="0"/>
          <w:sz w:val="27"/>
          <w:szCs w:val="27"/>
          <w:highlight w:val="none"/>
        </w:rPr>
        <w:br w:type="textWrapping"/>
      </w:r>
      <w:r>
        <w:rPr>
          <w:rStyle w:val="12"/>
          <w:rFonts w:hint="eastAsia" w:ascii="仿宋" w:hAnsi="仿宋" w:eastAsia="仿宋" w:cs="仿宋"/>
          <w:b/>
          <w:bCs/>
          <w:i w:val="0"/>
          <w:iCs w:val="0"/>
          <w:caps w:val="0"/>
          <w:color w:val="auto"/>
          <w:spacing w:val="0"/>
          <w:sz w:val="27"/>
          <w:szCs w:val="27"/>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Style w:val="12"/>
          <w:rFonts w:hint="eastAsia" w:ascii="仿宋" w:hAnsi="仿宋" w:eastAsia="仿宋" w:cs="仿宋"/>
          <w:b/>
          <w:bCs/>
          <w:i w:val="0"/>
          <w:iCs w:val="0"/>
          <w:caps w:val="0"/>
          <w:color w:val="auto"/>
          <w:spacing w:val="0"/>
          <w:sz w:val="27"/>
          <w:szCs w:val="27"/>
          <w:highlight w:val="none"/>
        </w:rPr>
        <w:br w:type="textWrapping"/>
      </w:r>
      <w:r>
        <w:rPr>
          <w:rStyle w:val="12"/>
          <w:rFonts w:hint="eastAsia" w:ascii="仿宋" w:hAnsi="仿宋" w:eastAsia="仿宋" w:cs="仿宋"/>
          <w:b/>
          <w:bCs/>
          <w:i w:val="0"/>
          <w:iCs w:val="0"/>
          <w:caps w:val="0"/>
          <w:color w:val="auto"/>
          <w:spacing w:val="0"/>
          <w:sz w:val="27"/>
          <w:szCs w:val="27"/>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r>
        <w:rPr>
          <w:rFonts w:hint="eastAsia" w:ascii="仿宋" w:hAnsi="仿宋" w:eastAsia="仿宋" w:cs="仿宋"/>
          <w:b/>
          <w:bCs/>
          <w:i w:val="0"/>
          <w:iCs w:val="0"/>
          <w:caps w:val="0"/>
          <w:color w:val="auto"/>
          <w:spacing w:val="0"/>
          <w:sz w:val="27"/>
          <w:szCs w:val="27"/>
          <w:highlight w:val="none"/>
        </w:rPr>
        <w:t>  </w:t>
      </w:r>
    </w:p>
    <w:p w14:paraId="07624587">
      <w:pPr>
        <w:spacing w:before="66" w:line="360" w:lineRule="auto"/>
        <w:ind w:left="404"/>
        <w:outlineLvl w:val="3"/>
        <w:rPr>
          <w:rStyle w:val="11"/>
          <w:rFonts w:ascii="黑体" w:hAnsi="宋体" w:eastAsia="黑体" w:cs="黑体"/>
          <w:i w:val="0"/>
          <w:iCs w:val="0"/>
          <w:caps w:val="0"/>
          <w:color w:val="auto"/>
          <w:spacing w:val="0"/>
          <w:sz w:val="24"/>
          <w:szCs w:val="24"/>
          <w:highlight w:val="none"/>
        </w:rPr>
      </w:pPr>
      <w:r>
        <w:rPr>
          <w:rStyle w:val="11"/>
          <w:rFonts w:ascii="黑体" w:hAnsi="宋体" w:eastAsia="黑体" w:cs="黑体"/>
          <w:i w:val="0"/>
          <w:iCs w:val="0"/>
          <w:caps w:val="0"/>
          <w:color w:val="auto"/>
          <w:spacing w:val="0"/>
          <w:sz w:val="24"/>
          <w:szCs w:val="24"/>
          <w:highlight w:val="none"/>
        </w:rPr>
        <w:t>七、对本次采购提出询问，请按以下方式联系</w:t>
      </w:r>
    </w:p>
    <w:p w14:paraId="240A142B">
      <w:pPr>
        <w:spacing w:before="66" w:line="183" w:lineRule="auto"/>
        <w:ind w:left="404"/>
        <w:outlineLvl w:val="3"/>
        <w:rPr>
          <w:rStyle w:val="11"/>
          <w:rFonts w:ascii="黑体" w:hAnsi="宋体" w:eastAsia="黑体" w:cs="黑体"/>
          <w:i w:val="0"/>
          <w:iCs w:val="0"/>
          <w:caps w:val="0"/>
          <w:color w:val="auto"/>
          <w:spacing w:val="0"/>
          <w:sz w:val="27"/>
          <w:szCs w:val="27"/>
          <w:highlight w:val="none"/>
        </w:rPr>
      </w:pPr>
      <w:r>
        <w:rPr>
          <w:rFonts w:ascii="仿宋" w:hAnsi="仿宋" w:eastAsia="仿宋" w:cs="仿宋"/>
          <w:i w:val="0"/>
          <w:iCs w:val="0"/>
          <w:caps w:val="0"/>
          <w:color w:val="auto"/>
          <w:spacing w:val="0"/>
          <w:sz w:val="27"/>
          <w:szCs w:val="27"/>
          <w:highlight w:val="none"/>
        </w:rPr>
        <w:t>1.采购人信息</w:t>
      </w:r>
    </w:p>
    <w:p w14:paraId="672E26EC">
      <w:pPr>
        <w:spacing w:before="66" w:line="183" w:lineRule="auto"/>
        <w:ind w:left="404"/>
        <w:outlineLvl w:val="3"/>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lang w:val="en-US" w:eastAsia="zh-CN"/>
        </w:rPr>
        <w:t>名称：</w:t>
      </w:r>
      <w:r>
        <w:rPr>
          <w:rFonts w:ascii="仿宋" w:hAnsi="仿宋" w:eastAsia="仿宋" w:cs="仿宋"/>
          <w:i w:val="0"/>
          <w:iCs w:val="0"/>
          <w:caps w:val="0"/>
          <w:color w:val="auto"/>
          <w:spacing w:val="0"/>
          <w:sz w:val="27"/>
          <w:szCs w:val="27"/>
          <w:highlight w:val="none"/>
        </w:rPr>
        <w:t xml:space="preserve"> </w:t>
      </w:r>
      <w:r>
        <w:rPr>
          <w:rFonts w:hint="eastAsia" w:ascii="仿宋" w:hAnsi="仿宋" w:eastAsia="仿宋" w:cs="仿宋"/>
          <w:i w:val="0"/>
          <w:iCs w:val="0"/>
          <w:caps w:val="0"/>
          <w:color w:val="auto"/>
          <w:spacing w:val="0"/>
          <w:sz w:val="27"/>
          <w:szCs w:val="27"/>
          <w:highlight w:val="none"/>
          <w:lang w:eastAsia="zh-CN"/>
        </w:rPr>
        <w:t>麦盖提县发展和改革委员会</w:t>
      </w:r>
    </w:p>
    <w:p w14:paraId="3D1B9A23">
      <w:pPr>
        <w:spacing w:before="66" w:line="183" w:lineRule="auto"/>
        <w:ind w:left="404"/>
        <w:outlineLvl w:val="3"/>
        <w:rPr>
          <w:rFonts w:hint="eastAsia" w:ascii="仿宋" w:hAnsi="仿宋" w:eastAsia="仿宋" w:cs="仿宋"/>
          <w:i w:val="0"/>
          <w:iCs w:val="0"/>
          <w:caps w:val="0"/>
          <w:color w:val="auto"/>
          <w:spacing w:val="0"/>
          <w:sz w:val="27"/>
          <w:szCs w:val="27"/>
          <w:highlight w:val="none"/>
          <w:lang w:eastAsia="zh-CN"/>
        </w:rPr>
      </w:pPr>
      <w:r>
        <w:rPr>
          <w:rFonts w:ascii="仿宋" w:hAnsi="仿宋" w:eastAsia="仿宋" w:cs="仿宋"/>
          <w:i w:val="0"/>
          <w:iCs w:val="0"/>
          <w:caps w:val="0"/>
          <w:color w:val="auto"/>
          <w:spacing w:val="0"/>
          <w:sz w:val="27"/>
          <w:szCs w:val="27"/>
          <w:highlight w:val="none"/>
        </w:rPr>
        <w:t xml:space="preserve">地址： </w:t>
      </w:r>
      <w:r>
        <w:rPr>
          <w:rFonts w:hint="eastAsia" w:ascii="仿宋" w:hAnsi="仿宋" w:eastAsia="仿宋" w:cs="仿宋"/>
          <w:i w:val="0"/>
          <w:iCs w:val="0"/>
          <w:caps w:val="0"/>
          <w:color w:val="auto"/>
          <w:spacing w:val="0"/>
          <w:sz w:val="27"/>
          <w:szCs w:val="27"/>
          <w:highlight w:val="none"/>
          <w:lang w:eastAsia="zh-CN"/>
        </w:rPr>
        <w:t>麦盖提县</w:t>
      </w:r>
    </w:p>
    <w:p w14:paraId="3D46E434">
      <w:pPr>
        <w:spacing w:before="66" w:line="183" w:lineRule="auto"/>
        <w:ind w:left="404"/>
        <w:outlineLvl w:val="3"/>
        <w:rPr>
          <w:rFonts w:ascii="仿宋" w:hAnsi="仿宋" w:eastAsia="仿宋" w:cs="仿宋"/>
          <w:i w:val="0"/>
          <w:iCs w:val="0"/>
          <w:caps w:val="0"/>
          <w:color w:val="auto"/>
          <w:spacing w:val="0"/>
          <w:sz w:val="27"/>
          <w:szCs w:val="27"/>
          <w:highlight w:val="none"/>
        </w:rPr>
      </w:pPr>
      <w:r>
        <w:rPr>
          <w:rFonts w:ascii="仿宋" w:hAnsi="仿宋" w:eastAsia="仿宋" w:cs="仿宋"/>
          <w:i w:val="0"/>
          <w:iCs w:val="0"/>
          <w:caps w:val="0"/>
          <w:color w:val="auto"/>
          <w:spacing w:val="0"/>
          <w:sz w:val="27"/>
          <w:szCs w:val="27"/>
          <w:highlight w:val="none"/>
        </w:rPr>
        <w:t>联系人：</w:t>
      </w:r>
      <w:r>
        <w:rPr>
          <w:rFonts w:hint="eastAsia" w:ascii="仿宋" w:hAnsi="仿宋" w:eastAsia="仿宋" w:cs="仿宋"/>
          <w:i w:val="0"/>
          <w:iCs w:val="0"/>
          <w:caps w:val="0"/>
          <w:color w:val="auto"/>
          <w:spacing w:val="0"/>
          <w:sz w:val="27"/>
          <w:szCs w:val="27"/>
          <w:highlight w:val="none"/>
          <w:lang w:val="en-US" w:eastAsia="zh-CN"/>
        </w:rPr>
        <w:t>张亚莉</w:t>
      </w:r>
      <w:r>
        <w:rPr>
          <w:rFonts w:ascii="仿宋" w:hAnsi="仿宋" w:eastAsia="仿宋" w:cs="仿宋"/>
          <w:i w:val="0"/>
          <w:iCs w:val="0"/>
          <w:caps w:val="0"/>
          <w:color w:val="auto"/>
          <w:spacing w:val="0"/>
          <w:sz w:val="27"/>
          <w:szCs w:val="27"/>
          <w:highlight w:val="none"/>
        </w:rPr>
        <w:t xml:space="preserve">                    </w:t>
      </w:r>
    </w:p>
    <w:p w14:paraId="0E67A0D0">
      <w:pPr>
        <w:spacing w:before="66" w:line="183" w:lineRule="auto"/>
        <w:ind w:left="404"/>
        <w:outlineLvl w:val="3"/>
        <w:rPr>
          <w:rFonts w:ascii="微软雅黑" w:hAnsi="微软雅黑" w:eastAsia="微软雅黑" w:cs="微软雅黑"/>
          <w:color w:val="auto"/>
          <w:sz w:val="24"/>
          <w:szCs w:val="24"/>
          <w:highlight w:val="none"/>
        </w:rPr>
      </w:pPr>
      <w:r>
        <w:rPr>
          <w:rFonts w:ascii="仿宋" w:hAnsi="仿宋" w:eastAsia="仿宋" w:cs="仿宋"/>
          <w:i w:val="0"/>
          <w:iCs w:val="0"/>
          <w:caps w:val="0"/>
          <w:color w:val="auto"/>
          <w:spacing w:val="0"/>
          <w:sz w:val="27"/>
          <w:szCs w:val="27"/>
          <w:highlight w:val="none"/>
        </w:rPr>
        <w:t>联系电话：</w:t>
      </w:r>
      <w:r>
        <w:rPr>
          <w:rFonts w:hint="eastAsia" w:ascii="仿宋" w:hAnsi="仿宋" w:eastAsia="仿宋" w:cs="仿宋"/>
          <w:i w:val="0"/>
          <w:iCs w:val="0"/>
          <w:caps w:val="0"/>
          <w:color w:val="auto"/>
          <w:spacing w:val="0"/>
          <w:sz w:val="27"/>
          <w:szCs w:val="27"/>
          <w:highlight w:val="none"/>
          <w:lang w:val="en-US" w:eastAsia="zh-CN"/>
        </w:rPr>
        <w:t>15009310261</w:t>
      </w:r>
      <w:r>
        <w:rPr>
          <w:rFonts w:ascii="微软雅黑" w:hAnsi="微软雅黑" w:eastAsia="微软雅黑" w:cs="微软雅黑"/>
          <w:color w:val="auto"/>
          <w:spacing w:val="2"/>
          <w:sz w:val="24"/>
          <w:szCs w:val="24"/>
          <w:highlight w:val="none"/>
        </w:rPr>
        <w:t xml:space="preserve">                </w:t>
      </w:r>
    </w:p>
    <w:p w14:paraId="14CF876C">
      <w:pPr>
        <w:spacing w:before="66" w:line="183" w:lineRule="auto"/>
        <w:ind w:left="404"/>
        <w:outlineLvl w:val="3"/>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lang w:eastAsia="zh-CN"/>
        </w:rPr>
        <w:t>采购代理机构信息</w:t>
      </w:r>
    </w:p>
    <w:p w14:paraId="74B3C478">
      <w:pPr>
        <w:spacing w:before="66" w:line="183" w:lineRule="auto"/>
        <w:ind w:left="404"/>
        <w:outlineLvl w:val="3"/>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lang w:val="en-US" w:eastAsia="zh-CN"/>
        </w:rPr>
        <w:t>名称：</w:t>
      </w:r>
      <w:r>
        <w:rPr>
          <w:rFonts w:hint="eastAsia" w:ascii="仿宋" w:hAnsi="仿宋" w:eastAsia="仿宋" w:cs="仿宋"/>
          <w:i w:val="0"/>
          <w:iCs w:val="0"/>
          <w:caps w:val="0"/>
          <w:color w:val="auto"/>
          <w:spacing w:val="0"/>
          <w:sz w:val="27"/>
          <w:szCs w:val="27"/>
          <w:highlight w:val="none"/>
          <w:lang w:eastAsia="zh-CN"/>
        </w:rPr>
        <w:t>新疆邦泰工程咨询有限公司</w:t>
      </w:r>
    </w:p>
    <w:p w14:paraId="7BCF8AE9">
      <w:pPr>
        <w:spacing w:before="66" w:line="183" w:lineRule="auto"/>
        <w:ind w:left="404"/>
        <w:outlineLvl w:val="3"/>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lang w:eastAsia="zh-CN"/>
        </w:rPr>
        <w:t xml:space="preserve">地址： </w:t>
      </w:r>
      <w:r>
        <w:rPr>
          <w:rFonts w:hint="eastAsia" w:ascii="仿宋" w:hAnsi="仿宋" w:eastAsia="仿宋" w:cs="仿宋"/>
          <w:i w:val="0"/>
          <w:iCs w:val="0"/>
          <w:caps w:val="0"/>
          <w:color w:val="auto"/>
          <w:spacing w:val="0"/>
          <w:sz w:val="27"/>
          <w:szCs w:val="27"/>
          <w:highlight w:val="none"/>
          <w:lang w:val="en-US" w:eastAsia="zh-CN"/>
        </w:rPr>
        <w:t>喀什市</w:t>
      </w:r>
      <w:r>
        <w:rPr>
          <w:rFonts w:hint="eastAsia" w:ascii="仿宋" w:hAnsi="仿宋" w:eastAsia="仿宋" w:cs="仿宋"/>
          <w:i w:val="0"/>
          <w:iCs w:val="0"/>
          <w:caps w:val="0"/>
          <w:color w:val="auto"/>
          <w:spacing w:val="0"/>
          <w:sz w:val="27"/>
          <w:szCs w:val="27"/>
          <w:highlight w:val="none"/>
          <w:lang w:eastAsia="zh-CN"/>
        </w:rPr>
        <w:t xml:space="preserve">                    </w:t>
      </w:r>
    </w:p>
    <w:p w14:paraId="6D5844A2">
      <w:pPr>
        <w:spacing w:before="66" w:line="183" w:lineRule="auto"/>
        <w:ind w:left="404"/>
        <w:outlineLvl w:val="3"/>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lang w:eastAsia="zh-CN"/>
        </w:rPr>
        <w:t>联系人：刘士曹</w:t>
      </w:r>
    </w:p>
    <w:p w14:paraId="5DC3CF41">
      <w:pPr>
        <w:spacing w:line="290" w:lineRule="auto"/>
        <w:rPr>
          <w:rFonts w:hint="default"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eastAsia="zh-CN"/>
        </w:rPr>
        <w:t>联系电话：</w:t>
      </w:r>
      <w:r>
        <w:rPr>
          <w:rFonts w:hint="eastAsia" w:ascii="仿宋" w:hAnsi="仿宋" w:eastAsia="仿宋" w:cs="仿宋"/>
          <w:i w:val="0"/>
          <w:iCs w:val="0"/>
          <w:caps w:val="0"/>
          <w:color w:val="auto"/>
          <w:spacing w:val="0"/>
          <w:sz w:val="27"/>
          <w:szCs w:val="27"/>
          <w:highlight w:val="none"/>
          <w:lang w:val="en-US" w:eastAsia="zh-CN"/>
        </w:rPr>
        <w:t>15199888238</w:t>
      </w:r>
      <w:bookmarkStart w:id="3" w:name="_GoBack"/>
      <w:bookmarkEnd w:id="3"/>
    </w:p>
    <w:p w14:paraId="458E16D9">
      <w:pPr>
        <w:pStyle w:val="2"/>
        <w:rPr>
          <w:rFonts w:hint="eastAsia" w:ascii="仿宋" w:hAnsi="仿宋" w:eastAsia="仿宋" w:cs="仿宋"/>
          <w:i w:val="0"/>
          <w:iCs w:val="0"/>
          <w:caps w:val="0"/>
          <w:color w:val="auto"/>
          <w:spacing w:val="0"/>
          <w:sz w:val="27"/>
          <w:szCs w:val="27"/>
          <w:highlight w:val="none"/>
          <w:lang w:val="en-US" w:eastAsia="zh-CN"/>
        </w:rPr>
      </w:pPr>
    </w:p>
    <w:p w14:paraId="7B8F72E0">
      <w:pPr>
        <w:pStyle w:val="2"/>
        <w:rPr>
          <w:rFonts w:hint="eastAsia" w:ascii="仿宋" w:hAnsi="仿宋" w:eastAsia="仿宋" w:cs="仿宋"/>
          <w:i w:val="0"/>
          <w:iCs w:val="0"/>
          <w:caps w:val="0"/>
          <w:color w:val="auto"/>
          <w:spacing w:val="0"/>
          <w:sz w:val="27"/>
          <w:szCs w:val="27"/>
          <w:highlight w:val="none"/>
          <w:lang w:val="en-US" w:eastAsia="zh-CN"/>
        </w:rPr>
      </w:pPr>
    </w:p>
    <w:p w14:paraId="7ADA81C9">
      <w:pPr>
        <w:pStyle w:val="2"/>
        <w:rPr>
          <w:rFonts w:hint="eastAsia" w:ascii="仿宋" w:hAnsi="仿宋" w:eastAsia="仿宋" w:cs="仿宋"/>
          <w:i w:val="0"/>
          <w:iCs w:val="0"/>
          <w:caps w:val="0"/>
          <w:color w:val="auto"/>
          <w:spacing w:val="0"/>
          <w:sz w:val="27"/>
          <w:szCs w:val="27"/>
          <w:highlight w:val="none"/>
          <w:lang w:val="en-US" w:eastAsia="zh-CN"/>
        </w:rPr>
      </w:pPr>
    </w:p>
    <w:p w14:paraId="195C1C78">
      <w:pPr>
        <w:pStyle w:val="2"/>
        <w:rPr>
          <w:rFonts w:hint="eastAsia" w:ascii="仿宋" w:hAnsi="仿宋" w:eastAsia="仿宋" w:cs="仿宋"/>
          <w:i w:val="0"/>
          <w:iCs w:val="0"/>
          <w:caps w:val="0"/>
          <w:color w:val="auto"/>
          <w:spacing w:val="0"/>
          <w:sz w:val="27"/>
          <w:szCs w:val="27"/>
          <w:highlight w:val="none"/>
          <w:lang w:val="en-US" w:eastAsia="zh-CN"/>
        </w:rPr>
      </w:pPr>
    </w:p>
    <w:p w14:paraId="6A77FDA1">
      <w:pPr>
        <w:pStyle w:val="2"/>
        <w:rPr>
          <w:rFonts w:hint="eastAsia" w:ascii="仿宋" w:hAnsi="仿宋" w:eastAsia="仿宋" w:cs="仿宋"/>
          <w:i w:val="0"/>
          <w:iCs w:val="0"/>
          <w:caps w:val="0"/>
          <w:color w:val="auto"/>
          <w:spacing w:val="0"/>
          <w:sz w:val="27"/>
          <w:szCs w:val="27"/>
          <w:highlight w:val="none"/>
          <w:lang w:val="en-US" w:eastAsia="zh-CN"/>
        </w:rPr>
      </w:pPr>
    </w:p>
    <w:p w14:paraId="3FD45F89">
      <w:pPr>
        <w:pStyle w:val="2"/>
        <w:rPr>
          <w:rFonts w:hint="eastAsia" w:ascii="仿宋" w:hAnsi="仿宋" w:eastAsia="仿宋" w:cs="仿宋"/>
          <w:i w:val="0"/>
          <w:iCs w:val="0"/>
          <w:caps w:val="0"/>
          <w:color w:val="auto"/>
          <w:spacing w:val="0"/>
          <w:sz w:val="27"/>
          <w:szCs w:val="27"/>
          <w:highlight w:val="none"/>
          <w:lang w:val="en-US" w:eastAsia="zh-CN"/>
        </w:rPr>
      </w:pPr>
    </w:p>
    <w:p w14:paraId="7C535C34">
      <w:pPr>
        <w:pStyle w:val="2"/>
        <w:rPr>
          <w:rFonts w:hint="eastAsia" w:ascii="仿宋" w:hAnsi="仿宋" w:eastAsia="仿宋" w:cs="仿宋"/>
          <w:i w:val="0"/>
          <w:iCs w:val="0"/>
          <w:caps w:val="0"/>
          <w:color w:val="auto"/>
          <w:spacing w:val="0"/>
          <w:sz w:val="27"/>
          <w:szCs w:val="27"/>
          <w:highlight w:val="none"/>
          <w:lang w:val="en-US" w:eastAsia="zh-CN"/>
        </w:rPr>
      </w:pPr>
    </w:p>
    <w:p w14:paraId="7929F2C1">
      <w:pPr>
        <w:pStyle w:val="2"/>
        <w:rPr>
          <w:rFonts w:hint="eastAsia" w:ascii="仿宋" w:hAnsi="仿宋" w:eastAsia="仿宋" w:cs="仿宋"/>
          <w:i w:val="0"/>
          <w:iCs w:val="0"/>
          <w:caps w:val="0"/>
          <w:color w:val="auto"/>
          <w:spacing w:val="0"/>
          <w:sz w:val="27"/>
          <w:szCs w:val="27"/>
          <w:highlight w:val="none"/>
          <w:lang w:val="en-US" w:eastAsia="zh-CN"/>
        </w:rPr>
      </w:pPr>
    </w:p>
    <w:p w14:paraId="55C641AA">
      <w:pPr>
        <w:pStyle w:val="2"/>
        <w:rPr>
          <w:rFonts w:hint="eastAsia" w:ascii="仿宋" w:hAnsi="仿宋" w:eastAsia="仿宋" w:cs="仿宋"/>
          <w:i w:val="0"/>
          <w:iCs w:val="0"/>
          <w:caps w:val="0"/>
          <w:color w:val="auto"/>
          <w:spacing w:val="0"/>
          <w:sz w:val="27"/>
          <w:szCs w:val="27"/>
          <w:highlight w:val="none"/>
          <w:lang w:val="en-US" w:eastAsia="zh-CN"/>
        </w:rPr>
      </w:pPr>
    </w:p>
    <w:p w14:paraId="4CA28330">
      <w:pPr>
        <w:pStyle w:val="2"/>
        <w:rPr>
          <w:rFonts w:hint="eastAsia" w:ascii="仿宋" w:hAnsi="仿宋" w:eastAsia="仿宋" w:cs="仿宋"/>
          <w:i w:val="0"/>
          <w:iCs w:val="0"/>
          <w:caps w:val="0"/>
          <w:color w:val="auto"/>
          <w:spacing w:val="0"/>
          <w:sz w:val="27"/>
          <w:szCs w:val="27"/>
          <w:highlight w:val="none"/>
          <w:lang w:val="en-US" w:eastAsia="zh-CN"/>
        </w:rPr>
      </w:pPr>
    </w:p>
    <w:p w14:paraId="439BC43F">
      <w:pPr>
        <w:pStyle w:val="2"/>
        <w:rPr>
          <w:rFonts w:hint="eastAsia" w:ascii="仿宋" w:hAnsi="仿宋" w:eastAsia="仿宋" w:cs="仿宋"/>
          <w:i w:val="0"/>
          <w:iCs w:val="0"/>
          <w:caps w:val="0"/>
          <w:color w:val="auto"/>
          <w:spacing w:val="0"/>
          <w:sz w:val="27"/>
          <w:szCs w:val="27"/>
          <w:highlight w:val="none"/>
          <w:lang w:val="en-US" w:eastAsia="zh-CN"/>
        </w:rPr>
      </w:pPr>
    </w:p>
    <w:p w14:paraId="731E144A">
      <w:pPr>
        <w:pStyle w:val="2"/>
        <w:rPr>
          <w:rFonts w:hint="eastAsia" w:ascii="仿宋" w:hAnsi="仿宋" w:eastAsia="仿宋" w:cs="仿宋"/>
          <w:i w:val="0"/>
          <w:iCs w:val="0"/>
          <w:caps w:val="0"/>
          <w:color w:val="auto"/>
          <w:spacing w:val="0"/>
          <w:sz w:val="27"/>
          <w:szCs w:val="27"/>
          <w:highlight w:val="none"/>
          <w:lang w:val="en-US" w:eastAsia="zh-CN"/>
        </w:rPr>
      </w:pPr>
    </w:p>
    <w:p w14:paraId="2B1FCD1F">
      <w:pPr>
        <w:pStyle w:val="2"/>
        <w:rPr>
          <w:rFonts w:hint="eastAsia" w:ascii="仿宋" w:hAnsi="仿宋" w:eastAsia="仿宋" w:cs="仿宋"/>
          <w:i w:val="0"/>
          <w:iCs w:val="0"/>
          <w:caps w:val="0"/>
          <w:color w:val="auto"/>
          <w:spacing w:val="0"/>
          <w:sz w:val="27"/>
          <w:szCs w:val="27"/>
          <w:highlight w:val="none"/>
          <w:lang w:val="en-US" w:eastAsia="zh-CN"/>
        </w:rPr>
      </w:pPr>
    </w:p>
    <w:p w14:paraId="68A58865">
      <w:pPr>
        <w:pStyle w:val="2"/>
        <w:rPr>
          <w:rFonts w:hint="eastAsia" w:ascii="仿宋" w:hAnsi="仿宋" w:eastAsia="仿宋" w:cs="仿宋"/>
          <w:i w:val="0"/>
          <w:iCs w:val="0"/>
          <w:caps w:val="0"/>
          <w:color w:val="auto"/>
          <w:spacing w:val="0"/>
          <w:sz w:val="27"/>
          <w:szCs w:val="27"/>
          <w:highlight w:val="none"/>
          <w:lang w:val="en-US" w:eastAsia="zh-CN"/>
        </w:rPr>
      </w:pPr>
    </w:p>
    <w:p w14:paraId="15E6DC65">
      <w:pPr>
        <w:pStyle w:val="2"/>
        <w:rPr>
          <w:rFonts w:hint="eastAsia" w:ascii="仿宋" w:hAnsi="仿宋" w:eastAsia="仿宋" w:cs="仿宋"/>
          <w:i w:val="0"/>
          <w:iCs w:val="0"/>
          <w:caps w:val="0"/>
          <w:color w:val="auto"/>
          <w:spacing w:val="0"/>
          <w:sz w:val="27"/>
          <w:szCs w:val="27"/>
          <w:highlight w:val="none"/>
          <w:lang w:val="en-US" w:eastAsia="zh-CN"/>
        </w:rPr>
      </w:pPr>
    </w:p>
    <w:p w14:paraId="058535F3">
      <w:pPr>
        <w:pStyle w:val="2"/>
        <w:spacing w:before="104" w:line="219" w:lineRule="auto"/>
        <w:ind w:left="3399"/>
        <w:outlineLvl w:val="1"/>
        <w:rPr>
          <w:color w:val="auto"/>
          <w:sz w:val="32"/>
          <w:szCs w:val="32"/>
          <w:highlight w:val="none"/>
        </w:rPr>
      </w:pPr>
      <w:r>
        <w:rPr>
          <w:b/>
          <w:bCs/>
          <w:color w:val="auto"/>
          <w:spacing w:val="-3"/>
          <w:sz w:val="32"/>
          <w:szCs w:val="32"/>
          <w:highlight w:val="none"/>
        </w:rPr>
        <w:t>第4章</w:t>
      </w:r>
      <w:r>
        <w:rPr>
          <w:color w:val="auto"/>
          <w:spacing w:val="-3"/>
          <w:sz w:val="32"/>
          <w:szCs w:val="32"/>
          <w:highlight w:val="none"/>
        </w:rPr>
        <w:t xml:space="preserve"> </w:t>
      </w:r>
      <w:r>
        <w:rPr>
          <w:b/>
          <w:bCs/>
          <w:color w:val="auto"/>
          <w:spacing w:val="-3"/>
          <w:sz w:val="32"/>
          <w:szCs w:val="32"/>
          <w:highlight w:val="none"/>
        </w:rPr>
        <w:t>供应商须知资料表</w:t>
      </w:r>
    </w:p>
    <w:p w14:paraId="26581EEF">
      <w:pPr>
        <w:pStyle w:val="2"/>
        <w:spacing w:before="23" w:line="225" w:lineRule="auto"/>
        <w:ind w:right="1015"/>
        <w:jc w:val="center"/>
        <w:rPr>
          <w:color w:val="auto"/>
          <w:sz w:val="24"/>
          <w:szCs w:val="24"/>
          <w:highlight w:val="none"/>
        </w:rPr>
      </w:pPr>
      <w:r>
        <w:rPr>
          <w:color w:val="auto"/>
          <w:spacing w:val="3"/>
          <w:sz w:val="24"/>
          <w:szCs w:val="24"/>
          <w:highlight w:val="none"/>
        </w:rPr>
        <w:t>本表是本采购项目的具体资料，是对供应商须知的具体补充和修改，如有</w:t>
      </w:r>
      <w:r>
        <w:rPr>
          <w:color w:val="auto"/>
          <w:spacing w:val="-4"/>
          <w:sz w:val="24"/>
          <w:szCs w:val="24"/>
          <w:highlight w:val="none"/>
        </w:rPr>
        <w:t>矛盾，应以本资料表为准。</w:t>
      </w:r>
    </w:p>
    <w:tbl>
      <w:tblPr>
        <w:tblStyle w:val="13"/>
        <w:tblW w:w="102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1646"/>
        <w:gridCol w:w="7899"/>
      </w:tblGrid>
      <w:tr w14:paraId="380CD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53" w:type="dxa"/>
            <w:vAlign w:val="top"/>
          </w:tcPr>
          <w:p w14:paraId="30ED6E37">
            <w:pPr>
              <w:spacing w:before="122" w:line="183" w:lineRule="auto"/>
              <w:ind w:left="13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序号</w:t>
            </w:r>
          </w:p>
        </w:tc>
        <w:tc>
          <w:tcPr>
            <w:tcW w:w="1646" w:type="dxa"/>
            <w:vAlign w:val="top"/>
          </w:tcPr>
          <w:p w14:paraId="3DE1EF39">
            <w:pPr>
              <w:spacing w:before="132" w:line="177" w:lineRule="auto"/>
              <w:ind w:left="578"/>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项目</w:t>
            </w:r>
          </w:p>
        </w:tc>
        <w:tc>
          <w:tcPr>
            <w:tcW w:w="7899" w:type="dxa"/>
            <w:vAlign w:val="top"/>
          </w:tcPr>
          <w:p w14:paraId="1C3228CA">
            <w:pPr>
              <w:spacing w:before="122" w:line="183" w:lineRule="auto"/>
              <w:ind w:left="3422"/>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0"/>
                <w:sz w:val="24"/>
                <w:szCs w:val="24"/>
                <w:highlight w:val="none"/>
              </w:rPr>
              <w:t>内</w:t>
            </w:r>
            <w:r>
              <w:rPr>
                <w:rFonts w:ascii="微软雅黑" w:hAnsi="微软雅黑" w:eastAsia="微软雅黑" w:cs="微软雅黑"/>
                <w:b/>
                <w:bCs/>
                <w:color w:val="auto"/>
                <w:spacing w:val="4"/>
                <w:sz w:val="24"/>
                <w:szCs w:val="24"/>
                <w:highlight w:val="none"/>
              </w:rPr>
              <w:t xml:space="preserve">        </w:t>
            </w:r>
            <w:r>
              <w:rPr>
                <w:rFonts w:ascii="微软雅黑" w:hAnsi="微软雅黑" w:eastAsia="微软雅黑" w:cs="微软雅黑"/>
                <w:b/>
                <w:bCs/>
                <w:color w:val="auto"/>
                <w:spacing w:val="-10"/>
                <w:sz w:val="24"/>
                <w:szCs w:val="24"/>
                <w:highlight w:val="none"/>
              </w:rPr>
              <w:t>容</w:t>
            </w:r>
          </w:p>
        </w:tc>
      </w:tr>
      <w:tr w14:paraId="47317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53" w:type="dxa"/>
            <w:vAlign w:val="top"/>
          </w:tcPr>
          <w:p w14:paraId="3E44D40B">
            <w:pPr>
              <w:spacing w:before="120" w:line="162" w:lineRule="auto"/>
              <w:ind w:left="324"/>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w:t>
            </w:r>
          </w:p>
        </w:tc>
        <w:tc>
          <w:tcPr>
            <w:tcW w:w="1646" w:type="dxa"/>
            <w:vAlign w:val="top"/>
          </w:tcPr>
          <w:p w14:paraId="21206E28">
            <w:pPr>
              <w:spacing w:before="90" w:line="179" w:lineRule="auto"/>
              <w:ind w:left="33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项目名称</w:t>
            </w:r>
          </w:p>
        </w:tc>
        <w:tc>
          <w:tcPr>
            <w:tcW w:w="7899" w:type="dxa"/>
            <w:vAlign w:val="top"/>
          </w:tcPr>
          <w:p w14:paraId="35941CF6">
            <w:pPr>
              <w:spacing w:before="90" w:line="179" w:lineRule="auto"/>
              <w:ind w:left="106"/>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pacing w:val="-1"/>
                <w:sz w:val="24"/>
                <w:szCs w:val="24"/>
                <w:highlight w:val="none"/>
                <w:lang w:eastAsia="zh-CN"/>
              </w:rPr>
              <w:t>麦盖提县专业人才合作项目（二次）</w:t>
            </w:r>
          </w:p>
        </w:tc>
      </w:tr>
      <w:tr w14:paraId="0A79F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53" w:type="dxa"/>
            <w:vAlign w:val="top"/>
          </w:tcPr>
          <w:p w14:paraId="0C201F0F">
            <w:pPr>
              <w:spacing w:before="125" w:line="167" w:lineRule="auto"/>
              <w:ind w:left="31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w:t>
            </w:r>
          </w:p>
        </w:tc>
        <w:tc>
          <w:tcPr>
            <w:tcW w:w="1646" w:type="dxa"/>
            <w:vAlign w:val="top"/>
          </w:tcPr>
          <w:p w14:paraId="443B5399">
            <w:pPr>
              <w:spacing w:before="106" w:line="178" w:lineRule="auto"/>
              <w:ind w:left="33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项目编号</w:t>
            </w:r>
          </w:p>
        </w:tc>
        <w:tc>
          <w:tcPr>
            <w:tcW w:w="7899" w:type="dxa"/>
            <w:vAlign w:val="top"/>
          </w:tcPr>
          <w:p w14:paraId="71739538">
            <w:pPr>
              <w:spacing w:before="118" w:line="171" w:lineRule="auto"/>
              <w:ind w:left="124"/>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lang w:eastAsia="zh-CN"/>
              </w:rPr>
              <w:t>XJBT-MGTX(CS)2025-08 号</w:t>
            </w:r>
          </w:p>
        </w:tc>
      </w:tr>
      <w:tr w14:paraId="646E6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53" w:type="dxa"/>
            <w:vAlign w:val="top"/>
          </w:tcPr>
          <w:p w14:paraId="075970EF">
            <w:pPr>
              <w:spacing w:before="159" w:line="172" w:lineRule="auto"/>
              <w:ind w:left="31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3</w:t>
            </w:r>
          </w:p>
        </w:tc>
        <w:tc>
          <w:tcPr>
            <w:tcW w:w="1646" w:type="dxa"/>
            <w:vAlign w:val="top"/>
          </w:tcPr>
          <w:p w14:paraId="51BB59C3">
            <w:pPr>
              <w:spacing w:before="132" w:line="183" w:lineRule="auto"/>
              <w:ind w:left="33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采购方式</w:t>
            </w:r>
          </w:p>
        </w:tc>
        <w:tc>
          <w:tcPr>
            <w:tcW w:w="7899" w:type="dxa"/>
            <w:vAlign w:val="top"/>
          </w:tcPr>
          <w:p w14:paraId="272983E5">
            <w:pPr>
              <w:spacing w:before="132" w:line="183" w:lineRule="auto"/>
              <w:ind w:left="10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竞争性磋商</w:t>
            </w:r>
          </w:p>
        </w:tc>
      </w:tr>
      <w:tr w14:paraId="36EF5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753" w:type="dxa"/>
            <w:vAlign w:val="top"/>
          </w:tcPr>
          <w:p w14:paraId="3B2D908A">
            <w:pPr>
              <w:pStyle w:val="14"/>
              <w:spacing w:line="456" w:lineRule="auto"/>
              <w:rPr>
                <w:color w:val="auto"/>
                <w:highlight w:val="none"/>
              </w:rPr>
            </w:pPr>
          </w:p>
          <w:p w14:paraId="6CA4DD6B">
            <w:pPr>
              <w:spacing w:before="103" w:line="170" w:lineRule="auto"/>
              <w:ind w:left="301"/>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4</w:t>
            </w:r>
          </w:p>
        </w:tc>
        <w:tc>
          <w:tcPr>
            <w:tcW w:w="1646" w:type="dxa"/>
            <w:vAlign w:val="top"/>
          </w:tcPr>
          <w:p w14:paraId="4AA92952">
            <w:pPr>
              <w:pStyle w:val="14"/>
              <w:spacing w:line="427" w:lineRule="auto"/>
              <w:rPr>
                <w:color w:val="auto"/>
                <w:highlight w:val="none"/>
              </w:rPr>
            </w:pPr>
          </w:p>
          <w:p w14:paraId="004D276E">
            <w:pPr>
              <w:spacing w:before="103" w:line="182" w:lineRule="auto"/>
              <w:ind w:left="45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采购人</w:t>
            </w:r>
          </w:p>
        </w:tc>
        <w:tc>
          <w:tcPr>
            <w:tcW w:w="7899" w:type="dxa"/>
            <w:vAlign w:val="top"/>
          </w:tcPr>
          <w:p w14:paraId="2A9F641E">
            <w:pPr>
              <w:spacing w:before="51" w:line="183" w:lineRule="auto"/>
              <w:ind w:left="104"/>
              <w:rPr>
                <w:rFonts w:hint="eastAsia" w:ascii="微软雅黑" w:hAnsi="微软雅黑" w:eastAsia="微软雅黑" w:cs="微软雅黑"/>
                <w:color w:val="auto"/>
                <w:sz w:val="24"/>
                <w:szCs w:val="24"/>
                <w:highlight w:val="none"/>
                <w:lang w:eastAsia="zh-CN"/>
              </w:rPr>
            </w:pPr>
            <w:r>
              <w:rPr>
                <w:rFonts w:ascii="微软雅黑" w:hAnsi="微软雅黑" w:eastAsia="微软雅黑" w:cs="微软雅黑"/>
                <w:color w:val="auto"/>
                <w:spacing w:val="-1"/>
                <w:sz w:val="24"/>
                <w:szCs w:val="24"/>
                <w:highlight w:val="none"/>
              </w:rPr>
              <w:t>采购人：</w:t>
            </w:r>
            <w:r>
              <w:rPr>
                <w:rFonts w:hint="eastAsia" w:ascii="微软雅黑" w:hAnsi="微软雅黑" w:eastAsia="微软雅黑" w:cs="微软雅黑"/>
                <w:color w:val="auto"/>
                <w:spacing w:val="-1"/>
                <w:sz w:val="24"/>
                <w:szCs w:val="24"/>
                <w:highlight w:val="none"/>
                <w:lang w:eastAsia="zh-CN"/>
              </w:rPr>
              <w:t>麦盖提县发展和改革委员会</w:t>
            </w:r>
          </w:p>
          <w:p w14:paraId="3ECD1EE2">
            <w:pPr>
              <w:spacing w:before="6" w:line="183" w:lineRule="auto"/>
              <w:ind w:left="102"/>
              <w:rPr>
                <w:rFonts w:hint="eastAsia" w:ascii="微软雅黑" w:hAnsi="微软雅黑" w:eastAsia="微软雅黑" w:cs="微软雅黑"/>
                <w:color w:val="auto"/>
                <w:sz w:val="24"/>
                <w:szCs w:val="24"/>
                <w:highlight w:val="none"/>
                <w:lang w:eastAsia="zh-CN"/>
              </w:rPr>
            </w:pPr>
            <w:r>
              <w:rPr>
                <w:rFonts w:ascii="微软雅黑" w:hAnsi="微软雅黑" w:eastAsia="微软雅黑" w:cs="微软雅黑"/>
                <w:color w:val="auto"/>
                <w:spacing w:val="1"/>
                <w:sz w:val="24"/>
                <w:szCs w:val="24"/>
                <w:highlight w:val="none"/>
              </w:rPr>
              <w:t>地   址：</w:t>
            </w:r>
            <w:r>
              <w:rPr>
                <w:rFonts w:hint="eastAsia" w:ascii="微软雅黑" w:hAnsi="微软雅黑" w:eastAsia="微软雅黑" w:cs="微软雅黑"/>
                <w:color w:val="auto"/>
                <w:spacing w:val="1"/>
                <w:sz w:val="24"/>
                <w:szCs w:val="24"/>
                <w:highlight w:val="none"/>
                <w:lang w:eastAsia="zh-CN"/>
              </w:rPr>
              <w:t>麦盖提县</w:t>
            </w:r>
          </w:p>
          <w:p w14:paraId="34AA915B">
            <w:pPr>
              <w:spacing w:before="7" w:line="182" w:lineRule="auto"/>
              <w:ind w:left="104"/>
              <w:rPr>
                <w:rFonts w:hint="default" w:ascii="微软雅黑" w:hAnsi="微软雅黑" w:eastAsia="微软雅黑" w:cs="微软雅黑"/>
                <w:color w:val="auto"/>
                <w:sz w:val="24"/>
                <w:szCs w:val="24"/>
                <w:highlight w:val="none"/>
                <w:lang w:val="en-US" w:eastAsia="zh-CN"/>
              </w:rPr>
            </w:pPr>
            <w:r>
              <w:rPr>
                <w:rFonts w:ascii="微软雅黑" w:hAnsi="微软雅黑" w:eastAsia="微软雅黑" w:cs="微软雅黑"/>
                <w:color w:val="auto"/>
                <w:spacing w:val="-1"/>
                <w:sz w:val="24"/>
                <w:szCs w:val="24"/>
                <w:highlight w:val="none"/>
              </w:rPr>
              <w:t>联系人：</w:t>
            </w:r>
            <w:r>
              <w:rPr>
                <w:rFonts w:hint="eastAsia" w:ascii="微软雅黑" w:hAnsi="微软雅黑" w:eastAsia="微软雅黑" w:cs="微软雅黑"/>
                <w:color w:val="auto"/>
                <w:spacing w:val="-1"/>
                <w:sz w:val="24"/>
                <w:szCs w:val="24"/>
                <w:highlight w:val="none"/>
                <w:lang w:val="en-US" w:eastAsia="zh-CN"/>
              </w:rPr>
              <w:t>张亚莉</w:t>
            </w:r>
          </w:p>
          <w:p w14:paraId="6D21FBC7">
            <w:pPr>
              <w:spacing w:before="7" w:line="263" w:lineRule="exact"/>
              <w:ind w:left="104"/>
              <w:rPr>
                <w:rFonts w:hint="default" w:ascii="微软雅黑" w:hAnsi="微软雅黑" w:eastAsia="微软雅黑" w:cs="微软雅黑"/>
                <w:color w:val="auto"/>
                <w:sz w:val="24"/>
                <w:szCs w:val="24"/>
                <w:highlight w:val="none"/>
                <w:lang w:val="en-US" w:eastAsia="zh-CN"/>
              </w:rPr>
            </w:pPr>
            <w:r>
              <w:rPr>
                <w:rFonts w:ascii="微软雅黑" w:hAnsi="微软雅黑" w:eastAsia="微软雅黑" w:cs="微软雅黑"/>
                <w:color w:val="auto"/>
                <w:spacing w:val="-1"/>
                <w:position w:val="-1"/>
                <w:sz w:val="24"/>
                <w:szCs w:val="24"/>
                <w:highlight w:val="none"/>
              </w:rPr>
              <w:t>联系电话：</w:t>
            </w:r>
            <w:r>
              <w:rPr>
                <w:rFonts w:hint="eastAsia" w:ascii="微软雅黑" w:hAnsi="微软雅黑" w:eastAsia="微软雅黑" w:cs="微软雅黑"/>
                <w:color w:val="auto"/>
                <w:spacing w:val="-1"/>
                <w:position w:val="-1"/>
                <w:sz w:val="24"/>
                <w:szCs w:val="24"/>
                <w:highlight w:val="none"/>
                <w:lang w:val="en-US" w:eastAsia="zh-CN"/>
              </w:rPr>
              <w:t>15009310261</w:t>
            </w:r>
          </w:p>
        </w:tc>
      </w:tr>
      <w:tr w14:paraId="6BCCA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trPr>
        <w:tc>
          <w:tcPr>
            <w:tcW w:w="753" w:type="dxa"/>
            <w:vAlign w:val="top"/>
          </w:tcPr>
          <w:p w14:paraId="17590D08">
            <w:pPr>
              <w:pStyle w:val="14"/>
              <w:spacing w:line="280" w:lineRule="auto"/>
              <w:rPr>
                <w:color w:val="auto"/>
                <w:highlight w:val="none"/>
              </w:rPr>
            </w:pPr>
          </w:p>
          <w:p w14:paraId="05D84345">
            <w:pPr>
              <w:pStyle w:val="14"/>
              <w:spacing w:line="280" w:lineRule="auto"/>
              <w:rPr>
                <w:color w:val="auto"/>
                <w:highlight w:val="none"/>
              </w:rPr>
            </w:pPr>
          </w:p>
          <w:p w14:paraId="1AC38A65">
            <w:pPr>
              <w:spacing w:before="103" w:line="170" w:lineRule="auto"/>
              <w:ind w:left="319"/>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5</w:t>
            </w:r>
          </w:p>
        </w:tc>
        <w:tc>
          <w:tcPr>
            <w:tcW w:w="1646" w:type="dxa"/>
            <w:vAlign w:val="top"/>
          </w:tcPr>
          <w:p w14:paraId="0D681DF6">
            <w:pPr>
              <w:pStyle w:val="14"/>
              <w:spacing w:line="370" w:lineRule="auto"/>
              <w:rPr>
                <w:color w:val="auto"/>
                <w:highlight w:val="none"/>
              </w:rPr>
            </w:pPr>
          </w:p>
          <w:p w14:paraId="1D4FD719">
            <w:pPr>
              <w:spacing w:before="103" w:line="187" w:lineRule="auto"/>
              <w:ind w:left="578" w:right="340" w:hanging="24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采购代理</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机构</w:t>
            </w:r>
          </w:p>
        </w:tc>
        <w:tc>
          <w:tcPr>
            <w:tcW w:w="7899" w:type="dxa"/>
            <w:vAlign w:val="top"/>
          </w:tcPr>
          <w:p w14:paraId="4B92CA73">
            <w:pPr>
              <w:spacing w:before="155" w:line="183" w:lineRule="auto"/>
              <w:ind w:left="103"/>
              <w:rPr>
                <w:rFonts w:hint="eastAsia" w:ascii="微软雅黑" w:hAnsi="微软雅黑" w:eastAsia="微软雅黑" w:cs="微软雅黑"/>
                <w:color w:val="auto"/>
                <w:sz w:val="24"/>
                <w:szCs w:val="24"/>
                <w:highlight w:val="none"/>
                <w:lang w:eastAsia="zh-CN"/>
              </w:rPr>
            </w:pPr>
            <w:r>
              <w:rPr>
                <w:rFonts w:ascii="微软雅黑" w:hAnsi="微软雅黑" w:eastAsia="微软雅黑" w:cs="微软雅黑"/>
                <w:color w:val="auto"/>
                <w:spacing w:val="-1"/>
                <w:sz w:val="24"/>
                <w:szCs w:val="24"/>
                <w:highlight w:val="none"/>
              </w:rPr>
              <w:t>名</w:t>
            </w:r>
            <w:r>
              <w:rPr>
                <w:rFonts w:ascii="微软雅黑" w:hAnsi="微软雅黑" w:eastAsia="微软雅黑" w:cs="微软雅黑"/>
                <w:color w:val="auto"/>
                <w:spacing w:val="12"/>
                <w:sz w:val="24"/>
                <w:szCs w:val="24"/>
                <w:highlight w:val="none"/>
              </w:rPr>
              <w:t xml:space="preserve">   </w:t>
            </w:r>
            <w:r>
              <w:rPr>
                <w:rFonts w:ascii="微软雅黑" w:hAnsi="微软雅黑" w:eastAsia="微软雅黑" w:cs="微软雅黑"/>
                <w:color w:val="auto"/>
                <w:spacing w:val="-1"/>
                <w:sz w:val="24"/>
                <w:szCs w:val="24"/>
                <w:highlight w:val="none"/>
              </w:rPr>
              <w:t>称：</w:t>
            </w:r>
            <w:r>
              <w:rPr>
                <w:rFonts w:hint="eastAsia" w:ascii="微软雅黑" w:hAnsi="微软雅黑" w:eastAsia="微软雅黑" w:cs="微软雅黑"/>
                <w:color w:val="auto"/>
                <w:spacing w:val="-1"/>
                <w:sz w:val="24"/>
                <w:szCs w:val="24"/>
                <w:highlight w:val="none"/>
                <w:lang w:eastAsia="zh-CN"/>
              </w:rPr>
              <w:t>新疆邦泰工程咨询有限公司</w:t>
            </w:r>
          </w:p>
          <w:p w14:paraId="5781A26F">
            <w:pPr>
              <w:spacing w:before="4" w:line="184" w:lineRule="auto"/>
              <w:ind w:left="102"/>
              <w:rPr>
                <w:rFonts w:hint="default" w:ascii="微软雅黑" w:hAnsi="微软雅黑" w:eastAsia="微软雅黑" w:cs="微软雅黑"/>
                <w:color w:val="auto"/>
                <w:sz w:val="24"/>
                <w:szCs w:val="24"/>
                <w:highlight w:val="none"/>
                <w:lang w:val="en-US" w:eastAsia="zh-CN"/>
              </w:rPr>
            </w:pPr>
            <w:r>
              <w:rPr>
                <w:rFonts w:ascii="微软雅黑" w:hAnsi="微软雅黑" w:eastAsia="微软雅黑" w:cs="微软雅黑"/>
                <w:color w:val="auto"/>
                <w:spacing w:val="1"/>
                <w:sz w:val="24"/>
                <w:szCs w:val="24"/>
                <w:highlight w:val="none"/>
              </w:rPr>
              <w:t>地   址：</w:t>
            </w:r>
            <w:r>
              <w:rPr>
                <w:rFonts w:hint="eastAsia" w:ascii="微软雅黑" w:hAnsi="微软雅黑" w:eastAsia="微软雅黑" w:cs="微软雅黑"/>
                <w:color w:val="auto"/>
                <w:spacing w:val="1"/>
                <w:sz w:val="24"/>
                <w:szCs w:val="24"/>
                <w:highlight w:val="none"/>
                <w:lang w:val="en-US" w:eastAsia="zh-CN"/>
              </w:rPr>
              <w:t>喀什市</w:t>
            </w:r>
          </w:p>
          <w:p w14:paraId="4285503C">
            <w:pPr>
              <w:spacing w:before="7" w:line="182" w:lineRule="auto"/>
              <w:ind w:left="104"/>
              <w:rPr>
                <w:rFonts w:hint="eastAsia" w:ascii="微软雅黑" w:hAnsi="微软雅黑" w:eastAsia="微软雅黑" w:cs="微软雅黑"/>
                <w:color w:val="auto"/>
                <w:sz w:val="24"/>
                <w:szCs w:val="24"/>
                <w:highlight w:val="none"/>
                <w:lang w:val="en-US" w:eastAsia="zh-CN"/>
              </w:rPr>
            </w:pPr>
            <w:r>
              <w:rPr>
                <w:rFonts w:ascii="微软雅黑" w:hAnsi="微软雅黑" w:eastAsia="微软雅黑" w:cs="微软雅黑"/>
                <w:color w:val="auto"/>
                <w:spacing w:val="-1"/>
                <w:sz w:val="24"/>
                <w:szCs w:val="24"/>
                <w:highlight w:val="none"/>
              </w:rPr>
              <w:t>联系人：</w:t>
            </w:r>
            <w:r>
              <w:rPr>
                <w:rFonts w:hint="eastAsia" w:ascii="微软雅黑" w:hAnsi="微软雅黑" w:eastAsia="微软雅黑" w:cs="微软雅黑"/>
                <w:color w:val="auto"/>
                <w:spacing w:val="-1"/>
                <w:sz w:val="24"/>
                <w:szCs w:val="24"/>
                <w:highlight w:val="none"/>
                <w:lang w:eastAsia="zh-CN"/>
              </w:rPr>
              <w:t>刘士曹</w:t>
            </w:r>
          </w:p>
          <w:p w14:paraId="628DDBDD">
            <w:pPr>
              <w:spacing w:before="7" w:line="182" w:lineRule="auto"/>
              <w:ind w:left="104"/>
              <w:rPr>
                <w:rFonts w:hint="default" w:ascii="微软雅黑" w:hAnsi="微软雅黑" w:eastAsia="微软雅黑" w:cs="微软雅黑"/>
                <w:color w:val="auto"/>
                <w:sz w:val="24"/>
                <w:szCs w:val="24"/>
                <w:highlight w:val="none"/>
                <w:lang w:val="en-US" w:eastAsia="zh-CN"/>
              </w:rPr>
            </w:pPr>
            <w:r>
              <w:rPr>
                <w:rFonts w:ascii="微软雅黑" w:hAnsi="微软雅黑" w:eastAsia="微软雅黑" w:cs="微软雅黑"/>
                <w:color w:val="auto"/>
                <w:spacing w:val="-1"/>
                <w:sz w:val="24"/>
                <w:szCs w:val="24"/>
                <w:highlight w:val="none"/>
              </w:rPr>
              <w:t>联系电话：</w:t>
            </w:r>
            <w:r>
              <w:rPr>
                <w:rFonts w:hint="eastAsia" w:ascii="微软雅黑" w:hAnsi="微软雅黑" w:eastAsia="微软雅黑" w:cs="微软雅黑"/>
                <w:color w:val="auto"/>
                <w:spacing w:val="-1"/>
                <w:sz w:val="24"/>
                <w:szCs w:val="24"/>
                <w:highlight w:val="none"/>
                <w:lang w:val="en-US" w:eastAsia="zh-CN"/>
              </w:rPr>
              <w:t>15199888238</w:t>
            </w:r>
          </w:p>
        </w:tc>
      </w:tr>
      <w:tr w14:paraId="516FE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53" w:type="dxa"/>
            <w:vAlign w:val="top"/>
          </w:tcPr>
          <w:p w14:paraId="32C39DD0">
            <w:pPr>
              <w:spacing w:before="237" w:line="172" w:lineRule="auto"/>
              <w:ind w:left="31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6</w:t>
            </w:r>
          </w:p>
        </w:tc>
        <w:tc>
          <w:tcPr>
            <w:tcW w:w="1646" w:type="dxa"/>
            <w:vAlign w:val="top"/>
          </w:tcPr>
          <w:p w14:paraId="1B564637">
            <w:pPr>
              <w:spacing w:before="234" w:line="183" w:lineRule="auto"/>
              <w:ind w:left="33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项目预算</w:t>
            </w:r>
          </w:p>
        </w:tc>
        <w:tc>
          <w:tcPr>
            <w:tcW w:w="7899" w:type="dxa"/>
            <w:vAlign w:val="top"/>
          </w:tcPr>
          <w:p w14:paraId="02976D5D">
            <w:pPr>
              <w:spacing w:before="220" w:line="182" w:lineRule="auto"/>
              <w:ind w:left="125"/>
              <w:rPr>
                <w:rFonts w:hint="default"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pacing w:val="-5"/>
                <w:sz w:val="24"/>
                <w:szCs w:val="24"/>
                <w:highlight w:val="none"/>
                <w:lang w:val="en-US" w:eastAsia="zh-CN"/>
              </w:rPr>
              <w:t>700000.00元</w:t>
            </w:r>
          </w:p>
        </w:tc>
      </w:tr>
      <w:tr w14:paraId="1358D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53" w:type="dxa"/>
            <w:vAlign w:val="top"/>
          </w:tcPr>
          <w:p w14:paraId="02D92A53">
            <w:pPr>
              <w:spacing w:before="154" w:line="170" w:lineRule="auto"/>
              <w:ind w:left="312"/>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7</w:t>
            </w:r>
          </w:p>
        </w:tc>
        <w:tc>
          <w:tcPr>
            <w:tcW w:w="1646" w:type="dxa"/>
            <w:vAlign w:val="top"/>
          </w:tcPr>
          <w:p w14:paraId="31E17897">
            <w:pPr>
              <w:spacing w:before="145" w:line="178" w:lineRule="auto"/>
              <w:ind w:left="33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资金来源</w:t>
            </w:r>
          </w:p>
        </w:tc>
        <w:tc>
          <w:tcPr>
            <w:tcW w:w="7899" w:type="dxa"/>
            <w:vAlign w:val="top"/>
          </w:tcPr>
          <w:p w14:paraId="5D7FE76F">
            <w:pPr>
              <w:spacing w:before="129" w:line="184" w:lineRule="auto"/>
              <w:ind w:left="13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lang w:val="en-US" w:eastAsia="zh-CN"/>
              </w:rPr>
              <w:t>援疆</w:t>
            </w:r>
            <w:r>
              <w:rPr>
                <w:rFonts w:ascii="微软雅黑" w:hAnsi="微软雅黑" w:eastAsia="微软雅黑" w:cs="微软雅黑"/>
                <w:color w:val="auto"/>
                <w:spacing w:val="-6"/>
                <w:sz w:val="24"/>
                <w:szCs w:val="24"/>
                <w:highlight w:val="none"/>
              </w:rPr>
              <w:t>资金</w:t>
            </w:r>
          </w:p>
        </w:tc>
      </w:tr>
      <w:tr w14:paraId="3DC91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53" w:type="dxa"/>
            <w:vAlign w:val="top"/>
          </w:tcPr>
          <w:p w14:paraId="11C63D0B">
            <w:pPr>
              <w:spacing w:before="154" w:line="172" w:lineRule="auto"/>
              <w:ind w:left="310"/>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8</w:t>
            </w:r>
          </w:p>
        </w:tc>
        <w:tc>
          <w:tcPr>
            <w:tcW w:w="1646" w:type="dxa"/>
            <w:vAlign w:val="top"/>
          </w:tcPr>
          <w:p w14:paraId="3FE7944D">
            <w:pPr>
              <w:spacing w:before="151" w:line="178" w:lineRule="auto"/>
              <w:ind w:left="33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付款方式</w:t>
            </w:r>
          </w:p>
        </w:tc>
        <w:tc>
          <w:tcPr>
            <w:tcW w:w="7899" w:type="dxa"/>
            <w:vAlign w:val="top"/>
          </w:tcPr>
          <w:p w14:paraId="11DFDEAA">
            <w:pPr>
              <w:spacing w:before="151" w:line="178" w:lineRule="auto"/>
              <w:ind w:left="10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每月按考核表的考核情况支付</w:t>
            </w:r>
          </w:p>
        </w:tc>
      </w:tr>
      <w:tr w14:paraId="296FD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53" w:type="dxa"/>
            <w:vAlign w:val="top"/>
          </w:tcPr>
          <w:p w14:paraId="540536A6">
            <w:pPr>
              <w:spacing w:before="150" w:line="172" w:lineRule="auto"/>
              <w:ind w:left="310"/>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9</w:t>
            </w:r>
          </w:p>
        </w:tc>
        <w:tc>
          <w:tcPr>
            <w:tcW w:w="1646" w:type="dxa"/>
            <w:vAlign w:val="top"/>
          </w:tcPr>
          <w:p w14:paraId="017B88A2">
            <w:pPr>
              <w:spacing w:before="146" w:line="176" w:lineRule="auto"/>
              <w:ind w:left="33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服务地点</w:t>
            </w:r>
          </w:p>
        </w:tc>
        <w:tc>
          <w:tcPr>
            <w:tcW w:w="7899" w:type="dxa"/>
            <w:vAlign w:val="top"/>
          </w:tcPr>
          <w:p w14:paraId="56FF0D20">
            <w:pPr>
              <w:spacing w:before="123" w:line="183" w:lineRule="auto"/>
              <w:ind w:left="106"/>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pacing w:val="-1"/>
                <w:sz w:val="24"/>
                <w:szCs w:val="24"/>
                <w:highlight w:val="none"/>
                <w:lang w:eastAsia="zh-CN"/>
              </w:rPr>
              <w:t>麦盖提县发展和改革委员会</w:t>
            </w:r>
          </w:p>
        </w:tc>
      </w:tr>
      <w:tr w14:paraId="34E07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53" w:type="dxa"/>
            <w:vAlign w:val="top"/>
          </w:tcPr>
          <w:p w14:paraId="6A621220">
            <w:pPr>
              <w:spacing w:before="144" w:line="171" w:lineRule="auto"/>
              <w:ind w:left="2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10</w:t>
            </w:r>
          </w:p>
        </w:tc>
        <w:tc>
          <w:tcPr>
            <w:tcW w:w="1646" w:type="dxa"/>
            <w:vAlign w:val="top"/>
          </w:tcPr>
          <w:p w14:paraId="6F5BC7FE">
            <w:pPr>
              <w:spacing w:before="141" w:line="173" w:lineRule="auto"/>
              <w:ind w:left="33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服务期限</w:t>
            </w:r>
          </w:p>
        </w:tc>
        <w:tc>
          <w:tcPr>
            <w:tcW w:w="7899" w:type="dxa"/>
            <w:vAlign w:val="top"/>
          </w:tcPr>
          <w:p w14:paraId="268F18ED">
            <w:pPr>
              <w:spacing w:before="118" w:line="183" w:lineRule="auto"/>
              <w:ind w:left="12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1 年。（具体由中标单位与采购人在合同中</w:t>
            </w:r>
            <w:r>
              <w:rPr>
                <w:rFonts w:ascii="微软雅黑" w:hAnsi="微软雅黑" w:eastAsia="微软雅黑" w:cs="微软雅黑"/>
                <w:color w:val="auto"/>
                <w:spacing w:val="-4"/>
                <w:sz w:val="24"/>
                <w:szCs w:val="24"/>
                <w:highlight w:val="none"/>
              </w:rPr>
              <w:t>约定）</w:t>
            </w:r>
          </w:p>
        </w:tc>
      </w:tr>
      <w:tr w14:paraId="76DAE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53" w:type="dxa"/>
            <w:vAlign w:val="top"/>
          </w:tcPr>
          <w:p w14:paraId="2F62DB1D">
            <w:pPr>
              <w:spacing w:before="248" w:line="172" w:lineRule="auto"/>
              <w:ind w:left="2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11</w:t>
            </w:r>
          </w:p>
        </w:tc>
        <w:tc>
          <w:tcPr>
            <w:tcW w:w="1646" w:type="dxa"/>
            <w:vAlign w:val="top"/>
          </w:tcPr>
          <w:p w14:paraId="64103FF2">
            <w:pPr>
              <w:spacing w:before="222" w:line="182" w:lineRule="auto"/>
              <w:ind w:left="33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评标办法</w:t>
            </w:r>
          </w:p>
        </w:tc>
        <w:tc>
          <w:tcPr>
            <w:tcW w:w="7899" w:type="dxa"/>
            <w:vAlign w:val="top"/>
          </w:tcPr>
          <w:p w14:paraId="30720DA5">
            <w:pPr>
              <w:spacing w:before="219" w:line="184" w:lineRule="auto"/>
              <w:ind w:left="10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u w:val="single" w:color="auto"/>
              </w:rPr>
              <w:t>综合评分法</w:t>
            </w:r>
          </w:p>
        </w:tc>
      </w:tr>
      <w:tr w14:paraId="1C523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753" w:type="dxa"/>
            <w:vAlign w:val="top"/>
          </w:tcPr>
          <w:p w14:paraId="57A4B990">
            <w:pPr>
              <w:pStyle w:val="14"/>
              <w:spacing w:line="468" w:lineRule="auto"/>
              <w:rPr>
                <w:color w:val="auto"/>
                <w:highlight w:val="none"/>
              </w:rPr>
            </w:pPr>
          </w:p>
          <w:p w14:paraId="5A88F591">
            <w:pPr>
              <w:spacing w:before="103" w:line="172" w:lineRule="auto"/>
              <w:ind w:left="2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12</w:t>
            </w:r>
          </w:p>
        </w:tc>
        <w:tc>
          <w:tcPr>
            <w:tcW w:w="1646" w:type="dxa"/>
            <w:vAlign w:val="top"/>
          </w:tcPr>
          <w:p w14:paraId="01D3B0BE">
            <w:pPr>
              <w:spacing w:before="68" w:line="182" w:lineRule="auto"/>
              <w:ind w:left="21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采购人是否</w:t>
            </w:r>
          </w:p>
          <w:p w14:paraId="54F35E28">
            <w:pPr>
              <w:spacing w:before="7" w:line="182" w:lineRule="auto"/>
              <w:ind w:left="21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委托评标委</w:t>
            </w:r>
          </w:p>
          <w:p w14:paraId="76C3DBDF">
            <w:pPr>
              <w:spacing w:before="6" w:line="183" w:lineRule="auto"/>
              <w:ind w:left="22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员会直接确</w:t>
            </w:r>
          </w:p>
          <w:p w14:paraId="16727B24">
            <w:pPr>
              <w:spacing w:before="6" w:line="265" w:lineRule="exact"/>
              <w:ind w:left="33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定中标人</w:t>
            </w:r>
          </w:p>
        </w:tc>
        <w:tc>
          <w:tcPr>
            <w:tcW w:w="7899" w:type="dxa"/>
            <w:vAlign w:val="top"/>
          </w:tcPr>
          <w:p w14:paraId="11FF23B1">
            <w:pPr>
              <w:pStyle w:val="14"/>
              <w:spacing w:line="448" w:lineRule="auto"/>
              <w:rPr>
                <w:color w:val="auto"/>
                <w:highlight w:val="none"/>
              </w:rPr>
            </w:pPr>
          </w:p>
          <w:p w14:paraId="2BB775C1">
            <w:pPr>
              <w:spacing w:before="107" w:line="171" w:lineRule="auto"/>
              <w:ind w:left="102"/>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3"/>
                <w:sz w:val="24"/>
                <w:szCs w:val="24"/>
                <w:highlight w:val="none"/>
                <w:u w:val="single" w:color="auto"/>
              </w:rPr>
              <w:t>是</w:t>
            </w:r>
            <w:r>
              <w:rPr>
                <w:rFonts w:ascii="微软雅黑" w:hAnsi="微软雅黑" w:eastAsia="微软雅黑" w:cs="微软雅黑"/>
                <w:i/>
                <w:iCs/>
                <w:color w:val="auto"/>
                <w:spacing w:val="-3"/>
                <w:sz w:val="25"/>
                <w:szCs w:val="25"/>
                <w:highlight w:val="none"/>
                <w:u w:val="single" w:color="auto"/>
              </w:rPr>
              <w:t>（是、否）</w:t>
            </w:r>
          </w:p>
        </w:tc>
      </w:tr>
      <w:tr w14:paraId="78944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753" w:type="dxa"/>
            <w:vAlign w:val="top"/>
          </w:tcPr>
          <w:p w14:paraId="788FE4DB">
            <w:pPr>
              <w:pStyle w:val="14"/>
              <w:spacing w:line="355" w:lineRule="auto"/>
              <w:rPr>
                <w:color w:val="auto"/>
                <w:highlight w:val="none"/>
              </w:rPr>
            </w:pPr>
          </w:p>
          <w:p w14:paraId="6C500E52">
            <w:pPr>
              <w:spacing w:before="103" w:line="172" w:lineRule="auto"/>
              <w:ind w:left="2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13</w:t>
            </w:r>
          </w:p>
        </w:tc>
        <w:tc>
          <w:tcPr>
            <w:tcW w:w="1646" w:type="dxa"/>
            <w:vAlign w:val="top"/>
          </w:tcPr>
          <w:p w14:paraId="029BE008">
            <w:pPr>
              <w:spacing w:before="113" w:line="183" w:lineRule="auto"/>
              <w:ind w:left="21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推荐成交候</w:t>
            </w:r>
          </w:p>
          <w:p w14:paraId="29A4985D">
            <w:pPr>
              <w:spacing w:before="5" w:line="183" w:lineRule="auto"/>
              <w:ind w:left="21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选供应商的</w:t>
            </w:r>
          </w:p>
          <w:p w14:paraId="150E2A8C">
            <w:pPr>
              <w:spacing w:before="7" w:line="182" w:lineRule="auto"/>
              <w:ind w:left="57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数量</w:t>
            </w:r>
          </w:p>
        </w:tc>
        <w:tc>
          <w:tcPr>
            <w:tcW w:w="7899" w:type="dxa"/>
            <w:vAlign w:val="top"/>
          </w:tcPr>
          <w:p w14:paraId="2D4A4221">
            <w:pPr>
              <w:pStyle w:val="14"/>
              <w:spacing w:line="326" w:lineRule="auto"/>
              <w:rPr>
                <w:color w:val="auto"/>
                <w:highlight w:val="none"/>
              </w:rPr>
            </w:pPr>
          </w:p>
          <w:p w14:paraId="7307A9B4">
            <w:pPr>
              <w:spacing w:before="103" w:line="184" w:lineRule="auto"/>
              <w:ind w:left="12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0"/>
                <w:sz w:val="24"/>
                <w:szCs w:val="24"/>
                <w:highlight w:val="none"/>
                <w:u w:val="single" w:color="auto"/>
                <w:lang w:val="en-US" w:eastAsia="zh-CN"/>
              </w:rPr>
              <w:t>3</w:t>
            </w:r>
            <w:r>
              <w:rPr>
                <w:rFonts w:ascii="微软雅黑" w:hAnsi="微软雅黑" w:eastAsia="微软雅黑" w:cs="微软雅黑"/>
                <w:color w:val="auto"/>
                <w:spacing w:val="20"/>
                <w:sz w:val="24"/>
                <w:szCs w:val="24"/>
                <w:highlight w:val="none"/>
                <w:u w:val="single" w:color="auto"/>
              </w:rPr>
              <w:t>家</w:t>
            </w:r>
          </w:p>
        </w:tc>
      </w:tr>
    </w:tbl>
    <w:p w14:paraId="5A5FE7FF">
      <w:pPr>
        <w:rPr>
          <w:rFonts w:ascii="Arial"/>
          <w:color w:val="auto"/>
          <w:sz w:val="21"/>
          <w:highlight w:val="none"/>
        </w:rPr>
      </w:pPr>
    </w:p>
    <w:p w14:paraId="08B8E525">
      <w:pPr>
        <w:rPr>
          <w:rFonts w:ascii="Arial" w:hAnsi="Arial" w:eastAsia="Arial" w:cs="Arial"/>
          <w:color w:val="auto"/>
          <w:sz w:val="21"/>
          <w:szCs w:val="21"/>
          <w:highlight w:val="none"/>
        </w:rPr>
        <w:sectPr>
          <w:headerReference r:id="rId30" w:type="default"/>
          <w:footerReference r:id="rId31" w:type="default"/>
          <w:pgSz w:w="11907" w:h="16840"/>
          <w:pgMar w:top="1127" w:right="1134" w:bottom="1020" w:left="1134" w:header="870" w:footer="844" w:gutter="0"/>
          <w:pgNumType w:fmt="decimal"/>
          <w:cols w:space="720" w:num="1"/>
        </w:sectPr>
      </w:pPr>
    </w:p>
    <w:tbl>
      <w:tblPr>
        <w:tblStyle w:val="13"/>
        <w:tblW w:w="102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1646"/>
        <w:gridCol w:w="7899"/>
      </w:tblGrid>
      <w:tr w14:paraId="0808B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0" w:hRule="atLeast"/>
        </w:trPr>
        <w:tc>
          <w:tcPr>
            <w:tcW w:w="753" w:type="dxa"/>
            <w:vAlign w:val="top"/>
          </w:tcPr>
          <w:p w14:paraId="4E658D9B">
            <w:pPr>
              <w:pStyle w:val="14"/>
              <w:spacing w:line="244" w:lineRule="auto"/>
              <w:rPr>
                <w:color w:val="auto"/>
                <w:highlight w:val="none"/>
              </w:rPr>
            </w:pPr>
          </w:p>
          <w:p w14:paraId="291C648F">
            <w:pPr>
              <w:pStyle w:val="14"/>
              <w:spacing w:line="244" w:lineRule="auto"/>
              <w:rPr>
                <w:color w:val="auto"/>
                <w:highlight w:val="none"/>
              </w:rPr>
            </w:pPr>
          </w:p>
          <w:p w14:paraId="7A4B1E6E">
            <w:pPr>
              <w:pStyle w:val="14"/>
              <w:spacing w:line="244" w:lineRule="auto"/>
              <w:rPr>
                <w:color w:val="auto"/>
                <w:highlight w:val="none"/>
              </w:rPr>
            </w:pPr>
          </w:p>
          <w:p w14:paraId="5FAF2AE5">
            <w:pPr>
              <w:pStyle w:val="14"/>
              <w:spacing w:line="244" w:lineRule="auto"/>
              <w:rPr>
                <w:color w:val="auto"/>
                <w:highlight w:val="none"/>
              </w:rPr>
            </w:pPr>
          </w:p>
          <w:p w14:paraId="5D78C584">
            <w:pPr>
              <w:pStyle w:val="14"/>
              <w:spacing w:line="244" w:lineRule="auto"/>
              <w:rPr>
                <w:color w:val="auto"/>
                <w:highlight w:val="none"/>
              </w:rPr>
            </w:pPr>
          </w:p>
          <w:p w14:paraId="6D3E3652">
            <w:pPr>
              <w:pStyle w:val="14"/>
              <w:spacing w:line="244" w:lineRule="auto"/>
              <w:rPr>
                <w:color w:val="auto"/>
                <w:highlight w:val="none"/>
              </w:rPr>
            </w:pPr>
          </w:p>
          <w:p w14:paraId="5467531F">
            <w:pPr>
              <w:pStyle w:val="14"/>
              <w:spacing w:line="244" w:lineRule="auto"/>
              <w:rPr>
                <w:color w:val="auto"/>
                <w:highlight w:val="none"/>
              </w:rPr>
            </w:pPr>
          </w:p>
          <w:p w14:paraId="2902FB4A">
            <w:pPr>
              <w:pStyle w:val="14"/>
              <w:spacing w:line="244" w:lineRule="auto"/>
              <w:rPr>
                <w:color w:val="auto"/>
                <w:highlight w:val="none"/>
              </w:rPr>
            </w:pPr>
          </w:p>
          <w:p w14:paraId="3547FF2B">
            <w:pPr>
              <w:pStyle w:val="14"/>
              <w:spacing w:line="244" w:lineRule="auto"/>
              <w:rPr>
                <w:color w:val="auto"/>
                <w:highlight w:val="none"/>
              </w:rPr>
            </w:pPr>
          </w:p>
          <w:p w14:paraId="37EFDB3A">
            <w:pPr>
              <w:pStyle w:val="14"/>
              <w:spacing w:line="244" w:lineRule="auto"/>
              <w:rPr>
                <w:color w:val="auto"/>
                <w:highlight w:val="none"/>
              </w:rPr>
            </w:pPr>
          </w:p>
          <w:p w14:paraId="71FEE297">
            <w:pPr>
              <w:pStyle w:val="14"/>
              <w:spacing w:line="244" w:lineRule="auto"/>
              <w:rPr>
                <w:color w:val="auto"/>
                <w:highlight w:val="none"/>
              </w:rPr>
            </w:pPr>
          </w:p>
          <w:p w14:paraId="05257670">
            <w:pPr>
              <w:pStyle w:val="14"/>
              <w:spacing w:line="244" w:lineRule="auto"/>
              <w:rPr>
                <w:color w:val="auto"/>
                <w:highlight w:val="none"/>
              </w:rPr>
            </w:pPr>
          </w:p>
          <w:p w14:paraId="1CD915CB">
            <w:pPr>
              <w:pStyle w:val="14"/>
              <w:spacing w:line="244" w:lineRule="auto"/>
              <w:rPr>
                <w:color w:val="auto"/>
                <w:highlight w:val="none"/>
              </w:rPr>
            </w:pPr>
          </w:p>
          <w:p w14:paraId="5B9A24A5">
            <w:pPr>
              <w:pStyle w:val="14"/>
              <w:spacing w:line="244" w:lineRule="auto"/>
              <w:rPr>
                <w:color w:val="auto"/>
                <w:highlight w:val="none"/>
              </w:rPr>
            </w:pPr>
          </w:p>
          <w:p w14:paraId="6C6E5ECA">
            <w:pPr>
              <w:pStyle w:val="14"/>
              <w:spacing w:line="244" w:lineRule="auto"/>
              <w:rPr>
                <w:color w:val="auto"/>
                <w:highlight w:val="none"/>
              </w:rPr>
            </w:pPr>
          </w:p>
          <w:p w14:paraId="6E324F44">
            <w:pPr>
              <w:pStyle w:val="14"/>
              <w:spacing w:line="244" w:lineRule="auto"/>
              <w:rPr>
                <w:color w:val="auto"/>
                <w:highlight w:val="none"/>
              </w:rPr>
            </w:pPr>
          </w:p>
          <w:p w14:paraId="33344712">
            <w:pPr>
              <w:pStyle w:val="14"/>
              <w:spacing w:line="244" w:lineRule="auto"/>
              <w:rPr>
                <w:color w:val="auto"/>
                <w:highlight w:val="none"/>
              </w:rPr>
            </w:pPr>
          </w:p>
          <w:p w14:paraId="7060D8C8">
            <w:pPr>
              <w:pStyle w:val="14"/>
              <w:spacing w:line="244" w:lineRule="auto"/>
              <w:rPr>
                <w:color w:val="auto"/>
                <w:highlight w:val="none"/>
              </w:rPr>
            </w:pPr>
          </w:p>
          <w:p w14:paraId="0951B2B6">
            <w:pPr>
              <w:pStyle w:val="14"/>
              <w:spacing w:line="244" w:lineRule="auto"/>
              <w:rPr>
                <w:color w:val="auto"/>
                <w:highlight w:val="none"/>
              </w:rPr>
            </w:pPr>
          </w:p>
          <w:p w14:paraId="69DB65A1">
            <w:pPr>
              <w:pStyle w:val="14"/>
              <w:spacing w:line="244" w:lineRule="auto"/>
              <w:rPr>
                <w:color w:val="auto"/>
                <w:highlight w:val="none"/>
              </w:rPr>
            </w:pPr>
          </w:p>
          <w:p w14:paraId="63C5BD51">
            <w:pPr>
              <w:pStyle w:val="14"/>
              <w:spacing w:line="245" w:lineRule="auto"/>
              <w:rPr>
                <w:color w:val="auto"/>
                <w:highlight w:val="none"/>
              </w:rPr>
            </w:pPr>
          </w:p>
          <w:p w14:paraId="27BD0193">
            <w:pPr>
              <w:pStyle w:val="14"/>
              <w:spacing w:line="245" w:lineRule="auto"/>
              <w:rPr>
                <w:color w:val="auto"/>
                <w:highlight w:val="none"/>
              </w:rPr>
            </w:pPr>
          </w:p>
          <w:p w14:paraId="540E000E">
            <w:pPr>
              <w:spacing w:before="103" w:line="172" w:lineRule="auto"/>
              <w:ind w:left="2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14</w:t>
            </w:r>
          </w:p>
        </w:tc>
        <w:tc>
          <w:tcPr>
            <w:tcW w:w="1646" w:type="dxa"/>
            <w:vAlign w:val="top"/>
          </w:tcPr>
          <w:p w14:paraId="2998133F">
            <w:pPr>
              <w:pStyle w:val="14"/>
              <w:spacing w:line="247" w:lineRule="auto"/>
              <w:rPr>
                <w:color w:val="auto"/>
                <w:highlight w:val="none"/>
              </w:rPr>
            </w:pPr>
          </w:p>
          <w:p w14:paraId="04623434">
            <w:pPr>
              <w:pStyle w:val="14"/>
              <w:spacing w:line="247" w:lineRule="auto"/>
              <w:rPr>
                <w:color w:val="auto"/>
                <w:highlight w:val="none"/>
              </w:rPr>
            </w:pPr>
          </w:p>
          <w:p w14:paraId="4B2862AF">
            <w:pPr>
              <w:pStyle w:val="14"/>
              <w:spacing w:line="247" w:lineRule="auto"/>
              <w:rPr>
                <w:color w:val="auto"/>
                <w:highlight w:val="none"/>
              </w:rPr>
            </w:pPr>
          </w:p>
          <w:p w14:paraId="294A7F87">
            <w:pPr>
              <w:pStyle w:val="14"/>
              <w:spacing w:line="247" w:lineRule="auto"/>
              <w:rPr>
                <w:color w:val="auto"/>
                <w:highlight w:val="none"/>
              </w:rPr>
            </w:pPr>
          </w:p>
          <w:p w14:paraId="1EE3FCC5">
            <w:pPr>
              <w:pStyle w:val="14"/>
              <w:spacing w:line="247" w:lineRule="auto"/>
              <w:rPr>
                <w:color w:val="auto"/>
                <w:highlight w:val="none"/>
              </w:rPr>
            </w:pPr>
          </w:p>
          <w:p w14:paraId="733B2466">
            <w:pPr>
              <w:pStyle w:val="14"/>
              <w:spacing w:line="247" w:lineRule="auto"/>
              <w:rPr>
                <w:color w:val="auto"/>
                <w:highlight w:val="none"/>
              </w:rPr>
            </w:pPr>
          </w:p>
          <w:p w14:paraId="6799A230">
            <w:pPr>
              <w:pStyle w:val="14"/>
              <w:spacing w:line="247" w:lineRule="auto"/>
              <w:rPr>
                <w:color w:val="auto"/>
                <w:highlight w:val="none"/>
              </w:rPr>
            </w:pPr>
          </w:p>
          <w:p w14:paraId="78774F50">
            <w:pPr>
              <w:pStyle w:val="14"/>
              <w:spacing w:line="247" w:lineRule="auto"/>
              <w:rPr>
                <w:color w:val="auto"/>
                <w:highlight w:val="none"/>
              </w:rPr>
            </w:pPr>
          </w:p>
          <w:p w14:paraId="75012E30">
            <w:pPr>
              <w:pStyle w:val="14"/>
              <w:spacing w:line="247" w:lineRule="auto"/>
              <w:rPr>
                <w:color w:val="auto"/>
                <w:highlight w:val="none"/>
              </w:rPr>
            </w:pPr>
          </w:p>
          <w:p w14:paraId="62D11A64">
            <w:pPr>
              <w:pStyle w:val="14"/>
              <w:spacing w:line="247" w:lineRule="auto"/>
              <w:rPr>
                <w:color w:val="auto"/>
                <w:highlight w:val="none"/>
              </w:rPr>
            </w:pPr>
          </w:p>
          <w:p w14:paraId="478AF801">
            <w:pPr>
              <w:pStyle w:val="14"/>
              <w:spacing w:line="247" w:lineRule="auto"/>
              <w:rPr>
                <w:color w:val="auto"/>
                <w:highlight w:val="none"/>
              </w:rPr>
            </w:pPr>
          </w:p>
          <w:p w14:paraId="55C2B30A">
            <w:pPr>
              <w:pStyle w:val="14"/>
              <w:spacing w:line="247" w:lineRule="auto"/>
              <w:rPr>
                <w:color w:val="auto"/>
                <w:highlight w:val="none"/>
              </w:rPr>
            </w:pPr>
          </w:p>
          <w:p w14:paraId="64BE6D1C">
            <w:pPr>
              <w:pStyle w:val="14"/>
              <w:spacing w:line="247" w:lineRule="auto"/>
              <w:rPr>
                <w:color w:val="auto"/>
                <w:highlight w:val="none"/>
              </w:rPr>
            </w:pPr>
          </w:p>
          <w:p w14:paraId="0A7A04E4">
            <w:pPr>
              <w:pStyle w:val="14"/>
              <w:spacing w:line="247" w:lineRule="auto"/>
              <w:rPr>
                <w:color w:val="auto"/>
                <w:highlight w:val="none"/>
              </w:rPr>
            </w:pPr>
          </w:p>
          <w:p w14:paraId="00528F78">
            <w:pPr>
              <w:pStyle w:val="14"/>
              <w:spacing w:line="247" w:lineRule="auto"/>
              <w:rPr>
                <w:color w:val="auto"/>
                <w:highlight w:val="none"/>
              </w:rPr>
            </w:pPr>
          </w:p>
          <w:p w14:paraId="1A96D485">
            <w:pPr>
              <w:pStyle w:val="14"/>
              <w:spacing w:line="247" w:lineRule="auto"/>
              <w:rPr>
                <w:color w:val="auto"/>
                <w:highlight w:val="none"/>
              </w:rPr>
            </w:pPr>
          </w:p>
          <w:p w14:paraId="6E7DC1AE">
            <w:pPr>
              <w:pStyle w:val="14"/>
              <w:spacing w:line="247" w:lineRule="auto"/>
              <w:rPr>
                <w:color w:val="auto"/>
                <w:highlight w:val="none"/>
              </w:rPr>
            </w:pPr>
          </w:p>
          <w:p w14:paraId="219517AA">
            <w:pPr>
              <w:pStyle w:val="14"/>
              <w:spacing w:line="247" w:lineRule="auto"/>
              <w:rPr>
                <w:color w:val="auto"/>
                <w:highlight w:val="none"/>
              </w:rPr>
            </w:pPr>
          </w:p>
          <w:p w14:paraId="4E2291EE">
            <w:pPr>
              <w:pStyle w:val="14"/>
              <w:spacing w:line="247" w:lineRule="auto"/>
              <w:rPr>
                <w:color w:val="auto"/>
                <w:highlight w:val="none"/>
              </w:rPr>
            </w:pPr>
          </w:p>
          <w:p w14:paraId="35821461">
            <w:pPr>
              <w:pStyle w:val="14"/>
              <w:spacing w:line="247" w:lineRule="auto"/>
              <w:rPr>
                <w:color w:val="auto"/>
                <w:highlight w:val="none"/>
              </w:rPr>
            </w:pPr>
          </w:p>
          <w:p w14:paraId="10FF08B9">
            <w:pPr>
              <w:spacing w:before="103"/>
              <w:ind w:left="577" w:right="220" w:hanging="36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磋商人资格</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1"/>
                <w:sz w:val="24"/>
                <w:szCs w:val="24"/>
                <w:highlight w:val="none"/>
              </w:rPr>
              <w:t>条件</w:t>
            </w:r>
          </w:p>
        </w:tc>
        <w:tc>
          <w:tcPr>
            <w:tcW w:w="7899" w:type="dxa"/>
            <w:vAlign w:val="top"/>
          </w:tcPr>
          <w:p w14:paraId="2B09AC61">
            <w:pPr>
              <w:pStyle w:val="14"/>
              <w:spacing w:line="448" w:lineRule="auto"/>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须将以下证明资料附在响应文件中：</w:t>
            </w:r>
          </w:p>
          <w:p w14:paraId="2D40EA84">
            <w:pPr>
              <w:spacing w:before="97" w:line="183" w:lineRule="auto"/>
              <w:ind w:left="13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（1）具有三证合一企业法人营业执照副本原件的扫描</w:t>
            </w:r>
            <w:r>
              <w:rPr>
                <w:rFonts w:ascii="微软雅黑" w:hAnsi="微软雅黑" w:eastAsia="微软雅黑" w:cs="微软雅黑"/>
                <w:color w:val="auto"/>
                <w:spacing w:val="-4"/>
                <w:sz w:val="24"/>
                <w:szCs w:val="24"/>
                <w:highlight w:val="none"/>
              </w:rPr>
              <w:t>件；</w:t>
            </w:r>
          </w:p>
          <w:p w14:paraId="482E0969">
            <w:pPr>
              <w:spacing w:before="146" w:line="225" w:lineRule="auto"/>
              <w:ind w:left="102" w:right="102" w:firstLine="35"/>
              <w:rPr>
                <w:rFonts w:ascii="微软雅黑" w:hAnsi="微软雅黑" w:eastAsia="微软雅黑" w:cs="微软雅黑"/>
                <w:color w:val="auto"/>
                <w:spacing w:val="-1"/>
                <w:sz w:val="24"/>
                <w:szCs w:val="24"/>
                <w:highlight w:val="none"/>
              </w:rPr>
            </w:pPr>
            <w:r>
              <w:rPr>
                <w:rFonts w:ascii="微软雅黑" w:hAnsi="微软雅黑" w:eastAsia="微软雅黑" w:cs="微软雅黑"/>
                <w:color w:val="auto"/>
                <w:sz w:val="24"/>
                <w:szCs w:val="24"/>
                <w:highlight w:val="none"/>
              </w:rPr>
              <w:t>（2）提供法定代表人资格证明及授权书、被</w:t>
            </w:r>
            <w:r>
              <w:rPr>
                <w:rFonts w:ascii="微软雅黑" w:hAnsi="微软雅黑" w:eastAsia="微软雅黑" w:cs="微软雅黑"/>
                <w:color w:val="auto"/>
                <w:spacing w:val="-1"/>
                <w:sz w:val="24"/>
                <w:szCs w:val="24"/>
                <w:highlight w:val="none"/>
              </w:rPr>
              <w:t>授权人身份证复印件；(法定</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代表人投标需提供法定代表人身份证复印件)</w:t>
            </w:r>
          </w:p>
          <w:p w14:paraId="0A5F0E75">
            <w:pPr>
              <w:spacing w:before="146" w:line="225" w:lineRule="auto"/>
              <w:ind w:left="102" w:right="102" w:firstLine="3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（3）具有良好的商业信誉和健全的财务会计制度</w:t>
            </w:r>
            <w:r>
              <w:rPr>
                <w:rFonts w:ascii="微软雅黑" w:hAnsi="微软雅黑" w:eastAsia="微软雅黑" w:cs="微软雅黑"/>
                <w:color w:val="auto"/>
                <w:spacing w:val="-5"/>
                <w:sz w:val="24"/>
                <w:szCs w:val="24"/>
                <w:highlight w:val="none"/>
              </w:rPr>
              <w:t>（投标人提供</w:t>
            </w:r>
            <w:r>
              <w:rPr>
                <w:rFonts w:hint="eastAsia" w:ascii="微软雅黑" w:hAnsi="微软雅黑" w:eastAsia="微软雅黑" w:cs="微软雅黑"/>
                <w:color w:val="auto"/>
                <w:spacing w:val="-5"/>
                <w:sz w:val="24"/>
                <w:szCs w:val="24"/>
                <w:highlight w:val="none"/>
                <w:lang w:val="en-US" w:eastAsia="zh-CN"/>
              </w:rPr>
              <w:t>2023年或</w:t>
            </w:r>
            <w:r>
              <w:rPr>
                <w:rFonts w:ascii="微软雅黑" w:hAnsi="微软雅黑" w:eastAsia="微软雅黑" w:cs="微软雅黑"/>
                <w:color w:val="auto"/>
                <w:spacing w:val="-5"/>
                <w:sz w:val="24"/>
                <w:szCs w:val="24"/>
                <w:highlight w:val="none"/>
              </w:rPr>
              <w:t>202</w:t>
            </w:r>
            <w:r>
              <w:rPr>
                <w:rFonts w:hint="eastAsia" w:ascii="微软雅黑" w:hAnsi="微软雅黑" w:eastAsia="微软雅黑" w:cs="微软雅黑"/>
                <w:color w:val="auto"/>
                <w:spacing w:val="-5"/>
                <w:sz w:val="24"/>
                <w:szCs w:val="24"/>
                <w:highlight w:val="none"/>
                <w:lang w:val="en-US" w:eastAsia="zh-CN"/>
              </w:rPr>
              <w:t>4</w:t>
            </w:r>
            <w:r>
              <w:rPr>
                <w:rFonts w:ascii="微软雅黑" w:hAnsi="微软雅黑" w:eastAsia="微软雅黑" w:cs="微软雅黑"/>
                <w:color w:val="auto"/>
                <w:spacing w:val="-5"/>
                <w:sz w:val="24"/>
                <w:szCs w:val="24"/>
                <w:highlight w:val="none"/>
              </w:rPr>
              <w:t xml:space="preserve"> 年财</w:t>
            </w:r>
            <w:r>
              <w:rPr>
                <w:rFonts w:ascii="微软雅黑" w:hAnsi="微软雅黑" w:eastAsia="微软雅黑" w:cs="微软雅黑"/>
                <w:color w:val="auto"/>
                <w:spacing w:val="-1"/>
                <w:sz w:val="24"/>
                <w:szCs w:val="24"/>
                <w:highlight w:val="none"/>
              </w:rPr>
              <w:t>务审计报告，新成立未满一年的公司提供开标前 1 个月内有效</w:t>
            </w:r>
            <w:r>
              <w:rPr>
                <w:rFonts w:ascii="微软雅黑" w:hAnsi="微软雅黑" w:eastAsia="微软雅黑" w:cs="微软雅黑"/>
                <w:color w:val="auto"/>
                <w:spacing w:val="-2"/>
                <w:sz w:val="24"/>
                <w:szCs w:val="24"/>
                <w:highlight w:val="none"/>
              </w:rPr>
              <w:t>银行资信证</w:t>
            </w:r>
            <w:r>
              <w:rPr>
                <w:rFonts w:ascii="微软雅黑" w:hAnsi="微软雅黑" w:eastAsia="微软雅黑" w:cs="微软雅黑"/>
                <w:color w:val="auto"/>
                <w:spacing w:val="-16"/>
                <w:sz w:val="24"/>
                <w:szCs w:val="24"/>
                <w:highlight w:val="none"/>
              </w:rPr>
              <w:t>明</w:t>
            </w:r>
            <w:r>
              <w:rPr>
                <w:rFonts w:ascii="微软雅黑" w:hAnsi="微软雅黑" w:eastAsia="微软雅黑" w:cs="微软雅黑"/>
                <w:color w:val="auto"/>
                <w:spacing w:val="-8"/>
                <w:sz w:val="24"/>
                <w:szCs w:val="24"/>
                <w:highlight w:val="none"/>
              </w:rPr>
              <w:t>）；</w:t>
            </w:r>
          </w:p>
          <w:p w14:paraId="07F324EB">
            <w:pPr>
              <w:spacing w:before="46" w:line="219" w:lineRule="auto"/>
              <w:ind w:left="97" w:right="102" w:firstLine="4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（4）有依法缴纳社会保障资金的良好记录；须提供近六个月内任意一个</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2"/>
                <w:sz w:val="24"/>
                <w:szCs w:val="24"/>
                <w:highlight w:val="none"/>
              </w:rPr>
              <w:t>月的法人及被授权人</w:t>
            </w:r>
            <w:r>
              <w:rPr>
                <w:rFonts w:ascii="微软雅黑" w:hAnsi="微软雅黑" w:eastAsia="微软雅黑" w:cs="微软雅黑"/>
                <w:color w:val="auto"/>
                <w:spacing w:val="-33"/>
                <w:sz w:val="24"/>
                <w:szCs w:val="24"/>
                <w:highlight w:val="none"/>
              </w:rPr>
              <w:t xml:space="preserve"> </w:t>
            </w:r>
            <w:r>
              <w:rPr>
                <w:rFonts w:ascii="微软雅黑" w:hAnsi="微软雅黑" w:eastAsia="微软雅黑" w:cs="微软雅黑"/>
                <w:color w:val="auto"/>
                <w:spacing w:val="2"/>
                <w:sz w:val="24"/>
                <w:szCs w:val="24"/>
                <w:highlight w:val="none"/>
              </w:rPr>
              <w:t>&lt;被授权人必须为投标单位正式</w:t>
            </w:r>
            <w:r>
              <w:rPr>
                <w:rFonts w:ascii="微软雅黑" w:hAnsi="微软雅黑" w:eastAsia="微软雅黑" w:cs="微软雅黑"/>
                <w:color w:val="auto"/>
                <w:spacing w:val="1"/>
                <w:sz w:val="24"/>
                <w:szCs w:val="24"/>
                <w:highlight w:val="none"/>
              </w:rPr>
              <w:t>员工</w:t>
            </w:r>
            <w:r>
              <w:rPr>
                <w:rFonts w:ascii="微软雅黑" w:hAnsi="微软雅黑" w:eastAsia="微软雅黑" w:cs="微软雅黑"/>
                <w:color w:val="auto"/>
                <w:spacing w:val="-32"/>
                <w:sz w:val="24"/>
                <w:szCs w:val="24"/>
                <w:highlight w:val="none"/>
              </w:rPr>
              <w:t xml:space="preserve"> </w:t>
            </w:r>
            <w:r>
              <w:rPr>
                <w:rFonts w:ascii="微软雅黑" w:hAnsi="微软雅黑" w:eastAsia="微软雅黑" w:cs="微软雅黑"/>
                <w:color w:val="auto"/>
                <w:spacing w:val="1"/>
                <w:sz w:val="24"/>
                <w:szCs w:val="24"/>
                <w:highlight w:val="none"/>
              </w:rPr>
              <w:t>&gt;社保部门出具</w:t>
            </w:r>
            <w:r>
              <w:rPr>
                <w:rFonts w:ascii="微软雅黑" w:hAnsi="微软雅黑" w:eastAsia="微软雅黑" w:cs="微软雅黑"/>
                <w:color w:val="auto"/>
                <w:sz w:val="24"/>
                <w:szCs w:val="24"/>
                <w:highlight w:val="none"/>
              </w:rPr>
              <w:t xml:space="preserve"> 的投标单位的缴纳社保证明和法人及被授权人缴纳社保明细表原件扫描件</w:t>
            </w:r>
            <w:r>
              <w:rPr>
                <w:rFonts w:ascii="微软雅黑" w:hAnsi="微软雅黑" w:eastAsia="微软雅黑" w:cs="微软雅黑"/>
                <w:color w:val="auto"/>
                <w:spacing w:val="8"/>
                <w:sz w:val="24"/>
                <w:szCs w:val="24"/>
                <w:highlight w:val="none"/>
              </w:rPr>
              <w:t xml:space="preserve"> </w:t>
            </w:r>
            <w:r>
              <w:rPr>
                <w:rFonts w:ascii="微软雅黑" w:hAnsi="微软雅黑" w:eastAsia="微软雅黑" w:cs="微软雅黑"/>
                <w:color w:val="auto"/>
                <w:spacing w:val="-1"/>
                <w:sz w:val="24"/>
                <w:szCs w:val="24"/>
                <w:highlight w:val="none"/>
              </w:rPr>
              <w:t>/复印件&lt;社保证明可提供以下任意一个：社保缴费凭证、社保缴费证明、</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社保缴费汇总单、依法缴纳社保的完税证明&gt;；</w:t>
            </w:r>
          </w:p>
          <w:p w14:paraId="137A81C7">
            <w:pPr>
              <w:spacing w:before="23" w:line="217" w:lineRule="auto"/>
              <w:ind w:left="104" w:right="101" w:firstLine="3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（5）有依法缴纳税收的良好记录；投标单位近六个月内任意一个月依法</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3"/>
                <w:sz w:val="24"/>
                <w:szCs w:val="24"/>
                <w:highlight w:val="none"/>
              </w:rPr>
              <w:t>缴纳税收的完税证明原件扫描件/复印件，依法免缴的，应提供依法免</w:t>
            </w:r>
            <w:r>
              <w:rPr>
                <w:rFonts w:ascii="微软雅黑" w:hAnsi="微软雅黑" w:eastAsia="微软雅黑" w:cs="微软雅黑"/>
                <w:color w:val="auto"/>
                <w:spacing w:val="-4"/>
                <w:sz w:val="24"/>
                <w:szCs w:val="24"/>
                <w:highlight w:val="none"/>
              </w:rPr>
              <w:t>缴的</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相关证明文件或零申报报表（新公司提交上述内容实际证明材料</w:t>
            </w:r>
            <w:r>
              <w:rPr>
                <w:rFonts w:ascii="微软雅黑" w:hAnsi="微软雅黑" w:eastAsia="微软雅黑" w:cs="微软雅黑"/>
                <w:color w:val="auto"/>
                <w:spacing w:val="4"/>
                <w:sz w:val="24"/>
                <w:szCs w:val="24"/>
                <w:highlight w:val="none"/>
              </w:rPr>
              <w:t>）；</w:t>
            </w:r>
          </w:p>
          <w:p w14:paraId="2F79A8E3">
            <w:pPr>
              <w:spacing w:before="19" w:line="221" w:lineRule="auto"/>
              <w:ind w:left="104" w:right="102" w:firstLine="33"/>
              <w:jc w:val="left"/>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2"/>
                <w:sz w:val="24"/>
                <w:szCs w:val="24"/>
                <w:highlight w:val="none"/>
              </w:rPr>
              <w:t>（ 6 ）</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42"/>
                <w:sz w:val="24"/>
                <w:szCs w:val="24"/>
                <w:highlight w:val="none"/>
              </w:rPr>
              <w:t>参加本次招标项目的供应商</w:t>
            </w:r>
            <w:r>
              <w:rPr>
                <w:rFonts w:ascii="微软雅黑" w:hAnsi="微软雅黑" w:eastAsia="微软雅黑" w:cs="微软雅黑"/>
                <w:color w:val="auto"/>
                <w:spacing w:val="-9"/>
                <w:sz w:val="24"/>
                <w:szCs w:val="24"/>
                <w:highlight w:val="none"/>
              </w:rPr>
              <w:t xml:space="preserve"> </w:t>
            </w:r>
            <w:r>
              <w:rPr>
                <w:rFonts w:ascii="微软雅黑" w:hAnsi="微软雅黑" w:eastAsia="微软雅黑" w:cs="微软雅黑"/>
                <w:color w:val="auto"/>
                <w:spacing w:val="42"/>
                <w:sz w:val="24"/>
                <w:szCs w:val="24"/>
                <w:highlight w:val="none"/>
              </w:rPr>
              <w:t>，</w:t>
            </w:r>
            <w:r>
              <w:rPr>
                <w:rFonts w:ascii="微软雅黑" w:hAnsi="微软雅黑" w:eastAsia="微软雅黑" w:cs="微软雅黑"/>
                <w:color w:val="auto"/>
                <w:spacing w:val="-8"/>
                <w:sz w:val="24"/>
                <w:szCs w:val="24"/>
                <w:highlight w:val="none"/>
              </w:rPr>
              <w:t xml:space="preserve"> </w:t>
            </w:r>
            <w:r>
              <w:rPr>
                <w:rFonts w:ascii="微软雅黑" w:hAnsi="微软雅黑" w:eastAsia="微软雅黑" w:cs="微软雅黑"/>
                <w:color w:val="auto"/>
                <w:spacing w:val="42"/>
                <w:sz w:val="24"/>
                <w:szCs w:val="24"/>
                <w:highlight w:val="none"/>
              </w:rPr>
              <w:t>不得在中国政府采购网</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w:t>
            </w:r>
            <w:r>
              <w:rPr>
                <w:rFonts w:ascii="微软雅黑" w:hAnsi="微软雅黑" w:eastAsia="微软雅黑" w:cs="微软雅黑"/>
                <w:color w:val="auto"/>
                <w:spacing w:val="-6"/>
                <w:sz w:val="24"/>
                <w:szCs w:val="24"/>
                <w:highlight w:val="none"/>
              </w:rPr>
              <w:t xml:space="preserve"> </w:t>
            </w:r>
            <w:r>
              <w:rPr>
                <w:color w:val="auto"/>
                <w:highlight w:val="none"/>
              </w:rPr>
              <w:fldChar w:fldCharType="begin"/>
            </w:r>
            <w:r>
              <w:rPr>
                <w:color w:val="auto"/>
                <w:highlight w:val="none"/>
              </w:rPr>
              <w:instrText xml:space="preserve"> HYPERLINK "http://www.ccgp.gov.cn/search/cr/" </w:instrText>
            </w:r>
            <w:r>
              <w:rPr>
                <w:color w:val="auto"/>
                <w:highlight w:val="none"/>
              </w:rPr>
              <w:fldChar w:fldCharType="separate"/>
            </w:r>
            <w:r>
              <w:rPr>
                <w:rFonts w:ascii="微软雅黑" w:hAnsi="微软雅黑" w:eastAsia="微软雅黑" w:cs="微软雅黑"/>
                <w:color w:val="auto"/>
                <w:sz w:val="24"/>
                <w:szCs w:val="24"/>
                <w:highlight w:val="none"/>
              </w:rPr>
              <w:t>http</w:t>
            </w:r>
            <w:r>
              <w:rPr>
                <w:rFonts w:ascii="微软雅黑" w:hAnsi="微软雅黑" w:eastAsia="微软雅黑" w:cs="微软雅黑"/>
                <w:color w:val="auto"/>
                <w:spacing w:val="1"/>
                <w:sz w:val="24"/>
                <w:szCs w:val="24"/>
                <w:highlight w:val="none"/>
              </w:rPr>
              <w:t>://</w:t>
            </w:r>
            <w:r>
              <w:rPr>
                <w:rFonts w:ascii="微软雅黑" w:hAnsi="微软雅黑" w:eastAsia="微软雅黑" w:cs="微软雅黑"/>
                <w:color w:val="auto"/>
                <w:sz w:val="24"/>
                <w:szCs w:val="24"/>
                <w:highlight w:val="none"/>
              </w:rPr>
              <w:t>www</w:t>
            </w:r>
            <w:r>
              <w:rPr>
                <w:rFonts w:ascii="微软雅黑" w:hAnsi="微软雅黑" w:eastAsia="微软雅黑" w:cs="微软雅黑"/>
                <w:color w:val="auto"/>
                <w:spacing w:val="1"/>
                <w:sz w:val="24"/>
                <w:szCs w:val="24"/>
                <w:highlight w:val="none"/>
              </w:rPr>
              <w:t>.</w:t>
            </w:r>
            <w:r>
              <w:rPr>
                <w:rFonts w:ascii="微软雅黑" w:hAnsi="微软雅黑" w:eastAsia="微软雅黑" w:cs="微软雅黑"/>
                <w:color w:val="auto"/>
                <w:sz w:val="24"/>
                <w:szCs w:val="24"/>
                <w:highlight w:val="none"/>
              </w:rPr>
              <w:t>ccgp</w:t>
            </w:r>
            <w:r>
              <w:rPr>
                <w:rFonts w:ascii="微软雅黑" w:hAnsi="微软雅黑" w:eastAsia="微软雅黑" w:cs="微软雅黑"/>
                <w:color w:val="auto"/>
                <w:spacing w:val="1"/>
                <w:sz w:val="24"/>
                <w:szCs w:val="24"/>
                <w:highlight w:val="none"/>
              </w:rPr>
              <w:t>.</w:t>
            </w:r>
            <w:r>
              <w:rPr>
                <w:rFonts w:ascii="微软雅黑" w:hAnsi="微软雅黑" w:eastAsia="微软雅黑" w:cs="微软雅黑"/>
                <w:color w:val="auto"/>
                <w:sz w:val="24"/>
                <w:szCs w:val="24"/>
                <w:highlight w:val="none"/>
              </w:rPr>
              <w:t>gov</w:t>
            </w:r>
            <w:r>
              <w:rPr>
                <w:rFonts w:ascii="微软雅黑" w:hAnsi="微软雅黑" w:eastAsia="微软雅黑" w:cs="微软雅黑"/>
                <w:color w:val="auto"/>
                <w:spacing w:val="1"/>
                <w:sz w:val="24"/>
                <w:szCs w:val="24"/>
                <w:highlight w:val="none"/>
              </w:rPr>
              <w:t>.</w:t>
            </w:r>
            <w:r>
              <w:rPr>
                <w:rFonts w:ascii="微软雅黑" w:hAnsi="微软雅黑" w:eastAsia="微软雅黑" w:cs="微软雅黑"/>
                <w:color w:val="auto"/>
                <w:sz w:val="24"/>
                <w:szCs w:val="24"/>
                <w:highlight w:val="none"/>
              </w:rPr>
              <w:t>cn</w:t>
            </w:r>
            <w:r>
              <w:rPr>
                <w:rFonts w:ascii="微软雅黑" w:hAnsi="微软雅黑" w:eastAsia="微软雅黑" w:cs="微软雅黑"/>
                <w:color w:val="auto"/>
                <w:spacing w:val="1"/>
                <w:sz w:val="24"/>
                <w:szCs w:val="24"/>
                <w:highlight w:val="none"/>
              </w:rPr>
              <w:t>/</w:t>
            </w:r>
            <w:r>
              <w:rPr>
                <w:rFonts w:ascii="微软雅黑" w:hAnsi="微软雅黑" w:eastAsia="微软雅黑" w:cs="微软雅黑"/>
                <w:color w:val="auto"/>
                <w:sz w:val="24"/>
                <w:szCs w:val="24"/>
                <w:highlight w:val="none"/>
              </w:rPr>
              <w:t>search</w:t>
            </w:r>
            <w:r>
              <w:rPr>
                <w:rFonts w:ascii="微软雅黑" w:hAnsi="微软雅黑" w:eastAsia="微软雅黑" w:cs="微软雅黑"/>
                <w:color w:val="auto"/>
                <w:spacing w:val="1"/>
                <w:sz w:val="24"/>
                <w:szCs w:val="24"/>
                <w:highlight w:val="none"/>
              </w:rPr>
              <w:t>/</w:t>
            </w:r>
            <w:r>
              <w:rPr>
                <w:rFonts w:ascii="微软雅黑" w:hAnsi="微软雅黑" w:eastAsia="微软雅黑" w:cs="微软雅黑"/>
                <w:color w:val="auto"/>
                <w:sz w:val="24"/>
                <w:szCs w:val="24"/>
                <w:highlight w:val="none"/>
              </w:rPr>
              <w:t>cr</w:t>
            </w:r>
            <w:r>
              <w:rPr>
                <w:rFonts w:ascii="微软雅黑" w:hAnsi="微软雅黑" w:eastAsia="微软雅黑" w:cs="微软雅黑"/>
                <w:color w:val="auto"/>
                <w:spacing w:val="1"/>
                <w:sz w:val="24"/>
                <w:szCs w:val="24"/>
                <w:highlight w:val="none"/>
              </w:rPr>
              <w:t>/</w:t>
            </w:r>
            <w:r>
              <w:rPr>
                <w:rFonts w:ascii="微软雅黑" w:hAnsi="微软雅黑" w:eastAsia="微软雅黑" w:cs="微软雅黑"/>
                <w:color w:val="auto"/>
                <w:spacing w:val="1"/>
                <w:sz w:val="24"/>
                <w:szCs w:val="24"/>
                <w:highlight w:val="none"/>
              </w:rPr>
              <w:fldChar w:fldCharType="end"/>
            </w:r>
            <w:r>
              <w:rPr>
                <w:rFonts w:ascii="微软雅黑" w:hAnsi="微软雅黑" w:eastAsia="微软雅黑" w:cs="微软雅黑"/>
                <w:color w:val="auto"/>
                <w:spacing w:val="1"/>
                <w:sz w:val="24"/>
                <w:szCs w:val="24"/>
                <w:highlight w:val="none"/>
              </w:rPr>
              <w:t>）存在严重违法失信行为记录名</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6"/>
                <w:sz w:val="24"/>
                <w:szCs w:val="24"/>
                <w:highlight w:val="none"/>
              </w:rPr>
              <w:t>单（尚在处罚期内的</w:t>
            </w:r>
            <w:r>
              <w:rPr>
                <w:rFonts w:ascii="微软雅黑" w:hAnsi="微软雅黑" w:eastAsia="微软雅黑" w:cs="微软雅黑"/>
                <w:color w:val="auto"/>
                <w:spacing w:val="-51"/>
                <w:sz w:val="24"/>
                <w:szCs w:val="24"/>
                <w:highlight w:val="none"/>
              </w:rPr>
              <w:t>）；</w:t>
            </w:r>
            <w:r>
              <w:rPr>
                <w:rFonts w:ascii="微软雅黑" w:hAnsi="微软雅黑" w:eastAsia="微软雅黑" w:cs="微软雅黑"/>
                <w:color w:val="auto"/>
                <w:spacing w:val="-6"/>
                <w:sz w:val="24"/>
                <w:szCs w:val="24"/>
                <w:highlight w:val="none"/>
              </w:rPr>
              <w:t>近三年内</w:t>
            </w:r>
            <w:r>
              <w:rPr>
                <w:rFonts w:ascii="微软雅黑" w:hAnsi="微软雅黑" w:eastAsia="微软雅黑" w:cs="微软雅黑"/>
                <w:color w:val="auto"/>
                <w:spacing w:val="-2"/>
                <w:sz w:val="24"/>
                <w:szCs w:val="24"/>
                <w:highlight w:val="none"/>
              </w:rPr>
              <w:t>不得在“信用中国”网站（www.creditchina.gov.cn）被列入失信被</w:t>
            </w:r>
            <w:r>
              <w:rPr>
                <w:rFonts w:ascii="微软雅黑" w:hAnsi="微软雅黑" w:eastAsia="微软雅黑" w:cs="微软雅黑"/>
                <w:color w:val="auto"/>
                <w:spacing w:val="18"/>
                <w:sz w:val="24"/>
                <w:szCs w:val="24"/>
                <w:highlight w:val="none"/>
              </w:rPr>
              <w:t xml:space="preserve"> </w:t>
            </w:r>
            <w:r>
              <w:rPr>
                <w:rFonts w:ascii="微软雅黑" w:hAnsi="微软雅黑" w:eastAsia="微软雅黑" w:cs="微软雅黑"/>
                <w:color w:val="auto"/>
                <w:sz w:val="24"/>
                <w:szCs w:val="24"/>
                <w:highlight w:val="none"/>
              </w:rPr>
              <w:t>执行人、重大税收违法失信主体内将拒绝其参加本次招标活动。以上内容</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2"/>
                <w:sz w:val="24"/>
                <w:szCs w:val="24"/>
                <w:highlight w:val="none"/>
              </w:rPr>
              <w:t>由投标企业自行承诺，由采购人或采购代理机构在投标截止后核查。</w:t>
            </w:r>
          </w:p>
          <w:p w14:paraId="1BBFB9CD">
            <w:pPr>
              <w:spacing w:before="52" w:line="183" w:lineRule="auto"/>
              <w:ind w:left="13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（7）提供针对本次项目《反商业贿赂承诺书》；</w:t>
            </w:r>
          </w:p>
          <w:p w14:paraId="4320B3F3">
            <w:pPr>
              <w:spacing w:before="66" w:line="183" w:lineRule="auto"/>
              <w:ind w:left="13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（8）提供缴纳投标保证金的有效凭证；</w:t>
            </w:r>
          </w:p>
          <w:p w14:paraId="22554C9F">
            <w:pPr>
              <w:pStyle w:val="2"/>
              <w:spacing w:before="1" w:line="298" w:lineRule="auto"/>
              <w:ind w:left="37" w:right="187"/>
              <w:rPr>
                <w:rFonts w:hint="eastAsia" w:ascii="微软雅黑" w:hAnsi="微软雅黑" w:eastAsia="微软雅黑" w:cs="微软雅黑"/>
                <w:color w:val="auto"/>
                <w:spacing w:val="-5"/>
                <w:sz w:val="24"/>
                <w:szCs w:val="24"/>
                <w:highlight w:val="none"/>
              </w:rPr>
            </w:pPr>
            <w:r>
              <w:rPr>
                <w:rFonts w:ascii="微软雅黑" w:hAnsi="微软雅黑" w:eastAsia="微软雅黑" w:cs="微软雅黑"/>
                <w:color w:val="auto"/>
                <w:spacing w:val="1"/>
                <w:sz w:val="24"/>
                <w:szCs w:val="24"/>
                <w:highlight w:val="none"/>
              </w:rPr>
              <w:t>（9）本</w:t>
            </w:r>
            <w:r>
              <w:rPr>
                <w:rFonts w:ascii="微软雅黑" w:hAnsi="微软雅黑" w:eastAsia="微软雅黑" w:cs="微软雅黑"/>
                <w:color w:val="auto"/>
                <w:spacing w:val="-5"/>
                <w:sz w:val="24"/>
                <w:szCs w:val="24"/>
                <w:highlight w:val="none"/>
              </w:rPr>
              <w:t>项目专门面向中小企业采购，</w:t>
            </w:r>
            <w:r>
              <w:rPr>
                <w:b/>
                <w:bCs/>
                <w:spacing w:val="1"/>
                <w:sz w:val="24"/>
                <w:szCs w:val="24"/>
                <w:highlight w:val="none"/>
              </w:rPr>
              <w:t>《中小企业声</w:t>
            </w:r>
            <w:r>
              <w:rPr>
                <w:b/>
                <w:bCs/>
                <w:sz w:val="24"/>
                <w:szCs w:val="24"/>
                <w:highlight w:val="none"/>
              </w:rPr>
              <w:t>明函（服务）》</w:t>
            </w:r>
          </w:p>
          <w:p w14:paraId="31CDEB8C">
            <w:pPr>
              <w:spacing w:before="22" w:after="0" w:afterLines="100" w:afterAutospacing="0" w:line="215" w:lineRule="auto"/>
              <w:ind w:left="118" w:right="120" w:firstLine="18"/>
              <w:rPr>
                <w:rFonts w:hint="eastAsia" w:ascii="微软雅黑" w:hAnsi="微软雅黑" w:eastAsia="微软雅黑" w:cs="微软雅黑"/>
                <w:color w:val="auto"/>
                <w:spacing w:val="1"/>
                <w:sz w:val="24"/>
                <w:szCs w:val="24"/>
                <w:highlight w:val="none"/>
                <w:lang w:val="en-US" w:eastAsia="zh-CN"/>
              </w:rPr>
            </w:pPr>
            <w:r>
              <w:rPr>
                <w:rFonts w:hint="eastAsia" w:ascii="微软雅黑" w:hAnsi="微软雅黑" w:eastAsia="微软雅黑" w:cs="微软雅黑"/>
                <w:color w:val="auto"/>
                <w:spacing w:val="1"/>
                <w:sz w:val="24"/>
                <w:szCs w:val="24"/>
                <w:highlight w:val="none"/>
                <w:lang w:val="en-US" w:eastAsia="zh-CN"/>
              </w:rPr>
              <w:t>（10）供应商应具备工程监理综合资质或建筑工程和市政工程监理乙级（含乙级）以上资质。</w:t>
            </w:r>
          </w:p>
        </w:tc>
      </w:tr>
      <w:tr w14:paraId="214B9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3" w:type="dxa"/>
            <w:vAlign w:val="top"/>
          </w:tcPr>
          <w:p w14:paraId="3DC4523C">
            <w:pPr>
              <w:spacing w:before="239" w:line="172" w:lineRule="auto"/>
              <w:ind w:left="2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15</w:t>
            </w:r>
          </w:p>
        </w:tc>
        <w:tc>
          <w:tcPr>
            <w:tcW w:w="1646" w:type="dxa"/>
            <w:vAlign w:val="top"/>
          </w:tcPr>
          <w:p w14:paraId="0E785641">
            <w:pPr>
              <w:spacing w:before="235" w:line="183" w:lineRule="auto"/>
              <w:ind w:left="21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联合体形式</w:t>
            </w:r>
          </w:p>
        </w:tc>
        <w:tc>
          <w:tcPr>
            <w:tcW w:w="7899" w:type="dxa"/>
            <w:vAlign w:val="top"/>
          </w:tcPr>
          <w:p w14:paraId="50B457AF">
            <w:pPr>
              <w:spacing w:before="235" w:line="183" w:lineRule="auto"/>
              <w:ind w:left="10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本项目不接受联合体磋商</w:t>
            </w:r>
          </w:p>
        </w:tc>
      </w:tr>
      <w:tr w14:paraId="00881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53" w:type="dxa"/>
            <w:vAlign w:val="top"/>
          </w:tcPr>
          <w:p w14:paraId="2A062A74">
            <w:pPr>
              <w:spacing w:before="188" w:line="172" w:lineRule="auto"/>
              <w:ind w:left="2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16</w:t>
            </w:r>
          </w:p>
        </w:tc>
        <w:tc>
          <w:tcPr>
            <w:tcW w:w="1646" w:type="dxa"/>
            <w:vAlign w:val="top"/>
          </w:tcPr>
          <w:p w14:paraId="546988C0">
            <w:pPr>
              <w:spacing w:before="184" w:line="183" w:lineRule="auto"/>
              <w:ind w:left="33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现场勘察</w:t>
            </w:r>
          </w:p>
        </w:tc>
        <w:tc>
          <w:tcPr>
            <w:tcW w:w="7899" w:type="dxa"/>
            <w:vAlign w:val="top"/>
          </w:tcPr>
          <w:p w14:paraId="5F6FD9B8">
            <w:pPr>
              <w:spacing w:before="184" w:line="183" w:lineRule="auto"/>
              <w:ind w:left="10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本项目无需提供现场勘查证明</w:t>
            </w:r>
          </w:p>
        </w:tc>
      </w:tr>
      <w:tr w14:paraId="6BD89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753" w:type="dxa"/>
            <w:vAlign w:val="top"/>
          </w:tcPr>
          <w:p w14:paraId="3D156B83">
            <w:pPr>
              <w:spacing w:before="338" w:line="172" w:lineRule="auto"/>
              <w:ind w:left="2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17</w:t>
            </w:r>
          </w:p>
        </w:tc>
        <w:tc>
          <w:tcPr>
            <w:tcW w:w="1646" w:type="dxa"/>
            <w:vAlign w:val="top"/>
          </w:tcPr>
          <w:p w14:paraId="5DBA79D1">
            <w:pPr>
              <w:spacing w:before="334" w:line="183" w:lineRule="auto"/>
              <w:ind w:left="33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行业划分</w:t>
            </w:r>
          </w:p>
        </w:tc>
        <w:tc>
          <w:tcPr>
            <w:tcW w:w="7899" w:type="dxa"/>
            <w:vAlign w:val="top"/>
          </w:tcPr>
          <w:p w14:paraId="1BF0E0D8">
            <w:pPr>
              <w:spacing w:before="334" w:line="183" w:lineRule="auto"/>
              <w:ind w:left="104"/>
              <w:rPr>
                <w:rFonts w:hint="default" w:ascii="微软雅黑" w:hAnsi="微软雅黑" w:eastAsia="微软雅黑" w:cs="微软雅黑"/>
                <w:color w:val="auto"/>
                <w:sz w:val="24"/>
                <w:szCs w:val="24"/>
                <w:highlight w:val="none"/>
                <w:lang w:val="en-US" w:eastAsia="zh-CN"/>
              </w:rPr>
            </w:pPr>
            <w:r>
              <w:rPr>
                <w:rFonts w:ascii="微软雅黑" w:hAnsi="微软雅黑" w:eastAsia="微软雅黑" w:cs="微软雅黑"/>
                <w:color w:val="auto"/>
                <w:spacing w:val="-1"/>
                <w:sz w:val="24"/>
                <w:szCs w:val="24"/>
                <w:highlight w:val="none"/>
              </w:rPr>
              <w:t>本项目行业划分标准为</w:t>
            </w:r>
            <w:r>
              <w:rPr>
                <w:rFonts w:hint="eastAsia" w:ascii="微软雅黑" w:hAnsi="微软雅黑" w:eastAsia="微软雅黑" w:cs="微软雅黑"/>
                <w:color w:val="auto"/>
                <w:spacing w:val="-1"/>
                <w:sz w:val="24"/>
                <w:szCs w:val="24"/>
                <w:highlight w:val="none"/>
                <w:lang w:eastAsia="zh-CN"/>
              </w:rPr>
              <w:t>：其他未列明行业</w:t>
            </w:r>
          </w:p>
        </w:tc>
      </w:tr>
    </w:tbl>
    <w:p w14:paraId="6C71833A">
      <w:pPr>
        <w:spacing w:line="418" w:lineRule="auto"/>
        <w:rPr>
          <w:rFonts w:ascii="Arial"/>
          <w:color w:val="auto"/>
          <w:sz w:val="21"/>
          <w:highlight w:val="none"/>
        </w:rPr>
      </w:pPr>
    </w:p>
    <w:p w14:paraId="60691298">
      <w:pPr>
        <w:spacing w:before="146"/>
        <w:rPr>
          <w:color w:val="auto"/>
          <w:highlight w:val="none"/>
        </w:rPr>
      </w:pPr>
    </w:p>
    <w:p w14:paraId="0BCD5C55">
      <w:pPr>
        <w:spacing w:line="267" w:lineRule="auto"/>
        <w:rPr>
          <w:rFonts w:ascii="Arial"/>
          <w:color w:val="auto"/>
          <w:sz w:val="21"/>
          <w:highlight w:val="none"/>
        </w:rPr>
      </w:pPr>
    </w:p>
    <w:p w14:paraId="083BCF1B">
      <w:pPr>
        <w:spacing w:line="268" w:lineRule="auto"/>
        <w:rPr>
          <w:rFonts w:ascii="Arial"/>
          <w:color w:val="auto"/>
          <w:sz w:val="21"/>
          <w:highlight w:val="none"/>
        </w:rPr>
      </w:pPr>
    </w:p>
    <w:p w14:paraId="604478BD">
      <w:pPr>
        <w:spacing w:line="268" w:lineRule="auto"/>
        <w:rPr>
          <w:rFonts w:ascii="Arial"/>
          <w:color w:val="auto"/>
          <w:sz w:val="21"/>
          <w:highlight w:val="none"/>
        </w:rPr>
      </w:pPr>
    </w:p>
    <w:p w14:paraId="5DD8BCF0">
      <w:pPr>
        <w:spacing w:line="268" w:lineRule="auto"/>
        <w:rPr>
          <w:rFonts w:ascii="Arial"/>
          <w:color w:val="auto"/>
          <w:sz w:val="21"/>
          <w:highlight w:val="none"/>
        </w:rPr>
      </w:pPr>
    </w:p>
    <w:p w14:paraId="4DFAB5DC">
      <w:pPr>
        <w:spacing w:line="181" w:lineRule="auto"/>
        <w:rPr>
          <w:color w:val="auto"/>
          <w:sz w:val="18"/>
          <w:szCs w:val="18"/>
          <w:highlight w:val="none"/>
        </w:rPr>
        <w:sectPr>
          <w:pgSz w:w="11907" w:h="16840"/>
          <w:pgMar w:top="400" w:right="798" w:bottom="400" w:left="798" w:header="0" w:footer="0" w:gutter="0"/>
          <w:pgNumType w:fmt="decimal"/>
          <w:cols w:space="720" w:num="1"/>
        </w:sectPr>
      </w:pPr>
    </w:p>
    <w:p w14:paraId="671CC407">
      <w:pPr>
        <w:spacing w:line="418" w:lineRule="auto"/>
        <w:rPr>
          <w:rFonts w:ascii="Arial"/>
          <w:color w:val="auto"/>
          <w:sz w:val="21"/>
          <w:highlight w:val="none"/>
        </w:rPr>
      </w:pPr>
    </w:p>
    <w:p w14:paraId="3D712E2F">
      <w:pPr>
        <w:spacing w:before="146"/>
        <w:rPr>
          <w:color w:val="auto"/>
          <w:highlight w:val="none"/>
        </w:rPr>
      </w:pPr>
    </w:p>
    <w:tbl>
      <w:tblPr>
        <w:tblStyle w:val="13"/>
        <w:tblW w:w="102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1646"/>
        <w:gridCol w:w="7899"/>
      </w:tblGrid>
      <w:tr w14:paraId="386A0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753" w:type="dxa"/>
            <w:vAlign w:val="top"/>
          </w:tcPr>
          <w:p w14:paraId="785876DA">
            <w:pPr>
              <w:pStyle w:val="14"/>
              <w:spacing w:line="346" w:lineRule="auto"/>
              <w:rPr>
                <w:color w:val="auto"/>
                <w:highlight w:val="none"/>
              </w:rPr>
            </w:pPr>
          </w:p>
          <w:p w14:paraId="7E91050B">
            <w:pPr>
              <w:pStyle w:val="14"/>
              <w:spacing w:line="347" w:lineRule="auto"/>
              <w:rPr>
                <w:color w:val="auto"/>
                <w:highlight w:val="none"/>
              </w:rPr>
            </w:pPr>
          </w:p>
          <w:p w14:paraId="33F6DFC3">
            <w:pPr>
              <w:spacing w:before="103" w:line="172" w:lineRule="auto"/>
              <w:ind w:left="2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18</w:t>
            </w:r>
          </w:p>
        </w:tc>
        <w:tc>
          <w:tcPr>
            <w:tcW w:w="1646" w:type="dxa"/>
            <w:vAlign w:val="top"/>
          </w:tcPr>
          <w:p w14:paraId="598399FB">
            <w:pPr>
              <w:spacing w:before="197" w:line="183" w:lineRule="auto"/>
              <w:ind w:left="21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落实政府采</w:t>
            </w:r>
          </w:p>
          <w:p w14:paraId="3073BB37">
            <w:pPr>
              <w:spacing w:before="86" w:line="183" w:lineRule="auto"/>
              <w:ind w:left="21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购政策需满</w:t>
            </w:r>
          </w:p>
          <w:p w14:paraId="5BD2DD7F">
            <w:pPr>
              <w:spacing w:before="84" w:line="184" w:lineRule="auto"/>
              <w:ind w:left="21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足的资格要</w:t>
            </w:r>
          </w:p>
          <w:p w14:paraId="625129D8">
            <w:pPr>
              <w:spacing w:before="87" w:line="182" w:lineRule="auto"/>
              <w:ind w:left="700"/>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求</w:t>
            </w:r>
          </w:p>
        </w:tc>
        <w:tc>
          <w:tcPr>
            <w:tcW w:w="7899" w:type="dxa"/>
            <w:vAlign w:val="top"/>
          </w:tcPr>
          <w:p w14:paraId="7B46989A">
            <w:pPr>
              <w:spacing w:before="318" w:line="183" w:lineRule="auto"/>
              <w:ind w:left="10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是否为专门面向中小企业采购：</w:t>
            </w:r>
            <w:r>
              <w:rPr>
                <w:rFonts w:ascii="微软雅黑" w:hAnsi="微软雅黑" w:eastAsia="微软雅黑" w:cs="微软雅黑"/>
                <w:color w:val="auto"/>
                <w:spacing w:val="-1"/>
                <w:sz w:val="24"/>
                <w:szCs w:val="24"/>
                <w:highlight w:val="none"/>
                <w:u w:val="single" w:color="auto"/>
              </w:rPr>
              <w:t>是</w:t>
            </w:r>
            <w:r>
              <w:rPr>
                <w:rFonts w:hint="eastAsia" w:ascii="微软雅黑" w:hAnsi="微软雅黑" w:eastAsia="微软雅黑" w:cs="微软雅黑"/>
                <w:color w:val="auto"/>
                <w:spacing w:val="-1"/>
                <w:sz w:val="24"/>
                <w:szCs w:val="24"/>
                <w:highlight w:val="none"/>
                <w:u w:val="single" w:color="auto"/>
                <w:lang w:val="en-US" w:eastAsia="zh-CN"/>
              </w:rPr>
              <w:t xml:space="preserve">  </w:t>
            </w:r>
            <w:r>
              <w:rPr>
                <w:rFonts w:ascii="微软雅黑" w:hAnsi="微软雅黑" w:eastAsia="微软雅黑" w:cs="微软雅黑"/>
                <w:color w:val="auto"/>
                <w:spacing w:val="-1"/>
                <w:sz w:val="24"/>
                <w:szCs w:val="24"/>
                <w:highlight w:val="none"/>
                <w:u w:val="single" w:color="auto"/>
              </w:rPr>
              <w:t>（是、否）</w:t>
            </w:r>
          </w:p>
          <w:p w14:paraId="61A76E44">
            <w:pPr>
              <w:spacing w:before="265" w:line="197" w:lineRule="auto"/>
              <w:ind w:left="137" w:right="102" w:hanging="3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注：本项目专门面向中小企业采购，</w:t>
            </w:r>
            <w:r>
              <w:rPr>
                <w:rFonts w:ascii="微软雅黑" w:hAnsi="微软雅黑" w:eastAsia="微软雅黑" w:cs="微软雅黑"/>
                <w:sz w:val="24"/>
                <w:szCs w:val="24"/>
                <w:highlight w:val="none"/>
              </w:rPr>
              <w:t>根据要求单独上传《中小企业声明函</w:t>
            </w:r>
            <w:r>
              <w:rPr>
                <w:rFonts w:ascii="微软雅黑" w:hAnsi="微软雅黑" w:eastAsia="微软雅黑" w:cs="微软雅黑"/>
                <w:spacing w:val="1"/>
                <w:sz w:val="24"/>
                <w:szCs w:val="24"/>
                <w:highlight w:val="none"/>
              </w:rPr>
              <w:t xml:space="preserve"> </w:t>
            </w:r>
            <w:r>
              <w:rPr>
                <w:rFonts w:ascii="微软雅黑" w:hAnsi="微软雅黑" w:eastAsia="微软雅黑" w:cs="微软雅黑"/>
                <w:spacing w:val="-12"/>
                <w:sz w:val="24"/>
                <w:szCs w:val="24"/>
                <w:highlight w:val="none"/>
              </w:rPr>
              <w:t>（服务）》。</w:t>
            </w:r>
          </w:p>
        </w:tc>
      </w:tr>
      <w:tr w14:paraId="24169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53" w:type="dxa"/>
            <w:vAlign w:val="top"/>
          </w:tcPr>
          <w:p w14:paraId="2E1426A9">
            <w:pPr>
              <w:spacing w:before="331" w:line="172" w:lineRule="auto"/>
              <w:ind w:left="2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19</w:t>
            </w:r>
          </w:p>
        </w:tc>
        <w:tc>
          <w:tcPr>
            <w:tcW w:w="1646" w:type="dxa"/>
            <w:vAlign w:val="top"/>
          </w:tcPr>
          <w:p w14:paraId="0FABC105">
            <w:pPr>
              <w:spacing w:before="129" w:line="201" w:lineRule="auto"/>
              <w:ind w:left="575" w:right="220" w:hanging="36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磋商文件有</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1"/>
                <w:sz w:val="24"/>
                <w:szCs w:val="24"/>
                <w:highlight w:val="none"/>
              </w:rPr>
              <w:t>效期</w:t>
            </w:r>
          </w:p>
        </w:tc>
        <w:tc>
          <w:tcPr>
            <w:tcW w:w="7899" w:type="dxa"/>
            <w:vAlign w:val="top"/>
          </w:tcPr>
          <w:p w14:paraId="5B47423F">
            <w:pPr>
              <w:pStyle w:val="14"/>
              <w:rPr>
                <w:color w:val="auto"/>
                <w:highlight w:val="none"/>
              </w:rPr>
            </w:pPr>
          </w:p>
          <w:p w14:paraId="2BE61BF0">
            <w:pPr>
              <w:spacing w:before="103" w:line="173" w:lineRule="auto"/>
              <w:ind w:left="11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8"/>
                <w:sz w:val="24"/>
                <w:szCs w:val="24"/>
                <w:highlight w:val="none"/>
                <w:u w:val="single" w:color="auto"/>
              </w:rPr>
              <w:t>60</w:t>
            </w:r>
            <w:r>
              <w:rPr>
                <w:rFonts w:ascii="微软雅黑" w:hAnsi="微软雅黑" w:eastAsia="微软雅黑" w:cs="微软雅黑"/>
                <w:b/>
                <w:bCs/>
                <w:color w:val="auto"/>
                <w:spacing w:val="-10"/>
                <w:sz w:val="24"/>
                <w:szCs w:val="24"/>
                <w:highlight w:val="none"/>
                <w:u w:val="single" w:color="auto"/>
              </w:rPr>
              <w:t xml:space="preserve"> </w:t>
            </w:r>
            <w:r>
              <w:rPr>
                <w:rFonts w:ascii="微软雅黑" w:hAnsi="微软雅黑" w:eastAsia="微软雅黑" w:cs="微软雅黑"/>
                <w:b/>
                <w:bCs/>
                <w:color w:val="auto"/>
                <w:spacing w:val="-35"/>
                <w:sz w:val="24"/>
                <w:szCs w:val="24"/>
                <w:highlight w:val="none"/>
              </w:rPr>
              <w:t xml:space="preserve"> </w:t>
            </w:r>
            <w:r>
              <w:rPr>
                <w:rFonts w:ascii="微软雅黑" w:hAnsi="微软雅黑" w:eastAsia="微软雅黑" w:cs="微软雅黑"/>
                <w:color w:val="auto"/>
                <w:spacing w:val="-8"/>
                <w:sz w:val="24"/>
                <w:szCs w:val="24"/>
                <w:highlight w:val="none"/>
              </w:rPr>
              <w:t>日历日</w:t>
            </w:r>
          </w:p>
        </w:tc>
      </w:tr>
      <w:tr w14:paraId="1425F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53" w:type="dxa"/>
            <w:vAlign w:val="top"/>
          </w:tcPr>
          <w:p w14:paraId="02158E8D">
            <w:pPr>
              <w:spacing w:before="145" w:line="172" w:lineRule="auto"/>
              <w:ind w:left="2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20</w:t>
            </w:r>
          </w:p>
        </w:tc>
        <w:tc>
          <w:tcPr>
            <w:tcW w:w="1646" w:type="dxa"/>
            <w:vAlign w:val="top"/>
          </w:tcPr>
          <w:p w14:paraId="6B6E9721">
            <w:pPr>
              <w:spacing w:before="127" w:line="182" w:lineRule="auto"/>
              <w:ind w:left="45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代理费</w:t>
            </w:r>
          </w:p>
        </w:tc>
        <w:tc>
          <w:tcPr>
            <w:tcW w:w="7899" w:type="dxa"/>
            <w:vAlign w:val="top"/>
          </w:tcPr>
          <w:p w14:paraId="4948AE61">
            <w:pPr>
              <w:spacing w:before="126" w:line="183" w:lineRule="auto"/>
              <w:ind w:left="104"/>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代理服务收费标准：按照发改价格【2015】299号文件规定，代理费收费标准协商确定，本项目代理费收费标准参照以下计算方法差额累计收取。以</w:t>
            </w:r>
            <w:r>
              <w:rPr>
                <w:rFonts w:hint="eastAsia" w:ascii="微软雅黑" w:hAnsi="微软雅黑" w:eastAsia="微软雅黑" w:cs="微软雅黑"/>
                <w:color w:val="auto"/>
                <w:sz w:val="24"/>
                <w:szCs w:val="24"/>
                <w:highlight w:val="none"/>
                <w:lang w:val="en-US" w:eastAsia="zh-CN"/>
              </w:rPr>
              <w:t>服务</w:t>
            </w:r>
            <w:r>
              <w:rPr>
                <w:rFonts w:ascii="微软雅黑" w:hAnsi="微软雅黑" w:eastAsia="微软雅黑" w:cs="微软雅黑"/>
                <w:color w:val="auto"/>
                <w:sz w:val="24"/>
                <w:szCs w:val="24"/>
                <w:highlight w:val="none"/>
              </w:rPr>
              <w:t>招标为例：100万以下按1.5%收取，100万-500万按</w:t>
            </w:r>
            <w:r>
              <w:rPr>
                <w:rFonts w:hint="eastAsia" w:ascii="微软雅黑" w:hAnsi="微软雅黑" w:eastAsia="微软雅黑" w:cs="微软雅黑"/>
                <w:color w:val="auto"/>
                <w:sz w:val="24"/>
                <w:szCs w:val="24"/>
                <w:highlight w:val="none"/>
                <w:lang w:val="en-US" w:eastAsia="zh-CN"/>
              </w:rPr>
              <w:t>0.8</w:t>
            </w:r>
            <w:r>
              <w:rPr>
                <w:rFonts w:ascii="微软雅黑" w:hAnsi="微软雅黑" w:eastAsia="微软雅黑" w:cs="微软雅黑"/>
                <w:color w:val="auto"/>
                <w:sz w:val="24"/>
                <w:szCs w:val="24"/>
                <w:highlight w:val="none"/>
              </w:rPr>
              <w:t>%收取，500万-1000万按</w:t>
            </w:r>
            <w:r>
              <w:rPr>
                <w:rFonts w:hint="eastAsia" w:ascii="微软雅黑" w:hAnsi="微软雅黑" w:eastAsia="微软雅黑" w:cs="微软雅黑"/>
                <w:color w:val="auto"/>
                <w:sz w:val="24"/>
                <w:szCs w:val="24"/>
                <w:highlight w:val="none"/>
                <w:lang w:val="en-US" w:eastAsia="zh-CN"/>
              </w:rPr>
              <w:t>0.45</w:t>
            </w:r>
            <w:r>
              <w:rPr>
                <w:rFonts w:ascii="微软雅黑" w:hAnsi="微软雅黑" w:eastAsia="微软雅黑" w:cs="微软雅黑"/>
                <w:color w:val="auto"/>
                <w:sz w:val="24"/>
                <w:szCs w:val="24"/>
                <w:highlight w:val="none"/>
              </w:rPr>
              <w:t>%收取；差额累计计取</w:t>
            </w:r>
            <w:r>
              <w:rPr>
                <w:rFonts w:hint="eastAsia" w:ascii="微软雅黑" w:hAnsi="微软雅黑" w:eastAsia="微软雅黑" w:cs="微软雅黑"/>
                <w:color w:val="auto"/>
                <w:sz w:val="24"/>
                <w:szCs w:val="24"/>
                <w:highlight w:val="none"/>
                <w:lang w:eastAsia="zh-CN"/>
              </w:rPr>
              <w:t>。</w:t>
            </w:r>
            <w:r>
              <w:rPr>
                <w:rFonts w:ascii="微软雅黑" w:hAnsi="微软雅黑" w:eastAsia="微软雅黑" w:cs="微软雅黑"/>
                <w:color w:val="auto"/>
                <w:sz w:val="24"/>
                <w:szCs w:val="24"/>
                <w:highlight w:val="none"/>
              </w:rPr>
              <w:t>在中标通知书核发前，中标供应商应当向采购代理机构一次性付清采购代理服务费。</w:t>
            </w:r>
          </w:p>
          <w:p w14:paraId="61D900F6">
            <w:pPr>
              <w:spacing w:before="126" w:line="183" w:lineRule="auto"/>
              <w:ind w:left="104"/>
              <w:rPr>
                <w:rFonts w:hint="eastAsia" w:ascii="微软雅黑" w:hAnsi="微软雅黑" w:eastAsia="微软雅黑" w:cs="微软雅黑"/>
                <w:color w:val="auto"/>
                <w:sz w:val="24"/>
                <w:szCs w:val="24"/>
                <w:highlight w:val="none"/>
                <w:lang w:eastAsia="zh-CN"/>
              </w:rPr>
            </w:pPr>
            <w:r>
              <w:rPr>
                <w:rFonts w:ascii="微软雅黑" w:hAnsi="微软雅黑" w:eastAsia="微软雅黑" w:cs="微软雅黑"/>
                <w:color w:val="auto"/>
                <w:sz w:val="24"/>
                <w:szCs w:val="24"/>
                <w:highlight w:val="none"/>
              </w:rPr>
              <w:t>支付形式：对公转账、电汇支付时间：领取中标通知书时一次性支付</w:t>
            </w:r>
            <w:r>
              <w:rPr>
                <w:rFonts w:hint="eastAsia" w:ascii="微软雅黑" w:hAnsi="微软雅黑" w:eastAsia="微软雅黑" w:cs="微软雅黑"/>
                <w:color w:val="auto"/>
                <w:sz w:val="24"/>
                <w:szCs w:val="24"/>
                <w:highlight w:val="none"/>
                <w:lang w:eastAsia="zh-CN"/>
              </w:rPr>
              <w:t>。</w:t>
            </w:r>
          </w:p>
        </w:tc>
      </w:tr>
      <w:tr w14:paraId="401C7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753" w:type="dxa"/>
            <w:vAlign w:val="top"/>
          </w:tcPr>
          <w:p w14:paraId="7D51F697">
            <w:pPr>
              <w:pStyle w:val="14"/>
              <w:spacing w:line="451" w:lineRule="auto"/>
              <w:rPr>
                <w:color w:val="auto"/>
                <w:highlight w:val="none"/>
              </w:rPr>
            </w:pPr>
          </w:p>
          <w:p w14:paraId="3577D959">
            <w:pPr>
              <w:spacing w:before="103" w:line="172" w:lineRule="auto"/>
              <w:ind w:left="2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21</w:t>
            </w:r>
          </w:p>
        </w:tc>
        <w:tc>
          <w:tcPr>
            <w:tcW w:w="1646" w:type="dxa"/>
            <w:vAlign w:val="top"/>
          </w:tcPr>
          <w:p w14:paraId="291DB68C">
            <w:pPr>
              <w:spacing w:before="332"/>
              <w:ind w:left="578" w:right="340" w:hanging="24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磋商文件</w:t>
            </w:r>
            <w:r>
              <w:rPr>
                <w:rFonts w:ascii="微软雅黑" w:hAnsi="微软雅黑" w:eastAsia="微软雅黑" w:cs="微软雅黑"/>
                <w:color w:val="auto"/>
                <w:spacing w:val="2"/>
                <w:sz w:val="24"/>
                <w:szCs w:val="24"/>
                <w:highlight w:val="none"/>
              </w:rPr>
              <w:t xml:space="preserve"> </w:t>
            </w:r>
            <w:r>
              <w:rPr>
                <w:rFonts w:ascii="微软雅黑" w:hAnsi="微软雅黑" w:eastAsia="微软雅黑" w:cs="微软雅黑"/>
                <w:color w:val="auto"/>
                <w:spacing w:val="-1"/>
                <w:sz w:val="24"/>
                <w:szCs w:val="24"/>
                <w:highlight w:val="none"/>
              </w:rPr>
              <w:t>递交</w:t>
            </w:r>
          </w:p>
        </w:tc>
        <w:tc>
          <w:tcPr>
            <w:tcW w:w="7899" w:type="dxa"/>
            <w:vAlign w:val="top"/>
          </w:tcPr>
          <w:p w14:paraId="562CF72A">
            <w:pPr>
              <w:spacing w:before="113" w:line="215" w:lineRule="auto"/>
              <w:ind w:left="101" w:firstLine="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提交电子磋商文件的截止时间：</w:t>
            </w:r>
            <w:r>
              <w:rPr>
                <w:rFonts w:ascii="微软雅黑" w:hAnsi="微软雅黑" w:eastAsia="微软雅黑" w:cs="微软雅黑"/>
                <w:b/>
                <w:bCs/>
                <w:color w:val="auto"/>
                <w:spacing w:val="-5"/>
                <w:sz w:val="24"/>
                <w:szCs w:val="24"/>
                <w:highlight w:val="none"/>
                <w:u w:val="single" w:color="auto"/>
              </w:rPr>
              <w:t xml:space="preserve">2025 年 </w:t>
            </w:r>
            <w:r>
              <w:rPr>
                <w:rFonts w:hint="eastAsia" w:ascii="微软雅黑" w:hAnsi="微软雅黑" w:eastAsia="微软雅黑" w:cs="微软雅黑"/>
                <w:b/>
                <w:bCs/>
                <w:color w:val="auto"/>
                <w:spacing w:val="-5"/>
                <w:sz w:val="24"/>
                <w:szCs w:val="24"/>
                <w:highlight w:val="none"/>
                <w:u w:val="single" w:color="auto"/>
                <w:lang w:val="en-US" w:eastAsia="zh-CN"/>
              </w:rPr>
              <w:t xml:space="preserve">07 </w:t>
            </w:r>
            <w:r>
              <w:rPr>
                <w:rFonts w:ascii="微软雅黑" w:hAnsi="微软雅黑" w:eastAsia="微软雅黑" w:cs="微软雅黑"/>
                <w:b/>
                <w:bCs/>
                <w:color w:val="auto"/>
                <w:spacing w:val="-5"/>
                <w:sz w:val="24"/>
                <w:szCs w:val="24"/>
                <w:highlight w:val="none"/>
                <w:u w:val="single" w:color="auto"/>
              </w:rPr>
              <w:t>月</w:t>
            </w:r>
            <w:r>
              <w:rPr>
                <w:rFonts w:hint="eastAsia" w:ascii="微软雅黑" w:hAnsi="微软雅黑" w:eastAsia="微软雅黑" w:cs="微软雅黑"/>
                <w:b/>
                <w:bCs/>
                <w:color w:val="auto"/>
                <w:spacing w:val="-5"/>
                <w:sz w:val="24"/>
                <w:szCs w:val="24"/>
                <w:highlight w:val="none"/>
                <w:u w:val="single" w:color="auto"/>
                <w:lang w:val="en-US" w:eastAsia="zh-CN"/>
              </w:rPr>
              <w:t xml:space="preserve"> 08 </w:t>
            </w:r>
            <w:r>
              <w:rPr>
                <w:rFonts w:ascii="微软雅黑" w:hAnsi="微软雅黑" w:eastAsia="微软雅黑" w:cs="微软雅黑"/>
                <w:b/>
                <w:bCs/>
                <w:color w:val="auto"/>
                <w:spacing w:val="-5"/>
                <w:sz w:val="24"/>
                <w:szCs w:val="24"/>
                <w:highlight w:val="none"/>
                <w:u w:val="single" w:color="auto"/>
              </w:rPr>
              <w:t>日 1</w:t>
            </w:r>
            <w:r>
              <w:rPr>
                <w:rFonts w:hint="eastAsia" w:ascii="微软雅黑" w:hAnsi="微软雅黑" w:eastAsia="微软雅黑" w:cs="微软雅黑"/>
                <w:b/>
                <w:bCs/>
                <w:color w:val="auto"/>
                <w:spacing w:val="-5"/>
                <w:sz w:val="24"/>
                <w:szCs w:val="24"/>
                <w:highlight w:val="none"/>
                <w:u w:val="single" w:color="auto"/>
                <w:lang w:val="en-US" w:eastAsia="zh-CN"/>
              </w:rPr>
              <w:t>6</w:t>
            </w:r>
            <w:r>
              <w:rPr>
                <w:rFonts w:ascii="微软雅黑" w:hAnsi="微软雅黑" w:eastAsia="微软雅黑" w:cs="微软雅黑"/>
                <w:b/>
                <w:bCs/>
                <w:color w:val="auto"/>
                <w:spacing w:val="-5"/>
                <w:sz w:val="24"/>
                <w:szCs w:val="24"/>
                <w:highlight w:val="none"/>
                <w:u w:val="single" w:color="auto"/>
              </w:rPr>
              <w:t>：00（北京时间）</w:t>
            </w:r>
            <w:r>
              <w:rPr>
                <w:rFonts w:ascii="微软雅黑" w:hAnsi="微软雅黑" w:eastAsia="微软雅黑" w:cs="微软雅黑"/>
                <w:b/>
                <w:bCs/>
                <w:color w:val="auto"/>
                <w:sz w:val="24"/>
                <w:szCs w:val="24"/>
                <w:highlight w:val="none"/>
              </w:rPr>
              <w:t xml:space="preserve"> </w:t>
            </w:r>
            <w:r>
              <w:rPr>
                <w:rFonts w:ascii="微软雅黑" w:hAnsi="微软雅黑" w:eastAsia="微软雅黑" w:cs="微软雅黑"/>
                <w:color w:val="auto"/>
                <w:spacing w:val="-1"/>
                <w:sz w:val="24"/>
                <w:szCs w:val="24"/>
                <w:highlight w:val="none"/>
              </w:rPr>
              <w:t>磋商地点（网址</w:t>
            </w:r>
            <w:r>
              <w:rPr>
                <w:rFonts w:ascii="微软雅黑" w:hAnsi="微软雅黑" w:eastAsia="微软雅黑" w:cs="微软雅黑"/>
                <w:color w:val="auto"/>
                <w:spacing w:val="7"/>
                <w:sz w:val="24"/>
                <w:szCs w:val="24"/>
                <w:highlight w:val="none"/>
              </w:rPr>
              <w:t>）：</w:t>
            </w:r>
            <w:r>
              <w:rPr>
                <w:rFonts w:ascii="微软雅黑" w:hAnsi="微软雅黑" w:eastAsia="微软雅黑" w:cs="微软雅黑"/>
                <w:color w:val="auto"/>
                <w:spacing w:val="-1"/>
                <w:sz w:val="24"/>
                <w:szCs w:val="24"/>
                <w:highlight w:val="none"/>
              </w:rPr>
              <w:t xml:space="preserve">政采云平台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微软雅黑" w:hAnsi="微软雅黑" w:eastAsia="微软雅黑" w:cs="微软雅黑"/>
                <w:color w:val="auto"/>
                <w:spacing w:val="-1"/>
                <w:sz w:val="24"/>
                <w:szCs w:val="24"/>
                <w:highlight w:val="none"/>
              </w:rPr>
              <w:t>https://www.zcygov.cn</w:t>
            </w:r>
            <w:r>
              <w:rPr>
                <w:rFonts w:ascii="微软雅黑" w:hAnsi="微软雅黑" w:eastAsia="微软雅黑" w:cs="微软雅黑"/>
                <w:color w:val="auto"/>
                <w:spacing w:val="-1"/>
                <w:sz w:val="24"/>
                <w:szCs w:val="24"/>
                <w:highlight w:val="none"/>
              </w:rPr>
              <w:fldChar w:fldCharType="end"/>
            </w:r>
            <w:r>
              <w:rPr>
                <w:rFonts w:ascii="微软雅黑" w:hAnsi="微软雅黑" w:eastAsia="微软雅黑" w:cs="微软雅黑"/>
                <w:color w:val="auto"/>
                <w:spacing w:val="-1"/>
                <w:sz w:val="24"/>
                <w:szCs w:val="24"/>
                <w:highlight w:val="none"/>
              </w:rPr>
              <w:t xml:space="preserve"> 在线磋商</w:t>
            </w:r>
          </w:p>
          <w:p w14:paraId="1608D450">
            <w:pPr>
              <w:tabs>
                <w:tab w:val="left" w:pos="252"/>
              </w:tabs>
              <w:spacing w:before="51" w:line="184" w:lineRule="auto"/>
              <w:ind w:left="101"/>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u w:val="single" w:color="auto"/>
              </w:rPr>
              <w:tab/>
            </w:r>
            <w:r>
              <w:rPr>
                <w:rFonts w:ascii="微软雅黑" w:hAnsi="微软雅黑" w:eastAsia="微软雅黑" w:cs="微软雅黑"/>
                <w:b/>
                <w:bCs/>
                <w:color w:val="auto"/>
                <w:spacing w:val="-5"/>
                <w:sz w:val="24"/>
                <w:szCs w:val="24"/>
                <w:highlight w:val="none"/>
                <w:u w:val="single" w:color="auto"/>
              </w:rPr>
              <w:t>（电子磋商文件提交至政采云平台在线磋商，磋商人无需到达评标现场）</w:t>
            </w:r>
          </w:p>
        </w:tc>
      </w:tr>
      <w:tr w14:paraId="6C4EE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753" w:type="dxa"/>
            <w:vAlign w:val="top"/>
          </w:tcPr>
          <w:p w14:paraId="3E68F1C4">
            <w:pPr>
              <w:pStyle w:val="14"/>
              <w:spacing w:line="256" w:lineRule="auto"/>
              <w:rPr>
                <w:color w:val="auto"/>
                <w:highlight w:val="none"/>
              </w:rPr>
            </w:pPr>
          </w:p>
          <w:p w14:paraId="7E8A3838">
            <w:pPr>
              <w:pStyle w:val="14"/>
              <w:spacing w:line="256" w:lineRule="auto"/>
              <w:rPr>
                <w:color w:val="auto"/>
                <w:highlight w:val="none"/>
              </w:rPr>
            </w:pPr>
          </w:p>
          <w:p w14:paraId="700E9FAB">
            <w:pPr>
              <w:spacing w:before="103" w:line="172" w:lineRule="auto"/>
              <w:ind w:left="2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22</w:t>
            </w:r>
          </w:p>
        </w:tc>
        <w:tc>
          <w:tcPr>
            <w:tcW w:w="1646" w:type="dxa"/>
            <w:vAlign w:val="top"/>
          </w:tcPr>
          <w:p w14:paraId="48C5968F">
            <w:pPr>
              <w:pStyle w:val="14"/>
              <w:spacing w:line="288" w:lineRule="auto"/>
              <w:rPr>
                <w:color w:val="auto"/>
                <w:highlight w:val="none"/>
              </w:rPr>
            </w:pPr>
          </w:p>
          <w:p w14:paraId="46383B5E">
            <w:pPr>
              <w:spacing w:before="103"/>
              <w:ind w:left="339" w:right="220" w:hanging="12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开标时间及</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开标地点</w:t>
            </w:r>
          </w:p>
        </w:tc>
        <w:tc>
          <w:tcPr>
            <w:tcW w:w="7899" w:type="dxa"/>
            <w:vAlign w:val="top"/>
          </w:tcPr>
          <w:p w14:paraId="5F8E293D">
            <w:pPr>
              <w:spacing w:before="215" w:line="183" w:lineRule="auto"/>
              <w:ind w:left="10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开标时间：</w:t>
            </w:r>
            <w:r>
              <w:rPr>
                <w:rFonts w:ascii="微软雅黑" w:hAnsi="微软雅黑" w:eastAsia="微软雅黑" w:cs="微软雅黑"/>
                <w:b/>
                <w:bCs/>
                <w:color w:val="auto"/>
                <w:spacing w:val="-4"/>
                <w:sz w:val="24"/>
                <w:szCs w:val="24"/>
                <w:highlight w:val="none"/>
                <w:u w:val="single" w:color="auto"/>
              </w:rPr>
              <w:t>2025 年</w:t>
            </w:r>
            <w:r>
              <w:rPr>
                <w:rFonts w:hint="eastAsia" w:ascii="微软雅黑" w:hAnsi="微软雅黑" w:eastAsia="微软雅黑" w:cs="微软雅黑"/>
                <w:b/>
                <w:bCs/>
                <w:color w:val="auto"/>
                <w:spacing w:val="-4"/>
                <w:sz w:val="24"/>
                <w:szCs w:val="24"/>
                <w:highlight w:val="none"/>
                <w:u w:val="single" w:color="auto"/>
                <w:lang w:val="en-US" w:eastAsia="zh-CN"/>
              </w:rPr>
              <w:t>07</w:t>
            </w:r>
            <w:r>
              <w:rPr>
                <w:rFonts w:ascii="微软雅黑" w:hAnsi="微软雅黑" w:eastAsia="微软雅黑" w:cs="微软雅黑"/>
                <w:b/>
                <w:bCs/>
                <w:color w:val="auto"/>
                <w:spacing w:val="-4"/>
                <w:sz w:val="24"/>
                <w:szCs w:val="24"/>
                <w:highlight w:val="none"/>
                <w:u w:val="single" w:color="auto"/>
              </w:rPr>
              <w:t xml:space="preserve"> 月</w:t>
            </w:r>
            <w:r>
              <w:rPr>
                <w:rFonts w:hint="eastAsia" w:ascii="微软雅黑" w:hAnsi="微软雅黑" w:eastAsia="微软雅黑" w:cs="微软雅黑"/>
                <w:b/>
                <w:bCs/>
                <w:color w:val="auto"/>
                <w:spacing w:val="-4"/>
                <w:sz w:val="24"/>
                <w:szCs w:val="24"/>
                <w:highlight w:val="none"/>
                <w:u w:val="single" w:color="auto"/>
                <w:lang w:val="en-US" w:eastAsia="zh-CN"/>
              </w:rPr>
              <w:t>08</w:t>
            </w:r>
            <w:r>
              <w:rPr>
                <w:rFonts w:ascii="微软雅黑" w:hAnsi="微软雅黑" w:eastAsia="微软雅黑" w:cs="微软雅黑"/>
                <w:b/>
                <w:bCs/>
                <w:color w:val="auto"/>
                <w:spacing w:val="-4"/>
                <w:sz w:val="24"/>
                <w:szCs w:val="24"/>
                <w:highlight w:val="none"/>
                <w:u w:val="single" w:color="auto"/>
              </w:rPr>
              <w:t>日 1</w:t>
            </w:r>
            <w:r>
              <w:rPr>
                <w:rFonts w:hint="eastAsia" w:ascii="微软雅黑" w:hAnsi="微软雅黑" w:eastAsia="微软雅黑" w:cs="微软雅黑"/>
                <w:b/>
                <w:bCs/>
                <w:color w:val="auto"/>
                <w:spacing w:val="-4"/>
                <w:sz w:val="24"/>
                <w:szCs w:val="24"/>
                <w:highlight w:val="none"/>
                <w:u w:val="single" w:color="auto"/>
                <w:lang w:val="en-US" w:eastAsia="zh-CN"/>
              </w:rPr>
              <w:t>6</w:t>
            </w:r>
            <w:r>
              <w:rPr>
                <w:rFonts w:ascii="微软雅黑" w:hAnsi="微软雅黑" w:eastAsia="微软雅黑" w:cs="微软雅黑"/>
                <w:b/>
                <w:bCs/>
                <w:color w:val="auto"/>
                <w:spacing w:val="-4"/>
                <w:sz w:val="24"/>
                <w:szCs w:val="24"/>
                <w:highlight w:val="none"/>
                <w:u w:val="single" w:color="auto"/>
              </w:rPr>
              <w:t>:00 分</w:t>
            </w:r>
          </w:p>
          <w:p w14:paraId="6B6DF88A">
            <w:pPr>
              <w:tabs>
                <w:tab w:val="left" w:pos="252"/>
              </w:tabs>
              <w:spacing w:before="84" w:line="217" w:lineRule="auto"/>
              <w:ind w:left="101" w:right="279" w:firstLine="4"/>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开标地点：</w:t>
            </w:r>
            <w:r>
              <w:rPr>
                <w:rFonts w:ascii="微软雅黑" w:hAnsi="微软雅黑" w:eastAsia="微软雅黑" w:cs="微软雅黑"/>
                <w:b/>
                <w:bCs/>
                <w:color w:val="auto"/>
                <w:spacing w:val="-1"/>
                <w:sz w:val="24"/>
                <w:szCs w:val="24"/>
                <w:highlight w:val="none"/>
                <w:u w:val="single" w:color="auto"/>
              </w:rPr>
              <w:t>政采云平台</w:t>
            </w:r>
            <w:r>
              <w:rPr>
                <w:rFonts w:ascii="微软雅黑" w:hAnsi="微软雅黑" w:eastAsia="微软雅黑" w:cs="微软雅黑"/>
                <w:b/>
                <w:bCs/>
                <w:color w:val="auto"/>
                <w:spacing w:val="-3"/>
                <w:sz w:val="24"/>
                <w:szCs w:val="24"/>
                <w:highlight w:val="none"/>
                <w:u w:val="single" w:color="auto"/>
              </w:rPr>
              <w:t>（</w:t>
            </w:r>
            <w:r>
              <w:rPr>
                <w:color w:val="auto"/>
                <w:highlight w:val="none"/>
              </w:rPr>
              <w:fldChar w:fldCharType="begin"/>
            </w:r>
            <w:r>
              <w:rPr>
                <w:color w:val="auto"/>
                <w:highlight w:val="none"/>
              </w:rPr>
              <w:instrText xml:space="preserve"> HYPERLINK "https://login.zcygov.cn/user-login/#/login" </w:instrText>
            </w:r>
            <w:r>
              <w:rPr>
                <w:color w:val="auto"/>
                <w:highlight w:val="none"/>
              </w:rPr>
              <w:fldChar w:fldCharType="separate"/>
            </w:r>
            <w:r>
              <w:rPr>
                <w:rFonts w:ascii="微软雅黑" w:hAnsi="微软雅黑" w:eastAsia="微软雅黑" w:cs="微软雅黑"/>
                <w:b/>
                <w:bCs/>
                <w:color w:val="auto"/>
                <w:spacing w:val="-3"/>
                <w:sz w:val="24"/>
                <w:szCs w:val="24"/>
                <w:highlight w:val="none"/>
                <w:u w:val="single" w:color="auto"/>
              </w:rPr>
              <w:t>https://login.zcygov.</w:t>
            </w:r>
            <w:r>
              <w:rPr>
                <w:rFonts w:ascii="微软雅黑" w:hAnsi="微软雅黑" w:eastAsia="微软雅黑" w:cs="微软雅黑"/>
                <w:b/>
                <w:bCs/>
                <w:color w:val="auto"/>
                <w:spacing w:val="-4"/>
                <w:sz w:val="24"/>
                <w:szCs w:val="24"/>
                <w:highlight w:val="none"/>
                <w:u w:val="single" w:color="auto"/>
              </w:rPr>
              <w:t>cn/user-login/#/login</w:t>
            </w:r>
            <w:r>
              <w:rPr>
                <w:rFonts w:ascii="微软雅黑" w:hAnsi="微软雅黑" w:eastAsia="微软雅黑" w:cs="微软雅黑"/>
                <w:b/>
                <w:bCs/>
                <w:color w:val="auto"/>
                <w:spacing w:val="-4"/>
                <w:sz w:val="24"/>
                <w:szCs w:val="24"/>
                <w:highlight w:val="none"/>
                <w:u w:val="single" w:color="auto"/>
              </w:rPr>
              <w:fldChar w:fldCharType="end"/>
            </w:r>
            <w:r>
              <w:rPr>
                <w:rFonts w:ascii="微软雅黑" w:hAnsi="微软雅黑" w:eastAsia="微软雅黑" w:cs="微软雅黑"/>
                <w:b/>
                <w:bCs/>
                <w:color w:val="auto"/>
                <w:spacing w:val="-4"/>
                <w:sz w:val="24"/>
                <w:szCs w:val="24"/>
                <w:highlight w:val="none"/>
                <w:u w:val="single" w:color="auto"/>
              </w:rPr>
              <w:t>）</w:t>
            </w:r>
          </w:p>
        </w:tc>
      </w:tr>
      <w:tr w14:paraId="108B1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53" w:type="dxa"/>
            <w:vAlign w:val="top"/>
          </w:tcPr>
          <w:p w14:paraId="7CE85CC9">
            <w:pPr>
              <w:spacing w:before="338" w:line="172" w:lineRule="auto"/>
              <w:ind w:left="2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23</w:t>
            </w:r>
          </w:p>
        </w:tc>
        <w:tc>
          <w:tcPr>
            <w:tcW w:w="1646" w:type="dxa"/>
            <w:vAlign w:val="top"/>
          </w:tcPr>
          <w:p w14:paraId="7E63C88D">
            <w:pPr>
              <w:spacing w:before="133" w:line="202" w:lineRule="auto"/>
              <w:ind w:left="577" w:right="340" w:hanging="2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磋商文件</w:t>
            </w:r>
            <w:r>
              <w:rPr>
                <w:rFonts w:ascii="微软雅黑" w:hAnsi="微软雅黑" w:eastAsia="微软雅黑" w:cs="微软雅黑"/>
                <w:color w:val="auto"/>
                <w:spacing w:val="2"/>
                <w:sz w:val="24"/>
                <w:szCs w:val="24"/>
                <w:highlight w:val="none"/>
              </w:rPr>
              <w:t xml:space="preserve"> </w:t>
            </w:r>
            <w:r>
              <w:rPr>
                <w:rFonts w:ascii="微软雅黑" w:hAnsi="微软雅黑" w:eastAsia="微软雅黑" w:cs="微软雅黑"/>
                <w:color w:val="auto"/>
                <w:spacing w:val="-1"/>
                <w:sz w:val="24"/>
                <w:szCs w:val="24"/>
                <w:highlight w:val="none"/>
              </w:rPr>
              <w:t>份数</w:t>
            </w:r>
          </w:p>
        </w:tc>
        <w:tc>
          <w:tcPr>
            <w:tcW w:w="7899" w:type="dxa"/>
            <w:vAlign w:val="top"/>
          </w:tcPr>
          <w:p w14:paraId="5C6E2922">
            <w:pPr>
              <w:spacing w:before="335" w:line="183" w:lineRule="auto"/>
              <w:ind w:left="11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电子加密磋商文件一份</w:t>
            </w:r>
          </w:p>
        </w:tc>
      </w:tr>
      <w:tr w14:paraId="7F85C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753" w:type="dxa"/>
            <w:vAlign w:val="top"/>
          </w:tcPr>
          <w:p w14:paraId="0D29190F">
            <w:pPr>
              <w:pStyle w:val="14"/>
              <w:spacing w:line="433" w:lineRule="auto"/>
              <w:rPr>
                <w:color w:val="auto"/>
                <w:highlight w:val="none"/>
              </w:rPr>
            </w:pPr>
          </w:p>
          <w:p w14:paraId="785B3AE5">
            <w:pPr>
              <w:spacing w:before="103" w:line="172" w:lineRule="auto"/>
              <w:ind w:left="2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24</w:t>
            </w:r>
          </w:p>
        </w:tc>
        <w:tc>
          <w:tcPr>
            <w:tcW w:w="1646" w:type="dxa"/>
            <w:vAlign w:val="top"/>
          </w:tcPr>
          <w:p w14:paraId="6DFF61DC">
            <w:pPr>
              <w:spacing w:before="135" w:line="183" w:lineRule="auto"/>
              <w:ind w:left="21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磋商文件签</w:t>
            </w:r>
          </w:p>
          <w:p w14:paraId="1E8A4C80">
            <w:pPr>
              <w:spacing w:before="84" w:line="184" w:lineRule="auto"/>
              <w:ind w:left="21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字或盖章要</w:t>
            </w:r>
          </w:p>
          <w:p w14:paraId="2DE002A4">
            <w:pPr>
              <w:spacing w:before="87" w:line="168" w:lineRule="auto"/>
              <w:ind w:left="700"/>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求</w:t>
            </w:r>
          </w:p>
        </w:tc>
        <w:tc>
          <w:tcPr>
            <w:tcW w:w="7899" w:type="dxa"/>
            <w:vAlign w:val="top"/>
          </w:tcPr>
          <w:p w14:paraId="3385F741">
            <w:pPr>
              <w:spacing w:before="332" w:line="233" w:lineRule="auto"/>
              <w:ind w:left="103" w:right="107" w:hanging="2"/>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磋商格式中要求法定代表人或授权人签字或盖章的，必须签字或盖章</w:t>
            </w:r>
            <w:r>
              <w:rPr>
                <w:rFonts w:ascii="微软雅黑" w:hAnsi="微软雅黑" w:eastAsia="微软雅黑" w:cs="微软雅黑"/>
                <w:color w:val="auto"/>
                <w:spacing w:val="-1"/>
                <w:sz w:val="24"/>
                <w:szCs w:val="24"/>
                <w:highlight w:val="none"/>
              </w:rPr>
              <w:t>，否</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7"/>
                <w:sz w:val="24"/>
                <w:szCs w:val="24"/>
                <w:highlight w:val="none"/>
              </w:rPr>
              <w:t>则磋商无效。</w:t>
            </w:r>
          </w:p>
        </w:tc>
      </w:tr>
      <w:tr w14:paraId="6981F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753" w:type="dxa"/>
            <w:vAlign w:val="top"/>
          </w:tcPr>
          <w:p w14:paraId="3AB45655">
            <w:pPr>
              <w:pStyle w:val="14"/>
              <w:spacing w:line="314" w:lineRule="auto"/>
              <w:rPr>
                <w:color w:val="auto"/>
                <w:highlight w:val="none"/>
              </w:rPr>
            </w:pPr>
          </w:p>
          <w:p w14:paraId="7E122AB3">
            <w:pPr>
              <w:pStyle w:val="14"/>
              <w:spacing w:line="314" w:lineRule="auto"/>
              <w:rPr>
                <w:color w:val="auto"/>
                <w:highlight w:val="none"/>
              </w:rPr>
            </w:pPr>
          </w:p>
          <w:p w14:paraId="2F6FE391">
            <w:pPr>
              <w:pStyle w:val="14"/>
              <w:spacing w:line="314" w:lineRule="auto"/>
              <w:rPr>
                <w:color w:val="auto"/>
                <w:highlight w:val="none"/>
              </w:rPr>
            </w:pPr>
          </w:p>
          <w:p w14:paraId="2930A663">
            <w:pPr>
              <w:spacing w:before="103" w:line="172" w:lineRule="auto"/>
              <w:ind w:left="2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25</w:t>
            </w:r>
          </w:p>
        </w:tc>
        <w:tc>
          <w:tcPr>
            <w:tcW w:w="1646" w:type="dxa"/>
            <w:vAlign w:val="top"/>
          </w:tcPr>
          <w:p w14:paraId="6FFCD0B6">
            <w:pPr>
              <w:pStyle w:val="14"/>
              <w:spacing w:line="246" w:lineRule="auto"/>
              <w:rPr>
                <w:color w:val="auto"/>
                <w:highlight w:val="none"/>
              </w:rPr>
            </w:pPr>
          </w:p>
          <w:p w14:paraId="4359AB94">
            <w:pPr>
              <w:pStyle w:val="14"/>
              <w:spacing w:line="246" w:lineRule="auto"/>
              <w:rPr>
                <w:color w:val="auto"/>
                <w:highlight w:val="none"/>
              </w:rPr>
            </w:pPr>
          </w:p>
          <w:p w14:paraId="05FE6598">
            <w:pPr>
              <w:pStyle w:val="14"/>
              <w:spacing w:line="247" w:lineRule="auto"/>
              <w:rPr>
                <w:color w:val="auto"/>
                <w:highlight w:val="none"/>
              </w:rPr>
            </w:pPr>
          </w:p>
          <w:p w14:paraId="7838956B">
            <w:pPr>
              <w:spacing w:before="103" w:line="234" w:lineRule="auto"/>
              <w:ind w:left="580" w:right="340" w:hanging="2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磋商文件</w:t>
            </w:r>
            <w:r>
              <w:rPr>
                <w:rFonts w:ascii="微软雅黑" w:hAnsi="微软雅黑" w:eastAsia="微软雅黑" w:cs="微软雅黑"/>
                <w:color w:val="auto"/>
                <w:spacing w:val="2"/>
                <w:sz w:val="24"/>
                <w:szCs w:val="24"/>
                <w:highlight w:val="none"/>
              </w:rPr>
              <w:t xml:space="preserve"> </w:t>
            </w:r>
            <w:r>
              <w:rPr>
                <w:rFonts w:ascii="微软雅黑" w:hAnsi="微软雅黑" w:eastAsia="微软雅黑" w:cs="微软雅黑"/>
                <w:color w:val="auto"/>
                <w:spacing w:val="-2"/>
                <w:sz w:val="24"/>
                <w:szCs w:val="24"/>
                <w:highlight w:val="none"/>
              </w:rPr>
              <w:t>上传</w:t>
            </w:r>
          </w:p>
        </w:tc>
        <w:tc>
          <w:tcPr>
            <w:tcW w:w="7899" w:type="dxa"/>
            <w:vAlign w:val="top"/>
          </w:tcPr>
          <w:p w14:paraId="0AE9B052">
            <w:pPr>
              <w:spacing w:before="247" w:line="183" w:lineRule="auto"/>
              <w:ind w:left="10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供应商应完整地按招标文件提供的磋商文件格式及要求编写磋商文件，</w:t>
            </w:r>
          </w:p>
          <w:p w14:paraId="54C1F060">
            <w:pPr>
              <w:spacing w:before="82" w:line="233" w:lineRule="auto"/>
              <w:ind w:left="101" w:right="107"/>
              <w:rPr>
                <w:rFonts w:hint="eastAsia" w:ascii="微软雅黑" w:hAnsi="微软雅黑" w:eastAsia="微软雅黑" w:cs="微软雅黑"/>
                <w:color w:val="auto"/>
                <w:sz w:val="24"/>
                <w:szCs w:val="24"/>
                <w:highlight w:val="none"/>
                <w:lang w:eastAsia="zh-CN"/>
              </w:rPr>
            </w:pPr>
            <w:r>
              <w:rPr>
                <w:rFonts w:ascii="微软雅黑" w:hAnsi="微软雅黑" w:eastAsia="微软雅黑" w:cs="微软雅黑"/>
                <w:color w:val="auto"/>
                <w:sz w:val="24"/>
                <w:szCs w:val="24"/>
                <w:highlight w:val="none"/>
              </w:rPr>
              <w:t>供应商须在磋商截止时间前完成在系统上递交电子磋商文件。供应商</w:t>
            </w:r>
            <w:r>
              <w:rPr>
                <w:rFonts w:ascii="微软雅黑" w:hAnsi="微软雅黑" w:eastAsia="微软雅黑" w:cs="微软雅黑"/>
                <w:color w:val="auto"/>
                <w:spacing w:val="-1"/>
                <w:sz w:val="24"/>
                <w:szCs w:val="24"/>
                <w:highlight w:val="none"/>
              </w:rPr>
              <w:t>的电</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子磋商文件是经过 CA 证书加密后上传提交的，任何单位或个人均无法在</w:t>
            </w:r>
            <w:r>
              <w:rPr>
                <w:rFonts w:ascii="微软雅黑" w:hAnsi="微软雅黑" w:eastAsia="微软雅黑" w:cs="微软雅黑"/>
                <w:color w:val="auto"/>
                <w:spacing w:val="10"/>
                <w:sz w:val="24"/>
                <w:szCs w:val="24"/>
                <w:highlight w:val="none"/>
              </w:rPr>
              <w:t xml:space="preserve"> </w:t>
            </w:r>
            <w:r>
              <w:rPr>
                <w:rFonts w:ascii="微软雅黑" w:hAnsi="微软雅黑" w:eastAsia="微软雅黑" w:cs="微软雅黑"/>
                <w:color w:val="auto"/>
                <w:sz w:val="24"/>
                <w:szCs w:val="24"/>
                <w:highlight w:val="none"/>
              </w:rPr>
              <w:t>磋商截止时间(即开标时间)之前查看或篡改，不存在泄密风险。（严</w:t>
            </w:r>
            <w:r>
              <w:rPr>
                <w:rFonts w:ascii="微软雅黑" w:hAnsi="微软雅黑" w:eastAsia="微软雅黑" w:cs="微软雅黑"/>
                <w:color w:val="auto"/>
                <w:spacing w:val="-1"/>
                <w:sz w:val="24"/>
                <w:szCs w:val="24"/>
                <w:highlight w:val="none"/>
              </w:rPr>
              <w:t>格按</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照政采云电子磋商流程制作并上传电子磋商文件）</w:t>
            </w:r>
            <w:r>
              <w:rPr>
                <w:rFonts w:hint="eastAsia" w:ascii="微软雅黑" w:hAnsi="微软雅黑" w:eastAsia="微软雅黑" w:cs="微软雅黑"/>
                <w:color w:val="auto"/>
                <w:spacing w:val="-2"/>
                <w:sz w:val="24"/>
                <w:szCs w:val="24"/>
                <w:highlight w:val="none"/>
                <w:lang w:eastAsia="zh-CN"/>
              </w:rPr>
              <w:t>。</w:t>
            </w:r>
          </w:p>
        </w:tc>
      </w:tr>
      <w:tr w14:paraId="50289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753" w:type="dxa"/>
            <w:vAlign w:val="top"/>
          </w:tcPr>
          <w:p w14:paraId="298AFE51">
            <w:pPr>
              <w:pStyle w:val="14"/>
              <w:spacing w:line="283" w:lineRule="auto"/>
              <w:rPr>
                <w:color w:val="auto"/>
                <w:highlight w:val="none"/>
              </w:rPr>
            </w:pPr>
          </w:p>
          <w:p w14:paraId="7E301557">
            <w:pPr>
              <w:pStyle w:val="14"/>
              <w:spacing w:line="284" w:lineRule="auto"/>
              <w:rPr>
                <w:color w:val="auto"/>
                <w:highlight w:val="none"/>
              </w:rPr>
            </w:pPr>
          </w:p>
          <w:p w14:paraId="3FF54E61">
            <w:pPr>
              <w:pStyle w:val="14"/>
              <w:spacing w:line="284" w:lineRule="auto"/>
              <w:rPr>
                <w:color w:val="auto"/>
                <w:highlight w:val="none"/>
              </w:rPr>
            </w:pPr>
          </w:p>
          <w:p w14:paraId="25FECDEA">
            <w:pPr>
              <w:spacing w:before="103" w:line="172" w:lineRule="auto"/>
              <w:ind w:left="2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26</w:t>
            </w:r>
          </w:p>
        </w:tc>
        <w:tc>
          <w:tcPr>
            <w:tcW w:w="1646" w:type="dxa"/>
            <w:vAlign w:val="top"/>
          </w:tcPr>
          <w:p w14:paraId="730A4FE1">
            <w:pPr>
              <w:pStyle w:val="14"/>
              <w:spacing w:line="325" w:lineRule="auto"/>
              <w:rPr>
                <w:color w:val="auto"/>
                <w:highlight w:val="none"/>
              </w:rPr>
            </w:pPr>
          </w:p>
          <w:p w14:paraId="40E2585B">
            <w:pPr>
              <w:spacing w:before="103" w:line="233" w:lineRule="auto"/>
              <w:ind w:left="101" w:right="337" w:firstLine="1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电子磋商文</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1"/>
                <w:sz w:val="24"/>
                <w:szCs w:val="24"/>
                <w:highlight w:val="none"/>
              </w:rPr>
              <w:t>件解密时间</w:t>
            </w:r>
          </w:p>
        </w:tc>
        <w:tc>
          <w:tcPr>
            <w:tcW w:w="7899" w:type="dxa"/>
            <w:vAlign w:val="top"/>
          </w:tcPr>
          <w:p w14:paraId="4AAC6C12">
            <w:pPr>
              <w:spacing w:before="151" w:line="223" w:lineRule="auto"/>
              <w:ind w:left="101" w:firstLine="3"/>
              <w:jc w:val="both"/>
              <w:rPr>
                <w:rFonts w:ascii="微软雅黑" w:hAnsi="微软雅黑" w:eastAsia="微软雅黑" w:cs="微软雅黑"/>
                <w:color w:val="auto"/>
                <w:spacing w:val="-3"/>
                <w:sz w:val="24"/>
                <w:szCs w:val="24"/>
                <w:highlight w:val="none"/>
              </w:rPr>
            </w:pPr>
            <w:r>
              <w:rPr>
                <w:rFonts w:ascii="微软雅黑" w:hAnsi="微软雅黑" w:eastAsia="微软雅黑" w:cs="微软雅黑"/>
                <w:color w:val="auto"/>
                <w:spacing w:val="-7"/>
                <w:sz w:val="24"/>
                <w:szCs w:val="24"/>
                <w:highlight w:val="none"/>
              </w:rPr>
              <w:t>开标时间后 30 分钟内（2025 年</w:t>
            </w:r>
            <w:r>
              <w:rPr>
                <w:rFonts w:hint="eastAsia" w:ascii="微软雅黑" w:hAnsi="微软雅黑" w:eastAsia="微软雅黑" w:cs="微软雅黑"/>
                <w:color w:val="auto"/>
                <w:spacing w:val="-7"/>
                <w:sz w:val="24"/>
                <w:szCs w:val="24"/>
                <w:highlight w:val="none"/>
                <w:lang w:val="en-US" w:eastAsia="zh-CN"/>
              </w:rPr>
              <w:t>07</w:t>
            </w:r>
            <w:r>
              <w:rPr>
                <w:rFonts w:ascii="微软雅黑" w:hAnsi="微软雅黑" w:eastAsia="微软雅黑" w:cs="微软雅黑"/>
                <w:color w:val="auto"/>
                <w:spacing w:val="-7"/>
                <w:sz w:val="24"/>
                <w:szCs w:val="24"/>
                <w:highlight w:val="none"/>
              </w:rPr>
              <w:t>月</w:t>
            </w:r>
            <w:r>
              <w:rPr>
                <w:rFonts w:hint="eastAsia" w:ascii="微软雅黑" w:hAnsi="微软雅黑" w:eastAsia="微软雅黑" w:cs="微软雅黑"/>
                <w:color w:val="auto"/>
                <w:spacing w:val="-7"/>
                <w:sz w:val="24"/>
                <w:szCs w:val="24"/>
                <w:highlight w:val="none"/>
                <w:lang w:val="en-US" w:eastAsia="zh-CN"/>
              </w:rPr>
              <w:t xml:space="preserve">08 </w:t>
            </w:r>
            <w:r>
              <w:rPr>
                <w:rFonts w:ascii="微软雅黑" w:hAnsi="微软雅黑" w:eastAsia="微软雅黑" w:cs="微软雅黑"/>
                <w:color w:val="auto"/>
                <w:spacing w:val="-7"/>
                <w:sz w:val="24"/>
                <w:szCs w:val="24"/>
                <w:highlight w:val="none"/>
              </w:rPr>
              <w:t>日 1</w:t>
            </w:r>
            <w:r>
              <w:rPr>
                <w:rFonts w:hint="eastAsia" w:ascii="微软雅黑" w:hAnsi="微软雅黑" w:eastAsia="微软雅黑" w:cs="微软雅黑"/>
                <w:color w:val="auto"/>
                <w:spacing w:val="-7"/>
                <w:sz w:val="24"/>
                <w:szCs w:val="24"/>
                <w:highlight w:val="none"/>
                <w:lang w:val="en-US" w:eastAsia="zh-CN"/>
              </w:rPr>
              <w:t>6</w:t>
            </w:r>
            <w:r>
              <w:rPr>
                <w:rFonts w:ascii="微软雅黑" w:hAnsi="微软雅黑" w:eastAsia="微软雅黑" w:cs="微软雅黑"/>
                <w:color w:val="auto"/>
                <w:spacing w:val="-7"/>
                <w:sz w:val="24"/>
                <w:szCs w:val="24"/>
                <w:highlight w:val="none"/>
              </w:rPr>
              <w:t>:00-1</w:t>
            </w:r>
            <w:r>
              <w:rPr>
                <w:rFonts w:hint="eastAsia" w:ascii="微软雅黑" w:hAnsi="微软雅黑" w:eastAsia="微软雅黑" w:cs="微软雅黑"/>
                <w:color w:val="auto"/>
                <w:spacing w:val="-7"/>
                <w:sz w:val="24"/>
                <w:szCs w:val="24"/>
                <w:highlight w:val="none"/>
                <w:lang w:val="en-US" w:eastAsia="zh-CN"/>
              </w:rPr>
              <w:t>6：</w:t>
            </w:r>
            <w:r>
              <w:rPr>
                <w:rFonts w:ascii="微软雅黑" w:hAnsi="微软雅黑" w:eastAsia="微软雅黑" w:cs="微软雅黑"/>
                <w:color w:val="auto"/>
                <w:spacing w:val="-7"/>
                <w:sz w:val="24"/>
                <w:szCs w:val="24"/>
                <w:highlight w:val="none"/>
              </w:rPr>
              <w:t>30 前）供应商登</w:t>
            </w:r>
            <w:r>
              <w:rPr>
                <w:rFonts w:ascii="微软雅黑" w:hAnsi="微软雅黑" w:eastAsia="微软雅黑" w:cs="微软雅黑"/>
                <w:color w:val="auto"/>
                <w:spacing w:val="-6"/>
                <w:sz w:val="24"/>
                <w:szCs w:val="24"/>
                <w:highlight w:val="none"/>
              </w:rPr>
              <w:t>录“政采云”平台，用</w:t>
            </w:r>
            <w:r>
              <w:rPr>
                <w:rFonts w:hint="eastAsia" w:ascii="微软雅黑" w:hAnsi="微软雅黑" w:eastAsia="微软雅黑" w:cs="微软雅黑"/>
                <w:color w:val="auto"/>
                <w:spacing w:val="-6"/>
                <w:sz w:val="24"/>
                <w:szCs w:val="24"/>
                <w:highlight w:val="none"/>
                <w:lang w:eastAsia="zh-CN"/>
              </w:rPr>
              <w:t>“</w:t>
            </w:r>
            <w:r>
              <w:rPr>
                <w:rFonts w:ascii="微软雅黑" w:hAnsi="微软雅黑" w:eastAsia="微软雅黑" w:cs="微软雅黑"/>
                <w:color w:val="auto"/>
                <w:spacing w:val="-6"/>
                <w:sz w:val="24"/>
                <w:szCs w:val="24"/>
                <w:highlight w:val="none"/>
              </w:rPr>
              <w:t>项目采购-开标评标”功能进行解密磋商文件。若</w:t>
            </w:r>
            <w:r>
              <w:rPr>
                <w:rFonts w:ascii="微软雅黑" w:hAnsi="微软雅黑" w:eastAsia="微软雅黑" w:cs="微软雅黑"/>
                <w:color w:val="auto"/>
                <w:spacing w:val="-3"/>
                <w:sz w:val="24"/>
                <w:szCs w:val="24"/>
                <w:highlight w:val="none"/>
              </w:rPr>
              <w:t>供应商在规定时间内未按时解密的，视为无效磋商。</w:t>
            </w:r>
          </w:p>
          <w:p w14:paraId="390A2FF5">
            <w:pPr>
              <w:pStyle w:val="2"/>
            </w:pPr>
          </w:p>
          <w:p w14:paraId="21BDDE19">
            <w:pPr>
              <w:spacing w:before="151" w:line="223" w:lineRule="auto"/>
              <w:ind w:left="101" w:firstLine="3"/>
              <w:jc w:val="both"/>
              <w:rPr>
                <w:rFonts w:ascii="微软雅黑" w:hAnsi="微软雅黑" w:eastAsia="微软雅黑" w:cs="微软雅黑"/>
                <w:color w:val="auto"/>
                <w:spacing w:val="-3"/>
                <w:sz w:val="24"/>
                <w:szCs w:val="24"/>
                <w:highlight w:val="none"/>
              </w:rPr>
            </w:pPr>
          </w:p>
          <w:p w14:paraId="74AEDDC2">
            <w:pPr>
              <w:spacing w:before="151" w:line="223" w:lineRule="auto"/>
              <w:ind w:left="101" w:firstLine="3"/>
              <w:jc w:val="both"/>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（解密时间开始时政</w:t>
            </w:r>
            <w:r>
              <w:rPr>
                <w:rFonts w:ascii="微软雅黑" w:hAnsi="微软雅黑" w:eastAsia="微软雅黑" w:cs="微软雅黑"/>
                <w:b/>
                <w:bCs/>
                <w:color w:val="auto"/>
                <w:spacing w:val="-4"/>
                <w:sz w:val="24"/>
                <w:szCs w:val="24"/>
                <w:highlight w:val="none"/>
              </w:rPr>
              <w:t>采云平台将以短信形式向供应商在政采云平台预留的手机号发送短信通</w:t>
            </w:r>
            <w:r>
              <w:rPr>
                <w:rFonts w:ascii="微软雅黑" w:hAnsi="微软雅黑" w:eastAsia="微软雅黑" w:cs="微软雅黑"/>
                <w:b/>
                <w:bCs/>
                <w:color w:val="auto"/>
                <w:spacing w:val="-5"/>
                <w:sz w:val="24"/>
                <w:szCs w:val="24"/>
                <w:highlight w:val="none"/>
              </w:rPr>
              <w:t>知，</w:t>
            </w:r>
            <w:r>
              <w:rPr>
                <w:rFonts w:ascii="微软雅黑" w:hAnsi="微软雅黑" w:eastAsia="微软雅黑" w:cs="微软雅黑"/>
                <w:b/>
                <w:bCs/>
                <w:color w:val="auto"/>
                <w:spacing w:val="-6"/>
                <w:sz w:val="24"/>
                <w:szCs w:val="24"/>
                <w:highlight w:val="none"/>
              </w:rPr>
              <w:t>请供应商及时关注。）</w:t>
            </w:r>
          </w:p>
        </w:tc>
      </w:tr>
      <w:tr w14:paraId="09E8D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3" w:type="dxa"/>
            <w:vAlign w:val="top"/>
          </w:tcPr>
          <w:p w14:paraId="441113D6">
            <w:pPr>
              <w:pStyle w:val="14"/>
              <w:spacing w:line="256" w:lineRule="auto"/>
              <w:rPr>
                <w:color w:val="auto"/>
                <w:highlight w:val="none"/>
              </w:rPr>
            </w:pPr>
          </w:p>
          <w:p w14:paraId="73AAF096">
            <w:pPr>
              <w:pStyle w:val="14"/>
              <w:spacing w:line="256" w:lineRule="auto"/>
              <w:rPr>
                <w:color w:val="auto"/>
                <w:highlight w:val="none"/>
              </w:rPr>
            </w:pPr>
          </w:p>
          <w:p w14:paraId="6A16A3ED">
            <w:pPr>
              <w:pStyle w:val="14"/>
              <w:spacing w:line="256" w:lineRule="auto"/>
              <w:rPr>
                <w:color w:val="auto"/>
                <w:highlight w:val="none"/>
              </w:rPr>
            </w:pPr>
          </w:p>
          <w:p w14:paraId="0964ED35">
            <w:pPr>
              <w:pStyle w:val="14"/>
              <w:spacing w:line="256" w:lineRule="auto"/>
              <w:rPr>
                <w:color w:val="auto"/>
                <w:highlight w:val="none"/>
              </w:rPr>
            </w:pPr>
          </w:p>
          <w:p w14:paraId="5E014C92">
            <w:pPr>
              <w:pStyle w:val="14"/>
              <w:spacing w:line="256" w:lineRule="auto"/>
              <w:rPr>
                <w:color w:val="auto"/>
                <w:highlight w:val="none"/>
              </w:rPr>
            </w:pPr>
          </w:p>
          <w:p w14:paraId="2E032A2A">
            <w:pPr>
              <w:pStyle w:val="14"/>
              <w:spacing w:line="256" w:lineRule="auto"/>
              <w:rPr>
                <w:color w:val="auto"/>
                <w:highlight w:val="none"/>
              </w:rPr>
            </w:pPr>
          </w:p>
          <w:p w14:paraId="3F510FB2">
            <w:pPr>
              <w:pStyle w:val="14"/>
              <w:spacing w:line="256" w:lineRule="auto"/>
              <w:rPr>
                <w:color w:val="auto"/>
                <w:highlight w:val="none"/>
              </w:rPr>
            </w:pPr>
          </w:p>
          <w:p w14:paraId="7F62D222">
            <w:pPr>
              <w:pStyle w:val="14"/>
              <w:spacing w:line="256" w:lineRule="auto"/>
              <w:rPr>
                <w:color w:val="auto"/>
                <w:highlight w:val="none"/>
              </w:rPr>
            </w:pPr>
          </w:p>
          <w:p w14:paraId="4B6B0180">
            <w:pPr>
              <w:pStyle w:val="14"/>
              <w:spacing w:line="256" w:lineRule="auto"/>
              <w:rPr>
                <w:color w:val="auto"/>
                <w:highlight w:val="none"/>
              </w:rPr>
            </w:pPr>
          </w:p>
          <w:p w14:paraId="44B4F6A6">
            <w:pPr>
              <w:pStyle w:val="14"/>
              <w:spacing w:line="256" w:lineRule="auto"/>
              <w:rPr>
                <w:color w:val="auto"/>
                <w:highlight w:val="none"/>
              </w:rPr>
            </w:pPr>
          </w:p>
          <w:p w14:paraId="549F2D74">
            <w:pPr>
              <w:pStyle w:val="14"/>
              <w:spacing w:line="256" w:lineRule="auto"/>
              <w:rPr>
                <w:color w:val="auto"/>
                <w:highlight w:val="none"/>
              </w:rPr>
            </w:pPr>
          </w:p>
          <w:p w14:paraId="426F4C6B">
            <w:pPr>
              <w:spacing w:before="102" w:line="172" w:lineRule="auto"/>
              <w:ind w:left="2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27</w:t>
            </w:r>
          </w:p>
        </w:tc>
        <w:tc>
          <w:tcPr>
            <w:tcW w:w="1646" w:type="dxa"/>
            <w:vAlign w:val="top"/>
          </w:tcPr>
          <w:p w14:paraId="56472522">
            <w:pPr>
              <w:pStyle w:val="14"/>
              <w:spacing w:line="262" w:lineRule="auto"/>
              <w:rPr>
                <w:color w:val="auto"/>
                <w:highlight w:val="none"/>
              </w:rPr>
            </w:pPr>
          </w:p>
          <w:p w14:paraId="1718C88E">
            <w:pPr>
              <w:pStyle w:val="14"/>
              <w:spacing w:line="262" w:lineRule="auto"/>
              <w:rPr>
                <w:color w:val="auto"/>
                <w:highlight w:val="none"/>
              </w:rPr>
            </w:pPr>
          </w:p>
          <w:p w14:paraId="63903F64">
            <w:pPr>
              <w:pStyle w:val="14"/>
              <w:spacing w:line="262" w:lineRule="auto"/>
              <w:rPr>
                <w:color w:val="auto"/>
                <w:highlight w:val="none"/>
              </w:rPr>
            </w:pPr>
          </w:p>
          <w:p w14:paraId="57FE0A3B">
            <w:pPr>
              <w:pStyle w:val="14"/>
              <w:spacing w:line="262" w:lineRule="auto"/>
              <w:rPr>
                <w:color w:val="auto"/>
                <w:highlight w:val="none"/>
              </w:rPr>
            </w:pPr>
          </w:p>
          <w:p w14:paraId="720073DF">
            <w:pPr>
              <w:pStyle w:val="14"/>
              <w:spacing w:line="263" w:lineRule="auto"/>
              <w:rPr>
                <w:color w:val="auto"/>
                <w:highlight w:val="none"/>
              </w:rPr>
            </w:pPr>
          </w:p>
          <w:p w14:paraId="46FFE1B1">
            <w:pPr>
              <w:pStyle w:val="14"/>
              <w:spacing w:line="263" w:lineRule="auto"/>
              <w:rPr>
                <w:color w:val="auto"/>
                <w:highlight w:val="none"/>
              </w:rPr>
            </w:pPr>
          </w:p>
          <w:p w14:paraId="448B6DC4">
            <w:pPr>
              <w:pStyle w:val="14"/>
              <w:spacing w:line="263" w:lineRule="auto"/>
              <w:rPr>
                <w:color w:val="auto"/>
                <w:highlight w:val="none"/>
              </w:rPr>
            </w:pPr>
          </w:p>
          <w:p w14:paraId="625132EC">
            <w:pPr>
              <w:pStyle w:val="14"/>
              <w:spacing w:line="263" w:lineRule="auto"/>
              <w:rPr>
                <w:color w:val="auto"/>
                <w:highlight w:val="none"/>
              </w:rPr>
            </w:pPr>
          </w:p>
          <w:p w14:paraId="4E33462C">
            <w:pPr>
              <w:pStyle w:val="14"/>
              <w:spacing w:line="263" w:lineRule="auto"/>
              <w:rPr>
                <w:color w:val="auto"/>
                <w:highlight w:val="none"/>
              </w:rPr>
            </w:pPr>
          </w:p>
          <w:p w14:paraId="015A7835">
            <w:pPr>
              <w:pStyle w:val="14"/>
              <w:spacing w:line="263" w:lineRule="auto"/>
              <w:rPr>
                <w:color w:val="auto"/>
                <w:highlight w:val="none"/>
              </w:rPr>
            </w:pPr>
          </w:p>
          <w:p w14:paraId="1AAB5BDF">
            <w:pPr>
              <w:spacing w:before="103" w:line="198" w:lineRule="auto"/>
              <w:ind w:left="468" w:right="220" w:hanging="2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磋商保证金</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3"/>
                <w:sz w:val="24"/>
                <w:szCs w:val="24"/>
                <w:highlight w:val="none"/>
              </w:rPr>
              <w:t>的收取</w:t>
            </w:r>
          </w:p>
        </w:tc>
        <w:tc>
          <w:tcPr>
            <w:tcW w:w="7899" w:type="dxa"/>
            <w:vAlign w:val="top"/>
          </w:tcPr>
          <w:p w14:paraId="1F64C488">
            <w:pPr>
              <w:pStyle w:val="14"/>
              <w:spacing w:line="256" w:lineRule="auto"/>
              <w:rPr>
                <w:color w:val="auto"/>
                <w:highlight w:val="none"/>
              </w:rPr>
            </w:pPr>
          </w:p>
          <w:p w14:paraId="41405922">
            <w:pPr>
              <w:spacing w:before="103" w:line="183" w:lineRule="auto"/>
              <w:ind w:left="104"/>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投标保证金缴纳形式：</w:t>
            </w:r>
            <w:r>
              <w:rPr>
                <w:rFonts w:ascii="微软雅黑" w:hAnsi="微软雅黑" w:eastAsia="微软雅黑" w:cs="微软雅黑"/>
                <w:color w:val="auto"/>
                <w:spacing w:val="-3"/>
                <w:sz w:val="24"/>
                <w:szCs w:val="24"/>
                <w:highlight w:val="none"/>
              </w:rPr>
              <w:t>转账或电子保函；</w:t>
            </w:r>
          </w:p>
          <w:p w14:paraId="06EDCC40">
            <w:pPr>
              <w:spacing w:before="26" w:line="183" w:lineRule="auto"/>
              <w:ind w:left="104"/>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投标保证金金额：</w:t>
            </w:r>
            <w:r>
              <w:rPr>
                <w:rFonts w:hint="eastAsia" w:ascii="微软雅黑" w:hAnsi="微软雅黑" w:eastAsia="微软雅黑" w:cs="微软雅黑"/>
                <w:b/>
                <w:bCs/>
                <w:color w:val="auto"/>
                <w:spacing w:val="-3"/>
                <w:sz w:val="24"/>
                <w:szCs w:val="24"/>
                <w:highlight w:val="none"/>
                <w:lang w:val="en-US" w:eastAsia="zh-CN"/>
              </w:rPr>
              <w:t>10000.00</w:t>
            </w:r>
            <w:r>
              <w:rPr>
                <w:rFonts w:ascii="微软雅黑" w:hAnsi="微软雅黑" w:eastAsia="微软雅黑" w:cs="微软雅黑"/>
                <w:color w:val="auto"/>
                <w:spacing w:val="-3"/>
                <w:sz w:val="24"/>
                <w:szCs w:val="24"/>
                <w:highlight w:val="none"/>
              </w:rPr>
              <w:t>元（壹万元整</w:t>
            </w:r>
            <w:r>
              <w:rPr>
                <w:rFonts w:ascii="微软雅黑" w:hAnsi="微软雅黑" w:eastAsia="微软雅黑" w:cs="微软雅黑"/>
                <w:color w:val="auto"/>
                <w:spacing w:val="5"/>
                <w:sz w:val="24"/>
                <w:szCs w:val="24"/>
                <w:highlight w:val="none"/>
              </w:rPr>
              <w:t>）；</w:t>
            </w:r>
          </w:p>
          <w:p w14:paraId="7BCA3388">
            <w:pPr>
              <w:spacing w:before="18" w:line="241" w:lineRule="auto"/>
              <w:ind w:left="103" w:right="103" w:firstLine="1"/>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投标保证金缴纳要求</w:t>
            </w:r>
            <w:r>
              <w:rPr>
                <w:rFonts w:ascii="微软雅黑" w:hAnsi="微软雅黑" w:eastAsia="微软雅黑" w:cs="微软雅黑"/>
                <w:b/>
                <w:bCs/>
                <w:color w:val="auto"/>
                <w:spacing w:val="-6"/>
                <w:sz w:val="24"/>
                <w:szCs w:val="24"/>
                <w:highlight w:val="none"/>
              </w:rPr>
              <w:t>：</w:t>
            </w:r>
            <w:r>
              <w:rPr>
                <w:rFonts w:ascii="微软雅黑" w:hAnsi="微软雅黑" w:eastAsia="微软雅黑" w:cs="微软雅黑"/>
                <w:color w:val="auto"/>
                <w:spacing w:val="-6"/>
                <w:sz w:val="24"/>
                <w:szCs w:val="24"/>
                <w:highlight w:val="none"/>
              </w:rPr>
              <w:t>（</w:t>
            </w:r>
            <w:r>
              <w:rPr>
                <w:rFonts w:ascii="微软雅黑" w:hAnsi="微软雅黑" w:eastAsia="微软雅黑" w:cs="微软雅黑"/>
                <w:color w:val="auto"/>
                <w:spacing w:val="-21"/>
                <w:sz w:val="24"/>
                <w:szCs w:val="24"/>
                <w:highlight w:val="none"/>
              </w:rPr>
              <w:t xml:space="preserve"> </w:t>
            </w:r>
            <w:r>
              <w:rPr>
                <w:rFonts w:ascii="微软雅黑" w:hAnsi="微软雅黑" w:eastAsia="微软雅黑" w:cs="微软雅黑"/>
                <w:color w:val="auto"/>
                <w:spacing w:val="2"/>
                <w:sz w:val="24"/>
                <w:szCs w:val="24"/>
                <w:highlight w:val="none"/>
              </w:rPr>
              <w:t>1）投标保证金以转账形式缴纳的，在开标前须</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4"/>
                <w:sz w:val="24"/>
                <w:szCs w:val="24"/>
                <w:highlight w:val="none"/>
              </w:rPr>
              <w:t>从投标人的基本账户一次性汇入指定账户</w:t>
            </w:r>
            <w:r>
              <w:rPr>
                <w:rFonts w:ascii="微软雅黑" w:hAnsi="微软雅黑" w:eastAsia="微软雅黑" w:cs="微软雅黑"/>
                <w:color w:val="auto"/>
                <w:spacing w:val="-8"/>
                <w:sz w:val="24"/>
                <w:szCs w:val="24"/>
                <w:highlight w:val="none"/>
              </w:rPr>
              <w:t>；（</w:t>
            </w:r>
            <w:r>
              <w:rPr>
                <w:rFonts w:ascii="微软雅黑" w:hAnsi="微软雅黑" w:eastAsia="微软雅黑" w:cs="微软雅黑"/>
                <w:color w:val="auto"/>
                <w:spacing w:val="4"/>
                <w:sz w:val="24"/>
                <w:szCs w:val="24"/>
                <w:highlight w:val="none"/>
              </w:rPr>
              <w:t>2）投标保证金</w:t>
            </w:r>
            <w:r>
              <w:rPr>
                <w:rFonts w:ascii="微软雅黑" w:hAnsi="微软雅黑" w:eastAsia="微软雅黑" w:cs="微软雅黑"/>
                <w:color w:val="auto"/>
                <w:spacing w:val="3"/>
                <w:sz w:val="24"/>
                <w:szCs w:val="24"/>
                <w:highlight w:val="none"/>
              </w:rPr>
              <w:t>以保函形式</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4"/>
                <w:sz w:val="24"/>
                <w:szCs w:val="24"/>
                <w:highlight w:val="none"/>
              </w:rPr>
              <w:t>缴纳的，在开标前办理电子保函</w:t>
            </w:r>
            <w:r>
              <w:rPr>
                <w:rFonts w:ascii="微软雅黑" w:hAnsi="微软雅黑" w:eastAsia="微软雅黑" w:cs="微软雅黑"/>
                <w:color w:val="auto"/>
                <w:spacing w:val="-8"/>
                <w:sz w:val="24"/>
                <w:szCs w:val="24"/>
                <w:highlight w:val="none"/>
              </w:rPr>
              <w:t>；（</w:t>
            </w:r>
            <w:r>
              <w:rPr>
                <w:rFonts w:ascii="微软雅黑" w:hAnsi="微软雅黑" w:eastAsia="微软雅黑" w:cs="微软雅黑"/>
                <w:color w:val="auto"/>
                <w:spacing w:val="4"/>
                <w:sz w:val="24"/>
                <w:szCs w:val="24"/>
                <w:highlight w:val="none"/>
              </w:rPr>
              <w:t>3）汇款单据或电子保函</w:t>
            </w:r>
            <w:r>
              <w:rPr>
                <w:rFonts w:ascii="微软雅黑" w:hAnsi="微软雅黑" w:eastAsia="微软雅黑" w:cs="微软雅黑"/>
                <w:color w:val="auto"/>
                <w:spacing w:val="3"/>
                <w:sz w:val="24"/>
                <w:szCs w:val="24"/>
                <w:highlight w:val="none"/>
              </w:rPr>
              <w:t>，须在投标</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2"/>
                <w:sz w:val="24"/>
                <w:szCs w:val="24"/>
                <w:highlight w:val="none"/>
              </w:rPr>
              <w:t>文件中提供单据复印件并加盖投标单位公章，否则其投标无效。</w:t>
            </w:r>
          </w:p>
          <w:p w14:paraId="50B94952">
            <w:pPr>
              <w:spacing w:before="1" w:line="182" w:lineRule="auto"/>
              <w:ind w:left="10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7"/>
                <w:sz w:val="24"/>
                <w:szCs w:val="24"/>
                <w:highlight w:val="none"/>
              </w:rPr>
              <w:t>账户信息：</w:t>
            </w:r>
          </w:p>
          <w:p w14:paraId="3E4FEC90">
            <w:pPr>
              <w:spacing w:before="90" w:line="224" w:lineRule="auto"/>
              <w:ind w:left="103" w:right="116"/>
              <w:rPr>
                <w:rFonts w:hint="eastAsia" w:ascii="微软雅黑" w:hAnsi="微软雅黑" w:eastAsia="微软雅黑" w:cs="微软雅黑"/>
                <w:color w:val="auto"/>
                <w:spacing w:val="-1"/>
                <w:sz w:val="24"/>
                <w:szCs w:val="24"/>
                <w:highlight w:val="none"/>
                <w:lang w:eastAsia="zh-CN"/>
              </w:rPr>
            </w:pPr>
            <w:r>
              <w:rPr>
                <w:rFonts w:hint="eastAsia" w:ascii="微软雅黑" w:hAnsi="微软雅黑" w:eastAsia="微软雅黑" w:cs="微软雅黑"/>
                <w:color w:val="auto"/>
                <w:spacing w:val="-1"/>
                <w:sz w:val="24"/>
                <w:szCs w:val="24"/>
                <w:highlight w:val="none"/>
              </w:rPr>
              <w:t>账户名：</w:t>
            </w:r>
            <w:r>
              <w:rPr>
                <w:rFonts w:hint="eastAsia" w:ascii="微软雅黑" w:hAnsi="微软雅黑" w:eastAsia="微软雅黑" w:cs="微软雅黑"/>
                <w:color w:val="auto"/>
                <w:spacing w:val="-1"/>
                <w:sz w:val="24"/>
                <w:szCs w:val="24"/>
                <w:highlight w:val="none"/>
                <w:lang w:eastAsia="zh-CN"/>
              </w:rPr>
              <w:t>新疆邦泰工程咨询有限公司</w:t>
            </w:r>
          </w:p>
          <w:p w14:paraId="44449BF5">
            <w:pPr>
              <w:spacing w:before="90" w:line="224" w:lineRule="auto"/>
              <w:ind w:left="103" w:right="116"/>
              <w:rPr>
                <w:rFonts w:hint="eastAsia" w:ascii="微软雅黑" w:hAnsi="微软雅黑" w:eastAsia="微软雅黑" w:cs="微软雅黑"/>
                <w:color w:val="auto"/>
                <w:spacing w:val="-1"/>
                <w:sz w:val="24"/>
                <w:szCs w:val="24"/>
                <w:highlight w:val="none"/>
              </w:rPr>
            </w:pPr>
            <w:r>
              <w:rPr>
                <w:rFonts w:hint="eastAsia" w:ascii="微软雅黑" w:hAnsi="微软雅黑" w:eastAsia="微软雅黑" w:cs="微软雅黑"/>
                <w:color w:val="auto"/>
                <w:spacing w:val="-1"/>
                <w:sz w:val="24"/>
                <w:szCs w:val="24"/>
                <w:highlight w:val="none"/>
              </w:rPr>
              <w:t>账  号：3012341509200063215</w:t>
            </w:r>
          </w:p>
          <w:p w14:paraId="163E64FB">
            <w:pPr>
              <w:spacing w:before="90" w:line="224" w:lineRule="auto"/>
              <w:ind w:left="103" w:right="116"/>
              <w:rPr>
                <w:rFonts w:hint="eastAsia" w:ascii="微软雅黑" w:hAnsi="微软雅黑" w:eastAsia="微软雅黑" w:cs="微软雅黑"/>
                <w:color w:val="auto"/>
                <w:spacing w:val="-1"/>
                <w:sz w:val="24"/>
                <w:szCs w:val="24"/>
                <w:highlight w:val="none"/>
              </w:rPr>
            </w:pPr>
            <w:r>
              <w:rPr>
                <w:rFonts w:hint="eastAsia" w:ascii="微软雅黑" w:hAnsi="微软雅黑" w:eastAsia="微软雅黑" w:cs="微软雅黑"/>
                <w:color w:val="auto"/>
                <w:spacing w:val="-1"/>
                <w:sz w:val="24"/>
                <w:szCs w:val="24"/>
                <w:highlight w:val="none"/>
              </w:rPr>
              <w:t xml:space="preserve">开户行：中国工商银行股份有限公司喀什解放南路支行 </w:t>
            </w:r>
          </w:p>
          <w:p w14:paraId="139FE941">
            <w:pPr>
              <w:spacing w:before="90" w:line="224" w:lineRule="auto"/>
              <w:ind w:left="103" w:right="116"/>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行  号：102894000067</w:t>
            </w:r>
          </w:p>
          <w:p w14:paraId="3DFBAC2C">
            <w:pPr>
              <w:spacing w:before="90" w:line="224" w:lineRule="auto"/>
              <w:ind w:left="103" w:right="116"/>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注：转账缴纳投标保证金时，请在备注栏写明所投采购项目名称及项目编号</w:t>
            </w:r>
            <w:r>
              <w:rPr>
                <w:rFonts w:ascii="微软雅黑" w:hAnsi="微软雅黑" w:eastAsia="微软雅黑" w:cs="微软雅黑"/>
                <w:color w:val="auto"/>
                <w:spacing w:val="-1"/>
                <w:sz w:val="21"/>
                <w:szCs w:val="21"/>
                <w:highlight w:val="none"/>
              </w:rPr>
              <w:t>[如：</w:t>
            </w:r>
            <w:r>
              <w:rPr>
                <w:rFonts w:hint="eastAsia" w:ascii="微软雅黑" w:hAnsi="微软雅黑" w:eastAsia="微软雅黑" w:cs="微软雅黑"/>
                <w:color w:val="auto"/>
                <w:spacing w:val="-1"/>
                <w:sz w:val="21"/>
                <w:szCs w:val="21"/>
                <w:highlight w:val="none"/>
                <w:lang w:val="en-US" w:eastAsia="zh-CN"/>
              </w:rPr>
              <w:t>麦盖提县专业人才合作项目（二次）</w:t>
            </w:r>
            <w:r>
              <w:rPr>
                <w:rFonts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eastAsia="zh-CN"/>
              </w:rPr>
              <w:t>XJBT-MGTX(CS)2025-08 号</w:t>
            </w:r>
            <w:r>
              <w:rPr>
                <w:rFonts w:ascii="微软雅黑" w:hAnsi="微软雅黑" w:eastAsia="微软雅黑" w:cs="微软雅黑"/>
                <w:color w:val="auto"/>
                <w:spacing w:val="-1"/>
                <w:sz w:val="21"/>
                <w:szCs w:val="21"/>
                <w:highlight w:val="none"/>
              </w:rPr>
              <w:t>；因项目名称字数多无法备注全称的，可简写</w:t>
            </w:r>
            <w:r>
              <w:rPr>
                <w:rFonts w:ascii="微软雅黑" w:hAnsi="微软雅黑" w:eastAsia="微软雅黑" w:cs="微软雅黑"/>
                <w:color w:val="auto"/>
                <w:spacing w:val="-2"/>
                <w:sz w:val="21"/>
                <w:szCs w:val="21"/>
                <w:highlight w:val="none"/>
              </w:rPr>
              <w:t>。</w:t>
            </w:r>
          </w:p>
        </w:tc>
      </w:tr>
      <w:tr w14:paraId="0BE0D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753" w:type="dxa"/>
            <w:vAlign w:val="top"/>
          </w:tcPr>
          <w:p w14:paraId="355D97C0">
            <w:pPr>
              <w:pStyle w:val="14"/>
              <w:spacing w:line="285" w:lineRule="auto"/>
              <w:rPr>
                <w:color w:val="auto"/>
                <w:highlight w:val="none"/>
              </w:rPr>
            </w:pPr>
          </w:p>
          <w:p w14:paraId="42D3B8B8">
            <w:pPr>
              <w:spacing w:before="103" w:line="172" w:lineRule="auto"/>
              <w:ind w:left="24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29</w:t>
            </w:r>
          </w:p>
        </w:tc>
        <w:tc>
          <w:tcPr>
            <w:tcW w:w="1646" w:type="dxa"/>
            <w:vAlign w:val="top"/>
          </w:tcPr>
          <w:p w14:paraId="1C2DD3B8">
            <w:pPr>
              <w:pStyle w:val="14"/>
              <w:spacing w:line="285" w:lineRule="auto"/>
              <w:rPr>
                <w:color w:val="auto"/>
                <w:highlight w:val="none"/>
              </w:rPr>
            </w:pPr>
          </w:p>
          <w:p w14:paraId="538683F0">
            <w:pPr>
              <w:spacing w:before="103" w:line="183" w:lineRule="auto"/>
              <w:ind w:left="22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履约保证金</w:t>
            </w:r>
          </w:p>
        </w:tc>
        <w:tc>
          <w:tcPr>
            <w:tcW w:w="7899" w:type="dxa"/>
            <w:vAlign w:val="top"/>
          </w:tcPr>
          <w:p w14:paraId="57D8637E">
            <w:pPr>
              <w:pStyle w:val="14"/>
              <w:spacing w:line="286" w:lineRule="auto"/>
              <w:rPr>
                <w:color w:val="auto"/>
                <w:highlight w:val="none"/>
              </w:rPr>
            </w:pPr>
          </w:p>
          <w:p w14:paraId="39C7C7C0">
            <w:pPr>
              <w:spacing w:before="103" w:line="184" w:lineRule="auto"/>
              <w:ind w:left="104"/>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履约保证金的缴纳形式：</w:t>
            </w:r>
            <w:r>
              <w:rPr>
                <w:rFonts w:ascii="微软雅黑" w:hAnsi="微软雅黑" w:eastAsia="微软雅黑" w:cs="微软雅黑"/>
                <w:color w:val="auto"/>
                <w:spacing w:val="-2"/>
                <w:sz w:val="24"/>
                <w:szCs w:val="24"/>
                <w:highlight w:val="none"/>
              </w:rPr>
              <w:t>转账或电子保函（缴纳至采购单位账户</w:t>
            </w:r>
            <w:r>
              <w:rPr>
                <w:rFonts w:ascii="微软雅黑" w:hAnsi="微软雅黑" w:eastAsia="微软雅黑" w:cs="微软雅黑"/>
                <w:color w:val="auto"/>
                <w:spacing w:val="4"/>
                <w:sz w:val="24"/>
                <w:szCs w:val="24"/>
                <w:highlight w:val="none"/>
              </w:rPr>
              <w:t>）；</w:t>
            </w:r>
          </w:p>
          <w:p w14:paraId="37F8C809">
            <w:pPr>
              <w:spacing w:before="7" w:line="185" w:lineRule="auto"/>
              <w:ind w:left="104" w:right="173" w:firstLine="1"/>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履约保证金金额：</w:t>
            </w:r>
            <w:r>
              <w:rPr>
                <w:rFonts w:ascii="微软雅黑" w:hAnsi="微软雅黑" w:eastAsia="微软雅黑" w:cs="微软雅黑"/>
                <w:color w:val="auto"/>
                <w:spacing w:val="-1"/>
                <w:sz w:val="24"/>
                <w:szCs w:val="24"/>
                <w:highlight w:val="none"/>
              </w:rPr>
              <w:t>合同总价的 5%，中标方可以转账支票、电汇、银行汇</w:t>
            </w:r>
            <w:r>
              <w:rPr>
                <w:rFonts w:ascii="微软雅黑" w:hAnsi="微软雅黑" w:eastAsia="微软雅黑" w:cs="微软雅黑"/>
                <w:color w:val="auto"/>
                <w:spacing w:val="15"/>
                <w:sz w:val="24"/>
                <w:szCs w:val="24"/>
                <w:highlight w:val="none"/>
              </w:rPr>
              <w:t xml:space="preserve"> </w:t>
            </w:r>
            <w:r>
              <w:rPr>
                <w:rFonts w:ascii="微软雅黑" w:hAnsi="微软雅黑" w:eastAsia="微软雅黑" w:cs="微软雅黑"/>
                <w:color w:val="auto"/>
                <w:spacing w:val="-2"/>
                <w:sz w:val="24"/>
                <w:szCs w:val="24"/>
                <w:highlight w:val="none"/>
              </w:rPr>
              <w:t>票或网上银行支付、保函等非现金形式公对公</w:t>
            </w:r>
            <w:r>
              <w:rPr>
                <w:rFonts w:ascii="微软雅黑" w:hAnsi="微软雅黑" w:eastAsia="微软雅黑" w:cs="微软雅黑"/>
                <w:color w:val="auto"/>
                <w:spacing w:val="-3"/>
                <w:sz w:val="24"/>
                <w:szCs w:val="24"/>
                <w:highlight w:val="none"/>
              </w:rPr>
              <w:t>交纳。</w:t>
            </w:r>
          </w:p>
        </w:tc>
      </w:tr>
      <w:tr w14:paraId="292FA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53" w:type="dxa"/>
            <w:vAlign w:val="top"/>
          </w:tcPr>
          <w:p w14:paraId="7A9454BE">
            <w:pPr>
              <w:spacing w:before="325" w:line="172" w:lineRule="auto"/>
              <w:ind w:left="2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30</w:t>
            </w:r>
          </w:p>
        </w:tc>
        <w:tc>
          <w:tcPr>
            <w:tcW w:w="1646" w:type="dxa"/>
            <w:vAlign w:val="top"/>
          </w:tcPr>
          <w:p w14:paraId="60579B97">
            <w:pPr>
              <w:spacing w:before="138" w:line="186" w:lineRule="auto"/>
              <w:ind w:left="467" w:right="220" w:hanging="24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评标委员会</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的组建</w:t>
            </w:r>
          </w:p>
        </w:tc>
        <w:tc>
          <w:tcPr>
            <w:tcW w:w="7899" w:type="dxa"/>
            <w:vAlign w:val="top"/>
          </w:tcPr>
          <w:p w14:paraId="3167119B">
            <w:pPr>
              <w:spacing w:before="135" w:line="184" w:lineRule="auto"/>
              <w:ind w:left="10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评标委员会构成：在政采云平台上抽取 3 名专家，</w:t>
            </w:r>
            <w:r>
              <w:rPr>
                <w:rFonts w:ascii="微软雅黑" w:hAnsi="微软雅黑" w:eastAsia="微软雅黑" w:cs="微软雅黑"/>
                <w:color w:val="auto"/>
                <w:spacing w:val="-3"/>
                <w:sz w:val="24"/>
                <w:szCs w:val="24"/>
                <w:highlight w:val="none"/>
              </w:rPr>
              <w:t>负责评标工作。</w:t>
            </w:r>
          </w:p>
          <w:p w14:paraId="00CB3E5B">
            <w:pPr>
              <w:spacing w:before="4" w:line="184" w:lineRule="auto"/>
              <w:ind w:left="10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评标专家确定方式：随机抽取</w:t>
            </w:r>
          </w:p>
        </w:tc>
      </w:tr>
      <w:tr w14:paraId="06631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53" w:type="dxa"/>
            <w:vAlign w:val="top"/>
          </w:tcPr>
          <w:p w14:paraId="029F3FA7">
            <w:pPr>
              <w:spacing w:before="239" w:line="172" w:lineRule="auto"/>
              <w:ind w:left="2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31</w:t>
            </w:r>
          </w:p>
        </w:tc>
        <w:tc>
          <w:tcPr>
            <w:tcW w:w="1646" w:type="dxa"/>
            <w:vAlign w:val="top"/>
          </w:tcPr>
          <w:p w14:paraId="5FA2271B">
            <w:pPr>
              <w:spacing w:before="49" w:line="171" w:lineRule="auto"/>
              <w:ind w:left="697" w:right="220" w:hanging="47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最高磋商限</w:t>
            </w:r>
            <w:r>
              <w:rPr>
                <w:rFonts w:ascii="微软雅黑" w:hAnsi="微软雅黑" w:eastAsia="微软雅黑" w:cs="微软雅黑"/>
                <w:color w:val="auto"/>
                <w:sz w:val="24"/>
                <w:szCs w:val="24"/>
                <w:highlight w:val="none"/>
              </w:rPr>
              <w:t xml:space="preserve"> 价</w:t>
            </w:r>
          </w:p>
        </w:tc>
        <w:tc>
          <w:tcPr>
            <w:tcW w:w="7899" w:type="dxa"/>
            <w:vAlign w:val="top"/>
          </w:tcPr>
          <w:p w14:paraId="4D6A9B32">
            <w:pPr>
              <w:spacing w:before="199" w:line="200" w:lineRule="auto"/>
              <w:ind w:left="121"/>
              <w:rPr>
                <w:rFonts w:hint="default" w:ascii="微软雅黑" w:hAnsi="微软雅黑" w:eastAsia="微软雅黑" w:cs="微软雅黑"/>
                <w:color w:val="auto"/>
                <w:sz w:val="24"/>
                <w:szCs w:val="24"/>
                <w:highlight w:val="none"/>
                <w:lang w:val="en-US" w:eastAsia="zh-CN"/>
              </w:rPr>
            </w:pPr>
            <w:r>
              <w:rPr>
                <w:rFonts w:ascii="Wingdings" w:hAnsi="Wingdings" w:eastAsia="Wingdings" w:cs="Wingdings"/>
                <w:color w:val="auto"/>
                <w:spacing w:val="-2"/>
                <w:sz w:val="24"/>
                <w:szCs w:val="24"/>
                <w:highlight w:val="none"/>
              </w:rPr>
              <w:t>o</w:t>
            </w:r>
            <w:r>
              <w:rPr>
                <w:rFonts w:ascii="微软雅黑" w:hAnsi="微软雅黑" w:eastAsia="微软雅黑" w:cs="微软雅黑"/>
                <w:color w:val="auto"/>
                <w:spacing w:val="-2"/>
                <w:sz w:val="24"/>
                <w:szCs w:val="24"/>
                <w:highlight w:val="none"/>
              </w:rPr>
              <w:t>无</w:t>
            </w:r>
            <w:r>
              <w:rPr>
                <w:rFonts w:ascii="微软雅黑" w:hAnsi="微软雅黑" w:eastAsia="微软雅黑" w:cs="微软雅黑"/>
                <w:color w:val="auto"/>
                <w:spacing w:val="8"/>
                <w:sz w:val="24"/>
                <w:szCs w:val="24"/>
                <w:highlight w:val="none"/>
              </w:rPr>
              <w:t xml:space="preserve">        </w:t>
            </w:r>
            <w:r>
              <w:rPr>
                <w:color w:val="auto"/>
                <w:sz w:val="24"/>
                <w:szCs w:val="24"/>
                <w:highlight w:val="none"/>
              </w:rPr>
              <w:drawing>
                <wp:inline distT="0" distB="0" distL="0" distR="0">
                  <wp:extent cx="122555" cy="117475"/>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53"/>
                          <a:stretch>
                            <a:fillRect/>
                          </a:stretch>
                        </pic:blipFill>
                        <pic:spPr>
                          <a:xfrm>
                            <a:off x="0" y="0"/>
                            <a:ext cx="123139" cy="117805"/>
                          </a:xfrm>
                          <a:prstGeom prst="rect">
                            <a:avLst/>
                          </a:prstGeom>
                        </pic:spPr>
                      </pic:pic>
                    </a:graphicData>
                  </a:graphic>
                </wp:inline>
              </w:drawing>
            </w:r>
            <w:r>
              <w:rPr>
                <w:rFonts w:ascii="微软雅黑" w:hAnsi="微软雅黑" w:eastAsia="微软雅黑" w:cs="微软雅黑"/>
                <w:color w:val="auto"/>
                <w:spacing w:val="-2"/>
                <w:sz w:val="24"/>
                <w:szCs w:val="24"/>
                <w:highlight w:val="none"/>
              </w:rPr>
              <w:t>有，最高磋商限价：</w:t>
            </w:r>
            <w:r>
              <w:rPr>
                <w:rFonts w:ascii="微软雅黑" w:hAnsi="微软雅黑" w:eastAsia="微软雅黑" w:cs="微软雅黑"/>
                <w:b/>
                <w:bCs/>
                <w:color w:val="auto"/>
                <w:spacing w:val="-2"/>
                <w:sz w:val="24"/>
                <w:szCs w:val="24"/>
                <w:highlight w:val="none"/>
                <w:u w:val="single" w:color="auto"/>
              </w:rPr>
              <w:t>本项目预算价</w:t>
            </w:r>
            <w:r>
              <w:rPr>
                <w:rFonts w:hint="eastAsia" w:ascii="微软雅黑" w:hAnsi="微软雅黑" w:eastAsia="微软雅黑" w:cs="微软雅黑"/>
                <w:b/>
                <w:bCs/>
                <w:color w:val="auto"/>
                <w:spacing w:val="-2"/>
                <w:sz w:val="24"/>
                <w:szCs w:val="24"/>
                <w:highlight w:val="none"/>
                <w:u w:val="single" w:color="auto"/>
                <w:lang w:eastAsia="zh-CN"/>
              </w:rPr>
              <w:t>：</w:t>
            </w:r>
            <w:r>
              <w:rPr>
                <w:rFonts w:hint="eastAsia" w:ascii="微软雅黑" w:hAnsi="微软雅黑" w:eastAsia="微软雅黑" w:cs="微软雅黑"/>
                <w:b/>
                <w:bCs/>
                <w:color w:val="auto"/>
                <w:spacing w:val="-2"/>
                <w:sz w:val="24"/>
                <w:szCs w:val="24"/>
                <w:highlight w:val="none"/>
                <w:u w:val="single" w:color="auto"/>
                <w:lang w:val="en-US" w:eastAsia="zh-CN"/>
              </w:rPr>
              <w:t>700000.00元</w:t>
            </w:r>
          </w:p>
        </w:tc>
      </w:tr>
      <w:tr w14:paraId="69D5F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53" w:type="dxa"/>
            <w:vAlign w:val="top"/>
          </w:tcPr>
          <w:p w14:paraId="5A68EA7A">
            <w:pPr>
              <w:pStyle w:val="14"/>
              <w:spacing w:line="315" w:lineRule="auto"/>
              <w:rPr>
                <w:color w:val="auto"/>
                <w:highlight w:val="none"/>
              </w:rPr>
            </w:pPr>
          </w:p>
          <w:p w14:paraId="688E076E">
            <w:pPr>
              <w:spacing w:before="103" w:line="172" w:lineRule="auto"/>
              <w:ind w:left="2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32</w:t>
            </w:r>
          </w:p>
        </w:tc>
        <w:tc>
          <w:tcPr>
            <w:tcW w:w="1646" w:type="dxa"/>
            <w:vAlign w:val="top"/>
          </w:tcPr>
          <w:p w14:paraId="54964EBA">
            <w:pPr>
              <w:spacing w:before="74" w:line="182" w:lineRule="auto"/>
              <w:ind w:left="21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采购代理机</w:t>
            </w:r>
          </w:p>
          <w:p w14:paraId="1897D23F">
            <w:pPr>
              <w:spacing w:before="6" w:line="183" w:lineRule="auto"/>
              <w:ind w:left="21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构内部监督</w:t>
            </w:r>
          </w:p>
          <w:p w14:paraId="6DDD0FD8">
            <w:pPr>
              <w:spacing w:before="5" w:line="166" w:lineRule="auto"/>
              <w:ind w:left="57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部门</w:t>
            </w:r>
          </w:p>
        </w:tc>
        <w:tc>
          <w:tcPr>
            <w:tcW w:w="7899" w:type="dxa"/>
            <w:vAlign w:val="top"/>
          </w:tcPr>
          <w:p w14:paraId="0B835048">
            <w:pPr>
              <w:spacing w:before="233" w:line="183" w:lineRule="auto"/>
              <w:ind w:left="10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监督单位：麦盖提县财政局采购办</w:t>
            </w:r>
          </w:p>
          <w:p w14:paraId="515586E7">
            <w:pPr>
              <w:spacing w:before="6" w:line="183" w:lineRule="auto"/>
              <w:ind w:left="10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监督电话：0998-7846655</w:t>
            </w:r>
          </w:p>
        </w:tc>
      </w:tr>
      <w:tr w14:paraId="4AFB3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753" w:type="dxa"/>
            <w:vAlign w:val="top"/>
          </w:tcPr>
          <w:p w14:paraId="0F8ED604">
            <w:pPr>
              <w:spacing w:before="285" w:line="172" w:lineRule="auto"/>
              <w:ind w:left="2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33</w:t>
            </w:r>
          </w:p>
        </w:tc>
        <w:tc>
          <w:tcPr>
            <w:tcW w:w="1646" w:type="dxa"/>
            <w:vAlign w:val="top"/>
          </w:tcPr>
          <w:p w14:paraId="1A6FC1C2">
            <w:pPr>
              <w:spacing w:before="96" w:line="183" w:lineRule="auto"/>
              <w:ind w:left="337" w:right="220" w:hanging="11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财政部门指</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定的媒体</w:t>
            </w:r>
          </w:p>
        </w:tc>
        <w:tc>
          <w:tcPr>
            <w:tcW w:w="7899" w:type="dxa"/>
            <w:vAlign w:val="top"/>
          </w:tcPr>
          <w:p w14:paraId="7929C33F">
            <w:pPr>
              <w:spacing w:before="213" w:line="209" w:lineRule="auto"/>
              <w:ind w:left="104"/>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 xml:space="preserve">新疆政府采购网 </w:t>
            </w: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rFonts w:ascii="微软雅黑" w:hAnsi="微软雅黑" w:eastAsia="微软雅黑" w:cs="微软雅黑"/>
                <w:color w:val="auto"/>
                <w:sz w:val="24"/>
                <w:szCs w:val="24"/>
                <w:highlight w:val="none"/>
              </w:rPr>
              <w:t>http://www.ccgp</w:t>
            </w:r>
            <w:r>
              <w:rPr>
                <w:rFonts w:ascii="微软雅黑" w:hAnsi="微软雅黑" w:eastAsia="微软雅黑" w:cs="微软雅黑"/>
                <w:color w:val="auto"/>
                <w:spacing w:val="-1"/>
                <w:sz w:val="24"/>
                <w:szCs w:val="24"/>
                <w:highlight w:val="none"/>
              </w:rPr>
              <w:t>-xinjiang.gov.cn</w:t>
            </w:r>
            <w:r>
              <w:rPr>
                <w:rFonts w:ascii="微软雅黑" w:hAnsi="微软雅黑" w:eastAsia="微软雅黑" w:cs="微软雅黑"/>
                <w:color w:val="auto"/>
                <w:spacing w:val="-1"/>
                <w:sz w:val="24"/>
                <w:szCs w:val="24"/>
                <w:highlight w:val="none"/>
              </w:rPr>
              <w:fldChar w:fldCharType="end"/>
            </w:r>
          </w:p>
        </w:tc>
      </w:tr>
      <w:tr w14:paraId="0AF65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753" w:type="dxa"/>
            <w:tcBorders>
              <w:bottom w:val="single" w:color="000000" w:sz="2" w:space="0"/>
            </w:tcBorders>
            <w:vAlign w:val="top"/>
          </w:tcPr>
          <w:p w14:paraId="305967AE">
            <w:pPr>
              <w:pStyle w:val="14"/>
              <w:spacing w:line="249" w:lineRule="auto"/>
              <w:rPr>
                <w:color w:val="auto"/>
                <w:highlight w:val="none"/>
              </w:rPr>
            </w:pPr>
          </w:p>
          <w:p w14:paraId="280DF26C">
            <w:pPr>
              <w:pStyle w:val="14"/>
              <w:spacing w:line="249" w:lineRule="auto"/>
              <w:rPr>
                <w:color w:val="auto"/>
                <w:highlight w:val="none"/>
              </w:rPr>
            </w:pPr>
          </w:p>
          <w:p w14:paraId="63F9FAC3">
            <w:pPr>
              <w:pStyle w:val="14"/>
              <w:spacing w:line="249" w:lineRule="auto"/>
              <w:rPr>
                <w:color w:val="auto"/>
                <w:highlight w:val="none"/>
              </w:rPr>
            </w:pPr>
          </w:p>
          <w:p w14:paraId="05BA8B76">
            <w:pPr>
              <w:spacing w:before="103" w:line="172" w:lineRule="auto"/>
              <w:ind w:left="2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34</w:t>
            </w:r>
          </w:p>
        </w:tc>
        <w:tc>
          <w:tcPr>
            <w:tcW w:w="1646" w:type="dxa"/>
            <w:tcBorders>
              <w:bottom w:val="single" w:color="000000" w:sz="2" w:space="0"/>
            </w:tcBorders>
            <w:vAlign w:val="top"/>
          </w:tcPr>
          <w:p w14:paraId="17EB2E09">
            <w:pPr>
              <w:pStyle w:val="14"/>
              <w:spacing w:line="465" w:lineRule="auto"/>
              <w:rPr>
                <w:color w:val="auto"/>
                <w:highlight w:val="none"/>
              </w:rPr>
            </w:pPr>
          </w:p>
          <w:p w14:paraId="33E49568">
            <w:pPr>
              <w:spacing w:before="103" w:line="287" w:lineRule="auto"/>
              <w:ind w:left="457" w:right="140" w:hanging="314"/>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rPr>
              <w:t>CA 办理及技</w:t>
            </w:r>
            <w:r>
              <w:rPr>
                <w:rFonts w:ascii="微软雅黑" w:hAnsi="微软雅黑" w:eastAsia="微软雅黑" w:cs="微软雅黑"/>
                <w:b/>
                <w:bCs/>
                <w:color w:val="auto"/>
                <w:spacing w:val="5"/>
                <w:sz w:val="24"/>
                <w:szCs w:val="24"/>
                <w:highlight w:val="none"/>
              </w:rPr>
              <w:t xml:space="preserve"> </w:t>
            </w:r>
            <w:r>
              <w:rPr>
                <w:rFonts w:ascii="微软雅黑" w:hAnsi="微软雅黑" w:eastAsia="微软雅黑" w:cs="微软雅黑"/>
                <w:b/>
                <w:bCs/>
                <w:color w:val="auto"/>
                <w:spacing w:val="-1"/>
                <w:sz w:val="24"/>
                <w:szCs w:val="24"/>
                <w:highlight w:val="none"/>
              </w:rPr>
              <w:t>术支持</w:t>
            </w:r>
          </w:p>
        </w:tc>
        <w:tc>
          <w:tcPr>
            <w:tcW w:w="7899" w:type="dxa"/>
            <w:tcBorders>
              <w:bottom w:val="single" w:color="000000" w:sz="2" w:space="0"/>
            </w:tcBorders>
            <w:vAlign w:val="top"/>
          </w:tcPr>
          <w:p w14:paraId="285002EB">
            <w:pPr>
              <w:pStyle w:val="14"/>
              <w:spacing w:line="317" w:lineRule="auto"/>
              <w:rPr>
                <w:color w:val="auto"/>
                <w:highlight w:val="none"/>
              </w:rPr>
            </w:pPr>
          </w:p>
          <w:p w14:paraId="33F62AE2">
            <w:pPr>
              <w:spacing w:before="103" w:line="184" w:lineRule="auto"/>
              <w:ind w:left="112"/>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CA 服务电话：0991-2819290</w:t>
            </w:r>
          </w:p>
          <w:p w14:paraId="246104D5">
            <w:pPr>
              <w:spacing w:before="100" w:line="226" w:lineRule="auto"/>
              <w:ind w:left="120" w:right="146" w:hanging="8"/>
              <w:jc w:val="left"/>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CA</w:t>
            </w:r>
            <w:r>
              <w:rPr>
                <w:rFonts w:ascii="微软雅黑" w:hAnsi="微软雅黑" w:eastAsia="微软雅黑" w:cs="微软雅黑"/>
                <w:color w:val="auto"/>
                <w:spacing w:val="2"/>
                <w:sz w:val="24"/>
                <w:szCs w:val="24"/>
                <w:highlight w:val="none"/>
              </w:rPr>
              <w:t xml:space="preserve"> </w:t>
            </w:r>
            <w:r>
              <w:rPr>
                <w:rFonts w:ascii="微软雅黑" w:hAnsi="微软雅黑" w:eastAsia="微软雅黑" w:cs="微软雅黑"/>
                <w:color w:val="auto"/>
                <w:spacing w:val="-5"/>
                <w:sz w:val="24"/>
                <w:szCs w:val="24"/>
                <w:highlight w:val="none"/>
              </w:rPr>
              <w:t>申领地址：</w:t>
            </w:r>
            <w:r>
              <w:rPr>
                <w:rFonts w:ascii="微软雅黑" w:hAnsi="微软雅黑" w:eastAsia="微软雅黑" w:cs="微软雅黑"/>
                <w:color w:val="auto"/>
                <w:spacing w:val="11"/>
                <w:sz w:val="24"/>
                <w:szCs w:val="24"/>
                <w:highlight w:val="none"/>
              </w:rPr>
              <w:t xml:space="preserve"> </w:t>
            </w:r>
            <w:r>
              <w:rPr>
                <w:color w:val="auto"/>
                <w:highlight w:val="none"/>
              </w:rPr>
              <w:fldChar w:fldCharType="begin"/>
            </w:r>
            <w:r>
              <w:rPr>
                <w:color w:val="auto"/>
                <w:highlight w:val="none"/>
              </w:rPr>
              <w:instrText xml:space="preserve"> HYPERLINK "https://www.xjca.com.cn/article/content/201802/582/1.html" </w:instrText>
            </w:r>
            <w:r>
              <w:rPr>
                <w:color w:val="auto"/>
                <w:highlight w:val="none"/>
              </w:rPr>
              <w:fldChar w:fldCharType="separate"/>
            </w:r>
            <w:r>
              <w:rPr>
                <w:rFonts w:ascii="微软雅黑" w:hAnsi="微软雅黑" w:eastAsia="微软雅黑" w:cs="微软雅黑"/>
                <w:color w:val="auto"/>
                <w:sz w:val="24"/>
                <w:szCs w:val="24"/>
                <w:highlight w:val="none"/>
              </w:rPr>
              <w:t>https://www.xjca.com.cn/article/con</w:t>
            </w:r>
            <w:r>
              <w:rPr>
                <w:rFonts w:ascii="微软雅黑" w:hAnsi="微软雅黑" w:eastAsia="微软雅黑" w:cs="微软雅黑"/>
                <w:color w:val="auto"/>
                <w:spacing w:val="-1"/>
                <w:sz w:val="24"/>
                <w:szCs w:val="24"/>
                <w:highlight w:val="none"/>
              </w:rPr>
              <w:t>tent/201802/582/1.html</w:t>
            </w:r>
            <w:r>
              <w:rPr>
                <w:rFonts w:ascii="微软雅黑" w:hAnsi="微软雅黑" w:eastAsia="微软雅黑" w:cs="微软雅黑"/>
                <w:color w:val="auto"/>
                <w:spacing w:val="-1"/>
                <w:sz w:val="24"/>
                <w:szCs w:val="24"/>
                <w:highlight w:val="none"/>
              </w:rPr>
              <w:fldChar w:fldCharType="end"/>
            </w:r>
          </w:p>
        </w:tc>
      </w:tr>
      <w:tr w14:paraId="03E28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9" w:hRule="atLeast"/>
        </w:trPr>
        <w:tc>
          <w:tcPr>
            <w:tcW w:w="753" w:type="dxa"/>
            <w:tcBorders>
              <w:top w:val="single" w:color="000000" w:sz="2" w:space="0"/>
            </w:tcBorders>
            <w:vAlign w:val="top"/>
          </w:tcPr>
          <w:p w14:paraId="0C27AFE6">
            <w:pPr>
              <w:pStyle w:val="14"/>
              <w:spacing w:line="285" w:lineRule="auto"/>
              <w:rPr>
                <w:color w:val="auto"/>
                <w:highlight w:val="none"/>
              </w:rPr>
            </w:pPr>
          </w:p>
          <w:p w14:paraId="01D49337">
            <w:pPr>
              <w:pStyle w:val="14"/>
              <w:spacing w:line="285" w:lineRule="auto"/>
              <w:rPr>
                <w:color w:val="auto"/>
                <w:highlight w:val="none"/>
              </w:rPr>
            </w:pPr>
          </w:p>
          <w:p w14:paraId="72D7C7FC">
            <w:pPr>
              <w:pStyle w:val="14"/>
              <w:spacing w:line="285" w:lineRule="auto"/>
              <w:rPr>
                <w:color w:val="auto"/>
                <w:highlight w:val="none"/>
              </w:rPr>
            </w:pPr>
          </w:p>
          <w:p w14:paraId="149C1E65">
            <w:pPr>
              <w:pStyle w:val="14"/>
              <w:spacing w:line="285" w:lineRule="auto"/>
              <w:rPr>
                <w:color w:val="auto"/>
                <w:highlight w:val="none"/>
              </w:rPr>
            </w:pPr>
          </w:p>
          <w:p w14:paraId="242757C3">
            <w:pPr>
              <w:pStyle w:val="14"/>
              <w:spacing w:line="286" w:lineRule="auto"/>
              <w:rPr>
                <w:color w:val="auto"/>
                <w:highlight w:val="none"/>
              </w:rPr>
            </w:pPr>
          </w:p>
          <w:p w14:paraId="2833E65A">
            <w:pPr>
              <w:spacing w:before="103" w:line="172" w:lineRule="auto"/>
              <w:ind w:left="2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35</w:t>
            </w:r>
          </w:p>
        </w:tc>
        <w:tc>
          <w:tcPr>
            <w:tcW w:w="1646" w:type="dxa"/>
            <w:tcBorders>
              <w:top w:val="single" w:color="000000" w:sz="2" w:space="0"/>
            </w:tcBorders>
            <w:vAlign w:val="top"/>
          </w:tcPr>
          <w:p w14:paraId="505253AC">
            <w:pPr>
              <w:pStyle w:val="14"/>
              <w:spacing w:line="284" w:lineRule="auto"/>
              <w:rPr>
                <w:color w:val="auto"/>
                <w:highlight w:val="none"/>
              </w:rPr>
            </w:pPr>
          </w:p>
          <w:p w14:paraId="2422B280">
            <w:pPr>
              <w:pStyle w:val="14"/>
              <w:spacing w:line="284" w:lineRule="auto"/>
              <w:rPr>
                <w:color w:val="auto"/>
                <w:highlight w:val="none"/>
              </w:rPr>
            </w:pPr>
          </w:p>
          <w:p w14:paraId="4963E99A">
            <w:pPr>
              <w:pStyle w:val="14"/>
              <w:spacing w:line="284" w:lineRule="auto"/>
              <w:rPr>
                <w:color w:val="auto"/>
                <w:highlight w:val="none"/>
              </w:rPr>
            </w:pPr>
          </w:p>
          <w:p w14:paraId="5F34FB78">
            <w:pPr>
              <w:pStyle w:val="14"/>
              <w:spacing w:line="285" w:lineRule="auto"/>
              <w:rPr>
                <w:color w:val="auto"/>
                <w:highlight w:val="none"/>
              </w:rPr>
            </w:pPr>
          </w:p>
          <w:p w14:paraId="005028A2">
            <w:pPr>
              <w:pStyle w:val="14"/>
              <w:spacing w:line="285" w:lineRule="auto"/>
              <w:rPr>
                <w:color w:val="auto"/>
                <w:highlight w:val="none"/>
              </w:rPr>
            </w:pPr>
          </w:p>
          <w:p w14:paraId="220AC793">
            <w:pPr>
              <w:spacing w:before="103" w:line="183" w:lineRule="auto"/>
              <w:ind w:left="21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最终解释权</w:t>
            </w:r>
          </w:p>
        </w:tc>
        <w:tc>
          <w:tcPr>
            <w:tcW w:w="7899" w:type="dxa"/>
            <w:tcBorders>
              <w:top w:val="single" w:color="000000" w:sz="2" w:space="0"/>
            </w:tcBorders>
            <w:vAlign w:val="top"/>
          </w:tcPr>
          <w:p w14:paraId="69651FCC">
            <w:pPr>
              <w:spacing w:before="331" w:line="233" w:lineRule="auto"/>
              <w:ind w:left="104" w:right="29"/>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构成本谈判文件的各个组成文件应互为解释，互为说明；如有</w:t>
            </w:r>
            <w:r>
              <w:rPr>
                <w:rFonts w:ascii="微软雅黑" w:hAnsi="微软雅黑" w:eastAsia="微软雅黑" w:cs="微软雅黑"/>
                <w:color w:val="auto"/>
                <w:spacing w:val="-1"/>
                <w:sz w:val="24"/>
                <w:szCs w:val="24"/>
                <w:highlight w:val="none"/>
              </w:rPr>
              <w:t>不明确或不</w:t>
            </w:r>
            <w:r>
              <w:rPr>
                <w:rFonts w:ascii="微软雅黑" w:hAnsi="微软雅黑" w:eastAsia="微软雅黑" w:cs="微软雅黑"/>
                <w:color w:val="auto"/>
                <w:sz w:val="24"/>
                <w:szCs w:val="24"/>
                <w:highlight w:val="none"/>
              </w:rPr>
              <w:t xml:space="preserve">  一致，构成合同文件组成内容，以合同文件约定内容为准，且</w:t>
            </w:r>
            <w:r>
              <w:rPr>
                <w:rFonts w:ascii="微软雅黑" w:hAnsi="微软雅黑" w:eastAsia="微软雅黑" w:cs="微软雅黑"/>
                <w:color w:val="auto"/>
                <w:spacing w:val="-1"/>
                <w:sz w:val="24"/>
                <w:szCs w:val="24"/>
                <w:highlight w:val="none"/>
              </w:rPr>
              <w:t>以专用合同</w:t>
            </w:r>
            <w:r>
              <w:rPr>
                <w:rFonts w:ascii="微软雅黑" w:hAnsi="微软雅黑" w:eastAsia="微软雅黑" w:cs="微软雅黑"/>
                <w:color w:val="auto"/>
                <w:sz w:val="24"/>
                <w:szCs w:val="24"/>
                <w:highlight w:val="none"/>
              </w:rPr>
              <w:t xml:space="preserve">  条款约定的合同文件优先顺序解释；除谈判文件中有特别规定</w:t>
            </w:r>
            <w:r>
              <w:rPr>
                <w:rFonts w:ascii="微软雅黑" w:hAnsi="微软雅黑" w:eastAsia="微软雅黑" w:cs="微软雅黑"/>
                <w:color w:val="auto"/>
                <w:spacing w:val="-1"/>
                <w:sz w:val="24"/>
                <w:szCs w:val="24"/>
                <w:highlight w:val="none"/>
              </w:rPr>
              <w:t>外，仅适用</w:t>
            </w:r>
            <w:r>
              <w:rPr>
                <w:rFonts w:ascii="微软雅黑" w:hAnsi="微软雅黑" w:eastAsia="微软雅黑" w:cs="微软雅黑"/>
                <w:color w:val="auto"/>
                <w:sz w:val="24"/>
                <w:szCs w:val="24"/>
                <w:highlight w:val="none"/>
              </w:rPr>
              <w:t xml:space="preserve">  于招标磋商阶段的规定，按招标公告、磋商人须知、评标办法</w:t>
            </w:r>
            <w:r>
              <w:rPr>
                <w:rFonts w:ascii="微软雅黑" w:hAnsi="微软雅黑" w:eastAsia="微软雅黑" w:cs="微软雅黑"/>
                <w:color w:val="auto"/>
                <w:spacing w:val="-1"/>
                <w:sz w:val="24"/>
                <w:szCs w:val="24"/>
                <w:highlight w:val="none"/>
              </w:rPr>
              <w:t>、磋商文件</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5"/>
                <w:sz w:val="24"/>
                <w:szCs w:val="24"/>
                <w:highlight w:val="none"/>
              </w:rPr>
              <w:t>格式的先后顺序解释；同一组成文件中就同一事项的规定或约定不一致的，</w:t>
            </w:r>
            <w:r>
              <w:rPr>
                <w:rFonts w:ascii="微软雅黑" w:hAnsi="微软雅黑" w:eastAsia="微软雅黑" w:cs="微软雅黑"/>
                <w:color w:val="auto"/>
                <w:sz w:val="24"/>
                <w:szCs w:val="24"/>
                <w:highlight w:val="none"/>
              </w:rPr>
              <w:t xml:space="preserve"> 以编排顺序在后者为准；同一组成文件不同版本之间有不一致</w:t>
            </w:r>
            <w:r>
              <w:rPr>
                <w:rFonts w:ascii="微软雅黑" w:hAnsi="微软雅黑" w:eastAsia="微软雅黑" w:cs="微软雅黑"/>
                <w:color w:val="auto"/>
                <w:spacing w:val="-1"/>
                <w:sz w:val="24"/>
                <w:szCs w:val="24"/>
                <w:highlight w:val="none"/>
              </w:rPr>
              <w:t>的，以形成</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时间在后者为准。按本款前述规定仍不形成结论的，由</w:t>
            </w:r>
            <w:r>
              <w:rPr>
                <w:rFonts w:ascii="微软雅黑" w:hAnsi="微软雅黑" w:eastAsia="微软雅黑" w:cs="微软雅黑"/>
                <w:b/>
                <w:bCs/>
                <w:color w:val="auto"/>
                <w:spacing w:val="-2"/>
                <w:sz w:val="24"/>
                <w:szCs w:val="24"/>
                <w:highlight w:val="none"/>
              </w:rPr>
              <w:t>采购人</w:t>
            </w:r>
            <w:r>
              <w:rPr>
                <w:rFonts w:ascii="微软雅黑" w:hAnsi="微软雅黑" w:eastAsia="微软雅黑" w:cs="微软雅黑"/>
                <w:color w:val="auto"/>
                <w:spacing w:val="-2"/>
                <w:sz w:val="24"/>
                <w:szCs w:val="24"/>
                <w:highlight w:val="none"/>
              </w:rPr>
              <w:t>负责解释。</w:t>
            </w:r>
          </w:p>
        </w:tc>
      </w:tr>
      <w:tr w14:paraId="04549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1" w:hRule="atLeast"/>
        </w:trPr>
        <w:tc>
          <w:tcPr>
            <w:tcW w:w="753" w:type="dxa"/>
            <w:vAlign w:val="top"/>
          </w:tcPr>
          <w:p w14:paraId="725FB38C">
            <w:pPr>
              <w:pStyle w:val="14"/>
              <w:spacing w:line="248" w:lineRule="auto"/>
              <w:rPr>
                <w:color w:val="auto"/>
                <w:highlight w:val="none"/>
              </w:rPr>
            </w:pPr>
          </w:p>
          <w:p w14:paraId="54F4258D">
            <w:pPr>
              <w:pStyle w:val="14"/>
              <w:spacing w:line="248" w:lineRule="auto"/>
              <w:rPr>
                <w:color w:val="auto"/>
                <w:highlight w:val="none"/>
              </w:rPr>
            </w:pPr>
          </w:p>
          <w:p w14:paraId="6249BE0E">
            <w:pPr>
              <w:pStyle w:val="14"/>
              <w:spacing w:line="248" w:lineRule="auto"/>
              <w:rPr>
                <w:color w:val="auto"/>
                <w:highlight w:val="none"/>
              </w:rPr>
            </w:pPr>
          </w:p>
          <w:p w14:paraId="5959F97C">
            <w:pPr>
              <w:pStyle w:val="14"/>
              <w:spacing w:line="248" w:lineRule="auto"/>
              <w:rPr>
                <w:color w:val="auto"/>
                <w:highlight w:val="none"/>
              </w:rPr>
            </w:pPr>
          </w:p>
          <w:p w14:paraId="4A4EEBC2">
            <w:pPr>
              <w:pStyle w:val="14"/>
              <w:spacing w:line="248" w:lineRule="auto"/>
              <w:rPr>
                <w:color w:val="auto"/>
                <w:highlight w:val="none"/>
              </w:rPr>
            </w:pPr>
          </w:p>
          <w:p w14:paraId="5EFBCD12">
            <w:pPr>
              <w:pStyle w:val="14"/>
              <w:spacing w:line="248" w:lineRule="auto"/>
              <w:rPr>
                <w:color w:val="auto"/>
                <w:highlight w:val="none"/>
              </w:rPr>
            </w:pPr>
          </w:p>
          <w:p w14:paraId="1C95979E">
            <w:pPr>
              <w:pStyle w:val="14"/>
              <w:spacing w:line="248" w:lineRule="auto"/>
              <w:rPr>
                <w:color w:val="auto"/>
                <w:highlight w:val="none"/>
              </w:rPr>
            </w:pPr>
          </w:p>
          <w:p w14:paraId="1E525C23">
            <w:pPr>
              <w:pStyle w:val="14"/>
              <w:spacing w:line="249" w:lineRule="auto"/>
              <w:rPr>
                <w:color w:val="auto"/>
                <w:highlight w:val="none"/>
              </w:rPr>
            </w:pPr>
          </w:p>
          <w:p w14:paraId="6D1563D1">
            <w:pPr>
              <w:pStyle w:val="14"/>
              <w:spacing w:line="249" w:lineRule="auto"/>
              <w:rPr>
                <w:color w:val="auto"/>
                <w:highlight w:val="none"/>
              </w:rPr>
            </w:pPr>
          </w:p>
          <w:p w14:paraId="0EDBB6E8">
            <w:pPr>
              <w:pStyle w:val="14"/>
              <w:spacing w:line="249" w:lineRule="auto"/>
              <w:rPr>
                <w:color w:val="auto"/>
                <w:highlight w:val="none"/>
              </w:rPr>
            </w:pPr>
          </w:p>
          <w:p w14:paraId="51D0AF2C">
            <w:pPr>
              <w:pStyle w:val="14"/>
              <w:spacing w:line="249" w:lineRule="auto"/>
              <w:rPr>
                <w:color w:val="auto"/>
                <w:highlight w:val="none"/>
              </w:rPr>
            </w:pPr>
          </w:p>
          <w:p w14:paraId="7620749B">
            <w:pPr>
              <w:pStyle w:val="14"/>
              <w:spacing w:line="249" w:lineRule="auto"/>
              <w:rPr>
                <w:color w:val="auto"/>
                <w:highlight w:val="none"/>
              </w:rPr>
            </w:pPr>
          </w:p>
          <w:p w14:paraId="2D1DE5D5">
            <w:pPr>
              <w:pStyle w:val="14"/>
              <w:spacing w:line="249" w:lineRule="auto"/>
              <w:rPr>
                <w:color w:val="auto"/>
                <w:highlight w:val="none"/>
              </w:rPr>
            </w:pPr>
          </w:p>
          <w:p w14:paraId="0E1A86AA">
            <w:pPr>
              <w:pStyle w:val="14"/>
              <w:spacing w:line="249" w:lineRule="auto"/>
              <w:rPr>
                <w:color w:val="auto"/>
                <w:highlight w:val="none"/>
              </w:rPr>
            </w:pPr>
          </w:p>
          <w:p w14:paraId="44E37533">
            <w:pPr>
              <w:pStyle w:val="14"/>
              <w:spacing w:line="249" w:lineRule="auto"/>
              <w:rPr>
                <w:color w:val="auto"/>
                <w:highlight w:val="none"/>
              </w:rPr>
            </w:pPr>
          </w:p>
          <w:p w14:paraId="0AF6B59A">
            <w:pPr>
              <w:pStyle w:val="14"/>
              <w:spacing w:line="249" w:lineRule="auto"/>
              <w:rPr>
                <w:color w:val="auto"/>
                <w:highlight w:val="none"/>
              </w:rPr>
            </w:pPr>
          </w:p>
          <w:p w14:paraId="08517BB5">
            <w:pPr>
              <w:pStyle w:val="14"/>
              <w:spacing w:line="249" w:lineRule="auto"/>
              <w:rPr>
                <w:color w:val="auto"/>
                <w:highlight w:val="none"/>
              </w:rPr>
            </w:pPr>
          </w:p>
          <w:p w14:paraId="59577A6B">
            <w:pPr>
              <w:pStyle w:val="14"/>
              <w:spacing w:line="249" w:lineRule="auto"/>
              <w:rPr>
                <w:color w:val="auto"/>
                <w:highlight w:val="none"/>
              </w:rPr>
            </w:pPr>
          </w:p>
          <w:p w14:paraId="65F7E7D5">
            <w:pPr>
              <w:pStyle w:val="14"/>
              <w:spacing w:line="249" w:lineRule="auto"/>
              <w:rPr>
                <w:color w:val="auto"/>
                <w:highlight w:val="none"/>
              </w:rPr>
            </w:pPr>
          </w:p>
          <w:p w14:paraId="53FC139A">
            <w:pPr>
              <w:pStyle w:val="14"/>
              <w:spacing w:line="249" w:lineRule="auto"/>
              <w:rPr>
                <w:color w:val="auto"/>
                <w:highlight w:val="none"/>
              </w:rPr>
            </w:pPr>
          </w:p>
          <w:p w14:paraId="29BE3FB5">
            <w:pPr>
              <w:pStyle w:val="14"/>
              <w:spacing w:line="249" w:lineRule="auto"/>
              <w:rPr>
                <w:color w:val="auto"/>
                <w:highlight w:val="none"/>
              </w:rPr>
            </w:pPr>
          </w:p>
          <w:p w14:paraId="756CD32E">
            <w:pPr>
              <w:pStyle w:val="14"/>
              <w:spacing w:line="249" w:lineRule="auto"/>
              <w:rPr>
                <w:color w:val="auto"/>
                <w:highlight w:val="none"/>
              </w:rPr>
            </w:pPr>
          </w:p>
          <w:p w14:paraId="0E771D73">
            <w:pPr>
              <w:pStyle w:val="14"/>
              <w:spacing w:line="249" w:lineRule="auto"/>
              <w:rPr>
                <w:color w:val="auto"/>
                <w:highlight w:val="none"/>
              </w:rPr>
            </w:pPr>
          </w:p>
          <w:p w14:paraId="6DA39BDB">
            <w:pPr>
              <w:pStyle w:val="14"/>
              <w:spacing w:line="249" w:lineRule="auto"/>
              <w:rPr>
                <w:color w:val="auto"/>
                <w:highlight w:val="none"/>
              </w:rPr>
            </w:pPr>
          </w:p>
          <w:p w14:paraId="36C57AA6">
            <w:pPr>
              <w:pStyle w:val="14"/>
              <w:spacing w:line="249" w:lineRule="auto"/>
              <w:rPr>
                <w:color w:val="auto"/>
                <w:highlight w:val="none"/>
              </w:rPr>
            </w:pPr>
          </w:p>
          <w:p w14:paraId="2BD11E87">
            <w:pPr>
              <w:pStyle w:val="14"/>
              <w:spacing w:line="249" w:lineRule="auto"/>
              <w:rPr>
                <w:color w:val="auto"/>
                <w:highlight w:val="none"/>
              </w:rPr>
            </w:pPr>
          </w:p>
          <w:p w14:paraId="6B9D31C6">
            <w:pPr>
              <w:pStyle w:val="14"/>
              <w:spacing w:line="249" w:lineRule="auto"/>
              <w:rPr>
                <w:color w:val="auto"/>
                <w:highlight w:val="none"/>
              </w:rPr>
            </w:pPr>
          </w:p>
          <w:p w14:paraId="5C6DAF76">
            <w:pPr>
              <w:spacing w:before="103" w:line="172" w:lineRule="auto"/>
              <w:ind w:left="24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36</w:t>
            </w:r>
          </w:p>
        </w:tc>
        <w:tc>
          <w:tcPr>
            <w:tcW w:w="1646" w:type="dxa"/>
            <w:vAlign w:val="top"/>
          </w:tcPr>
          <w:p w14:paraId="7A809388">
            <w:pPr>
              <w:pStyle w:val="14"/>
              <w:spacing w:line="246" w:lineRule="auto"/>
              <w:rPr>
                <w:color w:val="auto"/>
                <w:highlight w:val="none"/>
              </w:rPr>
            </w:pPr>
          </w:p>
          <w:p w14:paraId="4C56D9B6">
            <w:pPr>
              <w:pStyle w:val="14"/>
              <w:spacing w:line="246" w:lineRule="auto"/>
              <w:rPr>
                <w:color w:val="auto"/>
                <w:highlight w:val="none"/>
              </w:rPr>
            </w:pPr>
          </w:p>
          <w:p w14:paraId="1DD32D80">
            <w:pPr>
              <w:pStyle w:val="14"/>
              <w:spacing w:line="246" w:lineRule="auto"/>
              <w:rPr>
                <w:color w:val="auto"/>
                <w:highlight w:val="none"/>
              </w:rPr>
            </w:pPr>
          </w:p>
          <w:p w14:paraId="477FBE8A">
            <w:pPr>
              <w:pStyle w:val="14"/>
              <w:spacing w:line="246" w:lineRule="auto"/>
              <w:rPr>
                <w:color w:val="auto"/>
                <w:highlight w:val="none"/>
              </w:rPr>
            </w:pPr>
          </w:p>
          <w:p w14:paraId="1AA65131">
            <w:pPr>
              <w:pStyle w:val="14"/>
              <w:spacing w:line="246" w:lineRule="auto"/>
              <w:rPr>
                <w:color w:val="auto"/>
                <w:highlight w:val="none"/>
              </w:rPr>
            </w:pPr>
          </w:p>
          <w:p w14:paraId="72C900C9">
            <w:pPr>
              <w:pStyle w:val="14"/>
              <w:spacing w:line="246" w:lineRule="auto"/>
              <w:rPr>
                <w:color w:val="auto"/>
                <w:highlight w:val="none"/>
              </w:rPr>
            </w:pPr>
          </w:p>
          <w:p w14:paraId="3521C30F">
            <w:pPr>
              <w:pStyle w:val="14"/>
              <w:spacing w:line="246" w:lineRule="auto"/>
              <w:rPr>
                <w:color w:val="auto"/>
                <w:highlight w:val="none"/>
              </w:rPr>
            </w:pPr>
          </w:p>
          <w:p w14:paraId="4A2F291F">
            <w:pPr>
              <w:pStyle w:val="14"/>
              <w:spacing w:line="246" w:lineRule="auto"/>
              <w:rPr>
                <w:color w:val="auto"/>
                <w:highlight w:val="none"/>
              </w:rPr>
            </w:pPr>
          </w:p>
          <w:p w14:paraId="0950F222">
            <w:pPr>
              <w:pStyle w:val="14"/>
              <w:spacing w:line="246" w:lineRule="auto"/>
              <w:rPr>
                <w:color w:val="auto"/>
                <w:highlight w:val="none"/>
              </w:rPr>
            </w:pPr>
          </w:p>
          <w:p w14:paraId="65CF2301">
            <w:pPr>
              <w:pStyle w:val="14"/>
              <w:spacing w:line="247" w:lineRule="auto"/>
              <w:rPr>
                <w:color w:val="auto"/>
                <w:highlight w:val="none"/>
              </w:rPr>
            </w:pPr>
          </w:p>
          <w:p w14:paraId="292892A5">
            <w:pPr>
              <w:pStyle w:val="14"/>
              <w:spacing w:line="247" w:lineRule="auto"/>
              <w:rPr>
                <w:color w:val="auto"/>
                <w:highlight w:val="none"/>
              </w:rPr>
            </w:pPr>
          </w:p>
          <w:p w14:paraId="704C5052">
            <w:pPr>
              <w:pStyle w:val="14"/>
              <w:spacing w:line="247" w:lineRule="auto"/>
              <w:rPr>
                <w:color w:val="auto"/>
                <w:highlight w:val="none"/>
              </w:rPr>
            </w:pPr>
          </w:p>
          <w:p w14:paraId="62E42F7A">
            <w:pPr>
              <w:pStyle w:val="14"/>
              <w:spacing w:line="247" w:lineRule="auto"/>
              <w:rPr>
                <w:color w:val="auto"/>
                <w:highlight w:val="none"/>
              </w:rPr>
            </w:pPr>
          </w:p>
          <w:p w14:paraId="1ECCD21E">
            <w:pPr>
              <w:pStyle w:val="14"/>
              <w:spacing w:line="247" w:lineRule="auto"/>
              <w:rPr>
                <w:color w:val="auto"/>
                <w:highlight w:val="none"/>
              </w:rPr>
            </w:pPr>
          </w:p>
          <w:p w14:paraId="4AD60B25">
            <w:pPr>
              <w:pStyle w:val="14"/>
              <w:spacing w:line="247" w:lineRule="auto"/>
              <w:rPr>
                <w:color w:val="auto"/>
                <w:highlight w:val="none"/>
              </w:rPr>
            </w:pPr>
          </w:p>
          <w:p w14:paraId="0C38F971">
            <w:pPr>
              <w:pStyle w:val="14"/>
              <w:spacing w:line="247" w:lineRule="auto"/>
              <w:rPr>
                <w:color w:val="auto"/>
                <w:highlight w:val="none"/>
              </w:rPr>
            </w:pPr>
          </w:p>
          <w:p w14:paraId="57A40FDF">
            <w:pPr>
              <w:pStyle w:val="14"/>
              <w:spacing w:line="247" w:lineRule="auto"/>
              <w:rPr>
                <w:color w:val="auto"/>
                <w:highlight w:val="none"/>
              </w:rPr>
            </w:pPr>
          </w:p>
          <w:p w14:paraId="66728D01">
            <w:pPr>
              <w:pStyle w:val="14"/>
              <w:spacing w:line="247" w:lineRule="auto"/>
              <w:rPr>
                <w:color w:val="auto"/>
                <w:highlight w:val="none"/>
              </w:rPr>
            </w:pPr>
          </w:p>
          <w:p w14:paraId="112511D4">
            <w:pPr>
              <w:pStyle w:val="14"/>
              <w:spacing w:line="247" w:lineRule="auto"/>
              <w:rPr>
                <w:color w:val="auto"/>
                <w:highlight w:val="none"/>
              </w:rPr>
            </w:pPr>
          </w:p>
          <w:p w14:paraId="3B0EE54F">
            <w:pPr>
              <w:pStyle w:val="14"/>
              <w:spacing w:line="247" w:lineRule="auto"/>
              <w:rPr>
                <w:color w:val="auto"/>
                <w:highlight w:val="none"/>
              </w:rPr>
            </w:pPr>
          </w:p>
          <w:p w14:paraId="71164AA1">
            <w:pPr>
              <w:pStyle w:val="14"/>
              <w:spacing w:line="247" w:lineRule="auto"/>
              <w:rPr>
                <w:color w:val="auto"/>
                <w:highlight w:val="none"/>
              </w:rPr>
            </w:pPr>
          </w:p>
          <w:p w14:paraId="1AD0D6A2">
            <w:pPr>
              <w:pStyle w:val="14"/>
              <w:spacing w:line="247" w:lineRule="auto"/>
              <w:rPr>
                <w:color w:val="auto"/>
                <w:highlight w:val="none"/>
              </w:rPr>
            </w:pPr>
          </w:p>
          <w:p w14:paraId="64083392">
            <w:pPr>
              <w:pStyle w:val="14"/>
              <w:spacing w:line="247" w:lineRule="auto"/>
              <w:rPr>
                <w:color w:val="auto"/>
                <w:highlight w:val="none"/>
              </w:rPr>
            </w:pPr>
          </w:p>
          <w:p w14:paraId="2D20B1AB">
            <w:pPr>
              <w:pStyle w:val="14"/>
              <w:spacing w:line="247" w:lineRule="auto"/>
              <w:rPr>
                <w:color w:val="auto"/>
                <w:highlight w:val="none"/>
              </w:rPr>
            </w:pPr>
          </w:p>
          <w:p w14:paraId="6F0F1678">
            <w:pPr>
              <w:spacing w:before="103" w:line="182" w:lineRule="auto"/>
              <w:ind w:left="22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关于政采云</w:t>
            </w:r>
          </w:p>
          <w:p w14:paraId="321A8725">
            <w:pPr>
              <w:spacing w:before="84" w:line="184" w:lineRule="auto"/>
              <w:ind w:left="22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平台线上磋</w:t>
            </w:r>
          </w:p>
          <w:p w14:paraId="1EBFCC56">
            <w:pPr>
              <w:spacing w:before="84" w:line="184" w:lineRule="auto"/>
              <w:ind w:left="22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商的注意事</w:t>
            </w:r>
          </w:p>
          <w:p w14:paraId="33584004">
            <w:pPr>
              <w:spacing w:before="101" w:line="174" w:lineRule="auto"/>
              <w:ind w:left="696"/>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项</w:t>
            </w:r>
          </w:p>
        </w:tc>
        <w:tc>
          <w:tcPr>
            <w:tcW w:w="7899" w:type="dxa"/>
            <w:vAlign w:val="top"/>
          </w:tcPr>
          <w:p w14:paraId="7D9D6786">
            <w:pPr>
              <w:spacing w:before="117" w:line="223" w:lineRule="auto"/>
              <w:ind w:left="104" w:right="101" w:firstLine="2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1、磋商文件解密时间：磋商文件解密时间 30 分钟，开标前需投标单位用</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CA 证书登录政采云平台开标大厅签到，在</w:t>
            </w:r>
            <w:r>
              <w:rPr>
                <w:rFonts w:ascii="微软雅黑" w:hAnsi="微软雅黑" w:eastAsia="微软雅黑" w:cs="微软雅黑"/>
                <w:color w:val="auto"/>
                <w:spacing w:val="-3"/>
                <w:sz w:val="24"/>
                <w:szCs w:val="24"/>
                <w:highlight w:val="none"/>
              </w:rPr>
              <w:t xml:space="preserve"> 30 分钟解密时间内输入 CA 证</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书 PIN 码解密磋商文件。在 30 分钟解密时间</w:t>
            </w:r>
            <w:r>
              <w:rPr>
                <w:rFonts w:ascii="微软雅黑" w:hAnsi="微软雅黑" w:eastAsia="微软雅黑" w:cs="微软雅黑"/>
                <w:color w:val="auto"/>
                <w:spacing w:val="-2"/>
                <w:sz w:val="24"/>
                <w:szCs w:val="24"/>
                <w:highlight w:val="none"/>
              </w:rPr>
              <w:t>内未进行解密的投标单位将</w:t>
            </w:r>
            <w:r>
              <w:rPr>
                <w:rFonts w:ascii="微软雅黑" w:hAnsi="微软雅黑" w:eastAsia="微软雅黑" w:cs="微软雅黑"/>
                <w:color w:val="auto"/>
                <w:sz w:val="24"/>
                <w:szCs w:val="24"/>
                <w:highlight w:val="none"/>
              </w:rPr>
              <w:t xml:space="preserve"> 导致废标。</w:t>
            </w:r>
            <w:r>
              <w:rPr>
                <w:rFonts w:hint="eastAsia" w:ascii="微软雅黑" w:hAnsi="微软雅黑" w:eastAsia="微软雅黑" w:cs="微软雅黑"/>
                <w:color w:val="auto"/>
                <w:sz w:val="24"/>
                <w:szCs w:val="24"/>
                <w:highlight w:val="none"/>
                <w:lang w:eastAsia="zh-CN"/>
              </w:rPr>
              <w:t>（</w:t>
            </w:r>
            <w:r>
              <w:rPr>
                <w:rFonts w:ascii="微软雅黑" w:hAnsi="微软雅黑" w:eastAsia="微软雅黑" w:cs="微软雅黑"/>
                <w:color w:val="auto"/>
                <w:sz w:val="24"/>
                <w:szCs w:val="24"/>
                <w:highlight w:val="none"/>
              </w:rPr>
              <w:t>解密时间开始时政采云平台将以短信形式向供应</w:t>
            </w:r>
            <w:r>
              <w:rPr>
                <w:rFonts w:ascii="微软雅黑" w:hAnsi="微软雅黑" w:eastAsia="微软雅黑" w:cs="微软雅黑"/>
                <w:color w:val="auto"/>
                <w:spacing w:val="-1"/>
                <w:sz w:val="24"/>
                <w:szCs w:val="24"/>
                <w:highlight w:val="none"/>
              </w:rPr>
              <w:t>商在政采云</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平台预留的手机号发送短信通知，请供应商及时关注。）</w:t>
            </w:r>
          </w:p>
          <w:p w14:paraId="374CB135">
            <w:pPr>
              <w:spacing w:before="86" w:line="208" w:lineRule="auto"/>
              <w:ind w:left="103" w:right="101" w:firstLine="1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2、供应商报价 CA 签字确认：报价文件开启后将开启签字时段，供应</w:t>
            </w:r>
            <w:r>
              <w:rPr>
                <w:rFonts w:ascii="微软雅黑" w:hAnsi="微软雅黑" w:eastAsia="微软雅黑" w:cs="微软雅黑"/>
                <w:color w:val="auto"/>
                <w:spacing w:val="-5"/>
                <w:sz w:val="24"/>
                <w:szCs w:val="24"/>
                <w:highlight w:val="none"/>
              </w:rPr>
              <w:t>商须</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4"/>
                <w:sz w:val="24"/>
                <w:szCs w:val="24"/>
                <w:highlight w:val="none"/>
              </w:rPr>
              <w:t>在 20 分钟内用 CA 证书对报价进行签字确认。</w:t>
            </w:r>
          </w:p>
          <w:p w14:paraId="0BCE37F0">
            <w:pPr>
              <w:spacing w:before="83" w:line="221" w:lineRule="auto"/>
              <w:ind w:left="102" w:right="67" w:firstLine="1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3、（1）</w:t>
            </w:r>
            <w:r>
              <w:rPr>
                <w:rFonts w:ascii="微软雅黑" w:hAnsi="微软雅黑" w:eastAsia="微软雅黑" w:cs="微软雅黑"/>
                <w:color w:val="auto"/>
                <w:spacing w:val="-11"/>
                <w:sz w:val="24"/>
                <w:szCs w:val="24"/>
                <w:highlight w:val="none"/>
              </w:rPr>
              <w:t xml:space="preserve"> </w:t>
            </w:r>
            <w:r>
              <w:rPr>
                <w:rFonts w:ascii="微软雅黑" w:hAnsi="微软雅黑" w:eastAsia="微软雅黑" w:cs="微软雅黑"/>
                <w:color w:val="auto"/>
                <w:spacing w:val="-3"/>
                <w:sz w:val="24"/>
                <w:szCs w:val="24"/>
                <w:highlight w:val="none"/>
              </w:rPr>
              <w:t>本项目为电子招磋商，供应商需要使用 CA 加密设备，凡参加本</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项目必须可自主通过新疆 CA 申领渠道“新疆政务通”申请政采云平台可</w:t>
            </w:r>
            <w:r>
              <w:rPr>
                <w:rFonts w:ascii="微软雅黑" w:hAnsi="微软雅黑" w:eastAsia="微软雅黑" w:cs="微软雅黑"/>
                <w:color w:val="auto"/>
                <w:spacing w:val="4"/>
                <w:sz w:val="24"/>
                <w:szCs w:val="24"/>
                <w:highlight w:val="none"/>
              </w:rPr>
              <w:t xml:space="preserve">  </w:t>
            </w:r>
            <w:r>
              <w:rPr>
                <w:rFonts w:ascii="微软雅黑" w:hAnsi="微软雅黑" w:eastAsia="微软雅黑" w:cs="微软雅黑"/>
                <w:color w:val="auto"/>
                <w:spacing w:val="-3"/>
                <w:sz w:val="24"/>
                <w:szCs w:val="24"/>
                <w:highlight w:val="none"/>
              </w:rPr>
              <w:t>使用的 CA 设备，如原有兵团或公共资源使用的 CA，可与新疆 CA 联系，</w:t>
            </w:r>
            <w:r>
              <w:rPr>
                <w:rFonts w:ascii="微软雅黑" w:hAnsi="微软雅黑" w:eastAsia="微软雅黑" w:cs="微软雅黑"/>
                <w:color w:val="auto"/>
                <w:spacing w:val="8"/>
                <w:sz w:val="24"/>
                <w:szCs w:val="24"/>
                <w:highlight w:val="none"/>
              </w:rPr>
              <w:t xml:space="preserve"> </w:t>
            </w:r>
            <w:r>
              <w:rPr>
                <w:rFonts w:ascii="微软雅黑" w:hAnsi="微软雅黑" w:eastAsia="微软雅黑" w:cs="微软雅黑"/>
                <w:color w:val="auto"/>
                <w:spacing w:val="-3"/>
                <w:sz w:val="24"/>
                <w:szCs w:val="24"/>
                <w:highlight w:val="none"/>
              </w:rPr>
              <w:t>申请增加电子证书即可，无需重复申领。</w:t>
            </w:r>
          </w:p>
          <w:p w14:paraId="1980AB24">
            <w:pPr>
              <w:spacing w:before="83" w:line="217" w:lineRule="auto"/>
              <w:ind w:left="106" w:right="169" w:firstLine="31"/>
              <w:rPr>
                <w:rFonts w:ascii="微软雅黑" w:hAnsi="微软雅黑" w:eastAsia="微软雅黑" w:cs="微软雅黑"/>
                <w:color w:val="auto"/>
                <w:spacing w:val="-1"/>
                <w:sz w:val="24"/>
                <w:szCs w:val="24"/>
                <w:highlight w:val="none"/>
              </w:rPr>
            </w:pPr>
            <w:r>
              <w:rPr>
                <w:rFonts w:ascii="微软雅黑" w:hAnsi="微软雅黑" w:eastAsia="微软雅黑" w:cs="微软雅黑"/>
                <w:color w:val="auto"/>
                <w:spacing w:val="-2"/>
                <w:sz w:val="24"/>
                <w:szCs w:val="24"/>
                <w:highlight w:val="none"/>
              </w:rPr>
              <w:t>（2）本项目实行网上磋商，采用电子磋商文件(供</w:t>
            </w:r>
            <w:r>
              <w:rPr>
                <w:rFonts w:ascii="微软雅黑" w:hAnsi="微软雅黑" w:eastAsia="微软雅黑" w:cs="微软雅黑"/>
                <w:color w:val="auto"/>
                <w:spacing w:val="-3"/>
                <w:sz w:val="24"/>
                <w:szCs w:val="24"/>
                <w:highlight w:val="none"/>
              </w:rPr>
              <w:t>应商须使用</w:t>
            </w:r>
            <w:r>
              <w:rPr>
                <w:rFonts w:ascii="微软雅黑" w:hAnsi="微软雅黑" w:eastAsia="微软雅黑" w:cs="微软雅黑"/>
                <w:color w:val="auto"/>
                <w:spacing w:val="19"/>
                <w:sz w:val="24"/>
                <w:szCs w:val="24"/>
                <w:highlight w:val="none"/>
              </w:rPr>
              <w:t xml:space="preserve"> </w:t>
            </w:r>
            <w:r>
              <w:rPr>
                <w:rFonts w:ascii="微软雅黑" w:hAnsi="微软雅黑" w:eastAsia="微软雅黑" w:cs="微软雅黑"/>
                <w:color w:val="auto"/>
                <w:spacing w:val="-3"/>
                <w:sz w:val="24"/>
                <w:szCs w:val="24"/>
                <w:highlight w:val="none"/>
              </w:rPr>
              <w:t>CA 加密设</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6"/>
                <w:sz w:val="24"/>
                <w:szCs w:val="24"/>
                <w:highlight w:val="none"/>
              </w:rPr>
              <w:t>备通过政采云电子磋商客户端制作磋商文件)。若供应商参与磋商，</w:t>
            </w:r>
            <w:r>
              <w:rPr>
                <w:rFonts w:ascii="微软雅黑" w:hAnsi="微软雅黑" w:eastAsia="微软雅黑" w:cs="微软雅黑"/>
                <w:color w:val="auto"/>
                <w:spacing w:val="51"/>
                <w:sz w:val="24"/>
                <w:szCs w:val="24"/>
                <w:highlight w:val="none"/>
              </w:rPr>
              <w:t xml:space="preserve"> </w:t>
            </w:r>
            <w:r>
              <w:rPr>
                <w:rFonts w:ascii="微软雅黑" w:hAnsi="微软雅黑" w:eastAsia="微软雅黑" w:cs="微软雅黑"/>
                <w:color w:val="auto"/>
                <w:spacing w:val="-6"/>
                <w:sz w:val="24"/>
                <w:szCs w:val="24"/>
                <w:highlight w:val="none"/>
              </w:rPr>
              <w:t>自行承</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5"/>
                <w:sz w:val="24"/>
                <w:szCs w:val="24"/>
                <w:highlight w:val="none"/>
              </w:rPr>
              <w:t>担磋商一切费用。</w:t>
            </w:r>
          </w:p>
          <w:p w14:paraId="23CF7325">
            <w:pPr>
              <w:spacing w:before="83" w:line="217" w:lineRule="auto"/>
              <w:ind w:left="106" w:right="169" w:firstLine="3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（3）各供应商应在开标前应确保成为新疆政府采购网正式注册入库供应 商，并完成 CA 数字证书申领。因未注册入库、未办理 C</w:t>
            </w:r>
            <w:r>
              <w:rPr>
                <w:rFonts w:ascii="微软雅黑" w:hAnsi="微软雅黑" w:eastAsia="微软雅黑" w:cs="微软雅黑"/>
                <w:color w:val="auto"/>
                <w:spacing w:val="-2"/>
                <w:sz w:val="24"/>
                <w:szCs w:val="24"/>
                <w:highlight w:val="none"/>
              </w:rPr>
              <w:t>A 数字证书等原</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因造成无法磋商或磋商失败等后果由供应商自行承</w:t>
            </w:r>
            <w:r>
              <w:rPr>
                <w:rFonts w:ascii="微软雅黑" w:hAnsi="微软雅黑" w:eastAsia="微软雅黑" w:cs="微软雅黑"/>
                <w:color w:val="auto"/>
                <w:spacing w:val="-3"/>
                <w:sz w:val="24"/>
                <w:szCs w:val="24"/>
                <w:highlight w:val="none"/>
              </w:rPr>
              <w:t>担。</w:t>
            </w:r>
          </w:p>
          <w:p w14:paraId="1BB3F452">
            <w:pPr>
              <w:spacing w:before="83" w:line="217" w:lineRule="auto"/>
              <w:ind w:left="103" w:firstLine="3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（4）供应商在开标时须使用制作加密电子磋商文件所使用的</w:t>
            </w:r>
            <w:r>
              <w:rPr>
                <w:rFonts w:ascii="微软雅黑" w:hAnsi="微软雅黑" w:eastAsia="微软雅黑" w:cs="微软雅黑"/>
                <w:color w:val="auto"/>
                <w:spacing w:val="-26"/>
                <w:sz w:val="24"/>
                <w:szCs w:val="24"/>
                <w:highlight w:val="none"/>
              </w:rPr>
              <w:t xml:space="preserve"> </w:t>
            </w:r>
            <w:r>
              <w:rPr>
                <w:rFonts w:ascii="微软雅黑" w:hAnsi="微软雅黑" w:eastAsia="微软雅黑" w:cs="微软雅黑"/>
                <w:color w:val="auto"/>
                <w:spacing w:val="-7"/>
                <w:sz w:val="24"/>
                <w:szCs w:val="24"/>
                <w:highlight w:val="none"/>
              </w:rPr>
              <w:t>CA</w:t>
            </w:r>
            <w:r>
              <w:rPr>
                <w:rFonts w:ascii="微软雅黑" w:hAnsi="微软雅黑" w:eastAsia="微软雅黑" w:cs="微软雅黑"/>
                <w:color w:val="auto"/>
                <w:spacing w:val="-38"/>
                <w:sz w:val="24"/>
                <w:szCs w:val="24"/>
                <w:highlight w:val="none"/>
              </w:rPr>
              <w:t xml:space="preserve"> </w:t>
            </w:r>
            <w:r>
              <w:rPr>
                <w:rFonts w:ascii="微软雅黑" w:hAnsi="微软雅黑" w:eastAsia="微软雅黑" w:cs="微软雅黑"/>
                <w:color w:val="auto"/>
                <w:spacing w:val="-7"/>
                <w:sz w:val="24"/>
                <w:szCs w:val="24"/>
                <w:highlight w:val="none"/>
              </w:rPr>
              <w:t>锁及电脑，</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电脑须提前配置好浏览器（建议使用 360 浏览器或谷歌浏览器</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pacing w:val="-3"/>
                <w:sz w:val="24"/>
                <w:szCs w:val="24"/>
                <w:highlight w:val="none"/>
              </w:rPr>
              <w:t>以便开</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9"/>
                <w:sz w:val="24"/>
                <w:szCs w:val="24"/>
                <w:highlight w:val="none"/>
              </w:rPr>
              <w:t>标时解锁。</w:t>
            </w:r>
          </w:p>
          <w:p w14:paraId="36AC1152">
            <w:pPr>
              <w:spacing w:before="84" w:line="184" w:lineRule="auto"/>
              <w:ind w:left="13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（5）服务与支持。各政府采购代理机构（含集采机</w:t>
            </w:r>
            <w:r>
              <w:rPr>
                <w:rFonts w:ascii="微软雅黑" w:hAnsi="微软雅黑" w:eastAsia="微软雅黑" w:cs="微软雅黑"/>
                <w:color w:val="auto"/>
                <w:spacing w:val="-2"/>
                <w:sz w:val="24"/>
                <w:szCs w:val="24"/>
                <w:highlight w:val="none"/>
              </w:rPr>
              <w:t>构）及供应商对不见</w:t>
            </w:r>
          </w:p>
          <w:p w14:paraId="318B2645">
            <w:pPr>
              <w:spacing w:before="84" w:line="172" w:lineRule="auto"/>
              <w:ind w:left="10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面开评标系统的技术操作咨询，可通过</w:t>
            </w:r>
            <w:r>
              <w:rPr>
                <w:color w:val="auto"/>
                <w:highlight w:val="none"/>
              </w:rPr>
              <w:fldChar w:fldCharType="begin"/>
            </w:r>
            <w:r>
              <w:rPr>
                <w:color w:val="auto"/>
                <w:highlight w:val="none"/>
              </w:rPr>
              <w:instrText xml:space="preserve"> HYPERLINK "https://edu.zcygov.cn/luban/xinjiang-e-biding" </w:instrText>
            </w:r>
            <w:r>
              <w:rPr>
                <w:color w:val="auto"/>
                <w:highlight w:val="none"/>
              </w:rPr>
              <w:fldChar w:fldCharType="separate"/>
            </w:r>
            <w:r>
              <w:rPr>
                <w:rFonts w:ascii="微软雅黑" w:hAnsi="微软雅黑" w:eastAsia="微软雅黑" w:cs="微软雅黑"/>
                <w:color w:val="auto"/>
                <w:sz w:val="24"/>
                <w:szCs w:val="24"/>
                <w:highlight w:val="none"/>
              </w:rPr>
              <w:t>https://edu.zcygov.cn</w:t>
            </w:r>
            <w:r>
              <w:rPr>
                <w:rFonts w:ascii="微软雅黑" w:hAnsi="微软雅黑" w:eastAsia="微软雅黑" w:cs="微软雅黑"/>
                <w:color w:val="auto"/>
                <w:spacing w:val="-1"/>
                <w:sz w:val="24"/>
                <w:szCs w:val="24"/>
                <w:highlight w:val="none"/>
              </w:rPr>
              <w:t>/luban/xinjiang-e-biding</w:t>
            </w:r>
            <w:r>
              <w:rPr>
                <w:rFonts w:ascii="微软雅黑" w:hAnsi="微软雅黑" w:eastAsia="微软雅黑" w:cs="微软雅黑"/>
                <w:color w:val="auto"/>
                <w:spacing w:val="-1"/>
                <w:sz w:val="24"/>
                <w:szCs w:val="24"/>
                <w:highlight w:val="none"/>
              </w:rPr>
              <w:fldChar w:fldCharType="end"/>
            </w:r>
            <w:r>
              <w:rPr>
                <w:rFonts w:ascii="微软雅黑" w:hAnsi="微软雅黑" w:eastAsia="微软雅黑" w:cs="微软雅黑"/>
                <w:color w:val="auto"/>
                <w:spacing w:val="-1"/>
                <w:sz w:val="24"/>
                <w:szCs w:val="24"/>
                <w:highlight w:val="none"/>
              </w:rPr>
              <w:t>自助查询，也可在政采</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云帮助中心常见问题解答和操作流程讲解视频中自助查询，网址为：</w:t>
            </w:r>
          </w:p>
          <w:p w14:paraId="1A7128FA">
            <w:pPr>
              <w:spacing w:before="29" w:line="237" w:lineRule="auto"/>
              <w:ind w:left="101" w:firstLine="20"/>
              <w:rPr>
                <w:rFonts w:ascii="微软雅黑" w:hAnsi="微软雅黑" w:eastAsia="微软雅黑" w:cs="微软雅黑"/>
                <w:color w:val="auto"/>
                <w:sz w:val="24"/>
                <w:szCs w:val="24"/>
                <w:highlight w:val="none"/>
              </w:rPr>
            </w:pPr>
            <w:r>
              <w:rPr>
                <w:color w:val="auto"/>
                <w:highlight w:val="none"/>
              </w:rPr>
              <w:fldChar w:fldCharType="begin"/>
            </w:r>
            <w:r>
              <w:rPr>
                <w:color w:val="auto"/>
                <w:highlight w:val="none"/>
              </w:rPr>
              <w:instrText xml:space="preserve"> HYPERLINK "https://service.zcygov.cn/#/help" </w:instrText>
            </w:r>
            <w:r>
              <w:rPr>
                <w:color w:val="auto"/>
                <w:highlight w:val="none"/>
              </w:rPr>
              <w:fldChar w:fldCharType="separate"/>
            </w:r>
            <w:r>
              <w:rPr>
                <w:rFonts w:ascii="微软雅黑" w:hAnsi="微软雅黑" w:eastAsia="微软雅黑" w:cs="微软雅黑"/>
                <w:color w:val="auto"/>
                <w:spacing w:val="-4"/>
                <w:sz w:val="24"/>
                <w:szCs w:val="24"/>
                <w:highlight w:val="none"/>
              </w:rPr>
              <w:t>https://service.zcygov.cn/#</w:t>
            </w:r>
            <w:r>
              <w:rPr>
                <w:rFonts w:ascii="微软雅黑" w:hAnsi="微软雅黑" w:eastAsia="微软雅黑" w:cs="微软雅黑"/>
                <w:color w:val="auto"/>
                <w:spacing w:val="-5"/>
                <w:sz w:val="24"/>
                <w:szCs w:val="24"/>
                <w:highlight w:val="none"/>
              </w:rPr>
              <w:t>/help</w:t>
            </w:r>
            <w:r>
              <w:rPr>
                <w:rFonts w:ascii="微软雅黑" w:hAnsi="微软雅黑" w:eastAsia="微软雅黑" w:cs="微软雅黑"/>
                <w:color w:val="auto"/>
                <w:spacing w:val="-5"/>
                <w:sz w:val="24"/>
                <w:szCs w:val="24"/>
                <w:highlight w:val="none"/>
              </w:rPr>
              <w:fldChar w:fldCharType="end"/>
            </w:r>
            <w:r>
              <w:rPr>
                <w:rFonts w:ascii="微软雅黑" w:hAnsi="微软雅黑" w:eastAsia="微软雅黑" w:cs="微软雅黑"/>
                <w:color w:val="auto"/>
                <w:spacing w:val="-5"/>
                <w:sz w:val="24"/>
                <w:szCs w:val="24"/>
                <w:highlight w:val="none"/>
              </w:rPr>
              <w:t>，项目采购—操作流程—电子招磋商</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6"/>
                <w:sz w:val="24"/>
                <w:szCs w:val="24"/>
                <w:highlight w:val="none"/>
              </w:rPr>
              <w:t>—政府采购项目电子交易管理操作指南-供应商”版面获取操作</w:t>
            </w:r>
            <w:r>
              <w:rPr>
                <w:rFonts w:ascii="微软雅黑" w:hAnsi="微软雅黑" w:eastAsia="微软雅黑" w:cs="微软雅黑"/>
                <w:color w:val="auto"/>
                <w:spacing w:val="-7"/>
                <w:sz w:val="24"/>
                <w:szCs w:val="24"/>
                <w:highlight w:val="none"/>
              </w:rPr>
              <w:t>指南，同时</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4"/>
                <w:sz w:val="24"/>
                <w:szCs w:val="24"/>
                <w:highlight w:val="none"/>
              </w:rPr>
              <w:t>对自助查询无法解决的问题可通过钉钉群及政采云在线客服获取服务支</w:t>
            </w:r>
            <w:r>
              <w:rPr>
                <w:rFonts w:ascii="微软雅黑" w:hAnsi="微软雅黑" w:eastAsia="微软雅黑" w:cs="微软雅黑"/>
                <w:color w:val="auto"/>
                <w:spacing w:val="-5"/>
                <w:sz w:val="24"/>
                <w:szCs w:val="24"/>
                <w:highlight w:val="none"/>
              </w:rPr>
              <w:t>持。</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政采云热线人工号码：400-881-7190（工作时间：</w:t>
            </w:r>
            <w:r>
              <w:rPr>
                <w:rFonts w:ascii="微软雅黑" w:hAnsi="微软雅黑" w:eastAsia="微软雅黑" w:cs="微软雅黑"/>
                <w:color w:val="auto"/>
                <w:spacing w:val="-3"/>
                <w:sz w:val="24"/>
                <w:szCs w:val="24"/>
                <w:highlight w:val="none"/>
              </w:rPr>
              <w:t>08:00~20：00）</w:t>
            </w:r>
          </w:p>
          <w:p w14:paraId="11B58F46">
            <w:pPr>
              <w:spacing w:before="12" w:line="233" w:lineRule="auto"/>
              <w:ind w:left="101" w:firstLine="3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（6）供应商编制电子磋商文件应安装“电子招磋商供应商客户端”软件，</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4"/>
                <w:sz w:val="24"/>
                <w:szCs w:val="24"/>
                <w:highlight w:val="none"/>
              </w:rPr>
              <w:t>并按照本采购文件和电子招磋商供应商客户端的要求编制并加密磋商文</w:t>
            </w:r>
            <w:r>
              <w:rPr>
                <w:rFonts w:ascii="微软雅黑" w:hAnsi="微软雅黑" w:eastAsia="微软雅黑" w:cs="微软雅黑"/>
                <w:color w:val="auto"/>
                <w:spacing w:val="-5"/>
                <w:sz w:val="24"/>
                <w:szCs w:val="24"/>
                <w:highlight w:val="none"/>
              </w:rPr>
              <w:t>件。</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未按规定加密的磋商文件，将被电子招磋商供应商客户端拒收。“电子招</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4"/>
                <w:sz w:val="24"/>
                <w:szCs w:val="24"/>
                <w:highlight w:val="none"/>
              </w:rPr>
              <w:t>磋商供应商客户端”请供应商自行前往“新疆政府采购网—下载专区—新</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3"/>
                <w:sz w:val="24"/>
                <w:szCs w:val="24"/>
                <w:highlight w:val="none"/>
              </w:rPr>
              <w:t>疆维吾尔自治区全流程电子招磋商项目管理系统--电子招磋商供应商客户</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8"/>
                <w:sz w:val="24"/>
                <w:szCs w:val="24"/>
                <w:highlight w:val="none"/>
              </w:rPr>
              <w:t>端”版块获取。</w:t>
            </w:r>
          </w:p>
        </w:tc>
      </w:tr>
    </w:tbl>
    <w:p w14:paraId="4A4E4FCB">
      <w:pPr>
        <w:spacing w:line="382" w:lineRule="auto"/>
        <w:rPr>
          <w:rFonts w:ascii="Arial"/>
          <w:color w:val="auto"/>
          <w:sz w:val="21"/>
          <w:highlight w:val="none"/>
        </w:rPr>
      </w:pPr>
    </w:p>
    <w:p w14:paraId="4276E713">
      <w:pPr>
        <w:spacing w:line="181" w:lineRule="auto"/>
        <w:rPr>
          <w:color w:val="auto"/>
          <w:sz w:val="18"/>
          <w:szCs w:val="18"/>
          <w:highlight w:val="none"/>
        </w:rPr>
        <w:sectPr>
          <w:headerReference r:id="rId32" w:type="default"/>
          <w:footerReference r:id="rId33" w:type="default"/>
          <w:pgSz w:w="11907" w:h="16840"/>
          <w:pgMar w:top="1134" w:right="798" w:bottom="400" w:left="798" w:header="0" w:footer="0" w:gutter="0"/>
          <w:pgNumType w:fmt="decimal"/>
          <w:cols w:space="720" w:num="1"/>
        </w:sectPr>
      </w:pPr>
    </w:p>
    <w:p w14:paraId="0BEED52A">
      <w:pPr>
        <w:spacing w:before="137" w:line="183" w:lineRule="auto"/>
        <w:ind w:left="2355"/>
        <w:outlineLvl w:val="1"/>
        <w:rPr>
          <w:rFonts w:hint="eastAsia" w:asciiTheme="majorEastAsia" w:hAnsiTheme="majorEastAsia" w:eastAsiaTheme="majorEastAsia" w:cstheme="majorEastAsia"/>
          <w:b/>
          <w:bCs/>
          <w:color w:val="auto"/>
          <w:spacing w:val="-2"/>
          <w:sz w:val="28"/>
          <w:szCs w:val="28"/>
          <w:highlight w:val="none"/>
        </w:rPr>
      </w:pPr>
      <w:r>
        <w:rPr>
          <w:rFonts w:hint="eastAsia" w:asciiTheme="majorEastAsia" w:hAnsiTheme="majorEastAsia" w:eastAsiaTheme="majorEastAsia" w:cstheme="majorEastAsia"/>
          <w:b/>
          <w:bCs/>
          <w:color w:val="auto"/>
          <w:spacing w:val="-1"/>
          <w:sz w:val="32"/>
          <w:szCs w:val="32"/>
          <w:highlight w:val="none"/>
        </w:rPr>
        <w:t>第5章 服务需求及项目要求</w:t>
      </w:r>
    </w:p>
    <w:p w14:paraId="372C484C">
      <w:pPr>
        <w:spacing w:before="113" w:line="178" w:lineRule="auto"/>
        <w:ind w:left="5277"/>
        <w:outlineLvl w:val="1"/>
        <w:rPr>
          <w:rFonts w:ascii="微软雅黑" w:hAnsi="微软雅黑" w:eastAsia="微软雅黑" w:cs="微软雅黑"/>
          <w:b/>
          <w:bCs/>
          <w:color w:val="auto"/>
          <w:spacing w:val="-2"/>
          <w:sz w:val="28"/>
          <w:szCs w:val="28"/>
          <w:highlight w:val="none"/>
        </w:rPr>
      </w:pPr>
    </w:p>
    <w:tbl>
      <w:tblPr>
        <w:tblStyle w:val="13"/>
        <w:tblW w:w="8527" w:type="dxa"/>
        <w:tblInd w:w="2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852"/>
        <w:gridCol w:w="1"/>
        <w:gridCol w:w="2352"/>
        <w:gridCol w:w="1"/>
        <w:gridCol w:w="5319"/>
        <w:gridCol w:w="1"/>
      </w:tblGrid>
      <w:tr w14:paraId="5B32C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54" w:hRule="atLeast"/>
        </w:trPr>
        <w:tc>
          <w:tcPr>
            <w:tcW w:w="853" w:type="dxa"/>
            <w:gridSpan w:val="2"/>
            <w:vAlign w:val="top"/>
          </w:tcPr>
          <w:p w14:paraId="5262B533">
            <w:pPr>
              <w:pStyle w:val="14"/>
              <w:spacing w:before="127" w:line="221" w:lineRule="auto"/>
              <w:ind w:left="190"/>
              <w:rPr>
                <w:color w:val="auto"/>
                <w:sz w:val="24"/>
                <w:szCs w:val="24"/>
                <w:highlight w:val="none"/>
              </w:rPr>
            </w:pPr>
            <w:r>
              <w:rPr>
                <w:b/>
                <w:bCs/>
                <w:color w:val="auto"/>
                <w:spacing w:val="-7"/>
                <w:sz w:val="24"/>
                <w:szCs w:val="24"/>
                <w:highlight w:val="none"/>
              </w:rPr>
              <w:t>序号</w:t>
            </w:r>
          </w:p>
        </w:tc>
        <w:tc>
          <w:tcPr>
            <w:tcW w:w="2353" w:type="dxa"/>
            <w:gridSpan w:val="2"/>
            <w:vAlign w:val="top"/>
          </w:tcPr>
          <w:p w14:paraId="65F83A5E">
            <w:pPr>
              <w:pStyle w:val="14"/>
              <w:spacing w:before="128" w:line="219" w:lineRule="auto"/>
              <w:ind w:left="943"/>
              <w:rPr>
                <w:color w:val="auto"/>
                <w:sz w:val="24"/>
                <w:szCs w:val="24"/>
                <w:highlight w:val="none"/>
              </w:rPr>
            </w:pPr>
            <w:r>
              <w:rPr>
                <w:b/>
                <w:bCs/>
                <w:color w:val="auto"/>
                <w:spacing w:val="-9"/>
                <w:sz w:val="24"/>
                <w:szCs w:val="24"/>
                <w:highlight w:val="none"/>
              </w:rPr>
              <w:t>条款</w:t>
            </w:r>
          </w:p>
        </w:tc>
        <w:tc>
          <w:tcPr>
            <w:tcW w:w="5320" w:type="dxa"/>
            <w:gridSpan w:val="2"/>
            <w:vAlign w:val="top"/>
          </w:tcPr>
          <w:p w14:paraId="0B299270">
            <w:pPr>
              <w:pStyle w:val="14"/>
              <w:spacing w:before="127" w:line="221" w:lineRule="auto"/>
              <w:ind w:left="2424"/>
              <w:rPr>
                <w:color w:val="auto"/>
                <w:sz w:val="24"/>
                <w:szCs w:val="24"/>
                <w:highlight w:val="none"/>
              </w:rPr>
            </w:pPr>
            <w:r>
              <w:rPr>
                <w:b/>
                <w:bCs/>
                <w:color w:val="auto"/>
                <w:spacing w:val="-8"/>
                <w:sz w:val="24"/>
                <w:szCs w:val="24"/>
                <w:highlight w:val="none"/>
              </w:rPr>
              <w:t>要求</w:t>
            </w:r>
          </w:p>
        </w:tc>
      </w:tr>
      <w:tr w14:paraId="430F1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1" w:hRule="atLeast"/>
        </w:trPr>
        <w:tc>
          <w:tcPr>
            <w:tcW w:w="853" w:type="dxa"/>
            <w:gridSpan w:val="2"/>
            <w:vAlign w:val="top"/>
          </w:tcPr>
          <w:p w14:paraId="5BF46CB3">
            <w:pPr>
              <w:pStyle w:val="14"/>
              <w:spacing w:before="35" w:line="343" w:lineRule="auto"/>
              <w:ind w:right="318"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w:t>
            </w:r>
          </w:p>
        </w:tc>
        <w:tc>
          <w:tcPr>
            <w:tcW w:w="2353" w:type="dxa"/>
            <w:gridSpan w:val="2"/>
            <w:vAlign w:val="top"/>
          </w:tcPr>
          <w:p w14:paraId="4B504F9E">
            <w:pPr>
              <w:pStyle w:val="14"/>
              <w:spacing w:before="35" w:line="343" w:lineRule="auto"/>
              <w:ind w:right="318"/>
              <w:rPr>
                <w:rFonts w:hint="eastAsia"/>
                <w:color w:val="auto"/>
                <w:sz w:val="24"/>
                <w:szCs w:val="24"/>
                <w:highlight w:val="none"/>
                <w:lang w:val="en-US" w:eastAsia="zh-CN"/>
              </w:rPr>
            </w:pPr>
            <w:r>
              <w:rPr>
                <w:rFonts w:hint="eastAsia"/>
                <w:color w:val="auto"/>
                <w:sz w:val="24"/>
                <w:szCs w:val="24"/>
                <w:highlight w:val="none"/>
                <w:lang w:val="en-US" w:eastAsia="zh-CN"/>
              </w:rPr>
              <w:t>项目名称</w:t>
            </w:r>
          </w:p>
        </w:tc>
        <w:tc>
          <w:tcPr>
            <w:tcW w:w="5320" w:type="dxa"/>
            <w:gridSpan w:val="2"/>
            <w:vAlign w:val="top"/>
          </w:tcPr>
          <w:p w14:paraId="4896F25F">
            <w:pPr>
              <w:pStyle w:val="14"/>
              <w:spacing w:before="35" w:line="343" w:lineRule="auto"/>
              <w:ind w:right="318"/>
              <w:rPr>
                <w:color w:val="auto"/>
                <w:sz w:val="24"/>
                <w:szCs w:val="24"/>
                <w:highlight w:val="none"/>
              </w:rPr>
            </w:pPr>
            <w:r>
              <w:rPr>
                <w:rFonts w:hint="eastAsia"/>
                <w:color w:val="auto"/>
                <w:sz w:val="24"/>
                <w:szCs w:val="24"/>
                <w:highlight w:val="none"/>
                <w:lang w:val="en-US" w:eastAsia="zh-CN"/>
              </w:rPr>
              <w:t>麦盖提县专业人才合作项目（二次）</w:t>
            </w:r>
          </w:p>
        </w:tc>
      </w:tr>
      <w:tr w14:paraId="450C0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35" w:hRule="atLeast"/>
        </w:trPr>
        <w:tc>
          <w:tcPr>
            <w:tcW w:w="853" w:type="dxa"/>
            <w:gridSpan w:val="2"/>
            <w:vAlign w:val="top"/>
          </w:tcPr>
          <w:p w14:paraId="61C1B5EE">
            <w:pPr>
              <w:pStyle w:val="14"/>
              <w:spacing w:before="105" w:line="183" w:lineRule="auto"/>
              <w:ind w:left="376"/>
              <w:rPr>
                <w:color w:val="auto"/>
                <w:sz w:val="24"/>
                <w:szCs w:val="24"/>
                <w:highlight w:val="none"/>
              </w:rPr>
            </w:pPr>
            <w:r>
              <w:rPr>
                <w:color w:val="auto"/>
                <w:sz w:val="24"/>
                <w:szCs w:val="24"/>
                <w:highlight w:val="none"/>
              </w:rPr>
              <w:t>2</w:t>
            </w:r>
          </w:p>
        </w:tc>
        <w:tc>
          <w:tcPr>
            <w:tcW w:w="2353" w:type="dxa"/>
            <w:gridSpan w:val="2"/>
            <w:vAlign w:val="top"/>
          </w:tcPr>
          <w:p w14:paraId="6BDEDDAB">
            <w:pPr>
              <w:pStyle w:val="14"/>
              <w:spacing w:before="68" w:line="219" w:lineRule="auto"/>
              <w:ind w:left="590"/>
              <w:rPr>
                <w:color w:val="auto"/>
                <w:sz w:val="24"/>
                <w:szCs w:val="24"/>
                <w:highlight w:val="none"/>
              </w:rPr>
            </w:pPr>
            <w:r>
              <w:rPr>
                <w:b/>
                <w:bCs/>
                <w:color w:val="auto"/>
                <w:spacing w:val="-5"/>
                <w:sz w:val="24"/>
                <w:szCs w:val="24"/>
                <w:highlight w:val="none"/>
              </w:rPr>
              <w:t>▲</w:t>
            </w:r>
            <w:r>
              <w:rPr>
                <w:color w:val="auto"/>
                <w:spacing w:val="-5"/>
                <w:sz w:val="24"/>
                <w:szCs w:val="24"/>
                <w:highlight w:val="none"/>
              </w:rPr>
              <w:t>付款方式</w:t>
            </w:r>
          </w:p>
        </w:tc>
        <w:tc>
          <w:tcPr>
            <w:tcW w:w="5320" w:type="dxa"/>
            <w:gridSpan w:val="2"/>
            <w:vAlign w:val="top"/>
          </w:tcPr>
          <w:p w14:paraId="11E47052">
            <w:pPr>
              <w:pStyle w:val="14"/>
              <w:spacing w:before="67" w:line="220" w:lineRule="auto"/>
              <w:jc w:val="both"/>
              <w:rPr>
                <w:color w:val="auto"/>
                <w:sz w:val="24"/>
                <w:szCs w:val="24"/>
                <w:highlight w:val="none"/>
              </w:rPr>
            </w:pPr>
            <w:r>
              <w:rPr>
                <w:color w:val="auto"/>
                <w:spacing w:val="-2"/>
                <w:sz w:val="24"/>
                <w:szCs w:val="24"/>
                <w:highlight w:val="none"/>
              </w:rPr>
              <w:t>签订合同时约定</w:t>
            </w:r>
          </w:p>
        </w:tc>
      </w:tr>
      <w:tr w14:paraId="2CEA0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07" w:hRule="atLeast"/>
        </w:trPr>
        <w:tc>
          <w:tcPr>
            <w:tcW w:w="853" w:type="dxa"/>
            <w:gridSpan w:val="2"/>
            <w:vAlign w:val="top"/>
          </w:tcPr>
          <w:p w14:paraId="51BDAE7B">
            <w:pPr>
              <w:pStyle w:val="14"/>
              <w:spacing w:before="141" w:line="183" w:lineRule="auto"/>
              <w:ind w:left="378"/>
              <w:rPr>
                <w:color w:val="auto"/>
                <w:sz w:val="24"/>
                <w:szCs w:val="24"/>
                <w:highlight w:val="none"/>
              </w:rPr>
            </w:pPr>
            <w:r>
              <w:rPr>
                <w:color w:val="auto"/>
                <w:sz w:val="24"/>
                <w:szCs w:val="24"/>
                <w:highlight w:val="none"/>
              </w:rPr>
              <w:t>3</w:t>
            </w:r>
          </w:p>
        </w:tc>
        <w:tc>
          <w:tcPr>
            <w:tcW w:w="2353" w:type="dxa"/>
            <w:gridSpan w:val="2"/>
            <w:vAlign w:val="top"/>
          </w:tcPr>
          <w:p w14:paraId="6E5A6E1C">
            <w:pPr>
              <w:pStyle w:val="14"/>
              <w:spacing w:before="103" w:line="220" w:lineRule="auto"/>
              <w:ind w:left="350"/>
              <w:rPr>
                <w:color w:val="auto"/>
                <w:sz w:val="24"/>
                <w:szCs w:val="24"/>
                <w:highlight w:val="none"/>
              </w:rPr>
            </w:pPr>
            <w:r>
              <w:rPr>
                <w:b/>
                <w:bCs/>
                <w:color w:val="auto"/>
                <w:spacing w:val="-3"/>
                <w:sz w:val="24"/>
                <w:szCs w:val="24"/>
                <w:highlight w:val="none"/>
              </w:rPr>
              <w:t>▲</w:t>
            </w:r>
            <w:r>
              <w:rPr>
                <w:color w:val="auto"/>
                <w:spacing w:val="-3"/>
                <w:sz w:val="24"/>
                <w:szCs w:val="24"/>
                <w:highlight w:val="none"/>
              </w:rPr>
              <w:t>合同履行期限</w:t>
            </w:r>
          </w:p>
        </w:tc>
        <w:tc>
          <w:tcPr>
            <w:tcW w:w="5320" w:type="dxa"/>
            <w:gridSpan w:val="2"/>
            <w:vAlign w:val="top"/>
          </w:tcPr>
          <w:p w14:paraId="1673A40F">
            <w:pPr>
              <w:pStyle w:val="14"/>
              <w:spacing w:before="104" w:line="219" w:lineRule="auto"/>
              <w:rPr>
                <w:rFonts w:hint="eastAsia" w:eastAsia="宋体"/>
                <w:color w:val="auto"/>
                <w:sz w:val="24"/>
                <w:szCs w:val="24"/>
                <w:highlight w:val="none"/>
                <w:lang w:eastAsia="zh-CN"/>
              </w:rPr>
            </w:pPr>
            <w:r>
              <w:rPr>
                <w:color w:val="auto"/>
                <w:spacing w:val="-1"/>
                <w:sz w:val="24"/>
                <w:szCs w:val="24"/>
                <w:highlight w:val="none"/>
              </w:rPr>
              <w:t>签定合同之日起至招标范围内全部服务完成</w:t>
            </w:r>
            <w:r>
              <w:rPr>
                <w:rFonts w:hint="eastAsia" w:eastAsia="宋体"/>
                <w:color w:val="auto"/>
                <w:spacing w:val="-1"/>
                <w:sz w:val="24"/>
                <w:szCs w:val="24"/>
                <w:highlight w:val="none"/>
                <w:lang w:eastAsia="zh-CN"/>
              </w:rPr>
              <w:t>。</w:t>
            </w:r>
          </w:p>
        </w:tc>
      </w:tr>
      <w:tr w14:paraId="41B3A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493" w:hRule="atLeast"/>
        </w:trPr>
        <w:tc>
          <w:tcPr>
            <w:tcW w:w="853" w:type="dxa"/>
            <w:gridSpan w:val="2"/>
            <w:vAlign w:val="top"/>
          </w:tcPr>
          <w:p w14:paraId="2014A14A">
            <w:pPr>
              <w:pStyle w:val="14"/>
              <w:spacing w:before="86" w:line="183" w:lineRule="auto"/>
              <w:ind w:left="373"/>
              <w:rPr>
                <w:color w:val="auto"/>
                <w:sz w:val="24"/>
                <w:szCs w:val="24"/>
                <w:highlight w:val="none"/>
              </w:rPr>
            </w:pPr>
            <w:r>
              <w:rPr>
                <w:color w:val="auto"/>
                <w:sz w:val="24"/>
                <w:szCs w:val="24"/>
                <w:highlight w:val="none"/>
              </w:rPr>
              <w:t>4</w:t>
            </w:r>
          </w:p>
        </w:tc>
        <w:tc>
          <w:tcPr>
            <w:tcW w:w="2353" w:type="dxa"/>
            <w:gridSpan w:val="2"/>
            <w:vAlign w:val="top"/>
          </w:tcPr>
          <w:p w14:paraId="49BEF012">
            <w:pPr>
              <w:pStyle w:val="14"/>
              <w:spacing w:before="48" w:line="220" w:lineRule="auto"/>
              <w:ind w:left="350"/>
              <w:rPr>
                <w:color w:val="auto"/>
                <w:sz w:val="24"/>
                <w:szCs w:val="24"/>
                <w:highlight w:val="none"/>
              </w:rPr>
            </w:pPr>
            <w:r>
              <w:rPr>
                <w:b/>
                <w:bCs/>
                <w:color w:val="auto"/>
                <w:spacing w:val="-3"/>
                <w:sz w:val="24"/>
                <w:szCs w:val="24"/>
                <w:highlight w:val="none"/>
              </w:rPr>
              <w:t>▲</w:t>
            </w:r>
            <w:r>
              <w:rPr>
                <w:color w:val="auto"/>
                <w:spacing w:val="-3"/>
                <w:sz w:val="24"/>
                <w:szCs w:val="24"/>
                <w:highlight w:val="none"/>
              </w:rPr>
              <w:t>合同履行地点</w:t>
            </w:r>
          </w:p>
        </w:tc>
        <w:tc>
          <w:tcPr>
            <w:tcW w:w="5320" w:type="dxa"/>
            <w:gridSpan w:val="2"/>
            <w:vAlign w:val="top"/>
          </w:tcPr>
          <w:p w14:paraId="3B216E8B">
            <w:pPr>
              <w:pStyle w:val="14"/>
              <w:spacing w:before="48" w:line="220" w:lineRule="auto"/>
              <w:rPr>
                <w:color w:val="auto"/>
                <w:sz w:val="24"/>
                <w:szCs w:val="24"/>
                <w:highlight w:val="none"/>
              </w:rPr>
            </w:pPr>
            <w:r>
              <w:rPr>
                <w:color w:val="auto"/>
                <w:spacing w:val="-2"/>
                <w:sz w:val="24"/>
                <w:szCs w:val="24"/>
                <w:highlight w:val="none"/>
              </w:rPr>
              <w:t>招标人指定地点</w:t>
            </w:r>
          </w:p>
        </w:tc>
      </w:tr>
      <w:tr w14:paraId="78266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272" w:hRule="atLeast"/>
        </w:trPr>
        <w:tc>
          <w:tcPr>
            <w:tcW w:w="853" w:type="dxa"/>
            <w:gridSpan w:val="2"/>
            <w:vAlign w:val="top"/>
          </w:tcPr>
          <w:p w14:paraId="48CA4C11">
            <w:pPr>
              <w:spacing w:line="277" w:lineRule="auto"/>
              <w:rPr>
                <w:rFonts w:ascii="Arial"/>
                <w:color w:val="auto"/>
                <w:sz w:val="21"/>
                <w:highlight w:val="none"/>
              </w:rPr>
            </w:pPr>
          </w:p>
          <w:p w14:paraId="7C3EE629">
            <w:pPr>
              <w:spacing w:line="278" w:lineRule="auto"/>
              <w:rPr>
                <w:rFonts w:ascii="Arial"/>
                <w:color w:val="auto"/>
                <w:sz w:val="21"/>
                <w:highlight w:val="none"/>
              </w:rPr>
            </w:pPr>
          </w:p>
          <w:p w14:paraId="471EE2AD">
            <w:pPr>
              <w:spacing w:line="278" w:lineRule="auto"/>
              <w:rPr>
                <w:rFonts w:ascii="Arial"/>
                <w:color w:val="auto"/>
                <w:sz w:val="21"/>
                <w:highlight w:val="none"/>
              </w:rPr>
            </w:pPr>
          </w:p>
          <w:p w14:paraId="25C6B99D">
            <w:pPr>
              <w:spacing w:line="278" w:lineRule="auto"/>
              <w:rPr>
                <w:rFonts w:ascii="Arial"/>
                <w:color w:val="auto"/>
                <w:sz w:val="21"/>
                <w:highlight w:val="none"/>
              </w:rPr>
            </w:pPr>
          </w:p>
          <w:p w14:paraId="5D886C5D">
            <w:pPr>
              <w:spacing w:line="278" w:lineRule="auto"/>
              <w:rPr>
                <w:rFonts w:ascii="Arial"/>
                <w:color w:val="auto"/>
                <w:sz w:val="21"/>
                <w:highlight w:val="none"/>
              </w:rPr>
            </w:pPr>
          </w:p>
          <w:p w14:paraId="75494A3E">
            <w:pPr>
              <w:pStyle w:val="14"/>
              <w:spacing w:before="78" w:line="182" w:lineRule="auto"/>
              <w:ind w:left="378"/>
              <w:rPr>
                <w:color w:val="auto"/>
                <w:sz w:val="24"/>
                <w:szCs w:val="24"/>
                <w:highlight w:val="none"/>
              </w:rPr>
            </w:pPr>
            <w:r>
              <w:rPr>
                <w:color w:val="auto"/>
                <w:sz w:val="24"/>
                <w:szCs w:val="24"/>
                <w:highlight w:val="none"/>
              </w:rPr>
              <w:t>5</w:t>
            </w:r>
          </w:p>
        </w:tc>
        <w:tc>
          <w:tcPr>
            <w:tcW w:w="2353" w:type="dxa"/>
            <w:gridSpan w:val="2"/>
            <w:vAlign w:val="top"/>
          </w:tcPr>
          <w:p w14:paraId="32521E51">
            <w:pPr>
              <w:spacing w:line="270" w:lineRule="auto"/>
              <w:rPr>
                <w:rFonts w:ascii="Arial"/>
                <w:color w:val="auto"/>
                <w:sz w:val="21"/>
                <w:highlight w:val="none"/>
              </w:rPr>
            </w:pPr>
          </w:p>
          <w:p w14:paraId="6AF15B3A">
            <w:pPr>
              <w:spacing w:line="270" w:lineRule="auto"/>
              <w:rPr>
                <w:rFonts w:ascii="Arial"/>
                <w:color w:val="auto"/>
                <w:sz w:val="21"/>
                <w:highlight w:val="none"/>
              </w:rPr>
            </w:pPr>
          </w:p>
          <w:p w14:paraId="01B9C592">
            <w:pPr>
              <w:spacing w:line="270" w:lineRule="auto"/>
              <w:rPr>
                <w:rFonts w:ascii="Arial"/>
                <w:color w:val="auto"/>
                <w:sz w:val="21"/>
                <w:highlight w:val="none"/>
              </w:rPr>
            </w:pPr>
          </w:p>
          <w:p w14:paraId="769C20CE">
            <w:pPr>
              <w:spacing w:line="270" w:lineRule="auto"/>
              <w:rPr>
                <w:rFonts w:ascii="Arial"/>
                <w:color w:val="auto"/>
                <w:sz w:val="21"/>
                <w:highlight w:val="none"/>
              </w:rPr>
            </w:pPr>
          </w:p>
          <w:p w14:paraId="73FE9E0B">
            <w:pPr>
              <w:spacing w:line="270" w:lineRule="auto"/>
              <w:rPr>
                <w:rFonts w:ascii="Arial"/>
                <w:color w:val="auto"/>
                <w:sz w:val="21"/>
                <w:highlight w:val="none"/>
              </w:rPr>
            </w:pPr>
          </w:p>
          <w:p w14:paraId="2C52E31E">
            <w:pPr>
              <w:pStyle w:val="14"/>
              <w:spacing w:before="78" w:line="218" w:lineRule="auto"/>
              <w:ind w:left="587"/>
              <w:rPr>
                <w:color w:val="auto"/>
                <w:sz w:val="24"/>
                <w:szCs w:val="24"/>
                <w:highlight w:val="none"/>
              </w:rPr>
            </w:pPr>
            <w:r>
              <w:rPr>
                <w:b/>
                <w:bCs/>
                <w:color w:val="auto"/>
                <w:spacing w:val="-6"/>
                <w:sz w:val="24"/>
                <w:szCs w:val="24"/>
                <w:highlight w:val="none"/>
              </w:rPr>
              <w:t>▲报价组成</w:t>
            </w:r>
          </w:p>
        </w:tc>
        <w:tc>
          <w:tcPr>
            <w:tcW w:w="5320" w:type="dxa"/>
            <w:gridSpan w:val="2"/>
            <w:vAlign w:val="top"/>
          </w:tcPr>
          <w:p w14:paraId="10115A81">
            <w:pPr>
              <w:pStyle w:val="14"/>
              <w:spacing w:before="39" w:line="354" w:lineRule="auto"/>
              <w:ind w:right="47"/>
              <w:rPr>
                <w:color w:val="auto"/>
                <w:sz w:val="24"/>
                <w:szCs w:val="24"/>
                <w:highlight w:val="none"/>
              </w:rPr>
            </w:pPr>
            <w:r>
              <w:rPr>
                <w:color w:val="auto"/>
                <w:spacing w:val="-1"/>
                <w:sz w:val="24"/>
                <w:szCs w:val="24"/>
                <w:highlight w:val="none"/>
              </w:rPr>
              <w:t>投标报价应是完成采购服务所有内容所需的全部</w:t>
            </w:r>
            <w:r>
              <w:rPr>
                <w:color w:val="auto"/>
                <w:spacing w:val="7"/>
                <w:sz w:val="24"/>
                <w:szCs w:val="24"/>
                <w:highlight w:val="none"/>
              </w:rPr>
              <w:t xml:space="preserve"> </w:t>
            </w:r>
            <w:r>
              <w:rPr>
                <w:color w:val="auto"/>
                <w:spacing w:val="-7"/>
                <w:sz w:val="24"/>
                <w:szCs w:val="24"/>
                <w:highlight w:val="none"/>
              </w:rPr>
              <w:t>费用，包括但不限于人工费用的报价及所发生的：</w:t>
            </w:r>
            <w:r>
              <w:rPr>
                <w:color w:val="auto"/>
                <w:spacing w:val="12"/>
                <w:sz w:val="24"/>
                <w:szCs w:val="24"/>
                <w:highlight w:val="none"/>
              </w:rPr>
              <w:t xml:space="preserve"> </w:t>
            </w:r>
            <w:r>
              <w:rPr>
                <w:color w:val="auto"/>
                <w:spacing w:val="1"/>
                <w:sz w:val="24"/>
                <w:szCs w:val="24"/>
                <w:highlight w:val="none"/>
              </w:rPr>
              <w:t>包括为便于工作开展的检测设备、软件、仪器、</w:t>
            </w:r>
            <w:r>
              <w:rPr>
                <w:color w:val="auto"/>
                <w:spacing w:val="12"/>
                <w:sz w:val="24"/>
                <w:szCs w:val="24"/>
                <w:highlight w:val="none"/>
              </w:rPr>
              <w:t xml:space="preserve"> </w:t>
            </w:r>
            <w:r>
              <w:rPr>
                <w:color w:val="auto"/>
                <w:sz w:val="24"/>
                <w:szCs w:val="24"/>
                <w:highlight w:val="none"/>
              </w:rPr>
              <w:t>维护服务、培训、利润、相关税费及市场价格风</w:t>
            </w:r>
            <w:r>
              <w:rPr>
                <w:color w:val="auto"/>
                <w:spacing w:val="7"/>
                <w:sz w:val="24"/>
                <w:szCs w:val="24"/>
                <w:highlight w:val="none"/>
              </w:rPr>
              <w:t xml:space="preserve"> </w:t>
            </w:r>
            <w:r>
              <w:rPr>
                <w:color w:val="auto"/>
                <w:sz w:val="24"/>
                <w:szCs w:val="24"/>
                <w:highlight w:val="none"/>
              </w:rPr>
              <w:t>险在内等一切费用。要求的其他相关费用以本招</w:t>
            </w:r>
            <w:r>
              <w:rPr>
                <w:color w:val="auto"/>
                <w:spacing w:val="7"/>
                <w:sz w:val="24"/>
                <w:szCs w:val="24"/>
                <w:highlight w:val="none"/>
              </w:rPr>
              <w:t xml:space="preserve"> </w:t>
            </w:r>
            <w:r>
              <w:rPr>
                <w:color w:val="auto"/>
                <w:sz w:val="24"/>
                <w:szCs w:val="24"/>
                <w:highlight w:val="none"/>
              </w:rPr>
              <w:t>标文件的内容和要求作为投标依据。报价时所反</w:t>
            </w:r>
          </w:p>
          <w:p w14:paraId="13C59CB3">
            <w:pPr>
              <w:pStyle w:val="14"/>
              <w:spacing w:before="37" w:line="218" w:lineRule="auto"/>
              <w:rPr>
                <w:color w:val="auto"/>
                <w:sz w:val="24"/>
                <w:szCs w:val="24"/>
                <w:highlight w:val="none"/>
              </w:rPr>
            </w:pPr>
            <w:r>
              <w:rPr>
                <w:color w:val="auto"/>
                <w:spacing w:val="-2"/>
                <w:sz w:val="24"/>
                <w:szCs w:val="24"/>
                <w:highlight w:val="none"/>
              </w:rPr>
              <w:t>映的内容同上，综合考虑在总价中。</w:t>
            </w:r>
          </w:p>
        </w:tc>
      </w:tr>
      <w:tr w14:paraId="78BCB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59" w:hRule="atLeast"/>
        </w:trPr>
        <w:tc>
          <w:tcPr>
            <w:tcW w:w="853" w:type="dxa"/>
            <w:gridSpan w:val="2"/>
            <w:vAlign w:val="top"/>
          </w:tcPr>
          <w:p w14:paraId="21B849E7">
            <w:pPr>
              <w:pStyle w:val="14"/>
              <w:spacing w:before="170" w:line="183" w:lineRule="auto"/>
              <w:ind w:left="375"/>
              <w:rPr>
                <w:color w:val="auto"/>
                <w:sz w:val="24"/>
                <w:szCs w:val="24"/>
                <w:highlight w:val="none"/>
              </w:rPr>
            </w:pPr>
            <w:r>
              <w:rPr>
                <w:color w:val="auto"/>
                <w:sz w:val="24"/>
                <w:szCs w:val="24"/>
                <w:highlight w:val="none"/>
              </w:rPr>
              <w:t>6</w:t>
            </w:r>
          </w:p>
        </w:tc>
        <w:tc>
          <w:tcPr>
            <w:tcW w:w="2353" w:type="dxa"/>
            <w:gridSpan w:val="2"/>
            <w:vAlign w:val="top"/>
          </w:tcPr>
          <w:p w14:paraId="795FB68B">
            <w:pPr>
              <w:pStyle w:val="14"/>
              <w:spacing w:before="133" w:line="219" w:lineRule="auto"/>
              <w:ind w:left="703"/>
              <w:rPr>
                <w:color w:val="auto"/>
                <w:sz w:val="24"/>
                <w:szCs w:val="24"/>
                <w:highlight w:val="none"/>
              </w:rPr>
            </w:pPr>
            <w:r>
              <w:rPr>
                <w:color w:val="auto"/>
                <w:spacing w:val="-3"/>
                <w:sz w:val="24"/>
                <w:szCs w:val="24"/>
                <w:highlight w:val="none"/>
              </w:rPr>
              <w:t>预算金额</w:t>
            </w:r>
          </w:p>
        </w:tc>
        <w:tc>
          <w:tcPr>
            <w:tcW w:w="5320" w:type="dxa"/>
            <w:gridSpan w:val="2"/>
            <w:vAlign w:val="top"/>
          </w:tcPr>
          <w:p w14:paraId="3398D6D9">
            <w:pPr>
              <w:pStyle w:val="14"/>
              <w:spacing w:before="170" w:line="183" w:lineRule="auto"/>
              <w:ind w:left="2128"/>
              <w:rPr>
                <w:rFonts w:hint="eastAsia" w:eastAsia="宋体"/>
                <w:color w:val="auto"/>
                <w:sz w:val="24"/>
                <w:szCs w:val="24"/>
                <w:highlight w:val="none"/>
                <w:lang w:val="en-US" w:eastAsia="zh-CN"/>
              </w:rPr>
            </w:pPr>
            <w:r>
              <w:rPr>
                <w:rFonts w:hint="eastAsia" w:eastAsia="宋体"/>
                <w:color w:val="auto"/>
                <w:spacing w:val="-2"/>
                <w:sz w:val="24"/>
                <w:szCs w:val="24"/>
                <w:highlight w:val="none"/>
                <w:lang w:val="en-US" w:eastAsia="zh-CN"/>
              </w:rPr>
              <w:t>7</w:t>
            </w:r>
            <w:r>
              <w:rPr>
                <w:color w:val="auto"/>
                <w:spacing w:val="-2"/>
                <w:sz w:val="24"/>
                <w:szCs w:val="24"/>
                <w:highlight w:val="none"/>
              </w:rPr>
              <w:t>00000.00</w:t>
            </w:r>
            <w:r>
              <w:rPr>
                <w:rFonts w:hint="eastAsia" w:eastAsia="宋体"/>
                <w:color w:val="auto"/>
                <w:spacing w:val="-2"/>
                <w:sz w:val="24"/>
                <w:szCs w:val="24"/>
                <w:highlight w:val="none"/>
                <w:lang w:val="en-US" w:eastAsia="zh-CN"/>
              </w:rPr>
              <w:t>元</w:t>
            </w:r>
          </w:p>
        </w:tc>
      </w:tr>
      <w:tr w14:paraId="44E2F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59" w:hRule="atLeast"/>
        </w:trPr>
        <w:tc>
          <w:tcPr>
            <w:tcW w:w="853" w:type="dxa"/>
            <w:gridSpan w:val="2"/>
            <w:vAlign w:val="top"/>
          </w:tcPr>
          <w:p w14:paraId="44A4E4D0">
            <w:pPr>
              <w:pStyle w:val="14"/>
              <w:spacing w:before="170" w:line="182" w:lineRule="auto"/>
              <w:ind w:left="379"/>
              <w:rPr>
                <w:color w:val="auto"/>
                <w:sz w:val="24"/>
                <w:szCs w:val="24"/>
                <w:highlight w:val="none"/>
              </w:rPr>
            </w:pPr>
            <w:r>
              <w:rPr>
                <w:color w:val="auto"/>
                <w:sz w:val="24"/>
                <w:szCs w:val="24"/>
                <w:highlight w:val="none"/>
              </w:rPr>
              <w:t>7</w:t>
            </w:r>
          </w:p>
        </w:tc>
        <w:tc>
          <w:tcPr>
            <w:tcW w:w="2353" w:type="dxa"/>
            <w:gridSpan w:val="2"/>
            <w:vAlign w:val="top"/>
          </w:tcPr>
          <w:p w14:paraId="3F73B3BA">
            <w:pPr>
              <w:pStyle w:val="14"/>
              <w:spacing w:before="131" w:line="218" w:lineRule="auto"/>
              <w:ind w:left="704"/>
              <w:rPr>
                <w:color w:val="auto"/>
                <w:sz w:val="24"/>
                <w:szCs w:val="24"/>
                <w:highlight w:val="none"/>
              </w:rPr>
            </w:pPr>
            <w:r>
              <w:rPr>
                <w:color w:val="auto"/>
                <w:spacing w:val="-4"/>
                <w:sz w:val="24"/>
                <w:szCs w:val="24"/>
                <w:highlight w:val="none"/>
              </w:rPr>
              <w:t>最高限价</w:t>
            </w:r>
          </w:p>
        </w:tc>
        <w:tc>
          <w:tcPr>
            <w:tcW w:w="5320" w:type="dxa"/>
            <w:gridSpan w:val="2"/>
            <w:vAlign w:val="top"/>
          </w:tcPr>
          <w:p w14:paraId="76EF9845">
            <w:pPr>
              <w:pStyle w:val="14"/>
              <w:spacing w:before="169" w:line="183" w:lineRule="auto"/>
              <w:ind w:left="2128"/>
              <w:rPr>
                <w:rFonts w:hint="eastAsia" w:eastAsia="宋体"/>
                <w:color w:val="auto"/>
                <w:sz w:val="24"/>
                <w:szCs w:val="24"/>
                <w:highlight w:val="none"/>
                <w:lang w:val="en-US" w:eastAsia="zh-CN"/>
              </w:rPr>
            </w:pPr>
            <w:r>
              <w:rPr>
                <w:rFonts w:hint="eastAsia" w:eastAsia="宋体"/>
                <w:color w:val="auto"/>
                <w:spacing w:val="-2"/>
                <w:sz w:val="24"/>
                <w:szCs w:val="24"/>
                <w:highlight w:val="none"/>
                <w:lang w:val="en-US" w:eastAsia="zh-CN"/>
              </w:rPr>
              <w:t>7</w:t>
            </w:r>
            <w:r>
              <w:rPr>
                <w:color w:val="auto"/>
                <w:spacing w:val="-2"/>
                <w:sz w:val="24"/>
                <w:szCs w:val="24"/>
                <w:highlight w:val="none"/>
              </w:rPr>
              <w:t>00000.00</w:t>
            </w:r>
            <w:r>
              <w:rPr>
                <w:rFonts w:hint="eastAsia" w:eastAsia="宋体"/>
                <w:color w:val="auto"/>
                <w:spacing w:val="-2"/>
                <w:sz w:val="24"/>
                <w:szCs w:val="24"/>
                <w:highlight w:val="none"/>
                <w:lang w:val="en-US" w:eastAsia="zh-CN"/>
              </w:rPr>
              <w:t>元</w:t>
            </w:r>
          </w:p>
        </w:tc>
      </w:tr>
      <w:tr w14:paraId="5FDFF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61" w:hRule="atLeast"/>
        </w:trPr>
        <w:tc>
          <w:tcPr>
            <w:tcW w:w="853" w:type="dxa"/>
            <w:gridSpan w:val="2"/>
            <w:vAlign w:val="top"/>
          </w:tcPr>
          <w:p w14:paraId="7A92454C">
            <w:pPr>
              <w:pStyle w:val="14"/>
              <w:spacing w:before="170" w:line="183" w:lineRule="auto"/>
              <w:ind w:left="374"/>
              <w:rPr>
                <w:rFonts w:hint="eastAsia" w:eastAsia="宋体"/>
                <w:color w:val="auto"/>
                <w:sz w:val="24"/>
                <w:szCs w:val="24"/>
                <w:highlight w:val="none"/>
                <w:lang w:eastAsia="zh-CN"/>
              </w:rPr>
            </w:pPr>
            <w:r>
              <w:rPr>
                <w:rFonts w:hint="eastAsia" w:eastAsia="宋体"/>
                <w:color w:val="auto"/>
                <w:sz w:val="24"/>
                <w:szCs w:val="24"/>
                <w:highlight w:val="none"/>
                <w:lang w:val="en-US" w:eastAsia="zh-CN"/>
              </w:rPr>
              <w:t>8</w:t>
            </w:r>
          </w:p>
        </w:tc>
        <w:tc>
          <w:tcPr>
            <w:tcW w:w="2353" w:type="dxa"/>
            <w:gridSpan w:val="2"/>
            <w:vAlign w:val="top"/>
          </w:tcPr>
          <w:p w14:paraId="24F1A031">
            <w:pPr>
              <w:pStyle w:val="14"/>
              <w:spacing w:before="133" w:line="219" w:lineRule="auto"/>
              <w:ind w:left="587"/>
              <w:rPr>
                <w:color w:val="auto"/>
                <w:sz w:val="24"/>
                <w:szCs w:val="24"/>
                <w:highlight w:val="none"/>
              </w:rPr>
            </w:pPr>
            <w:r>
              <w:rPr>
                <w:b/>
                <w:bCs/>
                <w:color w:val="auto"/>
                <w:spacing w:val="-6"/>
                <w:sz w:val="24"/>
                <w:szCs w:val="24"/>
                <w:highlight w:val="none"/>
              </w:rPr>
              <w:t>▲服务承诺</w:t>
            </w:r>
          </w:p>
        </w:tc>
        <w:tc>
          <w:tcPr>
            <w:tcW w:w="5320" w:type="dxa"/>
            <w:gridSpan w:val="2"/>
            <w:vAlign w:val="top"/>
          </w:tcPr>
          <w:p w14:paraId="12E59F1C">
            <w:pPr>
              <w:pStyle w:val="14"/>
              <w:spacing w:before="276" w:line="219" w:lineRule="auto"/>
              <w:rPr>
                <w:color w:val="auto"/>
                <w:sz w:val="24"/>
                <w:szCs w:val="24"/>
                <w:highlight w:val="none"/>
              </w:rPr>
            </w:pPr>
            <w:r>
              <w:rPr>
                <w:b/>
                <w:bCs/>
                <w:color w:val="auto"/>
                <w:sz w:val="24"/>
                <w:szCs w:val="24"/>
                <w:highlight w:val="none"/>
              </w:rPr>
              <w:t>严格按照服务技术条款及投标人员配置提供</w:t>
            </w:r>
            <w:r>
              <w:rPr>
                <w:b/>
                <w:bCs/>
                <w:color w:val="auto"/>
                <w:spacing w:val="-8"/>
                <w:sz w:val="24"/>
                <w:szCs w:val="24"/>
                <w:highlight w:val="none"/>
              </w:rPr>
              <w:t>服务</w:t>
            </w:r>
          </w:p>
        </w:tc>
      </w:tr>
      <w:tr w14:paraId="06E24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7678" w:hRule="atLeast"/>
        </w:trPr>
        <w:tc>
          <w:tcPr>
            <w:tcW w:w="853" w:type="dxa"/>
            <w:gridSpan w:val="2"/>
            <w:vAlign w:val="top"/>
          </w:tcPr>
          <w:p w14:paraId="3387BC08">
            <w:pPr>
              <w:spacing w:line="251" w:lineRule="auto"/>
              <w:rPr>
                <w:rFonts w:ascii="Arial"/>
                <w:color w:val="auto"/>
                <w:sz w:val="21"/>
                <w:highlight w:val="none"/>
              </w:rPr>
            </w:pPr>
          </w:p>
          <w:p w14:paraId="46EDBFA2">
            <w:pPr>
              <w:spacing w:line="251" w:lineRule="auto"/>
              <w:rPr>
                <w:rFonts w:ascii="Arial"/>
                <w:color w:val="auto"/>
                <w:sz w:val="21"/>
                <w:highlight w:val="none"/>
              </w:rPr>
            </w:pPr>
          </w:p>
          <w:p w14:paraId="4738CB69">
            <w:pPr>
              <w:spacing w:line="251" w:lineRule="auto"/>
              <w:rPr>
                <w:rFonts w:ascii="Arial"/>
                <w:color w:val="auto"/>
                <w:sz w:val="21"/>
                <w:highlight w:val="none"/>
              </w:rPr>
            </w:pPr>
          </w:p>
          <w:p w14:paraId="2774BBDB">
            <w:pPr>
              <w:spacing w:line="251" w:lineRule="auto"/>
              <w:rPr>
                <w:rFonts w:ascii="Arial"/>
                <w:color w:val="auto"/>
                <w:sz w:val="21"/>
                <w:highlight w:val="none"/>
              </w:rPr>
            </w:pPr>
          </w:p>
          <w:p w14:paraId="44F10D7A">
            <w:pPr>
              <w:spacing w:line="251" w:lineRule="auto"/>
              <w:rPr>
                <w:rFonts w:ascii="Arial"/>
                <w:color w:val="auto"/>
                <w:sz w:val="21"/>
                <w:highlight w:val="none"/>
              </w:rPr>
            </w:pPr>
          </w:p>
          <w:p w14:paraId="7A418FD1">
            <w:pPr>
              <w:spacing w:line="251" w:lineRule="auto"/>
              <w:rPr>
                <w:rFonts w:ascii="Arial"/>
                <w:color w:val="auto"/>
                <w:sz w:val="21"/>
                <w:highlight w:val="none"/>
              </w:rPr>
            </w:pPr>
          </w:p>
          <w:p w14:paraId="4F52E36B">
            <w:pPr>
              <w:spacing w:line="251" w:lineRule="auto"/>
              <w:rPr>
                <w:rFonts w:ascii="Arial"/>
                <w:color w:val="auto"/>
                <w:sz w:val="21"/>
                <w:highlight w:val="none"/>
              </w:rPr>
            </w:pPr>
          </w:p>
          <w:p w14:paraId="735DE45F">
            <w:pPr>
              <w:spacing w:line="251" w:lineRule="auto"/>
              <w:rPr>
                <w:rFonts w:ascii="Arial"/>
                <w:color w:val="auto"/>
                <w:sz w:val="21"/>
                <w:highlight w:val="none"/>
              </w:rPr>
            </w:pPr>
          </w:p>
          <w:p w14:paraId="2F016E21">
            <w:pPr>
              <w:spacing w:line="251" w:lineRule="auto"/>
              <w:rPr>
                <w:rFonts w:ascii="Arial"/>
                <w:color w:val="auto"/>
                <w:sz w:val="21"/>
                <w:highlight w:val="none"/>
              </w:rPr>
            </w:pPr>
          </w:p>
          <w:p w14:paraId="6D92B119">
            <w:pPr>
              <w:spacing w:line="251" w:lineRule="auto"/>
              <w:rPr>
                <w:rFonts w:ascii="Arial"/>
                <w:color w:val="auto"/>
                <w:sz w:val="21"/>
                <w:highlight w:val="none"/>
              </w:rPr>
            </w:pPr>
          </w:p>
          <w:p w14:paraId="1D22C7CB">
            <w:pPr>
              <w:spacing w:line="251" w:lineRule="auto"/>
              <w:rPr>
                <w:rFonts w:ascii="Arial"/>
                <w:color w:val="auto"/>
                <w:sz w:val="21"/>
                <w:highlight w:val="none"/>
              </w:rPr>
            </w:pPr>
          </w:p>
          <w:p w14:paraId="3990FD68">
            <w:pPr>
              <w:spacing w:line="251" w:lineRule="auto"/>
              <w:rPr>
                <w:rFonts w:ascii="Arial"/>
                <w:color w:val="auto"/>
                <w:sz w:val="21"/>
                <w:highlight w:val="none"/>
              </w:rPr>
            </w:pPr>
          </w:p>
          <w:p w14:paraId="35B2EF71">
            <w:pPr>
              <w:spacing w:line="252" w:lineRule="auto"/>
              <w:rPr>
                <w:rFonts w:ascii="Arial"/>
                <w:color w:val="auto"/>
                <w:sz w:val="21"/>
                <w:highlight w:val="none"/>
              </w:rPr>
            </w:pPr>
          </w:p>
          <w:p w14:paraId="49D19790">
            <w:pPr>
              <w:spacing w:line="252" w:lineRule="auto"/>
              <w:rPr>
                <w:rFonts w:ascii="Arial"/>
                <w:color w:val="auto"/>
                <w:sz w:val="21"/>
                <w:highlight w:val="none"/>
              </w:rPr>
            </w:pPr>
          </w:p>
          <w:p w14:paraId="350D4902">
            <w:pPr>
              <w:spacing w:line="252" w:lineRule="auto"/>
              <w:rPr>
                <w:rFonts w:ascii="Arial"/>
                <w:color w:val="auto"/>
                <w:sz w:val="21"/>
                <w:highlight w:val="none"/>
              </w:rPr>
            </w:pPr>
          </w:p>
          <w:p w14:paraId="5B6E7C48">
            <w:pPr>
              <w:spacing w:line="252" w:lineRule="auto"/>
              <w:rPr>
                <w:rFonts w:ascii="Arial"/>
                <w:color w:val="auto"/>
                <w:sz w:val="21"/>
                <w:highlight w:val="none"/>
              </w:rPr>
            </w:pPr>
          </w:p>
          <w:p w14:paraId="389FB71C">
            <w:pPr>
              <w:spacing w:line="252" w:lineRule="auto"/>
              <w:rPr>
                <w:rFonts w:ascii="Arial"/>
                <w:color w:val="auto"/>
                <w:sz w:val="21"/>
                <w:highlight w:val="none"/>
              </w:rPr>
            </w:pPr>
          </w:p>
          <w:p w14:paraId="0E54393F">
            <w:pPr>
              <w:spacing w:line="252" w:lineRule="auto"/>
              <w:rPr>
                <w:rFonts w:ascii="Arial"/>
                <w:color w:val="auto"/>
                <w:sz w:val="21"/>
                <w:highlight w:val="none"/>
              </w:rPr>
            </w:pPr>
          </w:p>
          <w:p w14:paraId="1434EED6">
            <w:pPr>
              <w:spacing w:line="252" w:lineRule="auto"/>
              <w:rPr>
                <w:rFonts w:ascii="Arial"/>
                <w:color w:val="auto"/>
                <w:sz w:val="21"/>
                <w:highlight w:val="none"/>
              </w:rPr>
            </w:pPr>
          </w:p>
          <w:p w14:paraId="3530F337">
            <w:pPr>
              <w:pStyle w:val="14"/>
              <w:spacing w:before="78" w:line="184" w:lineRule="auto"/>
              <w:ind w:left="331"/>
              <w:rPr>
                <w:rFonts w:hint="eastAsia" w:eastAsia="宋体"/>
                <w:color w:val="auto"/>
                <w:sz w:val="24"/>
                <w:szCs w:val="24"/>
                <w:highlight w:val="none"/>
                <w:lang w:eastAsia="zh-CN"/>
              </w:rPr>
            </w:pPr>
            <w:r>
              <w:rPr>
                <w:rFonts w:hint="eastAsia" w:eastAsia="宋体"/>
                <w:color w:val="auto"/>
                <w:spacing w:val="-14"/>
                <w:sz w:val="24"/>
                <w:szCs w:val="24"/>
                <w:highlight w:val="none"/>
                <w:lang w:val="en-US" w:eastAsia="zh-CN"/>
              </w:rPr>
              <w:t>9</w:t>
            </w:r>
          </w:p>
        </w:tc>
        <w:tc>
          <w:tcPr>
            <w:tcW w:w="2353" w:type="dxa"/>
            <w:gridSpan w:val="2"/>
            <w:vAlign w:val="top"/>
          </w:tcPr>
          <w:p w14:paraId="737BE093">
            <w:pPr>
              <w:spacing w:line="250" w:lineRule="auto"/>
              <w:rPr>
                <w:rFonts w:ascii="Arial"/>
                <w:color w:val="auto"/>
                <w:sz w:val="21"/>
                <w:highlight w:val="none"/>
              </w:rPr>
            </w:pPr>
          </w:p>
          <w:p w14:paraId="339B6300">
            <w:pPr>
              <w:spacing w:line="250" w:lineRule="auto"/>
              <w:rPr>
                <w:rFonts w:ascii="Arial"/>
                <w:color w:val="auto"/>
                <w:sz w:val="21"/>
                <w:highlight w:val="none"/>
              </w:rPr>
            </w:pPr>
          </w:p>
          <w:p w14:paraId="50C12425">
            <w:pPr>
              <w:spacing w:line="250" w:lineRule="auto"/>
              <w:rPr>
                <w:rFonts w:ascii="Arial"/>
                <w:color w:val="auto"/>
                <w:sz w:val="21"/>
                <w:highlight w:val="none"/>
              </w:rPr>
            </w:pPr>
          </w:p>
          <w:p w14:paraId="185EDA2E">
            <w:pPr>
              <w:spacing w:line="250" w:lineRule="auto"/>
              <w:rPr>
                <w:rFonts w:ascii="Arial"/>
                <w:color w:val="auto"/>
                <w:sz w:val="21"/>
                <w:highlight w:val="none"/>
              </w:rPr>
            </w:pPr>
          </w:p>
          <w:p w14:paraId="473695E8">
            <w:pPr>
              <w:spacing w:line="250" w:lineRule="auto"/>
              <w:rPr>
                <w:rFonts w:ascii="Arial"/>
                <w:color w:val="auto"/>
                <w:sz w:val="21"/>
                <w:highlight w:val="none"/>
              </w:rPr>
            </w:pPr>
          </w:p>
          <w:p w14:paraId="5983466E">
            <w:pPr>
              <w:spacing w:line="250" w:lineRule="auto"/>
              <w:rPr>
                <w:rFonts w:ascii="Arial"/>
                <w:color w:val="auto"/>
                <w:sz w:val="21"/>
                <w:highlight w:val="none"/>
              </w:rPr>
            </w:pPr>
          </w:p>
          <w:p w14:paraId="63E7D9B7">
            <w:pPr>
              <w:spacing w:line="250" w:lineRule="auto"/>
              <w:rPr>
                <w:rFonts w:ascii="Arial"/>
                <w:color w:val="auto"/>
                <w:sz w:val="21"/>
                <w:highlight w:val="none"/>
              </w:rPr>
            </w:pPr>
          </w:p>
          <w:p w14:paraId="625C5DBC">
            <w:pPr>
              <w:spacing w:line="250" w:lineRule="auto"/>
              <w:rPr>
                <w:rFonts w:ascii="Arial"/>
                <w:color w:val="auto"/>
                <w:sz w:val="21"/>
                <w:highlight w:val="none"/>
              </w:rPr>
            </w:pPr>
          </w:p>
          <w:p w14:paraId="2230DC23">
            <w:pPr>
              <w:spacing w:line="250" w:lineRule="auto"/>
              <w:rPr>
                <w:rFonts w:ascii="Arial"/>
                <w:color w:val="auto"/>
                <w:sz w:val="21"/>
                <w:highlight w:val="none"/>
              </w:rPr>
            </w:pPr>
          </w:p>
          <w:p w14:paraId="115D8C76">
            <w:pPr>
              <w:spacing w:line="250" w:lineRule="auto"/>
              <w:rPr>
                <w:rFonts w:ascii="Arial"/>
                <w:color w:val="auto"/>
                <w:sz w:val="21"/>
                <w:highlight w:val="none"/>
              </w:rPr>
            </w:pPr>
          </w:p>
          <w:p w14:paraId="4B98276A">
            <w:pPr>
              <w:spacing w:line="250" w:lineRule="auto"/>
              <w:rPr>
                <w:rFonts w:ascii="Arial"/>
                <w:color w:val="auto"/>
                <w:sz w:val="21"/>
                <w:highlight w:val="none"/>
              </w:rPr>
            </w:pPr>
          </w:p>
          <w:p w14:paraId="6EA40396">
            <w:pPr>
              <w:spacing w:line="250" w:lineRule="auto"/>
              <w:rPr>
                <w:rFonts w:ascii="Arial"/>
                <w:color w:val="auto"/>
                <w:sz w:val="21"/>
                <w:highlight w:val="none"/>
              </w:rPr>
            </w:pPr>
          </w:p>
          <w:p w14:paraId="5E937988">
            <w:pPr>
              <w:spacing w:line="251" w:lineRule="auto"/>
              <w:rPr>
                <w:rFonts w:ascii="Arial"/>
                <w:color w:val="auto"/>
                <w:sz w:val="21"/>
                <w:highlight w:val="none"/>
              </w:rPr>
            </w:pPr>
          </w:p>
          <w:p w14:paraId="40DB7A19">
            <w:pPr>
              <w:spacing w:line="251" w:lineRule="auto"/>
              <w:rPr>
                <w:rFonts w:ascii="Arial"/>
                <w:color w:val="auto"/>
                <w:sz w:val="21"/>
                <w:highlight w:val="none"/>
              </w:rPr>
            </w:pPr>
          </w:p>
          <w:p w14:paraId="7072D265">
            <w:pPr>
              <w:spacing w:line="251" w:lineRule="auto"/>
              <w:rPr>
                <w:rFonts w:ascii="Arial"/>
                <w:color w:val="auto"/>
                <w:sz w:val="21"/>
                <w:highlight w:val="none"/>
              </w:rPr>
            </w:pPr>
          </w:p>
          <w:p w14:paraId="6AE56EA5">
            <w:pPr>
              <w:spacing w:line="251" w:lineRule="auto"/>
              <w:rPr>
                <w:rFonts w:ascii="Arial"/>
                <w:color w:val="auto"/>
                <w:sz w:val="21"/>
                <w:highlight w:val="none"/>
              </w:rPr>
            </w:pPr>
          </w:p>
          <w:p w14:paraId="46A6FCFF">
            <w:pPr>
              <w:spacing w:line="251" w:lineRule="auto"/>
              <w:rPr>
                <w:rFonts w:ascii="Arial"/>
                <w:color w:val="auto"/>
                <w:sz w:val="21"/>
                <w:highlight w:val="none"/>
              </w:rPr>
            </w:pPr>
          </w:p>
          <w:p w14:paraId="0559E66C">
            <w:pPr>
              <w:spacing w:line="251" w:lineRule="auto"/>
              <w:rPr>
                <w:rFonts w:ascii="Arial"/>
                <w:color w:val="auto"/>
                <w:sz w:val="21"/>
                <w:highlight w:val="none"/>
              </w:rPr>
            </w:pPr>
          </w:p>
          <w:p w14:paraId="4AF9C7E9">
            <w:pPr>
              <w:pStyle w:val="14"/>
              <w:spacing w:before="78" w:line="347" w:lineRule="auto"/>
              <w:ind w:left="578" w:right="215" w:hanging="353"/>
              <w:rPr>
                <w:color w:val="auto"/>
                <w:sz w:val="24"/>
                <w:szCs w:val="24"/>
                <w:highlight w:val="none"/>
              </w:rPr>
            </w:pPr>
            <w:r>
              <w:rPr>
                <w:b/>
                <w:bCs/>
                <w:color w:val="auto"/>
                <w:spacing w:val="-5"/>
                <w:sz w:val="24"/>
                <w:szCs w:val="24"/>
                <w:highlight w:val="none"/>
              </w:rPr>
              <w:t>▲本项目人员最低</w:t>
            </w:r>
            <w:r>
              <w:rPr>
                <w:color w:val="auto"/>
                <w:spacing w:val="5"/>
                <w:sz w:val="24"/>
                <w:szCs w:val="24"/>
                <w:highlight w:val="none"/>
              </w:rPr>
              <w:t xml:space="preserve"> </w:t>
            </w:r>
            <w:r>
              <w:rPr>
                <w:b/>
                <w:bCs/>
                <w:color w:val="auto"/>
                <w:spacing w:val="-4"/>
                <w:sz w:val="24"/>
                <w:szCs w:val="24"/>
                <w:highlight w:val="none"/>
              </w:rPr>
              <w:t>配置及要求</w:t>
            </w:r>
          </w:p>
        </w:tc>
        <w:tc>
          <w:tcPr>
            <w:tcW w:w="5320" w:type="dxa"/>
            <w:gridSpan w:val="2"/>
            <w:vAlign w:val="top"/>
          </w:tcPr>
          <w:p w14:paraId="1FDBA8AC">
            <w:pPr>
              <w:pStyle w:val="14"/>
              <w:spacing w:before="194" w:line="371" w:lineRule="auto"/>
              <w:ind w:left="722" w:right="571"/>
              <w:rPr>
                <w:color w:val="auto"/>
                <w:sz w:val="24"/>
                <w:szCs w:val="24"/>
                <w:highlight w:val="none"/>
              </w:rPr>
            </w:pPr>
            <w:r>
              <w:rPr>
                <w:rFonts w:ascii="MS Gothic" w:hAnsi="MS Gothic" w:eastAsia="MS Gothic" w:cs="MS Gothic"/>
                <w:color w:val="auto"/>
                <w:spacing w:val="-6"/>
                <w:sz w:val="24"/>
                <w:szCs w:val="24"/>
                <w:highlight w:val="none"/>
              </w:rPr>
              <w:t>☑</w:t>
            </w:r>
            <w:r>
              <w:rPr>
                <w:color w:val="auto"/>
                <w:spacing w:val="-6"/>
                <w:sz w:val="24"/>
                <w:szCs w:val="24"/>
                <w:highlight w:val="none"/>
              </w:rPr>
              <w:t>全过程工程咨询项目总负责人</w:t>
            </w:r>
            <w:r>
              <w:rPr>
                <w:color w:val="auto"/>
                <w:spacing w:val="-29"/>
                <w:sz w:val="24"/>
                <w:szCs w:val="24"/>
                <w:highlight w:val="none"/>
              </w:rPr>
              <w:t xml:space="preserve"> </w:t>
            </w:r>
            <w:r>
              <w:rPr>
                <w:color w:val="auto"/>
                <w:spacing w:val="-6"/>
                <w:sz w:val="24"/>
                <w:szCs w:val="24"/>
                <w:highlight w:val="none"/>
              </w:rPr>
              <w:t>1</w:t>
            </w:r>
            <w:r>
              <w:rPr>
                <w:color w:val="auto"/>
                <w:spacing w:val="-49"/>
                <w:sz w:val="24"/>
                <w:szCs w:val="24"/>
                <w:highlight w:val="none"/>
              </w:rPr>
              <w:t xml:space="preserve"> </w:t>
            </w:r>
            <w:r>
              <w:rPr>
                <w:color w:val="auto"/>
                <w:spacing w:val="-6"/>
                <w:sz w:val="24"/>
                <w:szCs w:val="24"/>
                <w:highlight w:val="none"/>
              </w:rPr>
              <w:t>人。</w:t>
            </w:r>
            <w:r>
              <w:rPr>
                <w:color w:val="auto"/>
                <w:sz w:val="24"/>
                <w:szCs w:val="24"/>
                <w:highlight w:val="none"/>
              </w:rPr>
              <w:t xml:space="preserve"> </w:t>
            </w:r>
            <w:r>
              <w:rPr>
                <w:rFonts w:ascii="MS Gothic" w:hAnsi="MS Gothic" w:eastAsia="MS Gothic" w:cs="MS Gothic"/>
                <w:color w:val="auto"/>
                <w:spacing w:val="-2"/>
                <w:sz w:val="24"/>
                <w:szCs w:val="24"/>
                <w:highlight w:val="none"/>
              </w:rPr>
              <w:t>☑</w:t>
            </w:r>
            <w:r>
              <w:rPr>
                <w:color w:val="auto"/>
                <w:spacing w:val="-2"/>
                <w:sz w:val="24"/>
                <w:szCs w:val="24"/>
                <w:highlight w:val="none"/>
              </w:rPr>
              <w:t>项目管理专业人员配置情况</w:t>
            </w:r>
          </w:p>
          <w:p w14:paraId="23385051">
            <w:pPr>
              <w:pStyle w:val="14"/>
              <w:spacing w:before="37" w:line="217" w:lineRule="auto"/>
              <w:ind w:left="711"/>
              <w:rPr>
                <w:color w:val="auto"/>
                <w:sz w:val="24"/>
                <w:szCs w:val="24"/>
                <w:highlight w:val="none"/>
              </w:rPr>
            </w:pPr>
            <w:r>
              <w:rPr>
                <w:color w:val="auto"/>
                <w:spacing w:val="-5"/>
                <w:sz w:val="24"/>
                <w:szCs w:val="24"/>
                <w:highlight w:val="none"/>
              </w:rPr>
              <w:t>①项目管理负责人</w:t>
            </w:r>
            <w:r>
              <w:rPr>
                <w:color w:val="auto"/>
                <w:spacing w:val="-26"/>
                <w:sz w:val="24"/>
                <w:szCs w:val="24"/>
                <w:highlight w:val="none"/>
              </w:rPr>
              <w:t xml:space="preserve"> </w:t>
            </w:r>
            <w:r>
              <w:rPr>
                <w:color w:val="auto"/>
                <w:spacing w:val="-5"/>
                <w:sz w:val="24"/>
                <w:szCs w:val="24"/>
                <w:highlight w:val="none"/>
              </w:rPr>
              <w:t>1</w:t>
            </w:r>
            <w:r>
              <w:rPr>
                <w:color w:val="auto"/>
                <w:spacing w:val="-49"/>
                <w:sz w:val="24"/>
                <w:szCs w:val="24"/>
                <w:highlight w:val="none"/>
              </w:rPr>
              <w:t xml:space="preserve"> </w:t>
            </w:r>
            <w:r>
              <w:rPr>
                <w:color w:val="auto"/>
                <w:spacing w:val="-5"/>
                <w:sz w:val="24"/>
                <w:szCs w:val="24"/>
                <w:highlight w:val="none"/>
              </w:rPr>
              <w:t>人；</w:t>
            </w:r>
          </w:p>
          <w:p w14:paraId="51D0B585">
            <w:pPr>
              <w:pStyle w:val="14"/>
              <w:spacing w:before="217" w:line="217" w:lineRule="auto"/>
              <w:ind w:left="710"/>
              <w:rPr>
                <w:color w:val="auto"/>
                <w:sz w:val="24"/>
                <w:szCs w:val="24"/>
                <w:highlight w:val="none"/>
              </w:rPr>
            </w:pPr>
            <w:r>
              <w:rPr>
                <w:color w:val="auto"/>
                <w:spacing w:val="3"/>
                <w:sz w:val="24"/>
                <w:szCs w:val="24"/>
                <w:highlight w:val="none"/>
              </w:rPr>
              <w:t>②配备项目设计管理人员≥1人；</w:t>
            </w:r>
          </w:p>
          <w:p w14:paraId="1FB11632">
            <w:pPr>
              <w:pStyle w:val="14"/>
              <w:spacing w:before="211" w:line="302" w:lineRule="auto"/>
              <w:ind w:left="721" w:right="391" w:hanging="11"/>
              <w:rPr>
                <w:color w:val="auto"/>
                <w:sz w:val="24"/>
                <w:szCs w:val="24"/>
                <w:highlight w:val="none"/>
              </w:rPr>
            </w:pPr>
            <w:r>
              <w:rPr>
                <w:color w:val="auto"/>
                <w:spacing w:val="11"/>
                <w:sz w:val="24"/>
                <w:szCs w:val="24"/>
                <w:highlight w:val="none"/>
              </w:rPr>
              <w:t xml:space="preserve"> </w:t>
            </w:r>
            <w:r>
              <w:rPr>
                <w:rFonts w:ascii="MS Gothic" w:hAnsi="MS Gothic" w:eastAsia="MS Gothic" w:cs="MS Gothic"/>
                <w:color w:val="auto"/>
                <w:spacing w:val="-2"/>
                <w:sz w:val="24"/>
                <w:szCs w:val="24"/>
                <w:highlight w:val="none"/>
              </w:rPr>
              <w:t>☑</w:t>
            </w:r>
            <w:r>
              <w:rPr>
                <w:color w:val="auto"/>
                <w:spacing w:val="-2"/>
                <w:sz w:val="24"/>
                <w:szCs w:val="24"/>
                <w:highlight w:val="none"/>
              </w:rPr>
              <w:t>工程监理专业人员配置情况</w:t>
            </w:r>
          </w:p>
          <w:p w14:paraId="0B733ECD">
            <w:pPr>
              <w:pStyle w:val="14"/>
              <w:spacing w:before="215" w:line="217" w:lineRule="auto"/>
              <w:ind w:left="711"/>
              <w:rPr>
                <w:color w:val="auto"/>
                <w:sz w:val="24"/>
                <w:szCs w:val="24"/>
                <w:highlight w:val="none"/>
              </w:rPr>
            </w:pPr>
            <w:r>
              <w:rPr>
                <w:color w:val="auto"/>
                <w:spacing w:val="-5"/>
                <w:sz w:val="24"/>
                <w:szCs w:val="24"/>
                <w:highlight w:val="none"/>
              </w:rPr>
              <w:t>①总监理工程师</w:t>
            </w:r>
            <w:r>
              <w:rPr>
                <w:color w:val="auto"/>
                <w:spacing w:val="-31"/>
                <w:sz w:val="24"/>
                <w:szCs w:val="24"/>
                <w:highlight w:val="none"/>
              </w:rPr>
              <w:t xml:space="preserve"> </w:t>
            </w:r>
            <w:r>
              <w:rPr>
                <w:color w:val="auto"/>
                <w:spacing w:val="-5"/>
                <w:sz w:val="24"/>
                <w:szCs w:val="24"/>
                <w:highlight w:val="none"/>
              </w:rPr>
              <w:t>1</w:t>
            </w:r>
            <w:r>
              <w:rPr>
                <w:color w:val="auto"/>
                <w:spacing w:val="-49"/>
                <w:sz w:val="24"/>
                <w:szCs w:val="24"/>
                <w:highlight w:val="none"/>
              </w:rPr>
              <w:t xml:space="preserve"> </w:t>
            </w:r>
            <w:r>
              <w:rPr>
                <w:color w:val="auto"/>
                <w:spacing w:val="-5"/>
                <w:sz w:val="24"/>
                <w:szCs w:val="24"/>
                <w:highlight w:val="none"/>
              </w:rPr>
              <w:t>人；</w:t>
            </w:r>
          </w:p>
          <w:p w14:paraId="6F260457">
            <w:pPr>
              <w:pStyle w:val="14"/>
              <w:spacing w:before="218" w:line="343" w:lineRule="auto"/>
              <w:ind w:left="115" w:right="106" w:firstLine="595"/>
              <w:rPr>
                <w:color w:val="auto"/>
                <w:spacing w:val="-5"/>
                <w:sz w:val="24"/>
                <w:szCs w:val="24"/>
                <w:highlight w:val="none"/>
              </w:rPr>
            </w:pPr>
            <w:r>
              <w:rPr>
                <w:color w:val="auto"/>
                <w:spacing w:val="3"/>
                <w:sz w:val="24"/>
                <w:szCs w:val="24"/>
                <w:highlight w:val="none"/>
              </w:rPr>
              <w:t>②配备专业监理工程师≥</w:t>
            </w:r>
            <w:r>
              <w:rPr>
                <w:rFonts w:hint="eastAsia" w:eastAsia="宋体"/>
                <w:color w:val="auto"/>
                <w:spacing w:val="3"/>
                <w:sz w:val="24"/>
                <w:szCs w:val="24"/>
                <w:highlight w:val="none"/>
                <w:lang w:val="en-US" w:eastAsia="zh-CN"/>
              </w:rPr>
              <w:t>1</w:t>
            </w:r>
            <w:r>
              <w:rPr>
                <w:color w:val="auto"/>
                <w:spacing w:val="3"/>
                <w:sz w:val="24"/>
                <w:szCs w:val="24"/>
                <w:highlight w:val="none"/>
              </w:rPr>
              <w:t>人（建筑工程专业</w:t>
            </w:r>
            <w:r>
              <w:rPr>
                <w:rFonts w:hint="eastAsia" w:eastAsia="宋体"/>
                <w:b/>
                <w:bCs/>
                <w:color w:val="auto"/>
                <w:spacing w:val="3"/>
                <w:sz w:val="24"/>
                <w:szCs w:val="24"/>
                <w:highlight w:val="none"/>
                <w:lang w:val="en-US" w:eastAsia="zh-CN"/>
              </w:rPr>
              <w:t>或市政工程专业</w:t>
            </w:r>
            <w:r>
              <w:rPr>
                <w:color w:val="auto"/>
                <w:spacing w:val="3"/>
                <w:sz w:val="24"/>
                <w:szCs w:val="24"/>
                <w:highlight w:val="none"/>
              </w:rPr>
              <w:t>监</w:t>
            </w:r>
            <w:r>
              <w:rPr>
                <w:color w:val="auto"/>
                <w:spacing w:val="2"/>
                <w:sz w:val="24"/>
                <w:szCs w:val="24"/>
                <w:highlight w:val="none"/>
              </w:rPr>
              <w:t>理工程师≥1人、安装专业监理工程师≥1人</w:t>
            </w:r>
            <w:r>
              <w:rPr>
                <w:color w:val="auto"/>
                <w:spacing w:val="5"/>
                <w:sz w:val="24"/>
                <w:szCs w:val="24"/>
                <w:highlight w:val="none"/>
              </w:rPr>
              <w:t>），</w:t>
            </w:r>
            <w:r>
              <w:rPr>
                <w:color w:val="auto"/>
                <w:spacing w:val="2"/>
                <w:sz w:val="24"/>
                <w:szCs w:val="24"/>
                <w:highlight w:val="none"/>
              </w:rPr>
              <w:t>专业工作年限均≥</w:t>
            </w:r>
            <w:r>
              <w:rPr>
                <w:rFonts w:hint="eastAsia" w:eastAsia="宋体"/>
                <w:color w:val="auto"/>
                <w:spacing w:val="2"/>
                <w:sz w:val="24"/>
                <w:szCs w:val="24"/>
                <w:highlight w:val="none"/>
                <w:lang w:val="en-US" w:eastAsia="zh-CN"/>
              </w:rPr>
              <w:t>5</w:t>
            </w:r>
            <w:r>
              <w:rPr>
                <w:color w:val="auto"/>
                <w:sz w:val="24"/>
                <w:szCs w:val="24"/>
                <w:highlight w:val="none"/>
              </w:rPr>
              <w:t xml:space="preserve"> </w:t>
            </w:r>
            <w:r>
              <w:rPr>
                <w:color w:val="auto"/>
                <w:spacing w:val="-5"/>
                <w:sz w:val="24"/>
                <w:szCs w:val="24"/>
                <w:highlight w:val="none"/>
              </w:rPr>
              <w:t>年。</w:t>
            </w:r>
          </w:p>
          <w:p w14:paraId="19D80FB0">
            <w:pPr>
              <w:pStyle w:val="14"/>
              <w:spacing w:before="218" w:line="343" w:lineRule="auto"/>
              <w:ind w:left="115" w:right="106" w:firstLine="595"/>
              <w:rPr>
                <w:color w:val="auto"/>
                <w:sz w:val="24"/>
                <w:szCs w:val="24"/>
                <w:highlight w:val="none"/>
              </w:rPr>
            </w:pPr>
            <w:r>
              <w:rPr>
                <w:rFonts w:ascii="MS Gothic" w:hAnsi="MS Gothic" w:eastAsia="MS Gothic" w:cs="MS Gothic"/>
                <w:color w:val="auto"/>
                <w:spacing w:val="-2"/>
                <w:sz w:val="24"/>
                <w:szCs w:val="24"/>
                <w:highlight w:val="none"/>
              </w:rPr>
              <w:t>☑</w:t>
            </w:r>
            <w:r>
              <w:rPr>
                <w:color w:val="auto"/>
                <w:spacing w:val="-2"/>
                <w:sz w:val="24"/>
                <w:szCs w:val="24"/>
                <w:highlight w:val="none"/>
              </w:rPr>
              <w:t>造价咨询人员配置情况</w:t>
            </w:r>
          </w:p>
          <w:p w14:paraId="7F0FF18C">
            <w:pPr>
              <w:pStyle w:val="14"/>
              <w:spacing w:before="219" w:line="217" w:lineRule="auto"/>
              <w:ind w:left="711"/>
              <w:rPr>
                <w:color w:val="auto"/>
                <w:sz w:val="24"/>
                <w:szCs w:val="24"/>
                <w:highlight w:val="none"/>
              </w:rPr>
            </w:pPr>
            <w:r>
              <w:rPr>
                <w:color w:val="auto"/>
                <w:spacing w:val="-4"/>
                <w:sz w:val="24"/>
                <w:szCs w:val="24"/>
                <w:highlight w:val="none"/>
              </w:rPr>
              <w:t>①工程造价咨询负责人</w:t>
            </w:r>
            <w:r>
              <w:rPr>
                <w:color w:val="auto"/>
                <w:spacing w:val="-29"/>
                <w:sz w:val="24"/>
                <w:szCs w:val="24"/>
                <w:highlight w:val="none"/>
              </w:rPr>
              <w:t xml:space="preserve"> </w:t>
            </w:r>
            <w:r>
              <w:rPr>
                <w:color w:val="auto"/>
                <w:spacing w:val="-4"/>
                <w:sz w:val="24"/>
                <w:szCs w:val="24"/>
                <w:highlight w:val="none"/>
              </w:rPr>
              <w:t>1</w:t>
            </w:r>
            <w:r>
              <w:rPr>
                <w:color w:val="auto"/>
                <w:spacing w:val="-49"/>
                <w:sz w:val="24"/>
                <w:szCs w:val="24"/>
                <w:highlight w:val="none"/>
              </w:rPr>
              <w:t xml:space="preserve"> </w:t>
            </w:r>
            <w:r>
              <w:rPr>
                <w:color w:val="auto"/>
                <w:spacing w:val="-4"/>
                <w:sz w:val="24"/>
                <w:szCs w:val="24"/>
                <w:highlight w:val="none"/>
              </w:rPr>
              <w:t>人；</w:t>
            </w:r>
          </w:p>
          <w:p w14:paraId="7E122894">
            <w:pPr>
              <w:pStyle w:val="14"/>
              <w:spacing w:before="216" w:line="302" w:lineRule="auto"/>
              <w:ind w:left="116" w:right="109" w:firstLine="594"/>
              <w:rPr>
                <w:color w:val="auto"/>
                <w:sz w:val="24"/>
                <w:szCs w:val="24"/>
                <w:highlight w:val="none"/>
              </w:rPr>
            </w:pPr>
            <w:r>
              <w:rPr>
                <w:color w:val="auto"/>
                <w:spacing w:val="2"/>
                <w:sz w:val="24"/>
                <w:szCs w:val="24"/>
                <w:highlight w:val="none"/>
              </w:rPr>
              <w:t>②配备造价从业人员≥2人，专业工作年限</w:t>
            </w:r>
            <w:r>
              <w:rPr>
                <w:color w:val="auto"/>
                <w:spacing w:val="15"/>
                <w:sz w:val="24"/>
                <w:szCs w:val="24"/>
                <w:highlight w:val="none"/>
              </w:rPr>
              <w:t xml:space="preserve"> </w:t>
            </w:r>
            <w:r>
              <w:rPr>
                <w:color w:val="auto"/>
                <w:spacing w:val="-5"/>
                <w:sz w:val="24"/>
                <w:szCs w:val="24"/>
                <w:highlight w:val="none"/>
              </w:rPr>
              <w:t>均≥5</w:t>
            </w:r>
            <w:r>
              <w:rPr>
                <w:color w:val="auto"/>
                <w:spacing w:val="-47"/>
                <w:sz w:val="24"/>
                <w:szCs w:val="24"/>
                <w:highlight w:val="none"/>
              </w:rPr>
              <w:t xml:space="preserve"> </w:t>
            </w:r>
            <w:r>
              <w:rPr>
                <w:color w:val="auto"/>
                <w:spacing w:val="-5"/>
                <w:sz w:val="24"/>
                <w:szCs w:val="24"/>
                <w:highlight w:val="none"/>
              </w:rPr>
              <w:t>年。</w:t>
            </w:r>
          </w:p>
          <w:p w14:paraId="134C6CFB">
            <w:pPr>
              <w:pStyle w:val="14"/>
              <w:spacing w:before="55" w:line="219" w:lineRule="auto"/>
              <w:ind w:left="595"/>
              <w:rPr>
                <w:color w:val="auto"/>
                <w:sz w:val="24"/>
                <w:szCs w:val="24"/>
                <w:highlight w:val="none"/>
              </w:rPr>
            </w:pPr>
            <w:r>
              <w:rPr>
                <w:b/>
                <w:bCs/>
                <w:color w:val="auto"/>
                <w:spacing w:val="-3"/>
                <w:sz w:val="24"/>
                <w:szCs w:val="24"/>
                <w:highlight w:val="none"/>
              </w:rPr>
              <w:t>注：上述项目人员要求一人一岗，不得重复</w:t>
            </w:r>
          </w:p>
        </w:tc>
      </w:tr>
      <w:tr w14:paraId="7361A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524" w:hRule="atLeast"/>
        </w:trPr>
        <w:tc>
          <w:tcPr>
            <w:tcW w:w="853" w:type="dxa"/>
            <w:gridSpan w:val="2"/>
            <w:vAlign w:val="top"/>
          </w:tcPr>
          <w:p w14:paraId="398C4323">
            <w:pPr>
              <w:spacing w:line="252" w:lineRule="auto"/>
              <w:rPr>
                <w:rFonts w:ascii="Arial"/>
                <w:color w:val="auto"/>
                <w:sz w:val="21"/>
                <w:highlight w:val="none"/>
              </w:rPr>
            </w:pPr>
          </w:p>
          <w:p w14:paraId="7649FD18">
            <w:pPr>
              <w:spacing w:line="252" w:lineRule="auto"/>
              <w:rPr>
                <w:rFonts w:ascii="Arial"/>
                <w:color w:val="auto"/>
                <w:sz w:val="21"/>
                <w:highlight w:val="none"/>
              </w:rPr>
            </w:pPr>
          </w:p>
          <w:p w14:paraId="2B8F6735">
            <w:pPr>
              <w:spacing w:line="252" w:lineRule="auto"/>
              <w:rPr>
                <w:rFonts w:ascii="Arial"/>
                <w:color w:val="auto"/>
                <w:sz w:val="21"/>
                <w:highlight w:val="none"/>
              </w:rPr>
            </w:pPr>
          </w:p>
          <w:p w14:paraId="1E2A5A4F">
            <w:pPr>
              <w:spacing w:line="252" w:lineRule="auto"/>
              <w:rPr>
                <w:rFonts w:ascii="Arial"/>
                <w:color w:val="auto"/>
                <w:sz w:val="21"/>
                <w:highlight w:val="none"/>
              </w:rPr>
            </w:pPr>
          </w:p>
          <w:p w14:paraId="6FC40520">
            <w:pPr>
              <w:spacing w:line="253" w:lineRule="auto"/>
              <w:rPr>
                <w:rFonts w:ascii="Arial"/>
                <w:color w:val="auto"/>
                <w:sz w:val="21"/>
                <w:highlight w:val="none"/>
              </w:rPr>
            </w:pPr>
          </w:p>
          <w:p w14:paraId="4616A2E4">
            <w:pPr>
              <w:spacing w:line="253" w:lineRule="auto"/>
              <w:rPr>
                <w:rFonts w:ascii="Arial"/>
                <w:color w:val="auto"/>
                <w:sz w:val="21"/>
                <w:highlight w:val="none"/>
              </w:rPr>
            </w:pPr>
          </w:p>
          <w:p w14:paraId="5A650E72">
            <w:pPr>
              <w:pStyle w:val="14"/>
              <w:spacing w:before="78" w:line="184" w:lineRule="auto"/>
              <w:ind w:left="331"/>
              <w:rPr>
                <w:rFonts w:hint="eastAsia" w:eastAsia="宋体"/>
                <w:color w:val="auto"/>
                <w:sz w:val="24"/>
                <w:szCs w:val="24"/>
                <w:highlight w:val="none"/>
                <w:lang w:eastAsia="zh-CN"/>
              </w:rPr>
            </w:pPr>
            <w:r>
              <w:rPr>
                <w:color w:val="auto"/>
                <w:spacing w:val="-14"/>
                <w:sz w:val="24"/>
                <w:szCs w:val="24"/>
                <w:highlight w:val="none"/>
              </w:rPr>
              <w:t>1</w:t>
            </w:r>
            <w:r>
              <w:rPr>
                <w:rFonts w:hint="eastAsia" w:eastAsia="宋体"/>
                <w:color w:val="auto"/>
                <w:spacing w:val="-14"/>
                <w:sz w:val="24"/>
                <w:szCs w:val="24"/>
                <w:highlight w:val="none"/>
                <w:lang w:val="en-US" w:eastAsia="zh-CN"/>
              </w:rPr>
              <w:t>0</w:t>
            </w:r>
          </w:p>
        </w:tc>
        <w:tc>
          <w:tcPr>
            <w:tcW w:w="2353" w:type="dxa"/>
            <w:gridSpan w:val="2"/>
            <w:vAlign w:val="top"/>
          </w:tcPr>
          <w:p w14:paraId="3EE3532F">
            <w:pPr>
              <w:spacing w:line="277" w:lineRule="auto"/>
              <w:rPr>
                <w:rFonts w:ascii="Arial"/>
                <w:color w:val="auto"/>
                <w:sz w:val="21"/>
                <w:highlight w:val="none"/>
              </w:rPr>
            </w:pPr>
          </w:p>
          <w:p w14:paraId="2E43D3E8">
            <w:pPr>
              <w:spacing w:line="277" w:lineRule="auto"/>
              <w:rPr>
                <w:rFonts w:ascii="Arial"/>
                <w:color w:val="auto"/>
                <w:sz w:val="21"/>
                <w:highlight w:val="none"/>
              </w:rPr>
            </w:pPr>
          </w:p>
          <w:p w14:paraId="114AA5EF">
            <w:pPr>
              <w:spacing w:line="277" w:lineRule="auto"/>
              <w:rPr>
                <w:rFonts w:ascii="Arial"/>
                <w:color w:val="auto"/>
                <w:sz w:val="21"/>
                <w:highlight w:val="none"/>
              </w:rPr>
            </w:pPr>
          </w:p>
          <w:p w14:paraId="085DAB0A">
            <w:pPr>
              <w:spacing w:line="278" w:lineRule="auto"/>
              <w:rPr>
                <w:rFonts w:ascii="Arial"/>
                <w:color w:val="auto"/>
                <w:sz w:val="21"/>
                <w:highlight w:val="none"/>
              </w:rPr>
            </w:pPr>
          </w:p>
          <w:p w14:paraId="0BD56BE2">
            <w:pPr>
              <w:spacing w:line="278" w:lineRule="auto"/>
              <w:rPr>
                <w:rFonts w:ascii="Arial"/>
                <w:color w:val="auto"/>
                <w:sz w:val="21"/>
                <w:highlight w:val="none"/>
              </w:rPr>
            </w:pPr>
          </w:p>
          <w:p w14:paraId="4A28073A">
            <w:pPr>
              <w:pStyle w:val="14"/>
              <w:spacing w:before="78" w:line="220" w:lineRule="auto"/>
              <w:ind w:left="594"/>
              <w:rPr>
                <w:color w:val="auto"/>
                <w:sz w:val="24"/>
                <w:szCs w:val="24"/>
                <w:highlight w:val="none"/>
              </w:rPr>
            </w:pPr>
            <w:r>
              <w:rPr>
                <w:b/>
                <w:bCs/>
                <w:color w:val="auto"/>
                <w:spacing w:val="-5"/>
                <w:sz w:val="24"/>
                <w:szCs w:val="24"/>
                <w:highlight w:val="none"/>
              </w:rPr>
              <w:t>合同实施</w:t>
            </w:r>
          </w:p>
        </w:tc>
        <w:tc>
          <w:tcPr>
            <w:tcW w:w="5320" w:type="dxa"/>
            <w:gridSpan w:val="2"/>
            <w:vAlign w:val="top"/>
          </w:tcPr>
          <w:p w14:paraId="03EEE9D0">
            <w:pPr>
              <w:pStyle w:val="14"/>
              <w:spacing w:before="206" w:line="376" w:lineRule="auto"/>
              <w:ind w:left="115" w:right="106" w:firstLine="497"/>
              <w:jc w:val="both"/>
              <w:rPr>
                <w:color w:val="auto"/>
                <w:sz w:val="24"/>
                <w:szCs w:val="24"/>
                <w:highlight w:val="none"/>
              </w:rPr>
            </w:pPr>
            <w:r>
              <w:rPr>
                <w:color w:val="auto"/>
                <w:spacing w:val="-6"/>
                <w:sz w:val="24"/>
                <w:szCs w:val="24"/>
                <w:highlight w:val="none"/>
              </w:rPr>
              <w:t>1 、中标人应在合同签订后</w:t>
            </w:r>
            <w:r>
              <w:rPr>
                <w:color w:val="auto"/>
                <w:spacing w:val="-30"/>
                <w:sz w:val="24"/>
                <w:szCs w:val="24"/>
                <w:highlight w:val="none"/>
              </w:rPr>
              <w:t xml:space="preserve"> </w:t>
            </w:r>
            <w:r>
              <w:rPr>
                <w:color w:val="auto"/>
                <w:spacing w:val="-6"/>
                <w:sz w:val="24"/>
                <w:szCs w:val="24"/>
                <w:highlight w:val="none"/>
              </w:rPr>
              <w:t>30</w:t>
            </w:r>
            <w:r>
              <w:rPr>
                <w:color w:val="auto"/>
                <w:spacing w:val="-50"/>
                <w:sz w:val="24"/>
                <w:szCs w:val="24"/>
                <w:highlight w:val="none"/>
              </w:rPr>
              <w:t xml:space="preserve"> </w:t>
            </w:r>
            <w:r>
              <w:rPr>
                <w:color w:val="auto"/>
                <w:spacing w:val="-6"/>
                <w:sz w:val="24"/>
                <w:szCs w:val="24"/>
                <w:highlight w:val="none"/>
              </w:rPr>
              <w:t>个日历日内安</w:t>
            </w:r>
            <w:r>
              <w:rPr>
                <w:color w:val="auto"/>
                <w:sz w:val="24"/>
                <w:szCs w:val="24"/>
                <w:highlight w:val="none"/>
              </w:rPr>
              <w:t xml:space="preserve"> </w:t>
            </w:r>
            <w:r>
              <w:rPr>
                <w:color w:val="auto"/>
                <w:spacing w:val="2"/>
                <w:sz w:val="24"/>
                <w:szCs w:val="24"/>
                <w:highlight w:val="none"/>
              </w:rPr>
              <w:t>排人员（项目组成人员简历表所列）与建设单位</w:t>
            </w:r>
            <w:r>
              <w:rPr>
                <w:color w:val="auto"/>
                <w:spacing w:val="10"/>
                <w:sz w:val="24"/>
                <w:szCs w:val="24"/>
                <w:highlight w:val="none"/>
              </w:rPr>
              <w:t xml:space="preserve"> </w:t>
            </w:r>
            <w:r>
              <w:rPr>
                <w:color w:val="auto"/>
                <w:spacing w:val="-1"/>
                <w:sz w:val="24"/>
                <w:szCs w:val="24"/>
                <w:highlight w:val="none"/>
              </w:rPr>
              <w:t>就服务合同进行签订，工作进行安排、部署。</w:t>
            </w:r>
          </w:p>
          <w:p w14:paraId="415EC7BD">
            <w:pPr>
              <w:pStyle w:val="14"/>
              <w:spacing w:before="33" w:line="376" w:lineRule="auto"/>
              <w:ind w:left="117" w:right="106" w:firstLine="480"/>
              <w:jc w:val="both"/>
              <w:rPr>
                <w:color w:val="auto"/>
                <w:sz w:val="24"/>
                <w:szCs w:val="24"/>
                <w:highlight w:val="none"/>
              </w:rPr>
            </w:pPr>
            <w:r>
              <w:rPr>
                <w:color w:val="auto"/>
                <w:spacing w:val="2"/>
                <w:sz w:val="24"/>
                <w:szCs w:val="24"/>
                <w:highlight w:val="none"/>
              </w:rPr>
              <w:t>2 、若因中标人原因未能完成合同规定的义</w:t>
            </w:r>
            <w:r>
              <w:rPr>
                <w:color w:val="auto"/>
                <w:spacing w:val="9"/>
                <w:sz w:val="24"/>
                <w:szCs w:val="24"/>
                <w:highlight w:val="none"/>
              </w:rPr>
              <w:t xml:space="preserve"> </w:t>
            </w:r>
            <w:r>
              <w:rPr>
                <w:color w:val="auto"/>
                <w:spacing w:val="2"/>
                <w:sz w:val="24"/>
                <w:szCs w:val="24"/>
                <w:highlight w:val="none"/>
              </w:rPr>
              <w:t>务，由此对建设单位造成的延误和一切损失，由</w:t>
            </w:r>
            <w:r>
              <w:rPr>
                <w:color w:val="auto"/>
                <w:spacing w:val="5"/>
                <w:sz w:val="24"/>
                <w:szCs w:val="24"/>
                <w:highlight w:val="none"/>
              </w:rPr>
              <w:t xml:space="preserve"> </w:t>
            </w:r>
            <w:r>
              <w:rPr>
                <w:color w:val="auto"/>
                <w:spacing w:val="-2"/>
                <w:sz w:val="24"/>
                <w:szCs w:val="24"/>
                <w:highlight w:val="none"/>
              </w:rPr>
              <w:t>中标人承担和赔偿。</w:t>
            </w:r>
          </w:p>
          <w:p w14:paraId="1AA86F2E">
            <w:pPr>
              <w:pStyle w:val="14"/>
              <w:spacing w:before="32" w:line="219" w:lineRule="auto"/>
              <w:ind w:left="599"/>
              <w:rPr>
                <w:color w:val="auto"/>
                <w:sz w:val="24"/>
                <w:szCs w:val="24"/>
                <w:highlight w:val="none"/>
              </w:rPr>
            </w:pPr>
            <w:r>
              <w:rPr>
                <w:color w:val="auto"/>
                <w:spacing w:val="-2"/>
                <w:sz w:val="24"/>
                <w:szCs w:val="24"/>
                <w:highlight w:val="none"/>
              </w:rPr>
              <w:t>3、本项目不允许分包。</w:t>
            </w:r>
          </w:p>
        </w:tc>
      </w:tr>
      <w:tr w14:paraId="370A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20" w:hRule="atLeast"/>
        </w:trPr>
        <w:tc>
          <w:tcPr>
            <w:tcW w:w="853" w:type="dxa"/>
            <w:gridSpan w:val="2"/>
            <w:vAlign w:val="top"/>
          </w:tcPr>
          <w:p w14:paraId="4F2D6736">
            <w:pPr>
              <w:spacing w:line="251" w:lineRule="auto"/>
              <w:rPr>
                <w:rFonts w:ascii="Arial"/>
                <w:color w:val="auto"/>
                <w:sz w:val="21"/>
                <w:highlight w:val="none"/>
              </w:rPr>
            </w:pPr>
          </w:p>
          <w:p w14:paraId="5609FB1E">
            <w:pPr>
              <w:spacing w:line="251" w:lineRule="auto"/>
              <w:rPr>
                <w:rFonts w:ascii="Arial"/>
                <w:color w:val="auto"/>
                <w:sz w:val="21"/>
                <w:highlight w:val="none"/>
              </w:rPr>
            </w:pPr>
          </w:p>
          <w:p w14:paraId="0BD5A746">
            <w:pPr>
              <w:spacing w:line="252" w:lineRule="auto"/>
              <w:rPr>
                <w:rFonts w:ascii="Arial"/>
                <w:color w:val="auto"/>
                <w:sz w:val="21"/>
                <w:highlight w:val="none"/>
              </w:rPr>
            </w:pPr>
          </w:p>
          <w:p w14:paraId="422F7549">
            <w:pPr>
              <w:spacing w:line="252" w:lineRule="auto"/>
              <w:rPr>
                <w:rFonts w:ascii="Arial"/>
                <w:color w:val="auto"/>
                <w:sz w:val="21"/>
                <w:highlight w:val="none"/>
              </w:rPr>
            </w:pPr>
          </w:p>
          <w:p w14:paraId="2359945D">
            <w:pPr>
              <w:spacing w:line="252" w:lineRule="auto"/>
              <w:rPr>
                <w:rFonts w:ascii="Arial"/>
                <w:color w:val="auto"/>
                <w:sz w:val="21"/>
                <w:highlight w:val="none"/>
              </w:rPr>
            </w:pPr>
          </w:p>
          <w:p w14:paraId="57775B22">
            <w:pPr>
              <w:pStyle w:val="14"/>
              <w:spacing w:before="78" w:line="184" w:lineRule="auto"/>
              <w:ind w:left="331"/>
              <w:rPr>
                <w:rFonts w:hint="eastAsia" w:eastAsia="宋体"/>
                <w:color w:val="auto"/>
                <w:sz w:val="24"/>
                <w:szCs w:val="24"/>
                <w:highlight w:val="none"/>
                <w:lang w:eastAsia="zh-CN"/>
              </w:rPr>
            </w:pPr>
            <w:r>
              <w:rPr>
                <w:color w:val="auto"/>
                <w:spacing w:val="-14"/>
                <w:sz w:val="24"/>
                <w:szCs w:val="24"/>
                <w:highlight w:val="none"/>
              </w:rPr>
              <w:t>1</w:t>
            </w:r>
            <w:r>
              <w:rPr>
                <w:rFonts w:hint="eastAsia" w:eastAsia="宋体"/>
                <w:color w:val="auto"/>
                <w:spacing w:val="-14"/>
                <w:sz w:val="24"/>
                <w:szCs w:val="24"/>
                <w:highlight w:val="none"/>
                <w:lang w:val="en-US" w:eastAsia="zh-CN"/>
              </w:rPr>
              <w:t>1</w:t>
            </w:r>
          </w:p>
        </w:tc>
        <w:tc>
          <w:tcPr>
            <w:tcW w:w="2353" w:type="dxa"/>
            <w:gridSpan w:val="2"/>
            <w:vAlign w:val="top"/>
          </w:tcPr>
          <w:p w14:paraId="2BE7A059">
            <w:pPr>
              <w:spacing w:line="282" w:lineRule="auto"/>
              <w:rPr>
                <w:rFonts w:ascii="Arial"/>
                <w:color w:val="auto"/>
                <w:sz w:val="21"/>
                <w:highlight w:val="none"/>
              </w:rPr>
            </w:pPr>
          </w:p>
          <w:p w14:paraId="0E1AD521">
            <w:pPr>
              <w:spacing w:line="283" w:lineRule="auto"/>
              <w:rPr>
                <w:rFonts w:ascii="Arial"/>
                <w:color w:val="auto"/>
                <w:sz w:val="21"/>
                <w:highlight w:val="none"/>
              </w:rPr>
            </w:pPr>
          </w:p>
          <w:p w14:paraId="1DAE7049">
            <w:pPr>
              <w:spacing w:line="283" w:lineRule="auto"/>
              <w:rPr>
                <w:rFonts w:ascii="Arial"/>
                <w:color w:val="auto"/>
                <w:sz w:val="21"/>
                <w:highlight w:val="none"/>
              </w:rPr>
            </w:pPr>
          </w:p>
          <w:p w14:paraId="6A80C70F">
            <w:pPr>
              <w:spacing w:line="283" w:lineRule="auto"/>
              <w:rPr>
                <w:rFonts w:ascii="Arial"/>
                <w:color w:val="auto"/>
                <w:sz w:val="21"/>
                <w:highlight w:val="none"/>
              </w:rPr>
            </w:pPr>
          </w:p>
          <w:p w14:paraId="0AE67EF0">
            <w:pPr>
              <w:pStyle w:val="14"/>
              <w:spacing w:before="78" w:line="219" w:lineRule="auto"/>
              <w:ind w:left="593"/>
              <w:rPr>
                <w:color w:val="auto"/>
                <w:sz w:val="24"/>
                <w:szCs w:val="24"/>
                <w:highlight w:val="none"/>
              </w:rPr>
            </w:pPr>
            <w:r>
              <w:rPr>
                <w:b/>
                <w:bCs/>
                <w:color w:val="auto"/>
                <w:spacing w:val="-5"/>
                <w:sz w:val="24"/>
                <w:szCs w:val="24"/>
                <w:highlight w:val="none"/>
              </w:rPr>
              <w:t>违约责任</w:t>
            </w:r>
          </w:p>
        </w:tc>
        <w:tc>
          <w:tcPr>
            <w:tcW w:w="5320" w:type="dxa"/>
            <w:gridSpan w:val="2"/>
            <w:vAlign w:val="top"/>
          </w:tcPr>
          <w:p w14:paraId="30C7E8DD">
            <w:pPr>
              <w:pStyle w:val="14"/>
              <w:numPr>
                <w:ilvl w:val="0"/>
                <w:numId w:val="0"/>
              </w:numPr>
              <w:spacing w:before="197" w:line="303" w:lineRule="auto"/>
              <w:ind w:right="106" w:rightChars="0"/>
              <w:rPr>
                <w:color w:val="auto"/>
                <w:spacing w:val="-3"/>
                <w:sz w:val="24"/>
                <w:szCs w:val="24"/>
                <w:highlight w:val="none"/>
              </w:rPr>
            </w:pPr>
            <w:r>
              <w:rPr>
                <w:rFonts w:hint="eastAsia" w:eastAsia="宋体"/>
                <w:color w:val="auto"/>
                <w:spacing w:val="-5"/>
                <w:sz w:val="24"/>
                <w:szCs w:val="24"/>
                <w:highlight w:val="none"/>
                <w:lang w:val="en-US" w:eastAsia="zh-CN"/>
              </w:rPr>
              <w:t>1、</w:t>
            </w:r>
            <w:r>
              <w:rPr>
                <w:color w:val="auto"/>
                <w:spacing w:val="-5"/>
                <w:sz w:val="24"/>
                <w:szCs w:val="24"/>
                <w:highlight w:val="none"/>
              </w:rPr>
              <w:t>按《中华人民共和国民法典》中的相关条</w:t>
            </w:r>
            <w:r>
              <w:rPr>
                <w:color w:val="auto"/>
                <w:spacing w:val="14"/>
                <w:sz w:val="24"/>
                <w:szCs w:val="24"/>
                <w:highlight w:val="none"/>
              </w:rPr>
              <w:t xml:space="preserve"> </w:t>
            </w:r>
            <w:r>
              <w:rPr>
                <w:color w:val="auto"/>
                <w:spacing w:val="-3"/>
                <w:sz w:val="24"/>
                <w:szCs w:val="24"/>
                <w:highlight w:val="none"/>
              </w:rPr>
              <w:t>款执行。</w:t>
            </w:r>
          </w:p>
          <w:p w14:paraId="003EAF2A">
            <w:pPr>
              <w:pStyle w:val="14"/>
              <w:numPr>
                <w:ilvl w:val="0"/>
                <w:numId w:val="0"/>
              </w:numPr>
              <w:spacing w:before="197" w:line="303" w:lineRule="auto"/>
              <w:ind w:right="106" w:rightChars="0"/>
              <w:rPr>
                <w:color w:val="auto"/>
                <w:sz w:val="24"/>
                <w:szCs w:val="24"/>
                <w:highlight w:val="none"/>
              </w:rPr>
            </w:pPr>
            <w:r>
              <w:rPr>
                <w:color w:val="auto"/>
                <w:spacing w:val="-4"/>
                <w:sz w:val="24"/>
                <w:szCs w:val="24"/>
                <w:highlight w:val="none"/>
              </w:rPr>
              <w:t>2、未按合同要求提供服务或服务质量不能满</w:t>
            </w:r>
            <w:r>
              <w:rPr>
                <w:color w:val="auto"/>
                <w:spacing w:val="9"/>
                <w:sz w:val="24"/>
                <w:szCs w:val="24"/>
                <w:highlight w:val="none"/>
              </w:rPr>
              <w:t xml:space="preserve"> </w:t>
            </w:r>
            <w:r>
              <w:rPr>
                <w:color w:val="auto"/>
                <w:spacing w:val="2"/>
                <w:sz w:val="24"/>
                <w:szCs w:val="24"/>
                <w:highlight w:val="none"/>
              </w:rPr>
              <w:t>足技术要求，招标人有权终止合同，并对供方违</w:t>
            </w:r>
            <w:r>
              <w:rPr>
                <w:color w:val="auto"/>
                <w:spacing w:val="4"/>
                <w:sz w:val="24"/>
                <w:szCs w:val="24"/>
                <w:highlight w:val="none"/>
              </w:rPr>
              <w:t xml:space="preserve"> </w:t>
            </w:r>
            <w:r>
              <w:rPr>
                <w:color w:val="auto"/>
                <w:spacing w:val="2"/>
                <w:sz w:val="24"/>
                <w:szCs w:val="24"/>
                <w:highlight w:val="none"/>
              </w:rPr>
              <w:t>约行为进行追究，同时按《中华人民共和国招标</w:t>
            </w:r>
            <w:r>
              <w:rPr>
                <w:color w:val="auto"/>
                <w:spacing w:val="4"/>
                <w:sz w:val="24"/>
                <w:szCs w:val="24"/>
                <w:highlight w:val="none"/>
              </w:rPr>
              <w:t xml:space="preserve"> </w:t>
            </w:r>
            <w:r>
              <w:rPr>
                <w:color w:val="auto"/>
                <w:spacing w:val="-1"/>
                <w:sz w:val="24"/>
                <w:szCs w:val="24"/>
                <w:highlight w:val="none"/>
              </w:rPr>
              <w:t>投标法》的有关规定进行处罚。</w:t>
            </w:r>
          </w:p>
        </w:tc>
      </w:tr>
    </w:tbl>
    <w:p w14:paraId="60963260">
      <w:pPr>
        <w:spacing w:before="113" w:line="178" w:lineRule="auto"/>
        <w:ind w:left="5277"/>
        <w:outlineLvl w:val="1"/>
        <w:rPr>
          <w:rFonts w:ascii="微软雅黑" w:hAnsi="微软雅黑" w:eastAsia="微软雅黑" w:cs="微软雅黑"/>
          <w:b/>
          <w:bCs/>
          <w:color w:val="auto"/>
          <w:spacing w:val="-2"/>
          <w:sz w:val="28"/>
          <w:szCs w:val="28"/>
          <w:highlight w:val="none"/>
        </w:rPr>
      </w:pPr>
    </w:p>
    <w:p w14:paraId="2635B459">
      <w:pPr>
        <w:spacing w:line="294" w:lineRule="auto"/>
        <w:rPr>
          <w:rFonts w:hint="eastAsia" w:ascii="Arial"/>
          <w:b/>
          <w:bCs/>
          <w:color w:val="auto"/>
          <w:sz w:val="22"/>
          <w:szCs w:val="22"/>
          <w:highlight w:val="none"/>
        </w:rPr>
      </w:pPr>
      <w:r>
        <w:rPr>
          <w:rFonts w:hint="eastAsia" w:ascii="Arial"/>
          <w:b/>
          <w:bCs/>
          <w:color w:val="auto"/>
          <w:sz w:val="22"/>
          <w:szCs w:val="22"/>
          <w:highlight w:val="none"/>
        </w:rPr>
        <w:t>二、技术要求</w:t>
      </w:r>
    </w:p>
    <w:p w14:paraId="220E118A">
      <w:pPr>
        <w:spacing w:line="294" w:lineRule="auto"/>
        <w:rPr>
          <w:rFonts w:hint="eastAsia" w:ascii="Arial"/>
          <w:color w:val="auto"/>
          <w:sz w:val="22"/>
          <w:szCs w:val="22"/>
          <w:highlight w:val="none"/>
        </w:rPr>
      </w:pPr>
      <w:r>
        <w:rPr>
          <w:rFonts w:hint="eastAsia" w:ascii="Arial"/>
          <w:color w:val="auto"/>
          <w:sz w:val="22"/>
          <w:szCs w:val="22"/>
          <w:highlight w:val="none"/>
        </w:rPr>
        <w:t>1、 本项工程咨询工作内容包括：</w:t>
      </w:r>
    </w:p>
    <w:p w14:paraId="1FAD23D7">
      <w:pPr>
        <w:spacing w:line="294" w:lineRule="auto"/>
        <w:rPr>
          <w:rFonts w:hint="eastAsia" w:ascii="Arial"/>
          <w:color w:val="auto"/>
          <w:sz w:val="22"/>
          <w:szCs w:val="22"/>
          <w:highlight w:val="none"/>
        </w:rPr>
      </w:pPr>
      <w:r>
        <w:rPr>
          <w:rFonts w:hint="eastAsia" w:ascii="Arial"/>
          <w:color w:val="auto"/>
          <w:sz w:val="22"/>
          <w:szCs w:val="22"/>
          <w:highlight w:val="none"/>
        </w:rPr>
        <w:t>1.1 全过程工程项目管理：</w:t>
      </w:r>
    </w:p>
    <w:p w14:paraId="62DF68DD">
      <w:pPr>
        <w:spacing w:line="294" w:lineRule="auto"/>
        <w:ind w:firstLine="440" w:firstLineChars="200"/>
        <w:rPr>
          <w:rFonts w:hint="eastAsia" w:ascii="Arial"/>
          <w:color w:val="auto"/>
          <w:sz w:val="22"/>
          <w:szCs w:val="22"/>
          <w:highlight w:val="none"/>
        </w:rPr>
      </w:pPr>
      <w:r>
        <w:rPr>
          <w:rFonts w:hint="eastAsia" w:ascii="Arial"/>
          <w:color w:val="auto"/>
          <w:sz w:val="22"/>
          <w:szCs w:val="22"/>
          <w:highlight w:val="none"/>
        </w:rPr>
        <w:t>项目报批管理、合同管理、勘察设计管理、进度管理、投资管理、质量管理、安全 生产管理、参加单位管理、信息与知识管理、验收管理以及质量、计划、安全、信息、 沟通、风险、人力资源等管理与协调、项目后评价、项目绩效评价、设施管理、资产管 理。</w:t>
      </w:r>
    </w:p>
    <w:p w14:paraId="21ED6C0B">
      <w:pPr>
        <w:spacing w:line="294" w:lineRule="auto"/>
        <w:rPr>
          <w:rFonts w:hint="eastAsia" w:ascii="Arial"/>
          <w:color w:val="auto"/>
          <w:sz w:val="22"/>
          <w:szCs w:val="22"/>
          <w:highlight w:val="none"/>
        </w:rPr>
      </w:pPr>
      <w:r>
        <w:rPr>
          <w:rFonts w:hint="eastAsia" w:ascii="Arial"/>
          <w:color w:val="auto"/>
          <w:sz w:val="22"/>
          <w:szCs w:val="22"/>
          <w:highlight w:val="none"/>
        </w:rPr>
        <w:t>1.2 监理专业服务：</w:t>
      </w:r>
    </w:p>
    <w:p w14:paraId="44F57FFC">
      <w:pPr>
        <w:spacing w:line="294" w:lineRule="auto"/>
        <w:rPr>
          <w:rFonts w:hint="eastAsia" w:ascii="Arial"/>
          <w:color w:val="auto"/>
          <w:sz w:val="22"/>
          <w:szCs w:val="22"/>
          <w:highlight w:val="none"/>
        </w:rPr>
      </w:pPr>
      <w:r>
        <w:rPr>
          <w:rFonts w:hint="eastAsia" w:ascii="Arial"/>
          <w:color w:val="auto"/>
          <w:sz w:val="22"/>
          <w:szCs w:val="22"/>
          <w:highlight w:val="none"/>
        </w:rPr>
        <w:t>1.2.1 编制监理规划及监理实施细则</w:t>
      </w:r>
    </w:p>
    <w:p w14:paraId="193B3B74">
      <w:pPr>
        <w:spacing w:line="294" w:lineRule="auto"/>
        <w:rPr>
          <w:rFonts w:hint="eastAsia" w:ascii="Arial"/>
          <w:color w:val="auto"/>
          <w:sz w:val="22"/>
          <w:szCs w:val="22"/>
          <w:highlight w:val="none"/>
        </w:rPr>
      </w:pPr>
      <w:r>
        <w:rPr>
          <w:rFonts w:hint="eastAsia" w:ascii="Arial"/>
          <w:color w:val="auto"/>
          <w:sz w:val="22"/>
          <w:szCs w:val="22"/>
          <w:highlight w:val="none"/>
        </w:rPr>
        <w:t>1.2.2 工程监理实施过程中对工程质量、造价、进度控制</w:t>
      </w:r>
    </w:p>
    <w:p w14:paraId="586C7523">
      <w:pPr>
        <w:spacing w:line="294" w:lineRule="auto"/>
        <w:rPr>
          <w:rFonts w:hint="eastAsia" w:ascii="Arial"/>
          <w:color w:val="auto"/>
          <w:sz w:val="22"/>
          <w:szCs w:val="22"/>
          <w:highlight w:val="none"/>
        </w:rPr>
      </w:pPr>
      <w:r>
        <w:rPr>
          <w:rFonts w:hint="eastAsia" w:ascii="Arial"/>
          <w:color w:val="auto"/>
          <w:sz w:val="22"/>
          <w:szCs w:val="22"/>
          <w:highlight w:val="none"/>
        </w:rPr>
        <w:t>1.2.3 工程监理实施过程中对工程变更、索赔及施工合同争议的处理</w:t>
      </w:r>
    </w:p>
    <w:p w14:paraId="5C0BB696">
      <w:pPr>
        <w:spacing w:line="294" w:lineRule="auto"/>
        <w:rPr>
          <w:rFonts w:hint="eastAsia" w:ascii="Arial"/>
          <w:color w:val="auto"/>
          <w:sz w:val="22"/>
          <w:szCs w:val="22"/>
          <w:highlight w:val="none"/>
        </w:rPr>
      </w:pPr>
      <w:r>
        <w:rPr>
          <w:rFonts w:hint="eastAsia" w:ascii="Arial"/>
          <w:color w:val="auto"/>
          <w:sz w:val="22"/>
          <w:szCs w:val="22"/>
          <w:highlight w:val="none"/>
        </w:rPr>
        <w:t>1.2.4 监理文件资料管理</w:t>
      </w:r>
    </w:p>
    <w:p w14:paraId="12DE35F5">
      <w:pPr>
        <w:spacing w:line="294" w:lineRule="auto"/>
        <w:rPr>
          <w:rFonts w:hint="eastAsia" w:ascii="Arial"/>
          <w:color w:val="auto"/>
          <w:sz w:val="22"/>
          <w:szCs w:val="22"/>
          <w:highlight w:val="none"/>
        </w:rPr>
      </w:pPr>
      <w:r>
        <w:rPr>
          <w:rFonts w:hint="eastAsia" w:ascii="Arial"/>
          <w:color w:val="auto"/>
          <w:sz w:val="22"/>
          <w:szCs w:val="22"/>
          <w:highlight w:val="none"/>
        </w:rPr>
        <w:t>1.2.5 设备采购与设备监造</w:t>
      </w:r>
    </w:p>
    <w:p w14:paraId="54E291BD">
      <w:pPr>
        <w:spacing w:line="294" w:lineRule="auto"/>
        <w:rPr>
          <w:rFonts w:hint="eastAsia" w:ascii="Arial"/>
          <w:color w:val="auto"/>
          <w:sz w:val="22"/>
          <w:szCs w:val="22"/>
          <w:highlight w:val="none"/>
        </w:rPr>
      </w:pPr>
      <w:r>
        <w:rPr>
          <w:rFonts w:hint="eastAsia" w:ascii="Arial"/>
          <w:color w:val="auto"/>
          <w:sz w:val="22"/>
          <w:szCs w:val="22"/>
          <w:highlight w:val="none"/>
        </w:rPr>
        <w:t>1.2.6 按建设工程监理规范要求服务范围执行</w:t>
      </w:r>
    </w:p>
    <w:p w14:paraId="0EFDE911">
      <w:pPr>
        <w:spacing w:line="294" w:lineRule="auto"/>
        <w:rPr>
          <w:rFonts w:hint="eastAsia" w:ascii="Arial"/>
          <w:color w:val="auto"/>
          <w:sz w:val="22"/>
          <w:szCs w:val="22"/>
          <w:highlight w:val="none"/>
        </w:rPr>
      </w:pPr>
      <w:r>
        <w:rPr>
          <w:rFonts w:hint="eastAsia" w:ascii="Arial"/>
          <w:color w:val="auto"/>
          <w:sz w:val="22"/>
          <w:szCs w:val="22"/>
          <w:highlight w:val="none"/>
        </w:rPr>
        <w:t>1.2.7 履行建设工程安全生产管理法定职责、对工程建设相关方进行协调的相关工作 内容</w:t>
      </w:r>
    </w:p>
    <w:p w14:paraId="3AF009D3">
      <w:pPr>
        <w:spacing w:line="294" w:lineRule="auto"/>
        <w:rPr>
          <w:rFonts w:hint="eastAsia" w:ascii="Arial"/>
          <w:color w:val="auto"/>
          <w:sz w:val="22"/>
          <w:szCs w:val="22"/>
          <w:highlight w:val="none"/>
        </w:rPr>
      </w:pPr>
      <w:r>
        <w:rPr>
          <w:rFonts w:hint="eastAsia" w:ascii="Arial"/>
          <w:color w:val="auto"/>
          <w:sz w:val="22"/>
          <w:szCs w:val="22"/>
          <w:highlight w:val="none"/>
        </w:rPr>
        <w:t>1.2.8 工程验收策划与组织</w:t>
      </w:r>
    </w:p>
    <w:p w14:paraId="0A885A54">
      <w:pPr>
        <w:spacing w:line="294" w:lineRule="auto"/>
        <w:rPr>
          <w:rFonts w:hint="eastAsia" w:ascii="Arial"/>
          <w:color w:val="auto"/>
          <w:sz w:val="22"/>
          <w:szCs w:val="22"/>
          <w:highlight w:val="none"/>
        </w:rPr>
      </w:pPr>
      <w:r>
        <w:rPr>
          <w:rFonts w:hint="eastAsia" w:ascii="Arial"/>
          <w:color w:val="auto"/>
          <w:sz w:val="22"/>
          <w:szCs w:val="22"/>
          <w:highlight w:val="none"/>
        </w:rPr>
        <w:t>1.2.9 分部分项工程、单位工程验收</w:t>
      </w:r>
    </w:p>
    <w:p w14:paraId="1F3D394F">
      <w:pPr>
        <w:spacing w:line="294" w:lineRule="auto"/>
        <w:rPr>
          <w:rFonts w:hint="eastAsia" w:ascii="Arial"/>
          <w:color w:val="auto"/>
          <w:sz w:val="22"/>
          <w:szCs w:val="22"/>
          <w:highlight w:val="none"/>
        </w:rPr>
      </w:pPr>
      <w:r>
        <w:rPr>
          <w:rFonts w:hint="eastAsia" w:ascii="Arial"/>
          <w:color w:val="auto"/>
          <w:sz w:val="22"/>
          <w:szCs w:val="22"/>
          <w:highlight w:val="none"/>
        </w:rPr>
        <w:t>1.2.10 工程质量缺陷管理；</w:t>
      </w:r>
    </w:p>
    <w:p w14:paraId="794E635D">
      <w:pPr>
        <w:spacing w:line="294" w:lineRule="auto"/>
        <w:rPr>
          <w:rFonts w:hint="eastAsia" w:ascii="Arial"/>
          <w:color w:val="auto"/>
          <w:sz w:val="22"/>
          <w:szCs w:val="22"/>
          <w:highlight w:val="none"/>
        </w:rPr>
      </w:pPr>
      <w:r>
        <w:rPr>
          <w:rFonts w:hint="eastAsia" w:ascii="Arial"/>
          <w:color w:val="auto"/>
          <w:sz w:val="22"/>
          <w:szCs w:val="22"/>
          <w:highlight w:val="none"/>
        </w:rPr>
        <w:t>1.3 造价咨询专业服务</w:t>
      </w:r>
    </w:p>
    <w:p w14:paraId="0F0F70BC">
      <w:pPr>
        <w:spacing w:line="294" w:lineRule="auto"/>
        <w:rPr>
          <w:rFonts w:hint="eastAsia" w:ascii="Arial"/>
          <w:color w:val="auto"/>
          <w:sz w:val="22"/>
          <w:szCs w:val="22"/>
          <w:highlight w:val="none"/>
        </w:rPr>
      </w:pPr>
      <w:r>
        <w:rPr>
          <w:rFonts w:hint="eastAsia" w:ascii="Arial"/>
          <w:color w:val="auto"/>
          <w:sz w:val="22"/>
          <w:szCs w:val="22"/>
          <w:highlight w:val="none"/>
        </w:rPr>
        <w:t>1.3.1 投资估算的编制与审核</w:t>
      </w:r>
    </w:p>
    <w:p w14:paraId="6802C429">
      <w:pPr>
        <w:spacing w:line="294" w:lineRule="auto"/>
        <w:rPr>
          <w:rFonts w:hint="eastAsia" w:ascii="Arial"/>
          <w:color w:val="auto"/>
          <w:sz w:val="22"/>
          <w:szCs w:val="22"/>
          <w:highlight w:val="none"/>
        </w:rPr>
      </w:pPr>
      <w:r>
        <w:rPr>
          <w:rFonts w:hint="eastAsia" w:ascii="Arial"/>
          <w:color w:val="auto"/>
          <w:sz w:val="22"/>
          <w:szCs w:val="22"/>
          <w:highlight w:val="none"/>
        </w:rPr>
        <w:t>1.3.2 经济评价的编制与审核</w:t>
      </w:r>
    </w:p>
    <w:p w14:paraId="4979FE90">
      <w:pPr>
        <w:spacing w:line="294" w:lineRule="auto"/>
        <w:rPr>
          <w:rFonts w:hint="eastAsia" w:ascii="Arial"/>
          <w:color w:val="auto"/>
          <w:sz w:val="22"/>
          <w:szCs w:val="22"/>
          <w:highlight w:val="none"/>
        </w:rPr>
      </w:pPr>
      <w:r>
        <w:rPr>
          <w:rFonts w:hint="eastAsia" w:ascii="Arial"/>
          <w:color w:val="auto"/>
          <w:sz w:val="22"/>
          <w:szCs w:val="22"/>
          <w:highlight w:val="none"/>
        </w:rPr>
        <w:t>1.3.3 设计概算的编制、审核与调整</w:t>
      </w:r>
    </w:p>
    <w:p w14:paraId="7CF1EC27">
      <w:pPr>
        <w:spacing w:line="294" w:lineRule="auto"/>
        <w:rPr>
          <w:rFonts w:hint="eastAsia" w:ascii="Arial"/>
          <w:color w:val="auto"/>
          <w:sz w:val="22"/>
          <w:szCs w:val="22"/>
          <w:highlight w:val="none"/>
        </w:rPr>
      </w:pPr>
      <w:r>
        <w:rPr>
          <w:rFonts w:hint="eastAsia" w:ascii="Arial"/>
          <w:color w:val="auto"/>
          <w:sz w:val="22"/>
          <w:szCs w:val="22"/>
          <w:highlight w:val="none"/>
        </w:rPr>
        <w:t>1.3.4 施工图预算的编制与审核</w:t>
      </w:r>
    </w:p>
    <w:p w14:paraId="4A7066DF">
      <w:pPr>
        <w:spacing w:line="294" w:lineRule="auto"/>
        <w:rPr>
          <w:rFonts w:hint="eastAsia" w:ascii="Arial"/>
          <w:color w:val="auto"/>
          <w:sz w:val="22"/>
          <w:szCs w:val="22"/>
          <w:highlight w:val="none"/>
        </w:rPr>
      </w:pPr>
      <w:r>
        <w:rPr>
          <w:rFonts w:hint="eastAsia" w:ascii="Arial"/>
          <w:color w:val="auto"/>
          <w:sz w:val="22"/>
          <w:szCs w:val="22"/>
          <w:highlight w:val="none"/>
        </w:rPr>
        <w:t>1.3.5 工程量清单的编制与审核</w:t>
      </w:r>
    </w:p>
    <w:p w14:paraId="38A98698">
      <w:pPr>
        <w:spacing w:line="294" w:lineRule="auto"/>
        <w:rPr>
          <w:rFonts w:hint="eastAsia" w:ascii="Arial"/>
          <w:color w:val="auto"/>
          <w:sz w:val="22"/>
          <w:szCs w:val="22"/>
          <w:highlight w:val="none"/>
        </w:rPr>
      </w:pPr>
      <w:r>
        <w:rPr>
          <w:rFonts w:hint="eastAsia" w:ascii="Arial"/>
          <w:color w:val="auto"/>
          <w:sz w:val="22"/>
          <w:szCs w:val="22"/>
          <w:highlight w:val="none"/>
        </w:rPr>
        <w:t>1.3.6 最高投标限价的编制与审核</w:t>
      </w:r>
    </w:p>
    <w:p w14:paraId="7192251B">
      <w:pPr>
        <w:spacing w:line="294" w:lineRule="auto"/>
        <w:rPr>
          <w:rFonts w:hint="eastAsia" w:ascii="Arial"/>
          <w:color w:val="auto"/>
          <w:sz w:val="22"/>
          <w:szCs w:val="22"/>
          <w:highlight w:val="none"/>
        </w:rPr>
      </w:pPr>
      <w:r>
        <w:rPr>
          <w:rFonts w:hint="eastAsia" w:ascii="Arial"/>
          <w:color w:val="auto"/>
          <w:sz w:val="22"/>
          <w:szCs w:val="22"/>
          <w:highlight w:val="none"/>
        </w:rPr>
        <w:t>1.3.7 工程计量支付的确定，审核工程款支付申请，提出资金使用计划建议</w:t>
      </w:r>
    </w:p>
    <w:p w14:paraId="76CBA9ED">
      <w:pPr>
        <w:spacing w:line="294" w:lineRule="auto"/>
        <w:rPr>
          <w:rFonts w:hint="eastAsia" w:ascii="Arial"/>
          <w:color w:val="auto"/>
          <w:sz w:val="22"/>
          <w:szCs w:val="22"/>
          <w:highlight w:val="none"/>
        </w:rPr>
      </w:pPr>
      <w:r>
        <w:rPr>
          <w:rFonts w:hint="eastAsia" w:ascii="Arial"/>
          <w:color w:val="auto"/>
          <w:sz w:val="22"/>
          <w:szCs w:val="22"/>
          <w:highlight w:val="none"/>
        </w:rPr>
        <w:t>1.3.8 施工过程的工程变更、工程签证和工程索赔的处理</w:t>
      </w:r>
    </w:p>
    <w:p w14:paraId="5CC39D01">
      <w:pPr>
        <w:spacing w:line="294" w:lineRule="auto"/>
        <w:rPr>
          <w:rFonts w:hint="eastAsia" w:ascii="Arial"/>
          <w:color w:val="auto"/>
          <w:sz w:val="22"/>
          <w:szCs w:val="22"/>
          <w:highlight w:val="none"/>
        </w:rPr>
      </w:pPr>
      <w:r>
        <w:rPr>
          <w:rFonts w:hint="eastAsia" w:ascii="Arial"/>
          <w:color w:val="auto"/>
          <w:sz w:val="22"/>
          <w:szCs w:val="22"/>
          <w:highlight w:val="none"/>
        </w:rPr>
        <w:t>1.3.9 工程结算的编制与审核</w:t>
      </w:r>
    </w:p>
    <w:p w14:paraId="29D6240C">
      <w:pPr>
        <w:spacing w:line="294" w:lineRule="auto"/>
        <w:rPr>
          <w:rFonts w:hint="eastAsia" w:ascii="Arial"/>
          <w:color w:val="auto"/>
          <w:sz w:val="22"/>
          <w:szCs w:val="22"/>
          <w:highlight w:val="none"/>
        </w:rPr>
      </w:pPr>
      <w:r>
        <w:rPr>
          <w:rFonts w:hint="eastAsia" w:ascii="Arial"/>
          <w:color w:val="auto"/>
          <w:sz w:val="22"/>
          <w:szCs w:val="22"/>
          <w:highlight w:val="none"/>
        </w:rPr>
        <w:t>1.3.10 工程竣工决算的编制与审核</w:t>
      </w:r>
    </w:p>
    <w:p w14:paraId="7BA45CA4">
      <w:pPr>
        <w:spacing w:line="294" w:lineRule="auto"/>
        <w:rPr>
          <w:rFonts w:hint="eastAsia" w:ascii="Arial"/>
          <w:color w:val="auto"/>
          <w:sz w:val="22"/>
          <w:szCs w:val="22"/>
          <w:highlight w:val="none"/>
        </w:rPr>
      </w:pPr>
      <w:r>
        <w:rPr>
          <w:rFonts w:hint="eastAsia" w:ascii="Arial"/>
          <w:color w:val="auto"/>
          <w:sz w:val="22"/>
          <w:szCs w:val="22"/>
          <w:highlight w:val="none"/>
        </w:rPr>
        <w:t>1.3.11 全过程工程造价管理咨询</w:t>
      </w:r>
    </w:p>
    <w:p w14:paraId="786FD32C">
      <w:pPr>
        <w:spacing w:line="294" w:lineRule="auto"/>
        <w:rPr>
          <w:rFonts w:hint="eastAsia" w:ascii="Arial"/>
          <w:color w:val="auto"/>
          <w:sz w:val="22"/>
          <w:szCs w:val="22"/>
          <w:highlight w:val="none"/>
        </w:rPr>
      </w:pPr>
      <w:r>
        <w:rPr>
          <w:rFonts w:hint="eastAsia" w:ascii="Arial"/>
          <w:color w:val="auto"/>
          <w:sz w:val="22"/>
          <w:szCs w:val="22"/>
          <w:highlight w:val="none"/>
        </w:rPr>
        <w:t>1.3.12 工程造价鉴定</w:t>
      </w:r>
    </w:p>
    <w:p w14:paraId="6E1C8EF5">
      <w:pPr>
        <w:spacing w:line="294" w:lineRule="auto"/>
        <w:rPr>
          <w:rFonts w:hint="eastAsia" w:ascii="Arial"/>
          <w:color w:val="auto"/>
          <w:sz w:val="22"/>
          <w:szCs w:val="22"/>
          <w:highlight w:val="none"/>
        </w:rPr>
      </w:pPr>
      <w:r>
        <w:rPr>
          <w:rFonts w:hint="eastAsia" w:ascii="Arial"/>
          <w:color w:val="auto"/>
          <w:sz w:val="22"/>
          <w:szCs w:val="22"/>
          <w:highlight w:val="none"/>
        </w:rPr>
        <w:t>1.3.13 方案比选、限额设计、优化设计的造价咨询</w:t>
      </w:r>
    </w:p>
    <w:p w14:paraId="291EE4A8">
      <w:pPr>
        <w:spacing w:line="294" w:lineRule="auto"/>
        <w:rPr>
          <w:rFonts w:hint="eastAsia" w:ascii="Arial"/>
          <w:color w:val="auto"/>
          <w:sz w:val="22"/>
          <w:szCs w:val="22"/>
          <w:highlight w:val="none"/>
        </w:rPr>
      </w:pPr>
      <w:r>
        <w:rPr>
          <w:rFonts w:hint="eastAsia" w:ascii="Arial"/>
          <w:color w:val="auto"/>
          <w:sz w:val="22"/>
          <w:szCs w:val="22"/>
          <w:highlight w:val="none"/>
        </w:rPr>
        <w:t>1.3.14 合同管理咨询</w:t>
      </w:r>
    </w:p>
    <w:p w14:paraId="3CCA14F5">
      <w:pPr>
        <w:spacing w:line="294" w:lineRule="auto"/>
        <w:rPr>
          <w:rFonts w:hint="eastAsia" w:ascii="Arial"/>
          <w:color w:val="auto"/>
          <w:sz w:val="22"/>
          <w:szCs w:val="22"/>
          <w:highlight w:val="none"/>
        </w:rPr>
      </w:pPr>
      <w:r>
        <w:rPr>
          <w:rFonts w:hint="eastAsia" w:ascii="Arial"/>
          <w:color w:val="auto"/>
          <w:sz w:val="22"/>
          <w:szCs w:val="22"/>
          <w:highlight w:val="none"/>
        </w:rPr>
        <w:t>1.3.15 建设项目后评价</w:t>
      </w:r>
    </w:p>
    <w:p w14:paraId="5C00C307">
      <w:pPr>
        <w:spacing w:line="294" w:lineRule="auto"/>
        <w:rPr>
          <w:rFonts w:hint="eastAsia" w:ascii="Arial"/>
          <w:color w:val="auto"/>
          <w:sz w:val="22"/>
          <w:szCs w:val="22"/>
          <w:highlight w:val="none"/>
        </w:rPr>
      </w:pPr>
      <w:r>
        <w:rPr>
          <w:rFonts w:hint="eastAsia" w:ascii="Arial"/>
          <w:color w:val="auto"/>
          <w:sz w:val="22"/>
          <w:szCs w:val="22"/>
          <w:highlight w:val="none"/>
        </w:rPr>
        <w:t>1.3.16 工程造价信息咨询服务</w:t>
      </w:r>
    </w:p>
    <w:p w14:paraId="4FCBDFA4">
      <w:pPr>
        <w:spacing w:line="294" w:lineRule="auto"/>
        <w:rPr>
          <w:rFonts w:hint="eastAsia" w:ascii="Arial"/>
          <w:color w:val="auto"/>
          <w:sz w:val="22"/>
          <w:szCs w:val="22"/>
          <w:highlight w:val="none"/>
        </w:rPr>
      </w:pPr>
      <w:r>
        <w:rPr>
          <w:rFonts w:hint="eastAsia" w:ascii="Arial"/>
          <w:color w:val="auto"/>
          <w:sz w:val="22"/>
          <w:szCs w:val="22"/>
          <w:highlight w:val="none"/>
        </w:rPr>
        <w:t>1.3.17 其他合同约定的工程造价咨询工作</w:t>
      </w:r>
    </w:p>
    <w:p w14:paraId="131C0710">
      <w:pPr>
        <w:spacing w:line="294" w:lineRule="auto"/>
        <w:rPr>
          <w:rFonts w:hint="eastAsia" w:ascii="Arial"/>
          <w:color w:val="auto"/>
          <w:sz w:val="22"/>
          <w:szCs w:val="22"/>
          <w:highlight w:val="none"/>
        </w:rPr>
      </w:pPr>
      <w:r>
        <w:rPr>
          <w:rFonts w:hint="eastAsia" w:ascii="Arial"/>
          <w:color w:val="auto"/>
          <w:sz w:val="22"/>
          <w:szCs w:val="22"/>
          <w:highlight w:val="none"/>
        </w:rPr>
        <w:t>2、本项目咨询工作的一般要求</w:t>
      </w:r>
    </w:p>
    <w:p w14:paraId="7737FEE5">
      <w:pPr>
        <w:spacing w:line="294" w:lineRule="auto"/>
        <w:rPr>
          <w:rFonts w:hint="eastAsia" w:ascii="Arial"/>
          <w:color w:val="auto"/>
          <w:sz w:val="22"/>
          <w:szCs w:val="22"/>
          <w:highlight w:val="none"/>
        </w:rPr>
      </w:pPr>
      <w:r>
        <w:rPr>
          <w:rFonts w:hint="eastAsia" w:ascii="Arial"/>
          <w:color w:val="auto"/>
          <w:sz w:val="22"/>
          <w:szCs w:val="22"/>
          <w:highlight w:val="none"/>
        </w:rPr>
        <w:t>2.1 一般规定</w:t>
      </w:r>
    </w:p>
    <w:p w14:paraId="1E26061B">
      <w:pPr>
        <w:spacing w:line="294" w:lineRule="auto"/>
        <w:rPr>
          <w:rFonts w:hint="eastAsia" w:ascii="Arial"/>
          <w:color w:val="auto"/>
          <w:sz w:val="22"/>
          <w:szCs w:val="22"/>
          <w:highlight w:val="none"/>
        </w:rPr>
      </w:pPr>
      <w:r>
        <w:rPr>
          <w:rFonts w:hint="eastAsia" w:ascii="Arial"/>
          <w:color w:val="auto"/>
          <w:sz w:val="22"/>
          <w:szCs w:val="22"/>
          <w:highlight w:val="none"/>
        </w:rPr>
        <w:t>2.1.1 全过程工程咨询单位应按全过程工程咨询合同要求出具相应的成果文件，并 应在成果文件或需要其确认的相关文件上签章，承担合同主体责任。总咨询师、专业咨 询工程师应在其完成或需要其确认的相应成果文件上签章，承担相应责任。</w:t>
      </w:r>
    </w:p>
    <w:p w14:paraId="3CFAD255">
      <w:pPr>
        <w:spacing w:line="294" w:lineRule="auto"/>
        <w:rPr>
          <w:rFonts w:hint="eastAsia" w:ascii="Arial"/>
          <w:color w:val="auto"/>
          <w:sz w:val="22"/>
          <w:szCs w:val="22"/>
          <w:highlight w:val="none"/>
        </w:rPr>
      </w:pPr>
      <w:r>
        <w:rPr>
          <w:rFonts w:hint="eastAsia" w:ascii="Arial"/>
          <w:color w:val="auto"/>
          <w:sz w:val="22"/>
          <w:szCs w:val="22"/>
          <w:highlight w:val="none"/>
        </w:rPr>
        <w:t>2.1.2 全过程工程咨询单位以及承担全过程工程咨询业务的总咨询师、专业咨询工 程师，不得同时接受具有利害关系的双方或多方委托进行同一项目、同一阶段的全过程工程咨询业务</w:t>
      </w:r>
    </w:p>
    <w:p w14:paraId="416669F4">
      <w:pPr>
        <w:spacing w:line="294" w:lineRule="auto"/>
        <w:rPr>
          <w:rFonts w:hint="eastAsia" w:ascii="Arial"/>
          <w:color w:val="auto"/>
          <w:sz w:val="22"/>
          <w:szCs w:val="22"/>
          <w:highlight w:val="none"/>
        </w:rPr>
      </w:pPr>
      <w:r>
        <w:rPr>
          <w:rFonts w:hint="eastAsia" w:ascii="Arial"/>
          <w:color w:val="auto"/>
          <w:sz w:val="22"/>
          <w:szCs w:val="22"/>
          <w:highlight w:val="none"/>
        </w:rPr>
        <w:t>2.1.3 承担建设项目全过程工程咨询业务的机构应按照合同要求，对合同中涉及的咨询服务内容实施全过程和全方位的管理与控制。</w:t>
      </w:r>
    </w:p>
    <w:p w14:paraId="4CAD0C78">
      <w:pPr>
        <w:spacing w:line="294" w:lineRule="auto"/>
        <w:rPr>
          <w:rFonts w:hint="eastAsia" w:ascii="Arial"/>
          <w:color w:val="auto"/>
          <w:sz w:val="22"/>
          <w:szCs w:val="22"/>
          <w:highlight w:val="none"/>
        </w:rPr>
      </w:pPr>
      <w:r>
        <w:rPr>
          <w:rFonts w:hint="eastAsia" w:ascii="Arial"/>
          <w:color w:val="auto"/>
          <w:sz w:val="22"/>
          <w:szCs w:val="22"/>
          <w:highlight w:val="none"/>
        </w:rPr>
        <w:t>2.2 组织管理</w:t>
      </w:r>
    </w:p>
    <w:p w14:paraId="28236145">
      <w:pPr>
        <w:spacing w:line="294" w:lineRule="auto"/>
        <w:rPr>
          <w:rFonts w:hint="eastAsia" w:ascii="Arial"/>
          <w:color w:val="auto"/>
          <w:sz w:val="22"/>
          <w:szCs w:val="22"/>
          <w:highlight w:val="none"/>
        </w:rPr>
      </w:pPr>
      <w:r>
        <w:rPr>
          <w:rFonts w:hint="eastAsia" w:ascii="Arial"/>
          <w:color w:val="auto"/>
          <w:sz w:val="22"/>
          <w:szCs w:val="22"/>
          <w:highlight w:val="none"/>
        </w:rPr>
        <w:t>2.2.1 全过程工程咨询单位应根据合同约定和项目情况，编制全过程工程咨询工作大纲。工作大纲应包括项目概况、咨询业务范围、全过程工程咨询的总体思路、项目组织架构、工作进度、人员安排、风险管理、合同管理、信息管理、档案管理、质量管理、 重点和难点分析、客户回访和评价等内容。</w:t>
      </w:r>
    </w:p>
    <w:p w14:paraId="62EB73DC">
      <w:pPr>
        <w:spacing w:line="294" w:lineRule="auto"/>
        <w:rPr>
          <w:rFonts w:hint="eastAsia" w:ascii="Arial"/>
          <w:color w:val="auto"/>
          <w:sz w:val="22"/>
          <w:szCs w:val="22"/>
          <w:highlight w:val="none"/>
        </w:rPr>
      </w:pPr>
      <w:r>
        <w:rPr>
          <w:rFonts w:hint="eastAsia" w:ascii="Arial"/>
          <w:color w:val="auto"/>
          <w:sz w:val="22"/>
          <w:szCs w:val="22"/>
          <w:highlight w:val="none"/>
        </w:rPr>
        <w:t>2.2.2 全过程工程咨询单位应针对建设项目建立有效的内部组织管理和外部管理 组织协调体系。</w:t>
      </w:r>
    </w:p>
    <w:p w14:paraId="25651583">
      <w:pPr>
        <w:spacing w:line="294" w:lineRule="auto"/>
        <w:rPr>
          <w:rFonts w:hint="eastAsia" w:ascii="Arial"/>
          <w:color w:val="auto"/>
          <w:sz w:val="22"/>
          <w:szCs w:val="22"/>
          <w:highlight w:val="none"/>
        </w:rPr>
      </w:pPr>
      <w:r>
        <w:rPr>
          <w:rFonts w:hint="eastAsia" w:ascii="Arial"/>
          <w:color w:val="auto"/>
          <w:sz w:val="22"/>
          <w:szCs w:val="22"/>
          <w:highlight w:val="none"/>
        </w:rPr>
        <w:t>2.2.3 全过程工程咨询单位应按照合同要求编制工作进度计划。其中咨询成果文件 提交时间应参照行业相关标准、满足建设项目总体进度要求，并与项目总体进度相协调。</w:t>
      </w:r>
    </w:p>
    <w:p w14:paraId="512D6C19">
      <w:pPr>
        <w:spacing w:line="294" w:lineRule="auto"/>
        <w:rPr>
          <w:rFonts w:hint="eastAsia" w:ascii="Arial"/>
          <w:color w:val="auto"/>
          <w:sz w:val="22"/>
          <w:szCs w:val="22"/>
          <w:highlight w:val="none"/>
        </w:rPr>
      </w:pPr>
      <w:r>
        <w:rPr>
          <w:rFonts w:hint="eastAsia" w:ascii="Arial"/>
          <w:color w:val="auto"/>
          <w:sz w:val="22"/>
          <w:szCs w:val="22"/>
          <w:highlight w:val="none"/>
        </w:rPr>
        <w:t>2.3 质量管理</w:t>
      </w:r>
    </w:p>
    <w:p w14:paraId="04B22A48">
      <w:pPr>
        <w:spacing w:line="294" w:lineRule="auto"/>
        <w:rPr>
          <w:rFonts w:hint="eastAsia" w:ascii="Arial"/>
          <w:color w:val="auto"/>
          <w:sz w:val="22"/>
          <w:szCs w:val="22"/>
          <w:highlight w:val="none"/>
        </w:rPr>
      </w:pPr>
      <w:r>
        <w:rPr>
          <w:rFonts w:hint="eastAsia" w:ascii="Arial"/>
          <w:color w:val="auto"/>
          <w:sz w:val="22"/>
          <w:szCs w:val="22"/>
          <w:highlight w:val="none"/>
        </w:rPr>
        <w:t>2.3.1 全过程工程咨询单位应针对全过程工程咨询业务特点，建立完善的内部质量 管理体系，并通过流程控制、机构标准等措施保证咨询成果文件质量。</w:t>
      </w:r>
    </w:p>
    <w:p w14:paraId="493AABD2">
      <w:pPr>
        <w:spacing w:line="294" w:lineRule="auto"/>
        <w:rPr>
          <w:rFonts w:hint="eastAsia" w:ascii="Arial"/>
          <w:color w:val="auto"/>
          <w:sz w:val="22"/>
          <w:szCs w:val="22"/>
          <w:highlight w:val="none"/>
        </w:rPr>
      </w:pPr>
      <w:r>
        <w:rPr>
          <w:rFonts w:hint="eastAsia" w:ascii="Arial"/>
          <w:color w:val="auto"/>
          <w:sz w:val="22"/>
          <w:szCs w:val="22"/>
          <w:highlight w:val="none"/>
        </w:rPr>
        <w:t>2.3.2 全过程工程咨询单位提交的各类成果文件应由编制人编制，并应由专业咨询 工程师审核和总咨询师审定。</w:t>
      </w:r>
    </w:p>
    <w:p w14:paraId="265D9B9F">
      <w:pPr>
        <w:spacing w:line="294" w:lineRule="auto"/>
        <w:rPr>
          <w:rFonts w:hint="eastAsia" w:ascii="Arial"/>
          <w:color w:val="auto"/>
          <w:sz w:val="22"/>
          <w:szCs w:val="22"/>
          <w:highlight w:val="none"/>
        </w:rPr>
      </w:pPr>
      <w:r>
        <w:rPr>
          <w:rFonts w:hint="eastAsia" w:ascii="Arial"/>
          <w:color w:val="auto"/>
          <w:sz w:val="22"/>
          <w:szCs w:val="22"/>
          <w:highlight w:val="none"/>
        </w:rPr>
        <w:t>2.3.3 全过程工程咨询单位应核对投资人提供的全过程工程咨询相关资料，及时向 投资人反映相关资料存在的缺陷，并要求投资人对其补充和完善。投资人无正当理由不 得拒绝提供全过程工程咨询单位所要求的相关资料。</w:t>
      </w:r>
    </w:p>
    <w:p w14:paraId="7F453B42">
      <w:pPr>
        <w:spacing w:line="294" w:lineRule="auto"/>
        <w:rPr>
          <w:rFonts w:hint="eastAsia" w:ascii="Arial"/>
          <w:color w:val="auto"/>
          <w:sz w:val="22"/>
          <w:szCs w:val="22"/>
          <w:highlight w:val="none"/>
        </w:rPr>
      </w:pPr>
      <w:r>
        <w:rPr>
          <w:rFonts w:hint="eastAsia" w:ascii="Arial"/>
          <w:color w:val="auto"/>
          <w:sz w:val="22"/>
          <w:szCs w:val="22"/>
          <w:highlight w:val="none"/>
        </w:rPr>
        <w:t>2.3.4 全过程工程咨询成果文件应符合现行国家和行业有关标准规定。如投资人对 质量标准要求高于现行国家或行业有关标准规定的，应在全过程工程咨询合同中予以明 确。</w:t>
      </w:r>
    </w:p>
    <w:p w14:paraId="5059715E">
      <w:pPr>
        <w:spacing w:line="294" w:lineRule="auto"/>
        <w:rPr>
          <w:rFonts w:hint="eastAsia" w:ascii="Arial"/>
          <w:color w:val="auto"/>
          <w:sz w:val="22"/>
          <w:szCs w:val="22"/>
          <w:highlight w:val="none"/>
        </w:rPr>
      </w:pPr>
      <w:r>
        <w:rPr>
          <w:rFonts w:hint="eastAsia" w:ascii="Arial"/>
          <w:color w:val="auto"/>
          <w:sz w:val="22"/>
          <w:szCs w:val="22"/>
          <w:highlight w:val="none"/>
        </w:rPr>
        <w:t>2.3.5 全过程工程咨询单位应根据工作大纲，定期或不定期对其咨询工作进行回访， 听取投资人的评价意见，并结合本机构的质量保证体系进行总结完善。</w:t>
      </w:r>
    </w:p>
    <w:p w14:paraId="03724F01">
      <w:pPr>
        <w:spacing w:line="294" w:lineRule="auto"/>
        <w:rPr>
          <w:rFonts w:hint="eastAsia" w:ascii="Arial"/>
          <w:color w:val="auto"/>
          <w:sz w:val="22"/>
          <w:szCs w:val="22"/>
          <w:highlight w:val="none"/>
        </w:rPr>
      </w:pPr>
      <w:r>
        <w:rPr>
          <w:rFonts w:hint="eastAsia" w:ascii="Arial"/>
          <w:color w:val="auto"/>
          <w:sz w:val="22"/>
          <w:szCs w:val="22"/>
          <w:highlight w:val="none"/>
        </w:rPr>
        <w:t>2.4 风险管理</w:t>
      </w:r>
    </w:p>
    <w:p w14:paraId="158E360B">
      <w:pPr>
        <w:spacing w:line="294" w:lineRule="auto"/>
        <w:rPr>
          <w:rFonts w:hint="eastAsia" w:ascii="Arial"/>
          <w:color w:val="auto"/>
          <w:sz w:val="22"/>
          <w:szCs w:val="22"/>
          <w:highlight w:val="none"/>
        </w:rPr>
      </w:pPr>
      <w:r>
        <w:rPr>
          <w:rFonts w:hint="eastAsia" w:ascii="Arial"/>
          <w:color w:val="auto"/>
          <w:sz w:val="22"/>
          <w:szCs w:val="22"/>
          <w:highlight w:val="none"/>
        </w:rPr>
        <w:t>2.4.1 全过程工程咨询单位应根据自身资质等级、技术能力、人员配置情况，对拟 承接的全过程工程咨询业务的服务周期、质量要求、市场状况及收费标准等风险因素进行综合评估，以判断是否承接相关业务。</w:t>
      </w:r>
    </w:p>
    <w:p w14:paraId="1A0BACE9">
      <w:pPr>
        <w:spacing w:line="294" w:lineRule="auto"/>
        <w:rPr>
          <w:rFonts w:hint="eastAsia" w:ascii="Arial"/>
          <w:color w:val="auto"/>
          <w:sz w:val="22"/>
          <w:szCs w:val="22"/>
          <w:highlight w:val="none"/>
        </w:rPr>
      </w:pPr>
      <w:r>
        <w:rPr>
          <w:rFonts w:hint="eastAsia" w:ascii="Arial"/>
          <w:color w:val="auto"/>
          <w:sz w:val="22"/>
          <w:szCs w:val="22"/>
          <w:highlight w:val="none"/>
        </w:rPr>
        <w:t>2.4.2 全过程工程咨询单位应通过提高咨询人员业务能力、风险意识、法律意识、 职业操守等相应措施，防范专业服务风险、职业道德风险和企业内部管理风险。</w:t>
      </w:r>
    </w:p>
    <w:p w14:paraId="6D1874D1">
      <w:pPr>
        <w:spacing w:line="294" w:lineRule="auto"/>
        <w:rPr>
          <w:rFonts w:hint="eastAsia" w:ascii="Arial"/>
          <w:color w:val="auto"/>
          <w:sz w:val="22"/>
          <w:szCs w:val="22"/>
          <w:highlight w:val="none"/>
        </w:rPr>
      </w:pPr>
      <w:r>
        <w:rPr>
          <w:rFonts w:hint="eastAsia" w:ascii="Arial"/>
          <w:color w:val="auto"/>
          <w:sz w:val="22"/>
          <w:szCs w:val="22"/>
          <w:highlight w:val="none"/>
        </w:rPr>
        <w:t>2.4.3 全过程工程咨询单位应根据委托要求进行项目全过程工程咨询风险管理，关 注服务各阶段可能发生的风险，对涉及人为、经济、自然灾害等诸多方面的风险因素进行分析并提出合理化建议。</w:t>
      </w:r>
    </w:p>
    <w:p w14:paraId="113C8A1A">
      <w:pPr>
        <w:spacing w:line="294" w:lineRule="auto"/>
        <w:rPr>
          <w:rFonts w:hint="eastAsia" w:ascii="Arial"/>
          <w:color w:val="auto"/>
          <w:sz w:val="22"/>
          <w:szCs w:val="22"/>
          <w:highlight w:val="none"/>
        </w:rPr>
      </w:pPr>
      <w:r>
        <w:rPr>
          <w:rFonts w:hint="eastAsia" w:ascii="Arial"/>
          <w:color w:val="auto"/>
          <w:sz w:val="22"/>
          <w:szCs w:val="22"/>
          <w:highlight w:val="none"/>
        </w:rPr>
        <w:t>2.5 信息管理</w:t>
      </w:r>
    </w:p>
    <w:p w14:paraId="7ACBF677">
      <w:pPr>
        <w:spacing w:line="294" w:lineRule="auto"/>
        <w:rPr>
          <w:rFonts w:hint="eastAsia" w:ascii="Arial"/>
          <w:color w:val="auto"/>
          <w:sz w:val="22"/>
          <w:szCs w:val="22"/>
          <w:highlight w:val="none"/>
        </w:rPr>
      </w:pPr>
      <w:r>
        <w:rPr>
          <w:rFonts w:hint="eastAsia" w:ascii="Arial"/>
          <w:color w:val="auto"/>
          <w:sz w:val="22"/>
          <w:szCs w:val="22"/>
          <w:highlight w:val="none"/>
        </w:rPr>
        <w:t>2.5.1 全过程工程咨询单位信息管理对象包括相关的专业数据库管理和专业软件管理。全过程工程咨询单位应利用计算机、互联网通信技术将信息管理贯穿咨询服务全过程。</w:t>
      </w:r>
    </w:p>
    <w:p w14:paraId="7FDF7F09">
      <w:pPr>
        <w:spacing w:line="294" w:lineRule="auto"/>
        <w:rPr>
          <w:rFonts w:hint="eastAsia" w:ascii="Arial"/>
          <w:color w:val="auto"/>
          <w:sz w:val="22"/>
          <w:szCs w:val="22"/>
          <w:highlight w:val="none"/>
        </w:rPr>
      </w:pPr>
      <w:r>
        <w:rPr>
          <w:rFonts w:hint="eastAsia" w:ascii="Arial"/>
          <w:color w:val="auto"/>
          <w:sz w:val="22"/>
          <w:szCs w:val="22"/>
          <w:highlight w:val="none"/>
        </w:rPr>
        <w:t>2.6 档案管理</w:t>
      </w:r>
    </w:p>
    <w:p w14:paraId="20225BEA">
      <w:pPr>
        <w:spacing w:line="294" w:lineRule="auto"/>
        <w:rPr>
          <w:rFonts w:hint="eastAsia" w:ascii="Arial"/>
          <w:color w:val="auto"/>
          <w:sz w:val="22"/>
          <w:szCs w:val="22"/>
          <w:highlight w:val="none"/>
        </w:rPr>
      </w:pPr>
      <w:r>
        <w:rPr>
          <w:rFonts w:hint="eastAsia" w:ascii="Arial"/>
          <w:color w:val="auto"/>
          <w:sz w:val="22"/>
          <w:szCs w:val="22"/>
          <w:highlight w:val="none"/>
        </w:rPr>
        <w:t>2.6.1 全过程工程咨询单位应按照国家现行有关档案管理及标准的规定，建立档案 收集制度、统计制度、保密制度、借阅制度、库房管理制度及档案管理人员守则。</w:t>
      </w:r>
    </w:p>
    <w:p w14:paraId="177A49F9">
      <w:pPr>
        <w:spacing w:line="294" w:lineRule="auto"/>
        <w:rPr>
          <w:rFonts w:hint="eastAsia" w:ascii="Arial"/>
          <w:color w:val="auto"/>
          <w:sz w:val="22"/>
          <w:szCs w:val="22"/>
          <w:highlight w:val="none"/>
        </w:rPr>
      </w:pPr>
      <w:r>
        <w:rPr>
          <w:rFonts w:hint="eastAsia" w:ascii="Arial"/>
          <w:color w:val="auto"/>
          <w:sz w:val="22"/>
          <w:szCs w:val="22"/>
          <w:highlight w:val="none"/>
        </w:rPr>
        <w:t>全过程工程咨询档案可分为成果文件和过程文件两类。成果文件应包括：全过程工 程咨询单位出具的相关专业咨询成果文件。过程文件应包括：编制、审核、审定人员的 工作底稿、相关电子文件等。</w:t>
      </w:r>
    </w:p>
    <w:p w14:paraId="6A217915">
      <w:pPr>
        <w:spacing w:line="294" w:lineRule="auto"/>
        <w:rPr>
          <w:rFonts w:hint="eastAsia" w:ascii="Arial"/>
          <w:color w:val="auto"/>
          <w:sz w:val="22"/>
          <w:szCs w:val="22"/>
          <w:highlight w:val="none"/>
        </w:rPr>
      </w:pPr>
      <w:r>
        <w:rPr>
          <w:rFonts w:hint="eastAsia" w:ascii="Arial"/>
          <w:color w:val="auto"/>
          <w:sz w:val="22"/>
          <w:szCs w:val="22"/>
          <w:highlight w:val="none"/>
        </w:rPr>
        <w:t>2.6.2 全过程工程咨询档案的保存期应符合国家和合同等相关规定，且不应少于 15 年。</w:t>
      </w:r>
    </w:p>
    <w:p w14:paraId="2D93860C">
      <w:pPr>
        <w:spacing w:line="294" w:lineRule="auto"/>
        <w:rPr>
          <w:rFonts w:hint="eastAsia" w:ascii="Arial"/>
          <w:color w:val="auto"/>
          <w:sz w:val="22"/>
          <w:szCs w:val="22"/>
          <w:highlight w:val="none"/>
        </w:rPr>
      </w:pPr>
      <w:r>
        <w:rPr>
          <w:rFonts w:hint="eastAsia" w:ascii="Arial"/>
          <w:color w:val="auto"/>
          <w:sz w:val="22"/>
          <w:szCs w:val="22"/>
          <w:highlight w:val="none"/>
        </w:rPr>
        <w:t>2.6.3 全过程工程咨询单位的档案管理工作包括：</w:t>
      </w:r>
    </w:p>
    <w:p w14:paraId="53AD47B6">
      <w:pPr>
        <w:spacing w:line="294" w:lineRule="auto"/>
        <w:rPr>
          <w:rFonts w:hint="eastAsia" w:ascii="Arial"/>
          <w:color w:val="auto"/>
          <w:sz w:val="22"/>
          <w:szCs w:val="22"/>
          <w:highlight w:val="none"/>
        </w:rPr>
      </w:pPr>
      <w:r>
        <w:rPr>
          <w:rFonts w:hint="eastAsia" w:ascii="Arial"/>
          <w:color w:val="auto"/>
          <w:sz w:val="22"/>
          <w:szCs w:val="22"/>
          <w:highlight w:val="none"/>
        </w:rPr>
        <w:t>1 归档全过程工程咨询成果文件、过程文件和其他文件。</w:t>
      </w:r>
    </w:p>
    <w:p w14:paraId="6EB07DBB">
      <w:pPr>
        <w:spacing w:line="294" w:lineRule="auto"/>
        <w:rPr>
          <w:rFonts w:hint="eastAsia" w:ascii="Arial"/>
          <w:color w:val="auto"/>
          <w:sz w:val="22"/>
          <w:szCs w:val="22"/>
          <w:highlight w:val="none"/>
        </w:rPr>
      </w:pPr>
      <w:r>
        <w:rPr>
          <w:rFonts w:hint="eastAsia" w:ascii="Arial"/>
          <w:color w:val="auto"/>
          <w:sz w:val="22"/>
          <w:szCs w:val="22"/>
          <w:highlight w:val="none"/>
        </w:rPr>
        <w:t>2 组织并指导全过程工程咨询业务过程中所借阅和使用的各类设计文件、施工合同 文件、竣工资料等可追朔性资料的文件目录。文件目录应由总咨询师审定后归档。</w:t>
      </w:r>
    </w:p>
    <w:p w14:paraId="4397E596">
      <w:pPr>
        <w:spacing w:line="294" w:lineRule="auto"/>
        <w:rPr>
          <w:rFonts w:hint="eastAsia" w:ascii="Arial"/>
          <w:color w:val="auto"/>
          <w:sz w:val="22"/>
          <w:szCs w:val="22"/>
          <w:highlight w:val="none"/>
        </w:rPr>
      </w:pPr>
      <w:r>
        <w:rPr>
          <w:rFonts w:hint="eastAsia" w:ascii="Arial"/>
          <w:color w:val="auto"/>
          <w:sz w:val="22"/>
          <w:szCs w:val="22"/>
          <w:highlight w:val="none"/>
        </w:rPr>
        <w:t>3 记录全过程工程咨询档案的接收、借阅和送还。</w:t>
      </w:r>
    </w:p>
    <w:p w14:paraId="412AE4A0">
      <w:pPr>
        <w:spacing w:line="294" w:lineRule="auto"/>
        <w:rPr>
          <w:rFonts w:hint="eastAsia" w:ascii="Arial"/>
          <w:color w:val="auto"/>
          <w:sz w:val="22"/>
          <w:szCs w:val="22"/>
          <w:highlight w:val="none"/>
        </w:rPr>
      </w:pPr>
      <w:r>
        <w:rPr>
          <w:rFonts w:hint="eastAsia" w:ascii="Arial"/>
          <w:color w:val="auto"/>
          <w:sz w:val="22"/>
          <w:szCs w:val="22"/>
          <w:highlight w:val="none"/>
        </w:rPr>
        <w:t>2.7 合同管理</w:t>
      </w:r>
    </w:p>
    <w:p w14:paraId="70E99FA6">
      <w:pPr>
        <w:spacing w:line="294" w:lineRule="auto"/>
        <w:rPr>
          <w:rFonts w:hint="eastAsia" w:ascii="Arial"/>
          <w:color w:val="auto"/>
          <w:sz w:val="22"/>
          <w:szCs w:val="22"/>
          <w:highlight w:val="none"/>
        </w:rPr>
      </w:pPr>
      <w:r>
        <w:rPr>
          <w:rFonts w:hint="eastAsia" w:ascii="Arial"/>
          <w:color w:val="auto"/>
          <w:sz w:val="22"/>
          <w:szCs w:val="22"/>
          <w:highlight w:val="none"/>
        </w:rPr>
        <w:t>2.7.1 全过程工程咨询单位应协助投资人采用适当的管理方式，建立健全合同管理 体系以实施全面合同管理，确保建设项目有序进行。全面合同管理应做到：</w:t>
      </w:r>
    </w:p>
    <w:p w14:paraId="638882D7">
      <w:pPr>
        <w:spacing w:line="294" w:lineRule="auto"/>
        <w:rPr>
          <w:rFonts w:hint="eastAsia" w:ascii="Arial"/>
          <w:color w:val="auto"/>
          <w:sz w:val="22"/>
          <w:szCs w:val="22"/>
          <w:highlight w:val="none"/>
        </w:rPr>
      </w:pPr>
      <w:r>
        <w:rPr>
          <w:rFonts w:hint="eastAsia" w:ascii="Arial"/>
          <w:color w:val="auto"/>
          <w:sz w:val="22"/>
          <w:szCs w:val="22"/>
          <w:highlight w:val="none"/>
        </w:rPr>
        <w:t>1 建立标准合同管理程序；</w:t>
      </w:r>
    </w:p>
    <w:p w14:paraId="62EBBA91">
      <w:pPr>
        <w:spacing w:line="294" w:lineRule="auto"/>
        <w:rPr>
          <w:rFonts w:hint="eastAsia" w:ascii="Arial"/>
          <w:color w:val="auto"/>
          <w:sz w:val="22"/>
          <w:szCs w:val="22"/>
          <w:highlight w:val="none"/>
        </w:rPr>
      </w:pPr>
      <w:r>
        <w:rPr>
          <w:rFonts w:hint="eastAsia" w:ascii="Arial"/>
          <w:color w:val="auto"/>
          <w:sz w:val="22"/>
          <w:szCs w:val="22"/>
          <w:highlight w:val="none"/>
        </w:rPr>
        <w:t>2 明确合同相关各方的工作职责、权限和工作流程；</w:t>
      </w:r>
    </w:p>
    <w:p w14:paraId="70158086">
      <w:pPr>
        <w:spacing w:line="294" w:lineRule="auto"/>
        <w:rPr>
          <w:rFonts w:hint="eastAsia" w:ascii="Arial"/>
          <w:color w:val="auto"/>
          <w:sz w:val="22"/>
          <w:szCs w:val="22"/>
          <w:highlight w:val="none"/>
        </w:rPr>
      </w:pPr>
      <w:r>
        <w:rPr>
          <w:rFonts w:hint="eastAsia" w:ascii="Arial"/>
          <w:color w:val="auto"/>
          <w:sz w:val="22"/>
          <w:szCs w:val="22"/>
          <w:highlight w:val="none"/>
        </w:rPr>
        <w:t>3 明确合同工期、造价、质量、安全等事项的管理流程与时限等。</w:t>
      </w:r>
    </w:p>
    <w:p w14:paraId="7DA92065">
      <w:pPr>
        <w:spacing w:line="294" w:lineRule="auto"/>
        <w:rPr>
          <w:rFonts w:hint="eastAsia" w:ascii="Arial"/>
          <w:color w:val="auto"/>
          <w:sz w:val="22"/>
          <w:szCs w:val="22"/>
          <w:highlight w:val="none"/>
        </w:rPr>
      </w:pPr>
      <w:r>
        <w:rPr>
          <w:rFonts w:hint="eastAsia" w:ascii="Arial"/>
          <w:color w:val="auto"/>
          <w:sz w:val="22"/>
          <w:szCs w:val="22"/>
          <w:highlight w:val="none"/>
        </w:rPr>
        <w:t>2.7.2 承担全过程工程咨询业务的全过程工程咨询单位应协助投资人进行建设项</w:t>
      </w:r>
    </w:p>
    <w:p w14:paraId="3D5DBEC4">
      <w:pPr>
        <w:spacing w:line="294" w:lineRule="auto"/>
        <w:rPr>
          <w:rFonts w:hint="eastAsia" w:ascii="Arial"/>
          <w:color w:val="auto"/>
          <w:sz w:val="22"/>
          <w:szCs w:val="22"/>
          <w:highlight w:val="none"/>
        </w:rPr>
      </w:pPr>
      <w:r>
        <w:rPr>
          <w:rFonts w:hint="eastAsia" w:ascii="Arial"/>
          <w:color w:val="auto"/>
          <w:sz w:val="22"/>
          <w:szCs w:val="22"/>
          <w:highlight w:val="none"/>
        </w:rPr>
        <w:t>目合同管理。建设项目合同管理包括合同签订前的管理与合同签订后的管理。</w:t>
      </w:r>
    </w:p>
    <w:p w14:paraId="13F483B5">
      <w:pPr>
        <w:spacing w:line="294" w:lineRule="auto"/>
        <w:rPr>
          <w:rFonts w:hint="eastAsia" w:ascii="Arial"/>
          <w:color w:val="auto"/>
          <w:sz w:val="22"/>
          <w:szCs w:val="22"/>
          <w:highlight w:val="none"/>
        </w:rPr>
      </w:pPr>
      <w:r>
        <w:rPr>
          <w:rFonts w:hint="eastAsia" w:ascii="Arial"/>
          <w:color w:val="auto"/>
          <w:sz w:val="22"/>
          <w:szCs w:val="22"/>
          <w:highlight w:val="none"/>
        </w:rPr>
        <w:t>2.7.3 建设项目合同签订前的合同管理包括：招标策划、招标文件的拟定与审核、 评标标准的制定、招标答疑、合同条款的拟定与审核、完善合同补充条款以及合同组卷 与签订。</w:t>
      </w:r>
    </w:p>
    <w:p w14:paraId="0538D49E">
      <w:pPr>
        <w:spacing w:line="294" w:lineRule="auto"/>
        <w:rPr>
          <w:rFonts w:hint="eastAsia" w:ascii="Arial"/>
          <w:color w:val="auto"/>
          <w:sz w:val="22"/>
          <w:szCs w:val="22"/>
          <w:highlight w:val="none"/>
        </w:rPr>
      </w:pPr>
      <w:r>
        <w:rPr>
          <w:rFonts w:hint="eastAsia" w:ascii="Arial"/>
          <w:color w:val="auto"/>
          <w:sz w:val="22"/>
          <w:szCs w:val="22"/>
          <w:highlight w:val="none"/>
        </w:rPr>
        <w:t>2.7.4 建设项目合同签订后的合同管理包括：合同交底、合同台账管理、合同履约 过程动态管理、合同变更与终止管理。</w:t>
      </w:r>
    </w:p>
    <w:p w14:paraId="081B2D47">
      <w:pPr>
        <w:spacing w:line="294" w:lineRule="auto"/>
        <w:rPr>
          <w:rFonts w:hint="eastAsia" w:ascii="Arial"/>
          <w:color w:val="auto"/>
          <w:sz w:val="22"/>
          <w:szCs w:val="22"/>
          <w:highlight w:val="none"/>
        </w:rPr>
      </w:pPr>
      <w:r>
        <w:rPr>
          <w:rFonts w:hint="eastAsia" w:ascii="Arial"/>
          <w:color w:val="auto"/>
          <w:sz w:val="22"/>
          <w:szCs w:val="22"/>
          <w:highlight w:val="none"/>
        </w:rPr>
        <w:t>3、主要服务阶段工作要求</w:t>
      </w:r>
    </w:p>
    <w:p w14:paraId="5EE81CCA">
      <w:pPr>
        <w:spacing w:line="294" w:lineRule="auto"/>
        <w:rPr>
          <w:rFonts w:hint="eastAsia" w:ascii="Arial"/>
          <w:color w:val="auto"/>
          <w:sz w:val="22"/>
          <w:szCs w:val="22"/>
          <w:highlight w:val="none"/>
        </w:rPr>
      </w:pPr>
      <w:r>
        <w:rPr>
          <w:rFonts w:hint="eastAsia" w:ascii="Arial"/>
          <w:color w:val="auto"/>
          <w:sz w:val="22"/>
          <w:szCs w:val="22"/>
          <w:highlight w:val="none"/>
        </w:rPr>
        <w:t>3.1 招标采购阶段</w:t>
      </w:r>
    </w:p>
    <w:p w14:paraId="1A044D69">
      <w:pPr>
        <w:spacing w:line="294" w:lineRule="auto"/>
        <w:rPr>
          <w:rFonts w:hint="eastAsia" w:ascii="Arial"/>
          <w:color w:val="auto"/>
          <w:sz w:val="22"/>
          <w:szCs w:val="22"/>
          <w:highlight w:val="none"/>
        </w:rPr>
      </w:pPr>
      <w:r>
        <w:rPr>
          <w:rFonts w:hint="eastAsia" w:ascii="Arial"/>
          <w:color w:val="auto"/>
          <w:sz w:val="22"/>
          <w:szCs w:val="22"/>
          <w:highlight w:val="none"/>
        </w:rPr>
        <w:t>3.1.1 工程量清单</w:t>
      </w:r>
    </w:p>
    <w:p w14:paraId="69531266">
      <w:pPr>
        <w:spacing w:line="294" w:lineRule="auto"/>
        <w:rPr>
          <w:rFonts w:hint="eastAsia" w:ascii="Arial"/>
          <w:color w:val="auto"/>
          <w:sz w:val="22"/>
          <w:szCs w:val="22"/>
          <w:highlight w:val="none"/>
        </w:rPr>
      </w:pPr>
      <w:r>
        <w:rPr>
          <w:rFonts w:hint="eastAsia" w:ascii="Arial"/>
          <w:color w:val="auto"/>
          <w:sz w:val="22"/>
          <w:szCs w:val="22"/>
          <w:highlight w:val="none"/>
        </w:rPr>
        <w:t>（1）项目工程量清单应依据相关工程量清单计量标准编制。全部使用国有资金投 资或者以国有资金投资为主的项目，应当采用工程量清单计价和行业相关规程规定。</w:t>
      </w:r>
    </w:p>
    <w:p w14:paraId="62012283">
      <w:pPr>
        <w:spacing w:line="294" w:lineRule="auto"/>
        <w:rPr>
          <w:rFonts w:hint="eastAsia" w:ascii="Arial"/>
          <w:color w:val="auto"/>
          <w:sz w:val="22"/>
          <w:szCs w:val="22"/>
          <w:highlight w:val="none"/>
        </w:rPr>
      </w:pPr>
      <w:r>
        <w:rPr>
          <w:rFonts w:hint="eastAsia" w:ascii="Arial"/>
          <w:color w:val="auto"/>
          <w:sz w:val="22"/>
          <w:szCs w:val="22"/>
          <w:highlight w:val="none"/>
        </w:rPr>
        <w:t>（2）全过程工程咨询单位按照现行的国家《建设工程工程量清单计价规范》编制 工程量清单时，如遇现行计算规范未规定的项目，可按补充项目进行编制。</w:t>
      </w:r>
    </w:p>
    <w:p w14:paraId="7B2AE5A2">
      <w:pPr>
        <w:spacing w:line="294" w:lineRule="auto"/>
        <w:rPr>
          <w:rFonts w:hint="eastAsia" w:ascii="Arial"/>
          <w:color w:val="auto"/>
          <w:sz w:val="22"/>
          <w:szCs w:val="22"/>
          <w:highlight w:val="none"/>
        </w:rPr>
      </w:pPr>
      <w:r>
        <w:rPr>
          <w:rFonts w:hint="eastAsia" w:ascii="Arial"/>
          <w:color w:val="auto"/>
          <w:sz w:val="22"/>
          <w:szCs w:val="22"/>
          <w:highlight w:val="none"/>
        </w:rPr>
        <w:t>（3） 审核工程量清单时，注意审核图纸说明和各项选用规范是否符合技术要求， 并审核工程量清单中对主要设备的型号、规格、品牌等要求是否符合要求，重点关注界 面划分，是否有漏项或是对造价有重大影响的子目等。</w:t>
      </w:r>
    </w:p>
    <w:p w14:paraId="039B8704">
      <w:pPr>
        <w:spacing w:line="294" w:lineRule="auto"/>
        <w:rPr>
          <w:rFonts w:hint="eastAsia" w:ascii="Arial"/>
          <w:color w:val="auto"/>
          <w:sz w:val="22"/>
          <w:szCs w:val="22"/>
          <w:highlight w:val="none"/>
        </w:rPr>
      </w:pPr>
      <w:r>
        <w:rPr>
          <w:rFonts w:hint="eastAsia" w:ascii="Arial"/>
          <w:color w:val="auto"/>
          <w:sz w:val="22"/>
          <w:szCs w:val="22"/>
          <w:highlight w:val="none"/>
        </w:rPr>
        <w:t>3.1.2 最高投标限价</w:t>
      </w:r>
    </w:p>
    <w:p w14:paraId="21B75C5B">
      <w:pPr>
        <w:spacing w:line="294" w:lineRule="auto"/>
        <w:rPr>
          <w:rFonts w:hint="eastAsia" w:ascii="Arial"/>
          <w:color w:val="auto"/>
          <w:sz w:val="22"/>
          <w:szCs w:val="22"/>
          <w:highlight w:val="none"/>
        </w:rPr>
      </w:pPr>
      <w:r>
        <w:rPr>
          <w:rFonts w:hint="eastAsia" w:ascii="Arial"/>
          <w:color w:val="auto"/>
          <w:sz w:val="22"/>
          <w:szCs w:val="22"/>
          <w:highlight w:val="none"/>
        </w:rPr>
        <w:t>（1）最高投标限价的工程量应依据招标文件发布的工程量清单确定，最高投标限 价的单价应采用综合单价，其综合单价应包括人工费、材料费、机械费、管理费、利润、 规费和税金（2） 全过程工程咨询单位编制的最高投标限价应客观反映市场真实价格，不得随意提高或降低。</w:t>
      </w:r>
    </w:p>
    <w:p w14:paraId="4C22A461">
      <w:pPr>
        <w:spacing w:line="294" w:lineRule="auto"/>
        <w:rPr>
          <w:rFonts w:hint="eastAsia" w:ascii="Arial"/>
          <w:color w:val="auto"/>
          <w:sz w:val="22"/>
          <w:szCs w:val="22"/>
          <w:highlight w:val="none"/>
        </w:rPr>
      </w:pPr>
      <w:r>
        <w:rPr>
          <w:rFonts w:hint="eastAsia" w:ascii="Arial"/>
          <w:color w:val="auto"/>
          <w:sz w:val="22"/>
          <w:szCs w:val="22"/>
          <w:highlight w:val="none"/>
        </w:rPr>
        <w:t>（3）全过程工程咨询单位应将最高投标限价与对应的单项工程综合概算或单位工 程概算进行对比，出现实质性偏差时应告知投资人并进行相应调整。</w:t>
      </w:r>
    </w:p>
    <w:p w14:paraId="79BE8DA9">
      <w:pPr>
        <w:spacing w:line="294" w:lineRule="auto"/>
        <w:rPr>
          <w:rFonts w:hint="eastAsia" w:ascii="Arial"/>
          <w:color w:val="auto"/>
          <w:sz w:val="22"/>
          <w:szCs w:val="22"/>
          <w:highlight w:val="none"/>
        </w:rPr>
      </w:pPr>
      <w:r>
        <w:rPr>
          <w:rFonts w:hint="eastAsia" w:ascii="Arial"/>
          <w:color w:val="auto"/>
          <w:sz w:val="22"/>
          <w:szCs w:val="22"/>
          <w:highlight w:val="none"/>
        </w:rPr>
        <w:t>（4）最高投标限价的编制与审核应符合现行的的相关标准规范规程等要求。</w:t>
      </w:r>
    </w:p>
    <w:p w14:paraId="68639AD8">
      <w:pPr>
        <w:spacing w:line="294" w:lineRule="auto"/>
        <w:rPr>
          <w:rFonts w:hint="eastAsia" w:ascii="Arial"/>
          <w:color w:val="auto"/>
          <w:sz w:val="22"/>
          <w:szCs w:val="22"/>
          <w:highlight w:val="none"/>
        </w:rPr>
      </w:pPr>
      <w:r>
        <w:rPr>
          <w:rFonts w:hint="eastAsia" w:ascii="Arial"/>
          <w:color w:val="auto"/>
          <w:sz w:val="22"/>
          <w:szCs w:val="22"/>
          <w:highlight w:val="none"/>
        </w:rPr>
        <w:t>3.2 工程施工阶段</w:t>
      </w:r>
    </w:p>
    <w:p w14:paraId="5CCAF680">
      <w:pPr>
        <w:spacing w:line="294" w:lineRule="auto"/>
        <w:rPr>
          <w:rFonts w:hint="eastAsia" w:ascii="Arial"/>
          <w:color w:val="auto"/>
          <w:sz w:val="22"/>
          <w:szCs w:val="22"/>
          <w:highlight w:val="none"/>
        </w:rPr>
      </w:pPr>
      <w:r>
        <w:rPr>
          <w:rFonts w:hint="eastAsia" w:ascii="Arial"/>
          <w:color w:val="auto"/>
          <w:sz w:val="22"/>
          <w:szCs w:val="22"/>
          <w:highlight w:val="none"/>
        </w:rPr>
        <w:t>3.2.1 项目管理</w:t>
      </w:r>
    </w:p>
    <w:p w14:paraId="3EA4939F">
      <w:pPr>
        <w:spacing w:line="294" w:lineRule="auto"/>
        <w:rPr>
          <w:rFonts w:hint="eastAsia" w:ascii="Arial"/>
          <w:color w:val="auto"/>
          <w:sz w:val="22"/>
          <w:szCs w:val="22"/>
          <w:highlight w:val="none"/>
        </w:rPr>
      </w:pPr>
      <w:r>
        <w:rPr>
          <w:rFonts w:hint="eastAsia" w:ascii="Arial"/>
          <w:color w:val="auto"/>
          <w:sz w:val="22"/>
          <w:szCs w:val="22"/>
          <w:highlight w:val="none"/>
        </w:rPr>
        <w:t>（1） 全过程工程咨询单位根据全过程工程咨询合同对项目进行投资、进度、质量 等方面的管理，建立全面管理的制度、明确职责分工和业务关系。</w:t>
      </w:r>
    </w:p>
    <w:p w14:paraId="268F053C">
      <w:pPr>
        <w:spacing w:line="294" w:lineRule="auto"/>
        <w:rPr>
          <w:rFonts w:hint="eastAsia" w:ascii="Arial"/>
          <w:color w:val="auto"/>
          <w:sz w:val="22"/>
          <w:szCs w:val="22"/>
          <w:highlight w:val="none"/>
        </w:rPr>
      </w:pPr>
      <w:r>
        <w:rPr>
          <w:rFonts w:hint="eastAsia" w:ascii="Arial"/>
          <w:color w:val="auto"/>
          <w:sz w:val="22"/>
          <w:szCs w:val="22"/>
          <w:highlight w:val="none"/>
        </w:rPr>
        <w:t>（2）明确投资控制目标、进度目标和质量目标，在实施阶段主要起到监督、协调、管理的作用。</w:t>
      </w:r>
    </w:p>
    <w:p w14:paraId="5467067D">
      <w:pPr>
        <w:spacing w:line="294" w:lineRule="auto"/>
        <w:rPr>
          <w:rFonts w:hint="eastAsia" w:ascii="Arial"/>
          <w:color w:val="auto"/>
          <w:sz w:val="22"/>
          <w:szCs w:val="22"/>
          <w:highlight w:val="none"/>
        </w:rPr>
      </w:pPr>
      <w:r>
        <w:rPr>
          <w:rFonts w:hint="eastAsia" w:ascii="Arial"/>
          <w:color w:val="auto"/>
          <w:sz w:val="22"/>
          <w:szCs w:val="22"/>
          <w:highlight w:val="none"/>
        </w:rPr>
        <w:t>（3）负责项目投资管理的决策，确定项目投资控制的重点难点，确定项目投资控 制目标，并对项目的专业造价工程师的工作进行过程和结果的考核。</w:t>
      </w:r>
    </w:p>
    <w:p w14:paraId="243E55C5">
      <w:pPr>
        <w:spacing w:line="294" w:lineRule="auto"/>
        <w:rPr>
          <w:rFonts w:hint="eastAsia" w:ascii="Arial"/>
          <w:color w:val="auto"/>
          <w:sz w:val="22"/>
          <w:szCs w:val="22"/>
          <w:highlight w:val="none"/>
        </w:rPr>
      </w:pPr>
      <w:r>
        <w:rPr>
          <w:rFonts w:hint="eastAsia" w:ascii="Arial"/>
          <w:color w:val="auto"/>
          <w:sz w:val="22"/>
          <w:szCs w:val="22"/>
          <w:highlight w:val="none"/>
        </w:rPr>
        <w:t>（4）编制项目总控计划，组织建立项目进度管理制度，明确进度管理程序、规范 进度管理职责及工作要求。</w:t>
      </w:r>
    </w:p>
    <w:p w14:paraId="1B2CA090">
      <w:pPr>
        <w:spacing w:line="294" w:lineRule="auto"/>
        <w:rPr>
          <w:rFonts w:hint="eastAsia" w:ascii="Arial"/>
          <w:color w:val="auto"/>
          <w:sz w:val="22"/>
          <w:szCs w:val="22"/>
          <w:highlight w:val="none"/>
        </w:rPr>
      </w:pPr>
      <w:r>
        <w:rPr>
          <w:rFonts w:hint="eastAsia" w:ascii="Arial"/>
          <w:color w:val="auto"/>
          <w:sz w:val="22"/>
          <w:szCs w:val="22"/>
          <w:highlight w:val="none"/>
        </w:rPr>
        <w:t>（5）质量管理应坚持缺陷预防的原则，按照策划、实施、检查、处置的循环方式 进行系统运作。</w:t>
      </w:r>
    </w:p>
    <w:p w14:paraId="3BB24048">
      <w:pPr>
        <w:spacing w:line="294" w:lineRule="auto"/>
        <w:rPr>
          <w:rFonts w:hint="eastAsia" w:ascii="Arial"/>
          <w:color w:val="auto"/>
          <w:sz w:val="22"/>
          <w:szCs w:val="22"/>
          <w:highlight w:val="none"/>
        </w:rPr>
      </w:pPr>
      <w:r>
        <w:rPr>
          <w:rFonts w:hint="eastAsia" w:ascii="Arial"/>
          <w:color w:val="auto"/>
          <w:sz w:val="22"/>
          <w:szCs w:val="22"/>
          <w:highlight w:val="none"/>
        </w:rPr>
        <w:t>3.2.2 项目现场的勘察设计咨询</w:t>
      </w:r>
    </w:p>
    <w:p w14:paraId="257B31EB">
      <w:pPr>
        <w:spacing w:line="294" w:lineRule="auto"/>
        <w:rPr>
          <w:rFonts w:hint="eastAsia" w:ascii="Arial"/>
          <w:color w:val="auto"/>
          <w:sz w:val="22"/>
          <w:szCs w:val="22"/>
          <w:highlight w:val="none"/>
        </w:rPr>
      </w:pPr>
      <w:r>
        <w:rPr>
          <w:rFonts w:hint="eastAsia" w:ascii="Arial"/>
          <w:color w:val="auto"/>
          <w:sz w:val="22"/>
          <w:szCs w:val="22"/>
          <w:highlight w:val="none"/>
        </w:rPr>
        <w:t>（1）全过程工程咨询单位应检查勘察现场及室内试验主要岗位操作人员的资格， 及所使用设备、仪器计量的检定情况。</w:t>
      </w:r>
    </w:p>
    <w:p w14:paraId="52D833B6">
      <w:pPr>
        <w:spacing w:line="294" w:lineRule="auto"/>
        <w:rPr>
          <w:rFonts w:hint="eastAsia" w:ascii="Arial"/>
          <w:color w:val="auto"/>
          <w:sz w:val="22"/>
          <w:szCs w:val="22"/>
          <w:highlight w:val="none"/>
        </w:rPr>
      </w:pPr>
      <w:r>
        <w:rPr>
          <w:rFonts w:hint="eastAsia" w:ascii="Arial"/>
          <w:color w:val="auto"/>
          <w:sz w:val="22"/>
          <w:szCs w:val="22"/>
          <w:highlight w:val="none"/>
        </w:rPr>
        <w:t>（2） 全过程工程咨询单位应检查勘察进度执行情况、审查专业勘察设计工程师提 交的勘察费用支付申请表，以及签发勘察费用支付证书，并应报投资人。</w:t>
      </w:r>
    </w:p>
    <w:p w14:paraId="6ADDBADB">
      <w:pPr>
        <w:spacing w:line="294" w:lineRule="auto"/>
        <w:rPr>
          <w:rFonts w:hint="eastAsia" w:ascii="Arial"/>
          <w:color w:val="auto"/>
          <w:sz w:val="22"/>
          <w:szCs w:val="22"/>
          <w:highlight w:val="none"/>
        </w:rPr>
      </w:pPr>
      <w:r>
        <w:rPr>
          <w:rFonts w:hint="eastAsia" w:ascii="Arial"/>
          <w:color w:val="auto"/>
          <w:sz w:val="22"/>
          <w:szCs w:val="22"/>
          <w:highlight w:val="none"/>
        </w:rPr>
        <w:t>3.2.3 工程质量、投资、进度控制及安全生产管理</w:t>
      </w:r>
    </w:p>
    <w:p w14:paraId="1DFBD514">
      <w:pPr>
        <w:spacing w:line="294" w:lineRule="auto"/>
        <w:rPr>
          <w:rFonts w:hint="eastAsia" w:ascii="Arial"/>
          <w:color w:val="auto"/>
          <w:sz w:val="22"/>
          <w:szCs w:val="22"/>
          <w:highlight w:val="none"/>
        </w:rPr>
      </w:pPr>
      <w:r>
        <w:rPr>
          <w:rFonts w:hint="eastAsia" w:ascii="Arial"/>
          <w:color w:val="auto"/>
          <w:sz w:val="22"/>
          <w:szCs w:val="22"/>
          <w:highlight w:val="none"/>
        </w:rPr>
        <w:t>（1）全过程工程咨询单位应根据全过程工程咨询合同约定，按照现行的《建设工 程监理规范》，遵循事前控制和主动控制原则，坚持预防为主的原则，制定和实施相应 的监理措施，采用旁站、巡视和平行检验等方式对项目实施监理，并及时准确记录监理 工作实施情况。</w:t>
      </w:r>
    </w:p>
    <w:p w14:paraId="672C71EE">
      <w:pPr>
        <w:spacing w:line="294" w:lineRule="auto"/>
        <w:rPr>
          <w:rFonts w:hint="eastAsia" w:ascii="Arial"/>
          <w:color w:val="auto"/>
          <w:sz w:val="22"/>
          <w:szCs w:val="22"/>
          <w:highlight w:val="none"/>
        </w:rPr>
      </w:pPr>
      <w:r>
        <w:rPr>
          <w:rFonts w:hint="eastAsia" w:ascii="Arial"/>
          <w:color w:val="auto"/>
          <w:sz w:val="22"/>
          <w:szCs w:val="22"/>
          <w:highlight w:val="none"/>
        </w:rPr>
        <w:t>（2） 全过程工程咨询单位应组织专业监理工程师审查承包人报审的施工方案，符 合要求后应予以签认。</w:t>
      </w:r>
    </w:p>
    <w:p w14:paraId="4882DC80">
      <w:pPr>
        <w:spacing w:line="294" w:lineRule="auto"/>
        <w:rPr>
          <w:rFonts w:hint="eastAsia" w:ascii="Arial"/>
          <w:color w:val="auto"/>
          <w:sz w:val="22"/>
          <w:szCs w:val="22"/>
          <w:highlight w:val="none"/>
        </w:rPr>
      </w:pPr>
      <w:r>
        <w:rPr>
          <w:rFonts w:hint="eastAsia" w:ascii="Arial"/>
          <w:color w:val="auto"/>
          <w:sz w:val="22"/>
          <w:szCs w:val="22"/>
          <w:highlight w:val="none"/>
        </w:rPr>
        <w:t>（3）全过程工程咨询单位应按下列程序进行工程计量和付款签证：</w:t>
      </w:r>
    </w:p>
    <w:p w14:paraId="35208B86">
      <w:pPr>
        <w:spacing w:line="294" w:lineRule="auto"/>
        <w:rPr>
          <w:rFonts w:hint="eastAsia" w:ascii="Arial"/>
          <w:color w:val="auto"/>
          <w:sz w:val="22"/>
          <w:szCs w:val="22"/>
          <w:highlight w:val="none"/>
        </w:rPr>
      </w:pPr>
      <w:r>
        <w:rPr>
          <w:rFonts w:hint="eastAsia" w:ascii="Arial"/>
          <w:color w:val="auto"/>
          <w:sz w:val="22"/>
          <w:szCs w:val="22"/>
          <w:highlight w:val="none"/>
        </w:rPr>
        <w:t>①全过程工程咨询单位应组织专业监理工程师对承包人在工程款支付报审表中提 交的工程量和支付金额进行复核，确定实际完成的工程量，提出到期应支付给承包人的 金额，并提出相应的支持性材料。</w:t>
      </w:r>
    </w:p>
    <w:p w14:paraId="151419C6">
      <w:pPr>
        <w:spacing w:line="294" w:lineRule="auto"/>
        <w:rPr>
          <w:rFonts w:hint="eastAsia" w:ascii="Arial"/>
          <w:color w:val="auto"/>
          <w:sz w:val="22"/>
          <w:szCs w:val="22"/>
          <w:highlight w:val="none"/>
        </w:rPr>
      </w:pPr>
      <w:r>
        <w:rPr>
          <w:rFonts w:hint="eastAsia" w:ascii="Arial"/>
          <w:color w:val="auto"/>
          <w:sz w:val="22"/>
          <w:szCs w:val="22"/>
          <w:highlight w:val="none"/>
        </w:rPr>
        <w:t>②总咨询师对专业监理工程师的审查意见进行审核，签认后报投资人审批。</w:t>
      </w:r>
    </w:p>
    <w:p w14:paraId="18E0FBB3">
      <w:pPr>
        <w:spacing w:line="294" w:lineRule="auto"/>
        <w:rPr>
          <w:rFonts w:hint="eastAsia" w:ascii="Arial"/>
          <w:color w:val="auto"/>
          <w:sz w:val="22"/>
          <w:szCs w:val="22"/>
          <w:highlight w:val="none"/>
        </w:rPr>
      </w:pPr>
      <w:r>
        <w:rPr>
          <w:rFonts w:hint="eastAsia" w:ascii="Arial"/>
          <w:color w:val="auto"/>
          <w:sz w:val="22"/>
          <w:szCs w:val="22"/>
          <w:highlight w:val="none"/>
        </w:rPr>
        <w:t>③专业监理工程师根据投资人的审批意见，向承包人签发工程款支付证书。</w:t>
      </w:r>
    </w:p>
    <w:p w14:paraId="55694320">
      <w:pPr>
        <w:spacing w:line="294" w:lineRule="auto"/>
        <w:rPr>
          <w:rFonts w:hint="eastAsia" w:ascii="Arial"/>
          <w:color w:val="auto"/>
          <w:sz w:val="22"/>
          <w:szCs w:val="22"/>
          <w:highlight w:val="none"/>
        </w:rPr>
      </w:pPr>
      <w:r>
        <w:rPr>
          <w:rFonts w:hint="eastAsia" w:ascii="Arial"/>
          <w:color w:val="auto"/>
          <w:sz w:val="22"/>
          <w:szCs w:val="22"/>
          <w:highlight w:val="none"/>
        </w:rPr>
        <w:t>（4）专业监理工程师应审查承包人报审的施工总进度计划和阶段性施工进度计划， 提出审查意见，并应由全过程工程咨询单位审核后报投资人。</w:t>
      </w:r>
    </w:p>
    <w:p w14:paraId="63F04754">
      <w:pPr>
        <w:spacing w:line="294" w:lineRule="auto"/>
        <w:rPr>
          <w:rFonts w:hint="eastAsia" w:ascii="Arial"/>
          <w:color w:val="auto"/>
          <w:sz w:val="22"/>
          <w:szCs w:val="22"/>
          <w:highlight w:val="none"/>
        </w:rPr>
      </w:pPr>
      <w:r>
        <w:rPr>
          <w:rFonts w:hint="eastAsia" w:ascii="Arial"/>
          <w:color w:val="auto"/>
          <w:sz w:val="22"/>
          <w:szCs w:val="22"/>
          <w:highlight w:val="none"/>
        </w:rPr>
        <w:t>（5）全过程工程咨询单位应根据法律法规、工程建设强制性标准，履行建设工程 安全生产管理的监理职责，并应将安全生产管理的监理工作内容、方法和措施纳入监理 规划及监理实施细则。</w:t>
      </w:r>
    </w:p>
    <w:p w14:paraId="47066753">
      <w:pPr>
        <w:spacing w:line="294" w:lineRule="auto"/>
        <w:rPr>
          <w:rFonts w:hint="eastAsia" w:ascii="Arial"/>
          <w:color w:val="auto"/>
          <w:sz w:val="22"/>
          <w:szCs w:val="22"/>
          <w:highlight w:val="none"/>
        </w:rPr>
      </w:pPr>
    </w:p>
    <w:p w14:paraId="0D3EA7F2">
      <w:pPr>
        <w:spacing w:line="294" w:lineRule="auto"/>
        <w:rPr>
          <w:rFonts w:hint="eastAsia" w:ascii="Arial"/>
          <w:color w:val="auto"/>
          <w:sz w:val="22"/>
          <w:szCs w:val="22"/>
          <w:highlight w:val="none"/>
        </w:rPr>
      </w:pPr>
    </w:p>
    <w:p w14:paraId="22D815BC">
      <w:pPr>
        <w:spacing w:line="294" w:lineRule="auto"/>
        <w:rPr>
          <w:rFonts w:hint="eastAsia" w:ascii="Arial"/>
          <w:color w:val="auto"/>
          <w:sz w:val="22"/>
          <w:szCs w:val="22"/>
          <w:highlight w:val="none"/>
        </w:rPr>
      </w:pPr>
    </w:p>
    <w:p w14:paraId="2F3DE1C8">
      <w:pPr>
        <w:spacing w:line="294" w:lineRule="auto"/>
        <w:rPr>
          <w:rFonts w:hint="eastAsia" w:ascii="Arial"/>
          <w:color w:val="auto"/>
          <w:sz w:val="22"/>
          <w:szCs w:val="22"/>
          <w:highlight w:val="none"/>
        </w:rPr>
      </w:pPr>
      <w:r>
        <w:rPr>
          <w:rFonts w:hint="eastAsia" w:ascii="Arial"/>
          <w:color w:val="auto"/>
          <w:sz w:val="22"/>
          <w:szCs w:val="22"/>
          <w:highlight w:val="none"/>
        </w:rPr>
        <w:t>3.2.4 工程变更、索赔及施工合同争议处理</w:t>
      </w:r>
    </w:p>
    <w:p w14:paraId="66A63FCD">
      <w:pPr>
        <w:spacing w:line="294" w:lineRule="auto"/>
        <w:rPr>
          <w:rFonts w:hint="eastAsia" w:ascii="Arial"/>
          <w:color w:val="auto"/>
          <w:sz w:val="22"/>
          <w:szCs w:val="22"/>
          <w:highlight w:val="none"/>
        </w:rPr>
      </w:pPr>
      <w:r>
        <w:rPr>
          <w:rFonts w:hint="eastAsia" w:ascii="Arial"/>
          <w:color w:val="auto"/>
          <w:sz w:val="22"/>
          <w:szCs w:val="22"/>
          <w:highlight w:val="none"/>
        </w:rPr>
        <w:t>（1） 全过程工程咨询单位应依据全过程工程咨询合同约定处理工程变更、索赔及 施工合同争议、解除等事宜。</w:t>
      </w:r>
    </w:p>
    <w:p w14:paraId="2B34E0F4">
      <w:pPr>
        <w:spacing w:line="294" w:lineRule="auto"/>
        <w:rPr>
          <w:rFonts w:hint="eastAsia" w:ascii="Arial"/>
          <w:color w:val="auto"/>
          <w:sz w:val="22"/>
          <w:szCs w:val="22"/>
          <w:highlight w:val="none"/>
        </w:rPr>
      </w:pPr>
      <w:r>
        <w:rPr>
          <w:rFonts w:hint="eastAsia" w:ascii="Arial"/>
          <w:color w:val="auto"/>
          <w:sz w:val="22"/>
          <w:szCs w:val="22"/>
          <w:highlight w:val="none"/>
        </w:rPr>
        <w:t>（2） 全过程工程咨询单位可按下列程序处理承包人提出的工程变更：</w:t>
      </w:r>
    </w:p>
    <w:p w14:paraId="4AE49D90">
      <w:pPr>
        <w:spacing w:line="294" w:lineRule="auto"/>
        <w:rPr>
          <w:rFonts w:hint="eastAsia" w:ascii="Arial"/>
          <w:color w:val="auto"/>
          <w:sz w:val="22"/>
          <w:szCs w:val="22"/>
          <w:highlight w:val="none"/>
        </w:rPr>
      </w:pPr>
      <w:r>
        <w:rPr>
          <w:rFonts w:hint="eastAsia" w:ascii="Arial"/>
          <w:color w:val="auto"/>
          <w:sz w:val="22"/>
          <w:szCs w:val="22"/>
          <w:highlight w:val="none"/>
        </w:rPr>
        <w:t>①全过程工程咨询单位组织专业监理工程师审查承包人提出的工程变更申请，提出 审查意见。对涉及工程设计文件修改的工程变更，全过程工程咨询单位应组织专业设计 工程师、承包人召开论证工程设计文件的修改方案的专题会议。</w:t>
      </w:r>
    </w:p>
    <w:p w14:paraId="1784C0D7">
      <w:pPr>
        <w:spacing w:line="294" w:lineRule="auto"/>
        <w:rPr>
          <w:rFonts w:hint="eastAsia" w:ascii="Arial"/>
          <w:color w:val="auto"/>
          <w:sz w:val="22"/>
          <w:szCs w:val="22"/>
          <w:highlight w:val="none"/>
        </w:rPr>
      </w:pPr>
      <w:r>
        <w:rPr>
          <w:rFonts w:hint="eastAsia" w:ascii="Arial"/>
          <w:color w:val="auto"/>
          <w:sz w:val="22"/>
          <w:szCs w:val="22"/>
          <w:highlight w:val="none"/>
        </w:rPr>
        <w:t>② 全过程工程咨询单位组织专业监理工程师对工程变更费用及工期影响作出评估。</w:t>
      </w:r>
    </w:p>
    <w:p w14:paraId="46894469">
      <w:pPr>
        <w:spacing w:line="294" w:lineRule="auto"/>
        <w:rPr>
          <w:rFonts w:hint="eastAsia" w:ascii="Arial"/>
          <w:color w:val="auto"/>
          <w:sz w:val="22"/>
          <w:szCs w:val="22"/>
          <w:highlight w:val="none"/>
        </w:rPr>
      </w:pPr>
      <w:r>
        <w:rPr>
          <w:rFonts w:hint="eastAsia" w:ascii="Arial"/>
          <w:color w:val="auto"/>
          <w:sz w:val="22"/>
          <w:szCs w:val="22"/>
          <w:highlight w:val="none"/>
        </w:rPr>
        <w:t>③ 全过程工程咨询单位组织投资人、承包人共同协商确定工程变更费用及工期变 化，会签工程变更单。</w:t>
      </w:r>
    </w:p>
    <w:p w14:paraId="73B3EA30">
      <w:pPr>
        <w:spacing w:line="294" w:lineRule="auto"/>
        <w:rPr>
          <w:rFonts w:hint="eastAsia" w:ascii="Arial"/>
          <w:color w:val="auto"/>
          <w:sz w:val="22"/>
          <w:szCs w:val="22"/>
          <w:highlight w:val="none"/>
        </w:rPr>
      </w:pPr>
      <w:r>
        <w:rPr>
          <w:rFonts w:hint="eastAsia" w:ascii="Arial"/>
          <w:color w:val="auto"/>
          <w:sz w:val="22"/>
          <w:szCs w:val="22"/>
          <w:highlight w:val="none"/>
        </w:rPr>
        <w:t>④全过程工程咨询单位根据批准的工程变更文件监督承包人实施工程变更。</w:t>
      </w:r>
    </w:p>
    <w:p w14:paraId="0DEB826B">
      <w:pPr>
        <w:spacing w:line="294" w:lineRule="auto"/>
        <w:rPr>
          <w:rFonts w:hint="eastAsia" w:ascii="Arial"/>
          <w:color w:val="auto"/>
          <w:sz w:val="22"/>
          <w:szCs w:val="22"/>
          <w:highlight w:val="none"/>
        </w:rPr>
      </w:pPr>
      <w:r>
        <w:rPr>
          <w:rFonts w:hint="eastAsia" w:ascii="Arial"/>
          <w:color w:val="auto"/>
          <w:sz w:val="22"/>
          <w:szCs w:val="22"/>
          <w:highlight w:val="none"/>
        </w:rPr>
        <w:t>（3） 全过程工程咨询单位可按下列程序处理承包人提出的费用索赔：</w:t>
      </w:r>
    </w:p>
    <w:p w14:paraId="19FE2B26">
      <w:pPr>
        <w:spacing w:line="294" w:lineRule="auto"/>
        <w:rPr>
          <w:rFonts w:hint="eastAsia" w:ascii="Arial"/>
          <w:color w:val="auto"/>
          <w:sz w:val="22"/>
          <w:szCs w:val="22"/>
          <w:highlight w:val="none"/>
        </w:rPr>
      </w:pPr>
      <w:r>
        <w:rPr>
          <w:rFonts w:hint="eastAsia" w:ascii="Arial"/>
          <w:color w:val="auto"/>
          <w:sz w:val="22"/>
          <w:szCs w:val="22"/>
          <w:highlight w:val="none"/>
        </w:rPr>
        <w:t>① 受理承包人在发承包合同约定的期限内提交的费用索赔意向通知书；</w:t>
      </w:r>
    </w:p>
    <w:p w14:paraId="128EB495">
      <w:pPr>
        <w:spacing w:line="294" w:lineRule="auto"/>
        <w:rPr>
          <w:rFonts w:hint="eastAsia" w:ascii="Arial"/>
          <w:color w:val="auto"/>
          <w:sz w:val="22"/>
          <w:szCs w:val="22"/>
          <w:highlight w:val="none"/>
        </w:rPr>
      </w:pPr>
      <w:r>
        <w:rPr>
          <w:rFonts w:hint="eastAsia" w:ascii="Arial"/>
          <w:color w:val="auto"/>
          <w:sz w:val="22"/>
          <w:szCs w:val="22"/>
          <w:highlight w:val="none"/>
        </w:rPr>
        <w:t>② 收集与索赔有关的资料；</w:t>
      </w:r>
    </w:p>
    <w:p w14:paraId="2078055A">
      <w:pPr>
        <w:spacing w:line="294" w:lineRule="auto"/>
        <w:rPr>
          <w:rFonts w:hint="eastAsia" w:ascii="Arial"/>
          <w:color w:val="auto"/>
          <w:sz w:val="22"/>
          <w:szCs w:val="22"/>
          <w:highlight w:val="none"/>
        </w:rPr>
      </w:pPr>
      <w:r>
        <w:rPr>
          <w:rFonts w:hint="eastAsia" w:ascii="Arial"/>
          <w:color w:val="auto"/>
          <w:sz w:val="22"/>
          <w:szCs w:val="22"/>
          <w:highlight w:val="none"/>
        </w:rPr>
        <w:t>③受理承包人在发承包合同约定的期限内提交的费用索赔报审表；</w:t>
      </w:r>
    </w:p>
    <w:p w14:paraId="307F2E64">
      <w:pPr>
        <w:spacing w:line="294" w:lineRule="auto"/>
        <w:rPr>
          <w:rFonts w:hint="eastAsia" w:ascii="Arial"/>
          <w:color w:val="auto"/>
          <w:sz w:val="22"/>
          <w:szCs w:val="22"/>
          <w:highlight w:val="none"/>
        </w:rPr>
      </w:pPr>
      <w:r>
        <w:rPr>
          <w:rFonts w:hint="eastAsia" w:ascii="Arial"/>
          <w:color w:val="auto"/>
          <w:sz w:val="22"/>
          <w:szCs w:val="22"/>
          <w:highlight w:val="none"/>
        </w:rPr>
        <w:t>④审查费用索赔报审表。需要承包人进一步提交详细资料时，应在发承包合同约定 的期限内发出通知；</w:t>
      </w:r>
    </w:p>
    <w:p w14:paraId="320402F4">
      <w:pPr>
        <w:spacing w:line="294" w:lineRule="auto"/>
        <w:rPr>
          <w:rFonts w:hint="eastAsia" w:ascii="Arial"/>
          <w:color w:val="auto"/>
          <w:sz w:val="22"/>
          <w:szCs w:val="22"/>
          <w:highlight w:val="none"/>
        </w:rPr>
      </w:pPr>
      <w:r>
        <w:rPr>
          <w:rFonts w:hint="eastAsia" w:ascii="Arial"/>
          <w:color w:val="auto"/>
          <w:sz w:val="22"/>
          <w:szCs w:val="22"/>
          <w:highlight w:val="none"/>
        </w:rPr>
        <w:t>⑤ 与投资人和承包人协商一致后，在发承包合同约定的期限内签发费用索赔报审 表，并报投资人。</w:t>
      </w:r>
    </w:p>
    <w:p w14:paraId="16DC1480">
      <w:pPr>
        <w:spacing w:line="294" w:lineRule="auto"/>
        <w:rPr>
          <w:rFonts w:hint="eastAsia" w:ascii="Arial"/>
          <w:color w:val="auto"/>
          <w:sz w:val="22"/>
          <w:szCs w:val="22"/>
          <w:highlight w:val="none"/>
        </w:rPr>
      </w:pPr>
      <w:r>
        <w:rPr>
          <w:rFonts w:hint="eastAsia" w:ascii="Arial"/>
          <w:color w:val="auto"/>
          <w:sz w:val="22"/>
          <w:szCs w:val="22"/>
          <w:highlight w:val="none"/>
        </w:rPr>
        <w:t>（4）全过程工程咨询单位处理发承包合同争议时应进行下列工作：</w:t>
      </w:r>
    </w:p>
    <w:p w14:paraId="57EF259B">
      <w:pPr>
        <w:spacing w:line="294" w:lineRule="auto"/>
        <w:rPr>
          <w:rFonts w:hint="eastAsia" w:ascii="Arial"/>
          <w:color w:val="auto"/>
          <w:sz w:val="22"/>
          <w:szCs w:val="22"/>
          <w:highlight w:val="none"/>
        </w:rPr>
      </w:pPr>
      <w:r>
        <w:rPr>
          <w:rFonts w:hint="eastAsia" w:ascii="Arial"/>
          <w:color w:val="auto"/>
          <w:sz w:val="22"/>
          <w:szCs w:val="22"/>
          <w:highlight w:val="none"/>
        </w:rPr>
        <w:t>① 了解合同争议情况；</w:t>
      </w:r>
    </w:p>
    <w:p w14:paraId="2719A0C7">
      <w:pPr>
        <w:spacing w:line="294" w:lineRule="auto"/>
        <w:rPr>
          <w:rFonts w:hint="eastAsia" w:ascii="Arial"/>
          <w:color w:val="auto"/>
          <w:sz w:val="22"/>
          <w:szCs w:val="22"/>
          <w:highlight w:val="none"/>
        </w:rPr>
      </w:pPr>
      <w:r>
        <w:rPr>
          <w:rFonts w:hint="eastAsia" w:ascii="Arial"/>
          <w:color w:val="auto"/>
          <w:sz w:val="22"/>
          <w:szCs w:val="22"/>
          <w:highlight w:val="none"/>
        </w:rPr>
        <w:t>② 及时与合同争议双方进行磋商；</w:t>
      </w:r>
    </w:p>
    <w:p w14:paraId="0B934103">
      <w:pPr>
        <w:spacing w:line="294" w:lineRule="auto"/>
        <w:rPr>
          <w:rFonts w:hint="eastAsia" w:ascii="Arial"/>
          <w:color w:val="auto"/>
          <w:sz w:val="22"/>
          <w:szCs w:val="22"/>
          <w:highlight w:val="none"/>
        </w:rPr>
      </w:pPr>
      <w:r>
        <w:rPr>
          <w:rFonts w:hint="eastAsia" w:ascii="Arial"/>
          <w:color w:val="auto"/>
          <w:sz w:val="22"/>
          <w:szCs w:val="22"/>
          <w:highlight w:val="none"/>
        </w:rPr>
        <w:t>③提出处理方案后，由专业监理工程师进行协调；</w:t>
      </w:r>
    </w:p>
    <w:p w14:paraId="3BD70ACA">
      <w:pPr>
        <w:spacing w:line="294" w:lineRule="auto"/>
        <w:rPr>
          <w:rFonts w:hint="eastAsia" w:ascii="Arial"/>
          <w:color w:val="auto"/>
          <w:sz w:val="22"/>
          <w:szCs w:val="22"/>
          <w:highlight w:val="none"/>
        </w:rPr>
      </w:pPr>
      <w:r>
        <w:rPr>
          <w:rFonts w:hint="eastAsia" w:ascii="Arial"/>
          <w:color w:val="auto"/>
          <w:sz w:val="22"/>
          <w:szCs w:val="22"/>
          <w:highlight w:val="none"/>
        </w:rPr>
        <w:t>④ 当双方未能达成一致时，专业监理工程师应提出处理合同争议的意见。</w:t>
      </w:r>
    </w:p>
    <w:p w14:paraId="1A9D06B2">
      <w:pPr>
        <w:spacing w:line="294" w:lineRule="auto"/>
        <w:rPr>
          <w:rFonts w:hint="eastAsia" w:ascii="Arial"/>
          <w:color w:val="auto"/>
          <w:sz w:val="22"/>
          <w:szCs w:val="22"/>
          <w:highlight w:val="none"/>
        </w:rPr>
      </w:pPr>
      <w:r>
        <w:rPr>
          <w:rFonts w:hint="eastAsia" w:ascii="Arial"/>
          <w:color w:val="auto"/>
          <w:sz w:val="22"/>
          <w:szCs w:val="22"/>
          <w:highlight w:val="none"/>
        </w:rPr>
        <w:t>3.2.5 工程文件资料管理</w:t>
      </w:r>
    </w:p>
    <w:p w14:paraId="306B634E">
      <w:pPr>
        <w:spacing w:line="294" w:lineRule="auto"/>
        <w:rPr>
          <w:rFonts w:hint="eastAsia" w:ascii="Arial"/>
          <w:color w:val="auto"/>
          <w:sz w:val="22"/>
          <w:szCs w:val="22"/>
          <w:highlight w:val="none"/>
        </w:rPr>
      </w:pPr>
      <w:r>
        <w:rPr>
          <w:rFonts w:hint="eastAsia" w:ascii="Arial"/>
          <w:color w:val="auto"/>
          <w:sz w:val="22"/>
          <w:szCs w:val="22"/>
          <w:highlight w:val="none"/>
        </w:rPr>
        <w:t>（1）全过程工程咨询单位应建立完善工程文件资料管理制度，宜设专人管理工程文 件资料</w:t>
      </w:r>
    </w:p>
    <w:p w14:paraId="5B302DAC">
      <w:pPr>
        <w:spacing w:line="294" w:lineRule="auto"/>
        <w:rPr>
          <w:rFonts w:hint="eastAsia" w:ascii="Arial"/>
          <w:color w:val="auto"/>
          <w:sz w:val="22"/>
          <w:szCs w:val="22"/>
          <w:highlight w:val="none"/>
        </w:rPr>
      </w:pPr>
      <w:r>
        <w:rPr>
          <w:rFonts w:hint="eastAsia" w:ascii="Arial"/>
          <w:color w:val="auto"/>
          <w:sz w:val="22"/>
          <w:szCs w:val="22"/>
          <w:highlight w:val="none"/>
        </w:rPr>
        <w:t>（2） 全过程工程咨询单位应及时、准确、完整地收集、整理、编制、传递工程文 件资料，并按项目的统一规定标识，完整存档。</w:t>
      </w:r>
    </w:p>
    <w:p w14:paraId="4460B73D">
      <w:pPr>
        <w:spacing w:line="294" w:lineRule="auto"/>
        <w:rPr>
          <w:rFonts w:hint="eastAsia" w:ascii="Arial"/>
          <w:color w:val="auto"/>
          <w:sz w:val="22"/>
          <w:szCs w:val="22"/>
          <w:highlight w:val="none"/>
        </w:rPr>
      </w:pPr>
      <w:r>
        <w:rPr>
          <w:rFonts w:hint="eastAsia" w:ascii="Arial"/>
          <w:color w:val="auto"/>
          <w:sz w:val="22"/>
          <w:szCs w:val="22"/>
          <w:highlight w:val="none"/>
        </w:rPr>
        <w:t>（3） 全过程工程咨询单位宜采用信息技术进行工程文件资料管理，重要项目文件</w:t>
      </w:r>
    </w:p>
    <w:p w14:paraId="6F9205A4">
      <w:pPr>
        <w:spacing w:line="294" w:lineRule="auto"/>
        <w:rPr>
          <w:rFonts w:hint="eastAsia" w:ascii="Arial"/>
          <w:color w:val="auto"/>
          <w:sz w:val="22"/>
          <w:szCs w:val="22"/>
          <w:highlight w:val="none"/>
        </w:rPr>
      </w:pPr>
      <w:r>
        <w:rPr>
          <w:rFonts w:hint="eastAsia" w:ascii="Arial"/>
          <w:color w:val="auto"/>
          <w:sz w:val="22"/>
          <w:szCs w:val="22"/>
          <w:highlight w:val="none"/>
        </w:rPr>
        <w:t>和档案应有纸质介质备份。</w:t>
      </w:r>
    </w:p>
    <w:p w14:paraId="50B97542">
      <w:pPr>
        <w:spacing w:line="294" w:lineRule="auto"/>
        <w:rPr>
          <w:rFonts w:hint="eastAsia" w:ascii="Arial"/>
          <w:color w:val="auto"/>
          <w:sz w:val="22"/>
          <w:szCs w:val="22"/>
          <w:highlight w:val="none"/>
        </w:rPr>
      </w:pPr>
      <w:r>
        <w:rPr>
          <w:rFonts w:hint="eastAsia" w:ascii="Arial"/>
          <w:color w:val="auto"/>
          <w:sz w:val="22"/>
          <w:szCs w:val="22"/>
          <w:highlight w:val="none"/>
        </w:rPr>
        <w:t>3.2.6 安全文明施工与环境保护</w:t>
      </w:r>
    </w:p>
    <w:p w14:paraId="41B1372E">
      <w:pPr>
        <w:spacing w:line="294" w:lineRule="auto"/>
        <w:rPr>
          <w:rFonts w:hint="eastAsia" w:ascii="Arial"/>
          <w:color w:val="auto"/>
          <w:sz w:val="22"/>
          <w:szCs w:val="22"/>
          <w:highlight w:val="none"/>
        </w:rPr>
      </w:pPr>
      <w:r>
        <w:rPr>
          <w:rFonts w:hint="eastAsia" w:ascii="Arial"/>
          <w:color w:val="auto"/>
          <w:sz w:val="22"/>
          <w:szCs w:val="22"/>
          <w:highlight w:val="none"/>
        </w:rPr>
        <w:t>（1） 全过程工程咨询单位组织检查承包人现场质量、安全生产管理体系的建立及 运行情况</w:t>
      </w:r>
    </w:p>
    <w:p w14:paraId="7AF42EFB">
      <w:pPr>
        <w:spacing w:line="294" w:lineRule="auto"/>
        <w:rPr>
          <w:rFonts w:hint="eastAsia" w:ascii="Arial"/>
          <w:color w:val="auto"/>
          <w:sz w:val="22"/>
          <w:szCs w:val="22"/>
          <w:highlight w:val="none"/>
        </w:rPr>
      </w:pPr>
      <w:r>
        <w:rPr>
          <w:rFonts w:hint="eastAsia" w:ascii="Arial"/>
          <w:color w:val="auto"/>
          <w:sz w:val="22"/>
          <w:szCs w:val="22"/>
          <w:highlight w:val="none"/>
        </w:rPr>
        <w:t>（2）全过程工程咨询单位参与或配合工程质量安全事故的调查和处理。</w:t>
      </w:r>
    </w:p>
    <w:p w14:paraId="2951BB64">
      <w:pPr>
        <w:spacing w:line="294" w:lineRule="auto"/>
        <w:rPr>
          <w:rFonts w:hint="eastAsia" w:ascii="Arial"/>
          <w:color w:val="auto"/>
          <w:sz w:val="22"/>
          <w:szCs w:val="22"/>
          <w:highlight w:val="none"/>
        </w:rPr>
      </w:pPr>
      <w:r>
        <w:rPr>
          <w:rFonts w:hint="eastAsia" w:ascii="Arial"/>
          <w:color w:val="auto"/>
          <w:sz w:val="22"/>
          <w:szCs w:val="22"/>
          <w:highlight w:val="none"/>
        </w:rPr>
        <w:t>（3）全过程工程咨询单位应当及时发现并处置安全事故隐患。</w:t>
      </w:r>
    </w:p>
    <w:p w14:paraId="0FBF85B8">
      <w:pPr>
        <w:spacing w:line="294" w:lineRule="auto"/>
        <w:rPr>
          <w:rFonts w:hint="eastAsia" w:ascii="Arial"/>
          <w:color w:val="auto"/>
          <w:sz w:val="22"/>
          <w:szCs w:val="22"/>
          <w:highlight w:val="none"/>
        </w:rPr>
      </w:pPr>
      <w:r>
        <w:rPr>
          <w:rFonts w:hint="eastAsia" w:ascii="Arial"/>
          <w:color w:val="auto"/>
          <w:sz w:val="22"/>
          <w:szCs w:val="22"/>
          <w:highlight w:val="none"/>
        </w:rPr>
        <w:t>（4） 全过程工程咨询单位应建立项目环境保护管理制度，确定环境保护管理的目 标，明确管理内容和考核要求，实施环境影响评价，配置相关资源，落实环境保护措施。</w:t>
      </w:r>
    </w:p>
    <w:p w14:paraId="4CBDBE5B">
      <w:pPr>
        <w:spacing w:line="294" w:lineRule="auto"/>
        <w:rPr>
          <w:rFonts w:hint="eastAsia" w:ascii="Arial"/>
          <w:color w:val="auto"/>
          <w:sz w:val="22"/>
          <w:szCs w:val="22"/>
          <w:highlight w:val="none"/>
        </w:rPr>
      </w:pPr>
      <w:r>
        <w:rPr>
          <w:rFonts w:hint="eastAsia" w:ascii="Arial"/>
          <w:color w:val="auto"/>
          <w:sz w:val="22"/>
          <w:szCs w:val="22"/>
          <w:highlight w:val="none"/>
        </w:rPr>
        <w:t>3.3 竣工验收阶段</w:t>
      </w:r>
    </w:p>
    <w:p w14:paraId="47D39878">
      <w:pPr>
        <w:spacing w:line="294" w:lineRule="auto"/>
        <w:rPr>
          <w:rFonts w:hint="eastAsia" w:ascii="Arial"/>
          <w:color w:val="auto"/>
          <w:sz w:val="22"/>
          <w:szCs w:val="22"/>
          <w:highlight w:val="none"/>
        </w:rPr>
      </w:pPr>
      <w:r>
        <w:rPr>
          <w:rFonts w:hint="eastAsia" w:ascii="Arial"/>
          <w:color w:val="auto"/>
          <w:sz w:val="22"/>
          <w:szCs w:val="22"/>
          <w:highlight w:val="none"/>
        </w:rPr>
        <w:t>3.3.1 项目管理</w:t>
      </w:r>
    </w:p>
    <w:p w14:paraId="74BF16DF">
      <w:pPr>
        <w:spacing w:line="294" w:lineRule="auto"/>
        <w:rPr>
          <w:rFonts w:hint="eastAsia" w:ascii="Arial"/>
          <w:color w:val="auto"/>
          <w:sz w:val="22"/>
          <w:szCs w:val="22"/>
          <w:highlight w:val="none"/>
        </w:rPr>
      </w:pPr>
      <w:r>
        <w:rPr>
          <w:rFonts w:hint="eastAsia" w:ascii="Arial"/>
          <w:color w:val="auto"/>
          <w:sz w:val="22"/>
          <w:szCs w:val="22"/>
          <w:highlight w:val="none"/>
        </w:rPr>
        <w:t>（1）全过程工程咨询单位应建立项目竣工阶段管理制度，明确项目竣工阶段管理 的职责和工作程序。</w:t>
      </w:r>
    </w:p>
    <w:p w14:paraId="50723B9D">
      <w:pPr>
        <w:spacing w:line="294" w:lineRule="auto"/>
        <w:rPr>
          <w:rFonts w:hint="eastAsia" w:ascii="Arial"/>
          <w:color w:val="auto"/>
          <w:sz w:val="22"/>
          <w:szCs w:val="22"/>
          <w:highlight w:val="none"/>
        </w:rPr>
      </w:pPr>
      <w:r>
        <w:rPr>
          <w:rFonts w:hint="eastAsia" w:ascii="Arial"/>
          <w:color w:val="auto"/>
          <w:sz w:val="22"/>
          <w:szCs w:val="22"/>
          <w:highlight w:val="none"/>
        </w:rPr>
        <w:t>（2）全过程工程咨询单位应实施下列项目竣工阶段工作：</w:t>
      </w:r>
    </w:p>
    <w:p w14:paraId="5038A55C">
      <w:pPr>
        <w:spacing w:line="294" w:lineRule="auto"/>
        <w:rPr>
          <w:rFonts w:hint="eastAsia" w:ascii="Arial"/>
          <w:color w:val="auto"/>
          <w:sz w:val="22"/>
          <w:szCs w:val="22"/>
          <w:highlight w:val="none"/>
        </w:rPr>
      </w:pPr>
      <w:r>
        <w:rPr>
          <w:rFonts w:hint="eastAsia" w:ascii="Arial"/>
          <w:color w:val="auto"/>
          <w:sz w:val="22"/>
          <w:szCs w:val="22"/>
          <w:highlight w:val="none"/>
        </w:rPr>
        <w:t>①编制项目竣工阶段计划；</w:t>
      </w:r>
    </w:p>
    <w:p w14:paraId="26CD5B4A">
      <w:pPr>
        <w:spacing w:line="294" w:lineRule="auto"/>
        <w:rPr>
          <w:rFonts w:hint="eastAsia" w:ascii="Arial"/>
          <w:color w:val="auto"/>
          <w:sz w:val="22"/>
          <w:szCs w:val="22"/>
          <w:highlight w:val="none"/>
        </w:rPr>
      </w:pPr>
      <w:r>
        <w:rPr>
          <w:rFonts w:hint="eastAsia" w:ascii="Arial"/>
          <w:color w:val="auto"/>
          <w:sz w:val="22"/>
          <w:szCs w:val="22"/>
          <w:highlight w:val="none"/>
        </w:rPr>
        <w:t>②提出有关竣工阶段管理要求；</w:t>
      </w:r>
    </w:p>
    <w:p w14:paraId="2FF480BD">
      <w:pPr>
        <w:spacing w:line="294" w:lineRule="auto"/>
        <w:rPr>
          <w:rFonts w:hint="eastAsia" w:ascii="Arial"/>
          <w:color w:val="auto"/>
          <w:sz w:val="22"/>
          <w:szCs w:val="22"/>
          <w:highlight w:val="none"/>
        </w:rPr>
      </w:pPr>
      <w:r>
        <w:rPr>
          <w:rFonts w:hint="eastAsia" w:ascii="Arial"/>
          <w:color w:val="auto"/>
          <w:sz w:val="22"/>
          <w:szCs w:val="22"/>
          <w:highlight w:val="none"/>
        </w:rPr>
        <w:t>③ 理顺、终结所涉及的对外关系；</w:t>
      </w:r>
    </w:p>
    <w:p w14:paraId="0ED570DA">
      <w:pPr>
        <w:spacing w:line="294" w:lineRule="auto"/>
        <w:rPr>
          <w:rFonts w:hint="eastAsia" w:ascii="Arial"/>
          <w:color w:val="auto"/>
          <w:sz w:val="22"/>
          <w:szCs w:val="22"/>
          <w:highlight w:val="none"/>
        </w:rPr>
      </w:pPr>
      <w:r>
        <w:rPr>
          <w:rFonts w:hint="eastAsia" w:ascii="Arial"/>
          <w:color w:val="auto"/>
          <w:sz w:val="22"/>
          <w:szCs w:val="22"/>
          <w:highlight w:val="none"/>
        </w:rPr>
        <w:t>④ 执行相关标准与规定；</w:t>
      </w:r>
    </w:p>
    <w:p w14:paraId="3C9C466D">
      <w:pPr>
        <w:spacing w:line="294" w:lineRule="auto"/>
        <w:rPr>
          <w:rFonts w:hint="eastAsia" w:ascii="Arial"/>
          <w:color w:val="auto"/>
          <w:sz w:val="22"/>
          <w:szCs w:val="22"/>
          <w:highlight w:val="none"/>
        </w:rPr>
      </w:pPr>
      <w:r>
        <w:rPr>
          <w:rFonts w:hint="eastAsia" w:ascii="Arial"/>
          <w:color w:val="auto"/>
          <w:sz w:val="22"/>
          <w:szCs w:val="22"/>
          <w:highlight w:val="none"/>
        </w:rPr>
        <w:t>⑤ 清算合同双方在合同范围内的债权债务。</w:t>
      </w:r>
    </w:p>
    <w:p w14:paraId="51469A45">
      <w:pPr>
        <w:spacing w:line="294" w:lineRule="auto"/>
        <w:rPr>
          <w:rFonts w:hint="eastAsia" w:ascii="Arial"/>
          <w:color w:val="auto"/>
          <w:sz w:val="22"/>
          <w:szCs w:val="22"/>
          <w:highlight w:val="none"/>
        </w:rPr>
      </w:pPr>
      <w:r>
        <w:rPr>
          <w:rFonts w:hint="eastAsia" w:ascii="Arial"/>
          <w:color w:val="auto"/>
          <w:sz w:val="22"/>
          <w:szCs w:val="22"/>
          <w:highlight w:val="none"/>
        </w:rPr>
        <w:t>3.3.2 竣工验收</w:t>
      </w:r>
    </w:p>
    <w:p w14:paraId="4C83F5C1">
      <w:pPr>
        <w:spacing w:line="294" w:lineRule="auto"/>
        <w:rPr>
          <w:rFonts w:hint="eastAsia" w:ascii="Arial"/>
          <w:color w:val="auto"/>
          <w:sz w:val="22"/>
          <w:szCs w:val="22"/>
          <w:highlight w:val="none"/>
        </w:rPr>
      </w:pPr>
      <w:r>
        <w:rPr>
          <w:rFonts w:hint="eastAsia" w:ascii="Arial"/>
          <w:color w:val="auto"/>
          <w:sz w:val="22"/>
          <w:szCs w:val="22"/>
          <w:highlight w:val="none"/>
        </w:rPr>
        <w:t>（1）全过程工程咨询单位应编制工程竣工验收计划，经投资人批准后执行。工程 竣工验收计划应包括下列内容：</w:t>
      </w:r>
    </w:p>
    <w:p w14:paraId="7B0F9D45">
      <w:pPr>
        <w:spacing w:line="294" w:lineRule="auto"/>
        <w:rPr>
          <w:rFonts w:hint="eastAsia" w:ascii="Arial"/>
          <w:color w:val="auto"/>
          <w:sz w:val="22"/>
          <w:szCs w:val="22"/>
          <w:highlight w:val="none"/>
        </w:rPr>
      </w:pPr>
      <w:r>
        <w:rPr>
          <w:rFonts w:hint="eastAsia" w:ascii="Arial"/>
          <w:color w:val="auto"/>
          <w:sz w:val="22"/>
          <w:szCs w:val="22"/>
          <w:highlight w:val="none"/>
        </w:rPr>
        <w:t>① 竣工验收工作内容；</w:t>
      </w:r>
    </w:p>
    <w:p w14:paraId="61F1940D">
      <w:pPr>
        <w:spacing w:line="294" w:lineRule="auto"/>
        <w:rPr>
          <w:rFonts w:hint="eastAsia" w:ascii="Arial"/>
          <w:color w:val="auto"/>
          <w:sz w:val="22"/>
          <w:szCs w:val="22"/>
          <w:highlight w:val="none"/>
        </w:rPr>
      </w:pPr>
      <w:r>
        <w:rPr>
          <w:rFonts w:hint="eastAsia" w:ascii="Arial"/>
          <w:color w:val="auto"/>
          <w:sz w:val="22"/>
          <w:szCs w:val="22"/>
          <w:highlight w:val="none"/>
        </w:rPr>
        <w:t>② 竣工验收工作原则和要求；</w:t>
      </w:r>
    </w:p>
    <w:p w14:paraId="3F882EEF">
      <w:pPr>
        <w:spacing w:line="294" w:lineRule="auto"/>
        <w:rPr>
          <w:rFonts w:hint="eastAsia" w:ascii="Arial"/>
          <w:color w:val="auto"/>
          <w:sz w:val="22"/>
          <w:szCs w:val="22"/>
          <w:highlight w:val="none"/>
        </w:rPr>
      </w:pPr>
      <w:r>
        <w:rPr>
          <w:rFonts w:hint="eastAsia" w:ascii="Arial"/>
          <w:color w:val="auto"/>
          <w:sz w:val="22"/>
          <w:szCs w:val="22"/>
          <w:highlight w:val="none"/>
        </w:rPr>
        <w:t>③ 竣工验收工作职责分工；</w:t>
      </w:r>
    </w:p>
    <w:p w14:paraId="5D9748A9">
      <w:pPr>
        <w:spacing w:line="294" w:lineRule="auto"/>
        <w:rPr>
          <w:rFonts w:hint="eastAsia" w:ascii="Arial"/>
          <w:color w:val="auto"/>
          <w:sz w:val="22"/>
          <w:szCs w:val="22"/>
          <w:highlight w:val="none"/>
        </w:rPr>
      </w:pPr>
      <w:r>
        <w:rPr>
          <w:rFonts w:hint="eastAsia" w:ascii="Arial"/>
          <w:color w:val="auto"/>
          <w:sz w:val="22"/>
          <w:szCs w:val="22"/>
          <w:highlight w:val="none"/>
        </w:rPr>
        <w:t>④ 竣工验收工作顺序与时间安排。</w:t>
      </w:r>
    </w:p>
    <w:p w14:paraId="78A0A920">
      <w:pPr>
        <w:spacing w:line="294" w:lineRule="auto"/>
        <w:rPr>
          <w:rFonts w:hint="eastAsia" w:ascii="Arial"/>
          <w:color w:val="auto"/>
          <w:sz w:val="22"/>
          <w:szCs w:val="22"/>
          <w:highlight w:val="none"/>
        </w:rPr>
      </w:pPr>
      <w:r>
        <w:rPr>
          <w:rFonts w:hint="eastAsia" w:ascii="Arial"/>
          <w:color w:val="auto"/>
          <w:sz w:val="22"/>
          <w:szCs w:val="22"/>
          <w:highlight w:val="none"/>
        </w:rPr>
        <w:t>（2） 竣工验收工作按计划完成后，承包人应自行检查，根据规定在全过程工程咨 询单位的监理专业咨询工程师组织下进行预验收，合格后向投资人提交竣工验收申请。</w:t>
      </w:r>
    </w:p>
    <w:p w14:paraId="2A5FDE03">
      <w:pPr>
        <w:spacing w:line="294" w:lineRule="auto"/>
        <w:rPr>
          <w:rFonts w:hint="eastAsia" w:ascii="Arial"/>
          <w:color w:val="auto"/>
          <w:sz w:val="22"/>
          <w:szCs w:val="22"/>
          <w:highlight w:val="none"/>
        </w:rPr>
      </w:pPr>
      <w:r>
        <w:rPr>
          <w:rFonts w:hint="eastAsia" w:ascii="Arial"/>
          <w:color w:val="auto"/>
          <w:sz w:val="22"/>
          <w:szCs w:val="22"/>
          <w:highlight w:val="none"/>
        </w:rPr>
        <w:t>（3） 竣工验收的条件、要求、组织、程序、标准、文档的整理和移交，必须符合 国家有关标准和规定。</w:t>
      </w:r>
    </w:p>
    <w:p w14:paraId="4FBF0369">
      <w:pPr>
        <w:spacing w:line="294" w:lineRule="auto"/>
        <w:rPr>
          <w:rFonts w:hint="eastAsia" w:ascii="Arial"/>
          <w:color w:val="auto"/>
          <w:sz w:val="22"/>
          <w:szCs w:val="22"/>
          <w:highlight w:val="none"/>
        </w:rPr>
      </w:pPr>
      <w:r>
        <w:rPr>
          <w:rFonts w:hint="eastAsia" w:ascii="Arial"/>
          <w:color w:val="auto"/>
          <w:sz w:val="22"/>
          <w:szCs w:val="22"/>
          <w:highlight w:val="none"/>
        </w:rPr>
        <w:t>（4） 投资人接到承包人提交的竣工验收申请后，组织竣工验收，验收合格后全过程工程咨询单位协助投资人编写竣工验收报告书。</w:t>
      </w:r>
    </w:p>
    <w:p w14:paraId="13003E12">
      <w:pPr>
        <w:spacing w:line="294" w:lineRule="auto"/>
        <w:rPr>
          <w:rFonts w:hint="eastAsia" w:ascii="Arial"/>
          <w:color w:val="auto"/>
          <w:sz w:val="22"/>
          <w:szCs w:val="22"/>
          <w:highlight w:val="none"/>
        </w:rPr>
      </w:pPr>
      <w:r>
        <w:rPr>
          <w:rFonts w:hint="eastAsia" w:ascii="Arial"/>
          <w:color w:val="auto"/>
          <w:sz w:val="22"/>
          <w:szCs w:val="22"/>
          <w:highlight w:val="none"/>
        </w:rPr>
        <w:t>（5） 竣工验收后，承包人应在合同约定的期限内进行工程移交。</w:t>
      </w:r>
    </w:p>
    <w:p w14:paraId="726CC0E7">
      <w:pPr>
        <w:spacing w:line="294" w:lineRule="auto"/>
        <w:rPr>
          <w:rFonts w:hint="eastAsia" w:ascii="Arial"/>
          <w:color w:val="auto"/>
          <w:sz w:val="22"/>
          <w:szCs w:val="22"/>
          <w:highlight w:val="none"/>
        </w:rPr>
      </w:pPr>
      <w:r>
        <w:rPr>
          <w:rFonts w:hint="eastAsia" w:ascii="Arial"/>
          <w:color w:val="auto"/>
          <w:sz w:val="22"/>
          <w:szCs w:val="22"/>
          <w:highlight w:val="none"/>
        </w:rPr>
        <w:t>3.3.3 竣工结算</w:t>
      </w:r>
    </w:p>
    <w:p w14:paraId="2FF8DEE3">
      <w:pPr>
        <w:spacing w:line="294" w:lineRule="auto"/>
        <w:rPr>
          <w:rFonts w:hint="eastAsia" w:ascii="Arial"/>
          <w:color w:val="auto"/>
          <w:sz w:val="22"/>
          <w:szCs w:val="22"/>
          <w:highlight w:val="none"/>
        </w:rPr>
      </w:pPr>
      <w:r>
        <w:rPr>
          <w:rFonts w:hint="eastAsia" w:ascii="Arial"/>
          <w:color w:val="auto"/>
          <w:sz w:val="22"/>
          <w:szCs w:val="22"/>
          <w:highlight w:val="none"/>
        </w:rPr>
        <w:t>（1）工程竣工验收后，承包人应按照约定的条件向投资人提出竣工结算报告及完 整的结算资料，报全过程工程咨询单位审核，经审核后报投资人确认。</w:t>
      </w:r>
    </w:p>
    <w:p w14:paraId="53EE2F2A">
      <w:pPr>
        <w:spacing w:line="294" w:lineRule="auto"/>
        <w:rPr>
          <w:rFonts w:hint="eastAsia" w:ascii="Arial"/>
          <w:color w:val="auto"/>
          <w:sz w:val="22"/>
          <w:szCs w:val="22"/>
          <w:highlight w:val="none"/>
        </w:rPr>
      </w:pPr>
      <w:r>
        <w:rPr>
          <w:rFonts w:hint="eastAsia" w:ascii="Arial"/>
          <w:color w:val="auto"/>
          <w:sz w:val="22"/>
          <w:szCs w:val="22"/>
          <w:highlight w:val="none"/>
        </w:rPr>
        <w:t>（2）竣工结算应由承包人实施，全过程工程咨询单位审核，投资人审查，三方共 同确认后支付。</w:t>
      </w:r>
    </w:p>
    <w:p w14:paraId="3B4530A4">
      <w:pPr>
        <w:spacing w:line="294" w:lineRule="auto"/>
        <w:rPr>
          <w:rFonts w:hint="eastAsia" w:ascii="Arial"/>
          <w:color w:val="auto"/>
          <w:sz w:val="22"/>
          <w:szCs w:val="22"/>
          <w:highlight w:val="none"/>
        </w:rPr>
      </w:pPr>
      <w:r>
        <w:rPr>
          <w:rFonts w:hint="eastAsia" w:ascii="Arial"/>
          <w:color w:val="auto"/>
          <w:sz w:val="22"/>
          <w:szCs w:val="22"/>
          <w:highlight w:val="none"/>
        </w:rPr>
        <w:t>（3） 竣工结算依据应包括下列内容：</w:t>
      </w:r>
    </w:p>
    <w:p w14:paraId="7464E8F0">
      <w:pPr>
        <w:spacing w:line="294" w:lineRule="auto"/>
        <w:rPr>
          <w:rFonts w:hint="eastAsia" w:ascii="Arial"/>
          <w:color w:val="auto"/>
          <w:sz w:val="22"/>
          <w:szCs w:val="22"/>
          <w:highlight w:val="none"/>
        </w:rPr>
      </w:pPr>
      <w:r>
        <w:rPr>
          <w:rFonts w:hint="eastAsia" w:ascii="Arial"/>
          <w:color w:val="auto"/>
          <w:sz w:val="22"/>
          <w:szCs w:val="22"/>
          <w:highlight w:val="none"/>
        </w:rPr>
        <w:t>① 合同文件、补充协议及相关会议纪要；</w:t>
      </w:r>
    </w:p>
    <w:p w14:paraId="2FB0C73C">
      <w:pPr>
        <w:spacing w:line="294" w:lineRule="auto"/>
        <w:rPr>
          <w:rFonts w:hint="eastAsia" w:ascii="Arial"/>
          <w:color w:val="auto"/>
          <w:sz w:val="22"/>
          <w:szCs w:val="22"/>
          <w:highlight w:val="none"/>
        </w:rPr>
      </w:pPr>
      <w:r>
        <w:rPr>
          <w:rFonts w:hint="eastAsia" w:ascii="Arial"/>
          <w:color w:val="auto"/>
          <w:sz w:val="22"/>
          <w:szCs w:val="22"/>
          <w:highlight w:val="none"/>
        </w:rPr>
        <w:t>② 竣工图和工程变更文件；</w:t>
      </w:r>
    </w:p>
    <w:p w14:paraId="5DC79970">
      <w:pPr>
        <w:spacing w:line="294" w:lineRule="auto"/>
        <w:rPr>
          <w:rFonts w:hint="eastAsia" w:ascii="Arial"/>
          <w:color w:val="auto"/>
          <w:sz w:val="22"/>
          <w:szCs w:val="22"/>
          <w:highlight w:val="none"/>
        </w:rPr>
      </w:pPr>
      <w:r>
        <w:rPr>
          <w:rFonts w:hint="eastAsia" w:ascii="Arial"/>
          <w:color w:val="auto"/>
          <w:sz w:val="22"/>
          <w:szCs w:val="22"/>
          <w:highlight w:val="none"/>
        </w:rPr>
        <w:t>③有关技术资料和材料代用核准资料；</w:t>
      </w:r>
    </w:p>
    <w:p w14:paraId="538F40E5">
      <w:pPr>
        <w:spacing w:line="294" w:lineRule="auto"/>
        <w:rPr>
          <w:rFonts w:hint="eastAsia" w:ascii="Arial"/>
          <w:color w:val="auto"/>
          <w:sz w:val="22"/>
          <w:szCs w:val="22"/>
          <w:highlight w:val="none"/>
        </w:rPr>
      </w:pPr>
      <w:r>
        <w:rPr>
          <w:rFonts w:hint="eastAsia" w:ascii="Arial"/>
          <w:color w:val="auto"/>
          <w:sz w:val="22"/>
          <w:szCs w:val="22"/>
          <w:highlight w:val="none"/>
        </w:rPr>
        <w:t>④ 工程计价文件和工程量清单；</w:t>
      </w:r>
    </w:p>
    <w:p w14:paraId="3158E499">
      <w:pPr>
        <w:spacing w:line="294" w:lineRule="auto"/>
        <w:rPr>
          <w:rFonts w:hint="eastAsia" w:ascii="Arial"/>
          <w:color w:val="auto"/>
          <w:sz w:val="22"/>
          <w:szCs w:val="22"/>
          <w:highlight w:val="none"/>
        </w:rPr>
      </w:pPr>
      <w:r>
        <w:rPr>
          <w:rFonts w:hint="eastAsia" w:ascii="Arial"/>
          <w:color w:val="auto"/>
          <w:sz w:val="22"/>
          <w:szCs w:val="22"/>
          <w:highlight w:val="none"/>
        </w:rPr>
        <w:t>⑤ 双方确认的有关签证和工程索赔资料。</w:t>
      </w:r>
    </w:p>
    <w:p w14:paraId="27BB5773">
      <w:pPr>
        <w:spacing w:line="294" w:lineRule="auto"/>
        <w:rPr>
          <w:rFonts w:hint="eastAsia" w:ascii="Arial"/>
          <w:color w:val="auto"/>
          <w:sz w:val="22"/>
          <w:szCs w:val="22"/>
          <w:highlight w:val="none"/>
        </w:rPr>
      </w:pPr>
      <w:r>
        <w:rPr>
          <w:rFonts w:hint="eastAsia" w:ascii="Arial"/>
          <w:color w:val="auto"/>
          <w:sz w:val="22"/>
          <w:szCs w:val="22"/>
          <w:highlight w:val="none"/>
        </w:rPr>
        <w:t>3.3.4 竣工资料管理</w:t>
      </w:r>
    </w:p>
    <w:p w14:paraId="7BF90DFD">
      <w:pPr>
        <w:spacing w:line="294" w:lineRule="auto"/>
        <w:rPr>
          <w:rFonts w:hint="eastAsia" w:ascii="Arial"/>
          <w:color w:val="auto"/>
          <w:sz w:val="22"/>
          <w:szCs w:val="22"/>
          <w:highlight w:val="none"/>
        </w:rPr>
      </w:pPr>
      <w:r>
        <w:rPr>
          <w:rFonts w:hint="eastAsia" w:ascii="Arial"/>
          <w:color w:val="auto"/>
          <w:sz w:val="22"/>
          <w:szCs w:val="22"/>
          <w:highlight w:val="none"/>
        </w:rPr>
        <w:t>（1）全过程工程咨询单位应组织各参与方将工程文件的形成和积累纳入工程建设 管理的各个环节和有关人员的职责范围。</w:t>
      </w:r>
    </w:p>
    <w:p w14:paraId="4B7B5DE3">
      <w:pPr>
        <w:spacing w:line="294" w:lineRule="auto"/>
        <w:rPr>
          <w:rFonts w:hint="eastAsia" w:ascii="Arial"/>
          <w:color w:val="auto"/>
          <w:sz w:val="22"/>
          <w:szCs w:val="22"/>
          <w:highlight w:val="none"/>
        </w:rPr>
      </w:pPr>
      <w:r>
        <w:rPr>
          <w:rFonts w:hint="eastAsia" w:ascii="Arial"/>
          <w:color w:val="auto"/>
          <w:sz w:val="22"/>
          <w:szCs w:val="22"/>
          <w:highlight w:val="none"/>
        </w:rPr>
        <w:t>（2）全过程工程咨询单位、承包人等参与方应将本单位形成的工程文件立卷后向 投资人移交。</w:t>
      </w:r>
    </w:p>
    <w:p w14:paraId="008E709D">
      <w:pPr>
        <w:spacing w:line="294" w:lineRule="auto"/>
        <w:rPr>
          <w:rFonts w:hint="eastAsia" w:ascii="Arial"/>
          <w:color w:val="auto"/>
          <w:sz w:val="22"/>
          <w:szCs w:val="22"/>
          <w:highlight w:val="none"/>
        </w:rPr>
      </w:pPr>
      <w:r>
        <w:rPr>
          <w:rFonts w:hint="eastAsia" w:ascii="Arial"/>
          <w:color w:val="auto"/>
          <w:sz w:val="22"/>
          <w:szCs w:val="22"/>
          <w:highlight w:val="none"/>
        </w:rPr>
        <w:t>（3）项目实行总承包的，总承包人负责收集、汇总各分包人形成的工程档案，并 应及时向投资人移交；各分包人应将本分包形成的工程文件整理、立卷后及时移交总承 包人。项目由几个承包人承包的，各承包人负责收集、整理立卷其承包项目的工程文件， 并应及时向投资人移交。</w:t>
      </w:r>
    </w:p>
    <w:p w14:paraId="734502FC">
      <w:pPr>
        <w:spacing w:line="294" w:lineRule="auto"/>
        <w:rPr>
          <w:rFonts w:hint="eastAsia" w:ascii="Arial"/>
          <w:color w:val="auto"/>
          <w:sz w:val="22"/>
          <w:szCs w:val="22"/>
          <w:highlight w:val="none"/>
        </w:rPr>
      </w:pPr>
      <w:r>
        <w:rPr>
          <w:rFonts w:hint="eastAsia" w:ascii="Arial"/>
          <w:color w:val="auto"/>
          <w:sz w:val="22"/>
          <w:szCs w:val="22"/>
          <w:highlight w:val="none"/>
        </w:rPr>
        <w:t>（4）城建档案管理机构应对工程文件的立卷归档工作进行监督、检查、指导。在 工程竣工验收前，应对工程档案进行预验收，验收合格后，须出具工程档案认可文件。</w:t>
      </w:r>
    </w:p>
    <w:p w14:paraId="762C1775">
      <w:pPr>
        <w:spacing w:line="294" w:lineRule="auto"/>
        <w:rPr>
          <w:rFonts w:hint="eastAsia" w:ascii="Arial"/>
          <w:color w:val="auto"/>
          <w:sz w:val="22"/>
          <w:szCs w:val="22"/>
          <w:highlight w:val="none"/>
        </w:rPr>
      </w:pPr>
      <w:r>
        <w:rPr>
          <w:rFonts w:hint="eastAsia" w:ascii="Arial"/>
          <w:color w:val="auto"/>
          <w:sz w:val="22"/>
          <w:szCs w:val="22"/>
          <w:highlight w:val="none"/>
        </w:rPr>
        <w:t>3.3.5 竣工移交</w:t>
      </w:r>
    </w:p>
    <w:p w14:paraId="0FE85D48">
      <w:pPr>
        <w:spacing w:line="294" w:lineRule="auto"/>
        <w:rPr>
          <w:rFonts w:hint="eastAsia" w:ascii="Arial"/>
          <w:color w:val="auto"/>
          <w:sz w:val="22"/>
          <w:szCs w:val="22"/>
          <w:highlight w:val="none"/>
        </w:rPr>
      </w:pPr>
      <w:r>
        <w:rPr>
          <w:rFonts w:hint="eastAsia" w:ascii="Arial"/>
          <w:color w:val="auto"/>
          <w:sz w:val="22"/>
          <w:szCs w:val="22"/>
          <w:highlight w:val="none"/>
        </w:rPr>
        <w:t>（1） 全过程工程咨询单位在移交前的准备工作有：</w:t>
      </w:r>
    </w:p>
    <w:p w14:paraId="2DC01A0B">
      <w:pPr>
        <w:spacing w:line="294" w:lineRule="auto"/>
        <w:rPr>
          <w:rFonts w:hint="eastAsia" w:ascii="Arial"/>
          <w:color w:val="auto"/>
          <w:sz w:val="22"/>
          <w:szCs w:val="22"/>
          <w:highlight w:val="none"/>
        </w:rPr>
      </w:pPr>
      <w:r>
        <w:rPr>
          <w:rFonts w:hint="eastAsia" w:ascii="Arial"/>
          <w:color w:val="auto"/>
          <w:sz w:val="22"/>
          <w:szCs w:val="22"/>
          <w:highlight w:val="none"/>
        </w:rPr>
        <w:t>① 组织签订工程质量保修书；</w:t>
      </w:r>
    </w:p>
    <w:p w14:paraId="11284B75">
      <w:pPr>
        <w:spacing w:line="294" w:lineRule="auto"/>
        <w:rPr>
          <w:rFonts w:hint="eastAsia" w:ascii="Arial"/>
          <w:color w:val="auto"/>
          <w:sz w:val="22"/>
          <w:szCs w:val="22"/>
          <w:highlight w:val="none"/>
        </w:rPr>
      </w:pPr>
      <w:r>
        <w:rPr>
          <w:rFonts w:hint="eastAsia" w:ascii="Arial"/>
          <w:color w:val="auto"/>
          <w:sz w:val="22"/>
          <w:szCs w:val="22"/>
          <w:highlight w:val="none"/>
        </w:rPr>
        <w:t>② 督促承包人成立清扫小组，对各类建筑垃圾及时进行清理；</w:t>
      </w:r>
    </w:p>
    <w:p w14:paraId="596BFCFE">
      <w:pPr>
        <w:spacing w:line="294" w:lineRule="auto"/>
        <w:rPr>
          <w:rFonts w:hint="eastAsia" w:ascii="Arial"/>
          <w:color w:val="auto"/>
          <w:sz w:val="22"/>
          <w:szCs w:val="22"/>
          <w:highlight w:val="none"/>
        </w:rPr>
      </w:pPr>
    </w:p>
    <w:p w14:paraId="49D1F13F">
      <w:pPr>
        <w:spacing w:line="294" w:lineRule="auto"/>
        <w:rPr>
          <w:rFonts w:hint="eastAsia" w:ascii="Arial"/>
          <w:color w:val="auto"/>
          <w:sz w:val="22"/>
          <w:szCs w:val="22"/>
          <w:highlight w:val="none"/>
        </w:rPr>
      </w:pPr>
      <w:r>
        <w:rPr>
          <w:rFonts w:hint="eastAsia" w:ascii="Arial"/>
          <w:color w:val="auto"/>
          <w:sz w:val="22"/>
          <w:szCs w:val="22"/>
          <w:highlight w:val="none"/>
        </w:rPr>
        <w:t>③ 审核承包人编写的使用维护手册（工程移交前，承包人应编写使用维护手册）；</w:t>
      </w:r>
    </w:p>
    <w:p w14:paraId="7C3586D5">
      <w:pPr>
        <w:spacing w:line="294" w:lineRule="auto"/>
        <w:rPr>
          <w:rFonts w:hint="eastAsia" w:ascii="Arial"/>
          <w:color w:val="auto"/>
          <w:sz w:val="22"/>
          <w:szCs w:val="22"/>
          <w:highlight w:val="none"/>
        </w:rPr>
      </w:pPr>
      <w:r>
        <w:rPr>
          <w:rFonts w:hint="eastAsia" w:ascii="Arial"/>
          <w:color w:val="auto"/>
          <w:sz w:val="22"/>
          <w:szCs w:val="22"/>
          <w:highlight w:val="none"/>
        </w:rPr>
        <w:t>（2）全过程工程咨询单位组织实物移交并获得移交证书，督促承包人编制主要设</w:t>
      </w:r>
    </w:p>
    <w:p w14:paraId="1BFB7233">
      <w:pPr>
        <w:spacing w:line="294" w:lineRule="auto"/>
        <w:rPr>
          <w:rFonts w:hint="eastAsia" w:ascii="Arial"/>
          <w:color w:val="auto"/>
          <w:sz w:val="22"/>
          <w:szCs w:val="22"/>
          <w:highlight w:val="none"/>
        </w:rPr>
      </w:pPr>
      <w:r>
        <w:rPr>
          <w:rFonts w:hint="eastAsia" w:ascii="Arial"/>
          <w:color w:val="auto"/>
          <w:sz w:val="22"/>
          <w:szCs w:val="22"/>
          <w:highlight w:val="none"/>
        </w:rPr>
        <w:t>备移交清单，包括设备名称、型号、数量、安装地点等信息。</w:t>
      </w:r>
    </w:p>
    <w:p w14:paraId="6F65E1CF">
      <w:pPr>
        <w:spacing w:line="294" w:lineRule="auto"/>
        <w:rPr>
          <w:rFonts w:hint="eastAsia" w:ascii="Arial"/>
          <w:color w:val="auto"/>
          <w:sz w:val="22"/>
          <w:szCs w:val="22"/>
          <w:highlight w:val="none"/>
        </w:rPr>
      </w:pPr>
      <w:r>
        <w:rPr>
          <w:rFonts w:hint="eastAsia" w:ascii="Arial"/>
          <w:color w:val="auto"/>
          <w:sz w:val="22"/>
          <w:szCs w:val="22"/>
          <w:highlight w:val="none"/>
        </w:rPr>
        <w:t>3.3.6 竣工决算</w:t>
      </w:r>
    </w:p>
    <w:p w14:paraId="12D9F3FF">
      <w:pPr>
        <w:spacing w:line="294" w:lineRule="auto"/>
        <w:rPr>
          <w:rFonts w:hint="eastAsia" w:ascii="Arial"/>
          <w:color w:val="auto"/>
          <w:sz w:val="22"/>
          <w:szCs w:val="22"/>
          <w:highlight w:val="none"/>
        </w:rPr>
      </w:pPr>
      <w:r>
        <w:rPr>
          <w:rFonts w:hint="eastAsia" w:ascii="Arial"/>
          <w:color w:val="auto"/>
          <w:sz w:val="22"/>
          <w:szCs w:val="22"/>
          <w:highlight w:val="none"/>
        </w:rPr>
        <w:t>（1） 全过程工程咨询单位应协助投资人依据规定编制并实施竣工决算。</w:t>
      </w:r>
    </w:p>
    <w:p w14:paraId="550D6CF2">
      <w:pPr>
        <w:spacing w:line="294" w:lineRule="auto"/>
        <w:rPr>
          <w:rFonts w:hint="eastAsia" w:ascii="Arial"/>
          <w:color w:val="auto"/>
          <w:sz w:val="22"/>
          <w:szCs w:val="22"/>
          <w:highlight w:val="none"/>
        </w:rPr>
      </w:pPr>
      <w:r>
        <w:rPr>
          <w:rFonts w:hint="eastAsia" w:ascii="Arial"/>
          <w:color w:val="auto"/>
          <w:sz w:val="22"/>
          <w:szCs w:val="22"/>
          <w:highlight w:val="none"/>
        </w:rPr>
        <w:t>（2）竣工决算应综合反映竣工项目从筹建开始至项目竣工交付使用为止的全部建 设费用、投资效果以及新增资产价值。</w:t>
      </w:r>
    </w:p>
    <w:p w14:paraId="3DE80A1E">
      <w:pPr>
        <w:spacing w:line="294" w:lineRule="auto"/>
        <w:rPr>
          <w:rFonts w:hint="eastAsia" w:ascii="Arial"/>
          <w:color w:val="auto"/>
          <w:sz w:val="22"/>
          <w:szCs w:val="22"/>
          <w:highlight w:val="none"/>
        </w:rPr>
      </w:pPr>
      <w:r>
        <w:rPr>
          <w:rFonts w:hint="eastAsia" w:ascii="Arial"/>
          <w:color w:val="auto"/>
          <w:sz w:val="22"/>
          <w:szCs w:val="22"/>
          <w:highlight w:val="none"/>
        </w:rPr>
        <w:t>（3） 编制竣工决算应遵循下列程序：</w:t>
      </w:r>
    </w:p>
    <w:p w14:paraId="106A361E">
      <w:pPr>
        <w:spacing w:line="294" w:lineRule="auto"/>
        <w:rPr>
          <w:rFonts w:hint="eastAsia" w:ascii="Arial"/>
          <w:color w:val="auto"/>
          <w:sz w:val="22"/>
          <w:szCs w:val="22"/>
          <w:highlight w:val="none"/>
        </w:rPr>
      </w:pPr>
      <w:r>
        <w:rPr>
          <w:rFonts w:hint="eastAsia" w:ascii="Arial"/>
          <w:color w:val="auto"/>
          <w:sz w:val="22"/>
          <w:szCs w:val="22"/>
          <w:highlight w:val="none"/>
        </w:rPr>
        <w:t>①收集、整理有关竣工决算依据；</w:t>
      </w:r>
    </w:p>
    <w:p w14:paraId="4A094B84">
      <w:pPr>
        <w:spacing w:line="294" w:lineRule="auto"/>
        <w:rPr>
          <w:rFonts w:hint="eastAsia" w:ascii="Arial"/>
          <w:color w:val="auto"/>
          <w:sz w:val="22"/>
          <w:szCs w:val="22"/>
          <w:highlight w:val="none"/>
        </w:rPr>
      </w:pPr>
      <w:r>
        <w:rPr>
          <w:rFonts w:hint="eastAsia" w:ascii="Arial"/>
          <w:color w:val="auto"/>
          <w:sz w:val="22"/>
          <w:szCs w:val="22"/>
          <w:highlight w:val="none"/>
        </w:rPr>
        <w:t>② 清理账务、债务、结算物资；</w:t>
      </w:r>
    </w:p>
    <w:p w14:paraId="66C121EF">
      <w:pPr>
        <w:spacing w:line="294" w:lineRule="auto"/>
        <w:rPr>
          <w:rFonts w:hint="eastAsia" w:ascii="Arial"/>
          <w:color w:val="auto"/>
          <w:sz w:val="22"/>
          <w:szCs w:val="22"/>
          <w:highlight w:val="none"/>
        </w:rPr>
      </w:pPr>
      <w:r>
        <w:rPr>
          <w:rFonts w:hint="eastAsia" w:ascii="Arial"/>
          <w:color w:val="auto"/>
          <w:sz w:val="22"/>
          <w:szCs w:val="22"/>
          <w:highlight w:val="none"/>
        </w:rPr>
        <w:t>③填写竣工决算报表；</w:t>
      </w:r>
    </w:p>
    <w:p w14:paraId="7BB73265">
      <w:pPr>
        <w:spacing w:line="294" w:lineRule="auto"/>
        <w:rPr>
          <w:rFonts w:hint="eastAsia" w:ascii="Arial"/>
          <w:color w:val="auto"/>
          <w:sz w:val="22"/>
          <w:szCs w:val="22"/>
          <w:highlight w:val="none"/>
        </w:rPr>
      </w:pPr>
      <w:r>
        <w:rPr>
          <w:rFonts w:hint="eastAsia" w:ascii="Arial"/>
          <w:color w:val="auto"/>
          <w:sz w:val="22"/>
          <w:szCs w:val="22"/>
          <w:highlight w:val="none"/>
        </w:rPr>
        <w:t>④ 编写竣工决算说明书；</w:t>
      </w:r>
    </w:p>
    <w:p w14:paraId="1B43CD04">
      <w:pPr>
        <w:spacing w:line="294" w:lineRule="auto"/>
        <w:rPr>
          <w:rFonts w:hint="eastAsia" w:ascii="Arial"/>
          <w:color w:val="auto"/>
          <w:sz w:val="22"/>
          <w:szCs w:val="22"/>
          <w:highlight w:val="none"/>
        </w:rPr>
      </w:pPr>
      <w:r>
        <w:rPr>
          <w:rFonts w:hint="eastAsia" w:ascii="Arial"/>
          <w:color w:val="auto"/>
          <w:sz w:val="22"/>
          <w:szCs w:val="22"/>
          <w:highlight w:val="none"/>
        </w:rPr>
        <w:t>⑤按规定送审。</w:t>
      </w:r>
    </w:p>
    <w:p w14:paraId="591D0ABC">
      <w:pPr>
        <w:spacing w:line="294" w:lineRule="auto"/>
        <w:rPr>
          <w:rFonts w:hint="eastAsia" w:ascii="Arial"/>
          <w:color w:val="auto"/>
          <w:sz w:val="22"/>
          <w:szCs w:val="22"/>
          <w:highlight w:val="none"/>
        </w:rPr>
      </w:pPr>
      <w:r>
        <w:rPr>
          <w:rFonts w:hint="eastAsia" w:ascii="Arial"/>
          <w:color w:val="auto"/>
          <w:sz w:val="22"/>
          <w:szCs w:val="22"/>
          <w:highlight w:val="none"/>
        </w:rPr>
        <w:t>（4） 编制工程竣工决算应具备下列条件：</w:t>
      </w:r>
    </w:p>
    <w:p w14:paraId="1977EE9B">
      <w:pPr>
        <w:spacing w:line="294" w:lineRule="auto"/>
        <w:rPr>
          <w:rFonts w:hint="eastAsia" w:ascii="Arial"/>
          <w:color w:val="auto"/>
          <w:sz w:val="22"/>
          <w:szCs w:val="22"/>
          <w:highlight w:val="none"/>
        </w:rPr>
      </w:pPr>
      <w:r>
        <w:rPr>
          <w:rFonts w:hint="eastAsia" w:ascii="Arial"/>
          <w:color w:val="auto"/>
          <w:sz w:val="22"/>
          <w:szCs w:val="22"/>
          <w:highlight w:val="none"/>
        </w:rPr>
        <w:t>①经批准的初步设计所确定的工程内容已完成；</w:t>
      </w:r>
    </w:p>
    <w:p w14:paraId="2B5BC94D">
      <w:pPr>
        <w:spacing w:line="294" w:lineRule="auto"/>
        <w:rPr>
          <w:rFonts w:hint="eastAsia" w:ascii="Arial"/>
          <w:color w:val="auto"/>
          <w:sz w:val="22"/>
          <w:szCs w:val="22"/>
          <w:highlight w:val="none"/>
        </w:rPr>
      </w:pPr>
      <w:r>
        <w:rPr>
          <w:rFonts w:hint="eastAsia" w:ascii="Arial"/>
          <w:color w:val="auto"/>
          <w:sz w:val="22"/>
          <w:szCs w:val="22"/>
          <w:highlight w:val="none"/>
        </w:rPr>
        <w:t>② 单项工程或项目竣工结算已完成；</w:t>
      </w:r>
    </w:p>
    <w:p w14:paraId="741AB888">
      <w:pPr>
        <w:spacing w:line="294" w:lineRule="auto"/>
        <w:rPr>
          <w:rFonts w:hint="eastAsia" w:ascii="Arial"/>
          <w:color w:val="auto"/>
          <w:sz w:val="22"/>
          <w:szCs w:val="22"/>
          <w:highlight w:val="none"/>
        </w:rPr>
      </w:pPr>
      <w:r>
        <w:rPr>
          <w:rFonts w:hint="eastAsia" w:ascii="Arial"/>
          <w:color w:val="auto"/>
          <w:sz w:val="22"/>
          <w:szCs w:val="22"/>
          <w:highlight w:val="none"/>
        </w:rPr>
        <w:t>③ 收尾工程投资和预留费用不超过规定的比例；</w:t>
      </w:r>
    </w:p>
    <w:p w14:paraId="34E4169B">
      <w:pPr>
        <w:spacing w:line="294" w:lineRule="auto"/>
        <w:rPr>
          <w:rFonts w:hint="eastAsia" w:ascii="Arial"/>
          <w:color w:val="auto"/>
          <w:sz w:val="22"/>
          <w:szCs w:val="22"/>
          <w:highlight w:val="none"/>
        </w:rPr>
      </w:pPr>
      <w:r>
        <w:rPr>
          <w:rFonts w:hint="eastAsia" w:ascii="Arial"/>
          <w:color w:val="auto"/>
          <w:sz w:val="22"/>
          <w:szCs w:val="22"/>
          <w:highlight w:val="none"/>
        </w:rPr>
        <w:t>④涉及法律诉讼、工程质量纠纷的事项已处理完毕；</w:t>
      </w:r>
    </w:p>
    <w:p w14:paraId="3C5FFAA3">
      <w:pPr>
        <w:spacing w:line="294" w:lineRule="auto"/>
        <w:rPr>
          <w:rFonts w:hint="eastAsia" w:ascii="Arial"/>
          <w:color w:val="auto"/>
          <w:sz w:val="22"/>
          <w:szCs w:val="22"/>
          <w:highlight w:val="none"/>
        </w:rPr>
      </w:pPr>
      <w:r>
        <w:rPr>
          <w:rFonts w:hint="eastAsia" w:ascii="Arial"/>
          <w:color w:val="auto"/>
          <w:sz w:val="22"/>
          <w:szCs w:val="22"/>
          <w:highlight w:val="none"/>
        </w:rPr>
        <w:t>⑤ 其他影响工程竣工决算编制的重大问题已解决。</w:t>
      </w:r>
    </w:p>
    <w:p w14:paraId="470E9383">
      <w:pPr>
        <w:spacing w:line="294" w:lineRule="auto"/>
        <w:rPr>
          <w:rFonts w:hint="eastAsia" w:ascii="Arial"/>
          <w:color w:val="auto"/>
          <w:sz w:val="22"/>
          <w:szCs w:val="22"/>
          <w:highlight w:val="none"/>
        </w:rPr>
      </w:pPr>
      <w:r>
        <w:rPr>
          <w:rFonts w:hint="eastAsia" w:ascii="Arial"/>
          <w:color w:val="auto"/>
          <w:sz w:val="22"/>
          <w:szCs w:val="22"/>
          <w:highlight w:val="none"/>
        </w:rPr>
        <w:t>3.3.7 保修期管理</w:t>
      </w:r>
    </w:p>
    <w:p w14:paraId="473F5CC1">
      <w:pPr>
        <w:spacing w:line="294" w:lineRule="auto"/>
        <w:rPr>
          <w:rFonts w:hint="eastAsia" w:ascii="Arial"/>
          <w:color w:val="auto"/>
          <w:sz w:val="22"/>
          <w:szCs w:val="22"/>
          <w:highlight w:val="none"/>
        </w:rPr>
      </w:pPr>
      <w:r>
        <w:rPr>
          <w:rFonts w:hint="eastAsia" w:ascii="Arial"/>
          <w:color w:val="auto"/>
          <w:sz w:val="22"/>
          <w:szCs w:val="22"/>
          <w:highlight w:val="none"/>
        </w:rPr>
        <w:t>（1）承包人应制定工程保修期管理制度。</w:t>
      </w:r>
    </w:p>
    <w:p w14:paraId="6FA375E1">
      <w:pPr>
        <w:spacing w:line="294" w:lineRule="auto"/>
        <w:rPr>
          <w:rFonts w:hint="eastAsia" w:ascii="Arial"/>
          <w:color w:val="auto"/>
          <w:sz w:val="22"/>
          <w:szCs w:val="22"/>
          <w:highlight w:val="none"/>
        </w:rPr>
      </w:pPr>
      <w:r>
        <w:rPr>
          <w:rFonts w:hint="eastAsia" w:ascii="Arial"/>
          <w:color w:val="auto"/>
          <w:sz w:val="22"/>
          <w:szCs w:val="22"/>
          <w:highlight w:val="none"/>
        </w:rPr>
        <w:t>（2） 全过程工程咨询单位应协助投资人与承包人签订工程保修期保修合同，确定 质量保修范围、期限、责任与费用的计算方法。</w:t>
      </w:r>
    </w:p>
    <w:p w14:paraId="157E20DC">
      <w:pPr>
        <w:spacing w:line="294" w:lineRule="auto"/>
        <w:rPr>
          <w:rFonts w:hint="eastAsia" w:ascii="Arial"/>
          <w:color w:val="auto"/>
          <w:sz w:val="22"/>
          <w:szCs w:val="22"/>
          <w:highlight w:val="none"/>
        </w:rPr>
      </w:pPr>
      <w:r>
        <w:rPr>
          <w:rFonts w:hint="eastAsia" w:ascii="Arial"/>
          <w:color w:val="auto"/>
          <w:sz w:val="22"/>
          <w:szCs w:val="22"/>
          <w:highlight w:val="none"/>
        </w:rPr>
        <w:t>（3）承包人在工程保修期内应承担质量保修责任，回收质量保修资金。全过程工 程咨询单位对承包人实施的相关服务工作进行监督。</w:t>
      </w:r>
    </w:p>
    <w:p w14:paraId="0DA569E7">
      <w:pPr>
        <w:spacing w:line="294" w:lineRule="auto"/>
        <w:rPr>
          <w:rFonts w:hint="eastAsia" w:ascii="Arial"/>
          <w:color w:val="auto"/>
          <w:sz w:val="22"/>
          <w:szCs w:val="22"/>
          <w:highlight w:val="none"/>
        </w:rPr>
      </w:pPr>
      <w:r>
        <w:rPr>
          <w:rFonts w:hint="eastAsia" w:ascii="Arial"/>
          <w:color w:val="auto"/>
          <w:sz w:val="22"/>
          <w:szCs w:val="22"/>
          <w:highlight w:val="none"/>
        </w:rPr>
        <w:t>（4） 承包人应根据保修合同文件、保修责任期、质量要求、回访安排和有关规定 编制保修工作计划，保修工作计划应包括下列内容：</w:t>
      </w:r>
    </w:p>
    <w:p w14:paraId="27519128">
      <w:pPr>
        <w:spacing w:line="294" w:lineRule="auto"/>
        <w:rPr>
          <w:rFonts w:hint="eastAsia" w:ascii="Arial"/>
          <w:color w:val="auto"/>
          <w:sz w:val="22"/>
          <w:szCs w:val="22"/>
          <w:highlight w:val="none"/>
        </w:rPr>
      </w:pPr>
      <w:r>
        <w:rPr>
          <w:rFonts w:hint="eastAsia" w:ascii="Arial"/>
          <w:color w:val="auto"/>
          <w:sz w:val="22"/>
          <w:szCs w:val="22"/>
          <w:highlight w:val="none"/>
        </w:rPr>
        <w:t>①主管保修的部门；</w:t>
      </w:r>
    </w:p>
    <w:p w14:paraId="67AFC9BF">
      <w:pPr>
        <w:spacing w:line="294" w:lineRule="auto"/>
        <w:rPr>
          <w:rFonts w:hint="eastAsia" w:ascii="Arial"/>
          <w:color w:val="auto"/>
          <w:sz w:val="22"/>
          <w:szCs w:val="22"/>
          <w:highlight w:val="none"/>
        </w:rPr>
      </w:pPr>
      <w:r>
        <w:rPr>
          <w:rFonts w:hint="eastAsia" w:ascii="Arial"/>
          <w:color w:val="auto"/>
          <w:sz w:val="22"/>
          <w:szCs w:val="22"/>
          <w:highlight w:val="none"/>
        </w:rPr>
        <w:t>②执行保修工作的责任者；</w:t>
      </w:r>
    </w:p>
    <w:p w14:paraId="3F5A0831">
      <w:pPr>
        <w:spacing w:line="294" w:lineRule="auto"/>
        <w:rPr>
          <w:rFonts w:hint="eastAsia" w:ascii="Arial"/>
          <w:color w:val="auto"/>
          <w:sz w:val="22"/>
          <w:szCs w:val="22"/>
          <w:highlight w:val="none"/>
        </w:rPr>
      </w:pPr>
      <w:r>
        <w:rPr>
          <w:rFonts w:hint="eastAsia" w:ascii="Arial"/>
          <w:color w:val="auto"/>
          <w:sz w:val="22"/>
          <w:szCs w:val="22"/>
          <w:highlight w:val="none"/>
        </w:rPr>
        <w:t>③ 保修与回访时间；</w:t>
      </w:r>
    </w:p>
    <w:p w14:paraId="70E8F15B">
      <w:pPr>
        <w:spacing w:line="294" w:lineRule="auto"/>
        <w:rPr>
          <w:rFonts w:hint="eastAsia" w:ascii="Arial"/>
          <w:color w:val="auto"/>
          <w:sz w:val="22"/>
          <w:szCs w:val="22"/>
          <w:highlight w:val="none"/>
        </w:rPr>
      </w:pPr>
      <w:r>
        <w:rPr>
          <w:rFonts w:hint="eastAsia" w:ascii="Arial"/>
          <w:color w:val="auto"/>
          <w:sz w:val="22"/>
          <w:szCs w:val="22"/>
          <w:highlight w:val="none"/>
        </w:rPr>
        <w:t>④保修工作内容。</w:t>
      </w:r>
    </w:p>
    <w:p w14:paraId="7D14931E">
      <w:pPr>
        <w:spacing w:line="294" w:lineRule="auto"/>
        <w:rPr>
          <w:rFonts w:hint="eastAsia" w:ascii="Arial"/>
          <w:color w:val="auto"/>
          <w:sz w:val="22"/>
          <w:szCs w:val="22"/>
          <w:highlight w:val="none"/>
        </w:rPr>
      </w:pPr>
    </w:p>
    <w:p w14:paraId="0960D53A">
      <w:pPr>
        <w:spacing w:line="294" w:lineRule="auto"/>
        <w:rPr>
          <w:rFonts w:hint="eastAsia" w:ascii="Arial"/>
          <w:color w:val="auto"/>
          <w:sz w:val="22"/>
          <w:szCs w:val="22"/>
          <w:highlight w:val="none"/>
        </w:rPr>
      </w:pPr>
    </w:p>
    <w:p w14:paraId="4A6E7767">
      <w:pPr>
        <w:spacing w:line="294" w:lineRule="auto"/>
        <w:rPr>
          <w:rFonts w:hint="eastAsia" w:ascii="Arial"/>
          <w:color w:val="auto"/>
          <w:sz w:val="22"/>
          <w:szCs w:val="22"/>
          <w:highlight w:val="none"/>
        </w:rPr>
      </w:pPr>
      <w:r>
        <w:rPr>
          <w:rFonts w:hint="eastAsia" w:ascii="Arial"/>
          <w:color w:val="auto"/>
          <w:sz w:val="22"/>
          <w:szCs w:val="22"/>
          <w:highlight w:val="none"/>
        </w:rPr>
        <w:t>（5）承担工程保修阶段的服务工作时，全过程工程咨询单位应定期回访。</w:t>
      </w:r>
    </w:p>
    <w:p w14:paraId="55FE87DD">
      <w:pPr>
        <w:spacing w:line="294" w:lineRule="auto"/>
        <w:rPr>
          <w:rFonts w:hint="eastAsia" w:ascii="Arial"/>
          <w:color w:val="auto"/>
          <w:sz w:val="22"/>
          <w:szCs w:val="22"/>
          <w:highlight w:val="none"/>
        </w:rPr>
      </w:pPr>
      <w:r>
        <w:rPr>
          <w:rFonts w:hint="eastAsia" w:ascii="Arial"/>
          <w:color w:val="auto"/>
          <w:sz w:val="22"/>
          <w:szCs w:val="22"/>
          <w:highlight w:val="none"/>
        </w:rPr>
        <w:t>（6） 对投资人或运营人提出的工程质量缺陷，全过程工程咨询单位应安排相关人 员进行检查和记录，并应要求承包人予以修复，同时应监督实施，合格后应予以签认。</w:t>
      </w:r>
    </w:p>
    <w:p w14:paraId="595120CF">
      <w:pPr>
        <w:spacing w:line="294" w:lineRule="auto"/>
        <w:rPr>
          <w:rFonts w:hint="eastAsia" w:ascii="Arial"/>
          <w:color w:val="auto"/>
          <w:sz w:val="22"/>
          <w:szCs w:val="22"/>
          <w:highlight w:val="none"/>
        </w:rPr>
      </w:pPr>
      <w:r>
        <w:rPr>
          <w:rFonts w:hint="eastAsia" w:ascii="Arial"/>
          <w:color w:val="auto"/>
          <w:sz w:val="22"/>
          <w:szCs w:val="22"/>
          <w:highlight w:val="none"/>
        </w:rPr>
        <w:t>（7） 全过程工程咨询单位应对工程质量缺陷原因进行调查，并应与投资人、承包 人协商确定责任归属。对非承包人原因造成的工程质量缺陷，应核实承包人申报的修复工程费用，并应签认工程款支付证书，同时应报投资人。</w:t>
      </w:r>
    </w:p>
    <w:p w14:paraId="6BB87B17">
      <w:pPr>
        <w:spacing w:line="294" w:lineRule="auto"/>
        <w:rPr>
          <w:rFonts w:hint="eastAsia" w:ascii="Arial"/>
          <w:color w:val="auto"/>
          <w:sz w:val="22"/>
          <w:szCs w:val="22"/>
          <w:highlight w:val="none"/>
        </w:rPr>
      </w:pPr>
      <w:r>
        <w:rPr>
          <w:rFonts w:hint="eastAsia" w:ascii="Arial"/>
          <w:color w:val="auto"/>
          <w:sz w:val="22"/>
          <w:szCs w:val="22"/>
          <w:highlight w:val="none"/>
        </w:rPr>
        <w:t>3.4 运营维护阶段</w:t>
      </w:r>
    </w:p>
    <w:p w14:paraId="0DC16753">
      <w:pPr>
        <w:spacing w:line="294" w:lineRule="auto"/>
        <w:rPr>
          <w:rFonts w:hint="eastAsia" w:ascii="Arial"/>
          <w:color w:val="auto"/>
          <w:sz w:val="22"/>
          <w:szCs w:val="22"/>
          <w:highlight w:val="none"/>
        </w:rPr>
      </w:pPr>
      <w:r>
        <w:rPr>
          <w:rFonts w:hint="eastAsia" w:ascii="Arial"/>
          <w:color w:val="auto"/>
          <w:sz w:val="22"/>
          <w:szCs w:val="22"/>
          <w:highlight w:val="none"/>
        </w:rPr>
        <w:t>3.4.1 项目管理</w:t>
      </w:r>
    </w:p>
    <w:p w14:paraId="0D6CC95C">
      <w:pPr>
        <w:spacing w:line="294" w:lineRule="auto"/>
        <w:rPr>
          <w:rFonts w:hint="eastAsia" w:ascii="Arial"/>
          <w:color w:val="auto"/>
          <w:sz w:val="22"/>
          <w:szCs w:val="22"/>
          <w:highlight w:val="none"/>
        </w:rPr>
      </w:pPr>
      <w:r>
        <w:rPr>
          <w:rFonts w:hint="eastAsia" w:ascii="Arial"/>
          <w:color w:val="auto"/>
          <w:sz w:val="22"/>
          <w:szCs w:val="22"/>
          <w:highlight w:val="none"/>
        </w:rPr>
        <w:t>（1） 全过程工程咨询单位应制定和实施项目管理后评价和绩效评价制度，规定相 关职责和工作程序，采纳项目相关方的合理评价意见。</w:t>
      </w:r>
    </w:p>
    <w:p w14:paraId="4AAFEB9E">
      <w:pPr>
        <w:spacing w:line="294" w:lineRule="auto"/>
        <w:rPr>
          <w:rFonts w:hint="eastAsia" w:ascii="Arial"/>
          <w:color w:val="auto"/>
          <w:sz w:val="22"/>
          <w:szCs w:val="22"/>
          <w:highlight w:val="none"/>
        </w:rPr>
      </w:pPr>
      <w:r>
        <w:rPr>
          <w:rFonts w:hint="eastAsia" w:ascii="Arial"/>
          <w:color w:val="auto"/>
          <w:sz w:val="22"/>
          <w:szCs w:val="22"/>
          <w:highlight w:val="none"/>
        </w:rPr>
        <w:t>（2）全过程工程咨询单位对项目运营阶段的评价和管理过程应公开、公平、公正， 评价结果应符合规定的要求。</w:t>
      </w:r>
    </w:p>
    <w:p w14:paraId="7ABA6AC8">
      <w:pPr>
        <w:spacing w:line="294" w:lineRule="auto"/>
        <w:rPr>
          <w:rFonts w:hint="eastAsia" w:ascii="Arial"/>
          <w:color w:val="auto"/>
          <w:sz w:val="22"/>
          <w:szCs w:val="22"/>
          <w:highlight w:val="none"/>
        </w:rPr>
      </w:pPr>
      <w:r>
        <w:rPr>
          <w:rFonts w:hint="eastAsia" w:ascii="Arial"/>
          <w:color w:val="auto"/>
          <w:sz w:val="22"/>
          <w:szCs w:val="22"/>
          <w:highlight w:val="none"/>
        </w:rPr>
        <w:t>（3） 对项目的后评价及绩效评价应采取适合工程项目特点的评价方法，过程评价 与结果评价相配套，定性评价与定量评价相结合。</w:t>
      </w:r>
    </w:p>
    <w:p w14:paraId="74C747CE">
      <w:pPr>
        <w:spacing w:line="294" w:lineRule="auto"/>
        <w:rPr>
          <w:rFonts w:hint="eastAsia" w:ascii="Arial"/>
          <w:color w:val="auto"/>
          <w:sz w:val="22"/>
          <w:szCs w:val="22"/>
          <w:highlight w:val="none"/>
        </w:rPr>
      </w:pPr>
      <w:r>
        <w:rPr>
          <w:rFonts w:hint="eastAsia" w:ascii="Arial"/>
          <w:color w:val="auto"/>
          <w:sz w:val="22"/>
          <w:szCs w:val="22"/>
          <w:highlight w:val="none"/>
        </w:rPr>
        <w:t>（4） 全过程工程咨询单位根据相关规定对项目在运营阶段进行设施和资产管理工 作。</w:t>
      </w:r>
    </w:p>
    <w:p w14:paraId="6EFC36DF">
      <w:pPr>
        <w:spacing w:line="294" w:lineRule="auto"/>
        <w:rPr>
          <w:rFonts w:hint="eastAsia" w:ascii="Arial"/>
          <w:color w:val="auto"/>
          <w:sz w:val="22"/>
          <w:szCs w:val="22"/>
          <w:highlight w:val="none"/>
        </w:rPr>
      </w:pPr>
      <w:r>
        <w:rPr>
          <w:rFonts w:hint="eastAsia" w:ascii="Arial"/>
          <w:color w:val="auto"/>
          <w:sz w:val="22"/>
          <w:szCs w:val="22"/>
          <w:highlight w:val="none"/>
        </w:rPr>
        <w:t>3.4.2 项目后评价</w:t>
      </w:r>
    </w:p>
    <w:p w14:paraId="540F61B7">
      <w:pPr>
        <w:spacing w:line="294" w:lineRule="auto"/>
        <w:rPr>
          <w:rFonts w:hint="eastAsia" w:ascii="Arial"/>
          <w:color w:val="auto"/>
          <w:sz w:val="22"/>
          <w:szCs w:val="22"/>
          <w:highlight w:val="none"/>
        </w:rPr>
      </w:pPr>
      <w:r>
        <w:rPr>
          <w:rFonts w:hint="eastAsia" w:ascii="Arial"/>
          <w:color w:val="auto"/>
          <w:sz w:val="22"/>
          <w:szCs w:val="22"/>
          <w:highlight w:val="none"/>
        </w:rPr>
        <w:t>（1）全过程工程咨询单位应组建满足专业评价要求的工作组，在现场调查和资料 收集的基础上，结合项目自我总结评价报告，对照项目可行性研究报告及审批文件的相 关内容，对项目进行全面系统地分析评价。必要时应参照初步设计文件的相关内容进行 对比分析。</w:t>
      </w:r>
    </w:p>
    <w:p w14:paraId="724217B5">
      <w:pPr>
        <w:spacing w:line="294" w:lineRule="auto"/>
        <w:rPr>
          <w:rFonts w:hint="eastAsia" w:ascii="Arial"/>
          <w:color w:val="auto"/>
          <w:sz w:val="22"/>
          <w:szCs w:val="22"/>
          <w:highlight w:val="none"/>
        </w:rPr>
      </w:pPr>
      <w:r>
        <w:rPr>
          <w:rFonts w:hint="eastAsia" w:ascii="Arial"/>
          <w:color w:val="auto"/>
          <w:sz w:val="22"/>
          <w:szCs w:val="22"/>
          <w:highlight w:val="none"/>
        </w:rPr>
        <w:t>（2）全过程工程咨询单位应当按照国家发展改革委的要求，根据业内应遵循的评 价方法、工作流程、质量保证要求和执业行为规范，独立开展项目后评价工作，按时、 保质地完成项目后评价任务，提出合格的项目后评价报告。</w:t>
      </w:r>
    </w:p>
    <w:p w14:paraId="6837756C">
      <w:pPr>
        <w:spacing w:line="294" w:lineRule="auto"/>
        <w:rPr>
          <w:rFonts w:hint="eastAsia" w:ascii="Arial"/>
          <w:color w:val="auto"/>
          <w:sz w:val="22"/>
          <w:szCs w:val="22"/>
          <w:highlight w:val="none"/>
        </w:rPr>
      </w:pPr>
      <w:r>
        <w:rPr>
          <w:rFonts w:hint="eastAsia" w:ascii="Arial"/>
          <w:color w:val="auto"/>
          <w:sz w:val="22"/>
          <w:szCs w:val="22"/>
          <w:highlight w:val="none"/>
        </w:rPr>
        <w:t>（3） 全过程工程咨询单位在开展项目后评价的过程中，应重视公众参与，广泛听 取各方面意见，并在后评价报告中予以客观反映。</w:t>
      </w:r>
    </w:p>
    <w:p w14:paraId="33BE782B">
      <w:pPr>
        <w:spacing w:line="294" w:lineRule="auto"/>
        <w:rPr>
          <w:rFonts w:hint="eastAsia" w:ascii="Arial"/>
          <w:color w:val="auto"/>
          <w:sz w:val="22"/>
          <w:szCs w:val="22"/>
          <w:highlight w:val="none"/>
        </w:rPr>
      </w:pPr>
      <w:r>
        <w:rPr>
          <w:rFonts w:hint="eastAsia" w:ascii="Arial"/>
          <w:color w:val="auto"/>
          <w:sz w:val="22"/>
          <w:szCs w:val="22"/>
          <w:highlight w:val="none"/>
        </w:rPr>
        <w:t>3.4.3 项目绩效评价</w:t>
      </w:r>
    </w:p>
    <w:p w14:paraId="6E99BDFF">
      <w:pPr>
        <w:spacing w:line="294" w:lineRule="auto"/>
        <w:rPr>
          <w:rFonts w:hint="eastAsia" w:ascii="Arial"/>
          <w:color w:val="auto"/>
          <w:sz w:val="22"/>
          <w:szCs w:val="22"/>
          <w:highlight w:val="none"/>
        </w:rPr>
      </w:pPr>
      <w:r>
        <w:rPr>
          <w:rFonts w:hint="eastAsia" w:ascii="Arial"/>
          <w:color w:val="auto"/>
          <w:sz w:val="22"/>
          <w:szCs w:val="22"/>
          <w:highlight w:val="none"/>
        </w:rPr>
        <w:t>（1） 绩效评价应当遵循以下基本原则：</w:t>
      </w:r>
    </w:p>
    <w:p w14:paraId="532D40D8">
      <w:pPr>
        <w:spacing w:line="294" w:lineRule="auto"/>
        <w:rPr>
          <w:rFonts w:hint="eastAsia" w:ascii="Arial"/>
          <w:color w:val="auto"/>
          <w:sz w:val="22"/>
          <w:szCs w:val="22"/>
          <w:highlight w:val="none"/>
        </w:rPr>
      </w:pPr>
      <w:r>
        <w:rPr>
          <w:rFonts w:hint="eastAsia" w:ascii="Arial"/>
          <w:color w:val="auto"/>
          <w:sz w:val="22"/>
          <w:szCs w:val="22"/>
          <w:highlight w:val="none"/>
        </w:rPr>
        <w:t>①科学规范原则。绩效评价应当严格执行规定的程序，按照科学可行的要求，采用 定量与定性分析相结合的方法。</w:t>
      </w:r>
    </w:p>
    <w:p w14:paraId="0E7C7674">
      <w:pPr>
        <w:spacing w:line="294" w:lineRule="auto"/>
        <w:rPr>
          <w:rFonts w:hint="eastAsia" w:ascii="Arial"/>
          <w:color w:val="auto"/>
          <w:sz w:val="22"/>
          <w:szCs w:val="22"/>
          <w:highlight w:val="none"/>
        </w:rPr>
      </w:pPr>
      <w:r>
        <w:rPr>
          <w:rFonts w:hint="eastAsia" w:ascii="Arial"/>
          <w:color w:val="auto"/>
          <w:sz w:val="22"/>
          <w:szCs w:val="22"/>
          <w:highlight w:val="none"/>
        </w:rPr>
        <w:t>② 公正公开原则。绩效评价应当符合真实、客观、公正的要求，依法公开并接受监督。</w:t>
      </w:r>
    </w:p>
    <w:p w14:paraId="458ABAFC">
      <w:pPr>
        <w:spacing w:line="294" w:lineRule="auto"/>
        <w:rPr>
          <w:rFonts w:hint="eastAsia" w:ascii="Arial"/>
          <w:color w:val="auto"/>
          <w:sz w:val="22"/>
          <w:szCs w:val="22"/>
          <w:highlight w:val="none"/>
        </w:rPr>
      </w:pPr>
      <w:r>
        <w:rPr>
          <w:rFonts w:hint="eastAsia" w:ascii="Arial"/>
          <w:color w:val="auto"/>
          <w:sz w:val="22"/>
          <w:szCs w:val="22"/>
          <w:highlight w:val="none"/>
        </w:rPr>
        <w:t>③ 分级分类原则。绩效评价由各级财政部门、各预算部门根据评价对象的特点分 类组织实施。</w:t>
      </w:r>
    </w:p>
    <w:p w14:paraId="7657FDCB">
      <w:pPr>
        <w:spacing w:line="294" w:lineRule="auto"/>
        <w:rPr>
          <w:rFonts w:hint="eastAsia" w:ascii="Arial"/>
          <w:color w:val="auto"/>
          <w:sz w:val="22"/>
          <w:szCs w:val="22"/>
          <w:highlight w:val="none"/>
        </w:rPr>
      </w:pPr>
      <w:r>
        <w:rPr>
          <w:rFonts w:hint="eastAsia" w:ascii="Arial"/>
          <w:color w:val="auto"/>
          <w:sz w:val="22"/>
          <w:szCs w:val="22"/>
          <w:highlight w:val="none"/>
        </w:rPr>
        <w:t>④绩效相关原则。绩效评价应当针对具体支出及其产出绩效进行，评价结果应当清 晰反映支出和产出绩效之间的紧密对应关系。</w:t>
      </w:r>
    </w:p>
    <w:p w14:paraId="6EFDCC27">
      <w:pPr>
        <w:spacing w:line="294" w:lineRule="auto"/>
        <w:rPr>
          <w:rFonts w:hint="eastAsia" w:ascii="Arial"/>
          <w:color w:val="auto"/>
          <w:sz w:val="22"/>
          <w:szCs w:val="22"/>
          <w:highlight w:val="none"/>
        </w:rPr>
      </w:pPr>
      <w:r>
        <w:rPr>
          <w:rFonts w:hint="eastAsia" w:ascii="Arial"/>
          <w:color w:val="auto"/>
          <w:sz w:val="22"/>
          <w:szCs w:val="22"/>
          <w:highlight w:val="none"/>
        </w:rPr>
        <w:t>（2） 绩效目标应当包括以下主要内容：</w:t>
      </w:r>
    </w:p>
    <w:p w14:paraId="40DC67C1">
      <w:pPr>
        <w:spacing w:line="294" w:lineRule="auto"/>
        <w:rPr>
          <w:rFonts w:hint="eastAsia" w:ascii="Arial"/>
          <w:color w:val="auto"/>
          <w:sz w:val="22"/>
          <w:szCs w:val="22"/>
          <w:highlight w:val="none"/>
        </w:rPr>
      </w:pPr>
      <w:r>
        <w:rPr>
          <w:rFonts w:hint="eastAsia" w:ascii="Arial"/>
          <w:color w:val="auto"/>
          <w:sz w:val="22"/>
          <w:szCs w:val="22"/>
          <w:highlight w:val="none"/>
        </w:rPr>
        <w:t>① 预期产出，包括提供的公共产品和服务的数量；</w:t>
      </w:r>
    </w:p>
    <w:p w14:paraId="53573E4C">
      <w:pPr>
        <w:spacing w:line="294" w:lineRule="auto"/>
        <w:rPr>
          <w:rFonts w:hint="eastAsia" w:ascii="Arial"/>
          <w:color w:val="auto"/>
          <w:sz w:val="22"/>
          <w:szCs w:val="22"/>
          <w:highlight w:val="none"/>
        </w:rPr>
      </w:pPr>
      <w:r>
        <w:rPr>
          <w:rFonts w:hint="eastAsia" w:ascii="Arial"/>
          <w:color w:val="auto"/>
          <w:sz w:val="22"/>
          <w:szCs w:val="22"/>
          <w:highlight w:val="none"/>
        </w:rPr>
        <w:t>② 预期效果，包括经济效益、社会效益、环境效益和可持续影响等；</w:t>
      </w:r>
    </w:p>
    <w:p w14:paraId="0E49E22A">
      <w:pPr>
        <w:spacing w:line="294" w:lineRule="auto"/>
        <w:rPr>
          <w:rFonts w:hint="eastAsia" w:ascii="Arial"/>
          <w:color w:val="auto"/>
          <w:sz w:val="22"/>
          <w:szCs w:val="22"/>
          <w:highlight w:val="none"/>
        </w:rPr>
      </w:pPr>
      <w:r>
        <w:rPr>
          <w:rFonts w:hint="eastAsia" w:ascii="Arial"/>
          <w:color w:val="auto"/>
          <w:sz w:val="22"/>
          <w:szCs w:val="22"/>
          <w:highlight w:val="none"/>
        </w:rPr>
        <w:t>③服务对象或项目受益人满意程度；</w:t>
      </w:r>
    </w:p>
    <w:p w14:paraId="4760F902">
      <w:pPr>
        <w:spacing w:line="294" w:lineRule="auto"/>
        <w:rPr>
          <w:rFonts w:hint="eastAsia" w:ascii="Arial"/>
          <w:color w:val="auto"/>
          <w:sz w:val="22"/>
          <w:szCs w:val="22"/>
          <w:highlight w:val="none"/>
        </w:rPr>
      </w:pPr>
      <w:r>
        <w:rPr>
          <w:rFonts w:hint="eastAsia" w:ascii="Arial"/>
          <w:color w:val="auto"/>
          <w:sz w:val="22"/>
          <w:szCs w:val="22"/>
          <w:highlight w:val="none"/>
        </w:rPr>
        <w:t>④达到预期产出所需要的成本资源；</w:t>
      </w:r>
    </w:p>
    <w:p w14:paraId="3B5C1367">
      <w:pPr>
        <w:spacing w:line="294" w:lineRule="auto"/>
        <w:rPr>
          <w:rFonts w:hint="eastAsia" w:ascii="Arial"/>
          <w:color w:val="auto"/>
          <w:sz w:val="22"/>
          <w:szCs w:val="22"/>
          <w:highlight w:val="none"/>
        </w:rPr>
      </w:pPr>
    </w:p>
    <w:p w14:paraId="1F72CC02">
      <w:pPr>
        <w:spacing w:line="294" w:lineRule="auto"/>
        <w:rPr>
          <w:rFonts w:hint="eastAsia" w:ascii="Arial"/>
          <w:color w:val="auto"/>
          <w:sz w:val="22"/>
          <w:szCs w:val="22"/>
          <w:highlight w:val="none"/>
        </w:rPr>
      </w:pPr>
      <w:r>
        <w:rPr>
          <w:rFonts w:hint="eastAsia" w:ascii="Arial"/>
          <w:color w:val="auto"/>
          <w:sz w:val="22"/>
          <w:szCs w:val="22"/>
          <w:highlight w:val="none"/>
        </w:rPr>
        <w:t>⑤ 衡量预期产出、预期效果和服务对象满意程度的绩效指标。</w:t>
      </w:r>
    </w:p>
    <w:p w14:paraId="4ABCCC84">
      <w:pPr>
        <w:spacing w:line="294" w:lineRule="auto"/>
        <w:rPr>
          <w:rFonts w:hint="eastAsia" w:ascii="Arial"/>
          <w:color w:val="auto"/>
          <w:sz w:val="22"/>
          <w:szCs w:val="22"/>
          <w:highlight w:val="none"/>
        </w:rPr>
      </w:pPr>
      <w:r>
        <w:rPr>
          <w:rFonts w:hint="eastAsia" w:ascii="Arial"/>
          <w:color w:val="auto"/>
          <w:sz w:val="22"/>
          <w:szCs w:val="22"/>
          <w:highlight w:val="none"/>
        </w:rPr>
        <w:t>（3）绩效评价工作一般按照以下程序进行：</w:t>
      </w:r>
    </w:p>
    <w:p w14:paraId="0C842E66">
      <w:pPr>
        <w:spacing w:line="294" w:lineRule="auto"/>
        <w:rPr>
          <w:rFonts w:hint="eastAsia" w:ascii="Arial"/>
          <w:color w:val="auto"/>
          <w:sz w:val="22"/>
          <w:szCs w:val="22"/>
          <w:highlight w:val="none"/>
        </w:rPr>
      </w:pPr>
      <w:r>
        <w:rPr>
          <w:rFonts w:hint="eastAsia" w:ascii="Arial"/>
          <w:color w:val="auto"/>
          <w:sz w:val="22"/>
          <w:szCs w:val="22"/>
          <w:highlight w:val="none"/>
        </w:rPr>
        <w:t>①确定绩效评价对象；</w:t>
      </w:r>
    </w:p>
    <w:p w14:paraId="7321D024">
      <w:pPr>
        <w:spacing w:line="294" w:lineRule="auto"/>
        <w:rPr>
          <w:rFonts w:hint="eastAsia" w:ascii="Arial"/>
          <w:color w:val="auto"/>
          <w:sz w:val="22"/>
          <w:szCs w:val="22"/>
          <w:highlight w:val="none"/>
        </w:rPr>
      </w:pPr>
      <w:r>
        <w:rPr>
          <w:rFonts w:hint="eastAsia" w:ascii="Arial"/>
          <w:color w:val="auto"/>
          <w:sz w:val="22"/>
          <w:szCs w:val="22"/>
          <w:highlight w:val="none"/>
        </w:rPr>
        <w:t>② 下达绩效评价通知；</w:t>
      </w:r>
    </w:p>
    <w:p w14:paraId="1F3999DC">
      <w:pPr>
        <w:spacing w:line="294" w:lineRule="auto"/>
        <w:rPr>
          <w:rFonts w:hint="eastAsia" w:ascii="Arial"/>
          <w:color w:val="auto"/>
          <w:sz w:val="22"/>
          <w:szCs w:val="22"/>
          <w:highlight w:val="none"/>
        </w:rPr>
      </w:pPr>
      <w:r>
        <w:rPr>
          <w:rFonts w:hint="eastAsia" w:ascii="Arial"/>
          <w:color w:val="auto"/>
          <w:sz w:val="22"/>
          <w:szCs w:val="22"/>
          <w:highlight w:val="none"/>
        </w:rPr>
        <w:t>③确定绩效评价工作人员；</w:t>
      </w:r>
    </w:p>
    <w:p w14:paraId="4820F780">
      <w:pPr>
        <w:spacing w:line="294" w:lineRule="auto"/>
        <w:rPr>
          <w:rFonts w:hint="eastAsia" w:ascii="Arial"/>
          <w:color w:val="auto"/>
          <w:sz w:val="22"/>
          <w:szCs w:val="22"/>
          <w:highlight w:val="none"/>
        </w:rPr>
      </w:pPr>
      <w:r>
        <w:rPr>
          <w:rFonts w:hint="eastAsia" w:ascii="Arial"/>
          <w:color w:val="auto"/>
          <w:sz w:val="22"/>
          <w:szCs w:val="22"/>
          <w:highlight w:val="none"/>
        </w:rPr>
        <w:t>④ 制订绩效评价工作方案；</w:t>
      </w:r>
    </w:p>
    <w:p w14:paraId="08454F2E">
      <w:pPr>
        <w:spacing w:line="294" w:lineRule="auto"/>
        <w:rPr>
          <w:rFonts w:hint="eastAsia" w:ascii="Arial"/>
          <w:color w:val="auto"/>
          <w:sz w:val="22"/>
          <w:szCs w:val="22"/>
          <w:highlight w:val="none"/>
        </w:rPr>
      </w:pPr>
      <w:r>
        <w:rPr>
          <w:rFonts w:hint="eastAsia" w:ascii="Arial"/>
          <w:color w:val="auto"/>
          <w:sz w:val="22"/>
          <w:szCs w:val="22"/>
          <w:highlight w:val="none"/>
        </w:rPr>
        <w:t>⑤ 收集绩效评价相关资料；</w:t>
      </w:r>
    </w:p>
    <w:p w14:paraId="43863AF7">
      <w:pPr>
        <w:spacing w:line="294" w:lineRule="auto"/>
        <w:rPr>
          <w:rFonts w:hint="eastAsia" w:ascii="Arial"/>
          <w:color w:val="auto"/>
          <w:sz w:val="22"/>
          <w:szCs w:val="22"/>
          <w:highlight w:val="none"/>
        </w:rPr>
      </w:pPr>
      <w:r>
        <w:rPr>
          <w:rFonts w:hint="eastAsia" w:ascii="Arial"/>
          <w:color w:val="auto"/>
          <w:sz w:val="22"/>
          <w:szCs w:val="22"/>
          <w:highlight w:val="none"/>
        </w:rPr>
        <w:t>⑥ 对资料进行审查核实；</w:t>
      </w:r>
    </w:p>
    <w:p w14:paraId="513761EC">
      <w:pPr>
        <w:spacing w:line="294" w:lineRule="auto"/>
        <w:rPr>
          <w:rFonts w:hint="eastAsia" w:ascii="Arial"/>
          <w:color w:val="auto"/>
          <w:sz w:val="22"/>
          <w:szCs w:val="22"/>
          <w:highlight w:val="none"/>
        </w:rPr>
      </w:pPr>
      <w:r>
        <w:rPr>
          <w:rFonts w:hint="eastAsia" w:ascii="Arial"/>
          <w:color w:val="auto"/>
          <w:sz w:val="22"/>
          <w:szCs w:val="22"/>
          <w:highlight w:val="none"/>
        </w:rPr>
        <w:t>⑦综合分析并形成评价结论；</w:t>
      </w:r>
    </w:p>
    <w:p w14:paraId="264125B4">
      <w:pPr>
        <w:spacing w:line="294" w:lineRule="auto"/>
        <w:rPr>
          <w:rFonts w:hint="eastAsia" w:ascii="Arial"/>
          <w:color w:val="auto"/>
          <w:sz w:val="22"/>
          <w:szCs w:val="22"/>
          <w:highlight w:val="none"/>
        </w:rPr>
      </w:pPr>
      <w:r>
        <w:rPr>
          <w:rFonts w:hint="eastAsia" w:ascii="Arial"/>
          <w:color w:val="auto"/>
          <w:sz w:val="22"/>
          <w:szCs w:val="22"/>
          <w:highlight w:val="none"/>
        </w:rPr>
        <w:t>⑧ 撰写与提交评价报告；</w:t>
      </w:r>
    </w:p>
    <w:p w14:paraId="7D7C3124">
      <w:pPr>
        <w:spacing w:line="294" w:lineRule="auto"/>
        <w:rPr>
          <w:rFonts w:hint="eastAsia" w:ascii="Arial"/>
          <w:color w:val="auto"/>
          <w:sz w:val="22"/>
          <w:szCs w:val="22"/>
          <w:highlight w:val="none"/>
        </w:rPr>
      </w:pPr>
      <w:r>
        <w:rPr>
          <w:rFonts w:hint="eastAsia" w:ascii="Arial"/>
          <w:color w:val="auto"/>
          <w:sz w:val="22"/>
          <w:szCs w:val="22"/>
          <w:highlight w:val="none"/>
        </w:rPr>
        <w:t>⑨建立绩效评价档案。</w:t>
      </w:r>
    </w:p>
    <w:p w14:paraId="3482848A">
      <w:pPr>
        <w:spacing w:line="294" w:lineRule="auto"/>
        <w:rPr>
          <w:rFonts w:hint="eastAsia" w:ascii="Arial"/>
          <w:color w:val="auto"/>
          <w:sz w:val="22"/>
          <w:szCs w:val="22"/>
          <w:highlight w:val="none"/>
        </w:rPr>
      </w:pPr>
      <w:r>
        <w:rPr>
          <w:rFonts w:hint="eastAsia" w:ascii="Arial"/>
          <w:color w:val="auto"/>
          <w:sz w:val="22"/>
          <w:szCs w:val="22"/>
          <w:highlight w:val="none"/>
        </w:rPr>
        <w:t>3.4.4 设施管理</w:t>
      </w:r>
    </w:p>
    <w:p w14:paraId="15AC9CCC">
      <w:pPr>
        <w:spacing w:line="294" w:lineRule="auto"/>
        <w:rPr>
          <w:rFonts w:hint="eastAsia" w:ascii="Arial"/>
          <w:color w:val="auto"/>
          <w:sz w:val="22"/>
          <w:szCs w:val="22"/>
          <w:highlight w:val="none"/>
        </w:rPr>
      </w:pPr>
      <w:r>
        <w:rPr>
          <w:rFonts w:hint="eastAsia" w:ascii="Arial"/>
          <w:color w:val="auto"/>
          <w:sz w:val="22"/>
          <w:szCs w:val="22"/>
          <w:highlight w:val="none"/>
        </w:rPr>
        <w:t>（1）设施管理应涵盖并整合流程、服务、活动和设施、实现成本效益、安全和健 康的工作场所，并确保提供有效的设施服务。主要的服务内容包括：</w:t>
      </w:r>
    </w:p>
    <w:p w14:paraId="77B85035">
      <w:pPr>
        <w:spacing w:line="294" w:lineRule="auto"/>
        <w:rPr>
          <w:rFonts w:hint="eastAsia" w:ascii="Arial"/>
          <w:color w:val="auto"/>
          <w:sz w:val="22"/>
          <w:szCs w:val="22"/>
          <w:highlight w:val="none"/>
        </w:rPr>
      </w:pPr>
      <w:r>
        <w:rPr>
          <w:rFonts w:hint="eastAsia" w:ascii="Arial"/>
          <w:color w:val="auto"/>
          <w:sz w:val="22"/>
          <w:szCs w:val="22"/>
          <w:highlight w:val="none"/>
        </w:rPr>
        <w:t>①空间管理；</w:t>
      </w:r>
    </w:p>
    <w:p w14:paraId="1C57E369">
      <w:pPr>
        <w:spacing w:line="294" w:lineRule="auto"/>
        <w:rPr>
          <w:rFonts w:hint="eastAsia" w:ascii="Arial"/>
          <w:color w:val="auto"/>
          <w:sz w:val="22"/>
          <w:szCs w:val="22"/>
          <w:highlight w:val="none"/>
        </w:rPr>
      </w:pPr>
      <w:r>
        <w:rPr>
          <w:rFonts w:hint="eastAsia" w:ascii="Arial"/>
          <w:color w:val="auto"/>
          <w:sz w:val="22"/>
          <w:szCs w:val="22"/>
          <w:highlight w:val="none"/>
        </w:rPr>
        <w:t>②租赁管理；</w:t>
      </w:r>
    </w:p>
    <w:p w14:paraId="327922FB">
      <w:pPr>
        <w:spacing w:line="294" w:lineRule="auto"/>
        <w:rPr>
          <w:rFonts w:hint="eastAsia" w:ascii="Arial"/>
          <w:color w:val="auto"/>
          <w:sz w:val="22"/>
          <w:szCs w:val="22"/>
          <w:highlight w:val="none"/>
        </w:rPr>
      </w:pPr>
      <w:r>
        <w:rPr>
          <w:rFonts w:hint="eastAsia" w:ascii="Arial"/>
          <w:color w:val="auto"/>
          <w:sz w:val="22"/>
          <w:szCs w:val="22"/>
          <w:highlight w:val="none"/>
        </w:rPr>
        <w:t>③ 运维管理；</w:t>
      </w:r>
    </w:p>
    <w:p w14:paraId="483FC7CA">
      <w:pPr>
        <w:spacing w:line="294" w:lineRule="auto"/>
        <w:rPr>
          <w:rFonts w:hint="eastAsia" w:ascii="Arial"/>
          <w:color w:val="auto"/>
          <w:sz w:val="22"/>
          <w:szCs w:val="22"/>
          <w:highlight w:val="none"/>
        </w:rPr>
      </w:pPr>
      <w:r>
        <w:rPr>
          <w:rFonts w:hint="eastAsia" w:ascii="Arial"/>
          <w:color w:val="auto"/>
          <w:sz w:val="22"/>
          <w:szCs w:val="22"/>
          <w:highlight w:val="none"/>
        </w:rPr>
        <w:t>④ 环境与风险管理；</w:t>
      </w:r>
    </w:p>
    <w:p w14:paraId="77D60947">
      <w:pPr>
        <w:spacing w:line="294" w:lineRule="auto"/>
        <w:rPr>
          <w:rFonts w:hint="eastAsia" w:ascii="Arial"/>
          <w:color w:val="auto"/>
          <w:sz w:val="22"/>
          <w:szCs w:val="22"/>
          <w:highlight w:val="none"/>
        </w:rPr>
      </w:pPr>
      <w:r>
        <w:rPr>
          <w:rFonts w:hint="eastAsia" w:ascii="Arial"/>
          <w:color w:val="auto"/>
          <w:sz w:val="22"/>
          <w:szCs w:val="22"/>
          <w:highlight w:val="none"/>
        </w:rPr>
        <w:t>⑤ 家具和设备管理；</w:t>
      </w:r>
    </w:p>
    <w:p w14:paraId="42FA6680">
      <w:pPr>
        <w:spacing w:line="294" w:lineRule="auto"/>
        <w:rPr>
          <w:rFonts w:hint="eastAsia" w:ascii="Arial"/>
          <w:color w:val="auto"/>
          <w:sz w:val="22"/>
          <w:szCs w:val="22"/>
          <w:highlight w:val="none"/>
        </w:rPr>
      </w:pPr>
      <w:r>
        <w:rPr>
          <w:rFonts w:hint="eastAsia" w:ascii="Arial"/>
          <w:color w:val="auto"/>
          <w:sz w:val="22"/>
          <w:szCs w:val="22"/>
          <w:highlight w:val="none"/>
        </w:rPr>
        <w:t>⑥ 工作场所管理；</w:t>
      </w:r>
    </w:p>
    <w:p w14:paraId="22547F70">
      <w:pPr>
        <w:spacing w:line="294" w:lineRule="auto"/>
        <w:rPr>
          <w:rFonts w:hint="eastAsia" w:ascii="Arial"/>
          <w:color w:val="auto"/>
          <w:sz w:val="22"/>
          <w:szCs w:val="22"/>
          <w:highlight w:val="none"/>
        </w:rPr>
      </w:pPr>
      <w:r>
        <w:rPr>
          <w:rFonts w:hint="eastAsia" w:ascii="Arial"/>
          <w:color w:val="auto"/>
          <w:sz w:val="22"/>
          <w:szCs w:val="22"/>
          <w:highlight w:val="none"/>
        </w:rPr>
        <w:t>⑦ 物业管理；</w:t>
      </w:r>
    </w:p>
    <w:p w14:paraId="733253E4">
      <w:pPr>
        <w:spacing w:line="294" w:lineRule="auto"/>
        <w:rPr>
          <w:rFonts w:hint="eastAsia" w:ascii="Arial"/>
          <w:color w:val="auto"/>
          <w:sz w:val="22"/>
          <w:szCs w:val="22"/>
          <w:highlight w:val="none"/>
        </w:rPr>
      </w:pPr>
      <w:r>
        <w:rPr>
          <w:rFonts w:hint="eastAsia" w:ascii="Arial"/>
          <w:color w:val="auto"/>
          <w:sz w:val="22"/>
          <w:szCs w:val="22"/>
          <w:highlight w:val="none"/>
        </w:rPr>
        <w:t>⑧其它系统与运维系统的数据交换管理。</w:t>
      </w:r>
    </w:p>
    <w:p w14:paraId="7DB0A9F7">
      <w:pPr>
        <w:spacing w:line="294" w:lineRule="auto"/>
        <w:rPr>
          <w:rFonts w:hint="eastAsia" w:ascii="Arial"/>
          <w:color w:val="auto"/>
          <w:sz w:val="22"/>
          <w:szCs w:val="22"/>
          <w:highlight w:val="none"/>
        </w:rPr>
      </w:pPr>
      <w:r>
        <w:rPr>
          <w:rFonts w:hint="eastAsia" w:ascii="Arial"/>
          <w:color w:val="auto"/>
          <w:sz w:val="22"/>
          <w:szCs w:val="22"/>
          <w:highlight w:val="none"/>
        </w:rPr>
        <w:t>（2） 设施管理使项目增值的具体途径包括价值管理和全生命周期成本管理等。</w:t>
      </w:r>
    </w:p>
    <w:p w14:paraId="6C2388BA">
      <w:pPr>
        <w:spacing w:line="294" w:lineRule="auto"/>
        <w:rPr>
          <w:rFonts w:hint="eastAsia" w:ascii="Arial"/>
          <w:color w:val="auto"/>
          <w:sz w:val="22"/>
          <w:szCs w:val="22"/>
          <w:highlight w:val="none"/>
        </w:rPr>
      </w:pPr>
      <w:r>
        <w:rPr>
          <w:rFonts w:hint="eastAsia" w:ascii="Arial"/>
          <w:color w:val="auto"/>
          <w:sz w:val="22"/>
          <w:szCs w:val="22"/>
          <w:highlight w:val="none"/>
        </w:rPr>
        <w:t>3.4.5 资产管理</w:t>
      </w:r>
    </w:p>
    <w:p w14:paraId="6EBAE9F3">
      <w:pPr>
        <w:spacing w:line="294" w:lineRule="auto"/>
        <w:rPr>
          <w:rFonts w:hint="eastAsia" w:ascii="Arial"/>
          <w:color w:val="auto"/>
          <w:sz w:val="22"/>
          <w:szCs w:val="22"/>
          <w:highlight w:val="none"/>
        </w:rPr>
      </w:pPr>
      <w:r>
        <w:rPr>
          <w:rFonts w:hint="eastAsia" w:ascii="Arial"/>
          <w:color w:val="auto"/>
          <w:sz w:val="22"/>
          <w:szCs w:val="22"/>
          <w:highlight w:val="none"/>
        </w:rPr>
        <w:t>（1）资产管理涉及内容包括协调和优化规划、资产选择、采集/开发、利用、服务 （维修）和最终处置或更新相应的资产和资产系统，其目的是最大限度地提高资金的价 值和利益相关方期望的满意度。</w:t>
      </w:r>
    </w:p>
    <w:p w14:paraId="5354637F">
      <w:pPr>
        <w:spacing w:line="294" w:lineRule="auto"/>
        <w:rPr>
          <w:rFonts w:hint="eastAsia" w:ascii="Arial"/>
          <w:color w:val="auto"/>
          <w:sz w:val="22"/>
          <w:szCs w:val="22"/>
          <w:highlight w:val="none"/>
        </w:rPr>
      </w:pPr>
      <w:r>
        <w:rPr>
          <w:rFonts w:hint="eastAsia" w:ascii="Arial"/>
          <w:color w:val="auto"/>
          <w:sz w:val="22"/>
          <w:szCs w:val="22"/>
          <w:highlight w:val="none"/>
        </w:rPr>
        <w:t>（2）资产管理的工作内容包括：</w:t>
      </w:r>
    </w:p>
    <w:p w14:paraId="3A4D306A">
      <w:pPr>
        <w:spacing w:line="294" w:lineRule="auto"/>
        <w:rPr>
          <w:rFonts w:hint="eastAsia" w:ascii="Arial"/>
          <w:color w:val="auto"/>
          <w:sz w:val="22"/>
          <w:szCs w:val="22"/>
          <w:highlight w:val="none"/>
        </w:rPr>
      </w:pPr>
      <w:r>
        <w:rPr>
          <w:rFonts w:hint="eastAsia" w:ascii="Arial"/>
          <w:color w:val="auto"/>
          <w:sz w:val="22"/>
          <w:szCs w:val="22"/>
          <w:highlight w:val="none"/>
        </w:rPr>
        <w:t>① 资产的保值和增值；</w:t>
      </w:r>
    </w:p>
    <w:p w14:paraId="2F2840DC">
      <w:pPr>
        <w:spacing w:line="294" w:lineRule="auto"/>
        <w:rPr>
          <w:rFonts w:hint="eastAsia" w:ascii="Arial"/>
          <w:color w:val="auto"/>
          <w:sz w:val="22"/>
          <w:szCs w:val="22"/>
          <w:highlight w:val="none"/>
        </w:rPr>
      </w:pPr>
      <w:r>
        <w:rPr>
          <w:rFonts w:hint="eastAsia" w:ascii="Arial"/>
          <w:color w:val="auto"/>
          <w:sz w:val="22"/>
          <w:szCs w:val="22"/>
          <w:highlight w:val="none"/>
        </w:rPr>
        <w:t>② 运营安全分析和策划；</w:t>
      </w:r>
    </w:p>
    <w:p w14:paraId="4E98B7C8">
      <w:pPr>
        <w:spacing w:line="294" w:lineRule="auto"/>
        <w:rPr>
          <w:rFonts w:hint="eastAsia" w:ascii="Arial"/>
          <w:color w:val="auto"/>
          <w:sz w:val="22"/>
          <w:szCs w:val="22"/>
          <w:highlight w:val="none"/>
        </w:rPr>
      </w:pPr>
      <w:r>
        <w:rPr>
          <w:rFonts w:hint="eastAsia" w:ascii="Arial"/>
          <w:color w:val="auto"/>
          <w:sz w:val="22"/>
          <w:szCs w:val="22"/>
          <w:highlight w:val="none"/>
        </w:rPr>
        <w:t>③ 项目的运营资产清查和评估；</w:t>
      </w:r>
    </w:p>
    <w:p w14:paraId="08BBB7CF">
      <w:pPr>
        <w:spacing w:line="294" w:lineRule="auto"/>
        <w:rPr>
          <w:rFonts w:hint="eastAsia" w:ascii="Arial"/>
          <w:color w:val="auto"/>
          <w:sz w:val="22"/>
          <w:szCs w:val="22"/>
          <w:highlight w:val="none"/>
        </w:rPr>
      </w:pPr>
      <w:r>
        <w:rPr>
          <w:rFonts w:hint="eastAsia" w:ascii="Arial"/>
          <w:color w:val="auto"/>
          <w:sz w:val="22"/>
          <w:szCs w:val="22"/>
          <w:highlight w:val="none"/>
        </w:rPr>
        <w:t>④项目的招商策划和租赁管理</w:t>
      </w:r>
    </w:p>
    <w:p w14:paraId="5B4E4811">
      <w:pPr>
        <w:spacing w:line="294" w:lineRule="auto"/>
        <w:rPr>
          <w:rFonts w:hint="eastAsia" w:ascii="Arial"/>
          <w:color w:val="auto"/>
          <w:sz w:val="22"/>
          <w:szCs w:val="22"/>
          <w:highlight w:val="none"/>
        </w:rPr>
      </w:pPr>
      <w:r>
        <w:rPr>
          <w:rFonts w:hint="eastAsia" w:ascii="Arial"/>
          <w:color w:val="auto"/>
          <w:sz w:val="22"/>
          <w:szCs w:val="22"/>
          <w:highlight w:val="none"/>
        </w:rPr>
        <w:t>备注：1、本项目技术条款不得出现负偏离，投标人对技术条款必须在投标文件技术偏离表中必须进行一一正面响应，若不响应、逃避响应或模糊混淆概念响应，视为负偏离。</w:t>
      </w:r>
    </w:p>
    <w:p w14:paraId="18395482">
      <w:pPr>
        <w:spacing w:line="294" w:lineRule="auto"/>
        <w:rPr>
          <w:rFonts w:ascii="Arial"/>
          <w:color w:val="auto"/>
          <w:sz w:val="22"/>
          <w:szCs w:val="22"/>
          <w:highlight w:val="none"/>
        </w:rPr>
      </w:pPr>
      <w:r>
        <w:rPr>
          <w:rFonts w:hint="eastAsia" w:ascii="Arial"/>
          <w:color w:val="auto"/>
          <w:sz w:val="22"/>
          <w:szCs w:val="22"/>
          <w:highlight w:val="none"/>
        </w:rPr>
        <w:t>2 、若甲方完成相应专业服务工作的，中标人应收集相应阶段已提供服务的 档案资料，妥善保管。</w:t>
      </w:r>
    </w:p>
    <w:p w14:paraId="4F744102">
      <w:pPr>
        <w:spacing w:line="295" w:lineRule="auto"/>
        <w:rPr>
          <w:rFonts w:ascii="Arial"/>
          <w:color w:val="auto"/>
          <w:sz w:val="21"/>
          <w:highlight w:val="none"/>
        </w:rPr>
      </w:pPr>
    </w:p>
    <w:p w14:paraId="40EDCC9B">
      <w:pPr>
        <w:spacing w:line="295" w:lineRule="auto"/>
        <w:rPr>
          <w:rFonts w:ascii="Arial"/>
          <w:color w:val="auto"/>
          <w:sz w:val="21"/>
          <w:highlight w:val="none"/>
        </w:rPr>
      </w:pPr>
    </w:p>
    <w:p w14:paraId="56A62EBA">
      <w:pPr>
        <w:spacing w:line="295" w:lineRule="auto"/>
        <w:rPr>
          <w:rFonts w:ascii="Arial"/>
          <w:color w:val="auto"/>
          <w:sz w:val="21"/>
          <w:highlight w:val="none"/>
        </w:rPr>
      </w:pPr>
    </w:p>
    <w:p w14:paraId="7CA8EE24">
      <w:pPr>
        <w:spacing w:line="295" w:lineRule="auto"/>
        <w:rPr>
          <w:rFonts w:ascii="Arial"/>
          <w:color w:val="auto"/>
          <w:sz w:val="21"/>
          <w:highlight w:val="none"/>
        </w:rPr>
      </w:pPr>
    </w:p>
    <w:p w14:paraId="338CB769">
      <w:pPr>
        <w:spacing w:line="295" w:lineRule="auto"/>
        <w:rPr>
          <w:rFonts w:ascii="Arial"/>
          <w:color w:val="auto"/>
          <w:sz w:val="21"/>
          <w:highlight w:val="none"/>
        </w:rPr>
      </w:pPr>
    </w:p>
    <w:p w14:paraId="459EFD4A">
      <w:pPr>
        <w:spacing w:line="295" w:lineRule="auto"/>
        <w:rPr>
          <w:rFonts w:ascii="Arial"/>
          <w:color w:val="auto"/>
          <w:sz w:val="21"/>
          <w:highlight w:val="none"/>
        </w:rPr>
      </w:pPr>
    </w:p>
    <w:p w14:paraId="335DB31C">
      <w:pPr>
        <w:pStyle w:val="2"/>
        <w:spacing w:before="104" w:line="219" w:lineRule="auto"/>
        <w:ind w:left="2574"/>
        <w:outlineLvl w:val="1"/>
        <w:rPr>
          <w:color w:val="auto"/>
          <w:sz w:val="32"/>
          <w:szCs w:val="32"/>
          <w:highlight w:val="none"/>
        </w:rPr>
      </w:pPr>
      <w:r>
        <w:rPr>
          <w:b/>
          <w:bCs/>
          <w:color w:val="auto"/>
          <w:spacing w:val="-4"/>
          <w:sz w:val="32"/>
          <w:szCs w:val="32"/>
          <w:highlight w:val="none"/>
        </w:rPr>
        <w:t>第6章</w:t>
      </w:r>
      <w:r>
        <w:rPr>
          <w:color w:val="auto"/>
          <w:spacing w:val="-4"/>
          <w:sz w:val="32"/>
          <w:szCs w:val="32"/>
          <w:highlight w:val="none"/>
        </w:rPr>
        <w:t xml:space="preserve"> </w:t>
      </w:r>
      <w:r>
        <w:rPr>
          <w:b/>
          <w:bCs/>
          <w:color w:val="auto"/>
          <w:spacing w:val="-4"/>
          <w:sz w:val="32"/>
          <w:szCs w:val="32"/>
          <w:highlight w:val="none"/>
        </w:rPr>
        <w:t>评审方法和标准</w:t>
      </w:r>
    </w:p>
    <w:p w14:paraId="40E91090">
      <w:pPr>
        <w:spacing w:line="347" w:lineRule="auto"/>
        <w:rPr>
          <w:rFonts w:ascii="Arial"/>
          <w:color w:val="auto"/>
          <w:sz w:val="21"/>
          <w:highlight w:val="none"/>
        </w:rPr>
      </w:pPr>
    </w:p>
    <w:p w14:paraId="693FB745">
      <w:pPr>
        <w:pStyle w:val="2"/>
        <w:spacing w:before="78" w:line="219" w:lineRule="auto"/>
        <w:ind w:left="519"/>
        <w:rPr>
          <w:color w:val="auto"/>
          <w:sz w:val="24"/>
          <w:szCs w:val="24"/>
          <w:highlight w:val="none"/>
        </w:rPr>
      </w:pPr>
      <w:r>
        <w:rPr>
          <w:color w:val="auto"/>
          <w:spacing w:val="2"/>
          <w:sz w:val="24"/>
          <w:szCs w:val="24"/>
          <w:highlight w:val="none"/>
        </w:rPr>
        <w:t>本项目将按照磋商文件第一章供应商须知中“五磋商开启及评审</w:t>
      </w:r>
      <w:r>
        <w:rPr>
          <w:color w:val="auto"/>
          <w:spacing w:val="-78"/>
          <w:sz w:val="24"/>
          <w:szCs w:val="24"/>
          <w:highlight w:val="none"/>
        </w:rPr>
        <w:t xml:space="preserve"> </w:t>
      </w:r>
      <w:r>
        <w:rPr>
          <w:color w:val="auto"/>
          <w:spacing w:val="2"/>
          <w:sz w:val="24"/>
          <w:szCs w:val="24"/>
          <w:highlight w:val="none"/>
        </w:rPr>
        <w:t>”、“六</w:t>
      </w:r>
    </w:p>
    <w:p w14:paraId="255741FF">
      <w:pPr>
        <w:pStyle w:val="2"/>
        <w:spacing w:before="75" w:line="219" w:lineRule="auto"/>
        <w:ind w:left="38"/>
        <w:rPr>
          <w:color w:val="auto"/>
          <w:sz w:val="24"/>
          <w:szCs w:val="24"/>
          <w:highlight w:val="none"/>
        </w:rPr>
      </w:pPr>
      <w:r>
        <w:rPr>
          <w:color w:val="auto"/>
          <w:spacing w:val="-3"/>
          <w:sz w:val="24"/>
          <w:szCs w:val="24"/>
          <w:highlight w:val="none"/>
        </w:rPr>
        <w:t>确定成交”及本章的规定评审。</w:t>
      </w:r>
    </w:p>
    <w:p w14:paraId="577DABFC">
      <w:pPr>
        <w:pStyle w:val="2"/>
        <w:spacing w:before="75" w:line="224" w:lineRule="auto"/>
        <w:ind w:left="38"/>
        <w:rPr>
          <w:color w:val="auto"/>
          <w:sz w:val="24"/>
          <w:szCs w:val="24"/>
          <w:highlight w:val="none"/>
        </w:rPr>
      </w:pPr>
      <w:r>
        <w:rPr>
          <w:b/>
          <w:bCs/>
          <w:color w:val="auto"/>
          <w:spacing w:val="-8"/>
          <w:sz w:val="24"/>
          <w:szCs w:val="24"/>
          <w:highlight w:val="none"/>
        </w:rPr>
        <w:t>注：</w:t>
      </w:r>
    </w:p>
    <w:p w14:paraId="6959E76D">
      <w:pPr>
        <w:pStyle w:val="2"/>
        <w:spacing w:before="69" w:line="220" w:lineRule="auto"/>
        <w:ind w:left="56"/>
        <w:outlineLvl w:val="2"/>
        <w:rPr>
          <w:color w:val="auto"/>
          <w:sz w:val="24"/>
          <w:szCs w:val="24"/>
          <w:highlight w:val="none"/>
        </w:rPr>
      </w:pPr>
      <w:r>
        <w:rPr>
          <w:b/>
          <w:bCs/>
          <w:color w:val="auto"/>
          <w:spacing w:val="-5"/>
          <w:sz w:val="24"/>
          <w:szCs w:val="24"/>
          <w:highlight w:val="none"/>
        </w:rPr>
        <w:t>1.磋商无效的情形：</w:t>
      </w:r>
    </w:p>
    <w:p w14:paraId="6E57FBDD">
      <w:pPr>
        <w:pStyle w:val="2"/>
        <w:spacing w:before="74" w:line="248" w:lineRule="auto"/>
        <w:ind w:left="38" w:right="204" w:firstLine="486"/>
        <w:rPr>
          <w:color w:val="auto"/>
          <w:sz w:val="24"/>
          <w:szCs w:val="24"/>
          <w:highlight w:val="none"/>
        </w:rPr>
      </w:pPr>
      <w:r>
        <w:rPr>
          <w:color w:val="auto"/>
          <w:spacing w:val="-6"/>
          <w:sz w:val="24"/>
          <w:szCs w:val="24"/>
          <w:highlight w:val="none"/>
        </w:rPr>
        <w:t>（1）单位负责人为同一人或者存在直接控股、管理关系的不同供</w:t>
      </w:r>
      <w:r>
        <w:rPr>
          <w:color w:val="auto"/>
          <w:spacing w:val="-7"/>
          <w:sz w:val="24"/>
          <w:szCs w:val="24"/>
          <w:highlight w:val="none"/>
        </w:rPr>
        <w:t>应商，</w:t>
      </w:r>
      <w:r>
        <w:rPr>
          <w:color w:val="auto"/>
          <w:spacing w:val="64"/>
          <w:sz w:val="24"/>
          <w:szCs w:val="24"/>
          <w:highlight w:val="none"/>
        </w:rPr>
        <w:t xml:space="preserve"> </w:t>
      </w:r>
      <w:r>
        <w:rPr>
          <w:color w:val="auto"/>
          <w:spacing w:val="-7"/>
          <w:sz w:val="24"/>
          <w:szCs w:val="24"/>
          <w:highlight w:val="none"/>
        </w:rPr>
        <w:t>其</w:t>
      </w:r>
      <w:r>
        <w:rPr>
          <w:color w:val="auto"/>
          <w:sz w:val="24"/>
          <w:szCs w:val="24"/>
          <w:highlight w:val="none"/>
        </w:rPr>
        <w:t xml:space="preserve"> </w:t>
      </w:r>
      <w:r>
        <w:rPr>
          <w:color w:val="auto"/>
          <w:spacing w:val="-3"/>
          <w:sz w:val="24"/>
          <w:szCs w:val="24"/>
          <w:highlight w:val="none"/>
        </w:rPr>
        <w:t>相关磋商将被认定为磋商无效。</w:t>
      </w:r>
    </w:p>
    <w:p w14:paraId="455F029E">
      <w:pPr>
        <w:pStyle w:val="2"/>
        <w:spacing w:before="75" w:line="248" w:lineRule="auto"/>
        <w:ind w:left="58" w:right="219" w:firstLine="466"/>
        <w:rPr>
          <w:color w:val="auto"/>
          <w:sz w:val="24"/>
          <w:szCs w:val="24"/>
          <w:highlight w:val="none"/>
        </w:rPr>
      </w:pPr>
      <w:r>
        <w:rPr>
          <w:color w:val="auto"/>
          <w:spacing w:val="-7"/>
          <w:sz w:val="24"/>
          <w:szCs w:val="24"/>
          <w:highlight w:val="none"/>
        </w:rPr>
        <w:t>（2）若供应商须知资料表中未写明允许采购进口、产品，</w:t>
      </w:r>
      <w:r>
        <w:rPr>
          <w:color w:val="auto"/>
          <w:spacing w:val="78"/>
          <w:sz w:val="24"/>
          <w:szCs w:val="24"/>
          <w:highlight w:val="none"/>
        </w:rPr>
        <w:t xml:space="preserve"> </w:t>
      </w:r>
      <w:r>
        <w:rPr>
          <w:color w:val="auto"/>
          <w:spacing w:val="-7"/>
          <w:sz w:val="24"/>
          <w:szCs w:val="24"/>
          <w:highlight w:val="none"/>
        </w:rPr>
        <w:t>如供应商所投产</w:t>
      </w:r>
      <w:r>
        <w:rPr>
          <w:color w:val="auto"/>
          <w:sz w:val="24"/>
          <w:szCs w:val="24"/>
          <w:highlight w:val="none"/>
        </w:rPr>
        <w:t xml:space="preserve"> </w:t>
      </w:r>
      <w:r>
        <w:rPr>
          <w:color w:val="auto"/>
          <w:spacing w:val="-3"/>
          <w:sz w:val="24"/>
          <w:szCs w:val="24"/>
          <w:highlight w:val="none"/>
        </w:rPr>
        <w:t>品为进口、产品，其磋商将被认定为磋商无效。</w:t>
      </w:r>
    </w:p>
    <w:p w14:paraId="5BD96344">
      <w:pPr>
        <w:pStyle w:val="2"/>
        <w:spacing w:before="74" w:line="258" w:lineRule="auto"/>
        <w:ind w:left="38" w:right="205" w:firstLine="486"/>
        <w:rPr>
          <w:color w:val="auto"/>
          <w:sz w:val="24"/>
          <w:szCs w:val="24"/>
          <w:highlight w:val="none"/>
        </w:rPr>
      </w:pPr>
      <w:r>
        <w:rPr>
          <w:color w:val="auto"/>
          <w:spacing w:val="-1"/>
          <w:sz w:val="24"/>
          <w:szCs w:val="24"/>
          <w:highlight w:val="none"/>
        </w:rPr>
        <w:t>（3）为本项目提供过整体设计、规范编制或者项目管理、监理、检测等服</w:t>
      </w:r>
      <w:r>
        <w:rPr>
          <w:color w:val="auto"/>
          <w:spacing w:val="14"/>
          <w:sz w:val="24"/>
          <w:szCs w:val="24"/>
          <w:highlight w:val="none"/>
        </w:rPr>
        <w:t xml:space="preserve"> </w:t>
      </w:r>
      <w:r>
        <w:rPr>
          <w:color w:val="auto"/>
          <w:spacing w:val="3"/>
          <w:sz w:val="24"/>
          <w:szCs w:val="24"/>
          <w:highlight w:val="none"/>
        </w:rPr>
        <w:t>务的供应商，不得再参加本项目上述服务以外的其他采购活动。否则其磋商将</w:t>
      </w:r>
      <w:r>
        <w:rPr>
          <w:color w:val="auto"/>
          <w:spacing w:val="6"/>
          <w:sz w:val="24"/>
          <w:szCs w:val="24"/>
          <w:highlight w:val="none"/>
        </w:rPr>
        <w:t xml:space="preserve"> </w:t>
      </w:r>
      <w:r>
        <w:rPr>
          <w:color w:val="auto"/>
          <w:spacing w:val="-5"/>
          <w:sz w:val="24"/>
          <w:szCs w:val="24"/>
          <w:highlight w:val="none"/>
        </w:rPr>
        <w:t>被认定为磋商无效。</w:t>
      </w:r>
    </w:p>
    <w:p w14:paraId="5FB33584">
      <w:pPr>
        <w:pStyle w:val="2"/>
        <w:spacing w:before="74" w:line="264" w:lineRule="auto"/>
        <w:ind w:left="43" w:right="205" w:firstLine="475"/>
        <w:rPr>
          <w:color w:val="auto"/>
          <w:sz w:val="24"/>
          <w:szCs w:val="24"/>
          <w:highlight w:val="none"/>
        </w:rPr>
      </w:pPr>
      <w:r>
        <w:rPr>
          <w:color w:val="auto"/>
          <w:spacing w:val="3"/>
          <w:sz w:val="24"/>
          <w:szCs w:val="24"/>
          <w:highlight w:val="none"/>
        </w:rPr>
        <w:t>供应商在磋商过程中不得向采购人提供、给予任何有价值的物品，影响其</w:t>
      </w:r>
      <w:r>
        <w:rPr>
          <w:color w:val="auto"/>
          <w:spacing w:val="11"/>
          <w:sz w:val="24"/>
          <w:szCs w:val="24"/>
          <w:highlight w:val="none"/>
        </w:rPr>
        <w:t xml:space="preserve"> </w:t>
      </w:r>
      <w:r>
        <w:rPr>
          <w:color w:val="auto"/>
          <w:spacing w:val="-2"/>
          <w:sz w:val="24"/>
          <w:szCs w:val="24"/>
          <w:highlight w:val="none"/>
        </w:rPr>
        <w:t>正常决策行为。一经发现，其将被认定为磋商无</w:t>
      </w:r>
      <w:r>
        <w:rPr>
          <w:color w:val="auto"/>
          <w:spacing w:val="-3"/>
          <w:sz w:val="24"/>
          <w:szCs w:val="24"/>
          <w:highlight w:val="none"/>
        </w:rPr>
        <w:t>效。</w:t>
      </w:r>
    </w:p>
    <w:p w14:paraId="1FA28C49">
      <w:pPr>
        <w:pStyle w:val="2"/>
        <w:spacing w:before="35" w:line="248" w:lineRule="auto"/>
        <w:ind w:left="39" w:right="138" w:firstLine="485"/>
        <w:rPr>
          <w:color w:val="auto"/>
          <w:sz w:val="24"/>
          <w:szCs w:val="24"/>
          <w:highlight w:val="none"/>
        </w:rPr>
      </w:pPr>
      <w:r>
        <w:rPr>
          <w:color w:val="auto"/>
          <w:spacing w:val="-6"/>
          <w:sz w:val="24"/>
          <w:szCs w:val="24"/>
          <w:highlight w:val="none"/>
        </w:rPr>
        <w:t>（4）供应商报价超过磋商文件规定的预算金额或者分项、分包最高限价的，</w:t>
      </w:r>
      <w:r>
        <w:rPr>
          <w:color w:val="auto"/>
          <w:spacing w:val="12"/>
          <w:sz w:val="24"/>
          <w:szCs w:val="24"/>
          <w:highlight w:val="none"/>
        </w:rPr>
        <w:t xml:space="preserve"> </w:t>
      </w:r>
      <w:r>
        <w:rPr>
          <w:color w:val="auto"/>
          <w:spacing w:val="-4"/>
          <w:sz w:val="24"/>
          <w:szCs w:val="24"/>
          <w:highlight w:val="none"/>
        </w:rPr>
        <w:t>其磋商将被认定为磋商无效。</w:t>
      </w:r>
    </w:p>
    <w:p w14:paraId="0CF3AC0C">
      <w:pPr>
        <w:pStyle w:val="2"/>
        <w:spacing w:before="74" w:line="258" w:lineRule="auto"/>
        <w:ind w:left="37" w:firstLine="487"/>
        <w:rPr>
          <w:color w:val="auto"/>
          <w:sz w:val="24"/>
          <w:szCs w:val="24"/>
          <w:highlight w:val="none"/>
        </w:rPr>
      </w:pPr>
      <w:r>
        <w:rPr>
          <w:color w:val="auto"/>
          <w:spacing w:val="6"/>
          <w:sz w:val="24"/>
          <w:szCs w:val="24"/>
          <w:highlight w:val="none"/>
        </w:rPr>
        <w:t>（5）供应商应认真阅读磋商文件所有的事项、格</w:t>
      </w:r>
      <w:r>
        <w:rPr>
          <w:color w:val="auto"/>
          <w:spacing w:val="5"/>
          <w:sz w:val="24"/>
          <w:szCs w:val="24"/>
          <w:highlight w:val="none"/>
        </w:rPr>
        <w:t>式、条款和技术规范等。</w:t>
      </w:r>
      <w:r>
        <w:rPr>
          <w:color w:val="auto"/>
          <w:sz w:val="24"/>
          <w:szCs w:val="24"/>
          <w:highlight w:val="none"/>
        </w:rPr>
        <w:t xml:space="preserve"> </w:t>
      </w:r>
      <w:r>
        <w:rPr>
          <w:color w:val="auto"/>
          <w:spacing w:val="3"/>
          <w:sz w:val="24"/>
          <w:szCs w:val="24"/>
          <w:highlight w:val="none"/>
        </w:rPr>
        <w:t xml:space="preserve">如供应商没有按照磋商文件要求提交全部资料，或者响应文件没有对磋商文件  </w:t>
      </w:r>
      <w:r>
        <w:rPr>
          <w:color w:val="auto"/>
          <w:spacing w:val="-2"/>
          <w:sz w:val="24"/>
          <w:szCs w:val="24"/>
          <w:highlight w:val="none"/>
        </w:rPr>
        <w:t>在各方面都做出实质性响应，可能导致其磋商将被认定为磋商无效。</w:t>
      </w:r>
    </w:p>
    <w:p w14:paraId="3B86C378">
      <w:pPr>
        <w:pStyle w:val="2"/>
        <w:spacing w:before="75" w:line="248" w:lineRule="auto"/>
        <w:ind w:left="37" w:right="217" w:firstLine="487"/>
        <w:rPr>
          <w:color w:val="auto"/>
          <w:sz w:val="24"/>
          <w:szCs w:val="24"/>
          <w:highlight w:val="none"/>
        </w:rPr>
      </w:pPr>
      <w:r>
        <w:rPr>
          <w:color w:val="auto"/>
          <w:spacing w:val="-1"/>
          <w:sz w:val="24"/>
          <w:szCs w:val="24"/>
          <w:highlight w:val="none"/>
        </w:rPr>
        <w:t>（6）供应商应当对所投分包磋商文件中“服务需求”所列的所有内容进行</w:t>
      </w:r>
      <w:r>
        <w:rPr>
          <w:color w:val="auto"/>
          <w:spacing w:val="2"/>
          <w:sz w:val="24"/>
          <w:szCs w:val="24"/>
          <w:highlight w:val="none"/>
        </w:rPr>
        <w:t xml:space="preserve"> </w:t>
      </w:r>
      <w:r>
        <w:rPr>
          <w:color w:val="auto"/>
          <w:spacing w:val="-1"/>
          <w:sz w:val="24"/>
          <w:szCs w:val="24"/>
          <w:highlight w:val="none"/>
        </w:rPr>
        <w:t>磋商，如仅响应某一包中的部分内容，其该包磋</w:t>
      </w:r>
      <w:r>
        <w:rPr>
          <w:color w:val="auto"/>
          <w:spacing w:val="-2"/>
          <w:sz w:val="24"/>
          <w:szCs w:val="24"/>
          <w:highlight w:val="none"/>
        </w:rPr>
        <w:t>商将被认定为磋商无效。</w:t>
      </w:r>
    </w:p>
    <w:p w14:paraId="6615137E">
      <w:pPr>
        <w:pStyle w:val="2"/>
        <w:spacing w:before="75" w:line="248" w:lineRule="auto"/>
        <w:ind w:left="48" w:right="204" w:firstLine="476"/>
        <w:rPr>
          <w:color w:val="auto"/>
          <w:sz w:val="24"/>
          <w:szCs w:val="24"/>
          <w:highlight w:val="none"/>
        </w:rPr>
      </w:pPr>
      <w:r>
        <w:rPr>
          <w:color w:val="auto"/>
          <w:spacing w:val="-3"/>
          <w:sz w:val="24"/>
          <w:szCs w:val="24"/>
          <w:highlight w:val="none"/>
        </w:rPr>
        <w:t>（7）供应商未按本须知第</w:t>
      </w:r>
      <w:r>
        <w:rPr>
          <w:color w:val="auto"/>
          <w:spacing w:val="-19"/>
          <w:sz w:val="24"/>
          <w:szCs w:val="24"/>
          <w:highlight w:val="none"/>
        </w:rPr>
        <w:t xml:space="preserve"> </w:t>
      </w:r>
      <w:r>
        <w:rPr>
          <w:color w:val="auto"/>
          <w:spacing w:val="-3"/>
          <w:sz w:val="24"/>
          <w:szCs w:val="24"/>
          <w:highlight w:val="none"/>
        </w:rPr>
        <w:t>12.1</w:t>
      </w:r>
      <w:r>
        <w:rPr>
          <w:color w:val="auto"/>
          <w:spacing w:val="-50"/>
          <w:sz w:val="24"/>
          <w:szCs w:val="24"/>
          <w:highlight w:val="none"/>
        </w:rPr>
        <w:t xml:space="preserve"> </w:t>
      </w:r>
      <w:r>
        <w:rPr>
          <w:color w:val="auto"/>
          <w:spacing w:val="-3"/>
          <w:sz w:val="24"/>
          <w:szCs w:val="24"/>
          <w:highlight w:val="none"/>
        </w:rPr>
        <w:t>和</w:t>
      </w:r>
      <w:r>
        <w:rPr>
          <w:color w:val="auto"/>
          <w:spacing w:val="-33"/>
          <w:sz w:val="24"/>
          <w:szCs w:val="24"/>
          <w:highlight w:val="none"/>
        </w:rPr>
        <w:t xml:space="preserve"> </w:t>
      </w:r>
      <w:r>
        <w:rPr>
          <w:color w:val="auto"/>
          <w:spacing w:val="-3"/>
          <w:sz w:val="24"/>
          <w:szCs w:val="24"/>
          <w:highlight w:val="none"/>
        </w:rPr>
        <w:t>12.3</w:t>
      </w:r>
      <w:r>
        <w:rPr>
          <w:color w:val="auto"/>
          <w:spacing w:val="-48"/>
          <w:sz w:val="24"/>
          <w:szCs w:val="24"/>
          <w:highlight w:val="none"/>
        </w:rPr>
        <w:t xml:space="preserve"> </w:t>
      </w:r>
      <w:r>
        <w:rPr>
          <w:color w:val="auto"/>
          <w:spacing w:val="-3"/>
          <w:sz w:val="24"/>
          <w:szCs w:val="24"/>
          <w:highlight w:val="none"/>
        </w:rPr>
        <w:t>条规定提交磋商保证金的，其磋商</w:t>
      </w:r>
      <w:r>
        <w:rPr>
          <w:color w:val="auto"/>
          <w:sz w:val="24"/>
          <w:szCs w:val="24"/>
          <w:highlight w:val="none"/>
        </w:rPr>
        <w:t xml:space="preserve"> </w:t>
      </w:r>
      <w:r>
        <w:rPr>
          <w:color w:val="auto"/>
          <w:spacing w:val="-5"/>
          <w:sz w:val="24"/>
          <w:szCs w:val="24"/>
          <w:highlight w:val="none"/>
        </w:rPr>
        <w:t>资格将被认定为无效。</w:t>
      </w:r>
    </w:p>
    <w:p w14:paraId="79468FF9">
      <w:pPr>
        <w:pStyle w:val="2"/>
        <w:spacing w:before="74" w:line="258" w:lineRule="auto"/>
        <w:ind w:left="38" w:right="205" w:firstLine="486"/>
        <w:rPr>
          <w:color w:val="auto"/>
          <w:sz w:val="24"/>
          <w:szCs w:val="24"/>
          <w:highlight w:val="none"/>
        </w:rPr>
      </w:pPr>
      <w:r>
        <w:rPr>
          <w:color w:val="auto"/>
          <w:spacing w:val="-1"/>
          <w:sz w:val="24"/>
          <w:szCs w:val="24"/>
          <w:highlight w:val="none"/>
        </w:rPr>
        <w:t>（8）所有磋商均以人民币报价。供应商的磋商报价应遵守《中</w:t>
      </w:r>
      <w:r>
        <w:rPr>
          <w:color w:val="auto"/>
          <w:spacing w:val="-2"/>
          <w:sz w:val="24"/>
          <w:szCs w:val="24"/>
          <w:highlight w:val="none"/>
        </w:rPr>
        <w:t>华人民共和</w:t>
      </w:r>
      <w:r>
        <w:rPr>
          <w:color w:val="auto"/>
          <w:sz w:val="24"/>
          <w:szCs w:val="24"/>
          <w:highlight w:val="none"/>
        </w:rPr>
        <w:t xml:space="preserve"> </w:t>
      </w:r>
      <w:r>
        <w:rPr>
          <w:color w:val="auto"/>
          <w:spacing w:val="3"/>
          <w:sz w:val="24"/>
          <w:szCs w:val="24"/>
          <w:highlight w:val="none"/>
        </w:rPr>
        <w:t>国价格法》。同时，根据《中华人民共和国政府采购法》第二条的规定，为保</w:t>
      </w:r>
      <w:r>
        <w:rPr>
          <w:color w:val="auto"/>
          <w:spacing w:val="6"/>
          <w:sz w:val="24"/>
          <w:szCs w:val="24"/>
          <w:highlight w:val="none"/>
        </w:rPr>
        <w:t xml:space="preserve"> </w:t>
      </w:r>
      <w:r>
        <w:rPr>
          <w:color w:val="auto"/>
          <w:spacing w:val="-1"/>
          <w:sz w:val="24"/>
          <w:szCs w:val="24"/>
          <w:highlight w:val="none"/>
        </w:rPr>
        <w:t>证公平竞争，如有服务主体部分的赠与行为，其磋</w:t>
      </w:r>
      <w:r>
        <w:rPr>
          <w:color w:val="auto"/>
          <w:spacing w:val="-2"/>
          <w:sz w:val="24"/>
          <w:szCs w:val="24"/>
          <w:highlight w:val="none"/>
        </w:rPr>
        <w:t>商将被认定为磋商无效。</w:t>
      </w:r>
    </w:p>
    <w:p w14:paraId="42DBE83F">
      <w:pPr>
        <w:pStyle w:val="2"/>
        <w:spacing w:before="75" w:line="258" w:lineRule="auto"/>
        <w:ind w:left="40" w:right="205" w:firstLine="484"/>
        <w:rPr>
          <w:color w:val="auto"/>
          <w:sz w:val="24"/>
          <w:szCs w:val="24"/>
          <w:highlight w:val="none"/>
        </w:rPr>
      </w:pPr>
      <w:r>
        <w:rPr>
          <w:color w:val="auto"/>
          <w:spacing w:val="-1"/>
          <w:sz w:val="24"/>
          <w:szCs w:val="24"/>
          <w:highlight w:val="none"/>
        </w:rPr>
        <w:t>（9）供应商所报的各分项磋商单价在合同履行过程中是固定不变的，不得</w:t>
      </w:r>
      <w:r>
        <w:rPr>
          <w:color w:val="auto"/>
          <w:spacing w:val="14"/>
          <w:sz w:val="24"/>
          <w:szCs w:val="24"/>
          <w:highlight w:val="none"/>
        </w:rPr>
        <w:t xml:space="preserve"> </w:t>
      </w:r>
      <w:r>
        <w:rPr>
          <w:color w:val="auto"/>
          <w:spacing w:val="3"/>
          <w:sz w:val="24"/>
          <w:szCs w:val="24"/>
          <w:highlight w:val="none"/>
        </w:rPr>
        <w:t>以任何理由予以变更。任何包含价格调整要求的磋商，其磋商将被认定为磋商</w:t>
      </w:r>
      <w:r>
        <w:rPr>
          <w:color w:val="auto"/>
          <w:spacing w:val="4"/>
          <w:sz w:val="24"/>
          <w:szCs w:val="24"/>
          <w:highlight w:val="none"/>
        </w:rPr>
        <w:t xml:space="preserve"> </w:t>
      </w:r>
      <w:r>
        <w:rPr>
          <w:color w:val="auto"/>
          <w:spacing w:val="-11"/>
          <w:sz w:val="24"/>
          <w:szCs w:val="24"/>
          <w:highlight w:val="none"/>
        </w:rPr>
        <w:t>无效。</w:t>
      </w:r>
    </w:p>
    <w:p w14:paraId="202897E9">
      <w:pPr>
        <w:pStyle w:val="2"/>
        <w:spacing w:before="74" w:line="248" w:lineRule="auto"/>
        <w:ind w:left="38" w:right="218" w:firstLine="486"/>
        <w:rPr>
          <w:color w:val="auto"/>
          <w:sz w:val="24"/>
          <w:szCs w:val="24"/>
          <w:highlight w:val="none"/>
        </w:rPr>
      </w:pPr>
      <w:r>
        <w:rPr>
          <w:color w:val="auto"/>
          <w:spacing w:val="3"/>
          <w:sz w:val="24"/>
          <w:szCs w:val="24"/>
          <w:highlight w:val="none"/>
        </w:rPr>
        <w:t>（10）磋商应在供应商须知资料表中规定时间内</w:t>
      </w:r>
      <w:r>
        <w:rPr>
          <w:color w:val="auto"/>
          <w:spacing w:val="2"/>
          <w:sz w:val="24"/>
          <w:szCs w:val="24"/>
          <w:highlight w:val="none"/>
        </w:rPr>
        <w:t>保持有效。磋商有效期不</w:t>
      </w:r>
      <w:r>
        <w:rPr>
          <w:color w:val="auto"/>
          <w:sz w:val="24"/>
          <w:szCs w:val="24"/>
          <w:highlight w:val="none"/>
        </w:rPr>
        <w:t xml:space="preserve"> </w:t>
      </w:r>
      <w:r>
        <w:rPr>
          <w:color w:val="auto"/>
          <w:spacing w:val="-2"/>
          <w:sz w:val="24"/>
          <w:szCs w:val="24"/>
          <w:highlight w:val="none"/>
        </w:rPr>
        <w:t>满足要求的磋商，其磋商将被认定为磋商无</w:t>
      </w:r>
      <w:r>
        <w:rPr>
          <w:color w:val="auto"/>
          <w:spacing w:val="-3"/>
          <w:sz w:val="24"/>
          <w:szCs w:val="24"/>
          <w:highlight w:val="none"/>
        </w:rPr>
        <w:t>效。</w:t>
      </w:r>
    </w:p>
    <w:p w14:paraId="66850FB6">
      <w:pPr>
        <w:pStyle w:val="2"/>
        <w:spacing w:before="75" w:line="258" w:lineRule="auto"/>
        <w:ind w:left="44" w:right="205" w:firstLine="480"/>
        <w:rPr>
          <w:color w:val="auto"/>
          <w:sz w:val="24"/>
          <w:szCs w:val="24"/>
          <w:highlight w:val="none"/>
        </w:rPr>
      </w:pPr>
      <w:r>
        <w:rPr>
          <w:color w:val="auto"/>
          <w:sz w:val="24"/>
          <w:szCs w:val="24"/>
          <w:highlight w:val="none"/>
        </w:rPr>
        <w:t>（11）采购人或采购代理机构将在磋商前</w:t>
      </w:r>
      <w:r>
        <w:rPr>
          <w:color w:val="auto"/>
          <w:spacing w:val="-23"/>
          <w:sz w:val="24"/>
          <w:szCs w:val="24"/>
          <w:highlight w:val="none"/>
        </w:rPr>
        <w:t xml:space="preserve"> </w:t>
      </w:r>
      <w:r>
        <w:rPr>
          <w:color w:val="auto"/>
          <w:sz w:val="24"/>
          <w:szCs w:val="24"/>
          <w:highlight w:val="none"/>
        </w:rPr>
        <w:t>1</w:t>
      </w:r>
      <w:r>
        <w:rPr>
          <w:color w:val="auto"/>
          <w:spacing w:val="-47"/>
          <w:sz w:val="24"/>
          <w:szCs w:val="24"/>
          <w:highlight w:val="none"/>
        </w:rPr>
        <w:t xml:space="preserve"> </w:t>
      </w:r>
      <w:r>
        <w:rPr>
          <w:color w:val="auto"/>
          <w:sz w:val="24"/>
          <w:szCs w:val="24"/>
          <w:highlight w:val="none"/>
        </w:rPr>
        <w:t>个工作日至磋商截止后</w:t>
      </w:r>
      <w:r>
        <w:rPr>
          <w:color w:val="auto"/>
          <w:spacing w:val="-29"/>
          <w:sz w:val="24"/>
          <w:szCs w:val="24"/>
          <w:highlight w:val="none"/>
        </w:rPr>
        <w:t xml:space="preserve"> </w:t>
      </w:r>
      <w:r>
        <w:rPr>
          <w:color w:val="auto"/>
          <w:sz w:val="24"/>
          <w:szCs w:val="24"/>
          <w:highlight w:val="none"/>
        </w:rPr>
        <w:t>1</w:t>
      </w:r>
      <w:r>
        <w:rPr>
          <w:color w:val="auto"/>
          <w:spacing w:val="-40"/>
          <w:sz w:val="24"/>
          <w:szCs w:val="24"/>
          <w:highlight w:val="none"/>
        </w:rPr>
        <w:t xml:space="preserve"> </w:t>
      </w:r>
      <w:r>
        <w:rPr>
          <w:color w:val="auto"/>
          <w:sz w:val="24"/>
          <w:szCs w:val="24"/>
          <w:highlight w:val="none"/>
        </w:rPr>
        <w:t xml:space="preserve">小时 </w:t>
      </w:r>
      <w:r>
        <w:rPr>
          <w:color w:val="auto"/>
          <w:spacing w:val="3"/>
          <w:sz w:val="24"/>
          <w:szCs w:val="24"/>
          <w:highlight w:val="none"/>
        </w:rPr>
        <w:t>的期间内查询供应商的信用记录。供应商存在不良信用记录的，其磋商将被认</w:t>
      </w:r>
      <w:r>
        <w:rPr>
          <w:color w:val="auto"/>
          <w:sz w:val="24"/>
          <w:szCs w:val="24"/>
          <w:highlight w:val="none"/>
        </w:rPr>
        <w:t xml:space="preserve"> </w:t>
      </w:r>
      <w:r>
        <w:rPr>
          <w:color w:val="auto"/>
          <w:spacing w:val="-7"/>
          <w:sz w:val="24"/>
          <w:szCs w:val="24"/>
          <w:highlight w:val="none"/>
        </w:rPr>
        <w:t>定为磋商无效。</w:t>
      </w:r>
    </w:p>
    <w:p w14:paraId="4E097DA6">
      <w:pPr>
        <w:pStyle w:val="2"/>
        <w:spacing w:before="72" w:line="248" w:lineRule="auto"/>
        <w:ind w:left="61" w:right="240" w:firstLine="462"/>
        <w:rPr>
          <w:color w:val="auto"/>
          <w:sz w:val="24"/>
          <w:szCs w:val="24"/>
          <w:highlight w:val="none"/>
        </w:rPr>
      </w:pPr>
      <w:r>
        <w:rPr>
          <w:color w:val="auto"/>
          <w:spacing w:val="2"/>
          <w:sz w:val="24"/>
          <w:szCs w:val="24"/>
          <w:highlight w:val="none"/>
        </w:rPr>
        <w:t>（12）总价金额与按单价汇总金额不一致的，以单价金额计算结果为准。</w:t>
      </w:r>
      <w:r>
        <w:rPr>
          <w:color w:val="auto"/>
          <w:sz w:val="24"/>
          <w:szCs w:val="24"/>
          <w:highlight w:val="none"/>
        </w:rPr>
        <w:t xml:space="preserve"> </w:t>
      </w:r>
      <w:r>
        <w:rPr>
          <w:color w:val="auto"/>
          <w:spacing w:val="1"/>
          <w:sz w:val="24"/>
          <w:szCs w:val="24"/>
          <w:highlight w:val="none"/>
        </w:rPr>
        <w:t>同时出现两种以上不一致的，按照前款规定的顺序修正</w:t>
      </w:r>
      <w:r>
        <w:rPr>
          <w:color w:val="auto"/>
          <w:sz w:val="24"/>
          <w:szCs w:val="24"/>
          <w:highlight w:val="none"/>
        </w:rPr>
        <w:t>。修正后的报价按照第</w:t>
      </w:r>
    </w:p>
    <w:p w14:paraId="1DBC704B">
      <w:pPr>
        <w:spacing w:line="300" w:lineRule="auto"/>
        <w:rPr>
          <w:rFonts w:ascii="Arial"/>
          <w:color w:val="auto"/>
          <w:sz w:val="21"/>
          <w:highlight w:val="none"/>
        </w:rPr>
      </w:pPr>
    </w:p>
    <w:p w14:paraId="11143E87">
      <w:pPr>
        <w:spacing w:line="300" w:lineRule="auto"/>
        <w:rPr>
          <w:rFonts w:ascii="Arial"/>
          <w:color w:val="auto"/>
          <w:sz w:val="21"/>
          <w:highlight w:val="none"/>
        </w:rPr>
      </w:pPr>
    </w:p>
    <w:p w14:paraId="69C6A4A5">
      <w:pPr>
        <w:spacing w:line="181" w:lineRule="auto"/>
        <w:rPr>
          <w:color w:val="auto"/>
          <w:sz w:val="18"/>
          <w:szCs w:val="18"/>
          <w:highlight w:val="none"/>
        </w:rPr>
        <w:sectPr>
          <w:footerReference r:id="rId34" w:type="default"/>
          <w:pgSz w:w="11907" w:h="16840"/>
          <w:pgMar w:top="1134" w:right="1608" w:bottom="1417" w:left="1785" w:header="0" w:footer="0" w:gutter="0"/>
          <w:pgNumType w:fmt="decimal"/>
          <w:cols w:space="720" w:num="1"/>
        </w:sectPr>
      </w:pPr>
    </w:p>
    <w:p w14:paraId="66C63682">
      <w:pPr>
        <w:pStyle w:val="2"/>
        <w:spacing w:before="78" w:line="249" w:lineRule="auto"/>
        <w:ind w:left="41" w:right="186"/>
        <w:rPr>
          <w:color w:val="auto"/>
          <w:sz w:val="24"/>
          <w:szCs w:val="24"/>
          <w:highlight w:val="none"/>
        </w:rPr>
      </w:pPr>
      <w:r>
        <w:rPr>
          <w:color w:val="auto"/>
          <w:spacing w:val="1"/>
          <w:sz w:val="24"/>
          <w:szCs w:val="24"/>
          <w:highlight w:val="none"/>
        </w:rPr>
        <w:t>20.2</w:t>
      </w:r>
      <w:r>
        <w:rPr>
          <w:color w:val="auto"/>
          <w:spacing w:val="-45"/>
          <w:sz w:val="24"/>
          <w:szCs w:val="24"/>
          <w:highlight w:val="none"/>
        </w:rPr>
        <w:t xml:space="preserve"> </w:t>
      </w:r>
      <w:r>
        <w:rPr>
          <w:color w:val="auto"/>
          <w:spacing w:val="1"/>
          <w:sz w:val="24"/>
          <w:szCs w:val="24"/>
          <w:highlight w:val="none"/>
        </w:rPr>
        <w:t>条的规定经供应商确认后产生约束力，供应商不确认的，其</w:t>
      </w:r>
      <w:r>
        <w:rPr>
          <w:color w:val="auto"/>
          <w:sz w:val="24"/>
          <w:szCs w:val="24"/>
          <w:highlight w:val="none"/>
        </w:rPr>
        <w:t xml:space="preserve">磋商将被认定 </w:t>
      </w:r>
      <w:r>
        <w:rPr>
          <w:color w:val="auto"/>
          <w:spacing w:val="-7"/>
          <w:sz w:val="24"/>
          <w:szCs w:val="24"/>
          <w:highlight w:val="none"/>
        </w:rPr>
        <w:t>为磋商无效。</w:t>
      </w:r>
    </w:p>
    <w:p w14:paraId="51D38A7F">
      <w:pPr>
        <w:pStyle w:val="2"/>
        <w:spacing w:before="71" w:line="263" w:lineRule="auto"/>
        <w:ind w:left="36" w:firstLine="488"/>
        <w:rPr>
          <w:rFonts w:hint="eastAsia" w:eastAsia="宋体"/>
          <w:color w:val="auto"/>
          <w:sz w:val="24"/>
          <w:szCs w:val="24"/>
          <w:highlight w:val="none"/>
          <w:lang w:eastAsia="zh-CN"/>
        </w:rPr>
      </w:pPr>
      <w:r>
        <w:rPr>
          <w:color w:val="auto"/>
          <w:spacing w:val="3"/>
          <w:sz w:val="24"/>
          <w:szCs w:val="24"/>
          <w:highlight w:val="none"/>
        </w:rPr>
        <w:t>（13）在比较与评价之前，根据本须知的规定，磋商小组要审查每份响应</w:t>
      </w:r>
      <w:r>
        <w:rPr>
          <w:color w:val="auto"/>
          <w:spacing w:val="1"/>
          <w:sz w:val="24"/>
          <w:szCs w:val="24"/>
          <w:highlight w:val="none"/>
        </w:rPr>
        <w:t xml:space="preserve">  </w:t>
      </w:r>
      <w:r>
        <w:rPr>
          <w:color w:val="auto"/>
          <w:spacing w:val="3"/>
          <w:sz w:val="24"/>
          <w:szCs w:val="24"/>
          <w:highlight w:val="none"/>
        </w:rPr>
        <w:t>文件是否实质上响应了磋商文件的要求。实质上响应的磋商应该是与磋商文件</w:t>
      </w:r>
      <w:r>
        <w:rPr>
          <w:color w:val="auto"/>
          <w:spacing w:val="4"/>
          <w:sz w:val="24"/>
          <w:szCs w:val="24"/>
          <w:highlight w:val="none"/>
        </w:rPr>
        <w:t xml:space="preserve">  </w:t>
      </w:r>
      <w:r>
        <w:rPr>
          <w:color w:val="auto"/>
          <w:spacing w:val="2"/>
          <w:sz w:val="24"/>
          <w:szCs w:val="24"/>
          <w:highlight w:val="none"/>
        </w:rPr>
        <w:t>要求的全部条款、条件和规格相符，没有重大偏离</w:t>
      </w:r>
      <w:r>
        <w:rPr>
          <w:color w:val="auto"/>
          <w:spacing w:val="1"/>
          <w:sz w:val="24"/>
          <w:szCs w:val="24"/>
          <w:highlight w:val="none"/>
        </w:rPr>
        <w:t>的磋商。对关键条款的偏离，</w:t>
      </w:r>
      <w:r>
        <w:rPr>
          <w:color w:val="auto"/>
          <w:sz w:val="24"/>
          <w:szCs w:val="24"/>
          <w:highlight w:val="none"/>
        </w:rPr>
        <w:t xml:space="preserve"> </w:t>
      </w:r>
      <w:r>
        <w:rPr>
          <w:color w:val="auto"/>
          <w:spacing w:val="-4"/>
          <w:sz w:val="24"/>
          <w:szCs w:val="24"/>
          <w:highlight w:val="none"/>
        </w:rPr>
        <w:t>将被认定为磋商无效</w:t>
      </w:r>
      <w:r>
        <w:rPr>
          <w:rFonts w:hint="eastAsia"/>
          <w:color w:val="auto"/>
          <w:spacing w:val="-4"/>
          <w:sz w:val="24"/>
          <w:szCs w:val="24"/>
          <w:highlight w:val="none"/>
          <w:lang w:eastAsia="zh-CN"/>
        </w:rPr>
        <w:t>，</w:t>
      </w:r>
    </w:p>
    <w:p w14:paraId="67A8956F">
      <w:pPr>
        <w:pStyle w:val="2"/>
        <w:spacing w:before="74" w:line="220" w:lineRule="auto"/>
        <w:ind w:left="524"/>
        <w:rPr>
          <w:color w:val="auto"/>
          <w:sz w:val="24"/>
          <w:szCs w:val="24"/>
          <w:highlight w:val="none"/>
        </w:rPr>
      </w:pPr>
      <w:r>
        <w:rPr>
          <w:color w:val="auto"/>
          <w:spacing w:val="-3"/>
          <w:sz w:val="24"/>
          <w:szCs w:val="24"/>
          <w:highlight w:val="none"/>
        </w:rPr>
        <w:t>（14）如发现下列情况之一的，其磋商将被认定为磋商无效：</w:t>
      </w:r>
    </w:p>
    <w:p w14:paraId="0E09E37F">
      <w:pPr>
        <w:pStyle w:val="2"/>
        <w:spacing w:before="77" w:line="272" w:lineRule="auto"/>
        <w:ind w:left="37" w:right="101" w:firstLine="484"/>
        <w:rPr>
          <w:color w:val="auto"/>
          <w:sz w:val="24"/>
          <w:szCs w:val="24"/>
          <w:highlight w:val="none"/>
        </w:rPr>
      </w:pPr>
      <w:r>
        <w:rPr>
          <w:color w:val="auto"/>
          <w:spacing w:val="3"/>
          <w:sz w:val="24"/>
          <w:szCs w:val="24"/>
          <w:highlight w:val="none"/>
        </w:rPr>
        <w:t>未按磋商文件规定的形式和金额提交磋商保证金的；未按照磋商文件规定</w:t>
      </w:r>
      <w:r>
        <w:rPr>
          <w:color w:val="auto"/>
          <w:spacing w:val="8"/>
          <w:sz w:val="24"/>
          <w:szCs w:val="24"/>
          <w:highlight w:val="none"/>
        </w:rPr>
        <w:t xml:space="preserve"> </w:t>
      </w:r>
      <w:r>
        <w:rPr>
          <w:color w:val="auto"/>
          <w:spacing w:val="3"/>
          <w:sz w:val="24"/>
          <w:szCs w:val="24"/>
          <w:highlight w:val="none"/>
        </w:rPr>
        <w:t>要求签署、盖章的；未满足磋商文件中技术条款的实质性要求；与其他供应商</w:t>
      </w:r>
      <w:r>
        <w:rPr>
          <w:color w:val="auto"/>
          <w:spacing w:val="7"/>
          <w:sz w:val="24"/>
          <w:szCs w:val="24"/>
          <w:highlight w:val="none"/>
        </w:rPr>
        <w:t xml:space="preserve"> </w:t>
      </w:r>
      <w:r>
        <w:rPr>
          <w:color w:val="auto"/>
          <w:spacing w:val="3"/>
          <w:sz w:val="24"/>
          <w:szCs w:val="24"/>
          <w:highlight w:val="none"/>
        </w:rPr>
        <w:t>串通磋商，或者与采购人串通磋商；属于磋商文件规定的其他磋商无效情形； 磋商小组认为供应商的报价明显低于其他通过符合性检查供应商的报价，有可</w:t>
      </w:r>
      <w:r>
        <w:rPr>
          <w:color w:val="auto"/>
          <w:spacing w:val="7"/>
          <w:sz w:val="24"/>
          <w:szCs w:val="24"/>
          <w:highlight w:val="none"/>
        </w:rPr>
        <w:t xml:space="preserve"> </w:t>
      </w:r>
      <w:r>
        <w:rPr>
          <w:color w:val="auto"/>
          <w:spacing w:val="3"/>
          <w:sz w:val="24"/>
          <w:szCs w:val="24"/>
          <w:highlight w:val="none"/>
        </w:rPr>
        <w:t>能影响履约的，且供应商未按照规定证明其报价合理性的；响应文件含有采购</w:t>
      </w:r>
      <w:r>
        <w:rPr>
          <w:color w:val="auto"/>
          <w:spacing w:val="7"/>
          <w:sz w:val="24"/>
          <w:szCs w:val="24"/>
          <w:highlight w:val="none"/>
        </w:rPr>
        <w:t xml:space="preserve"> </w:t>
      </w:r>
      <w:r>
        <w:rPr>
          <w:color w:val="auto"/>
          <w:spacing w:val="-1"/>
          <w:sz w:val="24"/>
          <w:szCs w:val="24"/>
          <w:highlight w:val="none"/>
        </w:rPr>
        <w:t>人不能接受的附加条件的；不符合法规和磋商文件中规</w:t>
      </w:r>
      <w:r>
        <w:rPr>
          <w:color w:val="auto"/>
          <w:spacing w:val="-2"/>
          <w:sz w:val="24"/>
          <w:szCs w:val="24"/>
          <w:highlight w:val="none"/>
        </w:rPr>
        <w:t>定的其他实质性要求的。</w:t>
      </w:r>
    </w:p>
    <w:p w14:paraId="011C835A">
      <w:pPr>
        <w:pStyle w:val="2"/>
        <w:keepNext w:val="0"/>
        <w:keepLines w:val="0"/>
        <w:pageBreakBefore w:val="0"/>
        <w:widowControl w:val="0"/>
        <w:kinsoku/>
        <w:wordWrap/>
        <w:overflowPunct/>
        <w:topLinePunct w:val="0"/>
        <w:autoSpaceDE/>
        <w:autoSpaceDN/>
        <w:bidi w:val="0"/>
        <w:adjustRightInd w:val="0"/>
        <w:snapToGrid w:val="0"/>
        <w:spacing w:before="0" w:line="312" w:lineRule="auto"/>
        <w:ind w:left="0" w:leftChars="0" w:firstLine="474" w:firstLineChars="200"/>
        <w:textAlignment w:val="auto"/>
        <w:rPr>
          <w:rFonts w:hint="eastAsia" w:ascii="微软雅黑" w:hAnsi="微软雅黑" w:eastAsia="微软雅黑" w:cs="微软雅黑"/>
          <w:b w:val="0"/>
          <w:bCs/>
          <w:color w:val="auto"/>
          <w:sz w:val="22"/>
          <w:szCs w:val="22"/>
          <w:highlight w:val="none"/>
          <w:lang w:val="en-US" w:eastAsia="zh-CN"/>
        </w:rPr>
      </w:pPr>
      <w:r>
        <w:rPr>
          <w:b/>
          <w:bCs/>
          <w:color w:val="auto"/>
          <w:spacing w:val="-2"/>
          <w:sz w:val="24"/>
          <w:szCs w:val="24"/>
          <w:highlight w:val="none"/>
        </w:rPr>
        <w:t>2.</w:t>
      </w:r>
      <w:r>
        <w:rPr>
          <w:color w:val="auto"/>
          <w:spacing w:val="-39"/>
          <w:sz w:val="24"/>
          <w:szCs w:val="24"/>
          <w:highlight w:val="none"/>
        </w:rPr>
        <w:t xml:space="preserve"> </w:t>
      </w:r>
      <w:r>
        <w:rPr>
          <w:rFonts w:hint="eastAsia" w:ascii="微软雅黑" w:hAnsi="微软雅黑" w:eastAsia="微软雅黑" w:cs="微软雅黑"/>
          <w:b w:val="0"/>
          <w:bCs/>
          <w:color w:val="auto"/>
          <w:sz w:val="22"/>
          <w:szCs w:val="22"/>
          <w:highlight w:val="none"/>
          <w:lang w:val="en-US" w:eastAsia="zh-CN"/>
        </w:rPr>
        <w:t xml:space="preserve">1. </w:t>
      </w:r>
      <w:r>
        <w:rPr>
          <w:rFonts w:hint="eastAsia" w:ascii="微软雅黑" w:hAnsi="微软雅黑" w:eastAsia="微软雅黑" w:cs="微软雅黑"/>
          <w:b w:val="0"/>
          <w:bCs w:val="0"/>
          <w:color w:val="auto"/>
          <w:kern w:val="2"/>
          <w:sz w:val="22"/>
          <w:szCs w:val="22"/>
          <w:highlight w:val="none"/>
          <w:lang w:val="en-US" w:eastAsia="zh-CN" w:bidi="ar-SA"/>
        </w:rPr>
        <w:t>本项目根据《政府采购促进中小企业发展管理办法》（财库[2020]46 号）、关于进一步加大政府采购支持中小企业力度的通知财库〔2022〕19号，《财政部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号）的规定，对满足价格扣除条件且在投标文件中提交了《中小企业声明函》或省级以上监狱管理局、戒毒管理局（含新疆生产建设兵团）出具的属于监狱企业的证明文件的投标人，其投标报价扣除</w:t>
      </w:r>
      <w:r>
        <w:rPr>
          <w:rFonts w:hint="eastAsia" w:ascii="微软雅黑" w:hAnsi="微软雅黑" w:eastAsia="微软雅黑" w:cs="微软雅黑"/>
          <w:b w:val="0"/>
          <w:bCs w:val="0"/>
          <w:color w:val="auto"/>
          <w:kern w:val="2"/>
          <w:sz w:val="22"/>
          <w:szCs w:val="22"/>
          <w:highlight w:val="none"/>
          <w:u w:val="single"/>
          <w:lang w:val="en-US" w:eastAsia="zh-CN" w:bidi="ar-SA"/>
        </w:rPr>
        <w:t xml:space="preserve">   % </w:t>
      </w:r>
      <w:r>
        <w:rPr>
          <w:rFonts w:hint="eastAsia" w:ascii="微软雅黑" w:hAnsi="微软雅黑" w:eastAsia="微软雅黑" w:cs="微软雅黑"/>
          <w:b w:val="0"/>
          <w:bCs w:val="0"/>
          <w:color w:val="auto"/>
          <w:kern w:val="2"/>
          <w:sz w:val="22"/>
          <w:szCs w:val="22"/>
          <w:highlight w:val="none"/>
          <w:lang w:val="en-US" w:eastAsia="zh-CN" w:bidi="ar-SA"/>
        </w:rPr>
        <w:t>后参与评审。对于同时属于小微企业、监狱企业或残疾人福利性单位的，不重复进行投标报价扣除。</w:t>
      </w:r>
      <w:r>
        <w:rPr>
          <w:rFonts w:hint="eastAsia" w:ascii="微软雅黑" w:hAnsi="微软雅黑" w:eastAsia="微软雅黑" w:cs="微软雅黑"/>
          <w:b w:val="0"/>
          <w:bCs/>
          <w:color w:val="auto"/>
          <w:sz w:val="22"/>
          <w:szCs w:val="22"/>
          <w:highlight w:val="none"/>
          <w:lang w:val="en-US" w:eastAsia="zh-CN"/>
        </w:rPr>
        <w:t>具体办法详见招标文件第 6 章。</w:t>
      </w:r>
    </w:p>
    <w:p w14:paraId="47A9CBB6">
      <w:pPr>
        <w:pStyle w:val="2"/>
        <w:spacing w:before="1" w:line="298" w:lineRule="auto"/>
        <w:ind w:left="37" w:right="187"/>
        <w:rPr>
          <w:sz w:val="24"/>
          <w:szCs w:val="24"/>
          <w:highlight w:val="none"/>
        </w:rPr>
      </w:pPr>
      <w:r>
        <w:rPr>
          <w:b/>
          <w:bCs/>
          <w:color w:val="auto"/>
          <w:spacing w:val="1"/>
          <w:sz w:val="24"/>
          <w:szCs w:val="24"/>
          <w:highlight w:val="none"/>
        </w:rPr>
        <w:t>注：投标人为中小企业的，</w:t>
      </w:r>
      <w:r>
        <w:rPr>
          <w:b/>
          <w:bCs/>
          <w:spacing w:val="1"/>
          <w:sz w:val="24"/>
          <w:szCs w:val="24"/>
          <w:highlight w:val="none"/>
        </w:rPr>
        <w:t>须提供《中小企业声</w:t>
      </w:r>
      <w:r>
        <w:rPr>
          <w:b/>
          <w:bCs/>
          <w:sz w:val="24"/>
          <w:szCs w:val="24"/>
          <w:highlight w:val="none"/>
        </w:rPr>
        <w:t>明函（服务）》方可享受优惠</w:t>
      </w:r>
      <w:r>
        <w:rPr>
          <w:b/>
          <w:bCs/>
          <w:spacing w:val="-5"/>
          <w:sz w:val="24"/>
          <w:szCs w:val="24"/>
          <w:highlight w:val="none"/>
        </w:rPr>
        <w:t>政策。</w:t>
      </w:r>
    </w:p>
    <w:p w14:paraId="68BBBA6E">
      <w:pPr>
        <w:pStyle w:val="2"/>
        <w:spacing w:before="1" w:line="298" w:lineRule="auto"/>
        <w:ind w:left="37" w:right="187"/>
        <w:rPr>
          <w:color w:val="auto"/>
          <w:sz w:val="24"/>
          <w:szCs w:val="24"/>
          <w:highlight w:val="none"/>
        </w:rPr>
      </w:pPr>
    </w:p>
    <w:p w14:paraId="6E6541EF">
      <w:pPr>
        <w:pStyle w:val="2"/>
        <w:spacing w:before="77" w:line="263" w:lineRule="auto"/>
        <w:ind w:left="40" w:right="134" w:firstLine="2"/>
        <w:rPr>
          <w:color w:val="auto"/>
          <w:sz w:val="24"/>
          <w:szCs w:val="24"/>
          <w:highlight w:val="none"/>
        </w:rPr>
      </w:pPr>
      <w:r>
        <w:rPr>
          <w:color w:val="auto"/>
          <w:sz w:val="24"/>
          <w:szCs w:val="24"/>
          <w:highlight w:val="none"/>
        </w:rPr>
        <w:t>3.联合协议中约定，小型、微型企业和监</w:t>
      </w:r>
      <w:r>
        <w:rPr>
          <w:color w:val="auto"/>
          <w:spacing w:val="-1"/>
          <w:sz w:val="24"/>
          <w:szCs w:val="24"/>
          <w:highlight w:val="none"/>
        </w:rPr>
        <w:t>狱企业的协议合同金额占到联合体协</w:t>
      </w:r>
      <w:r>
        <w:rPr>
          <w:color w:val="auto"/>
          <w:sz w:val="24"/>
          <w:szCs w:val="24"/>
          <w:highlight w:val="none"/>
        </w:rPr>
        <w:t xml:space="preserve">  </w:t>
      </w:r>
      <w:r>
        <w:rPr>
          <w:color w:val="auto"/>
          <w:spacing w:val="-1"/>
          <w:sz w:val="24"/>
          <w:szCs w:val="24"/>
          <w:highlight w:val="none"/>
        </w:rPr>
        <w:t>议合同总金额</w:t>
      </w:r>
      <w:r>
        <w:rPr>
          <w:color w:val="auto"/>
          <w:spacing w:val="-46"/>
          <w:sz w:val="24"/>
          <w:szCs w:val="24"/>
          <w:highlight w:val="none"/>
        </w:rPr>
        <w:t xml:space="preserve"> </w:t>
      </w:r>
      <w:r>
        <w:rPr>
          <w:color w:val="auto"/>
          <w:spacing w:val="-1"/>
          <w:sz w:val="24"/>
          <w:szCs w:val="24"/>
          <w:highlight w:val="none"/>
        </w:rPr>
        <w:t>30%以上的，可给予联合体</w:t>
      </w:r>
      <w:r>
        <w:rPr>
          <w:color w:val="auto"/>
          <w:spacing w:val="-1"/>
          <w:sz w:val="24"/>
          <w:szCs w:val="24"/>
          <w:highlight w:val="none"/>
          <w:u w:val="single" w:color="auto"/>
        </w:rPr>
        <w:t xml:space="preserve"> 2%</w:t>
      </w:r>
      <w:r>
        <w:rPr>
          <w:color w:val="auto"/>
          <w:spacing w:val="-2"/>
          <w:sz w:val="24"/>
          <w:szCs w:val="24"/>
          <w:highlight w:val="none"/>
          <w:u w:val="single" w:color="auto"/>
        </w:rPr>
        <w:t>-3</w:t>
      </w:r>
      <w:r>
        <w:rPr>
          <w:color w:val="auto"/>
          <w:spacing w:val="-2"/>
          <w:sz w:val="24"/>
          <w:szCs w:val="24"/>
          <w:highlight w:val="none"/>
        </w:rPr>
        <w:t>%的价格扣除。</w:t>
      </w:r>
      <w:r>
        <w:rPr>
          <w:b/>
          <w:bCs/>
          <w:color w:val="auto"/>
          <w:spacing w:val="-2"/>
          <w:sz w:val="24"/>
          <w:szCs w:val="24"/>
          <w:highlight w:val="none"/>
        </w:rPr>
        <w:t>（本项目不适用）</w:t>
      </w:r>
    </w:p>
    <w:p w14:paraId="156782FA">
      <w:pPr>
        <w:pStyle w:val="2"/>
        <w:spacing w:before="37" w:line="264" w:lineRule="auto"/>
        <w:ind w:left="42" w:right="305" w:firstLine="477"/>
        <w:rPr>
          <w:color w:val="auto"/>
          <w:sz w:val="24"/>
          <w:szCs w:val="24"/>
          <w:highlight w:val="none"/>
        </w:rPr>
      </w:pPr>
      <w:r>
        <w:rPr>
          <w:color w:val="auto"/>
          <w:sz w:val="24"/>
          <w:szCs w:val="24"/>
          <w:highlight w:val="none"/>
        </w:rPr>
        <w:t>联合体各方均为小型、微型企业和监狱企业的</w:t>
      </w:r>
      <w:r>
        <w:rPr>
          <w:color w:val="auto"/>
          <w:spacing w:val="-1"/>
          <w:sz w:val="24"/>
          <w:szCs w:val="24"/>
          <w:highlight w:val="none"/>
        </w:rPr>
        <w:t>，联合体视同为小型、微型</w:t>
      </w:r>
      <w:r>
        <w:rPr>
          <w:color w:val="auto"/>
          <w:sz w:val="24"/>
          <w:szCs w:val="24"/>
          <w:highlight w:val="none"/>
        </w:rPr>
        <w:t xml:space="preserve"> </w:t>
      </w:r>
      <w:r>
        <w:rPr>
          <w:color w:val="auto"/>
          <w:spacing w:val="-6"/>
          <w:sz w:val="24"/>
          <w:szCs w:val="24"/>
          <w:highlight w:val="none"/>
        </w:rPr>
        <w:t>企业和监狱企业。</w:t>
      </w:r>
    </w:p>
    <w:p w14:paraId="233C7A9F">
      <w:pPr>
        <w:pStyle w:val="2"/>
        <w:tabs>
          <w:tab w:val="left" w:pos="158"/>
        </w:tabs>
        <w:spacing w:before="37" w:line="272" w:lineRule="auto"/>
        <w:ind w:left="28" w:right="186" w:firstLine="8"/>
        <w:jc w:val="both"/>
        <w:rPr>
          <w:color w:val="auto"/>
          <w:sz w:val="24"/>
          <w:szCs w:val="24"/>
          <w:highlight w:val="none"/>
        </w:rPr>
      </w:pPr>
      <w:r>
        <w:rPr>
          <w:color w:val="auto"/>
          <w:spacing w:val="3"/>
          <w:sz w:val="24"/>
          <w:szCs w:val="24"/>
          <w:highlight w:val="none"/>
        </w:rPr>
        <w:t>4.供应商为提供货物在磋商中伴随磋商的产品如被列入财政部与国家主管部门</w:t>
      </w:r>
      <w:r>
        <w:rPr>
          <w:color w:val="auto"/>
          <w:spacing w:val="4"/>
          <w:sz w:val="24"/>
          <w:szCs w:val="24"/>
          <w:highlight w:val="none"/>
        </w:rPr>
        <w:t xml:space="preserve"> </w:t>
      </w:r>
      <w:r>
        <w:rPr>
          <w:color w:val="auto"/>
          <w:spacing w:val="3"/>
          <w:sz w:val="24"/>
          <w:szCs w:val="24"/>
          <w:highlight w:val="none"/>
        </w:rPr>
        <w:t>颁发的节能产品目录或环境标志产品目录或无线局域网产品目录，应提供相关</w:t>
      </w:r>
      <w:r>
        <w:rPr>
          <w:color w:val="auto"/>
          <w:spacing w:val="15"/>
          <w:sz w:val="24"/>
          <w:szCs w:val="24"/>
          <w:highlight w:val="none"/>
        </w:rPr>
        <w:t xml:space="preserve"> </w:t>
      </w:r>
      <w:r>
        <w:rPr>
          <w:color w:val="auto"/>
          <w:spacing w:val="3"/>
          <w:sz w:val="24"/>
          <w:szCs w:val="24"/>
          <w:highlight w:val="none"/>
        </w:rPr>
        <w:t>证明，在评审时予以优先采购，具体优惠措施为</w:t>
      </w:r>
      <w:r>
        <w:rPr>
          <w:color w:val="auto"/>
          <w:spacing w:val="3"/>
          <w:sz w:val="24"/>
          <w:szCs w:val="24"/>
          <w:highlight w:val="none"/>
          <w:u w:val="single" w:color="auto"/>
        </w:rPr>
        <w:t>：供应商所投产品应优先选择</w:t>
      </w:r>
      <w:r>
        <w:rPr>
          <w:color w:val="auto"/>
          <w:spacing w:val="15"/>
          <w:sz w:val="24"/>
          <w:szCs w:val="24"/>
          <w:highlight w:val="none"/>
        </w:rPr>
        <w:t xml:space="preserve"> </w:t>
      </w:r>
      <w:r>
        <w:rPr>
          <w:color w:val="auto"/>
          <w:sz w:val="24"/>
          <w:szCs w:val="24"/>
          <w:highlight w:val="none"/>
          <w:u w:val="single" w:color="auto"/>
        </w:rPr>
        <w:tab/>
      </w:r>
      <w:r>
        <w:rPr>
          <w:color w:val="auto"/>
          <w:spacing w:val="-2"/>
          <w:sz w:val="24"/>
          <w:szCs w:val="24"/>
          <w:highlight w:val="none"/>
          <w:u w:val="single" w:color="auto"/>
        </w:rPr>
        <w:t>《关于印发节能产品政府采购品目清单的通知》</w:t>
      </w:r>
      <w:r>
        <w:rPr>
          <w:color w:val="auto"/>
          <w:spacing w:val="-3"/>
          <w:sz w:val="24"/>
          <w:szCs w:val="24"/>
          <w:highlight w:val="none"/>
          <w:u w:val="single" w:color="auto"/>
        </w:rPr>
        <w:t>（财库〔2019〕19</w:t>
      </w:r>
      <w:r>
        <w:rPr>
          <w:color w:val="auto"/>
          <w:spacing w:val="-43"/>
          <w:sz w:val="24"/>
          <w:szCs w:val="24"/>
          <w:highlight w:val="none"/>
          <w:u w:val="single" w:color="auto"/>
        </w:rPr>
        <w:t xml:space="preserve"> </w:t>
      </w:r>
      <w:r>
        <w:rPr>
          <w:color w:val="auto"/>
          <w:spacing w:val="-3"/>
          <w:sz w:val="24"/>
          <w:szCs w:val="24"/>
          <w:highlight w:val="none"/>
          <w:u w:val="single" w:color="auto"/>
        </w:rPr>
        <w:t>号）、《关</w:t>
      </w:r>
      <w:r>
        <w:rPr>
          <w:color w:val="auto"/>
          <w:spacing w:val="-1"/>
          <w:sz w:val="24"/>
          <w:szCs w:val="24"/>
          <w:highlight w:val="none"/>
          <w:u w:val="single" w:color="auto"/>
        </w:rPr>
        <w:t>于印发环境标志产品政府采购品目清单的通知》（财库〔2019〕18</w:t>
      </w:r>
      <w:r>
        <w:rPr>
          <w:color w:val="auto"/>
          <w:spacing w:val="-24"/>
          <w:sz w:val="24"/>
          <w:szCs w:val="24"/>
          <w:highlight w:val="none"/>
          <w:u w:val="single" w:color="auto"/>
        </w:rPr>
        <w:t xml:space="preserve"> </w:t>
      </w:r>
      <w:r>
        <w:rPr>
          <w:color w:val="auto"/>
          <w:spacing w:val="-1"/>
          <w:sz w:val="24"/>
          <w:szCs w:val="24"/>
          <w:highlight w:val="none"/>
          <w:u w:val="single" w:color="auto"/>
        </w:rPr>
        <w:t>号）</w:t>
      </w:r>
      <w:r>
        <w:rPr>
          <w:color w:val="auto"/>
          <w:spacing w:val="-62"/>
          <w:sz w:val="24"/>
          <w:szCs w:val="24"/>
          <w:highlight w:val="none"/>
          <w:u w:val="single" w:color="auto"/>
        </w:rPr>
        <w:t xml:space="preserve"> </w:t>
      </w:r>
      <w:r>
        <w:rPr>
          <w:color w:val="auto"/>
          <w:spacing w:val="-1"/>
          <w:sz w:val="24"/>
          <w:szCs w:val="24"/>
          <w:highlight w:val="none"/>
          <w:u w:val="single" w:color="auto"/>
        </w:rPr>
        <w:t>目录内</w:t>
      </w:r>
      <w:r>
        <w:rPr>
          <w:color w:val="auto"/>
          <w:sz w:val="24"/>
          <w:szCs w:val="24"/>
          <w:highlight w:val="none"/>
          <w:u w:val="single" w:color="auto"/>
        </w:rPr>
        <w:t>的产品。</w:t>
      </w:r>
    </w:p>
    <w:p w14:paraId="189EF167">
      <w:pPr>
        <w:pStyle w:val="2"/>
        <w:spacing w:before="34" w:line="220" w:lineRule="auto"/>
        <w:ind w:left="43"/>
        <w:rPr>
          <w:color w:val="auto"/>
          <w:sz w:val="24"/>
          <w:szCs w:val="24"/>
          <w:highlight w:val="none"/>
        </w:rPr>
      </w:pPr>
      <w:r>
        <w:rPr>
          <w:b/>
          <w:bCs/>
          <w:color w:val="auto"/>
          <w:spacing w:val="-1"/>
          <w:sz w:val="24"/>
          <w:szCs w:val="24"/>
          <w:highlight w:val="none"/>
        </w:rPr>
        <w:t>5.对创新产品</w:t>
      </w:r>
      <w:r>
        <w:rPr>
          <w:color w:val="auto"/>
          <w:spacing w:val="-1"/>
          <w:sz w:val="24"/>
          <w:szCs w:val="24"/>
          <w:highlight w:val="none"/>
        </w:rPr>
        <w:t>或创新性企业的优惠措施为：</w:t>
      </w:r>
      <w:r>
        <w:rPr>
          <w:color w:val="auto"/>
          <w:spacing w:val="-1"/>
          <w:sz w:val="24"/>
          <w:szCs w:val="24"/>
          <w:highlight w:val="none"/>
          <w:u w:val="single" w:color="auto"/>
        </w:rPr>
        <w:t xml:space="preserve">     /</w:t>
      </w:r>
      <w:r>
        <w:rPr>
          <w:color w:val="auto"/>
          <w:sz w:val="24"/>
          <w:szCs w:val="24"/>
          <w:highlight w:val="none"/>
          <w:u w:val="single" w:color="auto"/>
        </w:rPr>
        <w:t xml:space="preserve">      </w:t>
      </w:r>
    </w:p>
    <w:p w14:paraId="7A24C41B">
      <w:pPr>
        <w:pStyle w:val="2"/>
        <w:spacing w:before="75" w:line="220" w:lineRule="auto"/>
        <w:ind w:left="40"/>
        <w:outlineLvl w:val="2"/>
        <w:rPr>
          <w:color w:val="auto"/>
          <w:spacing w:val="-1"/>
          <w:sz w:val="24"/>
          <w:szCs w:val="24"/>
          <w:highlight w:val="none"/>
        </w:rPr>
      </w:pPr>
      <w:r>
        <w:rPr>
          <w:b/>
          <w:bCs/>
          <w:color w:val="auto"/>
          <w:spacing w:val="-5"/>
          <w:sz w:val="24"/>
          <w:szCs w:val="24"/>
          <w:highlight w:val="none"/>
        </w:rPr>
        <w:t>6.磋商：</w:t>
      </w:r>
    </w:p>
    <w:p w14:paraId="7906FFC5">
      <w:pPr>
        <w:pStyle w:val="2"/>
        <w:spacing w:before="78" w:line="248" w:lineRule="auto"/>
        <w:ind w:right="97"/>
        <w:rPr>
          <w:color w:val="auto"/>
          <w:sz w:val="24"/>
          <w:szCs w:val="24"/>
          <w:highlight w:val="none"/>
        </w:rPr>
      </w:pPr>
      <w:r>
        <w:rPr>
          <w:color w:val="auto"/>
          <w:spacing w:val="-1"/>
          <w:sz w:val="24"/>
          <w:szCs w:val="24"/>
          <w:highlight w:val="none"/>
        </w:rPr>
        <w:t>（1）供应商按照须知资料表中规定的磋商时间和地点，在规定时间内上传</w:t>
      </w:r>
      <w:r>
        <w:rPr>
          <w:color w:val="auto"/>
          <w:spacing w:val="-10"/>
          <w:sz w:val="24"/>
          <w:szCs w:val="24"/>
          <w:highlight w:val="none"/>
        </w:rPr>
        <w:t>响应文件。</w:t>
      </w:r>
    </w:p>
    <w:p w14:paraId="24E3D6B9">
      <w:pPr>
        <w:pStyle w:val="2"/>
        <w:spacing w:before="74" w:line="219" w:lineRule="auto"/>
        <w:ind w:firstLine="230" w:firstLineChars="100"/>
        <w:jc w:val="both"/>
        <w:rPr>
          <w:color w:val="auto"/>
          <w:sz w:val="24"/>
          <w:szCs w:val="24"/>
          <w:highlight w:val="none"/>
        </w:rPr>
      </w:pPr>
      <w:r>
        <w:rPr>
          <w:color w:val="auto"/>
          <w:spacing w:val="-5"/>
          <w:sz w:val="24"/>
          <w:szCs w:val="24"/>
          <w:highlight w:val="none"/>
        </w:rPr>
        <w:t>（2）在磋商前，工作人员收取所有参会人员的手机，主持人宣读磋商</w:t>
      </w:r>
      <w:r>
        <w:rPr>
          <w:color w:val="auto"/>
          <w:spacing w:val="-6"/>
          <w:sz w:val="24"/>
          <w:szCs w:val="24"/>
          <w:highlight w:val="none"/>
        </w:rPr>
        <w:t>纪律。</w:t>
      </w:r>
    </w:p>
    <w:p w14:paraId="4732B3CB">
      <w:pPr>
        <w:pStyle w:val="2"/>
        <w:spacing w:before="74" w:line="249" w:lineRule="auto"/>
        <w:ind w:left="41" w:right="145" w:firstLine="483"/>
        <w:rPr>
          <w:color w:val="auto"/>
          <w:sz w:val="24"/>
          <w:szCs w:val="24"/>
          <w:highlight w:val="none"/>
        </w:rPr>
      </w:pPr>
      <w:r>
        <w:rPr>
          <w:rFonts w:hint="eastAsia"/>
          <w:color w:val="auto"/>
          <w:spacing w:val="2"/>
          <w:sz w:val="24"/>
          <w:szCs w:val="24"/>
          <w:highlight w:val="none"/>
          <w:lang w:eastAsia="zh-CN"/>
        </w:rPr>
        <w:t>（</w:t>
      </w:r>
      <w:r>
        <w:rPr>
          <w:color w:val="auto"/>
          <w:spacing w:val="2"/>
          <w:sz w:val="24"/>
          <w:szCs w:val="24"/>
          <w:highlight w:val="none"/>
        </w:rPr>
        <w:t>3）磋商时，由代理机构对供应商的响应文件进行解密，解密时间为</w:t>
      </w:r>
      <w:r>
        <w:rPr>
          <w:color w:val="auto"/>
          <w:spacing w:val="-25"/>
          <w:sz w:val="24"/>
          <w:szCs w:val="24"/>
          <w:highlight w:val="none"/>
        </w:rPr>
        <w:t xml:space="preserve"> </w:t>
      </w:r>
      <w:r>
        <w:rPr>
          <w:color w:val="auto"/>
          <w:spacing w:val="2"/>
          <w:sz w:val="24"/>
          <w:szCs w:val="24"/>
          <w:highlight w:val="none"/>
        </w:rPr>
        <w:t>30</w:t>
      </w:r>
      <w:r>
        <w:rPr>
          <w:color w:val="auto"/>
          <w:spacing w:val="-11"/>
          <w:sz w:val="24"/>
          <w:szCs w:val="24"/>
          <w:highlight w:val="none"/>
        </w:rPr>
        <w:t>分钟。</w:t>
      </w:r>
    </w:p>
    <w:p w14:paraId="4F6E7811">
      <w:pPr>
        <w:pStyle w:val="2"/>
        <w:spacing w:before="73" w:line="218" w:lineRule="auto"/>
        <w:ind w:left="524"/>
        <w:rPr>
          <w:color w:val="auto"/>
          <w:sz w:val="24"/>
          <w:szCs w:val="24"/>
          <w:highlight w:val="none"/>
        </w:rPr>
      </w:pPr>
      <w:r>
        <w:rPr>
          <w:color w:val="auto"/>
          <w:spacing w:val="-2"/>
          <w:sz w:val="24"/>
          <w:szCs w:val="24"/>
          <w:highlight w:val="none"/>
        </w:rPr>
        <w:t>（4）由代理机构开启报价，所有供应商签</w:t>
      </w:r>
      <w:r>
        <w:rPr>
          <w:color w:val="auto"/>
          <w:spacing w:val="-3"/>
          <w:sz w:val="24"/>
          <w:szCs w:val="24"/>
          <w:highlight w:val="none"/>
        </w:rPr>
        <w:t>字确认。</w:t>
      </w:r>
    </w:p>
    <w:p w14:paraId="308E6816">
      <w:pPr>
        <w:pStyle w:val="2"/>
        <w:spacing w:before="75" w:line="249" w:lineRule="auto"/>
        <w:ind w:left="50" w:right="97" w:firstLine="474"/>
        <w:rPr>
          <w:color w:val="auto"/>
          <w:sz w:val="24"/>
          <w:szCs w:val="24"/>
          <w:highlight w:val="none"/>
        </w:rPr>
      </w:pPr>
      <w:r>
        <w:rPr>
          <w:color w:val="auto"/>
          <w:spacing w:val="-1"/>
          <w:sz w:val="24"/>
          <w:szCs w:val="24"/>
          <w:highlight w:val="none"/>
        </w:rPr>
        <w:t>（5）采购人或采购代理机构登录政采云平台对供应商的资格证明材料进行</w:t>
      </w:r>
      <w:r>
        <w:rPr>
          <w:color w:val="auto"/>
          <w:spacing w:val="-13"/>
          <w:sz w:val="24"/>
          <w:szCs w:val="24"/>
          <w:highlight w:val="none"/>
        </w:rPr>
        <w:t>审查。</w:t>
      </w:r>
    </w:p>
    <w:p w14:paraId="0C2E4743">
      <w:pPr>
        <w:pStyle w:val="2"/>
        <w:spacing w:before="74" w:line="220" w:lineRule="auto"/>
        <w:ind w:left="44"/>
        <w:outlineLvl w:val="2"/>
        <w:rPr>
          <w:color w:val="auto"/>
          <w:sz w:val="24"/>
          <w:szCs w:val="24"/>
          <w:highlight w:val="none"/>
        </w:rPr>
      </w:pPr>
      <w:r>
        <w:rPr>
          <w:b/>
          <w:bCs/>
          <w:color w:val="auto"/>
          <w:spacing w:val="-5"/>
          <w:sz w:val="24"/>
          <w:szCs w:val="24"/>
          <w:highlight w:val="none"/>
        </w:rPr>
        <w:t>7.评审：</w:t>
      </w:r>
    </w:p>
    <w:p w14:paraId="2E2E26FA">
      <w:pPr>
        <w:pStyle w:val="2"/>
        <w:spacing w:before="73" w:line="249" w:lineRule="auto"/>
        <w:ind w:left="37" w:right="85" w:firstLine="487"/>
        <w:rPr>
          <w:color w:val="auto"/>
          <w:sz w:val="24"/>
          <w:szCs w:val="24"/>
          <w:highlight w:val="none"/>
        </w:rPr>
      </w:pPr>
      <w:r>
        <w:rPr>
          <w:color w:val="auto"/>
          <w:spacing w:val="-2"/>
          <w:sz w:val="24"/>
          <w:szCs w:val="24"/>
          <w:highlight w:val="none"/>
        </w:rPr>
        <w:t>（1）在政采云平台上随机抽取</w:t>
      </w:r>
      <w:r>
        <w:rPr>
          <w:color w:val="auto"/>
          <w:spacing w:val="-46"/>
          <w:sz w:val="24"/>
          <w:szCs w:val="24"/>
          <w:highlight w:val="none"/>
        </w:rPr>
        <w:t xml:space="preserve"> </w:t>
      </w:r>
      <w:r>
        <w:rPr>
          <w:color w:val="auto"/>
          <w:spacing w:val="-2"/>
          <w:sz w:val="24"/>
          <w:szCs w:val="24"/>
          <w:highlight w:val="none"/>
        </w:rPr>
        <w:t>3</w:t>
      </w:r>
      <w:r>
        <w:rPr>
          <w:color w:val="auto"/>
          <w:spacing w:val="-48"/>
          <w:sz w:val="24"/>
          <w:szCs w:val="24"/>
          <w:highlight w:val="none"/>
        </w:rPr>
        <w:t xml:space="preserve"> </w:t>
      </w:r>
      <w:r>
        <w:rPr>
          <w:color w:val="auto"/>
          <w:spacing w:val="-2"/>
          <w:sz w:val="24"/>
          <w:szCs w:val="24"/>
          <w:highlight w:val="none"/>
        </w:rPr>
        <w:t>名专家，共</w:t>
      </w:r>
      <w:r>
        <w:rPr>
          <w:color w:val="auto"/>
          <w:spacing w:val="-46"/>
          <w:sz w:val="24"/>
          <w:szCs w:val="24"/>
          <w:highlight w:val="none"/>
        </w:rPr>
        <w:t xml:space="preserve"> </w:t>
      </w:r>
      <w:r>
        <w:rPr>
          <w:color w:val="auto"/>
          <w:spacing w:val="-2"/>
          <w:sz w:val="24"/>
          <w:szCs w:val="24"/>
          <w:highlight w:val="none"/>
        </w:rPr>
        <w:t>3</w:t>
      </w:r>
      <w:r>
        <w:rPr>
          <w:color w:val="auto"/>
          <w:spacing w:val="-47"/>
          <w:sz w:val="24"/>
          <w:szCs w:val="24"/>
          <w:highlight w:val="none"/>
        </w:rPr>
        <w:t xml:space="preserve"> </w:t>
      </w:r>
      <w:r>
        <w:rPr>
          <w:color w:val="auto"/>
          <w:spacing w:val="-2"/>
          <w:sz w:val="24"/>
          <w:szCs w:val="24"/>
          <w:highlight w:val="none"/>
        </w:rPr>
        <w:t>名专家组成磋商</w:t>
      </w:r>
      <w:r>
        <w:rPr>
          <w:color w:val="auto"/>
          <w:spacing w:val="-3"/>
          <w:sz w:val="24"/>
          <w:szCs w:val="24"/>
          <w:highlight w:val="none"/>
        </w:rPr>
        <w:t>小组，负责</w:t>
      </w:r>
      <w:r>
        <w:rPr>
          <w:color w:val="auto"/>
          <w:spacing w:val="-7"/>
          <w:sz w:val="24"/>
          <w:szCs w:val="24"/>
          <w:highlight w:val="none"/>
        </w:rPr>
        <w:t>评标工作</w:t>
      </w:r>
    </w:p>
    <w:p w14:paraId="512A943B">
      <w:pPr>
        <w:pStyle w:val="2"/>
        <w:spacing w:before="73" w:line="258" w:lineRule="auto"/>
        <w:ind w:left="37" w:right="98" w:firstLine="487"/>
        <w:rPr>
          <w:color w:val="auto"/>
          <w:sz w:val="24"/>
          <w:szCs w:val="24"/>
          <w:highlight w:val="none"/>
        </w:rPr>
      </w:pPr>
      <w:r>
        <w:rPr>
          <w:color w:val="auto"/>
          <w:spacing w:val="-1"/>
          <w:sz w:val="24"/>
          <w:szCs w:val="24"/>
          <w:highlight w:val="none"/>
        </w:rPr>
        <w:t>（2）磋商小组应当按照磋商文件中规定的评标方法和标准，对所有响应文</w:t>
      </w:r>
      <w:r>
        <w:rPr>
          <w:color w:val="auto"/>
          <w:spacing w:val="3"/>
          <w:sz w:val="24"/>
          <w:szCs w:val="24"/>
          <w:highlight w:val="none"/>
        </w:rPr>
        <w:t>件进行资格性审查，再对符合资格要求的供应商的响应文件进行</w:t>
      </w:r>
      <w:r>
        <w:rPr>
          <w:color w:val="auto"/>
          <w:spacing w:val="2"/>
          <w:sz w:val="24"/>
          <w:szCs w:val="24"/>
          <w:highlight w:val="none"/>
        </w:rPr>
        <w:t>符合性审查，</w:t>
      </w:r>
      <w:r>
        <w:rPr>
          <w:color w:val="auto"/>
          <w:spacing w:val="-3"/>
          <w:sz w:val="24"/>
          <w:szCs w:val="24"/>
          <w:highlight w:val="none"/>
        </w:rPr>
        <w:t>以确定其是否满足磋商文件的实质性要求。</w:t>
      </w:r>
    </w:p>
    <w:p w14:paraId="05238967">
      <w:pPr>
        <w:pStyle w:val="2"/>
        <w:spacing w:before="77" w:line="265" w:lineRule="auto"/>
        <w:ind w:left="39" w:right="85" w:firstLine="485"/>
        <w:rPr>
          <w:color w:val="auto"/>
          <w:sz w:val="24"/>
          <w:szCs w:val="24"/>
          <w:highlight w:val="none"/>
        </w:rPr>
      </w:pPr>
      <w:r>
        <w:rPr>
          <w:color w:val="auto"/>
          <w:spacing w:val="-1"/>
          <w:sz w:val="24"/>
          <w:szCs w:val="24"/>
          <w:highlight w:val="none"/>
        </w:rPr>
        <w:t>（3）若对于响应文件中含义不明确、同类问题表述不一致或者有明显文字</w:t>
      </w:r>
      <w:r>
        <w:rPr>
          <w:color w:val="auto"/>
          <w:spacing w:val="3"/>
          <w:sz w:val="24"/>
          <w:szCs w:val="24"/>
          <w:highlight w:val="none"/>
        </w:rPr>
        <w:t>和计算错误的内容，磋商小组应当以书面形式要求供应商作出必要的澄清、说明或者补正。供应商的澄清、说明或者补正应当采用书面形式，并加盖公章，或者由法定代表人或其授权的代表签字。供应商的澄清、说明或者补正不得超</w:t>
      </w:r>
      <w:r>
        <w:rPr>
          <w:color w:val="auto"/>
          <w:spacing w:val="-2"/>
          <w:sz w:val="24"/>
          <w:szCs w:val="24"/>
          <w:highlight w:val="none"/>
        </w:rPr>
        <w:t>出响应文件的范围或者改变响应文件的实质性内容。</w:t>
      </w:r>
    </w:p>
    <w:p w14:paraId="54A4EE4A">
      <w:pPr>
        <w:pStyle w:val="2"/>
        <w:spacing w:before="77" w:line="262" w:lineRule="auto"/>
        <w:ind w:left="37" w:right="85" w:firstLine="487"/>
        <w:rPr>
          <w:color w:val="auto"/>
          <w:sz w:val="24"/>
          <w:szCs w:val="24"/>
          <w:highlight w:val="none"/>
        </w:rPr>
      </w:pPr>
      <w:r>
        <w:rPr>
          <w:color w:val="auto"/>
          <w:spacing w:val="-1"/>
          <w:sz w:val="24"/>
          <w:szCs w:val="24"/>
          <w:highlight w:val="none"/>
        </w:rPr>
        <w:t>（4）磋商小组要求供应商澄清、说明或者更正响应文件应当以书面形式作</w:t>
      </w:r>
      <w:r>
        <w:rPr>
          <w:color w:val="auto"/>
          <w:spacing w:val="14"/>
          <w:sz w:val="24"/>
          <w:szCs w:val="24"/>
          <w:highlight w:val="none"/>
        </w:rPr>
        <w:t xml:space="preserve"> </w:t>
      </w:r>
      <w:r>
        <w:rPr>
          <w:color w:val="auto"/>
          <w:spacing w:val="3"/>
          <w:sz w:val="24"/>
          <w:szCs w:val="24"/>
          <w:highlight w:val="none"/>
        </w:rPr>
        <w:t>出。供应商的澄清、说明或者更正应当由法定代表人签字或者加盖公章。由授权代表签字的，应当附法定代表人授权书。供应商为自然人的，应当由本人签</w:t>
      </w:r>
      <w:r>
        <w:rPr>
          <w:color w:val="auto"/>
          <w:spacing w:val="-5"/>
          <w:sz w:val="24"/>
          <w:szCs w:val="24"/>
          <w:highlight w:val="none"/>
        </w:rPr>
        <w:t>字并附身份证明。</w:t>
      </w:r>
    </w:p>
    <w:p w14:paraId="404997DF">
      <w:pPr>
        <w:pStyle w:val="2"/>
        <w:spacing w:before="77" w:line="257" w:lineRule="auto"/>
        <w:ind w:left="38" w:right="85" w:firstLine="486"/>
        <w:rPr>
          <w:color w:val="auto"/>
          <w:sz w:val="24"/>
          <w:szCs w:val="24"/>
          <w:highlight w:val="none"/>
        </w:rPr>
      </w:pPr>
      <w:r>
        <w:rPr>
          <w:color w:val="auto"/>
          <w:spacing w:val="-2"/>
          <w:sz w:val="24"/>
          <w:szCs w:val="24"/>
          <w:highlight w:val="none"/>
        </w:rPr>
        <w:t>（5）</w:t>
      </w:r>
      <w:r>
        <w:rPr>
          <w:b/>
          <w:bCs/>
          <w:color w:val="auto"/>
          <w:spacing w:val="-2"/>
          <w:sz w:val="24"/>
          <w:szCs w:val="24"/>
          <w:highlight w:val="none"/>
        </w:rPr>
        <w:t>共有两次报价，二次报价为最终报价</w:t>
      </w:r>
      <w:r>
        <w:rPr>
          <w:color w:val="auto"/>
          <w:spacing w:val="-2"/>
          <w:sz w:val="24"/>
          <w:szCs w:val="24"/>
          <w:highlight w:val="none"/>
        </w:rPr>
        <w:t>，磋商小组所有成员集中与单一</w:t>
      </w:r>
      <w:r>
        <w:rPr>
          <w:color w:val="auto"/>
          <w:spacing w:val="7"/>
          <w:sz w:val="24"/>
          <w:szCs w:val="24"/>
          <w:highlight w:val="none"/>
        </w:rPr>
        <w:t xml:space="preserve"> </w:t>
      </w:r>
      <w:r>
        <w:rPr>
          <w:color w:val="auto"/>
          <w:spacing w:val="3"/>
          <w:sz w:val="24"/>
          <w:szCs w:val="24"/>
          <w:highlight w:val="none"/>
        </w:rPr>
        <w:t>供应商分别进行磋商，并给予所有参加磋商的供应商平等的磋商机会，磋商小</w:t>
      </w:r>
      <w:r>
        <w:rPr>
          <w:color w:val="auto"/>
          <w:spacing w:val="-2"/>
          <w:sz w:val="24"/>
          <w:szCs w:val="24"/>
          <w:highlight w:val="none"/>
        </w:rPr>
        <w:t>组要求所有实质性响应的供应商在规定时间内提交最后报价。</w:t>
      </w:r>
    </w:p>
    <w:p w14:paraId="14444427">
      <w:pPr>
        <w:pStyle w:val="2"/>
        <w:spacing w:before="75" w:line="248" w:lineRule="auto"/>
        <w:ind w:left="39" w:right="97" w:firstLine="485"/>
        <w:rPr>
          <w:color w:val="auto"/>
          <w:sz w:val="24"/>
          <w:szCs w:val="24"/>
          <w:highlight w:val="none"/>
        </w:rPr>
      </w:pPr>
      <w:r>
        <w:rPr>
          <w:color w:val="auto"/>
          <w:spacing w:val="-1"/>
          <w:sz w:val="24"/>
          <w:szCs w:val="24"/>
          <w:highlight w:val="none"/>
        </w:rPr>
        <w:t>（6）磋商小组应当按照磋商文件中规定的评标方法和标准，对符合性审查</w:t>
      </w:r>
      <w:r>
        <w:rPr>
          <w:color w:val="auto"/>
          <w:spacing w:val="-2"/>
          <w:sz w:val="24"/>
          <w:szCs w:val="24"/>
          <w:highlight w:val="none"/>
        </w:rPr>
        <w:t>合格的响应文件进行商务和技术评估，综合比较与评价。</w:t>
      </w:r>
    </w:p>
    <w:p w14:paraId="3718206C">
      <w:pPr>
        <w:pStyle w:val="2"/>
        <w:spacing w:before="77" w:line="263" w:lineRule="auto"/>
        <w:ind w:left="41" w:right="85" w:firstLine="480"/>
        <w:rPr>
          <w:color w:val="auto"/>
          <w:sz w:val="24"/>
          <w:szCs w:val="24"/>
          <w:highlight w:val="none"/>
        </w:rPr>
      </w:pPr>
      <w:r>
        <w:rPr>
          <w:color w:val="auto"/>
          <w:spacing w:val="3"/>
          <w:sz w:val="24"/>
          <w:szCs w:val="24"/>
          <w:highlight w:val="none"/>
        </w:rPr>
        <w:t>综合评分法，是指响应文件满足磋商文件全部实质性要求，且按照评审因</w:t>
      </w:r>
      <w:r>
        <w:rPr>
          <w:color w:val="auto"/>
          <w:spacing w:val="-2"/>
          <w:sz w:val="24"/>
          <w:szCs w:val="24"/>
          <w:highlight w:val="none"/>
        </w:rPr>
        <w:t>素的量化指标评审得分最高的供应商为成交候选人的评标方法。</w:t>
      </w:r>
    </w:p>
    <w:p w14:paraId="62CF0637">
      <w:pPr>
        <w:pStyle w:val="2"/>
        <w:spacing w:before="38" w:line="262" w:lineRule="auto"/>
        <w:ind w:left="37" w:right="85" w:firstLine="487"/>
        <w:rPr>
          <w:color w:val="auto"/>
          <w:sz w:val="24"/>
          <w:szCs w:val="24"/>
          <w:highlight w:val="none"/>
        </w:rPr>
      </w:pPr>
      <w:r>
        <w:rPr>
          <w:color w:val="auto"/>
          <w:spacing w:val="-1"/>
          <w:sz w:val="24"/>
          <w:szCs w:val="24"/>
          <w:highlight w:val="none"/>
        </w:rPr>
        <w:t>（7）采用综合评分法的，评标结果按评审后得分由高到低顺序排列。得分</w:t>
      </w:r>
      <w:r>
        <w:rPr>
          <w:color w:val="auto"/>
          <w:spacing w:val="3"/>
          <w:sz w:val="24"/>
          <w:szCs w:val="24"/>
          <w:highlight w:val="none"/>
        </w:rPr>
        <w:t>相同的，按磋商报价由低到高顺序排列。得分且磋商报价相同的并列。响应文件满足磋商文件全部实质性要求，且按照评审因素的量化指标评审得分最高的</w:t>
      </w:r>
      <w:r>
        <w:rPr>
          <w:color w:val="auto"/>
          <w:spacing w:val="7"/>
          <w:sz w:val="24"/>
          <w:szCs w:val="24"/>
          <w:highlight w:val="none"/>
        </w:rPr>
        <w:t xml:space="preserve"> </w:t>
      </w:r>
      <w:r>
        <w:rPr>
          <w:color w:val="auto"/>
          <w:spacing w:val="-3"/>
          <w:sz w:val="24"/>
          <w:szCs w:val="24"/>
          <w:highlight w:val="none"/>
        </w:rPr>
        <w:t>供应商为排名第一的成交候选人。</w:t>
      </w:r>
    </w:p>
    <w:p w14:paraId="6537E3B1">
      <w:pPr>
        <w:pStyle w:val="2"/>
        <w:spacing w:before="76" w:line="257" w:lineRule="auto"/>
        <w:ind w:left="44" w:right="85" w:firstLine="480"/>
        <w:rPr>
          <w:color w:val="auto"/>
          <w:sz w:val="24"/>
          <w:szCs w:val="24"/>
          <w:highlight w:val="none"/>
        </w:rPr>
      </w:pPr>
      <w:r>
        <w:rPr>
          <w:color w:val="auto"/>
          <w:spacing w:val="-1"/>
          <w:sz w:val="24"/>
          <w:szCs w:val="24"/>
          <w:highlight w:val="none"/>
        </w:rPr>
        <w:t>（9）磋商小组成员对需要共同认定的事项存在争议的，应当按照少数服从</w:t>
      </w:r>
      <w:r>
        <w:rPr>
          <w:color w:val="auto"/>
          <w:spacing w:val="3"/>
          <w:sz w:val="24"/>
          <w:szCs w:val="24"/>
          <w:highlight w:val="none"/>
        </w:rPr>
        <w:t>多数的原则作出结论。持不同意见的磋商小组成员应当在评标报告上签署不同</w:t>
      </w:r>
      <w:r>
        <w:rPr>
          <w:color w:val="auto"/>
          <w:sz w:val="24"/>
          <w:szCs w:val="24"/>
          <w:highlight w:val="none"/>
        </w:rPr>
        <w:t xml:space="preserve"> </w:t>
      </w:r>
      <w:r>
        <w:rPr>
          <w:color w:val="auto"/>
          <w:spacing w:val="-3"/>
          <w:sz w:val="24"/>
          <w:szCs w:val="24"/>
          <w:highlight w:val="none"/>
        </w:rPr>
        <w:t>意见及理由，否则视为同意评标报告。</w:t>
      </w:r>
    </w:p>
    <w:p w14:paraId="3B0B6337">
      <w:pPr>
        <w:pStyle w:val="2"/>
        <w:spacing w:before="77" w:line="220" w:lineRule="auto"/>
        <w:ind w:left="39"/>
        <w:outlineLvl w:val="2"/>
        <w:rPr>
          <w:color w:val="auto"/>
          <w:spacing w:val="-3"/>
          <w:sz w:val="24"/>
          <w:szCs w:val="24"/>
          <w:highlight w:val="none"/>
        </w:rPr>
      </w:pPr>
      <w:r>
        <w:rPr>
          <w:b/>
          <w:bCs/>
          <w:color w:val="auto"/>
          <w:spacing w:val="-5"/>
          <w:sz w:val="24"/>
          <w:szCs w:val="24"/>
          <w:highlight w:val="none"/>
        </w:rPr>
        <w:t>8.定标：</w:t>
      </w:r>
    </w:p>
    <w:p w14:paraId="083413A5">
      <w:pPr>
        <w:pStyle w:val="2"/>
        <w:spacing w:before="78" w:line="218" w:lineRule="auto"/>
        <w:ind w:left="524"/>
        <w:rPr>
          <w:color w:val="auto"/>
          <w:sz w:val="24"/>
          <w:szCs w:val="24"/>
          <w:highlight w:val="none"/>
        </w:rPr>
      </w:pPr>
      <w:r>
        <w:rPr>
          <w:color w:val="auto"/>
          <w:spacing w:val="-3"/>
          <w:sz w:val="24"/>
          <w:szCs w:val="24"/>
          <w:highlight w:val="none"/>
        </w:rPr>
        <w:t>（1）采购代理机构应当在评标结束后</w:t>
      </w:r>
      <w:r>
        <w:rPr>
          <w:color w:val="auto"/>
          <w:spacing w:val="-20"/>
          <w:sz w:val="24"/>
          <w:szCs w:val="24"/>
          <w:highlight w:val="none"/>
        </w:rPr>
        <w:t xml:space="preserve"> </w:t>
      </w:r>
      <w:r>
        <w:rPr>
          <w:color w:val="auto"/>
          <w:spacing w:val="-3"/>
          <w:sz w:val="24"/>
          <w:szCs w:val="24"/>
          <w:highlight w:val="none"/>
        </w:rPr>
        <w:t>2</w:t>
      </w:r>
      <w:r>
        <w:rPr>
          <w:color w:val="auto"/>
          <w:spacing w:val="-50"/>
          <w:sz w:val="24"/>
          <w:szCs w:val="24"/>
          <w:highlight w:val="none"/>
        </w:rPr>
        <w:t xml:space="preserve"> </w:t>
      </w:r>
      <w:r>
        <w:rPr>
          <w:color w:val="auto"/>
          <w:spacing w:val="-3"/>
          <w:sz w:val="24"/>
          <w:szCs w:val="24"/>
          <w:highlight w:val="none"/>
        </w:rPr>
        <w:t>个工作日内将评标报告送采购人。</w:t>
      </w:r>
    </w:p>
    <w:p w14:paraId="4AE0DC02">
      <w:pPr>
        <w:pStyle w:val="2"/>
        <w:spacing w:before="74" w:line="263" w:lineRule="auto"/>
        <w:ind w:left="38" w:right="29" w:firstLine="486"/>
        <w:rPr>
          <w:color w:val="auto"/>
          <w:sz w:val="24"/>
          <w:szCs w:val="24"/>
          <w:highlight w:val="none"/>
        </w:rPr>
      </w:pPr>
      <w:r>
        <w:rPr>
          <w:color w:val="auto"/>
          <w:spacing w:val="-1"/>
          <w:sz w:val="24"/>
          <w:szCs w:val="24"/>
          <w:highlight w:val="none"/>
        </w:rPr>
        <w:t>（2）采购人委托磋商小组直接确定成交人。磋商小组推荐成交候选供应商</w:t>
      </w:r>
      <w:r>
        <w:rPr>
          <w:color w:val="auto"/>
          <w:spacing w:val="14"/>
          <w:sz w:val="24"/>
          <w:szCs w:val="24"/>
          <w:highlight w:val="none"/>
        </w:rPr>
        <w:t xml:space="preserve"> </w:t>
      </w:r>
      <w:r>
        <w:rPr>
          <w:color w:val="auto"/>
          <w:spacing w:val="1"/>
          <w:sz w:val="24"/>
          <w:szCs w:val="24"/>
          <w:highlight w:val="none"/>
        </w:rPr>
        <w:t>的数量为</w:t>
      </w:r>
      <w:r>
        <w:rPr>
          <w:color w:val="auto"/>
          <w:spacing w:val="-30"/>
          <w:sz w:val="24"/>
          <w:szCs w:val="24"/>
          <w:highlight w:val="none"/>
        </w:rPr>
        <w:t xml:space="preserve"> </w:t>
      </w:r>
      <w:r>
        <w:rPr>
          <w:color w:val="auto"/>
          <w:spacing w:val="1"/>
          <w:sz w:val="24"/>
          <w:szCs w:val="24"/>
          <w:highlight w:val="none"/>
        </w:rPr>
        <w:t>1</w:t>
      </w:r>
      <w:r>
        <w:rPr>
          <w:color w:val="auto"/>
          <w:spacing w:val="-45"/>
          <w:sz w:val="24"/>
          <w:szCs w:val="24"/>
          <w:highlight w:val="none"/>
        </w:rPr>
        <w:t xml:space="preserve"> </w:t>
      </w:r>
      <w:r>
        <w:rPr>
          <w:color w:val="auto"/>
          <w:spacing w:val="1"/>
          <w:sz w:val="24"/>
          <w:szCs w:val="24"/>
          <w:highlight w:val="none"/>
        </w:rPr>
        <w:t>家。采购人应当自收到评标报告之日起</w:t>
      </w:r>
      <w:r>
        <w:rPr>
          <w:color w:val="auto"/>
          <w:spacing w:val="-42"/>
          <w:sz w:val="24"/>
          <w:szCs w:val="24"/>
          <w:highlight w:val="none"/>
        </w:rPr>
        <w:t xml:space="preserve"> </w:t>
      </w:r>
      <w:r>
        <w:rPr>
          <w:color w:val="auto"/>
          <w:spacing w:val="1"/>
          <w:sz w:val="24"/>
          <w:szCs w:val="24"/>
          <w:highlight w:val="none"/>
        </w:rPr>
        <w:t>5</w:t>
      </w:r>
      <w:r>
        <w:rPr>
          <w:color w:val="auto"/>
          <w:spacing w:val="-47"/>
          <w:sz w:val="24"/>
          <w:szCs w:val="24"/>
          <w:highlight w:val="none"/>
        </w:rPr>
        <w:t xml:space="preserve"> </w:t>
      </w:r>
      <w:r>
        <w:rPr>
          <w:color w:val="auto"/>
          <w:spacing w:val="1"/>
          <w:sz w:val="24"/>
          <w:szCs w:val="24"/>
          <w:highlight w:val="none"/>
        </w:rPr>
        <w:t>个工作日内，在评标</w:t>
      </w:r>
      <w:r>
        <w:rPr>
          <w:color w:val="auto"/>
          <w:sz w:val="24"/>
          <w:szCs w:val="24"/>
          <w:highlight w:val="none"/>
        </w:rPr>
        <w:t xml:space="preserve">报告 </w:t>
      </w:r>
      <w:r>
        <w:rPr>
          <w:color w:val="auto"/>
          <w:spacing w:val="3"/>
          <w:sz w:val="24"/>
          <w:szCs w:val="24"/>
          <w:highlight w:val="none"/>
        </w:rPr>
        <w:t>确定的成交候选人名单中按顺序确定成交人。成交候选人并列的，由采购人按</w:t>
      </w:r>
      <w:r>
        <w:rPr>
          <w:color w:val="auto"/>
          <w:spacing w:val="-3"/>
          <w:sz w:val="24"/>
          <w:szCs w:val="24"/>
          <w:highlight w:val="none"/>
        </w:rPr>
        <w:t>照磋商文件规定的方式确定成交人。</w:t>
      </w:r>
    </w:p>
    <w:p w14:paraId="7B128CDE">
      <w:pPr>
        <w:pStyle w:val="2"/>
        <w:spacing w:before="76" w:line="262" w:lineRule="auto"/>
        <w:ind w:left="37" w:right="29" w:firstLine="487"/>
        <w:rPr>
          <w:color w:val="auto"/>
          <w:sz w:val="24"/>
          <w:szCs w:val="24"/>
          <w:highlight w:val="none"/>
        </w:rPr>
      </w:pPr>
      <w:r>
        <w:rPr>
          <w:color w:val="auto"/>
          <w:spacing w:val="-1"/>
          <w:sz w:val="24"/>
          <w:szCs w:val="24"/>
          <w:highlight w:val="none"/>
        </w:rPr>
        <w:t>（3）成交候选人并列式时的处理方式：评标结果按评审后得分由高到低顺</w:t>
      </w:r>
      <w:r>
        <w:rPr>
          <w:color w:val="auto"/>
          <w:spacing w:val="3"/>
          <w:sz w:val="24"/>
          <w:szCs w:val="24"/>
          <w:highlight w:val="none"/>
        </w:rPr>
        <w:t>序排列。得分相同的，按磋商报价由低到高顺序排列。得分且磋商报价相同的并列。响应文件满足磋商文件全部实质性要求，且按照评审因素的量化指标评</w:t>
      </w:r>
      <w:r>
        <w:rPr>
          <w:color w:val="auto"/>
          <w:spacing w:val="-2"/>
          <w:sz w:val="24"/>
          <w:szCs w:val="24"/>
          <w:highlight w:val="none"/>
        </w:rPr>
        <w:t>审得分最高的供应商为排名第一的成交候选人。</w:t>
      </w:r>
    </w:p>
    <w:p w14:paraId="65863929">
      <w:pPr>
        <w:pStyle w:val="2"/>
        <w:spacing w:before="74" w:line="258" w:lineRule="auto"/>
        <w:ind w:left="39" w:right="28" w:firstLine="485"/>
        <w:rPr>
          <w:color w:val="auto"/>
          <w:sz w:val="24"/>
          <w:szCs w:val="24"/>
          <w:highlight w:val="none"/>
        </w:rPr>
      </w:pPr>
      <w:r>
        <w:rPr>
          <w:color w:val="auto"/>
          <w:spacing w:val="-1"/>
          <w:sz w:val="24"/>
          <w:szCs w:val="24"/>
          <w:highlight w:val="none"/>
        </w:rPr>
        <w:t>（4）采购人在收到评标报告</w:t>
      </w:r>
      <w:r>
        <w:rPr>
          <w:color w:val="auto"/>
          <w:spacing w:val="-46"/>
          <w:sz w:val="24"/>
          <w:szCs w:val="24"/>
          <w:highlight w:val="none"/>
        </w:rPr>
        <w:t xml:space="preserve"> </w:t>
      </w:r>
      <w:r>
        <w:rPr>
          <w:color w:val="auto"/>
          <w:spacing w:val="-1"/>
          <w:sz w:val="24"/>
          <w:szCs w:val="24"/>
          <w:highlight w:val="none"/>
        </w:rPr>
        <w:t>5</w:t>
      </w:r>
      <w:r>
        <w:rPr>
          <w:color w:val="auto"/>
          <w:spacing w:val="-50"/>
          <w:sz w:val="24"/>
          <w:szCs w:val="24"/>
          <w:highlight w:val="none"/>
        </w:rPr>
        <w:t xml:space="preserve"> </w:t>
      </w:r>
      <w:r>
        <w:rPr>
          <w:color w:val="auto"/>
          <w:spacing w:val="-1"/>
          <w:sz w:val="24"/>
          <w:szCs w:val="24"/>
          <w:highlight w:val="none"/>
        </w:rPr>
        <w:t>个工作日内未按评标报</w:t>
      </w:r>
      <w:r>
        <w:rPr>
          <w:color w:val="auto"/>
          <w:spacing w:val="-2"/>
          <w:sz w:val="24"/>
          <w:szCs w:val="24"/>
          <w:highlight w:val="none"/>
        </w:rPr>
        <w:t>告推荐的成交候选人</w:t>
      </w:r>
      <w:r>
        <w:rPr>
          <w:color w:val="auto"/>
          <w:spacing w:val="3"/>
          <w:sz w:val="24"/>
          <w:szCs w:val="24"/>
          <w:highlight w:val="none"/>
        </w:rPr>
        <w:t>顺序确定成交人，又不能说明合法理由的，视同按评标报告推荐的顺序确定排</w:t>
      </w:r>
      <w:r>
        <w:rPr>
          <w:color w:val="auto"/>
          <w:spacing w:val="-3"/>
          <w:sz w:val="24"/>
          <w:szCs w:val="24"/>
          <w:highlight w:val="none"/>
        </w:rPr>
        <w:t>名第一的成交候选人为成交人。</w:t>
      </w:r>
    </w:p>
    <w:p w14:paraId="3EDF4393">
      <w:pPr>
        <w:pStyle w:val="2"/>
        <w:spacing w:before="75" w:line="220" w:lineRule="auto"/>
        <w:ind w:left="39"/>
        <w:outlineLvl w:val="2"/>
        <w:rPr>
          <w:color w:val="auto"/>
          <w:sz w:val="24"/>
          <w:szCs w:val="24"/>
          <w:highlight w:val="none"/>
        </w:rPr>
      </w:pPr>
      <w:r>
        <w:rPr>
          <w:b/>
          <w:bCs/>
          <w:color w:val="auto"/>
          <w:spacing w:val="-4"/>
          <w:sz w:val="24"/>
          <w:szCs w:val="24"/>
          <w:highlight w:val="none"/>
        </w:rPr>
        <w:t>9.答疑澄清：</w:t>
      </w:r>
    </w:p>
    <w:p w14:paraId="4E273C46">
      <w:pPr>
        <w:pStyle w:val="2"/>
        <w:spacing w:before="74" w:line="258" w:lineRule="auto"/>
        <w:ind w:left="41" w:right="28" w:firstLine="483"/>
        <w:rPr>
          <w:color w:val="auto"/>
          <w:sz w:val="24"/>
          <w:szCs w:val="24"/>
          <w:highlight w:val="none"/>
        </w:rPr>
      </w:pPr>
      <w:r>
        <w:rPr>
          <w:color w:val="auto"/>
          <w:spacing w:val="-1"/>
          <w:sz w:val="24"/>
          <w:szCs w:val="24"/>
          <w:highlight w:val="none"/>
        </w:rPr>
        <w:t>（1）磋商小组对于响应文件中含义不明确、同类问题表述不一致或者有明</w:t>
      </w:r>
      <w:r>
        <w:rPr>
          <w:color w:val="auto"/>
          <w:spacing w:val="15"/>
          <w:sz w:val="24"/>
          <w:szCs w:val="24"/>
          <w:highlight w:val="none"/>
        </w:rPr>
        <w:t xml:space="preserve"> </w:t>
      </w:r>
      <w:r>
        <w:rPr>
          <w:color w:val="auto"/>
          <w:spacing w:val="3"/>
          <w:sz w:val="24"/>
          <w:szCs w:val="24"/>
          <w:highlight w:val="none"/>
        </w:rPr>
        <w:t>显文字和计算错误的内容，要求供应商以书面形式现场作出必要的澄清、说明</w:t>
      </w:r>
      <w:r>
        <w:rPr>
          <w:color w:val="auto"/>
          <w:spacing w:val="-8"/>
          <w:sz w:val="24"/>
          <w:szCs w:val="24"/>
          <w:highlight w:val="none"/>
        </w:rPr>
        <w:t>或者补正。</w:t>
      </w:r>
    </w:p>
    <w:p w14:paraId="759F8CDB">
      <w:pPr>
        <w:pStyle w:val="2"/>
        <w:spacing w:before="73" w:line="258" w:lineRule="auto"/>
        <w:ind w:left="38" w:right="29" w:firstLine="486"/>
        <w:rPr>
          <w:color w:val="auto"/>
          <w:sz w:val="24"/>
          <w:szCs w:val="24"/>
          <w:highlight w:val="none"/>
        </w:rPr>
      </w:pPr>
      <w:r>
        <w:rPr>
          <w:color w:val="auto"/>
          <w:spacing w:val="-6"/>
          <w:sz w:val="24"/>
          <w:szCs w:val="24"/>
          <w:highlight w:val="none"/>
        </w:rPr>
        <w:t>（2）供应商的澄清、说明或者补正应当采用书面形式</w:t>
      </w:r>
      <w:r>
        <w:rPr>
          <w:color w:val="auto"/>
          <w:spacing w:val="-7"/>
          <w:sz w:val="24"/>
          <w:szCs w:val="24"/>
          <w:highlight w:val="none"/>
        </w:rPr>
        <w:t>，并加盖公章，或者</w:t>
      </w:r>
      <w:r>
        <w:rPr>
          <w:color w:val="auto"/>
          <w:spacing w:val="3"/>
          <w:sz w:val="24"/>
          <w:szCs w:val="24"/>
          <w:highlight w:val="none"/>
        </w:rPr>
        <w:t>由法定代表人或其授权的代表签字。供应商的澄清、说明或者补正不得超出响</w:t>
      </w:r>
      <w:r>
        <w:rPr>
          <w:color w:val="auto"/>
          <w:spacing w:val="-2"/>
          <w:sz w:val="24"/>
          <w:szCs w:val="24"/>
          <w:highlight w:val="none"/>
        </w:rPr>
        <w:t>应文件的范围或者改变响应文件的实质性内</w:t>
      </w:r>
      <w:r>
        <w:rPr>
          <w:color w:val="auto"/>
          <w:spacing w:val="-3"/>
          <w:sz w:val="24"/>
          <w:szCs w:val="24"/>
          <w:highlight w:val="none"/>
        </w:rPr>
        <w:t>容。</w:t>
      </w:r>
    </w:p>
    <w:p w14:paraId="58B3503D">
      <w:pPr>
        <w:pStyle w:val="2"/>
        <w:spacing w:before="74" w:line="220" w:lineRule="auto"/>
        <w:ind w:left="56"/>
        <w:rPr>
          <w:color w:val="auto"/>
          <w:sz w:val="24"/>
          <w:szCs w:val="24"/>
          <w:highlight w:val="none"/>
        </w:rPr>
      </w:pPr>
      <w:r>
        <w:rPr>
          <w:b/>
          <w:bCs/>
          <w:color w:val="auto"/>
          <w:spacing w:val="-3"/>
          <w:sz w:val="24"/>
          <w:szCs w:val="24"/>
          <w:highlight w:val="none"/>
        </w:rPr>
        <w:t>10.评审标准</w:t>
      </w:r>
      <w:r>
        <w:rPr>
          <w:color w:val="auto"/>
          <w:spacing w:val="-2"/>
          <w:sz w:val="24"/>
          <w:szCs w:val="24"/>
          <w:highlight w:val="none"/>
        </w:rPr>
        <w:t>：（</w:t>
      </w:r>
      <w:r>
        <w:rPr>
          <w:color w:val="auto"/>
          <w:spacing w:val="-3"/>
          <w:sz w:val="24"/>
          <w:szCs w:val="24"/>
          <w:highlight w:val="none"/>
        </w:rPr>
        <w:t>具体详见综合评分表）</w:t>
      </w:r>
    </w:p>
    <w:p w14:paraId="1AB2EDDA">
      <w:pPr>
        <w:pStyle w:val="2"/>
        <w:spacing w:before="79" w:line="273" w:lineRule="auto"/>
        <w:ind w:left="36" w:right="28" w:firstLine="488"/>
        <w:rPr>
          <w:color w:val="auto"/>
          <w:sz w:val="24"/>
          <w:szCs w:val="24"/>
          <w:highlight w:val="none"/>
        </w:rPr>
      </w:pPr>
      <w:r>
        <w:rPr>
          <w:color w:val="auto"/>
          <w:spacing w:val="-1"/>
          <w:sz w:val="24"/>
          <w:szCs w:val="24"/>
          <w:highlight w:val="none"/>
        </w:rPr>
        <w:t>（1）竞争性磋商共有两次报价，二次报价为最终报价，磋商小组所有成员</w:t>
      </w:r>
      <w:r>
        <w:rPr>
          <w:color w:val="auto"/>
          <w:spacing w:val="3"/>
          <w:sz w:val="24"/>
          <w:szCs w:val="24"/>
          <w:highlight w:val="none"/>
        </w:rPr>
        <w:t>集中与单一供应商分别进行磋商，并给予所有参加磋商的供应商平等的磋商机</w:t>
      </w:r>
      <w:r>
        <w:rPr>
          <w:color w:val="auto"/>
          <w:sz w:val="24"/>
          <w:szCs w:val="24"/>
          <w:highlight w:val="none"/>
        </w:rPr>
        <w:t>会，磋商小组要求所有实质性响应的供应商在规定时间</w:t>
      </w:r>
      <w:r>
        <w:rPr>
          <w:color w:val="auto"/>
          <w:spacing w:val="-1"/>
          <w:sz w:val="24"/>
          <w:szCs w:val="24"/>
          <w:highlight w:val="none"/>
        </w:rPr>
        <w:t>内提交最后报价，最后</w:t>
      </w:r>
      <w:r>
        <w:rPr>
          <w:color w:val="auto"/>
          <w:spacing w:val="3"/>
          <w:sz w:val="24"/>
          <w:szCs w:val="24"/>
          <w:highlight w:val="none"/>
        </w:rPr>
        <w:t>报价是供应商响应文件的有效组成部分，经磋商确定最终采购需求和提交最后</w:t>
      </w:r>
      <w:r>
        <w:rPr>
          <w:color w:val="auto"/>
          <w:spacing w:val="8"/>
          <w:sz w:val="24"/>
          <w:szCs w:val="24"/>
          <w:highlight w:val="none"/>
        </w:rPr>
        <w:t xml:space="preserve"> </w:t>
      </w:r>
      <w:r>
        <w:rPr>
          <w:color w:val="auto"/>
          <w:spacing w:val="3"/>
          <w:sz w:val="24"/>
          <w:szCs w:val="24"/>
          <w:highlight w:val="none"/>
        </w:rPr>
        <w:t>报价的供应商后，由磋商小组采用综合评分法对提交最后报价的供应商的响应</w:t>
      </w:r>
      <w:r>
        <w:rPr>
          <w:color w:val="auto"/>
          <w:spacing w:val="8"/>
          <w:sz w:val="24"/>
          <w:szCs w:val="24"/>
          <w:highlight w:val="none"/>
        </w:rPr>
        <w:t xml:space="preserve"> </w:t>
      </w:r>
      <w:r>
        <w:rPr>
          <w:color w:val="auto"/>
          <w:spacing w:val="3"/>
          <w:sz w:val="24"/>
          <w:szCs w:val="24"/>
          <w:highlight w:val="none"/>
        </w:rPr>
        <w:t>文件和最后报价进行综合评分。磋商小组应当从质量和服务均能满足采购文件</w:t>
      </w:r>
      <w:r>
        <w:rPr>
          <w:color w:val="auto"/>
          <w:spacing w:val="8"/>
          <w:sz w:val="24"/>
          <w:szCs w:val="24"/>
          <w:highlight w:val="none"/>
        </w:rPr>
        <w:t xml:space="preserve"> </w:t>
      </w:r>
      <w:r>
        <w:rPr>
          <w:color w:val="auto"/>
          <w:spacing w:val="3"/>
          <w:sz w:val="24"/>
          <w:szCs w:val="24"/>
          <w:highlight w:val="none"/>
        </w:rPr>
        <w:t>实质性响应要求的供应商中，按照综合评分由高到低的顺序提出成交候选人，</w:t>
      </w:r>
      <w:r>
        <w:rPr>
          <w:color w:val="auto"/>
          <w:spacing w:val="4"/>
          <w:sz w:val="24"/>
          <w:szCs w:val="24"/>
          <w:highlight w:val="none"/>
        </w:rPr>
        <w:t xml:space="preserve"> </w:t>
      </w:r>
      <w:r>
        <w:rPr>
          <w:color w:val="auto"/>
          <w:spacing w:val="-2"/>
          <w:sz w:val="24"/>
          <w:szCs w:val="24"/>
          <w:highlight w:val="none"/>
        </w:rPr>
        <w:t>并编写评审报告，将结果通知所有参加磋商的未成交的供应商。</w:t>
      </w:r>
    </w:p>
    <w:p w14:paraId="500B6CBA">
      <w:pPr>
        <w:spacing w:line="243" w:lineRule="auto"/>
        <w:rPr>
          <w:rFonts w:ascii="Arial"/>
          <w:color w:val="auto"/>
          <w:sz w:val="21"/>
          <w:highlight w:val="none"/>
        </w:rPr>
      </w:pPr>
    </w:p>
    <w:p w14:paraId="3BC28449">
      <w:pPr>
        <w:spacing w:line="243" w:lineRule="auto"/>
        <w:rPr>
          <w:rFonts w:ascii="Arial"/>
          <w:color w:val="auto"/>
          <w:sz w:val="21"/>
          <w:highlight w:val="none"/>
        </w:rPr>
      </w:pPr>
    </w:p>
    <w:p w14:paraId="0D18FEA5">
      <w:pPr>
        <w:spacing w:line="243" w:lineRule="auto"/>
        <w:rPr>
          <w:rFonts w:ascii="Arial"/>
          <w:color w:val="auto"/>
          <w:sz w:val="21"/>
          <w:highlight w:val="none"/>
        </w:rPr>
      </w:pPr>
    </w:p>
    <w:p w14:paraId="7CA43CEF">
      <w:pPr>
        <w:spacing w:line="243" w:lineRule="auto"/>
        <w:rPr>
          <w:rFonts w:ascii="Arial"/>
          <w:color w:val="auto"/>
          <w:sz w:val="21"/>
          <w:highlight w:val="none"/>
        </w:rPr>
      </w:pPr>
    </w:p>
    <w:p w14:paraId="719520E5">
      <w:pPr>
        <w:spacing w:line="243" w:lineRule="auto"/>
        <w:rPr>
          <w:rFonts w:ascii="Arial"/>
          <w:color w:val="auto"/>
          <w:sz w:val="21"/>
          <w:highlight w:val="none"/>
        </w:rPr>
      </w:pPr>
    </w:p>
    <w:p w14:paraId="1805B7A5">
      <w:pPr>
        <w:spacing w:line="243" w:lineRule="auto"/>
        <w:rPr>
          <w:rFonts w:ascii="Arial"/>
          <w:color w:val="auto"/>
          <w:sz w:val="21"/>
          <w:highlight w:val="none"/>
        </w:rPr>
      </w:pPr>
    </w:p>
    <w:p w14:paraId="1BD0B75C">
      <w:pPr>
        <w:spacing w:line="243" w:lineRule="auto"/>
        <w:rPr>
          <w:rFonts w:ascii="Arial"/>
          <w:color w:val="auto"/>
          <w:sz w:val="21"/>
          <w:highlight w:val="none"/>
        </w:rPr>
      </w:pPr>
    </w:p>
    <w:p w14:paraId="74C320F4">
      <w:pPr>
        <w:spacing w:line="243" w:lineRule="auto"/>
        <w:rPr>
          <w:rFonts w:ascii="Arial"/>
          <w:color w:val="auto"/>
          <w:sz w:val="21"/>
          <w:highlight w:val="none"/>
        </w:rPr>
      </w:pPr>
    </w:p>
    <w:p w14:paraId="517915A4">
      <w:pPr>
        <w:spacing w:line="243" w:lineRule="auto"/>
        <w:rPr>
          <w:rFonts w:ascii="Arial"/>
          <w:color w:val="auto"/>
          <w:sz w:val="21"/>
          <w:highlight w:val="none"/>
        </w:rPr>
      </w:pPr>
    </w:p>
    <w:p w14:paraId="3405CE5A">
      <w:pPr>
        <w:spacing w:line="243" w:lineRule="auto"/>
        <w:rPr>
          <w:rFonts w:ascii="Arial"/>
          <w:color w:val="auto"/>
          <w:sz w:val="21"/>
          <w:highlight w:val="none"/>
        </w:rPr>
      </w:pPr>
    </w:p>
    <w:p w14:paraId="4696A11B">
      <w:pPr>
        <w:spacing w:line="243" w:lineRule="auto"/>
        <w:rPr>
          <w:rFonts w:ascii="Arial"/>
          <w:color w:val="auto"/>
          <w:sz w:val="21"/>
          <w:highlight w:val="none"/>
        </w:rPr>
      </w:pPr>
    </w:p>
    <w:p w14:paraId="67C92A51">
      <w:pPr>
        <w:spacing w:line="243" w:lineRule="auto"/>
        <w:rPr>
          <w:rFonts w:ascii="Arial"/>
          <w:color w:val="auto"/>
          <w:sz w:val="21"/>
          <w:highlight w:val="none"/>
        </w:rPr>
      </w:pPr>
    </w:p>
    <w:p w14:paraId="1E451939">
      <w:pPr>
        <w:spacing w:line="243" w:lineRule="auto"/>
        <w:rPr>
          <w:rFonts w:ascii="Arial"/>
          <w:color w:val="auto"/>
          <w:sz w:val="21"/>
          <w:highlight w:val="none"/>
        </w:rPr>
      </w:pPr>
    </w:p>
    <w:p w14:paraId="6930C064">
      <w:pPr>
        <w:spacing w:line="243" w:lineRule="auto"/>
        <w:rPr>
          <w:rFonts w:ascii="Arial"/>
          <w:color w:val="auto"/>
          <w:sz w:val="21"/>
          <w:highlight w:val="none"/>
        </w:rPr>
      </w:pPr>
    </w:p>
    <w:p w14:paraId="14A9D47B">
      <w:pPr>
        <w:spacing w:line="243" w:lineRule="auto"/>
        <w:rPr>
          <w:rFonts w:ascii="Arial"/>
          <w:color w:val="auto"/>
          <w:sz w:val="21"/>
          <w:highlight w:val="none"/>
        </w:rPr>
      </w:pPr>
    </w:p>
    <w:p w14:paraId="7CD9890E">
      <w:pPr>
        <w:spacing w:line="243" w:lineRule="auto"/>
        <w:rPr>
          <w:rFonts w:ascii="Arial"/>
          <w:color w:val="auto"/>
          <w:sz w:val="21"/>
          <w:highlight w:val="none"/>
        </w:rPr>
      </w:pPr>
    </w:p>
    <w:p w14:paraId="70866635">
      <w:pPr>
        <w:spacing w:line="243" w:lineRule="auto"/>
        <w:rPr>
          <w:rFonts w:ascii="Arial"/>
          <w:color w:val="auto"/>
          <w:sz w:val="21"/>
          <w:highlight w:val="none"/>
        </w:rPr>
      </w:pPr>
    </w:p>
    <w:p w14:paraId="370D940A">
      <w:pPr>
        <w:spacing w:line="243" w:lineRule="auto"/>
        <w:rPr>
          <w:rFonts w:ascii="Arial"/>
          <w:color w:val="auto"/>
          <w:sz w:val="21"/>
          <w:highlight w:val="none"/>
        </w:rPr>
      </w:pPr>
    </w:p>
    <w:p w14:paraId="14761D82">
      <w:pPr>
        <w:spacing w:line="243" w:lineRule="auto"/>
        <w:rPr>
          <w:rFonts w:ascii="Arial"/>
          <w:color w:val="auto"/>
          <w:sz w:val="21"/>
          <w:highlight w:val="none"/>
        </w:rPr>
      </w:pPr>
    </w:p>
    <w:p w14:paraId="6A45010C">
      <w:pPr>
        <w:spacing w:line="243" w:lineRule="auto"/>
        <w:rPr>
          <w:rFonts w:ascii="Arial"/>
          <w:color w:val="auto"/>
          <w:sz w:val="21"/>
          <w:highlight w:val="none"/>
        </w:rPr>
      </w:pPr>
    </w:p>
    <w:p w14:paraId="61557FB8">
      <w:pPr>
        <w:pStyle w:val="2"/>
        <w:spacing w:before="91" w:line="206" w:lineRule="auto"/>
        <w:ind w:left="3420"/>
        <w:outlineLvl w:val="1"/>
        <w:rPr>
          <w:color w:val="auto"/>
          <w:sz w:val="28"/>
          <w:szCs w:val="28"/>
          <w:highlight w:val="none"/>
        </w:rPr>
      </w:pPr>
      <w:r>
        <w:rPr>
          <w:b/>
          <w:bCs/>
          <w:color w:val="auto"/>
          <w:spacing w:val="-3"/>
          <w:sz w:val="28"/>
          <w:szCs w:val="28"/>
          <w:highlight w:val="none"/>
        </w:rPr>
        <w:t>初步评审—资格性审查表</w:t>
      </w:r>
    </w:p>
    <w:tbl>
      <w:tblPr>
        <w:tblStyle w:val="13"/>
        <w:tblW w:w="93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7169"/>
        <w:gridCol w:w="482"/>
        <w:gridCol w:w="483"/>
        <w:gridCol w:w="512"/>
      </w:tblGrid>
      <w:tr w14:paraId="4BCF0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18" w:type="dxa"/>
            <w:vMerge w:val="restart"/>
            <w:tcBorders>
              <w:bottom w:val="nil"/>
            </w:tcBorders>
            <w:vAlign w:val="top"/>
          </w:tcPr>
          <w:p w14:paraId="4470A8E8">
            <w:pPr>
              <w:pStyle w:val="14"/>
              <w:spacing w:line="318" w:lineRule="auto"/>
              <w:rPr>
                <w:color w:val="auto"/>
                <w:highlight w:val="none"/>
              </w:rPr>
            </w:pPr>
          </w:p>
          <w:p w14:paraId="18A9D22B">
            <w:pPr>
              <w:pStyle w:val="14"/>
              <w:spacing w:line="318" w:lineRule="auto"/>
              <w:rPr>
                <w:color w:val="auto"/>
                <w:highlight w:val="none"/>
              </w:rPr>
            </w:pPr>
          </w:p>
          <w:p w14:paraId="525E5519">
            <w:pPr>
              <w:spacing w:before="72" w:line="221" w:lineRule="auto"/>
              <w:ind w:left="138"/>
              <w:rPr>
                <w:rFonts w:ascii="宋体" w:hAnsi="宋体" w:eastAsia="宋体" w:cs="宋体"/>
                <w:color w:val="auto"/>
                <w:sz w:val="22"/>
                <w:szCs w:val="22"/>
                <w:highlight w:val="none"/>
              </w:rPr>
            </w:pPr>
            <w:r>
              <w:rPr>
                <w:rFonts w:ascii="宋体" w:hAnsi="宋体" w:eastAsia="宋体" w:cs="宋体"/>
                <w:b/>
                <w:bCs/>
                <w:color w:val="auto"/>
                <w:spacing w:val="-6"/>
                <w:sz w:val="22"/>
                <w:szCs w:val="22"/>
                <w:highlight w:val="none"/>
              </w:rPr>
              <w:t>序号</w:t>
            </w:r>
          </w:p>
        </w:tc>
        <w:tc>
          <w:tcPr>
            <w:tcW w:w="7169" w:type="dxa"/>
            <w:vMerge w:val="restart"/>
            <w:tcBorders>
              <w:bottom w:val="nil"/>
            </w:tcBorders>
            <w:vAlign w:val="top"/>
          </w:tcPr>
          <w:p w14:paraId="5678776A">
            <w:pPr>
              <w:pStyle w:val="14"/>
              <w:spacing w:line="318" w:lineRule="auto"/>
              <w:rPr>
                <w:color w:val="auto"/>
                <w:highlight w:val="none"/>
              </w:rPr>
            </w:pPr>
          </w:p>
          <w:p w14:paraId="01FF14C6">
            <w:pPr>
              <w:pStyle w:val="14"/>
              <w:spacing w:line="318" w:lineRule="auto"/>
              <w:rPr>
                <w:color w:val="auto"/>
                <w:highlight w:val="none"/>
              </w:rPr>
            </w:pPr>
          </w:p>
          <w:p w14:paraId="505942F9">
            <w:pPr>
              <w:spacing w:before="71" w:line="220" w:lineRule="auto"/>
              <w:ind w:left="3145"/>
              <w:rPr>
                <w:rFonts w:ascii="宋体" w:hAnsi="宋体" w:eastAsia="宋体" w:cs="宋体"/>
                <w:color w:val="auto"/>
                <w:sz w:val="22"/>
                <w:szCs w:val="22"/>
                <w:highlight w:val="none"/>
              </w:rPr>
            </w:pPr>
            <w:r>
              <w:rPr>
                <w:rFonts w:ascii="宋体" w:hAnsi="宋体" w:eastAsia="宋体" w:cs="宋体"/>
                <w:b/>
                <w:bCs/>
                <w:color w:val="auto"/>
                <w:spacing w:val="-4"/>
                <w:sz w:val="22"/>
                <w:szCs w:val="22"/>
                <w:highlight w:val="none"/>
              </w:rPr>
              <w:t>评审内容</w:t>
            </w:r>
          </w:p>
        </w:tc>
        <w:tc>
          <w:tcPr>
            <w:tcW w:w="1477" w:type="dxa"/>
            <w:gridSpan w:val="3"/>
            <w:vAlign w:val="top"/>
          </w:tcPr>
          <w:p w14:paraId="5759CB76">
            <w:pPr>
              <w:spacing w:before="67" w:line="208" w:lineRule="auto"/>
              <w:ind w:left="413"/>
              <w:rPr>
                <w:rFonts w:ascii="宋体" w:hAnsi="宋体" w:eastAsia="宋体" w:cs="宋体"/>
                <w:color w:val="auto"/>
                <w:sz w:val="22"/>
                <w:szCs w:val="22"/>
                <w:highlight w:val="none"/>
              </w:rPr>
            </w:pPr>
            <w:r>
              <w:rPr>
                <w:rFonts w:ascii="宋体" w:hAnsi="宋体" w:eastAsia="宋体" w:cs="宋体"/>
                <w:b/>
                <w:bCs/>
                <w:color w:val="auto"/>
                <w:spacing w:val="-5"/>
                <w:sz w:val="22"/>
                <w:szCs w:val="22"/>
                <w:highlight w:val="none"/>
              </w:rPr>
              <w:t>供应商</w:t>
            </w:r>
          </w:p>
        </w:tc>
      </w:tr>
      <w:tr w14:paraId="0D286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718" w:type="dxa"/>
            <w:vMerge w:val="continue"/>
            <w:tcBorders>
              <w:top w:val="nil"/>
            </w:tcBorders>
            <w:vAlign w:val="top"/>
          </w:tcPr>
          <w:p w14:paraId="20390ABA">
            <w:pPr>
              <w:pStyle w:val="14"/>
              <w:rPr>
                <w:color w:val="auto"/>
                <w:highlight w:val="none"/>
              </w:rPr>
            </w:pPr>
          </w:p>
        </w:tc>
        <w:tc>
          <w:tcPr>
            <w:tcW w:w="7169" w:type="dxa"/>
            <w:vMerge w:val="continue"/>
            <w:tcBorders>
              <w:top w:val="nil"/>
            </w:tcBorders>
            <w:vAlign w:val="top"/>
          </w:tcPr>
          <w:p w14:paraId="3C73977B">
            <w:pPr>
              <w:pStyle w:val="14"/>
              <w:rPr>
                <w:color w:val="auto"/>
                <w:highlight w:val="none"/>
              </w:rPr>
            </w:pPr>
          </w:p>
        </w:tc>
        <w:tc>
          <w:tcPr>
            <w:tcW w:w="482" w:type="dxa"/>
            <w:textDirection w:val="tbRlV"/>
            <w:vAlign w:val="top"/>
          </w:tcPr>
          <w:p w14:paraId="02A5185B">
            <w:pPr>
              <w:spacing w:before="121" w:line="208" w:lineRule="auto"/>
              <w:ind w:left="62"/>
              <w:rPr>
                <w:rFonts w:ascii="宋体" w:hAnsi="宋体" w:eastAsia="宋体" w:cs="宋体"/>
                <w:color w:val="auto"/>
                <w:sz w:val="22"/>
                <w:szCs w:val="22"/>
                <w:highlight w:val="none"/>
              </w:rPr>
            </w:pPr>
            <w:r>
              <w:rPr>
                <w:rFonts w:ascii="宋体" w:hAnsi="宋体" w:eastAsia="宋体" w:cs="宋体"/>
                <w:b/>
                <w:bCs/>
                <w:color w:val="auto"/>
                <w:spacing w:val="-3"/>
                <w:sz w:val="22"/>
                <w:szCs w:val="22"/>
                <w:highlight w:val="none"/>
              </w:rPr>
              <w:t>是</w:t>
            </w:r>
            <w:r>
              <w:rPr>
                <w:rFonts w:ascii="宋体" w:hAnsi="宋体" w:eastAsia="宋体" w:cs="宋体"/>
                <w:color w:val="auto"/>
                <w:spacing w:val="-9"/>
                <w:sz w:val="22"/>
                <w:szCs w:val="22"/>
                <w:highlight w:val="none"/>
              </w:rPr>
              <w:t xml:space="preserve"> </w:t>
            </w:r>
            <w:r>
              <w:rPr>
                <w:rFonts w:ascii="宋体" w:hAnsi="宋体" w:eastAsia="宋体" w:cs="宋体"/>
                <w:b/>
                <w:bCs/>
                <w:color w:val="auto"/>
                <w:spacing w:val="-3"/>
                <w:sz w:val="22"/>
                <w:szCs w:val="22"/>
                <w:highlight w:val="none"/>
              </w:rPr>
              <w:t>否</w:t>
            </w:r>
            <w:r>
              <w:rPr>
                <w:rFonts w:ascii="宋体" w:hAnsi="宋体" w:eastAsia="宋体" w:cs="宋体"/>
                <w:color w:val="auto"/>
                <w:spacing w:val="-10"/>
                <w:sz w:val="22"/>
                <w:szCs w:val="22"/>
                <w:highlight w:val="none"/>
              </w:rPr>
              <w:t xml:space="preserve"> </w:t>
            </w:r>
            <w:r>
              <w:rPr>
                <w:rFonts w:ascii="宋体" w:hAnsi="宋体" w:eastAsia="宋体" w:cs="宋体"/>
                <w:b/>
                <w:bCs/>
                <w:color w:val="auto"/>
                <w:spacing w:val="-3"/>
                <w:sz w:val="22"/>
                <w:szCs w:val="22"/>
                <w:highlight w:val="none"/>
              </w:rPr>
              <w:t>合</w:t>
            </w:r>
            <w:r>
              <w:rPr>
                <w:rFonts w:ascii="宋体" w:hAnsi="宋体" w:eastAsia="宋体" w:cs="宋体"/>
                <w:color w:val="auto"/>
                <w:spacing w:val="-10"/>
                <w:sz w:val="22"/>
                <w:szCs w:val="22"/>
                <w:highlight w:val="none"/>
              </w:rPr>
              <w:t xml:space="preserve"> </w:t>
            </w:r>
            <w:r>
              <w:rPr>
                <w:rFonts w:ascii="宋体" w:hAnsi="宋体" w:eastAsia="宋体" w:cs="宋体"/>
                <w:b/>
                <w:bCs/>
                <w:color w:val="auto"/>
                <w:spacing w:val="-3"/>
                <w:sz w:val="22"/>
                <w:szCs w:val="22"/>
                <w:highlight w:val="none"/>
              </w:rPr>
              <w:t>格</w:t>
            </w:r>
          </w:p>
        </w:tc>
        <w:tc>
          <w:tcPr>
            <w:tcW w:w="483" w:type="dxa"/>
            <w:textDirection w:val="tbRlV"/>
            <w:vAlign w:val="top"/>
          </w:tcPr>
          <w:p w14:paraId="297982D4">
            <w:pPr>
              <w:spacing w:before="121" w:line="208" w:lineRule="auto"/>
              <w:ind w:left="62"/>
              <w:rPr>
                <w:rFonts w:ascii="宋体" w:hAnsi="宋体" w:eastAsia="宋体" w:cs="宋体"/>
                <w:color w:val="auto"/>
                <w:sz w:val="22"/>
                <w:szCs w:val="22"/>
                <w:highlight w:val="none"/>
              </w:rPr>
            </w:pPr>
            <w:r>
              <w:rPr>
                <w:rFonts w:ascii="宋体" w:hAnsi="宋体" w:eastAsia="宋体" w:cs="宋体"/>
                <w:b/>
                <w:bCs/>
                <w:color w:val="auto"/>
                <w:spacing w:val="-3"/>
                <w:sz w:val="22"/>
                <w:szCs w:val="22"/>
                <w:highlight w:val="none"/>
              </w:rPr>
              <w:t>是</w:t>
            </w:r>
            <w:r>
              <w:rPr>
                <w:rFonts w:ascii="宋体" w:hAnsi="宋体" w:eastAsia="宋体" w:cs="宋体"/>
                <w:color w:val="auto"/>
                <w:spacing w:val="-9"/>
                <w:sz w:val="22"/>
                <w:szCs w:val="22"/>
                <w:highlight w:val="none"/>
              </w:rPr>
              <w:t xml:space="preserve"> </w:t>
            </w:r>
            <w:r>
              <w:rPr>
                <w:rFonts w:ascii="宋体" w:hAnsi="宋体" w:eastAsia="宋体" w:cs="宋体"/>
                <w:b/>
                <w:bCs/>
                <w:color w:val="auto"/>
                <w:spacing w:val="-3"/>
                <w:sz w:val="22"/>
                <w:szCs w:val="22"/>
                <w:highlight w:val="none"/>
              </w:rPr>
              <w:t>否</w:t>
            </w:r>
            <w:r>
              <w:rPr>
                <w:rFonts w:ascii="宋体" w:hAnsi="宋体" w:eastAsia="宋体" w:cs="宋体"/>
                <w:color w:val="auto"/>
                <w:spacing w:val="-10"/>
                <w:sz w:val="22"/>
                <w:szCs w:val="22"/>
                <w:highlight w:val="none"/>
              </w:rPr>
              <w:t xml:space="preserve"> </w:t>
            </w:r>
            <w:r>
              <w:rPr>
                <w:rFonts w:ascii="宋体" w:hAnsi="宋体" w:eastAsia="宋体" w:cs="宋体"/>
                <w:b/>
                <w:bCs/>
                <w:color w:val="auto"/>
                <w:spacing w:val="-3"/>
                <w:sz w:val="22"/>
                <w:szCs w:val="22"/>
                <w:highlight w:val="none"/>
              </w:rPr>
              <w:t>合</w:t>
            </w:r>
            <w:r>
              <w:rPr>
                <w:rFonts w:ascii="宋体" w:hAnsi="宋体" w:eastAsia="宋体" w:cs="宋体"/>
                <w:color w:val="auto"/>
                <w:spacing w:val="-10"/>
                <w:sz w:val="22"/>
                <w:szCs w:val="22"/>
                <w:highlight w:val="none"/>
              </w:rPr>
              <w:t xml:space="preserve"> </w:t>
            </w:r>
            <w:r>
              <w:rPr>
                <w:rFonts w:ascii="宋体" w:hAnsi="宋体" w:eastAsia="宋体" w:cs="宋体"/>
                <w:b/>
                <w:bCs/>
                <w:color w:val="auto"/>
                <w:spacing w:val="-3"/>
                <w:sz w:val="22"/>
                <w:szCs w:val="22"/>
                <w:highlight w:val="none"/>
              </w:rPr>
              <w:t>格</w:t>
            </w:r>
          </w:p>
        </w:tc>
        <w:tc>
          <w:tcPr>
            <w:tcW w:w="512" w:type="dxa"/>
            <w:textDirection w:val="tbRlV"/>
            <w:vAlign w:val="top"/>
          </w:tcPr>
          <w:p w14:paraId="25B975B5">
            <w:pPr>
              <w:spacing w:before="138" w:line="208" w:lineRule="auto"/>
              <w:ind w:left="62"/>
              <w:rPr>
                <w:rFonts w:ascii="宋体" w:hAnsi="宋体" w:eastAsia="宋体" w:cs="宋体"/>
                <w:color w:val="auto"/>
                <w:sz w:val="22"/>
                <w:szCs w:val="22"/>
                <w:highlight w:val="none"/>
              </w:rPr>
            </w:pPr>
            <w:r>
              <w:rPr>
                <w:rFonts w:ascii="宋体" w:hAnsi="宋体" w:eastAsia="宋体" w:cs="宋体"/>
                <w:b/>
                <w:bCs/>
                <w:color w:val="auto"/>
                <w:spacing w:val="-3"/>
                <w:sz w:val="22"/>
                <w:szCs w:val="22"/>
                <w:highlight w:val="none"/>
              </w:rPr>
              <w:t>是</w:t>
            </w:r>
            <w:r>
              <w:rPr>
                <w:rFonts w:ascii="宋体" w:hAnsi="宋体" w:eastAsia="宋体" w:cs="宋体"/>
                <w:color w:val="auto"/>
                <w:spacing w:val="-9"/>
                <w:sz w:val="22"/>
                <w:szCs w:val="22"/>
                <w:highlight w:val="none"/>
              </w:rPr>
              <w:t xml:space="preserve"> </w:t>
            </w:r>
            <w:r>
              <w:rPr>
                <w:rFonts w:ascii="宋体" w:hAnsi="宋体" w:eastAsia="宋体" w:cs="宋体"/>
                <w:b/>
                <w:bCs/>
                <w:color w:val="auto"/>
                <w:spacing w:val="-3"/>
                <w:sz w:val="22"/>
                <w:szCs w:val="22"/>
                <w:highlight w:val="none"/>
              </w:rPr>
              <w:t>否</w:t>
            </w:r>
            <w:r>
              <w:rPr>
                <w:rFonts w:ascii="宋体" w:hAnsi="宋体" w:eastAsia="宋体" w:cs="宋体"/>
                <w:color w:val="auto"/>
                <w:spacing w:val="-10"/>
                <w:sz w:val="22"/>
                <w:szCs w:val="22"/>
                <w:highlight w:val="none"/>
              </w:rPr>
              <w:t xml:space="preserve"> </w:t>
            </w:r>
            <w:r>
              <w:rPr>
                <w:rFonts w:ascii="宋体" w:hAnsi="宋体" w:eastAsia="宋体" w:cs="宋体"/>
                <w:b/>
                <w:bCs/>
                <w:color w:val="auto"/>
                <w:spacing w:val="-3"/>
                <w:sz w:val="22"/>
                <w:szCs w:val="22"/>
                <w:highlight w:val="none"/>
              </w:rPr>
              <w:t>合</w:t>
            </w:r>
            <w:r>
              <w:rPr>
                <w:rFonts w:ascii="宋体" w:hAnsi="宋体" w:eastAsia="宋体" w:cs="宋体"/>
                <w:color w:val="auto"/>
                <w:spacing w:val="-10"/>
                <w:sz w:val="22"/>
                <w:szCs w:val="22"/>
                <w:highlight w:val="none"/>
              </w:rPr>
              <w:t xml:space="preserve"> </w:t>
            </w:r>
            <w:r>
              <w:rPr>
                <w:rFonts w:ascii="宋体" w:hAnsi="宋体" w:eastAsia="宋体" w:cs="宋体"/>
                <w:b/>
                <w:bCs/>
                <w:color w:val="auto"/>
                <w:spacing w:val="-3"/>
                <w:sz w:val="22"/>
                <w:szCs w:val="22"/>
                <w:highlight w:val="none"/>
              </w:rPr>
              <w:t>格</w:t>
            </w:r>
          </w:p>
        </w:tc>
      </w:tr>
      <w:tr w14:paraId="66364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8" w:type="dxa"/>
            <w:vAlign w:val="top"/>
          </w:tcPr>
          <w:p w14:paraId="27EA7B5B">
            <w:pPr>
              <w:spacing w:before="105" w:line="224" w:lineRule="exact"/>
              <w:ind w:left="312"/>
              <w:rPr>
                <w:rFonts w:ascii="微软雅黑" w:hAnsi="微软雅黑" w:eastAsia="微软雅黑" w:cs="微软雅黑"/>
                <w:color w:val="auto"/>
                <w:sz w:val="21"/>
                <w:szCs w:val="21"/>
                <w:highlight w:val="none"/>
              </w:rPr>
            </w:pPr>
            <w:r>
              <w:rPr>
                <w:rFonts w:ascii="微软雅黑" w:hAnsi="微软雅黑" w:eastAsia="微软雅黑" w:cs="微软雅黑"/>
                <w:color w:val="auto"/>
                <w:position w:val="-1"/>
                <w:sz w:val="21"/>
                <w:szCs w:val="21"/>
                <w:highlight w:val="none"/>
              </w:rPr>
              <w:t>1</w:t>
            </w:r>
          </w:p>
        </w:tc>
        <w:tc>
          <w:tcPr>
            <w:tcW w:w="7169" w:type="dxa"/>
            <w:vAlign w:val="top"/>
          </w:tcPr>
          <w:p w14:paraId="77213BFD">
            <w:pPr>
              <w:spacing w:before="88" w:line="160" w:lineRule="auto"/>
              <w:ind w:left="102"/>
              <w:rPr>
                <w:rFonts w:ascii="微软雅黑" w:hAnsi="微软雅黑" w:eastAsia="微软雅黑" w:cs="微软雅黑"/>
                <w:color w:val="auto"/>
                <w:sz w:val="21"/>
                <w:szCs w:val="21"/>
                <w:highlight w:val="none"/>
              </w:rPr>
            </w:pPr>
            <w:r>
              <w:rPr>
                <w:rFonts w:ascii="微软雅黑" w:hAnsi="微软雅黑" w:eastAsia="微软雅黑" w:cs="微软雅黑"/>
                <w:color w:val="auto"/>
                <w:spacing w:val="-1"/>
                <w:sz w:val="21"/>
                <w:szCs w:val="21"/>
                <w:highlight w:val="none"/>
              </w:rPr>
              <w:t>具有三证合一企业法人营业执照副本原件的扫描件</w:t>
            </w:r>
          </w:p>
        </w:tc>
        <w:tc>
          <w:tcPr>
            <w:tcW w:w="482" w:type="dxa"/>
            <w:vAlign w:val="top"/>
          </w:tcPr>
          <w:p w14:paraId="18F74A23">
            <w:pPr>
              <w:pStyle w:val="14"/>
              <w:rPr>
                <w:color w:val="auto"/>
                <w:highlight w:val="none"/>
              </w:rPr>
            </w:pPr>
          </w:p>
        </w:tc>
        <w:tc>
          <w:tcPr>
            <w:tcW w:w="483" w:type="dxa"/>
            <w:vAlign w:val="top"/>
          </w:tcPr>
          <w:p w14:paraId="040A84D3">
            <w:pPr>
              <w:pStyle w:val="14"/>
              <w:rPr>
                <w:color w:val="auto"/>
                <w:highlight w:val="none"/>
              </w:rPr>
            </w:pPr>
          </w:p>
        </w:tc>
        <w:tc>
          <w:tcPr>
            <w:tcW w:w="512" w:type="dxa"/>
            <w:vAlign w:val="top"/>
          </w:tcPr>
          <w:p w14:paraId="67DD5B02">
            <w:pPr>
              <w:pStyle w:val="14"/>
              <w:rPr>
                <w:color w:val="auto"/>
                <w:highlight w:val="none"/>
              </w:rPr>
            </w:pPr>
          </w:p>
        </w:tc>
      </w:tr>
      <w:tr w14:paraId="736F0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18" w:type="dxa"/>
            <w:vAlign w:val="top"/>
          </w:tcPr>
          <w:p w14:paraId="17752AAA">
            <w:pPr>
              <w:spacing w:before="277" w:line="172" w:lineRule="auto"/>
              <w:ind w:left="302"/>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2</w:t>
            </w:r>
          </w:p>
        </w:tc>
        <w:tc>
          <w:tcPr>
            <w:tcW w:w="7169" w:type="dxa"/>
            <w:vAlign w:val="top"/>
          </w:tcPr>
          <w:p w14:paraId="05689648">
            <w:pPr>
              <w:spacing w:before="89" w:line="193" w:lineRule="auto"/>
              <w:ind w:left="101" w:right="98"/>
              <w:rPr>
                <w:rFonts w:ascii="微软雅黑" w:hAnsi="微软雅黑" w:eastAsia="微软雅黑" w:cs="微软雅黑"/>
                <w:color w:val="auto"/>
                <w:sz w:val="21"/>
                <w:szCs w:val="21"/>
                <w:highlight w:val="none"/>
              </w:rPr>
            </w:pPr>
            <w:r>
              <w:rPr>
                <w:rFonts w:ascii="微软雅黑" w:hAnsi="微软雅黑" w:eastAsia="微软雅黑" w:cs="微软雅黑"/>
                <w:color w:val="auto"/>
                <w:spacing w:val="-1"/>
                <w:sz w:val="21"/>
                <w:szCs w:val="21"/>
                <w:highlight w:val="none"/>
              </w:rPr>
              <w:t>提供法定代表人资格证明及授权书、被授权人身份证复印</w:t>
            </w:r>
            <w:r>
              <w:rPr>
                <w:rFonts w:ascii="微软雅黑" w:hAnsi="微软雅黑" w:eastAsia="微软雅黑" w:cs="微软雅黑"/>
                <w:color w:val="auto"/>
                <w:spacing w:val="-2"/>
                <w:sz w:val="21"/>
                <w:szCs w:val="21"/>
                <w:highlight w:val="none"/>
              </w:rPr>
              <w:t>件；(法定代表人投</w:t>
            </w:r>
            <w:r>
              <w:rPr>
                <w:rFonts w:ascii="微软雅黑" w:hAnsi="微软雅黑" w:eastAsia="微软雅黑" w:cs="微软雅黑"/>
                <w:color w:val="auto"/>
                <w:sz w:val="21"/>
                <w:szCs w:val="21"/>
                <w:highlight w:val="none"/>
              </w:rPr>
              <w:t xml:space="preserve"> </w:t>
            </w:r>
            <w:r>
              <w:rPr>
                <w:rFonts w:ascii="微软雅黑" w:hAnsi="微软雅黑" w:eastAsia="微软雅黑" w:cs="微软雅黑"/>
                <w:color w:val="auto"/>
                <w:spacing w:val="-1"/>
                <w:sz w:val="21"/>
                <w:szCs w:val="21"/>
                <w:highlight w:val="none"/>
              </w:rPr>
              <w:t>标需提供法定代表人身份证复印件)</w:t>
            </w:r>
          </w:p>
        </w:tc>
        <w:tc>
          <w:tcPr>
            <w:tcW w:w="482" w:type="dxa"/>
            <w:vAlign w:val="top"/>
          </w:tcPr>
          <w:p w14:paraId="580E6865">
            <w:pPr>
              <w:pStyle w:val="14"/>
              <w:rPr>
                <w:color w:val="auto"/>
                <w:highlight w:val="none"/>
              </w:rPr>
            </w:pPr>
          </w:p>
        </w:tc>
        <w:tc>
          <w:tcPr>
            <w:tcW w:w="483" w:type="dxa"/>
            <w:vAlign w:val="top"/>
          </w:tcPr>
          <w:p w14:paraId="1F6E3705">
            <w:pPr>
              <w:pStyle w:val="14"/>
              <w:rPr>
                <w:color w:val="auto"/>
                <w:highlight w:val="none"/>
              </w:rPr>
            </w:pPr>
          </w:p>
        </w:tc>
        <w:tc>
          <w:tcPr>
            <w:tcW w:w="512" w:type="dxa"/>
            <w:vAlign w:val="top"/>
          </w:tcPr>
          <w:p w14:paraId="4BAAEE53">
            <w:pPr>
              <w:pStyle w:val="14"/>
              <w:rPr>
                <w:color w:val="auto"/>
                <w:highlight w:val="none"/>
              </w:rPr>
            </w:pPr>
          </w:p>
        </w:tc>
      </w:tr>
      <w:tr w14:paraId="75677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18" w:type="dxa"/>
            <w:vAlign w:val="top"/>
          </w:tcPr>
          <w:p w14:paraId="751B5423">
            <w:pPr>
              <w:spacing w:before="278" w:line="172" w:lineRule="auto"/>
              <w:ind w:left="305"/>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3</w:t>
            </w:r>
          </w:p>
        </w:tc>
        <w:tc>
          <w:tcPr>
            <w:tcW w:w="7169" w:type="dxa"/>
            <w:vAlign w:val="top"/>
          </w:tcPr>
          <w:p w14:paraId="50971CAD">
            <w:pPr>
              <w:spacing w:before="89" w:line="193" w:lineRule="auto"/>
              <w:ind w:left="102" w:right="162"/>
              <w:rPr>
                <w:rFonts w:ascii="微软雅黑" w:hAnsi="微软雅黑" w:eastAsia="微软雅黑" w:cs="微软雅黑"/>
                <w:color w:val="auto"/>
                <w:sz w:val="21"/>
                <w:szCs w:val="21"/>
                <w:highlight w:val="none"/>
              </w:rPr>
            </w:pPr>
            <w:r>
              <w:rPr>
                <w:rFonts w:ascii="微软雅黑" w:hAnsi="微软雅黑" w:eastAsia="微软雅黑" w:cs="微软雅黑"/>
                <w:color w:val="auto"/>
                <w:spacing w:val="-1"/>
                <w:sz w:val="21"/>
                <w:szCs w:val="21"/>
                <w:highlight w:val="none"/>
              </w:rPr>
              <w:t>具有良好的商业信誉和健全的财务会计制度（投标人提供</w:t>
            </w:r>
            <w:r>
              <w:rPr>
                <w:rFonts w:hint="eastAsia" w:ascii="微软雅黑" w:hAnsi="微软雅黑" w:eastAsia="微软雅黑" w:cs="微软雅黑"/>
                <w:color w:val="auto"/>
                <w:spacing w:val="-1"/>
                <w:sz w:val="21"/>
                <w:szCs w:val="21"/>
                <w:highlight w:val="none"/>
                <w:lang w:val="en-US" w:eastAsia="zh-CN"/>
              </w:rPr>
              <w:t>2023年度或</w:t>
            </w:r>
            <w:r>
              <w:rPr>
                <w:rFonts w:ascii="微软雅黑" w:hAnsi="微软雅黑" w:eastAsia="微软雅黑" w:cs="微软雅黑"/>
                <w:color w:val="auto"/>
                <w:spacing w:val="-1"/>
                <w:sz w:val="21"/>
                <w:szCs w:val="21"/>
                <w:highlight w:val="none"/>
              </w:rPr>
              <w:t xml:space="preserve"> 202</w:t>
            </w:r>
            <w:r>
              <w:rPr>
                <w:rFonts w:hint="eastAsia" w:ascii="微软雅黑" w:hAnsi="微软雅黑" w:eastAsia="微软雅黑" w:cs="微软雅黑"/>
                <w:color w:val="auto"/>
                <w:spacing w:val="-1"/>
                <w:sz w:val="21"/>
                <w:szCs w:val="21"/>
                <w:highlight w:val="none"/>
                <w:lang w:val="en-US" w:eastAsia="zh-CN"/>
              </w:rPr>
              <w:t>4</w:t>
            </w:r>
            <w:r>
              <w:rPr>
                <w:rFonts w:ascii="微软雅黑" w:hAnsi="微软雅黑" w:eastAsia="微软雅黑" w:cs="微软雅黑"/>
                <w:color w:val="auto"/>
                <w:spacing w:val="-1"/>
                <w:sz w:val="21"/>
                <w:szCs w:val="21"/>
                <w:highlight w:val="none"/>
              </w:rPr>
              <w:t xml:space="preserve"> 年财务审计</w:t>
            </w:r>
            <w:r>
              <w:rPr>
                <w:rFonts w:ascii="微软雅黑" w:hAnsi="微软雅黑" w:eastAsia="微软雅黑" w:cs="微软雅黑"/>
                <w:color w:val="auto"/>
                <w:spacing w:val="-2"/>
                <w:sz w:val="21"/>
                <w:szCs w:val="21"/>
                <w:highlight w:val="none"/>
              </w:rPr>
              <w:t>报告，新成立未满一年的公司提供开标前 1 个月内有效银行资信证明）</w:t>
            </w:r>
          </w:p>
        </w:tc>
        <w:tc>
          <w:tcPr>
            <w:tcW w:w="482" w:type="dxa"/>
            <w:vAlign w:val="top"/>
          </w:tcPr>
          <w:p w14:paraId="5846835B">
            <w:pPr>
              <w:pStyle w:val="14"/>
              <w:rPr>
                <w:color w:val="auto"/>
                <w:highlight w:val="none"/>
              </w:rPr>
            </w:pPr>
          </w:p>
        </w:tc>
        <w:tc>
          <w:tcPr>
            <w:tcW w:w="483" w:type="dxa"/>
            <w:vAlign w:val="top"/>
          </w:tcPr>
          <w:p w14:paraId="6534AC16">
            <w:pPr>
              <w:pStyle w:val="14"/>
              <w:rPr>
                <w:color w:val="auto"/>
                <w:highlight w:val="none"/>
              </w:rPr>
            </w:pPr>
          </w:p>
        </w:tc>
        <w:tc>
          <w:tcPr>
            <w:tcW w:w="512" w:type="dxa"/>
            <w:vAlign w:val="top"/>
          </w:tcPr>
          <w:p w14:paraId="1D18D8A2">
            <w:pPr>
              <w:pStyle w:val="14"/>
              <w:rPr>
                <w:color w:val="auto"/>
                <w:highlight w:val="none"/>
              </w:rPr>
            </w:pPr>
          </w:p>
        </w:tc>
      </w:tr>
      <w:tr w14:paraId="32374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718" w:type="dxa"/>
            <w:vAlign w:val="top"/>
          </w:tcPr>
          <w:p w14:paraId="0BAD80EC">
            <w:pPr>
              <w:pStyle w:val="14"/>
              <w:spacing w:line="348" w:lineRule="auto"/>
              <w:rPr>
                <w:color w:val="auto"/>
                <w:highlight w:val="none"/>
              </w:rPr>
            </w:pPr>
          </w:p>
          <w:p w14:paraId="6A190940">
            <w:pPr>
              <w:pStyle w:val="14"/>
              <w:spacing w:line="349" w:lineRule="auto"/>
              <w:rPr>
                <w:color w:val="auto"/>
                <w:highlight w:val="none"/>
              </w:rPr>
            </w:pPr>
          </w:p>
          <w:p w14:paraId="4C056529">
            <w:pPr>
              <w:spacing w:before="91" w:line="170" w:lineRule="auto"/>
              <w:ind w:left="292"/>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4</w:t>
            </w:r>
          </w:p>
        </w:tc>
        <w:tc>
          <w:tcPr>
            <w:tcW w:w="7169" w:type="dxa"/>
            <w:vAlign w:val="top"/>
          </w:tcPr>
          <w:p w14:paraId="465FBC92">
            <w:pPr>
              <w:spacing w:before="89" w:line="213" w:lineRule="auto"/>
              <w:ind w:left="101" w:right="35"/>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有依法缴纳社会保障资金的良好记录；须提供近六个月内任意一个</w:t>
            </w:r>
            <w:r>
              <w:rPr>
                <w:rFonts w:ascii="微软雅黑" w:hAnsi="微软雅黑" w:eastAsia="微软雅黑" w:cs="微软雅黑"/>
                <w:color w:val="auto"/>
                <w:spacing w:val="-1"/>
                <w:sz w:val="21"/>
                <w:szCs w:val="21"/>
                <w:highlight w:val="none"/>
              </w:rPr>
              <w:t>月的法人</w:t>
            </w:r>
            <w:r>
              <w:rPr>
                <w:rFonts w:ascii="微软雅黑" w:hAnsi="微软雅黑" w:eastAsia="微软雅黑" w:cs="微软雅黑"/>
                <w:color w:val="auto"/>
                <w:sz w:val="21"/>
                <w:szCs w:val="21"/>
                <w:highlight w:val="none"/>
              </w:rPr>
              <w:t xml:space="preserve">  及被授权人&lt;被授权人必须为投标单位正式员工&gt;社保部门出具的</w:t>
            </w:r>
            <w:r>
              <w:rPr>
                <w:rFonts w:ascii="微软雅黑" w:hAnsi="微软雅黑" w:eastAsia="微软雅黑" w:cs="微软雅黑"/>
                <w:color w:val="auto"/>
                <w:spacing w:val="-1"/>
                <w:sz w:val="21"/>
                <w:szCs w:val="21"/>
                <w:highlight w:val="none"/>
              </w:rPr>
              <w:t>投标单位</w:t>
            </w:r>
            <w:r>
              <w:rPr>
                <w:rFonts w:ascii="微软雅黑" w:hAnsi="微软雅黑" w:eastAsia="微软雅黑" w:cs="微软雅黑"/>
                <w:color w:val="auto"/>
                <w:sz w:val="21"/>
                <w:szCs w:val="21"/>
                <w:highlight w:val="none"/>
              </w:rPr>
              <w:t xml:space="preserve">    的缴纳社保证明和法人及被授权人缴纳社保明细表原件扫描</w:t>
            </w:r>
            <w:r>
              <w:rPr>
                <w:rFonts w:ascii="微软雅黑" w:hAnsi="微软雅黑" w:eastAsia="微软雅黑" w:cs="微软雅黑"/>
                <w:color w:val="auto"/>
                <w:spacing w:val="-1"/>
                <w:sz w:val="21"/>
                <w:szCs w:val="21"/>
                <w:highlight w:val="none"/>
              </w:rPr>
              <w:t>件/复印件&lt;社保</w:t>
            </w:r>
            <w:r>
              <w:rPr>
                <w:rFonts w:ascii="微软雅黑" w:hAnsi="微软雅黑" w:eastAsia="微软雅黑" w:cs="微软雅黑"/>
                <w:color w:val="auto"/>
                <w:sz w:val="21"/>
                <w:szCs w:val="21"/>
                <w:highlight w:val="none"/>
              </w:rPr>
              <w:t xml:space="preserve">  </w:t>
            </w:r>
            <w:r>
              <w:rPr>
                <w:rFonts w:ascii="微软雅黑" w:hAnsi="微软雅黑" w:eastAsia="微软雅黑" w:cs="微软雅黑"/>
                <w:color w:val="auto"/>
                <w:spacing w:val="-4"/>
                <w:sz w:val="21"/>
                <w:szCs w:val="21"/>
                <w:highlight w:val="none"/>
              </w:rPr>
              <w:t>证明可提供一下任意一个：社保缴费凭证、社保缴费证明、社保缴费汇总单、</w:t>
            </w:r>
            <w:r>
              <w:rPr>
                <w:rFonts w:ascii="微软雅黑" w:hAnsi="微软雅黑" w:eastAsia="微软雅黑" w:cs="微软雅黑"/>
                <w:color w:val="auto"/>
                <w:spacing w:val="17"/>
                <w:sz w:val="21"/>
                <w:szCs w:val="21"/>
                <w:highlight w:val="none"/>
              </w:rPr>
              <w:t xml:space="preserve"> </w:t>
            </w:r>
            <w:r>
              <w:rPr>
                <w:rFonts w:ascii="微软雅黑" w:hAnsi="微软雅黑" w:eastAsia="微软雅黑" w:cs="微软雅黑"/>
                <w:color w:val="auto"/>
                <w:spacing w:val="-3"/>
                <w:sz w:val="21"/>
                <w:szCs w:val="21"/>
                <w:highlight w:val="none"/>
              </w:rPr>
              <w:t>依法缴纳社保的完税证明&gt;；</w:t>
            </w:r>
          </w:p>
        </w:tc>
        <w:tc>
          <w:tcPr>
            <w:tcW w:w="482" w:type="dxa"/>
            <w:vAlign w:val="top"/>
          </w:tcPr>
          <w:p w14:paraId="49BF287F">
            <w:pPr>
              <w:pStyle w:val="14"/>
              <w:rPr>
                <w:color w:val="auto"/>
                <w:highlight w:val="none"/>
              </w:rPr>
            </w:pPr>
          </w:p>
        </w:tc>
        <w:tc>
          <w:tcPr>
            <w:tcW w:w="483" w:type="dxa"/>
            <w:vAlign w:val="top"/>
          </w:tcPr>
          <w:p w14:paraId="6B92060C">
            <w:pPr>
              <w:pStyle w:val="14"/>
              <w:rPr>
                <w:color w:val="auto"/>
                <w:highlight w:val="none"/>
              </w:rPr>
            </w:pPr>
          </w:p>
        </w:tc>
        <w:tc>
          <w:tcPr>
            <w:tcW w:w="512" w:type="dxa"/>
            <w:vAlign w:val="top"/>
          </w:tcPr>
          <w:p w14:paraId="0B00AF3D">
            <w:pPr>
              <w:pStyle w:val="14"/>
              <w:rPr>
                <w:color w:val="auto"/>
                <w:highlight w:val="none"/>
              </w:rPr>
            </w:pPr>
          </w:p>
        </w:tc>
      </w:tr>
      <w:tr w14:paraId="424A3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718" w:type="dxa"/>
            <w:vAlign w:val="top"/>
          </w:tcPr>
          <w:p w14:paraId="5BE788A9">
            <w:pPr>
              <w:pStyle w:val="14"/>
              <w:spacing w:line="361" w:lineRule="auto"/>
              <w:rPr>
                <w:color w:val="auto"/>
                <w:highlight w:val="none"/>
              </w:rPr>
            </w:pPr>
          </w:p>
          <w:p w14:paraId="22D92644">
            <w:pPr>
              <w:spacing w:before="90" w:line="170" w:lineRule="auto"/>
              <w:ind w:left="308"/>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5</w:t>
            </w:r>
          </w:p>
        </w:tc>
        <w:tc>
          <w:tcPr>
            <w:tcW w:w="7169" w:type="dxa"/>
            <w:vAlign w:val="top"/>
          </w:tcPr>
          <w:p w14:paraId="5B3340A3">
            <w:pPr>
              <w:spacing w:before="94" w:line="203" w:lineRule="auto"/>
              <w:ind w:left="101" w:right="98"/>
              <w:jc w:val="both"/>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有依法缴纳税收的良好记录；投标单位近六个月内任意一个月依法</w:t>
            </w:r>
            <w:r>
              <w:rPr>
                <w:rFonts w:ascii="微软雅黑" w:hAnsi="微软雅黑" w:eastAsia="微软雅黑" w:cs="微软雅黑"/>
                <w:color w:val="auto"/>
                <w:spacing w:val="-1"/>
                <w:sz w:val="21"/>
                <w:szCs w:val="21"/>
                <w:highlight w:val="none"/>
              </w:rPr>
              <w:t>缴纳税收</w:t>
            </w:r>
            <w:r>
              <w:rPr>
                <w:rFonts w:ascii="微软雅黑" w:hAnsi="微软雅黑" w:eastAsia="微软雅黑" w:cs="微软雅黑"/>
                <w:color w:val="auto"/>
                <w:sz w:val="21"/>
                <w:szCs w:val="21"/>
                <w:highlight w:val="none"/>
              </w:rPr>
              <w:t xml:space="preserve"> </w:t>
            </w:r>
            <w:r>
              <w:rPr>
                <w:rFonts w:ascii="微软雅黑" w:hAnsi="微软雅黑" w:eastAsia="微软雅黑" w:cs="微软雅黑"/>
                <w:color w:val="auto"/>
                <w:spacing w:val="-2"/>
                <w:sz w:val="21"/>
                <w:szCs w:val="21"/>
                <w:highlight w:val="none"/>
              </w:rPr>
              <w:t>的完税证明原件扫描件/复印件，依法免缴的，应提供依法免缴的相关证明文</w:t>
            </w:r>
            <w:r>
              <w:rPr>
                <w:rFonts w:ascii="微软雅黑" w:hAnsi="微软雅黑" w:eastAsia="微软雅黑" w:cs="微软雅黑"/>
                <w:color w:val="auto"/>
                <w:spacing w:val="6"/>
                <w:sz w:val="21"/>
                <w:szCs w:val="21"/>
                <w:highlight w:val="none"/>
              </w:rPr>
              <w:t xml:space="preserve"> </w:t>
            </w:r>
            <w:r>
              <w:rPr>
                <w:rFonts w:ascii="微软雅黑" w:hAnsi="微软雅黑" w:eastAsia="微软雅黑" w:cs="微软雅黑"/>
                <w:color w:val="auto"/>
                <w:spacing w:val="-2"/>
                <w:sz w:val="21"/>
                <w:szCs w:val="21"/>
                <w:highlight w:val="none"/>
              </w:rPr>
              <w:t>件或零申报报表（新公司提交上述内容实际证明材料</w:t>
            </w:r>
            <w:r>
              <w:rPr>
                <w:rFonts w:ascii="微软雅黑" w:hAnsi="微软雅黑" w:eastAsia="微软雅黑" w:cs="微软雅黑"/>
                <w:color w:val="auto"/>
                <w:spacing w:val="2"/>
                <w:sz w:val="21"/>
                <w:szCs w:val="21"/>
                <w:highlight w:val="none"/>
              </w:rPr>
              <w:t>）；</w:t>
            </w:r>
          </w:p>
        </w:tc>
        <w:tc>
          <w:tcPr>
            <w:tcW w:w="482" w:type="dxa"/>
            <w:vAlign w:val="top"/>
          </w:tcPr>
          <w:p w14:paraId="48BEC724">
            <w:pPr>
              <w:pStyle w:val="14"/>
              <w:rPr>
                <w:color w:val="auto"/>
                <w:highlight w:val="none"/>
              </w:rPr>
            </w:pPr>
          </w:p>
        </w:tc>
        <w:tc>
          <w:tcPr>
            <w:tcW w:w="483" w:type="dxa"/>
            <w:vAlign w:val="top"/>
          </w:tcPr>
          <w:p w14:paraId="10761504">
            <w:pPr>
              <w:pStyle w:val="14"/>
              <w:rPr>
                <w:color w:val="auto"/>
                <w:highlight w:val="none"/>
              </w:rPr>
            </w:pPr>
          </w:p>
        </w:tc>
        <w:tc>
          <w:tcPr>
            <w:tcW w:w="512" w:type="dxa"/>
            <w:vAlign w:val="top"/>
          </w:tcPr>
          <w:p w14:paraId="1442A1C7">
            <w:pPr>
              <w:pStyle w:val="14"/>
              <w:rPr>
                <w:color w:val="auto"/>
                <w:highlight w:val="none"/>
              </w:rPr>
            </w:pPr>
          </w:p>
        </w:tc>
      </w:tr>
      <w:tr w14:paraId="5345C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18" w:type="dxa"/>
            <w:vAlign w:val="top"/>
          </w:tcPr>
          <w:p w14:paraId="244FF523">
            <w:pPr>
              <w:pStyle w:val="14"/>
              <w:spacing w:line="288" w:lineRule="auto"/>
              <w:rPr>
                <w:color w:val="auto"/>
                <w:highlight w:val="none"/>
              </w:rPr>
            </w:pPr>
          </w:p>
          <w:p w14:paraId="44E058E0">
            <w:pPr>
              <w:pStyle w:val="14"/>
              <w:spacing w:line="289" w:lineRule="auto"/>
              <w:rPr>
                <w:color w:val="auto"/>
                <w:highlight w:val="none"/>
              </w:rPr>
            </w:pPr>
          </w:p>
          <w:p w14:paraId="09F6E55B">
            <w:pPr>
              <w:pStyle w:val="14"/>
              <w:spacing w:line="289" w:lineRule="auto"/>
              <w:rPr>
                <w:color w:val="auto"/>
                <w:highlight w:val="none"/>
              </w:rPr>
            </w:pPr>
          </w:p>
          <w:p w14:paraId="25CBD76E">
            <w:pPr>
              <w:spacing w:before="90" w:line="172" w:lineRule="auto"/>
              <w:ind w:left="302"/>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6</w:t>
            </w:r>
          </w:p>
        </w:tc>
        <w:tc>
          <w:tcPr>
            <w:tcW w:w="7169" w:type="dxa"/>
            <w:vAlign w:val="top"/>
          </w:tcPr>
          <w:p w14:paraId="3492B72E">
            <w:pPr>
              <w:spacing w:before="95" w:line="183" w:lineRule="auto"/>
              <w:ind w:left="100"/>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参加本次招标项目的供应商，不得在中国政府</w:t>
            </w:r>
            <w:r>
              <w:rPr>
                <w:rFonts w:ascii="微软雅黑" w:hAnsi="微软雅黑" w:eastAsia="微软雅黑" w:cs="微软雅黑"/>
                <w:color w:val="auto"/>
                <w:spacing w:val="-1"/>
                <w:sz w:val="21"/>
                <w:szCs w:val="21"/>
                <w:highlight w:val="none"/>
              </w:rPr>
              <w:t>采购网</w:t>
            </w:r>
          </w:p>
          <w:p w14:paraId="23058D28">
            <w:pPr>
              <w:spacing w:before="28" w:line="217" w:lineRule="auto"/>
              <w:ind w:left="100" w:right="26" w:firstLine="30"/>
              <w:rPr>
                <w:rFonts w:ascii="微软雅黑" w:hAnsi="微软雅黑" w:eastAsia="微软雅黑" w:cs="微软雅黑"/>
                <w:color w:val="auto"/>
                <w:sz w:val="21"/>
                <w:szCs w:val="21"/>
                <w:highlight w:val="none"/>
              </w:rPr>
            </w:pPr>
            <w:r>
              <w:rPr>
                <w:rFonts w:ascii="微软雅黑" w:hAnsi="微软雅黑" w:eastAsia="微软雅黑" w:cs="微软雅黑"/>
                <w:color w:val="auto"/>
                <w:spacing w:val="-1"/>
                <w:sz w:val="21"/>
                <w:szCs w:val="21"/>
                <w:highlight w:val="none"/>
              </w:rPr>
              <w:t>（</w:t>
            </w:r>
            <w:r>
              <w:rPr>
                <w:color w:val="auto"/>
                <w:highlight w:val="none"/>
              </w:rPr>
              <w:fldChar w:fldCharType="begin"/>
            </w:r>
            <w:r>
              <w:rPr>
                <w:color w:val="auto"/>
                <w:highlight w:val="none"/>
              </w:rPr>
              <w:instrText xml:space="preserve"> HYPERLINK "http://www.ccgp.gov.cn/search/cr/" </w:instrText>
            </w:r>
            <w:r>
              <w:rPr>
                <w:color w:val="auto"/>
                <w:highlight w:val="none"/>
              </w:rPr>
              <w:fldChar w:fldCharType="separate"/>
            </w:r>
            <w:r>
              <w:rPr>
                <w:rFonts w:ascii="微软雅黑" w:hAnsi="微软雅黑" w:eastAsia="微软雅黑" w:cs="微软雅黑"/>
                <w:color w:val="auto"/>
                <w:spacing w:val="-1"/>
                <w:sz w:val="21"/>
                <w:szCs w:val="21"/>
                <w:highlight w:val="none"/>
              </w:rPr>
              <w:t>http://www.ccgp.gov.cn/search/cr/</w:t>
            </w:r>
            <w:r>
              <w:rPr>
                <w:rFonts w:ascii="微软雅黑" w:hAnsi="微软雅黑" w:eastAsia="微软雅黑" w:cs="微软雅黑"/>
                <w:color w:val="auto"/>
                <w:spacing w:val="-1"/>
                <w:sz w:val="21"/>
                <w:szCs w:val="21"/>
                <w:highlight w:val="none"/>
              </w:rPr>
              <w:fldChar w:fldCharType="end"/>
            </w:r>
            <w:r>
              <w:rPr>
                <w:rFonts w:ascii="微软雅黑" w:hAnsi="微软雅黑" w:eastAsia="微软雅黑" w:cs="微软雅黑"/>
                <w:color w:val="auto"/>
                <w:spacing w:val="-1"/>
                <w:sz w:val="21"/>
                <w:szCs w:val="21"/>
                <w:highlight w:val="none"/>
              </w:rPr>
              <w:t>）存在严重违法失信行为记录名单</w:t>
            </w:r>
            <w:r>
              <w:rPr>
                <w:rFonts w:ascii="微软雅黑" w:hAnsi="微软雅黑" w:eastAsia="微软雅黑" w:cs="微软雅黑"/>
                <w:color w:val="auto"/>
                <w:spacing w:val="2"/>
                <w:sz w:val="21"/>
                <w:szCs w:val="21"/>
                <w:highlight w:val="none"/>
              </w:rPr>
              <w:t xml:space="preserve">    </w:t>
            </w:r>
            <w:r>
              <w:rPr>
                <w:rFonts w:ascii="微软雅黑" w:hAnsi="微软雅黑" w:eastAsia="微软雅黑" w:cs="微软雅黑"/>
                <w:color w:val="auto"/>
                <w:spacing w:val="-5"/>
                <w:sz w:val="21"/>
                <w:szCs w:val="21"/>
                <w:highlight w:val="none"/>
              </w:rPr>
              <w:t>（尚在处罚期内的</w:t>
            </w:r>
            <w:r>
              <w:rPr>
                <w:rFonts w:ascii="微软雅黑" w:hAnsi="微软雅黑" w:eastAsia="微软雅黑" w:cs="微软雅黑"/>
                <w:color w:val="auto"/>
                <w:spacing w:val="-41"/>
                <w:sz w:val="21"/>
                <w:szCs w:val="21"/>
                <w:highlight w:val="none"/>
              </w:rPr>
              <w:t>）；</w:t>
            </w:r>
            <w:r>
              <w:rPr>
                <w:rFonts w:ascii="微软雅黑" w:hAnsi="微软雅黑" w:eastAsia="微软雅黑" w:cs="微软雅黑"/>
                <w:color w:val="auto"/>
                <w:spacing w:val="-5"/>
                <w:sz w:val="21"/>
                <w:szCs w:val="21"/>
                <w:highlight w:val="none"/>
              </w:rPr>
              <w:t>近三年内</w:t>
            </w:r>
            <w:r>
              <w:rPr>
                <w:rFonts w:ascii="微软雅黑" w:hAnsi="微软雅黑" w:eastAsia="微软雅黑" w:cs="微软雅黑"/>
                <w:color w:val="auto"/>
                <w:spacing w:val="-4"/>
                <w:sz w:val="21"/>
                <w:szCs w:val="21"/>
                <w:highlight w:val="none"/>
              </w:rPr>
              <w:t>不得在“信用中国”网站（www.creditchina.gov.cn）被列入失信被执行人、</w:t>
            </w:r>
            <w:r>
              <w:rPr>
                <w:rFonts w:ascii="微软雅黑" w:hAnsi="微软雅黑" w:eastAsia="微软雅黑" w:cs="微软雅黑"/>
                <w:color w:val="auto"/>
                <w:sz w:val="21"/>
                <w:szCs w:val="21"/>
                <w:highlight w:val="none"/>
              </w:rPr>
              <w:t>重大税收违法失信主体内将拒绝其参加本次招标活动。以上内容由投</w:t>
            </w:r>
            <w:r>
              <w:rPr>
                <w:rFonts w:ascii="微软雅黑" w:hAnsi="微软雅黑" w:eastAsia="微软雅黑" w:cs="微软雅黑"/>
                <w:color w:val="auto"/>
                <w:spacing w:val="-1"/>
                <w:sz w:val="21"/>
                <w:szCs w:val="21"/>
                <w:highlight w:val="none"/>
              </w:rPr>
              <w:t>标企业</w:t>
            </w:r>
            <w:r>
              <w:rPr>
                <w:rFonts w:ascii="微软雅黑" w:hAnsi="微软雅黑" w:eastAsia="微软雅黑" w:cs="微软雅黑"/>
                <w:color w:val="auto"/>
                <w:spacing w:val="-2"/>
                <w:sz w:val="21"/>
                <w:szCs w:val="21"/>
                <w:highlight w:val="none"/>
              </w:rPr>
              <w:t>自行承诺，由采购人或采购代理机构在投标截止后核查；</w:t>
            </w:r>
          </w:p>
        </w:tc>
        <w:tc>
          <w:tcPr>
            <w:tcW w:w="482" w:type="dxa"/>
            <w:vAlign w:val="top"/>
          </w:tcPr>
          <w:p w14:paraId="3553DFAF">
            <w:pPr>
              <w:pStyle w:val="14"/>
              <w:rPr>
                <w:color w:val="auto"/>
                <w:highlight w:val="none"/>
              </w:rPr>
            </w:pPr>
          </w:p>
        </w:tc>
        <w:tc>
          <w:tcPr>
            <w:tcW w:w="483" w:type="dxa"/>
            <w:vAlign w:val="top"/>
          </w:tcPr>
          <w:p w14:paraId="292FB69B">
            <w:pPr>
              <w:pStyle w:val="14"/>
              <w:rPr>
                <w:color w:val="auto"/>
                <w:highlight w:val="none"/>
              </w:rPr>
            </w:pPr>
          </w:p>
        </w:tc>
        <w:tc>
          <w:tcPr>
            <w:tcW w:w="512" w:type="dxa"/>
            <w:vAlign w:val="top"/>
          </w:tcPr>
          <w:p w14:paraId="0B2A91EC">
            <w:pPr>
              <w:pStyle w:val="14"/>
              <w:rPr>
                <w:color w:val="auto"/>
                <w:highlight w:val="none"/>
              </w:rPr>
            </w:pPr>
          </w:p>
        </w:tc>
      </w:tr>
      <w:tr w14:paraId="519AF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8" w:type="dxa"/>
            <w:vAlign w:val="top"/>
          </w:tcPr>
          <w:p w14:paraId="217E88B5">
            <w:pPr>
              <w:spacing w:before="117" w:line="212" w:lineRule="exact"/>
              <w:ind w:left="301"/>
              <w:rPr>
                <w:rFonts w:ascii="微软雅黑" w:hAnsi="微软雅黑" w:eastAsia="微软雅黑" w:cs="微软雅黑"/>
                <w:color w:val="auto"/>
                <w:sz w:val="21"/>
                <w:szCs w:val="21"/>
                <w:highlight w:val="none"/>
              </w:rPr>
            </w:pPr>
            <w:r>
              <w:rPr>
                <w:rFonts w:ascii="微软雅黑" w:hAnsi="微软雅黑" w:eastAsia="微软雅黑" w:cs="微软雅黑"/>
                <w:color w:val="auto"/>
                <w:position w:val="-4"/>
                <w:sz w:val="21"/>
                <w:szCs w:val="21"/>
                <w:highlight w:val="none"/>
              </w:rPr>
              <w:t>7</w:t>
            </w:r>
          </w:p>
        </w:tc>
        <w:tc>
          <w:tcPr>
            <w:tcW w:w="7169" w:type="dxa"/>
            <w:vAlign w:val="top"/>
          </w:tcPr>
          <w:p w14:paraId="50CB8D5D">
            <w:pPr>
              <w:spacing w:before="97" w:line="232" w:lineRule="exact"/>
              <w:ind w:left="101"/>
              <w:rPr>
                <w:rFonts w:hint="eastAsia" w:ascii="微软雅黑" w:hAnsi="微软雅黑" w:eastAsia="微软雅黑" w:cs="微软雅黑"/>
                <w:color w:val="auto"/>
                <w:sz w:val="21"/>
                <w:szCs w:val="21"/>
                <w:highlight w:val="none"/>
                <w:lang w:val="en-US" w:eastAsia="zh-CN"/>
              </w:rPr>
            </w:pPr>
            <w:r>
              <w:rPr>
                <w:rFonts w:ascii="微软雅黑" w:hAnsi="微软雅黑" w:eastAsia="微软雅黑" w:cs="微软雅黑"/>
                <w:color w:val="auto"/>
                <w:sz w:val="21"/>
                <w:szCs w:val="21"/>
                <w:highlight w:val="none"/>
              </w:rPr>
              <w:t>提供针对本次项目《反商业贿赂承诺书》</w:t>
            </w:r>
            <w:r>
              <w:rPr>
                <w:rFonts w:hint="eastAsia" w:ascii="微软雅黑" w:hAnsi="微软雅黑" w:eastAsia="微软雅黑" w:cs="微软雅黑"/>
                <w:color w:val="auto"/>
                <w:sz w:val="21"/>
                <w:szCs w:val="21"/>
                <w:highlight w:val="none"/>
                <w:lang w:val="en-US" w:eastAsia="zh-CN"/>
              </w:rPr>
              <w:t>；</w:t>
            </w:r>
          </w:p>
        </w:tc>
        <w:tc>
          <w:tcPr>
            <w:tcW w:w="482" w:type="dxa"/>
            <w:vAlign w:val="top"/>
          </w:tcPr>
          <w:p w14:paraId="3D95A6FD">
            <w:pPr>
              <w:pStyle w:val="14"/>
              <w:rPr>
                <w:color w:val="auto"/>
                <w:highlight w:val="none"/>
              </w:rPr>
            </w:pPr>
          </w:p>
        </w:tc>
        <w:tc>
          <w:tcPr>
            <w:tcW w:w="483" w:type="dxa"/>
            <w:vAlign w:val="top"/>
          </w:tcPr>
          <w:p w14:paraId="1E94C027">
            <w:pPr>
              <w:pStyle w:val="14"/>
              <w:rPr>
                <w:color w:val="auto"/>
                <w:highlight w:val="none"/>
              </w:rPr>
            </w:pPr>
          </w:p>
        </w:tc>
        <w:tc>
          <w:tcPr>
            <w:tcW w:w="512" w:type="dxa"/>
            <w:vAlign w:val="top"/>
          </w:tcPr>
          <w:p w14:paraId="59A53F61">
            <w:pPr>
              <w:pStyle w:val="14"/>
              <w:rPr>
                <w:color w:val="auto"/>
                <w:highlight w:val="none"/>
              </w:rPr>
            </w:pPr>
          </w:p>
        </w:tc>
      </w:tr>
      <w:tr w14:paraId="1B2B7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8" w:type="dxa"/>
            <w:vAlign w:val="top"/>
          </w:tcPr>
          <w:p w14:paraId="0E33715E">
            <w:pPr>
              <w:spacing w:before="114" w:line="216" w:lineRule="exact"/>
              <w:ind w:left="300"/>
              <w:rPr>
                <w:rFonts w:ascii="微软雅黑" w:hAnsi="微软雅黑" w:eastAsia="微软雅黑" w:cs="微软雅黑"/>
                <w:color w:val="auto"/>
                <w:sz w:val="21"/>
                <w:szCs w:val="21"/>
                <w:highlight w:val="none"/>
              </w:rPr>
            </w:pPr>
            <w:r>
              <w:rPr>
                <w:rFonts w:ascii="微软雅黑" w:hAnsi="微软雅黑" w:eastAsia="微软雅黑" w:cs="微软雅黑"/>
                <w:color w:val="auto"/>
                <w:position w:val="-4"/>
                <w:sz w:val="21"/>
                <w:szCs w:val="21"/>
                <w:highlight w:val="none"/>
              </w:rPr>
              <w:t>8</w:t>
            </w:r>
          </w:p>
        </w:tc>
        <w:tc>
          <w:tcPr>
            <w:tcW w:w="7169" w:type="dxa"/>
            <w:vAlign w:val="top"/>
          </w:tcPr>
          <w:p w14:paraId="61F69AB6">
            <w:pPr>
              <w:spacing w:before="97" w:line="232" w:lineRule="exact"/>
              <w:ind w:left="101"/>
              <w:rPr>
                <w:rFonts w:hint="eastAsia" w:ascii="微软雅黑" w:hAnsi="微软雅黑" w:eastAsia="微软雅黑" w:cs="微软雅黑"/>
                <w:color w:val="auto"/>
                <w:sz w:val="21"/>
                <w:szCs w:val="21"/>
                <w:highlight w:val="none"/>
                <w:lang w:val="en-US" w:eastAsia="zh-CN"/>
              </w:rPr>
            </w:pPr>
            <w:r>
              <w:rPr>
                <w:rFonts w:ascii="微软雅黑" w:hAnsi="微软雅黑" w:eastAsia="微软雅黑" w:cs="微软雅黑"/>
                <w:color w:val="auto"/>
                <w:spacing w:val="-1"/>
                <w:sz w:val="21"/>
                <w:szCs w:val="21"/>
                <w:highlight w:val="none"/>
              </w:rPr>
              <w:t>提供缴纳投标保证金的有效凭证</w:t>
            </w:r>
            <w:r>
              <w:rPr>
                <w:rFonts w:hint="eastAsia" w:ascii="微软雅黑" w:hAnsi="微软雅黑" w:eastAsia="微软雅黑" w:cs="微软雅黑"/>
                <w:color w:val="auto"/>
                <w:spacing w:val="-1"/>
                <w:sz w:val="21"/>
                <w:szCs w:val="21"/>
                <w:highlight w:val="none"/>
                <w:lang w:val="en-US" w:eastAsia="zh-CN"/>
              </w:rPr>
              <w:t>；</w:t>
            </w:r>
          </w:p>
        </w:tc>
        <w:tc>
          <w:tcPr>
            <w:tcW w:w="482" w:type="dxa"/>
            <w:vAlign w:val="top"/>
          </w:tcPr>
          <w:p w14:paraId="0A57BD55">
            <w:pPr>
              <w:pStyle w:val="14"/>
              <w:rPr>
                <w:color w:val="auto"/>
                <w:highlight w:val="none"/>
              </w:rPr>
            </w:pPr>
          </w:p>
        </w:tc>
        <w:tc>
          <w:tcPr>
            <w:tcW w:w="483" w:type="dxa"/>
            <w:vAlign w:val="top"/>
          </w:tcPr>
          <w:p w14:paraId="75235520">
            <w:pPr>
              <w:pStyle w:val="14"/>
              <w:rPr>
                <w:color w:val="auto"/>
                <w:highlight w:val="none"/>
              </w:rPr>
            </w:pPr>
          </w:p>
        </w:tc>
        <w:tc>
          <w:tcPr>
            <w:tcW w:w="512" w:type="dxa"/>
            <w:vAlign w:val="top"/>
          </w:tcPr>
          <w:p w14:paraId="4CF62D1D">
            <w:pPr>
              <w:pStyle w:val="14"/>
              <w:rPr>
                <w:color w:val="auto"/>
                <w:highlight w:val="none"/>
              </w:rPr>
            </w:pPr>
          </w:p>
        </w:tc>
      </w:tr>
      <w:tr w14:paraId="1469A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18" w:type="dxa"/>
            <w:vAlign w:val="top"/>
          </w:tcPr>
          <w:p w14:paraId="3309A567">
            <w:pPr>
              <w:spacing w:before="284" w:line="172" w:lineRule="auto"/>
              <w:ind w:firstLine="210" w:firstLineChars="100"/>
              <w:jc w:val="both"/>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9</w:t>
            </w:r>
          </w:p>
        </w:tc>
        <w:tc>
          <w:tcPr>
            <w:tcW w:w="7169" w:type="dxa"/>
            <w:vAlign w:val="top"/>
          </w:tcPr>
          <w:p w14:paraId="38FBEE52">
            <w:pPr>
              <w:spacing w:before="98" w:line="190" w:lineRule="auto"/>
              <w:ind w:left="100" w:right="340" w:firstLine="2"/>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请根据要求单独上传《中小企业声明函》。</w:t>
            </w:r>
          </w:p>
        </w:tc>
        <w:tc>
          <w:tcPr>
            <w:tcW w:w="482" w:type="dxa"/>
            <w:vAlign w:val="top"/>
          </w:tcPr>
          <w:p w14:paraId="173FB029">
            <w:pPr>
              <w:pStyle w:val="14"/>
              <w:rPr>
                <w:color w:val="auto"/>
                <w:highlight w:val="none"/>
              </w:rPr>
            </w:pPr>
          </w:p>
        </w:tc>
        <w:tc>
          <w:tcPr>
            <w:tcW w:w="483" w:type="dxa"/>
            <w:vAlign w:val="top"/>
          </w:tcPr>
          <w:p w14:paraId="1DDC7E2B">
            <w:pPr>
              <w:pStyle w:val="14"/>
              <w:rPr>
                <w:color w:val="auto"/>
                <w:highlight w:val="none"/>
              </w:rPr>
            </w:pPr>
          </w:p>
        </w:tc>
        <w:tc>
          <w:tcPr>
            <w:tcW w:w="512" w:type="dxa"/>
            <w:vAlign w:val="top"/>
          </w:tcPr>
          <w:p w14:paraId="481777EA">
            <w:pPr>
              <w:pStyle w:val="14"/>
              <w:rPr>
                <w:color w:val="auto"/>
                <w:highlight w:val="none"/>
              </w:rPr>
            </w:pPr>
          </w:p>
        </w:tc>
      </w:tr>
      <w:tr w14:paraId="1ECC3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718" w:type="dxa"/>
            <w:vAlign w:val="top"/>
          </w:tcPr>
          <w:p w14:paraId="71DF46C3">
            <w:pPr>
              <w:spacing w:before="98" w:line="190" w:lineRule="auto"/>
              <w:ind w:right="340"/>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10</w:t>
            </w:r>
          </w:p>
        </w:tc>
        <w:tc>
          <w:tcPr>
            <w:tcW w:w="7169" w:type="dxa"/>
            <w:vAlign w:val="top"/>
          </w:tcPr>
          <w:p w14:paraId="5B16F10E">
            <w:pPr>
              <w:spacing w:before="98" w:line="190" w:lineRule="auto"/>
              <w:ind w:left="100" w:right="340" w:firstLine="2"/>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eastAsia="zh-CN"/>
              </w:rPr>
              <w:t>供应商应具备工程监理综合资质或建筑工程</w:t>
            </w:r>
            <w:r>
              <w:rPr>
                <w:rFonts w:hint="eastAsia" w:ascii="微软雅黑" w:hAnsi="微软雅黑" w:eastAsia="微软雅黑" w:cs="微软雅黑"/>
                <w:color w:val="auto"/>
                <w:sz w:val="21"/>
                <w:szCs w:val="21"/>
                <w:highlight w:val="none"/>
                <w:lang w:val="en-US" w:eastAsia="zh-CN"/>
              </w:rPr>
              <w:t>和市政工程</w:t>
            </w:r>
            <w:r>
              <w:rPr>
                <w:rFonts w:hint="eastAsia" w:ascii="微软雅黑" w:hAnsi="微软雅黑" w:eastAsia="微软雅黑" w:cs="微软雅黑"/>
                <w:color w:val="auto"/>
                <w:sz w:val="21"/>
                <w:szCs w:val="21"/>
                <w:highlight w:val="none"/>
                <w:lang w:eastAsia="zh-CN"/>
              </w:rPr>
              <w:t>监理乙级（含乙级）以上资质。</w:t>
            </w:r>
            <w:r>
              <w:rPr>
                <w:rFonts w:hint="eastAsia" w:ascii="微软雅黑" w:hAnsi="微软雅黑" w:eastAsia="微软雅黑" w:cs="微软雅黑"/>
                <w:color w:val="auto"/>
                <w:sz w:val="21"/>
                <w:szCs w:val="21"/>
                <w:highlight w:val="none"/>
              </w:rPr>
              <w:t> </w:t>
            </w:r>
          </w:p>
        </w:tc>
        <w:tc>
          <w:tcPr>
            <w:tcW w:w="482" w:type="dxa"/>
            <w:vAlign w:val="top"/>
          </w:tcPr>
          <w:p w14:paraId="3B9FA112">
            <w:pPr>
              <w:pStyle w:val="14"/>
              <w:rPr>
                <w:color w:val="auto"/>
                <w:highlight w:val="none"/>
              </w:rPr>
            </w:pPr>
          </w:p>
        </w:tc>
        <w:tc>
          <w:tcPr>
            <w:tcW w:w="483" w:type="dxa"/>
            <w:vAlign w:val="top"/>
          </w:tcPr>
          <w:p w14:paraId="153D0EB6">
            <w:pPr>
              <w:pStyle w:val="14"/>
              <w:rPr>
                <w:color w:val="auto"/>
                <w:highlight w:val="none"/>
              </w:rPr>
            </w:pPr>
          </w:p>
        </w:tc>
        <w:tc>
          <w:tcPr>
            <w:tcW w:w="512" w:type="dxa"/>
            <w:vAlign w:val="top"/>
          </w:tcPr>
          <w:p w14:paraId="06631D47">
            <w:pPr>
              <w:pStyle w:val="14"/>
              <w:rPr>
                <w:color w:val="auto"/>
                <w:highlight w:val="none"/>
              </w:rPr>
            </w:pPr>
          </w:p>
        </w:tc>
      </w:tr>
      <w:tr w14:paraId="14366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18" w:type="dxa"/>
            <w:vAlign w:val="top"/>
          </w:tcPr>
          <w:p w14:paraId="53E72A82">
            <w:pPr>
              <w:pStyle w:val="14"/>
              <w:rPr>
                <w:color w:val="auto"/>
                <w:highlight w:val="none"/>
              </w:rPr>
            </w:pPr>
          </w:p>
        </w:tc>
        <w:tc>
          <w:tcPr>
            <w:tcW w:w="7169" w:type="dxa"/>
            <w:vAlign w:val="top"/>
          </w:tcPr>
          <w:p w14:paraId="370EDED2">
            <w:pPr>
              <w:spacing w:before="97" w:line="221" w:lineRule="auto"/>
              <w:ind w:left="112"/>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结论</w:t>
            </w:r>
          </w:p>
        </w:tc>
        <w:tc>
          <w:tcPr>
            <w:tcW w:w="482" w:type="dxa"/>
            <w:vAlign w:val="top"/>
          </w:tcPr>
          <w:p w14:paraId="6E1A708E">
            <w:pPr>
              <w:pStyle w:val="14"/>
              <w:rPr>
                <w:color w:val="auto"/>
                <w:highlight w:val="none"/>
              </w:rPr>
            </w:pPr>
          </w:p>
        </w:tc>
        <w:tc>
          <w:tcPr>
            <w:tcW w:w="483" w:type="dxa"/>
            <w:vAlign w:val="top"/>
          </w:tcPr>
          <w:p w14:paraId="5DADC9DD">
            <w:pPr>
              <w:pStyle w:val="14"/>
              <w:rPr>
                <w:color w:val="auto"/>
                <w:highlight w:val="none"/>
              </w:rPr>
            </w:pPr>
          </w:p>
        </w:tc>
        <w:tc>
          <w:tcPr>
            <w:tcW w:w="512" w:type="dxa"/>
            <w:vAlign w:val="top"/>
          </w:tcPr>
          <w:p w14:paraId="3596AE1B">
            <w:pPr>
              <w:pStyle w:val="14"/>
              <w:rPr>
                <w:color w:val="auto"/>
                <w:highlight w:val="none"/>
              </w:rPr>
            </w:pPr>
          </w:p>
        </w:tc>
      </w:tr>
    </w:tbl>
    <w:p w14:paraId="48811203">
      <w:pPr>
        <w:pStyle w:val="2"/>
        <w:spacing w:before="139" w:line="220" w:lineRule="auto"/>
        <w:ind w:left="618"/>
        <w:rPr>
          <w:color w:val="auto"/>
          <w:sz w:val="21"/>
          <w:szCs w:val="21"/>
          <w:highlight w:val="none"/>
        </w:rPr>
      </w:pPr>
      <w:r>
        <w:rPr>
          <w:color w:val="auto"/>
          <w:spacing w:val="-14"/>
          <w:sz w:val="21"/>
          <w:szCs w:val="21"/>
          <w:highlight w:val="none"/>
        </w:rPr>
        <w:t>说明：</w:t>
      </w:r>
    </w:p>
    <w:p w14:paraId="64F932A4">
      <w:pPr>
        <w:pStyle w:val="2"/>
        <w:spacing w:before="149" w:line="220" w:lineRule="auto"/>
        <w:ind w:left="621"/>
        <w:rPr>
          <w:color w:val="auto"/>
          <w:sz w:val="21"/>
          <w:szCs w:val="21"/>
          <w:highlight w:val="none"/>
        </w:rPr>
      </w:pPr>
      <w:r>
        <w:rPr>
          <w:color w:val="auto"/>
          <w:spacing w:val="-5"/>
          <w:sz w:val="21"/>
          <w:szCs w:val="21"/>
          <w:highlight w:val="none"/>
        </w:rPr>
        <w:t>（1）上述各项中用“</w:t>
      </w:r>
      <w:r>
        <w:rPr>
          <w:color w:val="auto"/>
          <w:spacing w:val="-36"/>
          <w:sz w:val="21"/>
          <w:szCs w:val="21"/>
          <w:highlight w:val="none"/>
        </w:rPr>
        <w:t xml:space="preserve"> </w:t>
      </w:r>
      <w:r>
        <w:rPr>
          <w:color w:val="auto"/>
          <w:spacing w:val="-5"/>
          <w:sz w:val="21"/>
          <w:szCs w:val="21"/>
          <w:highlight w:val="none"/>
        </w:rPr>
        <w:t>√”表示合格，“×”表示不合格；</w:t>
      </w:r>
    </w:p>
    <w:p w14:paraId="523F74B4">
      <w:pPr>
        <w:pStyle w:val="2"/>
        <w:spacing w:before="149" w:line="286" w:lineRule="auto"/>
        <w:ind w:left="1247" w:right="385" w:hanging="627"/>
        <w:rPr>
          <w:color w:val="auto"/>
          <w:sz w:val="21"/>
          <w:szCs w:val="21"/>
          <w:highlight w:val="none"/>
        </w:rPr>
      </w:pPr>
      <w:r>
        <w:rPr>
          <w:color w:val="auto"/>
          <w:sz w:val="21"/>
          <w:szCs w:val="21"/>
          <w:highlight w:val="none"/>
        </w:rPr>
        <w:t>（2）上述各项中如有一项为“×”</w:t>
      </w:r>
      <w:r>
        <w:rPr>
          <w:color w:val="auto"/>
          <w:spacing w:val="-61"/>
          <w:sz w:val="21"/>
          <w:szCs w:val="21"/>
          <w:highlight w:val="none"/>
        </w:rPr>
        <w:t xml:space="preserve"> </w:t>
      </w:r>
      <w:r>
        <w:rPr>
          <w:color w:val="auto"/>
          <w:sz w:val="21"/>
          <w:szCs w:val="21"/>
          <w:highlight w:val="none"/>
        </w:rPr>
        <w:t>，则结论为“×”</w:t>
      </w:r>
      <w:r>
        <w:rPr>
          <w:color w:val="auto"/>
          <w:spacing w:val="-76"/>
          <w:sz w:val="21"/>
          <w:szCs w:val="21"/>
          <w:highlight w:val="none"/>
        </w:rPr>
        <w:t xml:space="preserve"> </w:t>
      </w:r>
      <w:r>
        <w:rPr>
          <w:color w:val="auto"/>
          <w:sz w:val="21"/>
          <w:szCs w:val="21"/>
          <w:highlight w:val="none"/>
        </w:rPr>
        <w:t xml:space="preserve">，表示该响应文件中存在重大偏差， </w:t>
      </w:r>
      <w:r>
        <w:rPr>
          <w:color w:val="auto"/>
          <w:spacing w:val="-1"/>
          <w:sz w:val="21"/>
          <w:szCs w:val="21"/>
          <w:highlight w:val="none"/>
        </w:rPr>
        <w:t>不能通过初步评审；评委对某一分项评审认为不合格时</w:t>
      </w:r>
      <w:r>
        <w:rPr>
          <w:color w:val="auto"/>
          <w:spacing w:val="-2"/>
          <w:sz w:val="21"/>
          <w:szCs w:val="21"/>
          <w:highlight w:val="none"/>
        </w:rPr>
        <w:t>，必须要写明原因。</w:t>
      </w:r>
    </w:p>
    <w:p w14:paraId="2F3DA98F">
      <w:pPr>
        <w:pStyle w:val="2"/>
        <w:spacing w:before="150" w:line="220" w:lineRule="auto"/>
        <w:ind w:left="561"/>
        <w:rPr>
          <w:color w:val="auto"/>
          <w:sz w:val="21"/>
          <w:szCs w:val="21"/>
          <w:highlight w:val="none"/>
        </w:rPr>
      </w:pPr>
      <w:r>
        <w:rPr>
          <w:color w:val="auto"/>
          <w:spacing w:val="-1"/>
          <w:sz w:val="21"/>
          <w:szCs w:val="21"/>
          <w:highlight w:val="none"/>
        </w:rPr>
        <w:t>（3）响应文件最终合格与否，以所有评委的评审意见中少数服从</w:t>
      </w:r>
      <w:r>
        <w:rPr>
          <w:color w:val="auto"/>
          <w:spacing w:val="-2"/>
          <w:sz w:val="21"/>
          <w:szCs w:val="21"/>
          <w:highlight w:val="none"/>
        </w:rPr>
        <w:t>多数为原则定论。</w:t>
      </w:r>
    </w:p>
    <w:p w14:paraId="68E07367">
      <w:pPr>
        <w:pStyle w:val="2"/>
        <w:spacing w:before="150" w:line="219" w:lineRule="auto"/>
        <w:ind w:left="559"/>
        <w:rPr>
          <w:color w:val="auto"/>
          <w:sz w:val="21"/>
          <w:szCs w:val="21"/>
          <w:highlight w:val="none"/>
        </w:rPr>
      </w:pPr>
      <w:r>
        <w:rPr>
          <w:b/>
          <w:bCs/>
          <w:color w:val="auto"/>
          <w:spacing w:val="-2"/>
          <w:sz w:val="21"/>
          <w:szCs w:val="21"/>
          <w:highlight w:val="none"/>
        </w:rPr>
        <w:t>未通过资格审查的供应商不进入评标；通过资格审查的供应商少于三家的，不得评标。</w:t>
      </w:r>
    </w:p>
    <w:p w14:paraId="7B88D38D">
      <w:pPr>
        <w:spacing w:line="267" w:lineRule="auto"/>
        <w:rPr>
          <w:rFonts w:ascii="Arial"/>
          <w:color w:val="auto"/>
          <w:sz w:val="21"/>
          <w:highlight w:val="none"/>
        </w:rPr>
      </w:pPr>
    </w:p>
    <w:p w14:paraId="4AA5E795">
      <w:pPr>
        <w:pStyle w:val="2"/>
        <w:spacing w:before="91" w:line="206" w:lineRule="auto"/>
        <w:ind w:left="2985"/>
        <w:outlineLvl w:val="1"/>
        <w:rPr>
          <w:b/>
          <w:bCs/>
          <w:color w:val="auto"/>
          <w:spacing w:val="-3"/>
          <w:sz w:val="28"/>
          <w:szCs w:val="28"/>
          <w:highlight w:val="none"/>
        </w:rPr>
      </w:pPr>
    </w:p>
    <w:p w14:paraId="42BC9895">
      <w:pPr>
        <w:pStyle w:val="2"/>
        <w:spacing w:before="91" w:line="206" w:lineRule="auto"/>
        <w:ind w:left="2985"/>
        <w:outlineLvl w:val="1"/>
        <w:rPr>
          <w:b/>
          <w:bCs/>
          <w:color w:val="auto"/>
          <w:spacing w:val="-3"/>
          <w:sz w:val="28"/>
          <w:szCs w:val="28"/>
          <w:highlight w:val="none"/>
        </w:rPr>
      </w:pPr>
    </w:p>
    <w:p w14:paraId="56A58A9E">
      <w:pPr>
        <w:pStyle w:val="2"/>
        <w:spacing w:before="91" w:line="206" w:lineRule="auto"/>
        <w:ind w:left="2985"/>
        <w:outlineLvl w:val="1"/>
        <w:rPr>
          <w:color w:val="auto"/>
          <w:sz w:val="28"/>
          <w:szCs w:val="28"/>
          <w:highlight w:val="none"/>
        </w:rPr>
      </w:pPr>
      <w:r>
        <w:rPr>
          <w:b/>
          <w:bCs/>
          <w:color w:val="auto"/>
          <w:spacing w:val="-3"/>
          <w:sz w:val="28"/>
          <w:szCs w:val="28"/>
          <w:highlight w:val="none"/>
        </w:rPr>
        <w:t>初步评审—符合性审查表</w:t>
      </w:r>
    </w:p>
    <w:tbl>
      <w:tblPr>
        <w:tblStyle w:val="13"/>
        <w:tblW w:w="84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3"/>
        <w:gridCol w:w="7179"/>
        <w:gridCol w:w="772"/>
      </w:tblGrid>
      <w:tr w14:paraId="7053D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722" w:type="dxa"/>
            <w:gridSpan w:val="2"/>
            <w:vAlign w:val="top"/>
          </w:tcPr>
          <w:p w14:paraId="13F90C73">
            <w:pPr>
              <w:pStyle w:val="14"/>
              <w:spacing w:line="269" w:lineRule="auto"/>
              <w:rPr>
                <w:color w:val="auto"/>
                <w:highlight w:val="none"/>
              </w:rPr>
            </w:pPr>
          </w:p>
          <w:p w14:paraId="63772D42">
            <w:pPr>
              <w:spacing w:before="68" w:line="220" w:lineRule="auto"/>
              <w:ind w:left="345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评审内容</w:t>
            </w:r>
          </w:p>
        </w:tc>
        <w:tc>
          <w:tcPr>
            <w:tcW w:w="772" w:type="dxa"/>
            <w:vAlign w:val="top"/>
          </w:tcPr>
          <w:p w14:paraId="5C1C329C">
            <w:pPr>
              <w:spacing w:before="138" w:line="288" w:lineRule="auto"/>
              <w:ind w:left="186" w:right="168" w:hanging="6"/>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评审</w:t>
            </w:r>
            <w:r>
              <w:rPr>
                <w:rFonts w:ascii="宋体" w:hAnsi="宋体" w:eastAsia="宋体" w:cs="宋体"/>
                <w:color w:val="auto"/>
                <w:sz w:val="21"/>
                <w:szCs w:val="21"/>
                <w:highlight w:val="none"/>
              </w:rPr>
              <w:t xml:space="preserve"> </w:t>
            </w:r>
            <w:r>
              <w:rPr>
                <w:rFonts w:ascii="宋体" w:hAnsi="宋体" w:eastAsia="宋体" w:cs="宋体"/>
                <w:b/>
                <w:bCs/>
                <w:color w:val="auto"/>
                <w:spacing w:val="-9"/>
                <w:sz w:val="21"/>
                <w:szCs w:val="21"/>
                <w:highlight w:val="none"/>
              </w:rPr>
              <w:t>意见</w:t>
            </w:r>
          </w:p>
        </w:tc>
      </w:tr>
      <w:tr w14:paraId="7E35D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43" w:type="dxa"/>
            <w:textDirection w:val="tbRlV"/>
            <w:vAlign w:val="top"/>
          </w:tcPr>
          <w:p w14:paraId="60E33772">
            <w:pPr>
              <w:spacing w:before="163" w:line="210" w:lineRule="auto"/>
              <w:ind w:left="135"/>
              <w:rPr>
                <w:rFonts w:ascii="宋体" w:hAnsi="宋体" w:eastAsia="宋体" w:cs="宋体"/>
                <w:color w:val="auto"/>
                <w:sz w:val="21"/>
                <w:szCs w:val="21"/>
                <w:highlight w:val="none"/>
              </w:rPr>
            </w:pPr>
            <w:r>
              <w:rPr>
                <w:rFonts w:ascii="宋体" w:hAnsi="宋体" w:eastAsia="宋体" w:cs="宋体"/>
                <w:color w:val="auto"/>
                <w:sz w:val="21"/>
                <w:szCs w:val="21"/>
                <w:highlight w:val="none"/>
              </w:rPr>
              <w:t>序</w:t>
            </w:r>
            <w:r>
              <w:rPr>
                <w:rFonts w:ascii="宋体" w:hAnsi="宋体" w:eastAsia="宋体" w:cs="宋体"/>
                <w:color w:val="auto"/>
                <w:spacing w:val="85"/>
                <w:sz w:val="21"/>
                <w:szCs w:val="21"/>
                <w:highlight w:val="none"/>
              </w:rPr>
              <w:t xml:space="preserve"> </w:t>
            </w:r>
            <w:r>
              <w:rPr>
                <w:rFonts w:ascii="宋体" w:hAnsi="宋体" w:eastAsia="宋体" w:cs="宋体"/>
                <w:color w:val="auto"/>
                <w:sz w:val="21"/>
                <w:szCs w:val="21"/>
                <w:highlight w:val="none"/>
              </w:rPr>
              <w:t>号</w:t>
            </w:r>
          </w:p>
        </w:tc>
        <w:tc>
          <w:tcPr>
            <w:tcW w:w="7179" w:type="dxa"/>
            <w:vAlign w:val="top"/>
          </w:tcPr>
          <w:p w14:paraId="56871720">
            <w:pPr>
              <w:pStyle w:val="14"/>
              <w:jc w:val="center"/>
              <w:rPr>
                <w:color w:val="auto"/>
                <w:highlight w:val="none"/>
              </w:rPr>
            </w:pPr>
            <w:r>
              <w:rPr>
                <w:color w:val="auto"/>
                <w:highlight w:val="none"/>
              </w:rPr>
              <w:t>评审内容</w:t>
            </w:r>
          </w:p>
        </w:tc>
        <w:tc>
          <w:tcPr>
            <w:tcW w:w="772" w:type="dxa"/>
            <w:vAlign w:val="top"/>
          </w:tcPr>
          <w:p w14:paraId="508C35AB">
            <w:pPr>
              <w:spacing w:before="136" w:line="287" w:lineRule="auto"/>
              <w:ind w:left="187" w:right="167" w:firstLine="2"/>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是否</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合格</w:t>
            </w:r>
          </w:p>
        </w:tc>
      </w:tr>
      <w:tr w14:paraId="52926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43" w:type="dxa"/>
            <w:vAlign w:val="top"/>
          </w:tcPr>
          <w:p w14:paraId="1960A39D">
            <w:pPr>
              <w:spacing w:before="199" w:line="182" w:lineRule="auto"/>
              <w:ind w:left="236"/>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7179" w:type="dxa"/>
            <w:vAlign w:val="top"/>
          </w:tcPr>
          <w:p w14:paraId="351059E8">
            <w:pPr>
              <w:spacing w:before="141" w:line="218" w:lineRule="auto"/>
              <w:ind w:left="10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各供应商磋商价格未高于预算金额；</w:t>
            </w:r>
          </w:p>
        </w:tc>
        <w:tc>
          <w:tcPr>
            <w:tcW w:w="772" w:type="dxa"/>
            <w:vAlign w:val="top"/>
          </w:tcPr>
          <w:p w14:paraId="1BA1F6E0">
            <w:pPr>
              <w:pStyle w:val="14"/>
              <w:rPr>
                <w:color w:val="auto"/>
                <w:highlight w:val="none"/>
              </w:rPr>
            </w:pPr>
          </w:p>
        </w:tc>
      </w:tr>
      <w:tr w14:paraId="5B648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43" w:type="dxa"/>
            <w:vAlign w:val="top"/>
          </w:tcPr>
          <w:p w14:paraId="517C77B8">
            <w:pPr>
              <w:spacing w:before="293" w:line="181" w:lineRule="auto"/>
              <w:ind w:left="223"/>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7179" w:type="dxa"/>
            <w:vAlign w:val="top"/>
          </w:tcPr>
          <w:p w14:paraId="319F3A08">
            <w:pPr>
              <w:spacing w:before="73" w:line="244" w:lineRule="auto"/>
              <w:ind w:left="106" w:right="10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磋商小组认为供应商的报价无明显低于其他通过符合性审查供应商的报价的，</w:t>
            </w:r>
            <w:r>
              <w:rPr>
                <w:rFonts w:ascii="宋体" w:hAnsi="宋体" w:eastAsia="宋体" w:cs="宋体"/>
                <w:color w:val="auto"/>
                <w:spacing w:val="16"/>
                <w:sz w:val="21"/>
                <w:szCs w:val="21"/>
                <w:highlight w:val="none"/>
              </w:rPr>
              <w:t xml:space="preserve"> </w:t>
            </w:r>
            <w:r>
              <w:rPr>
                <w:rFonts w:ascii="宋体" w:hAnsi="宋体" w:eastAsia="宋体" w:cs="宋体"/>
                <w:color w:val="auto"/>
                <w:spacing w:val="-4"/>
                <w:sz w:val="21"/>
                <w:szCs w:val="21"/>
                <w:highlight w:val="none"/>
              </w:rPr>
              <w:t>供应商的报价不存在异常一致并成规律性的，其报价合</w:t>
            </w:r>
            <w:r>
              <w:rPr>
                <w:rFonts w:ascii="宋体" w:hAnsi="宋体" w:eastAsia="宋体" w:cs="宋体"/>
                <w:color w:val="auto"/>
                <w:spacing w:val="-5"/>
                <w:sz w:val="21"/>
                <w:szCs w:val="21"/>
                <w:highlight w:val="none"/>
              </w:rPr>
              <w:t>理；</w:t>
            </w:r>
          </w:p>
        </w:tc>
        <w:tc>
          <w:tcPr>
            <w:tcW w:w="772" w:type="dxa"/>
            <w:vAlign w:val="top"/>
          </w:tcPr>
          <w:p w14:paraId="5918BA13">
            <w:pPr>
              <w:pStyle w:val="14"/>
              <w:rPr>
                <w:color w:val="auto"/>
                <w:highlight w:val="none"/>
              </w:rPr>
            </w:pPr>
          </w:p>
        </w:tc>
      </w:tr>
      <w:tr w14:paraId="510A4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543" w:type="dxa"/>
            <w:vAlign w:val="top"/>
          </w:tcPr>
          <w:p w14:paraId="2B790809">
            <w:pPr>
              <w:spacing w:before="295" w:line="181" w:lineRule="auto"/>
              <w:ind w:left="225"/>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7179" w:type="dxa"/>
            <w:vAlign w:val="top"/>
          </w:tcPr>
          <w:p w14:paraId="66D48927">
            <w:pPr>
              <w:spacing w:before="75" w:line="244" w:lineRule="auto"/>
              <w:ind w:left="107" w:right="164" w:firstLine="1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响应文件按照磋商文件的规定编制、标记及签</w:t>
            </w:r>
            <w:r>
              <w:rPr>
                <w:rFonts w:ascii="宋体" w:hAnsi="宋体" w:eastAsia="宋体" w:cs="宋体"/>
                <w:color w:val="auto"/>
                <w:spacing w:val="-5"/>
                <w:sz w:val="21"/>
                <w:szCs w:val="21"/>
                <w:highlight w:val="none"/>
              </w:rPr>
              <w:t>署盖章的，法定代表人签/章和</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加盖供应商公章的；</w:t>
            </w:r>
          </w:p>
        </w:tc>
        <w:tc>
          <w:tcPr>
            <w:tcW w:w="772" w:type="dxa"/>
            <w:vAlign w:val="top"/>
          </w:tcPr>
          <w:p w14:paraId="2B5C0465">
            <w:pPr>
              <w:pStyle w:val="14"/>
              <w:rPr>
                <w:color w:val="auto"/>
                <w:highlight w:val="none"/>
              </w:rPr>
            </w:pPr>
          </w:p>
        </w:tc>
      </w:tr>
      <w:tr w14:paraId="34CED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43" w:type="dxa"/>
            <w:vAlign w:val="top"/>
          </w:tcPr>
          <w:p w14:paraId="099BC9D8">
            <w:pPr>
              <w:spacing w:before="175" w:line="181" w:lineRule="auto"/>
              <w:ind w:left="220"/>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7179" w:type="dxa"/>
            <w:vAlign w:val="top"/>
          </w:tcPr>
          <w:p w14:paraId="3CCFE208">
            <w:pPr>
              <w:spacing w:before="115" w:line="220" w:lineRule="auto"/>
              <w:ind w:left="10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所投服务及内容满足磋商文件要求的；</w:t>
            </w:r>
          </w:p>
        </w:tc>
        <w:tc>
          <w:tcPr>
            <w:tcW w:w="772" w:type="dxa"/>
            <w:vAlign w:val="top"/>
          </w:tcPr>
          <w:p w14:paraId="4595008B">
            <w:pPr>
              <w:pStyle w:val="14"/>
              <w:rPr>
                <w:color w:val="auto"/>
                <w:highlight w:val="none"/>
              </w:rPr>
            </w:pPr>
          </w:p>
        </w:tc>
      </w:tr>
      <w:tr w14:paraId="27845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43" w:type="dxa"/>
            <w:vAlign w:val="top"/>
          </w:tcPr>
          <w:p w14:paraId="7521AF85">
            <w:pPr>
              <w:spacing w:before="205" w:line="180" w:lineRule="auto"/>
              <w:ind w:left="225"/>
              <w:rPr>
                <w:rFonts w:ascii="宋体" w:hAnsi="宋体" w:eastAsia="宋体" w:cs="宋体"/>
                <w:color w:val="auto"/>
                <w:sz w:val="21"/>
                <w:szCs w:val="21"/>
                <w:highlight w:val="none"/>
              </w:rPr>
            </w:pPr>
            <w:r>
              <w:rPr>
                <w:rFonts w:ascii="宋体" w:hAnsi="宋体" w:eastAsia="宋体" w:cs="宋体"/>
                <w:color w:val="auto"/>
                <w:sz w:val="21"/>
                <w:szCs w:val="21"/>
                <w:highlight w:val="none"/>
              </w:rPr>
              <w:t>5</w:t>
            </w:r>
          </w:p>
        </w:tc>
        <w:tc>
          <w:tcPr>
            <w:tcW w:w="7179" w:type="dxa"/>
            <w:vAlign w:val="top"/>
          </w:tcPr>
          <w:p w14:paraId="5A6F45A1">
            <w:pPr>
              <w:spacing w:before="144" w:line="220" w:lineRule="auto"/>
              <w:ind w:left="10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按磋商文件规定的格式填写，内容全面、关键字迹</w:t>
            </w:r>
            <w:r>
              <w:rPr>
                <w:rFonts w:ascii="宋体" w:hAnsi="宋体" w:eastAsia="宋体" w:cs="宋体"/>
                <w:color w:val="auto"/>
                <w:spacing w:val="-5"/>
                <w:sz w:val="21"/>
                <w:szCs w:val="21"/>
                <w:highlight w:val="none"/>
              </w:rPr>
              <w:t>清晰；</w:t>
            </w:r>
          </w:p>
        </w:tc>
        <w:tc>
          <w:tcPr>
            <w:tcW w:w="772" w:type="dxa"/>
            <w:vAlign w:val="top"/>
          </w:tcPr>
          <w:p w14:paraId="6BDF6001">
            <w:pPr>
              <w:pStyle w:val="14"/>
              <w:rPr>
                <w:color w:val="auto"/>
                <w:highlight w:val="none"/>
              </w:rPr>
            </w:pPr>
          </w:p>
        </w:tc>
      </w:tr>
      <w:tr w14:paraId="3DEDA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43" w:type="dxa"/>
            <w:vAlign w:val="top"/>
          </w:tcPr>
          <w:p w14:paraId="5D726E80">
            <w:pPr>
              <w:spacing w:before="205" w:line="181" w:lineRule="auto"/>
              <w:ind w:left="222"/>
              <w:rPr>
                <w:rFonts w:ascii="宋体" w:hAnsi="宋体" w:eastAsia="宋体" w:cs="宋体"/>
                <w:color w:val="auto"/>
                <w:sz w:val="21"/>
                <w:szCs w:val="21"/>
                <w:highlight w:val="none"/>
              </w:rPr>
            </w:pPr>
            <w:r>
              <w:rPr>
                <w:rFonts w:ascii="宋体" w:hAnsi="宋体" w:eastAsia="宋体" w:cs="宋体"/>
                <w:color w:val="auto"/>
                <w:sz w:val="21"/>
                <w:szCs w:val="21"/>
                <w:highlight w:val="none"/>
              </w:rPr>
              <w:t>6</w:t>
            </w:r>
          </w:p>
        </w:tc>
        <w:tc>
          <w:tcPr>
            <w:tcW w:w="7179" w:type="dxa"/>
            <w:vAlign w:val="top"/>
          </w:tcPr>
          <w:p w14:paraId="6F65292E">
            <w:pPr>
              <w:spacing w:before="145" w:line="220" w:lineRule="auto"/>
              <w:ind w:left="10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符合磋商文件中规定的实质性要求（服务期限、服务地点</w:t>
            </w:r>
            <w:r>
              <w:rPr>
                <w:rFonts w:ascii="宋体" w:hAnsi="宋体" w:eastAsia="宋体" w:cs="宋体"/>
                <w:color w:val="auto"/>
                <w:spacing w:val="7"/>
                <w:sz w:val="21"/>
                <w:szCs w:val="21"/>
                <w:highlight w:val="none"/>
              </w:rPr>
              <w:t>）；</w:t>
            </w:r>
          </w:p>
        </w:tc>
        <w:tc>
          <w:tcPr>
            <w:tcW w:w="772" w:type="dxa"/>
            <w:vAlign w:val="top"/>
          </w:tcPr>
          <w:p w14:paraId="6708374D">
            <w:pPr>
              <w:pStyle w:val="14"/>
              <w:rPr>
                <w:color w:val="auto"/>
                <w:highlight w:val="none"/>
              </w:rPr>
            </w:pPr>
          </w:p>
        </w:tc>
      </w:tr>
      <w:tr w14:paraId="15387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43" w:type="dxa"/>
            <w:vAlign w:val="top"/>
          </w:tcPr>
          <w:p w14:paraId="5156265A">
            <w:pPr>
              <w:spacing w:before="223" w:line="180" w:lineRule="auto"/>
              <w:ind w:left="226"/>
              <w:rPr>
                <w:rFonts w:ascii="宋体" w:hAnsi="宋体" w:eastAsia="宋体" w:cs="宋体"/>
                <w:color w:val="auto"/>
                <w:sz w:val="21"/>
                <w:szCs w:val="21"/>
                <w:highlight w:val="none"/>
              </w:rPr>
            </w:pPr>
            <w:r>
              <w:rPr>
                <w:rFonts w:ascii="宋体" w:hAnsi="宋体" w:eastAsia="宋体" w:cs="宋体"/>
                <w:color w:val="auto"/>
                <w:sz w:val="21"/>
                <w:szCs w:val="21"/>
                <w:highlight w:val="none"/>
              </w:rPr>
              <w:t>7</w:t>
            </w:r>
          </w:p>
        </w:tc>
        <w:tc>
          <w:tcPr>
            <w:tcW w:w="7179" w:type="dxa"/>
            <w:vAlign w:val="top"/>
          </w:tcPr>
          <w:p w14:paraId="7EF9A4F6">
            <w:pPr>
              <w:spacing w:before="162" w:line="219" w:lineRule="auto"/>
              <w:ind w:left="11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没有采购人不能接受的附加条件的；</w:t>
            </w:r>
          </w:p>
        </w:tc>
        <w:tc>
          <w:tcPr>
            <w:tcW w:w="772" w:type="dxa"/>
            <w:vAlign w:val="top"/>
          </w:tcPr>
          <w:p w14:paraId="63EFAC45">
            <w:pPr>
              <w:pStyle w:val="14"/>
              <w:rPr>
                <w:color w:val="auto"/>
                <w:highlight w:val="none"/>
              </w:rPr>
            </w:pPr>
          </w:p>
        </w:tc>
      </w:tr>
      <w:tr w14:paraId="492A2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43" w:type="dxa"/>
            <w:vAlign w:val="top"/>
          </w:tcPr>
          <w:p w14:paraId="3534CB5B">
            <w:pPr>
              <w:spacing w:before="206" w:line="181" w:lineRule="auto"/>
              <w:ind w:left="222"/>
              <w:rPr>
                <w:rFonts w:ascii="宋体" w:hAnsi="宋体" w:eastAsia="宋体" w:cs="宋体"/>
                <w:color w:val="auto"/>
                <w:sz w:val="21"/>
                <w:szCs w:val="21"/>
                <w:highlight w:val="none"/>
              </w:rPr>
            </w:pPr>
            <w:r>
              <w:rPr>
                <w:rFonts w:ascii="宋体" w:hAnsi="宋体" w:eastAsia="宋体" w:cs="宋体"/>
                <w:color w:val="auto"/>
                <w:sz w:val="21"/>
                <w:szCs w:val="21"/>
                <w:highlight w:val="none"/>
              </w:rPr>
              <w:t>8</w:t>
            </w:r>
          </w:p>
        </w:tc>
        <w:tc>
          <w:tcPr>
            <w:tcW w:w="7179" w:type="dxa"/>
            <w:vAlign w:val="top"/>
          </w:tcPr>
          <w:p w14:paraId="56E64309">
            <w:pPr>
              <w:spacing w:before="146" w:line="219" w:lineRule="auto"/>
              <w:ind w:left="11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不同供应商的响应文件没有错漏一致的情况；</w:t>
            </w:r>
          </w:p>
        </w:tc>
        <w:tc>
          <w:tcPr>
            <w:tcW w:w="772" w:type="dxa"/>
            <w:vAlign w:val="top"/>
          </w:tcPr>
          <w:p w14:paraId="488A0882">
            <w:pPr>
              <w:pStyle w:val="14"/>
              <w:rPr>
                <w:color w:val="auto"/>
                <w:highlight w:val="none"/>
              </w:rPr>
            </w:pPr>
          </w:p>
        </w:tc>
      </w:tr>
      <w:tr w14:paraId="1E7AA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43" w:type="dxa"/>
            <w:vAlign w:val="top"/>
          </w:tcPr>
          <w:p w14:paraId="66A7B7C4">
            <w:pPr>
              <w:spacing w:before="207" w:line="181" w:lineRule="auto"/>
              <w:ind w:left="222"/>
              <w:rPr>
                <w:rFonts w:ascii="宋体" w:hAnsi="宋体" w:eastAsia="宋体" w:cs="宋体"/>
                <w:color w:val="auto"/>
                <w:sz w:val="21"/>
                <w:szCs w:val="21"/>
                <w:highlight w:val="none"/>
              </w:rPr>
            </w:pPr>
            <w:r>
              <w:rPr>
                <w:rFonts w:ascii="宋体" w:hAnsi="宋体" w:eastAsia="宋体" w:cs="宋体"/>
                <w:color w:val="auto"/>
                <w:sz w:val="21"/>
                <w:szCs w:val="21"/>
                <w:highlight w:val="none"/>
              </w:rPr>
              <w:t>9</w:t>
            </w:r>
          </w:p>
        </w:tc>
        <w:tc>
          <w:tcPr>
            <w:tcW w:w="7179" w:type="dxa"/>
            <w:vAlign w:val="top"/>
          </w:tcPr>
          <w:p w14:paraId="25BAE0E4">
            <w:pPr>
              <w:spacing w:before="147" w:line="219" w:lineRule="auto"/>
              <w:ind w:left="10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供应商附有详细地址、联系人、电话标明的；</w:t>
            </w:r>
          </w:p>
        </w:tc>
        <w:tc>
          <w:tcPr>
            <w:tcW w:w="772" w:type="dxa"/>
            <w:vAlign w:val="top"/>
          </w:tcPr>
          <w:p w14:paraId="21058A18">
            <w:pPr>
              <w:pStyle w:val="14"/>
              <w:rPr>
                <w:color w:val="auto"/>
                <w:highlight w:val="none"/>
              </w:rPr>
            </w:pPr>
          </w:p>
        </w:tc>
      </w:tr>
      <w:tr w14:paraId="2634C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43" w:type="dxa"/>
            <w:vAlign w:val="top"/>
          </w:tcPr>
          <w:p w14:paraId="3C81FAF2">
            <w:pPr>
              <w:spacing w:before="206" w:line="182" w:lineRule="auto"/>
              <w:ind w:left="185"/>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10</w:t>
            </w:r>
          </w:p>
        </w:tc>
        <w:tc>
          <w:tcPr>
            <w:tcW w:w="7179" w:type="dxa"/>
            <w:vAlign w:val="top"/>
          </w:tcPr>
          <w:p w14:paraId="07D131B3">
            <w:pPr>
              <w:spacing w:before="148" w:line="220" w:lineRule="auto"/>
              <w:ind w:left="11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不存在法律、法规和磋商文件规定的其他无效情形。</w:t>
            </w:r>
          </w:p>
        </w:tc>
        <w:tc>
          <w:tcPr>
            <w:tcW w:w="772" w:type="dxa"/>
            <w:vAlign w:val="top"/>
          </w:tcPr>
          <w:p w14:paraId="5EA82091">
            <w:pPr>
              <w:pStyle w:val="14"/>
              <w:rPr>
                <w:color w:val="auto"/>
                <w:highlight w:val="none"/>
              </w:rPr>
            </w:pPr>
          </w:p>
        </w:tc>
      </w:tr>
      <w:tr w14:paraId="36BC6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722" w:type="dxa"/>
            <w:gridSpan w:val="2"/>
            <w:vAlign w:val="top"/>
          </w:tcPr>
          <w:p w14:paraId="710A6017">
            <w:pPr>
              <w:spacing w:before="253" w:line="220" w:lineRule="auto"/>
              <w:ind w:left="48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结论：通过评审打“</w:t>
            </w:r>
            <w:r>
              <w:rPr>
                <w:rFonts w:ascii="宋体" w:hAnsi="宋体" w:eastAsia="宋体" w:cs="宋体"/>
                <w:color w:val="auto"/>
                <w:spacing w:val="-35"/>
                <w:sz w:val="21"/>
                <w:szCs w:val="21"/>
                <w:highlight w:val="none"/>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81"/>
                <w:sz w:val="21"/>
                <w:szCs w:val="21"/>
                <w:highlight w:val="none"/>
              </w:rPr>
              <w:t xml:space="preserve"> </w:t>
            </w:r>
            <w:r>
              <w:rPr>
                <w:rFonts w:ascii="宋体" w:hAnsi="宋体" w:eastAsia="宋体" w:cs="宋体"/>
                <w:color w:val="auto"/>
                <w:spacing w:val="-4"/>
                <w:sz w:val="21"/>
                <w:szCs w:val="21"/>
                <w:highlight w:val="none"/>
              </w:rPr>
              <w:t>”，未通过评审打“×”</w:t>
            </w:r>
          </w:p>
        </w:tc>
        <w:tc>
          <w:tcPr>
            <w:tcW w:w="772" w:type="dxa"/>
            <w:vAlign w:val="top"/>
          </w:tcPr>
          <w:p w14:paraId="6711D1A0">
            <w:pPr>
              <w:pStyle w:val="14"/>
              <w:rPr>
                <w:color w:val="auto"/>
                <w:highlight w:val="none"/>
              </w:rPr>
            </w:pPr>
          </w:p>
        </w:tc>
      </w:tr>
    </w:tbl>
    <w:p w14:paraId="71FE5908">
      <w:pPr>
        <w:pStyle w:val="2"/>
        <w:spacing w:before="139" w:line="220" w:lineRule="auto"/>
        <w:ind w:left="183"/>
        <w:rPr>
          <w:color w:val="auto"/>
          <w:sz w:val="21"/>
          <w:szCs w:val="21"/>
          <w:highlight w:val="none"/>
        </w:rPr>
      </w:pPr>
      <w:r>
        <w:rPr>
          <w:color w:val="auto"/>
          <w:spacing w:val="-14"/>
          <w:sz w:val="21"/>
          <w:szCs w:val="21"/>
          <w:highlight w:val="none"/>
        </w:rPr>
        <w:t>说明：</w:t>
      </w:r>
    </w:p>
    <w:p w14:paraId="31415736">
      <w:pPr>
        <w:pStyle w:val="2"/>
        <w:spacing w:before="149" w:line="220" w:lineRule="auto"/>
        <w:ind w:left="186"/>
        <w:rPr>
          <w:color w:val="auto"/>
          <w:sz w:val="21"/>
          <w:szCs w:val="21"/>
          <w:highlight w:val="none"/>
        </w:rPr>
      </w:pPr>
      <w:r>
        <w:rPr>
          <w:color w:val="auto"/>
          <w:spacing w:val="-5"/>
          <w:sz w:val="21"/>
          <w:szCs w:val="21"/>
          <w:highlight w:val="none"/>
        </w:rPr>
        <w:t>（1）上述各项中用“</w:t>
      </w:r>
      <w:r>
        <w:rPr>
          <w:color w:val="auto"/>
          <w:spacing w:val="-36"/>
          <w:sz w:val="21"/>
          <w:szCs w:val="21"/>
          <w:highlight w:val="none"/>
        </w:rPr>
        <w:t xml:space="preserve"> </w:t>
      </w:r>
      <w:r>
        <w:rPr>
          <w:color w:val="auto"/>
          <w:spacing w:val="-5"/>
          <w:sz w:val="21"/>
          <w:szCs w:val="21"/>
          <w:highlight w:val="none"/>
        </w:rPr>
        <w:t>√”表示合格，“×”表示不合格；</w:t>
      </w:r>
    </w:p>
    <w:p w14:paraId="35F3DB49">
      <w:pPr>
        <w:pStyle w:val="2"/>
        <w:spacing w:before="149" w:line="286" w:lineRule="auto"/>
        <w:ind w:left="812" w:hanging="627"/>
        <w:rPr>
          <w:color w:val="auto"/>
          <w:sz w:val="21"/>
          <w:szCs w:val="21"/>
          <w:highlight w:val="none"/>
        </w:rPr>
      </w:pPr>
      <w:r>
        <w:rPr>
          <w:color w:val="auto"/>
          <w:sz w:val="21"/>
          <w:szCs w:val="21"/>
          <w:highlight w:val="none"/>
        </w:rPr>
        <w:t>（2）上述各项中如有一项为“×”</w:t>
      </w:r>
      <w:r>
        <w:rPr>
          <w:color w:val="auto"/>
          <w:spacing w:val="-61"/>
          <w:sz w:val="21"/>
          <w:szCs w:val="21"/>
          <w:highlight w:val="none"/>
        </w:rPr>
        <w:t xml:space="preserve"> </w:t>
      </w:r>
      <w:r>
        <w:rPr>
          <w:color w:val="auto"/>
          <w:sz w:val="21"/>
          <w:szCs w:val="21"/>
          <w:highlight w:val="none"/>
        </w:rPr>
        <w:t>，则结论为“×”</w:t>
      </w:r>
      <w:r>
        <w:rPr>
          <w:color w:val="auto"/>
          <w:spacing w:val="-76"/>
          <w:sz w:val="21"/>
          <w:szCs w:val="21"/>
          <w:highlight w:val="none"/>
        </w:rPr>
        <w:t xml:space="preserve"> </w:t>
      </w:r>
      <w:r>
        <w:rPr>
          <w:color w:val="auto"/>
          <w:sz w:val="21"/>
          <w:szCs w:val="21"/>
          <w:highlight w:val="none"/>
        </w:rPr>
        <w:t xml:space="preserve">，表示该响应文件中存在重大偏差， </w:t>
      </w:r>
      <w:r>
        <w:rPr>
          <w:color w:val="auto"/>
          <w:spacing w:val="-1"/>
          <w:sz w:val="21"/>
          <w:szCs w:val="21"/>
          <w:highlight w:val="none"/>
        </w:rPr>
        <w:t>不能通过初步评审；评委对某一分项评审认为不合格时</w:t>
      </w:r>
      <w:r>
        <w:rPr>
          <w:color w:val="auto"/>
          <w:spacing w:val="-2"/>
          <w:sz w:val="21"/>
          <w:szCs w:val="21"/>
          <w:highlight w:val="none"/>
        </w:rPr>
        <w:t>，必须要写明原因。</w:t>
      </w:r>
    </w:p>
    <w:p w14:paraId="3FFF6981">
      <w:pPr>
        <w:pStyle w:val="2"/>
        <w:spacing w:before="150" w:line="220" w:lineRule="auto"/>
        <w:ind w:left="126"/>
        <w:rPr>
          <w:color w:val="auto"/>
          <w:sz w:val="21"/>
          <w:szCs w:val="21"/>
          <w:highlight w:val="none"/>
        </w:rPr>
      </w:pPr>
      <w:r>
        <w:rPr>
          <w:color w:val="auto"/>
          <w:spacing w:val="-1"/>
          <w:sz w:val="21"/>
          <w:szCs w:val="21"/>
          <w:highlight w:val="none"/>
        </w:rPr>
        <w:t>（3）响应文件最终合格与否，以所有评委的评审意见中少数服从</w:t>
      </w:r>
      <w:r>
        <w:rPr>
          <w:color w:val="auto"/>
          <w:spacing w:val="-2"/>
          <w:sz w:val="21"/>
          <w:szCs w:val="21"/>
          <w:highlight w:val="none"/>
        </w:rPr>
        <w:t>多数为原则定论。</w:t>
      </w:r>
    </w:p>
    <w:p w14:paraId="70FCA950">
      <w:pPr>
        <w:pStyle w:val="2"/>
        <w:spacing w:before="150" w:line="219" w:lineRule="auto"/>
        <w:ind w:left="124"/>
        <w:rPr>
          <w:color w:val="auto"/>
          <w:sz w:val="21"/>
          <w:szCs w:val="21"/>
          <w:highlight w:val="none"/>
        </w:rPr>
      </w:pPr>
      <w:r>
        <w:rPr>
          <w:b/>
          <w:bCs/>
          <w:color w:val="auto"/>
          <w:spacing w:val="-2"/>
          <w:sz w:val="21"/>
          <w:szCs w:val="21"/>
          <w:highlight w:val="none"/>
        </w:rPr>
        <w:t>未通过符合审查的供应商不进入评标；通过符合审查的供应商少于三家的，不得评标。</w:t>
      </w:r>
    </w:p>
    <w:p w14:paraId="3F4FD57F">
      <w:pPr>
        <w:spacing w:line="248" w:lineRule="auto"/>
        <w:rPr>
          <w:rFonts w:ascii="Arial"/>
          <w:color w:val="auto"/>
          <w:sz w:val="21"/>
          <w:highlight w:val="none"/>
        </w:rPr>
      </w:pPr>
    </w:p>
    <w:p w14:paraId="0DDD3DAA">
      <w:pPr>
        <w:spacing w:line="249" w:lineRule="auto"/>
        <w:rPr>
          <w:rFonts w:ascii="Arial"/>
          <w:color w:val="auto"/>
          <w:sz w:val="21"/>
          <w:highlight w:val="none"/>
        </w:rPr>
      </w:pPr>
    </w:p>
    <w:p w14:paraId="6F091C0C">
      <w:pPr>
        <w:spacing w:line="249" w:lineRule="auto"/>
        <w:rPr>
          <w:rFonts w:ascii="Arial"/>
          <w:color w:val="auto"/>
          <w:sz w:val="21"/>
          <w:highlight w:val="none"/>
        </w:rPr>
      </w:pPr>
    </w:p>
    <w:p w14:paraId="271C5115">
      <w:pPr>
        <w:spacing w:line="249" w:lineRule="auto"/>
        <w:rPr>
          <w:rFonts w:ascii="Arial"/>
          <w:color w:val="auto"/>
          <w:sz w:val="21"/>
          <w:highlight w:val="none"/>
        </w:rPr>
      </w:pPr>
    </w:p>
    <w:p w14:paraId="0588BED7">
      <w:pPr>
        <w:spacing w:line="249" w:lineRule="auto"/>
        <w:rPr>
          <w:rFonts w:ascii="Arial"/>
          <w:color w:val="auto"/>
          <w:sz w:val="21"/>
          <w:highlight w:val="none"/>
        </w:rPr>
      </w:pPr>
    </w:p>
    <w:p w14:paraId="7BDA02F5">
      <w:pPr>
        <w:spacing w:line="249" w:lineRule="auto"/>
        <w:rPr>
          <w:rFonts w:ascii="Arial"/>
          <w:color w:val="auto"/>
          <w:sz w:val="21"/>
          <w:highlight w:val="none"/>
        </w:rPr>
      </w:pPr>
    </w:p>
    <w:p w14:paraId="15F665A9">
      <w:pPr>
        <w:spacing w:line="249" w:lineRule="auto"/>
        <w:rPr>
          <w:rFonts w:ascii="Arial"/>
          <w:color w:val="auto"/>
          <w:sz w:val="21"/>
          <w:highlight w:val="none"/>
        </w:rPr>
      </w:pPr>
    </w:p>
    <w:p w14:paraId="654C2EFB">
      <w:pPr>
        <w:spacing w:line="249" w:lineRule="auto"/>
        <w:rPr>
          <w:rFonts w:ascii="Arial"/>
          <w:color w:val="auto"/>
          <w:sz w:val="21"/>
          <w:highlight w:val="none"/>
        </w:rPr>
      </w:pPr>
    </w:p>
    <w:p w14:paraId="791610D8">
      <w:pPr>
        <w:spacing w:line="249" w:lineRule="auto"/>
        <w:rPr>
          <w:rFonts w:ascii="Arial"/>
          <w:color w:val="auto"/>
          <w:sz w:val="21"/>
          <w:highlight w:val="none"/>
        </w:rPr>
      </w:pPr>
    </w:p>
    <w:p w14:paraId="2DDC9A46">
      <w:pPr>
        <w:spacing w:line="249" w:lineRule="auto"/>
        <w:rPr>
          <w:rFonts w:ascii="Arial"/>
          <w:color w:val="auto"/>
          <w:sz w:val="21"/>
          <w:highlight w:val="none"/>
        </w:rPr>
      </w:pPr>
    </w:p>
    <w:p w14:paraId="32AAE716">
      <w:pPr>
        <w:spacing w:line="249" w:lineRule="auto"/>
        <w:rPr>
          <w:rFonts w:ascii="Arial"/>
          <w:color w:val="auto"/>
          <w:sz w:val="21"/>
          <w:highlight w:val="none"/>
        </w:rPr>
      </w:pPr>
    </w:p>
    <w:p w14:paraId="2C7DCC8A">
      <w:pPr>
        <w:spacing w:line="249" w:lineRule="auto"/>
        <w:rPr>
          <w:rFonts w:ascii="Arial"/>
          <w:color w:val="auto"/>
          <w:sz w:val="21"/>
          <w:highlight w:val="none"/>
        </w:rPr>
      </w:pPr>
    </w:p>
    <w:p w14:paraId="1E2CCD7E">
      <w:pPr>
        <w:spacing w:line="249" w:lineRule="auto"/>
        <w:rPr>
          <w:rFonts w:ascii="Arial"/>
          <w:color w:val="auto"/>
          <w:sz w:val="21"/>
          <w:highlight w:val="none"/>
        </w:rPr>
      </w:pPr>
    </w:p>
    <w:p w14:paraId="46D5C6FF">
      <w:pPr>
        <w:spacing w:line="249" w:lineRule="auto"/>
        <w:rPr>
          <w:rFonts w:ascii="Arial"/>
          <w:color w:val="auto"/>
          <w:sz w:val="21"/>
          <w:highlight w:val="none"/>
        </w:rPr>
      </w:pPr>
    </w:p>
    <w:p w14:paraId="19DA1A18">
      <w:pPr>
        <w:spacing w:line="249" w:lineRule="auto"/>
        <w:rPr>
          <w:rFonts w:ascii="Arial"/>
          <w:color w:val="auto"/>
          <w:sz w:val="21"/>
          <w:highlight w:val="none"/>
        </w:rPr>
      </w:pPr>
    </w:p>
    <w:p w14:paraId="132B4F9C">
      <w:pPr>
        <w:pStyle w:val="2"/>
        <w:spacing w:before="117" w:line="220" w:lineRule="auto"/>
        <w:ind w:left="3553"/>
        <w:outlineLvl w:val="1"/>
        <w:rPr>
          <w:b/>
          <w:bCs/>
          <w:color w:val="auto"/>
          <w:spacing w:val="-7"/>
          <w:sz w:val="36"/>
          <w:szCs w:val="36"/>
          <w:highlight w:val="none"/>
        </w:rPr>
      </w:pPr>
      <w:r>
        <w:rPr>
          <w:b/>
          <w:bCs/>
          <w:color w:val="auto"/>
          <w:spacing w:val="-7"/>
          <w:sz w:val="36"/>
          <w:szCs w:val="36"/>
          <w:highlight w:val="none"/>
        </w:rPr>
        <w:t>综合评分表</w:t>
      </w:r>
    </w:p>
    <w:p w14:paraId="73F73C9B">
      <w:pPr>
        <w:pStyle w:val="2"/>
        <w:spacing w:before="117" w:line="220" w:lineRule="auto"/>
        <w:ind w:left="3553"/>
        <w:outlineLvl w:val="1"/>
        <w:rPr>
          <w:b/>
          <w:bCs/>
          <w:color w:val="auto"/>
          <w:spacing w:val="-7"/>
          <w:sz w:val="36"/>
          <w:szCs w:val="36"/>
          <w:highlight w:val="none"/>
        </w:rPr>
      </w:pPr>
    </w:p>
    <w:tbl>
      <w:tblPr>
        <w:tblStyle w:val="13"/>
        <w:tblW w:w="8722"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850"/>
        <w:gridCol w:w="1370"/>
        <w:gridCol w:w="5849"/>
      </w:tblGrid>
      <w:tr w14:paraId="332DA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653" w:type="dxa"/>
            <w:textDirection w:val="tbRlV"/>
            <w:vAlign w:val="top"/>
          </w:tcPr>
          <w:p w14:paraId="54FB7A1D">
            <w:pPr>
              <w:pStyle w:val="14"/>
              <w:spacing w:before="300" w:line="210" w:lineRule="auto"/>
              <w:ind w:left="74"/>
              <w:rPr>
                <w:color w:val="auto"/>
                <w:sz w:val="21"/>
                <w:szCs w:val="21"/>
                <w:highlight w:val="none"/>
              </w:rPr>
            </w:pPr>
            <w:r>
              <w:rPr>
                <w:b/>
                <w:bCs/>
                <w:color w:val="auto"/>
                <w:spacing w:val="-3"/>
                <w:sz w:val="21"/>
                <w:szCs w:val="21"/>
                <w:highlight w:val="none"/>
              </w:rPr>
              <w:t>序</w:t>
            </w:r>
            <w:r>
              <w:rPr>
                <w:color w:val="auto"/>
                <w:spacing w:val="-48"/>
                <w:sz w:val="21"/>
                <w:szCs w:val="21"/>
                <w:highlight w:val="none"/>
              </w:rPr>
              <w:t xml:space="preserve"> </w:t>
            </w:r>
            <w:r>
              <w:rPr>
                <w:b/>
                <w:bCs/>
                <w:color w:val="auto"/>
                <w:spacing w:val="-3"/>
                <w:sz w:val="21"/>
                <w:szCs w:val="21"/>
                <w:highlight w:val="none"/>
              </w:rPr>
              <w:t>号</w:t>
            </w:r>
          </w:p>
        </w:tc>
        <w:tc>
          <w:tcPr>
            <w:tcW w:w="850" w:type="dxa"/>
            <w:vAlign w:val="top"/>
          </w:tcPr>
          <w:p w14:paraId="429D9852">
            <w:pPr>
              <w:pStyle w:val="14"/>
              <w:spacing w:before="231" w:line="219" w:lineRule="auto"/>
              <w:ind w:left="113"/>
              <w:rPr>
                <w:color w:val="auto"/>
                <w:sz w:val="21"/>
                <w:szCs w:val="21"/>
                <w:highlight w:val="none"/>
              </w:rPr>
            </w:pPr>
            <w:r>
              <w:rPr>
                <w:b/>
                <w:bCs/>
                <w:color w:val="auto"/>
                <w:spacing w:val="-5"/>
                <w:sz w:val="21"/>
                <w:szCs w:val="21"/>
                <w:highlight w:val="none"/>
              </w:rPr>
              <w:t>评审因素</w:t>
            </w:r>
          </w:p>
        </w:tc>
        <w:tc>
          <w:tcPr>
            <w:tcW w:w="1370" w:type="dxa"/>
            <w:vAlign w:val="top"/>
          </w:tcPr>
          <w:p w14:paraId="20EADEE4">
            <w:pPr>
              <w:pStyle w:val="14"/>
              <w:spacing w:before="231" w:line="219" w:lineRule="auto"/>
              <w:ind w:left="489"/>
              <w:rPr>
                <w:color w:val="auto"/>
                <w:sz w:val="21"/>
                <w:szCs w:val="21"/>
                <w:highlight w:val="none"/>
              </w:rPr>
            </w:pPr>
            <w:r>
              <w:rPr>
                <w:b/>
                <w:bCs/>
                <w:color w:val="auto"/>
                <w:spacing w:val="-9"/>
                <w:sz w:val="21"/>
                <w:szCs w:val="21"/>
                <w:highlight w:val="none"/>
              </w:rPr>
              <w:t>分值</w:t>
            </w:r>
          </w:p>
        </w:tc>
        <w:tc>
          <w:tcPr>
            <w:tcW w:w="5849" w:type="dxa"/>
            <w:vAlign w:val="top"/>
          </w:tcPr>
          <w:p w14:paraId="315919C6">
            <w:pPr>
              <w:pStyle w:val="14"/>
              <w:spacing w:before="230" w:line="220" w:lineRule="auto"/>
              <w:ind w:left="2242"/>
              <w:rPr>
                <w:color w:val="auto"/>
                <w:sz w:val="21"/>
                <w:szCs w:val="21"/>
                <w:highlight w:val="none"/>
              </w:rPr>
            </w:pPr>
            <w:r>
              <w:rPr>
                <w:b/>
                <w:bCs/>
                <w:color w:val="auto"/>
                <w:spacing w:val="-5"/>
                <w:sz w:val="21"/>
                <w:szCs w:val="21"/>
                <w:highlight w:val="none"/>
              </w:rPr>
              <w:t>评审标准</w:t>
            </w:r>
          </w:p>
        </w:tc>
      </w:tr>
      <w:tr w14:paraId="1ACF3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9" w:hRule="atLeast"/>
        </w:trPr>
        <w:tc>
          <w:tcPr>
            <w:tcW w:w="653" w:type="dxa"/>
            <w:vAlign w:val="top"/>
          </w:tcPr>
          <w:p w14:paraId="106A776D">
            <w:pPr>
              <w:spacing w:line="264" w:lineRule="auto"/>
              <w:rPr>
                <w:rFonts w:ascii="Arial"/>
                <w:color w:val="auto"/>
                <w:sz w:val="21"/>
                <w:szCs w:val="21"/>
                <w:highlight w:val="none"/>
              </w:rPr>
            </w:pPr>
          </w:p>
          <w:p w14:paraId="705A04BA">
            <w:pPr>
              <w:spacing w:line="264" w:lineRule="auto"/>
              <w:rPr>
                <w:rFonts w:ascii="Arial"/>
                <w:color w:val="auto"/>
                <w:sz w:val="21"/>
                <w:szCs w:val="21"/>
                <w:highlight w:val="none"/>
              </w:rPr>
            </w:pPr>
          </w:p>
          <w:p w14:paraId="6DCF8A52">
            <w:pPr>
              <w:spacing w:line="264" w:lineRule="auto"/>
              <w:rPr>
                <w:rFonts w:ascii="Arial"/>
                <w:color w:val="auto"/>
                <w:sz w:val="21"/>
                <w:szCs w:val="21"/>
                <w:highlight w:val="none"/>
              </w:rPr>
            </w:pPr>
          </w:p>
          <w:p w14:paraId="37CE9240">
            <w:pPr>
              <w:spacing w:line="264" w:lineRule="auto"/>
              <w:rPr>
                <w:rFonts w:ascii="Arial"/>
                <w:color w:val="auto"/>
                <w:sz w:val="21"/>
                <w:szCs w:val="21"/>
                <w:highlight w:val="none"/>
              </w:rPr>
            </w:pPr>
          </w:p>
          <w:p w14:paraId="32474C1F">
            <w:pPr>
              <w:spacing w:line="264" w:lineRule="auto"/>
              <w:rPr>
                <w:rFonts w:ascii="Arial"/>
                <w:color w:val="auto"/>
                <w:sz w:val="21"/>
                <w:szCs w:val="21"/>
                <w:highlight w:val="none"/>
              </w:rPr>
            </w:pPr>
          </w:p>
          <w:p w14:paraId="544289AD">
            <w:pPr>
              <w:spacing w:line="265" w:lineRule="auto"/>
              <w:rPr>
                <w:rFonts w:ascii="Arial"/>
                <w:color w:val="auto"/>
                <w:sz w:val="21"/>
                <w:szCs w:val="21"/>
                <w:highlight w:val="none"/>
              </w:rPr>
            </w:pPr>
          </w:p>
          <w:p w14:paraId="324E50A4">
            <w:pPr>
              <w:spacing w:line="265" w:lineRule="auto"/>
              <w:rPr>
                <w:rFonts w:ascii="Arial"/>
                <w:color w:val="auto"/>
                <w:sz w:val="21"/>
                <w:szCs w:val="21"/>
                <w:highlight w:val="none"/>
              </w:rPr>
            </w:pPr>
          </w:p>
          <w:p w14:paraId="32878CE3">
            <w:pPr>
              <w:spacing w:line="265" w:lineRule="auto"/>
              <w:rPr>
                <w:rFonts w:ascii="Arial"/>
                <w:color w:val="auto"/>
                <w:sz w:val="21"/>
                <w:szCs w:val="21"/>
                <w:highlight w:val="none"/>
              </w:rPr>
            </w:pPr>
          </w:p>
          <w:p w14:paraId="3E47A0C1">
            <w:pPr>
              <w:pStyle w:val="14"/>
              <w:spacing w:before="71" w:line="184" w:lineRule="auto"/>
              <w:ind w:left="293"/>
              <w:rPr>
                <w:color w:val="auto"/>
                <w:sz w:val="21"/>
                <w:szCs w:val="21"/>
                <w:highlight w:val="none"/>
              </w:rPr>
            </w:pPr>
            <w:r>
              <w:rPr>
                <w:color w:val="auto"/>
                <w:sz w:val="21"/>
                <w:szCs w:val="21"/>
                <w:highlight w:val="none"/>
              </w:rPr>
              <w:t>1</w:t>
            </w:r>
          </w:p>
        </w:tc>
        <w:tc>
          <w:tcPr>
            <w:tcW w:w="850" w:type="dxa"/>
            <w:vAlign w:val="top"/>
          </w:tcPr>
          <w:p w14:paraId="7DB474B4">
            <w:pPr>
              <w:spacing w:line="242" w:lineRule="auto"/>
              <w:rPr>
                <w:rFonts w:ascii="Arial"/>
                <w:color w:val="auto"/>
                <w:sz w:val="21"/>
                <w:szCs w:val="21"/>
                <w:highlight w:val="none"/>
              </w:rPr>
            </w:pPr>
          </w:p>
          <w:p w14:paraId="7F2871CB">
            <w:pPr>
              <w:spacing w:line="242" w:lineRule="auto"/>
              <w:rPr>
                <w:rFonts w:ascii="Arial"/>
                <w:color w:val="auto"/>
                <w:sz w:val="21"/>
                <w:szCs w:val="21"/>
                <w:highlight w:val="none"/>
              </w:rPr>
            </w:pPr>
          </w:p>
          <w:p w14:paraId="753CF24D">
            <w:pPr>
              <w:spacing w:line="242" w:lineRule="auto"/>
              <w:rPr>
                <w:rFonts w:ascii="Arial"/>
                <w:color w:val="auto"/>
                <w:sz w:val="21"/>
                <w:szCs w:val="21"/>
                <w:highlight w:val="none"/>
              </w:rPr>
            </w:pPr>
          </w:p>
          <w:p w14:paraId="172DB1F5">
            <w:pPr>
              <w:spacing w:line="242" w:lineRule="auto"/>
              <w:rPr>
                <w:rFonts w:ascii="Arial"/>
                <w:color w:val="auto"/>
                <w:sz w:val="21"/>
                <w:szCs w:val="21"/>
                <w:highlight w:val="none"/>
              </w:rPr>
            </w:pPr>
          </w:p>
          <w:p w14:paraId="14026D7B">
            <w:pPr>
              <w:spacing w:line="243" w:lineRule="auto"/>
              <w:rPr>
                <w:rFonts w:ascii="Arial"/>
                <w:color w:val="auto"/>
                <w:sz w:val="21"/>
                <w:szCs w:val="21"/>
                <w:highlight w:val="none"/>
              </w:rPr>
            </w:pPr>
          </w:p>
          <w:p w14:paraId="338BFB54">
            <w:pPr>
              <w:spacing w:line="243" w:lineRule="auto"/>
              <w:rPr>
                <w:rFonts w:ascii="Arial"/>
                <w:color w:val="auto"/>
                <w:sz w:val="21"/>
                <w:szCs w:val="21"/>
                <w:highlight w:val="none"/>
              </w:rPr>
            </w:pPr>
          </w:p>
          <w:p w14:paraId="32B0D509">
            <w:pPr>
              <w:spacing w:line="243" w:lineRule="auto"/>
              <w:rPr>
                <w:rFonts w:ascii="Arial"/>
                <w:color w:val="auto"/>
                <w:sz w:val="21"/>
                <w:szCs w:val="21"/>
                <w:highlight w:val="none"/>
              </w:rPr>
            </w:pPr>
          </w:p>
          <w:p w14:paraId="60114C31">
            <w:pPr>
              <w:spacing w:line="243" w:lineRule="auto"/>
              <w:rPr>
                <w:rFonts w:ascii="Arial"/>
                <w:color w:val="auto"/>
                <w:sz w:val="21"/>
                <w:szCs w:val="21"/>
                <w:highlight w:val="none"/>
              </w:rPr>
            </w:pPr>
          </w:p>
          <w:p w14:paraId="6C7A93F7">
            <w:pPr>
              <w:pStyle w:val="14"/>
              <w:spacing w:before="72"/>
              <w:ind w:right="151"/>
              <w:rPr>
                <w:color w:val="auto"/>
                <w:sz w:val="21"/>
                <w:szCs w:val="21"/>
                <w:highlight w:val="none"/>
              </w:rPr>
            </w:pPr>
            <w:r>
              <w:rPr>
                <w:color w:val="auto"/>
                <w:spacing w:val="-3"/>
                <w:sz w:val="21"/>
                <w:szCs w:val="21"/>
                <w:highlight w:val="none"/>
              </w:rPr>
              <w:t>投标报价</w:t>
            </w:r>
            <w:r>
              <w:rPr>
                <w:color w:val="auto"/>
                <w:sz w:val="21"/>
                <w:szCs w:val="21"/>
                <w:highlight w:val="none"/>
              </w:rPr>
              <w:t xml:space="preserve"> </w:t>
            </w:r>
            <w:r>
              <w:rPr>
                <w:color w:val="auto"/>
                <w:spacing w:val="-8"/>
                <w:sz w:val="21"/>
                <w:szCs w:val="21"/>
                <w:highlight w:val="none"/>
              </w:rPr>
              <w:t>10%</w:t>
            </w:r>
          </w:p>
        </w:tc>
        <w:tc>
          <w:tcPr>
            <w:tcW w:w="1370" w:type="dxa"/>
            <w:vAlign w:val="top"/>
          </w:tcPr>
          <w:p w14:paraId="6FF8171F">
            <w:pPr>
              <w:spacing w:line="260" w:lineRule="auto"/>
              <w:rPr>
                <w:rFonts w:ascii="Arial"/>
                <w:color w:val="auto"/>
                <w:sz w:val="21"/>
                <w:szCs w:val="21"/>
                <w:highlight w:val="none"/>
              </w:rPr>
            </w:pPr>
          </w:p>
          <w:p w14:paraId="2F7523D8">
            <w:pPr>
              <w:spacing w:line="260" w:lineRule="auto"/>
              <w:rPr>
                <w:rFonts w:ascii="Arial"/>
                <w:color w:val="auto"/>
                <w:sz w:val="21"/>
                <w:szCs w:val="21"/>
                <w:highlight w:val="none"/>
              </w:rPr>
            </w:pPr>
          </w:p>
          <w:p w14:paraId="52111074">
            <w:pPr>
              <w:spacing w:line="260" w:lineRule="auto"/>
              <w:rPr>
                <w:rFonts w:ascii="Arial"/>
                <w:color w:val="auto"/>
                <w:sz w:val="21"/>
                <w:szCs w:val="21"/>
                <w:highlight w:val="none"/>
              </w:rPr>
            </w:pPr>
          </w:p>
          <w:p w14:paraId="2D5E4DE4">
            <w:pPr>
              <w:spacing w:line="260" w:lineRule="auto"/>
              <w:rPr>
                <w:rFonts w:ascii="Arial"/>
                <w:color w:val="auto"/>
                <w:sz w:val="21"/>
                <w:szCs w:val="21"/>
                <w:highlight w:val="none"/>
              </w:rPr>
            </w:pPr>
          </w:p>
          <w:p w14:paraId="7CB238A9">
            <w:pPr>
              <w:spacing w:line="260" w:lineRule="auto"/>
              <w:rPr>
                <w:rFonts w:ascii="Arial"/>
                <w:color w:val="auto"/>
                <w:sz w:val="21"/>
                <w:szCs w:val="21"/>
                <w:highlight w:val="none"/>
              </w:rPr>
            </w:pPr>
          </w:p>
          <w:p w14:paraId="6BD1BF4E">
            <w:pPr>
              <w:spacing w:line="260" w:lineRule="auto"/>
              <w:rPr>
                <w:rFonts w:ascii="Arial"/>
                <w:color w:val="auto"/>
                <w:sz w:val="21"/>
                <w:szCs w:val="21"/>
                <w:highlight w:val="none"/>
              </w:rPr>
            </w:pPr>
          </w:p>
          <w:p w14:paraId="523173B1">
            <w:pPr>
              <w:spacing w:line="260" w:lineRule="auto"/>
              <w:rPr>
                <w:rFonts w:ascii="Arial"/>
                <w:color w:val="auto"/>
                <w:sz w:val="21"/>
                <w:szCs w:val="21"/>
                <w:highlight w:val="none"/>
              </w:rPr>
            </w:pPr>
          </w:p>
          <w:p w14:paraId="071200DF">
            <w:pPr>
              <w:spacing w:line="261" w:lineRule="auto"/>
              <w:rPr>
                <w:rFonts w:ascii="Arial"/>
                <w:color w:val="auto"/>
                <w:sz w:val="21"/>
                <w:szCs w:val="21"/>
                <w:highlight w:val="none"/>
              </w:rPr>
            </w:pPr>
          </w:p>
          <w:p w14:paraId="1906D32B">
            <w:pPr>
              <w:pStyle w:val="14"/>
              <w:spacing w:before="71" w:line="221" w:lineRule="auto"/>
              <w:ind w:left="494"/>
              <w:rPr>
                <w:color w:val="auto"/>
                <w:sz w:val="21"/>
                <w:szCs w:val="21"/>
                <w:highlight w:val="none"/>
              </w:rPr>
            </w:pPr>
            <w:r>
              <w:rPr>
                <w:color w:val="auto"/>
                <w:spacing w:val="-9"/>
                <w:sz w:val="21"/>
                <w:szCs w:val="21"/>
                <w:highlight w:val="none"/>
              </w:rPr>
              <w:t>10</w:t>
            </w:r>
            <w:r>
              <w:rPr>
                <w:color w:val="auto"/>
                <w:spacing w:val="-42"/>
                <w:sz w:val="21"/>
                <w:szCs w:val="21"/>
                <w:highlight w:val="none"/>
              </w:rPr>
              <w:t xml:space="preserve"> </w:t>
            </w:r>
            <w:r>
              <w:rPr>
                <w:color w:val="auto"/>
                <w:spacing w:val="-9"/>
                <w:sz w:val="21"/>
                <w:szCs w:val="21"/>
                <w:highlight w:val="none"/>
              </w:rPr>
              <w:t>分</w:t>
            </w:r>
          </w:p>
        </w:tc>
        <w:tc>
          <w:tcPr>
            <w:tcW w:w="5849" w:type="dxa"/>
            <w:vAlign w:val="top"/>
          </w:tcPr>
          <w:p w14:paraId="3F08368E">
            <w:pPr>
              <w:pStyle w:val="14"/>
              <w:spacing w:before="32" w:line="233" w:lineRule="auto"/>
              <w:ind w:left="113" w:right="8"/>
              <w:jc w:val="both"/>
              <w:rPr>
                <w:color w:val="auto"/>
                <w:sz w:val="21"/>
                <w:szCs w:val="21"/>
                <w:highlight w:val="none"/>
              </w:rPr>
            </w:pPr>
            <w:r>
              <w:rPr>
                <w:color w:val="auto"/>
                <w:spacing w:val="-3"/>
                <w:sz w:val="21"/>
                <w:szCs w:val="21"/>
                <w:highlight w:val="none"/>
              </w:rPr>
              <w:t>有效最后报价的最低价作为评审基准价，其最低报价为</w:t>
            </w:r>
            <w:r>
              <w:rPr>
                <w:color w:val="auto"/>
                <w:spacing w:val="2"/>
                <w:sz w:val="21"/>
                <w:szCs w:val="21"/>
                <w:highlight w:val="none"/>
              </w:rPr>
              <w:t xml:space="preserve">  </w:t>
            </w:r>
            <w:r>
              <w:rPr>
                <w:color w:val="auto"/>
                <w:spacing w:val="-11"/>
                <w:sz w:val="21"/>
                <w:szCs w:val="21"/>
                <w:highlight w:val="none"/>
              </w:rPr>
              <w:t>满分；按［最后报价得分=（评审基准价/最后报价）*10］</w:t>
            </w:r>
            <w:r>
              <w:rPr>
                <w:color w:val="auto"/>
                <w:spacing w:val="8"/>
                <w:sz w:val="21"/>
                <w:szCs w:val="21"/>
                <w:highlight w:val="none"/>
              </w:rPr>
              <w:t xml:space="preserve"> </w:t>
            </w:r>
            <w:r>
              <w:rPr>
                <w:color w:val="auto"/>
                <w:spacing w:val="-1"/>
                <w:sz w:val="21"/>
                <w:szCs w:val="21"/>
                <w:highlight w:val="none"/>
              </w:rPr>
              <w:t>的计算公式计算。</w:t>
            </w:r>
          </w:p>
          <w:p w14:paraId="2638CC1B">
            <w:pPr>
              <w:pStyle w:val="14"/>
              <w:spacing w:before="22" w:line="219" w:lineRule="auto"/>
              <w:ind w:left="112"/>
              <w:rPr>
                <w:color w:val="auto"/>
                <w:sz w:val="21"/>
                <w:szCs w:val="21"/>
                <w:highlight w:val="none"/>
              </w:rPr>
            </w:pPr>
            <w:r>
              <w:rPr>
                <w:color w:val="auto"/>
                <w:spacing w:val="-1"/>
                <w:sz w:val="21"/>
                <w:szCs w:val="21"/>
                <w:highlight w:val="none"/>
              </w:rPr>
              <w:t>评审过程中，不得去掉报价中的最高报价和最低报价。</w:t>
            </w:r>
          </w:p>
          <w:p w14:paraId="03B9B3D4">
            <w:pPr>
              <w:pStyle w:val="14"/>
              <w:spacing w:before="25" w:line="229" w:lineRule="auto"/>
              <w:ind w:left="115" w:right="106" w:firstLine="449"/>
              <w:rPr>
                <w:color w:val="auto"/>
                <w:sz w:val="21"/>
                <w:szCs w:val="21"/>
                <w:highlight w:val="none"/>
              </w:rPr>
            </w:pPr>
            <w:r>
              <w:rPr>
                <w:color w:val="auto"/>
                <w:sz w:val="21"/>
                <w:szCs w:val="21"/>
                <w:highlight w:val="none"/>
              </w:rPr>
              <w:drawing>
                <wp:inline distT="0" distB="0" distL="0" distR="0">
                  <wp:extent cx="113030" cy="107950"/>
                  <wp:effectExtent l="0" t="0" r="1270" b="635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54"/>
                          <a:stretch>
                            <a:fillRect/>
                          </a:stretch>
                        </pic:blipFill>
                        <pic:spPr>
                          <a:xfrm>
                            <a:off x="0" y="0"/>
                            <a:ext cx="113250" cy="108478"/>
                          </a:xfrm>
                          <a:prstGeom prst="rect">
                            <a:avLst/>
                          </a:prstGeom>
                        </pic:spPr>
                      </pic:pic>
                    </a:graphicData>
                  </a:graphic>
                </wp:inline>
              </w:drawing>
            </w:r>
            <w:r>
              <w:rPr>
                <w:color w:val="auto"/>
                <w:spacing w:val="-2"/>
                <w:sz w:val="21"/>
                <w:szCs w:val="21"/>
                <w:highlight w:val="none"/>
              </w:rPr>
              <w:t>对于专门面向中小企业的政府采购服务项目，不</w:t>
            </w:r>
            <w:r>
              <w:rPr>
                <w:color w:val="auto"/>
                <w:spacing w:val="-1"/>
                <w:sz w:val="21"/>
                <w:szCs w:val="21"/>
                <w:highlight w:val="none"/>
              </w:rPr>
              <w:t>再执行价格评审优惠的扶持政策。</w:t>
            </w:r>
          </w:p>
          <w:p w14:paraId="6B2F9131">
            <w:pPr>
              <w:pStyle w:val="14"/>
              <w:spacing w:before="24" w:line="234" w:lineRule="auto"/>
              <w:ind w:left="113" w:right="106" w:firstLine="467"/>
              <w:rPr>
                <w:color w:val="auto"/>
                <w:sz w:val="21"/>
                <w:szCs w:val="21"/>
                <w:highlight w:val="none"/>
              </w:rPr>
            </w:pPr>
            <w:r>
              <w:rPr>
                <w:rFonts w:ascii="MS Gothic" w:hAnsi="MS Gothic" w:eastAsia="MS Gothic" w:cs="MS Gothic"/>
                <w:color w:val="auto"/>
                <w:spacing w:val="6"/>
                <w:sz w:val="21"/>
                <w:szCs w:val="21"/>
                <w:highlight w:val="none"/>
              </w:rPr>
              <w:t>□</w:t>
            </w:r>
            <w:r>
              <w:rPr>
                <w:color w:val="auto"/>
                <w:spacing w:val="6"/>
                <w:sz w:val="21"/>
                <w:szCs w:val="21"/>
                <w:highlight w:val="none"/>
              </w:rPr>
              <w:t>对于未预留份额专门面向中小企业的政府采购</w:t>
            </w:r>
            <w:r>
              <w:rPr>
                <w:color w:val="auto"/>
                <w:sz w:val="21"/>
                <w:szCs w:val="21"/>
                <w:highlight w:val="none"/>
              </w:rPr>
              <w:t xml:space="preserve"> </w:t>
            </w:r>
            <w:r>
              <w:rPr>
                <w:color w:val="auto"/>
                <w:spacing w:val="-3"/>
                <w:sz w:val="21"/>
                <w:szCs w:val="21"/>
                <w:highlight w:val="none"/>
              </w:rPr>
              <w:t>服务项目，以及预留份额政府采购服务项目中的非预留</w:t>
            </w:r>
            <w:r>
              <w:rPr>
                <w:color w:val="auto"/>
                <w:spacing w:val="4"/>
                <w:sz w:val="21"/>
                <w:szCs w:val="21"/>
                <w:highlight w:val="none"/>
              </w:rPr>
              <w:t xml:space="preserve"> </w:t>
            </w:r>
            <w:r>
              <w:rPr>
                <w:color w:val="auto"/>
                <w:spacing w:val="-2"/>
                <w:sz w:val="21"/>
                <w:szCs w:val="21"/>
                <w:highlight w:val="none"/>
              </w:rPr>
              <w:t>部分标项，对小型和微型企业的投标报价给予</w:t>
            </w:r>
            <w:r>
              <w:rPr>
                <w:color w:val="auto"/>
                <w:spacing w:val="-18"/>
                <w:sz w:val="21"/>
                <w:szCs w:val="21"/>
                <w:highlight w:val="none"/>
              </w:rPr>
              <w:t xml:space="preserve"> </w:t>
            </w:r>
            <w:r>
              <w:rPr>
                <w:color w:val="auto"/>
                <w:spacing w:val="-2"/>
                <w:sz w:val="21"/>
                <w:szCs w:val="21"/>
                <w:highlight w:val="none"/>
              </w:rPr>
              <w:t>10%的扣</w:t>
            </w:r>
            <w:r>
              <w:rPr>
                <w:color w:val="auto"/>
                <w:sz w:val="21"/>
                <w:szCs w:val="21"/>
                <w:highlight w:val="none"/>
              </w:rPr>
              <w:t xml:space="preserve"> </w:t>
            </w:r>
            <w:r>
              <w:rPr>
                <w:color w:val="auto"/>
                <w:spacing w:val="-1"/>
                <w:sz w:val="21"/>
                <w:szCs w:val="21"/>
                <w:highlight w:val="none"/>
              </w:rPr>
              <w:t>除，用扣除后的价格参与评审</w:t>
            </w:r>
          </w:p>
          <w:p w14:paraId="57A24CF0">
            <w:pPr>
              <w:pStyle w:val="14"/>
              <w:spacing w:before="27" w:line="232" w:lineRule="auto"/>
              <w:ind w:left="112" w:right="106" w:firstLine="468"/>
              <w:rPr>
                <w:color w:val="auto"/>
                <w:sz w:val="21"/>
                <w:szCs w:val="21"/>
                <w:highlight w:val="none"/>
              </w:rPr>
            </w:pPr>
            <w:r>
              <w:rPr>
                <w:rFonts w:ascii="MS Gothic" w:hAnsi="MS Gothic" w:eastAsia="MS Gothic" w:cs="MS Gothic"/>
                <w:color w:val="auto"/>
                <w:spacing w:val="6"/>
                <w:sz w:val="21"/>
                <w:szCs w:val="21"/>
                <w:highlight w:val="none"/>
              </w:rPr>
              <w:t>□</w:t>
            </w:r>
            <w:r>
              <w:rPr>
                <w:color w:val="auto"/>
                <w:spacing w:val="6"/>
                <w:sz w:val="21"/>
                <w:szCs w:val="21"/>
                <w:highlight w:val="none"/>
              </w:rPr>
              <w:t>对于接受大中型企业与小微企业组成联合体或者允许大中型企业向一家或者多家小微企业分包的政</w:t>
            </w:r>
            <w:r>
              <w:rPr>
                <w:color w:val="auto"/>
                <w:spacing w:val="-3"/>
                <w:sz w:val="21"/>
                <w:szCs w:val="21"/>
                <w:highlight w:val="none"/>
              </w:rPr>
              <w:t>府采购服务项目，对于联合协议或者分包意向协议约定</w:t>
            </w:r>
            <w:r>
              <w:rPr>
                <w:color w:val="auto"/>
                <w:spacing w:val="-1"/>
                <w:sz w:val="21"/>
                <w:szCs w:val="21"/>
                <w:highlight w:val="none"/>
              </w:rPr>
              <w:t>小微企业的合同份额占到合同总金额</w:t>
            </w:r>
            <w:r>
              <w:rPr>
                <w:color w:val="auto"/>
                <w:spacing w:val="-42"/>
                <w:sz w:val="21"/>
                <w:szCs w:val="21"/>
                <w:highlight w:val="none"/>
              </w:rPr>
              <w:t xml:space="preserve"> </w:t>
            </w:r>
            <w:r>
              <w:rPr>
                <w:color w:val="auto"/>
                <w:spacing w:val="-1"/>
                <w:sz w:val="21"/>
                <w:szCs w:val="21"/>
                <w:highlight w:val="none"/>
              </w:rPr>
              <w:t>40%以上的，对联</w:t>
            </w:r>
            <w:r>
              <w:rPr>
                <w:color w:val="auto"/>
                <w:spacing w:val="3"/>
                <w:sz w:val="21"/>
                <w:szCs w:val="21"/>
                <w:highlight w:val="none"/>
              </w:rPr>
              <w:t>合体或者大中型企业的报价给予</w:t>
            </w:r>
            <w:r>
              <w:rPr>
                <w:color w:val="auto"/>
                <w:spacing w:val="-29"/>
                <w:sz w:val="21"/>
                <w:szCs w:val="21"/>
                <w:highlight w:val="none"/>
              </w:rPr>
              <w:t xml:space="preserve"> </w:t>
            </w:r>
            <w:r>
              <w:rPr>
                <w:color w:val="auto"/>
                <w:spacing w:val="3"/>
                <w:sz w:val="21"/>
                <w:szCs w:val="21"/>
                <w:highlight w:val="none"/>
              </w:rPr>
              <w:t>4%的扣除，用扣除后</w:t>
            </w:r>
            <w:r>
              <w:rPr>
                <w:color w:val="auto"/>
                <w:spacing w:val="-1"/>
                <w:sz w:val="21"/>
                <w:szCs w:val="21"/>
                <w:highlight w:val="none"/>
              </w:rPr>
              <w:t>的价格参加评审。</w:t>
            </w:r>
          </w:p>
        </w:tc>
      </w:tr>
      <w:tr w14:paraId="44E8C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5" w:hRule="atLeast"/>
        </w:trPr>
        <w:tc>
          <w:tcPr>
            <w:tcW w:w="653" w:type="dxa"/>
            <w:vMerge w:val="restart"/>
            <w:vAlign w:val="top"/>
          </w:tcPr>
          <w:p w14:paraId="2257B6AC">
            <w:pPr>
              <w:spacing w:line="249" w:lineRule="auto"/>
              <w:rPr>
                <w:rFonts w:ascii="Arial"/>
                <w:color w:val="auto"/>
                <w:sz w:val="21"/>
                <w:szCs w:val="21"/>
                <w:highlight w:val="none"/>
              </w:rPr>
            </w:pPr>
          </w:p>
          <w:p w14:paraId="1F9F16FA">
            <w:pPr>
              <w:spacing w:line="250" w:lineRule="auto"/>
              <w:rPr>
                <w:rFonts w:ascii="Arial"/>
                <w:color w:val="auto"/>
                <w:sz w:val="21"/>
                <w:szCs w:val="21"/>
                <w:highlight w:val="none"/>
              </w:rPr>
            </w:pPr>
          </w:p>
          <w:p w14:paraId="6D44818E">
            <w:pPr>
              <w:spacing w:line="250" w:lineRule="auto"/>
              <w:rPr>
                <w:rFonts w:ascii="Arial"/>
                <w:color w:val="auto"/>
                <w:sz w:val="21"/>
                <w:szCs w:val="21"/>
                <w:highlight w:val="none"/>
              </w:rPr>
            </w:pPr>
          </w:p>
          <w:p w14:paraId="5057E027">
            <w:pPr>
              <w:spacing w:line="250" w:lineRule="auto"/>
              <w:rPr>
                <w:rFonts w:ascii="Arial"/>
                <w:color w:val="auto"/>
                <w:sz w:val="21"/>
                <w:szCs w:val="21"/>
                <w:highlight w:val="none"/>
              </w:rPr>
            </w:pPr>
          </w:p>
          <w:p w14:paraId="55D0204A">
            <w:pPr>
              <w:spacing w:line="250" w:lineRule="auto"/>
              <w:rPr>
                <w:rFonts w:ascii="Arial"/>
                <w:color w:val="auto"/>
                <w:sz w:val="21"/>
                <w:szCs w:val="21"/>
                <w:highlight w:val="none"/>
              </w:rPr>
            </w:pPr>
          </w:p>
          <w:p w14:paraId="7E164BEC">
            <w:pPr>
              <w:spacing w:line="250" w:lineRule="auto"/>
              <w:rPr>
                <w:rFonts w:ascii="Arial"/>
                <w:color w:val="auto"/>
                <w:sz w:val="21"/>
                <w:szCs w:val="21"/>
                <w:highlight w:val="none"/>
              </w:rPr>
            </w:pPr>
          </w:p>
          <w:p w14:paraId="2BC446F5">
            <w:pPr>
              <w:spacing w:line="250" w:lineRule="auto"/>
              <w:rPr>
                <w:rFonts w:ascii="Arial"/>
                <w:color w:val="auto"/>
                <w:sz w:val="21"/>
                <w:szCs w:val="21"/>
                <w:highlight w:val="none"/>
              </w:rPr>
            </w:pPr>
          </w:p>
          <w:p w14:paraId="77246A29">
            <w:pPr>
              <w:spacing w:line="250" w:lineRule="auto"/>
              <w:rPr>
                <w:rFonts w:ascii="Arial"/>
                <w:color w:val="auto"/>
                <w:sz w:val="21"/>
                <w:szCs w:val="21"/>
                <w:highlight w:val="none"/>
              </w:rPr>
            </w:pPr>
          </w:p>
          <w:p w14:paraId="1346C00F">
            <w:pPr>
              <w:pStyle w:val="14"/>
              <w:spacing w:before="72" w:line="184" w:lineRule="auto"/>
              <w:ind w:left="279"/>
              <w:rPr>
                <w:color w:val="auto"/>
                <w:sz w:val="21"/>
                <w:szCs w:val="21"/>
                <w:highlight w:val="none"/>
              </w:rPr>
            </w:pPr>
            <w:r>
              <w:rPr>
                <w:color w:val="auto"/>
                <w:sz w:val="21"/>
                <w:szCs w:val="21"/>
                <w:highlight w:val="none"/>
              </w:rPr>
              <w:t>2</w:t>
            </w:r>
          </w:p>
        </w:tc>
        <w:tc>
          <w:tcPr>
            <w:tcW w:w="850" w:type="dxa"/>
            <w:vMerge w:val="restart"/>
            <w:vAlign w:val="top"/>
          </w:tcPr>
          <w:p w14:paraId="4D606756">
            <w:pPr>
              <w:spacing w:line="244" w:lineRule="auto"/>
              <w:rPr>
                <w:rFonts w:ascii="Arial"/>
                <w:color w:val="auto"/>
                <w:sz w:val="21"/>
                <w:szCs w:val="21"/>
                <w:highlight w:val="none"/>
              </w:rPr>
            </w:pPr>
          </w:p>
          <w:p w14:paraId="20AD7DE4">
            <w:pPr>
              <w:spacing w:line="244" w:lineRule="auto"/>
              <w:rPr>
                <w:rFonts w:ascii="Arial"/>
                <w:color w:val="auto"/>
                <w:sz w:val="21"/>
                <w:szCs w:val="21"/>
                <w:highlight w:val="none"/>
              </w:rPr>
            </w:pPr>
          </w:p>
          <w:p w14:paraId="5DDDD08F">
            <w:pPr>
              <w:spacing w:line="244" w:lineRule="auto"/>
              <w:rPr>
                <w:rFonts w:ascii="Arial"/>
                <w:color w:val="auto"/>
                <w:sz w:val="21"/>
                <w:szCs w:val="21"/>
                <w:highlight w:val="none"/>
              </w:rPr>
            </w:pPr>
          </w:p>
          <w:p w14:paraId="4B2EE3D3">
            <w:pPr>
              <w:spacing w:line="244" w:lineRule="auto"/>
              <w:rPr>
                <w:rFonts w:ascii="Arial"/>
                <w:color w:val="auto"/>
                <w:sz w:val="21"/>
                <w:szCs w:val="21"/>
                <w:highlight w:val="none"/>
              </w:rPr>
            </w:pPr>
          </w:p>
          <w:p w14:paraId="2F850F42">
            <w:pPr>
              <w:spacing w:line="244" w:lineRule="auto"/>
              <w:rPr>
                <w:rFonts w:ascii="Arial"/>
                <w:color w:val="auto"/>
                <w:sz w:val="21"/>
                <w:szCs w:val="21"/>
                <w:highlight w:val="none"/>
              </w:rPr>
            </w:pPr>
          </w:p>
          <w:p w14:paraId="407FE314">
            <w:pPr>
              <w:spacing w:line="244" w:lineRule="auto"/>
              <w:rPr>
                <w:rFonts w:ascii="Arial"/>
                <w:color w:val="auto"/>
                <w:sz w:val="21"/>
                <w:szCs w:val="21"/>
                <w:highlight w:val="none"/>
              </w:rPr>
            </w:pPr>
          </w:p>
          <w:p w14:paraId="317D68D0">
            <w:pPr>
              <w:spacing w:line="245" w:lineRule="auto"/>
              <w:rPr>
                <w:rFonts w:ascii="Arial"/>
                <w:color w:val="auto"/>
                <w:sz w:val="21"/>
                <w:szCs w:val="21"/>
                <w:highlight w:val="none"/>
              </w:rPr>
            </w:pPr>
          </w:p>
          <w:p w14:paraId="265EF84E">
            <w:pPr>
              <w:pStyle w:val="14"/>
              <w:spacing w:before="72"/>
              <w:ind w:right="151"/>
              <w:rPr>
                <w:rFonts w:hint="default"/>
                <w:color w:val="auto"/>
                <w:sz w:val="21"/>
                <w:szCs w:val="21"/>
                <w:highlight w:val="none"/>
                <w:lang w:val="en-US"/>
              </w:rPr>
            </w:pPr>
            <w:r>
              <w:rPr>
                <w:color w:val="auto"/>
                <w:spacing w:val="-3"/>
                <w:sz w:val="21"/>
                <w:szCs w:val="21"/>
                <w:highlight w:val="none"/>
              </w:rPr>
              <w:t>技术部分</w:t>
            </w:r>
            <w:r>
              <w:rPr>
                <w:color w:val="auto"/>
                <w:spacing w:val="2"/>
                <w:sz w:val="21"/>
                <w:szCs w:val="21"/>
                <w:highlight w:val="none"/>
              </w:rPr>
              <w:t xml:space="preserve"> </w:t>
            </w:r>
            <w:r>
              <w:rPr>
                <w:rFonts w:hint="eastAsia" w:eastAsia="宋体"/>
                <w:color w:val="auto"/>
                <w:spacing w:val="-4"/>
                <w:sz w:val="21"/>
                <w:szCs w:val="21"/>
                <w:highlight w:val="none"/>
                <w:lang w:val="en-US" w:eastAsia="zh-CN"/>
              </w:rPr>
              <w:t>65分</w:t>
            </w:r>
          </w:p>
        </w:tc>
        <w:tc>
          <w:tcPr>
            <w:tcW w:w="1370" w:type="dxa"/>
            <w:vAlign w:val="top"/>
          </w:tcPr>
          <w:p w14:paraId="5F8EFAD1">
            <w:pPr>
              <w:spacing w:line="279" w:lineRule="auto"/>
              <w:rPr>
                <w:rFonts w:ascii="Arial"/>
                <w:color w:val="auto"/>
                <w:sz w:val="21"/>
                <w:szCs w:val="21"/>
                <w:highlight w:val="none"/>
              </w:rPr>
            </w:pPr>
          </w:p>
          <w:p w14:paraId="17CE2727">
            <w:pPr>
              <w:pStyle w:val="14"/>
              <w:spacing w:before="65" w:line="239" w:lineRule="auto"/>
              <w:ind w:right="39"/>
              <w:rPr>
                <w:color w:val="auto"/>
                <w:sz w:val="21"/>
                <w:szCs w:val="21"/>
                <w:highlight w:val="none"/>
              </w:rPr>
            </w:pPr>
            <w:r>
              <w:rPr>
                <w:color w:val="auto"/>
                <w:spacing w:val="43"/>
                <w:sz w:val="21"/>
                <w:szCs w:val="21"/>
                <w:highlight w:val="none"/>
              </w:rPr>
              <w:t>项目理解及</w:t>
            </w:r>
            <w:r>
              <w:rPr>
                <w:color w:val="auto"/>
                <w:spacing w:val="2"/>
                <w:sz w:val="21"/>
                <w:szCs w:val="21"/>
                <w:highlight w:val="none"/>
              </w:rPr>
              <w:t>认识（10</w:t>
            </w:r>
            <w:r>
              <w:rPr>
                <w:color w:val="auto"/>
                <w:spacing w:val="-31"/>
                <w:sz w:val="21"/>
                <w:szCs w:val="21"/>
                <w:highlight w:val="none"/>
              </w:rPr>
              <w:t xml:space="preserve"> </w:t>
            </w:r>
            <w:r>
              <w:rPr>
                <w:color w:val="auto"/>
                <w:spacing w:val="2"/>
                <w:sz w:val="21"/>
                <w:szCs w:val="21"/>
                <w:highlight w:val="none"/>
              </w:rPr>
              <w:t>分）</w:t>
            </w:r>
          </w:p>
        </w:tc>
        <w:tc>
          <w:tcPr>
            <w:tcW w:w="5849" w:type="dxa"/>
            <w:vAlign w:val="top"/>
          </w:tcPr>
          <w:p w14:paraId="77A076B2">
            <w:pPr>
              <w:pStyle w:val="14"/>
              <w:spacing w:before="37" w:line="232" w:lineRule="auto"/>
              <w:ind w:right="106"/>
              <w:jc w:val="both"/>
              <w:rPr>
                <w:color w:val="auto"/>
                <w:highlight w:val="none"/>
                <w:lang w:eastAsia="zh-CN"/>
              </w:rPr>
            </w:pPr>
            <w:r>
              <w:rPr>
                <w:color w:val="auto"/>
                <w:spacing w:val="7"/>
                <w:highlight w:val="none"/>
                <w:lang w:eastAsia="zh-CN"/>
              </w:rPr>
              <w:t>根据项目需求对本项目全过程工程咨询服务内容</w:t>
            </w:r>
            <w:r>
              <w:rPr>
                <w:color w:val="auto"/>
                <w:spacing w:val="4"/>
                <w:highlight w:val="none"/>
                <w:lang w:eastAsia="zh-CN"/>
              </w:rPr>
              <w:t xml:space="preserve"> </w:t>
            </w:r>
            <w:r>
              <w:rPr>
                <w:color w:val="auto"/>
                <w:spacing w:val="-3"/>
                <w:highlight w:val="none"/>
                <w:lang w:eastAsia="zh-CN"/>
              </w:rPr>
              <w:t>认识和理解符合项目实际、内容完整、详细明确、具有</w:t>
            </w:r>
            <w:r>
              <w:rPr>
                <w:color w:val="auto"/>
                <w:spacing w:val="-6"/>
                <w:highlight w:val="none"/>
                <w:lang w:eastAsia="zh-CN"/>
              </w:rPr>
              <w:t>针对性得</w:t>
            </w:r>
            <w:r>
              <w:rPr>
                <w:color w:val="auto"/>
                <w:spacing w:val="-25"/>
                <w:highlight w:val="none"/>
                <w:lang w:eastAsia="zh-CN"/>
              </w:rPr>
              <w:t xml:space="preserve"> </w:t>
            </w:r>
            <w:r>
              <w:rPr>
                <w:color w:val="auto"/>
                <w:spacing w:val="-6"/>
                <w:highlight w:val="none"/>
                <w:lang w:eastAsia="zh-CN"/>
              </w:rPr>
              <w:t>10</w:t>
            </w:r>
            <w:r>
              <w:rPr>
                <w:color w:val="auto"/>
                <w:spacing w:val="-47"/>
                <w:highlight w:val="none"/>
                <w:lang w:eastAsia="zh-CN"/>
              </w:rPr>
              <w:t xml:space="preserve"> </w:t>
            </w:r>
            <w:r>
              <w:rPr>
                <w:color w:val="auto"/>
                <w:spacing w:val="-6"/>
                <w:highlight w:val="none"/>
                <w:lang w:eastAsia="zh-CN"/>
              </w:rPr>
              <w:t>分；</w:t>
            </w:r>
          </w:p>
          <w:p w14:paraId="61F67E47">
            <w:pPr>
              <w:pStyle w:val="14"/>
              <w:spacing w:before="23" w:line="230" w:lineRule="auto"/>
              <w:ind w:right="106"/>
              <w:rPr>
                <w:color w:val="auto"/>
                <w:highlight w:val="none"/>
                <w:lang w:eastAsia="zh-CN"/>
              </w:rPr>
            </w:pPr>
            <w:r>
              <w:rPr>
                <w:color w:val="auto"/>
                <w:spacing w:val="-3"/>
                <w:highlight w:val="none"/>
                <w:lang w:eastAsia="zh-CN"/>
              </w:rPr>
              <w:t>服务内容认识和理解较符合项目实际、较完</w:t>
            </w:r>
            <w:r>
              <w:rPr>
                <w:color w:val="auto"/>
                <w:spacing w:val="-4"/>
                <w:highlight w:val="none"/>
                <w:lang w:eastAsia="zh-CN"/>
              </w:rPr>
              <w:t>整、详</w:t>
            </w:r>
            <w:r>
              <w:rPr>
                <w:color w:val="auto"/>
                <w:spacing w:val="-7"/>
                <w:highlight w:val="none"/>
                <w:lang w:eastAsia="zh-CN"/>
              </w:rPr>
              <w:t>细得</w:t>
            </w:r>
            <w:r>
              <w:rPr>
                <w:color w:val="auto"/>
                <w:spacing w:val="-41"/>
                <w:highlight w:val="none"/>
                <w:lang w:eastAsia="zh-CN"/>
              </w:rPr>
              <w:t xml:space="preserve"> </w:t>
            </w:r>
            <w:r>
              <w:rPr>
                <w:color w:val="auto"/>
                <w:spacing w:val="-7"/>
                <w:highlight w:val="none"/>
                <w:lang w:eastAsia="zh-CN"/>
              </w:rPr>
              <w:t>7</w:t>
            </w:r>
            <w:r>
              <w:rPr>
                <w:color w:val="auto"/>
                <w:spacing w:val="-44"/>
                <w:highlight w:val="none"/>
                <w:lang w:eastAsia="zh-CN"/>
              </w:rPr>
              <w:t xml:space="preserve"> </w:t>
            </w:r>
            <w:r>
              <w:rPr>
                <w:color w:val="auto"/>
                <w:spacing w:val="-7"/>
                <w:highlight w:val="none"/>
                <w:lang w:eastAsia="zh-CN"/>
              </w:rPr>
              <w:t>分；</w:t>
            </w:r>
          </w:p>
          <w:p w14:paraId="48574E1F">
            <w:pPr>
              <w:pStyle w:val="14"/>
              <w:spacing w:before="23" w:line="230" w:lineRule="auto"/>
              <w:ind w:right="106"/>
              <w:rPr>
                <w:color w:val="auto"/>
                <w:highlight w:val="none"/>
                <w:lang w:eastAsia="zh-CN"/>
              </w:rPr>
            </w:pPr>
            <w:r>
              <w:rPr>
                <w:color w:val="auto"/>
                <w:spacing w:val="-3"/>
                <w:highlight w:val="none"/>
                <w:lang w:eastAsia="zh-CN"/>
              </w:rPr>
              <w:t>服务内容认识和理解基本符合项目实际、基</w:t>
            </w:r>
            <w:r>
              <w:rPr>
                <w:color w:val="auto"/>
                <w:spacing w:val="-4"/>
                <w:highlight w:val="none"/>
                <w:lang w:eastAsia="zh-CN"/>
              </w:rPr>
              <w:t>本满足项目要求得</w:t>
            </w:r>
            <w:r>
              <w:rPr>
                <w:color w:val="auto"/>
                <w:spacing w:val="-47"/>
                <w:highlight w:val="none"/>
                <w:lang w:eastAsia="zh-CN"/>
              </w:rPr>
              <w:t xml:space="preserve"> </w:t>
            </w:r>
            <w:r>
              <w:rPr>
                <w:color w:val="auto"/>
                <w:spacing w:val="-4"/>
                <w:highlight w:val="none"/>
                <w:lang w:eastAsia="zh-CN"/>
              </w:rPr>
              <w:t>4</w:t>
            </w:r>
            <w:r>
              <w:rPr>
                <w:color w:val="auto"/>
                <w:spacing w:val="-44"/>
                <w:highlight w:val="none"/>
                <w:lang w:eastAsia="zh-CN"/>
              </w:rPr>
              <w:t xml:space="preserve"> </w:t>
            </w:r>
            <w:r>
              <w:rPr>
                <w:color w:val="auto"/>
                <w:spacing w:val="-4"/>
                <w:highlight w:val="none"/>
                <w:lang w:eastAsia="zh-CN"/>
              </w:rPr>
              <w:t>分；</w:t>
            </w:r>
          </w:p>
          <w:p w14:paraId="007B001B">
            <w:pPr>
              <w:pStyle w:val="14"/>
              <w:spacing w:before="23" w:line="230" w:lineRule="auto"/>
              <w:ind w:right="106"/>
              <w:rPr>
                <w:color w:val="auto"/>
                <w:spacing w:val="-6"/>
                <w:highlight w:val="none"/>
                <w:lang w:eastAsia="zh-CN"/>
              </w:rPr>
            </w:pPr>
            <w:r>
              <w:rPr>
                <w:color w:val="auto"/>
                <w:spacing w:val="-2"/>
                <w:highlight w:val="none"/>
                <w:lang w:eastAsia="zh-CN"/>
              </w:rPr>
              <w:t>服务内容认识和理解完整性笼统、针对性较弱得</w:t>
            </w:r>
            <w:r>
              <w:rPr>
                <w:color w:val="auto"/>
                <w:spacing w:val="-25"/>
                <w:highlight w:val="none"/>
                <w:lang w:eastAsia="zh-CN"/>
              </w:rPr>
              <w:t xml:space="preserve"> </w:t>
            </w:r>
            <w:r>
              <w:rPr>
                <w:color w:val="auto"/>
                <w:spacing w:val="-2"/>
                <w:highlight w:val="none"/>
                <w:lang w:eastAsia="zh-CN"/>
              </w:rPr>
              <w:t>2</w:t>
            </w:r>
            <w:r>
              <w:rPr>
                <w:color w:val="auto"/>
                <w:highlight w:val="none"/>
                <w:lang w:eastAsia="zh-CN"/>
              </w:rPr>
              <w:t xml:space="preserve"> </w:t>
            </w:r>
            <w:r>
              <w:rPr>
                <w:color w:val="auto"/>
                <w:spacing w:val="-6"/>
                <w:highlight w:val="none"/>
                <w:lang w:eastAsia="zh-CN"/>
              </w:rPr>
              <w:t>分；</w:t>
            </w:r>
          </w:p>
          <w:p w14:paraId="640286E7">
            <w:pPr>
              <w:pStyle w:val="14"/>
              <w:spacing w:before="23" w:line="230" w:lineRule="auto"/>
              <w:ind w:right="106"/>
              <w:rPr>
                <w:color w:val="auto"/>
                <w:sz w:val="21"/>
                <w:szCs w:val="21"/>
                <w:highlight w:val="none"/>
              </w:rPr>
            </w:pPr>
            <w:r>
              <w:rPr>
                <w:color w:val="auto"/>
                <w:spacing w:val="-5"/>
                <w:highlight w:val="none"/>
                <w:lang w:eastAsia="zh-CN"/>
              </w:rPr>
              <w:t>未描述得</w:t>
            </w:r>
            <w:r>
              <w:rPr>
                <w:color w:val="auto"/>
                <w:spacing w:val="-45"/>
                <w:highlight w:val="none"/>
                <w:lang w:eastAsia="zh-CN"/>
              </w:rPr>
              <w:t xml:space="preserve"> </w:t>
            </w:r>
            <w:r>
              <w:rPr>
                <w:color w:val="auto"/>
                <w:spacing w:val="-5"/>
                <w:highlight w:val="none"/>
                <w:lang w:eastAsia="zh-CN"/>
              </w:rPr>
              <w:t>0</w:t>
            </w:r>
            <w:r>
              <w:rPr>
                <w:color w:val="auto"/>
                <w:spacing w:val="-43"/>
                <w:highlight w:val="none"/>
                <w:lang w:eastAsia="zh-CN"/>
              </w:rPr>
              <w:t xml:space="preserve"> </w:t>
            </w:r>
            <w:r>
              <w:rPr>
                <w:color w:val="auto"/>
                <w:spacing w:val="-5"/>
                <w:highlight w:val="none"/>
                <w:lang w:eastAsia="zh-CN"/>
              </w:rPr>
              <w:t>分。</w:t>
            </w:r>
          </w:p>
        </w:tc>
      </w:tr>
      <w:tr w14:paraId="16F1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3" w:type="dxa"/>
            <w:vMerge w:val="continue"/>
            <w:vAlign w:val="top"/>
          </w:tcPr>
          <w:p w14:paraId="2F4846B9">
            <w:pPr>
              <w:rPr>
                <w:rFonts w:ascii="Arial"/>
                <w:color w:val="auto"/>
                <w:sz w:val="21"/>
                <w:szCs w:val="21"/>
                <w:highlight w:val="none"/>
              </w:rPr>
            </w:pPr>
          </w:p>
        </w:tc>
        <w:tc>
          <w:tcPr>
            <w:tcW w:w="850" w:type="dxa"/>
            <w:vMerge w:val="continue"/>
            <w:vAlign w:val="top"/>
          </w:tcPr>
          <w:p w14:paraId="20C00A88">
            <w:pPr>
              <w:rPr>
                <w:rFonts w:ascii="Arial"/>
                <w:color w:val="auto"/>
                <w:sz w:val="21"/>
                <w:szCs w:val="21"/>
                <w:highlight w:val="none"/>
              </w:rPr>
            </w:pPr>
          </w:p>
        </w:tc>
        <w:tc>
          <w:tcPr>
            <w:tcW w:w="1370" w:type="dxa"/>
            <w:tcBorders>
              <w:bottom w:val="single" w:color="auto" w:sz="4" w:space="0"/>
            </w:tcBorders>
            <w:vAlign w:val="top"/>
          </w:tcPr>
          <w:p w14:paraId="65B66295">
            <w:pPr>
              <w:spacing w:line="276" w:lineRule="auto"/>
              <w:rPr>
                <w:rFonts w:ascii="Arial"/>
                <w:color w:val="auto"/>
                <w:sz w:val="21"/>
                <w:szCs w:val="21"/>
                <w:highlight w:val="none"/>
              </w:rPr>
            </w:pPr>
          </w:p>
          <w:p w14:paraId="35087F35">
            <w:pPr>
              <w:spacing w:line="276" w:lineRule="auto"/>
              <w:rPr>
                <w:rFonts w:ascii="Arial"/>
                <w:color w:val="auto"/>
                <w:sz w:val="21"/>
                <w:szCs w:val="21"/>
                <w:highlight w:val="none"/>
              </w:rPr>
            </w:pPr>
          </w:p>
          <w:p w14:paraId="59DE5465">
            <w:pPr>
              <w:pStyle w:val="14"/>
              <w:spacing w:before="65"/>
              <w:ind w:right="188"/>
              <w:rPr>
                <w:color w:val="auto"/>
                <w:sz w:val="21"/>
                <w:szCs w:val="21"/>
                <w:highlight w:val="none"/>
              </w:rPr>
            </w:pPr>
            <w:r>
              <w:rPr>
                <w:color w:val="auto"/>
                <w:spacing w:val="7"/>
                <w:sz w:val="21"/>
                <w:szCs w:val="21"/>
                <w:highlight w:val="none"/>
              </w:rPr>
              <w:t>总体实施方</w:t>
            </w:r>
            <w:r>
              <w:rPr>
                <w:color w:val="auto"/>
                <w:spacing w:val="1"/>
                <w:sz w:val="21"/>
                <w:szCs w:val="21"/>
                <w:highlight w:val="none"/>
              </w:rPr>
              <w:t>案（</w:t>
            </w:r>
            <w:r>
              <w:rPr>
                <w:rFonts w:hint="eastAsia" w:eastAsia="宋体"/>
                <w:color w:val="auto"/>
                <w:spacing w:val="1"/>
                <w:sz w:val="21"/>
                <w:szCs w:val="21"/>
                <w:highlight w:val="none"/>
                <w:lang w:val="en-US" w:eastAsia="zh-CN"/>
              </w:rPr>
              <w:t>15</w:t>
            </w:r>
            <w:r>
              <w:rPr>
                <w:color w:val="auto"/>
                <w:spacing w:val="1"/>
                <w:sz w:val="21"/>
                <w:szCs w:val="21"/>
                <w:highlight w:val="none"/>
              </w:rPr>
              <w:t>分）</w:t>
            </w:r>
          </w:p>
        </w:tc>
        <w:tc>
          <w:tcPr>
            <w:tcW w:w="5849" w:type="dxa"/>
            <w:vAlign w:val="top"/>
          </w:tcPr>
          <w:p w14:paraId="7342E027">
            <w:pPr>
              <w:pStyle w:val="14"/>
              <w:spacing w:before="23" w:line="204" w:lineRule="auto"/>
              <w:rPr>
                <w:color w:val="auto"/>
                <w:sz w:val="21"/>
                <w:szCs w:val="21"/>
                <w:highlight w:val="none"/>
                <w:lang w:eastAsia="zh-CN"/>
              </w:rPr>
            </w:pPr>
            <w:r>
              <w:rPr>
                <w:color w:val="auto"/>
                <w:sz w:val="21"/>
                <w:szCs w:val="21"/>
                <w:highlight w:val="none"/>
                <w:lang w:eastAsia="zh-CN"/>
              </w:rPr>
              <w:t>总体实施方案的项目组织架构、项目管理体系、拟 投入的资源配置科学、合理、高效，制度建设规划针对性强，得 1</w:t>
            </w:r>
            <w:r>
              <w:rPr>
                <w:rFonts w:hint="eastAsia"/>
                <w:color w:val="auto"/>
                <w:sz w:val="21"/>
                <w:szCs w:val="21"/>
                <w:highlight w:val="none"/>
                <w:lang w:val="en-US" w:eastAsia="zh-CN"/>
              </w:rPr>
              <w:t>5</w:t>
            </w:r>
            <w:r>
              <w:rPr>
                <w:color w:val="auto"/>
                <w:sz w:val="21"/>
                <w:szCs w:val="21"/>
                <w:highlight w:val="none"/>
                <w:lang w:eastAsia="zh-CN"/>
              </w:rPr>
              <w:t xml:space="preserve"> 分；</w:t>
            </w:r>
          </w:p>
          <w:p w14:paraId="14D82B71">
            <w:pPr>
              <w:pStyle w:val="14"/>
              <w:spacing w:before="23" w:line="204" w:lineRule="auto"/>
              <w:rPr>
                <w:color w:val="auto"/>
                <w:sz w:val="21"/>
                <w:szCs w:val="21"/>
                <w:highlight w:val="none"/>
                <w:lang w:eastAsia="zh-CN"/>
              </w:rPr>
            </w:pPr>
            <w:r>
              <w:rPr>
                <w:color w:val="auto"/>
                <w:sz w:val="21"/>
                <w:szCs w:val="21"/>
                <w:highlight w:val="none"/>
                <w:lang w:eastAsia="zh-CN"/>
              </w:rPr>
              <w:t xml:space="preserve">总体实施方案的项目组织架构、项目管理体系、拟 投入的资源配置较科学、合理，制度建设规划针对性较强，得 </w:t>
            </w:r>
            <w:r>
              <w:rPr>
                <w:rFonts w:hint="eastAsia"/>
                <w:color w:val="auto"/>
                <w:sz w:val="21"/>
                <w:szCs w:val="21"/>
                <w:highlight w:val="none"/>
                <w:lang w:val="en-US" w:eastAsia="zh-CN"/>
              </w:rPr>
              <w:t>12</w:t>
            </w:r>
            <w:r>
              <w:rPr>
                <w:color w:val="auto"/>
                <w:sz w:val="21"/>
                <w:szCs w:val="21"/>
                <w:highlight w:val="none"/>
                <w:lang w:eastAsia="zh-CN"/>
              </w:rPr>
              <w:t xml:space="preserve"> 分；</w:t>
            </w:r>
          </w:p>
          <w:p w14:paraId="09C86887">
            <w:pPr>
              <w:pStyle w:val="14"/>
              <w:spacing w:before="23" w:line="204" w:lineRule="auto"/>
              <w:rPr>
                <w:color w:val="auto"/>
                <w:sz w:val="21"/>
                <w:szCs w:val="21"/>
                <w:highlight w:val="none"/>
                <w:lang w:eastAsia="zh-CN"/>
              </w:rPr>
            </w:pPr>
            <w:r>
              <w:rPr>
                <w:color w:val="auto"/>
                <w:sz w:val="21"/>
                <w:szCs w:val="21"/>
                <w:highlight w:val="none"/>
                <w:lang w:eastAsia="zh-CN"/>
              </w:rPr>
              <w:t xml:space="preserve">总体实施方案的项目组织架构、项目管理体系、拟投入的资源配置一般，制度建设是否规划到位，针对性一 般 ，得 </w:t>
            </w:r>
            <w:r>
              <w:rPr>
                <w:rFonts w:hint="eastAsia"/>
                <w:color w:val="auto"/>
                <w:sz w:val="21"/>
                <w:szCs w:val="21"/>
                <w:highlight w:val="none"/>
                <w:lang w:val="en-US" w:eastAsia="zh-CN"/>
              </w:rPr>
              <w:t>6</w:t>
            </w:r>
            <w:r>
              <w:rPr>
                <w:color w:val="auto"/>
                <w:sz w:val="21"/>
                <w:szCs w:val="21"/>
                <w:highlight w:val="none"/>
                <w:lang w:eastAsia="zh-CN"/>
              </w:rPr>
              <w:t>分；</w:t>
            </w:r>
          </w:p>
          <w:p w14:paraId="4E7ADBF4">
            <w:pPr>
              <w:pStyle w:val="14"/>
              <w:spacing w:before="23" w:line="204" w:lineRule="auto"/>
              <w:rPr>
                <w:color w:val="auto"/>
                <w:sz w:val="21"/>
                <w:szCs w:val="21"/>
                <w:highlight w:val="none"/>
                <w:lang w:eastAsia="zh-CN"/>
              </w:rPr>
            </w:pPr>
            <w:r>
              <w:rPr>
                <w:color w:val="auto"/>
                <w:sz w:val="21"/>
                <w:szCs w:val="21"/>
                <w:highlight w:val="none"/>
                <w:lang w:eastAsia="zh-CN"/>
              </w:rPr>
              <w:t xml:space="preserve">总体实施方案的项目组织架构、项目管理体系、拟投入的资源配置较差，制度建设规划针对性差，得 </w:t>
            </w:r>
            <w:r>
              <w:rPr>
                <w:rFonts w:hint="eastAsia"/>
                <w:color w:val="auto"/>
                <w:sz w:val="21"/>
                <w:szCs w:val="21"/>
                <w:highlight w:val="none"/>
                <w:lang w:val="en-US" w:eastAsia="zh-CN"/>
              </w:rPr>
              <w:t>4</w:t>
            </w:r>
            <w:r>
              <w:rPr>
                <w:color w:val="auto"/>
                <w:sz w:val="21"/>
                <w:szCs w:val="21"/>
                <w:highlight w:val="none"/>
                <w:lang w:eastAsia="zh-CN"/>
              </w:rPr>
              <w:t xml:space="preserve"> 分；</w:t>
            </w:r>
          </w:p>
          <w:p w14:paraId="21D77AB7">
            <w:pPr>
              <w:pStyle w:val="14"/>
              <w:spacing w:before="23" w:line="204" w:lineRule="auto"/>
              <w:rPr>
                <w:color w:val="auto"/>
                <w:sz w:val="21"/>
                <w:szCs w:val="21"/>
                <w:highlight w:val="none"/>
              </w:rPr>
            </w:pPr>
            <w:r>
              <w:rPr>
                <w:color w:val="auto"/>
                <w:sz w:val="21"/>
                <w:szCs w:val="21"/>
                <w:highlight w:val="none"/>
              </w:rPr>
              <w:t>未描述得 0 分。</w:t>
            </w:r>
          </w:p>
        </w:tc>
      </w:tr>
      <w:tr w14:paraId="7FAC1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6" w:hRule="atLeast"/>
        </w:trPr>
        <w:tc>
          <w:tcPr>
            <w:tcW w:w="653" w:type="dxa"/>
            <w:vMerge w:val="continue"/>
            <w:vAlign w:val="top"/>
          </w:tcPr>
          <w:p w14:paraId="6ED5B449">
            <w:pPr>
              <w:rPr>
                <w:rFonts w:ascii="Arial"/>
                <w:color w:val="auto"/>
                <w:sz w:val="21"/>
                <w:szCs w:val="21"/>
                <w:highlight w:val="none"/>
              </w:rPr>
            </w:pPr>
          </w:p>
        </w:tc>
        <w:tc>
          <w:tcPr>
            <w:tcW w:w="850" w:type="dxa"/>
            <w:vMerge w:val="continue"/>
            <w:vAlign w:val="top"/>
          </w:tcPr>
          <w:p w14:paraId="42737D80">
            <w:pPr>
              <w:rPr>
                <w:rFonts w:ascii="Arial"/>
                <w:color w:val="auto"/>
                <w:sz w:val="21"/>
                <w:szCs w:val="21"/>
                <w:highlight w:val="none"/>
              </w:rPr>
            </w:pPr>
          </w:p>
        </w:tc>
        <w:tc>
          <w:tcPr>
            <w:tcW w:w="1370" w:type="dxa"/>
            <w:tcBorders>
              <w:top w:val="single" w:color="auto" w:sz="4" w:space="0"/>
              <w:right w:val="single" w:color="auto" w:sz="4" w:space="0"/>
            </w:tcBorders>
            <w:vAlign w:val="top"/>
          </w:tcPr>
          <w:p w14:paraId="2E15B4B2">
            <w:pPr>
              <w:rPr>
                <w:color w:val="auto"/>
                <w:spacing w:val="-3"/>
                <w:sz w:val="21"/>
                <w:szCs w:val="21"/>
                <w:highlight w:val="none"/>
              </w:rPr>
            </w:pPr>
          </w:p>
          <w:p w14:paraId="41BEDB57">
            <w:pPr>
              <w:rPr>
                <w:color w:val="auto"/>
                <w:spacing w:val="-3"/>
                <w:sz w:val="21"/>
                <w:szCs w:val="21"/>
                <w:highlight w:val="none"/>
              </w:rPr>
            </w:pPr>
          </w:p>
          <w:p w14:paraId="0CAC4E87">
            <w:pPr>
              <w:rPr>
                <w:color w:val="auto"/>
                <w:spacing w:val="-3"/>
                <w:sz w:val="21"/>
                <w:szCs w:val="21"/>
                <w:highlight w:val="none"/>
              </w:rPr>
            </w:pPr>
          </w:p>
          <w:p w14:paraId="0494AB8D">
            <w:pPr>
              <w:rPr>
                <w:color w:val="auto"/>
                <w:spacing w:val="-3"/>
                <w:sz w:val="21"/>
                <w:szCs w:val="21"/>
                <w:highlight w:val="none"/>
              </w:rPr>
            </w:pPr>
          </w:p>
          <w:p w14:paraId="466A1485">
            <w:pPr>
              <w:rPr>
                <w:color w:val="auto"/>
                <w:spacing w:val="-3"/>
                <w:sz w:val="21"/>
                <w:szCs w:val="21"/>
                <w:highlight w:val="none"/>
              </w:rPr>
            </w:pPr>
          </w:p>
          <w:p w14:paraId="365EAFCB">
            <w:pPr>
              <w:rPr>
                <w:rFonts w:ascii="Arial"/>
                <w:color w:val="auto"/>
                <w:sz w:val="21"/>
                <w:szCs w:val="21"/>
                <w:highlight w:val="none"/>
              </w:rPr>
            </w:pPr>
            <w:r>
              <w:rPr>
                <w:color w:val="auto"/>
                <w:spacing w:val="-3"/>
                <w:sz w:val="21"/>
                <w:szCs w:val="21"/>
                <w:highlight w:val="none"/>
              </w:rPr>
              <w:t>项目管理方</w:t>
            </w:r>
            <w:r>
              <w:rPr>
                <w:color w:val="auto"/>
                <w:spacing w:val="-6"/>
                <w:sz w:val="21"/>
                <w:szCs w:val="21"/>
                <w:highlight w:val="none"/>
              </w:rPr>
              <w:t>案（1</w:t>
            </w:r>
            <w:r>
              <w:rPr>
                <w:rFonts w:hint="eastAsia" w:eastAsia="宋体"/>
                <w:color w:val="auto"/>
                <w:spacing w:val="-6"/>
                <w:sz w:val="21"/>
                <w:szCs w:val="21"/>
                <w:highlight w:val="none"/>
                <w:lang w:val="en-US" w:eastAsia="zh-CN"/>
              </w:rPr>
              <w:t>2</w:t>
            </w:r>
            <w:r>
              <w:rPr>
                <w:color w:val="auto"/>
                <w:spacing w:val="-44"/>
                <w:sz w:val="21"/>
                <w:szCs w:val="21"/>
                <w:highlight w:val="none"/>
              </w:rPr>
              <w:t xml:space="preserve"> </w:t>
            </w:r>
            <w:r>
              <w:rPr>
                <w:color w:val="auto"/>
                <w:spacing w:val="-6"/>
                <w:sz w:val="21"/>
                <w:szCs w:val="21"/>
                <w:highlight w:val="none"/>
              </w:rPr>
              <w:t>分）</w:t>
            </w:r>
          </w:p>
        </w:tc>
        <w:tc>
          <w:tcPr>
            <w:tcW w:w="5849" w:type="dxa"/>
            <w:tcBorders>
              <w:left w:val="single" w:color="auto" w:sz="4" w:space="0"/>
            </w:tcBorders>
            <w:vAlign w:val="top"/>
          </w:tcPr>
          <w:p w14:paraId="17AA002F">
            <w:pPr>
              <w:pStyle w:val="14"/>
              <w:spacing w:before="37" w:line="220" w:lineRule="auto"/>
              <w:rPr>
                <w:color w:val="auto"/>
                <w:highlight w:val="none"/>
                <w:lang w:eastAsia="zh-CN"/>
              </w:rPr>
            </w:pPr>
            <w:r>
              <w:rPr>
                <w:color w:val="auto"/>
                <w:spacing w:val="8"/>
                <w:highlight w:val="none"/>
                <w:lang w:eastAsia="zh-CN"/>
              </w:rPr>
              <w:t>针对项目管理方案、项目管理团队的组成、主要工</w:t>
            </w:r>
            <w:r>
              <w:rPr>
                <w:color w:val="auto"/>
                <w:spacing w:val="17"/>
                <w:highlight w:val="none"/>
                <w:lang w:eastAsia="zh-CN"/>
              </w:rPr>
              <w:t>作内容以及项目合同与信息管理方案要点明确，措施得</w:t>
            </w:r>
            <w:r>
              <w:rPr>
                <w:color w:val="auto"/>
                <w:highlight w:val="none"/>
                <w:lang w:eastAsia="zh-CN"/>
              </w:rPr>
              <w:t>当，针对性强的得</w:t>
            </w:r>
            <w:r>
              <w:rPr>
                <w:b/>
                <w:bCs/>
                <w:color w:val="auto"/>
                <w:spacing w:val="-28"/>
                <w:highlight w:val="none"/>
                <w:lang w:eastAsia="zh-CN"/>
              </w:rPr>
              <w:t xml:space="preserve"> </w:t>
            </w:r>
            <w:r>
              <w:rPr>
                <w:b w:val="0"/>
                <w:bCs w:val="0"/>
                <w:color w:val="auto"/>
                <w:highlight w:val="none"/>
                <w:lang w:eastAsia="zh-CN"/>
              </w:rPr>
              <w:t>1</w:t>
            </w:r>
            <w:r>
              <w:rPr>
                <w:rFonts w:hint="eastAsia"/>
                <w:b w:val="0"/>
                <w:bCs w:val="0"/>
                <w:color w:val="auto"/>
                <w:highlight w:val="none"/>
                <w:lang w:val="en-US" w:eastAsia="zh-CN"/>
              </w:rPr>
              <w:t>2</w:t>
            </w:r>
            <w:r>
              <w:rPr>
                <w:b w:val="0"/>
                <w:bCs w:val="0"/>
                <w:color w:val="auto"/>
                <w:spacing w:val="-43"/>
                <w:highlight w:val="none"/>
                <w:lang w:eastAsia="zh-CN"/>
              </w:rPr>
              <w:t xml:space="preserve"> </w:t>
            </w:r>
            <w:r>
              <w:rPr>
                <w:b w:val="0"/>
                <w:bCs w:val="0"/>
                <w:color w:val="auto"/>
                <w:highlight w:val="none"/>
                <w:lang w:eastAsia="zh-CN"/>
              </w:rPr>
              <w:t>分</w:t>
            </w:r>
            <w:r>
              <w:rPr>
                <w:color w:val="auto"/>
                <w:highlight w:val="none"/>
                <w:lang w:eastAsia="zh-CN"/>
              </w:rPr>
              <w:t>；</w:t>
            </w:r>
          </w:p>
          <w:p w14:paraId="6FD5DBEB">
            <w:pPr>
              <w:pStyle w:val="14"/>
              <w:spacing w:before="25" w:line="232" w:lineRule="auto"/>
              <w:ind w:right="108"/>
              <w:jc w:val="both"/>
              <w:rPr>
                <w:color w:val="auto"/>
                <w:highlight w:val="none"/>
                <w:lang w:eastAsia="zh-CN"/>
              </w:rPr>
            </w:pPr>
            <w:r>
              <w:rPr>
                <w:color w:val="auto"/>
                <w:spacing w:val="8"/>
                <w:highlight w:val="none"/>
                <w:lang w:eastAsia="zh-CN"/>
              </w:rPr>
              <w:t>针对项目管理方案、项目管理团队的组成、主要工</w:t>
            </w:r>
            <w:r>
              <w:rPr>
                <w:color w:val="auto"/>
                <w:spacing w:val="12"/>
                <w:highlight w:val="none"/>
                <w:lang w:eastAsia="zh-CN"/>
              </w:rPr>
              <w:t xml:space="preserve"> </w:t>
            </w:r>
            <w:r>
              <w:rPr>
                <w:color w:val="auto"/>
                <w:spacing w:val="10"/>
                <w:highlight w:val="none"/>
                <w:lang w:eastAsia="zh-CN"/>
              </w:rPr>
              <w:t xml:space="preserve">作内容以及项目合同与信息管理方案针对性较强、要点 </w:t>
            </w:r>
            <w:r>
              <w:rPr>
                <w:color w:val="auto"/>
                <w:spacing w:val="-3"/>
                <w:highlight w:val="none"/>
                <w:lang w:eastAsia="zh-CN"/>
              </w:rPr>
              <w:t>较明确、措施较得当的得</w:t>
            </w:r>
            <w:r>
              <w:rPr>
                <w:rFonts w:hint="eastAsia"/>
                <w:color w:val="auto"/>
                <w:spacing w:val="-33"/>
                <w:highlight w:val="none"/>
                <w:lang w:val="en-US" w:eastAsia="zh-CN"/>
              </w:rPr>
              <w:t>9</w:t>
            </w:r>
            <w:r>
              <w:rPr>
                <w:color w:val="auto"/>
                <w:spacing w:val="-44"/>
                <w:highlight w:val="none"/>
                <w:lang w:eastAsia="zh-CN"/>
              </w:rPr>
              <w:t xml:space="preserve"> </w:t>
            </w:r>
            <w:r>
              <w:rPr>
                <w:color w:val="auto"/>
                <w:spacing w:val="-3"/>
                <w:highlight w:val="none"/>
                <w:lang w:eastAsia="zh-CN"/>
              </w:rPr>
              <w:t>分；</w:t>
            </w:r>
          </w:p>
          <w:p w14:paraId="7A62C632">
            <w:pPr>
              <w:pStyle w:val="14"/>
              <w:spacing w:before="23" w:line="233" w:lineRule="auto"/>
              <w:ind w:right="108"/>
              <w:jc w:val="both"/>
              <w:rPr>
                <w:color w:val="auto"/>
                <w:highlight w:val="none"/>
                <w:lang w:eastAsia="zh-CN"/>
              </w:rPr>
            </w:pPr>
            <w:r>
              <w:rPr>
                <w:color w:val="auto"/>
                <w:spacing w:val="8"/>
                <w:highlight w:val="none"/>
                <w:lang w:eastAsia="zh-CN"/>
              </w:rPr>
              <w:t>针对项目管理方案、项目管理团队的组成、主要工</w:t>
            </w:r>
            <w:r>
              <w:rPr>
                <w:color w:val="auto"/>
                <w:spacing w:val="12"/>
                <w:highlight w:val="none"/>
                <w:lang w:eastAsia="zh-CN"/>
              </w:rPr>
              <w:t xml:space="preserve"> </w:t>
            </w:r>
            <w:r>
              <w:rPr>
                <w:color w:val="auto"/>
                <w:spacing w:val="10"/>
                <w:highlight w:val="none"/>
                <w:lang w:eastAsia="zh-CN"/>
              </w:rPr>
              <w:t xml:space="preserve">作内容以及项目合同与信息管理方案针对性一般、要点 </w:t>
            </w:r>
            <w:r>
              <w:rPr>
                <w:color w:val="auto"/>
                <w:spacing w:val="-2"/>
                <w:highlight w:val="none"/>
                <w:lang w:eastAsia="zh-CN"/>
              </w:rPr>
              <w:t>明确一般、措施得当一般的得</w:t>
            </w:r>
            <w:r>
              <w:rPr>
                <w:color w:val="auto"/>
                <w:spacing w:val="-34"/>
                <w:highlight w:val="none"/>
                <w:lang w:eastAsia="zh-CN"/>
              </w:rPr>
              <w:t xml:space="preserve"> </w:t>
            </w:r>
            <w:r>
              <w:rPr>
                <w:rFonts w:hint="eastAsia"/>
                <w:color w:val="auto"/>
                <w:spacing w:val="-2"/>
                <w:highlight w:val="none"/>
                <w:lang w:val="en-US" w:eastAsia="zh-CN"/>
              </w:rPr>
              <w:t>6</w:t>
            </w:r>
            <w:r>
              <w:rPr>
                <w:color w:val="auto"/>
                <w:spacing w:val="-44"/>
                <w:highlight w:val="none"/>
                <w:lang w:eastAsia="zh-CN"/>
              </w:rPr>
              <w:t xml:space="preserve"> </w:t>
            </w:r>
            <w:r>
              <w:rPr>
                <w:color w:val="auto"/>
                <w:spacing w:val="-2"/>
                <w:highlight w:val="none"/>
                <w:lang w:eastAsia="zh-CN"/>
              </w:rPr>
              <w:t>分</w:t>
            </w:r>
          </w:p>
          <w:p w14:paraId="3A5A67DF">
            <w:pPr>
              <w:pStyle w:val="14"/>
              <w:spacing w:before="21" w:line="233" w:lineRule="auto"/>
              <w:ind w:right="108"/>
              <w:jc w:val="both"/>
              <w:rPr>
                <w:color w:val="auto"/>
                <w:highlight w:val="none"/>
                <w:lang w:eastAsia="zh-CN"/>
              </w:rPr>
            </w:pPr>
            <w:r>
              <w:rPr>
                <w:color w:val="auto"/>
                <w:spacing w:val="8"/>
                <w:highlight w:val="none"/>
                <w:lang w:eastAsia="zh-CN"/>
              </w:rPr>
              <w:t>针对项目管理方案、项目管理团队的组成、主要工</w:t>
            </w:r>
            <w:r>
              <w:rPr>
                <w:color w:val="auto"/>
                <w:spacing w:val="12"/>
                <w:highlight w:val="none"/>
                <w:lang w:eastAsia="zh-CN"/>
              </w:rPr>
              <w:t xml:space="preserve"> </w:t>
            </w:r>
            <w:r>
              <w:rPr>
                <w:color w:val="auto"/>
                <w:spacing w:val="10"/>
                <w:highlight w:val="none"/>
                <w:lang w:eastAsia="zh-CN"/>
              </w:rPr>
              <w:t xml:space="preserve">作内容以及项目合同与信息管理方案针对性不强、要点 </w:t>
            </w:r>
            <w:r>
              <w:rPr>
                <w:color w:val="auto"/>
                <w:spacing w:val="-3"/>
                <w:highlight w:val="none"/>
                <w:lang w:eastAsia="zh-CN"/>
              </w:rPr>
              <w:t>不明确、措施不得当的得</w:t>
            </w:r>
            <w:r>
              <w:rPr>
                <w:color w:val="auto"/>
                <w:spacing w:val="-34"/>
                <w:highlight w:val="none"/>
                <w:lang w:eastAsia="zh-CN"/>
              </w:rPr>
              <w:t xml:space="preserve"> </w:t>
            </w:r>
            <w:r>
              <w:rPr>
                <w:rFonts w:hint="eastAsia"/>
                <w:color w:val="auto"/>
                <w:spacing w:val="-3"/>
                <w:highlight w:val="none"/>
                <w:lang w:val="en-US" w:eastAsia="zh-CN"/>
              </w:rPr>
              <w:t>4</w:t>
            </w:r>
            <w:r>
              <w:rPr>
                <w:color w:val="auto"/>
                <w:spacing w:val="-43"/>
                <w:highlight w:val="none"/>
                <w:lang w:eastAsia="zh-CN"/>
              </w:rPr>
              <w:t xml:space="preserve"> </w:t>
            </w:r>
            <w:r>
              <w:rPr>
                <w:color w:val="auto"/>
                <w:spacing w:val="-3"/>
                <w:highlight w:val="none"/>
                <w:lang w:eastAsia="zh-CN"/>
              </w:rPr>
              <w:t>分；</w:t>
            </w:r>
          </w:p>
          <w:p w14:paraId="79017645">
            <w:pPr>
              <w:pStyle w:val="14"/>
              <w:spacing w:before="26" w:line="205" w:lineRule="auto"/>
              <w:ind w:left="558"/>
              <w:rPr>
                <w:color w:val="auto"/>
                <w:sz w:val="21"/>
                <w:szCs w:val="21"/>
                <w:highlight w:val="none"/>
              </w:rPr>
            </w:pPr>
            <w:r>
              <w:rPr>
                <w:color w:val="auto"/>
                <w:spacing w:val="-5"/>
                <w:highlight w:val="none"/>
              </w:rPr>
              <w:t>未描述得</w:t>
            </w:r>
            <w:r>
              <w:rPr>
                <w:color w:val="auto"/>
                <w:spacing w:val="-45"/>
                <w:highlight w:val="none"/>
              </w:rPr>
              <w:t xml:space="preserve"> </w:t>
            </w:r>
            <w:r>
              <w:rPr>
                <w:color w:val="auto"/>
                <w:spacing w:val="-5"/>
                <w:highlight w:val="none"/>
              </w:rPr>
              <w:t>0</w:t>
            </w:r>
            <w:r>
              <w:rPr>
                <w:color w:val="auto"/>
                <w:spacing w:val="-43"/>
                <w:highlight w:val="none"/>
              </w:rPr>
              <w:t xml:space="preserve"> </w:t>
            </w:r>
            <w:r>
              <w:rPr>
                <w:color w:val="auto"/>
                <w:spacing w:val="-5"/>
                <w:highlight w:val="none"/>
              </w:rPr>
              <w:t>分。</w:t>
            </w:r>
          </w:p>
        </w:tc>
      </w:tr>
      <w:tr w14:paraId="0AB8D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653" w:type="dxa"/>
            <w:vMerge w:val="continue"/>
            <w:vAlign w:val="top"/>
          </w:tcPr>
          <w:p w14:paraId="07E248F8">
            <w:pPr>
              <w:rPr>
                <w:rFonts w:ascii="Arial"/>
                <w:color w:val="auto"/>
                <w:sz w:val="21"/>
                <w:szCs w:val="21"/>
                <w:highlight w:val="none"/>
              </w:rPr>
            </w:pPr>
          </w:p>
        </w:tc>
        <w:tc>
          <w:tcPr>
            <w:tcW w:w="850" w:type="dxa"/>
            <w:vMerge w:val="continue"/>
            <w:vAlign w:val="top"/>
          </w:tcPr>
          <w:p w14:paraId="58308DC3">
            <w:pPr>
              <w:rPr>
                <w:rFonts w:ascii="Arial"/>
                <w:color w:val="auto"/>
                <w:sz w:val="21"/>
                <w:szCs w:val="21"/>
                <w:highlight w:val="none"/>
              </w:rPr>
            </w:pPr>
          </w:p>
        </w:tc>
        <w:tc>
          <w:tcPr>
            <w:tcW w:w="1370" w:type="dxa"/>
            <w:tcBorders>
              <w:bottom w:val="single" w:color="auto" w:sz="4" w:space="0"/>
              <w:right w:val="single" w:color="auto" w:sz="4" w:space="0"/>
            </w:tcBorders>
            <w:vAlign w:val="top"/>
          </w:tcPr>
          <w:p w14:paraId="58DD430C">
            <w:pPr>
              <w:spacing w:line="243" w:lineRule="auto"/>
              <w:rPr>
                <w:rFonts w:ascii="Arial"/>
                <w:color w:val="auto"/>
                <w:sz w:val="21"/>
                <w:szCs w:val="21"/>
                <w:highlight w:val="none"/>
              </w:rPr>
            </w:pPr>
          </w:p>
          <w:p w14:paraId="118D53BC">
            <w:pPr>
              <w:spacing w:line="243" w:lineRule="auto"/>
              <w:rPr>
                <w:rFonts w:ascii="Arial"/>
                <w:color w:val="auto"/>
                <w:sz w:val="21"/>
                <w:szCs w:val="21"/>
                <w:highlight w:val="none"/>
              </w:rPr>
            </w:pPr>
          </w:p>
          <w:p w14:paraId="3B534B6D">
            <w:pPr>
              <w:spacing w:line="244" w:lineRule="auto"/>
              <w:rPr>
                <w:rFonts w:ascii="Arial"/>
                <w:color w:val="auto"/>
                <w:sz w:val="21"/>
                <w:szCs w:val="21"/>
                <w:highlight w:val="none"/>
              </w:rPr>
            </w:pPr>
          </w:p>
          <w:p w14:paraId="56BC5CC3">
            <w:pPr>
              <w:spacing w:line="244" w:lineRule="auto"/>
              <w:rPr>
                <w:rFonts w:ascii="Arial"/>
                <w:color w:val="auto"/>
                <w:sz w:val="21"/>
                <w:szCs w:val="21"/>
                <w:highlight w:val="none"/>
              </w:rPr>
            </w:pPr>
          </w:p>
          <w:p w14:paraId="75F87E66">
            <w:pPr>
              <w:spacing w:line="244" w:lineRule="auto"/>
              <w:rPr>
                <w:rFonts w:ascii="Arial"/>
                <w:color w:val="auto"/>
                <w:sz w:val="21"/>
                <w:szCs w:val="21"/>
                <w:highlight w:val="none"/>
              </w:rPr>
            </w:pPr>
          </w:p>
          <w:p w14:paraId="48B4424C">
            <w:pPr>
              <w:spacing w:line="244" w:lineRule="auto"/>
              <w:rPr>
                <w:rFonts w:ascii="Arial"/>
                <w:color w:val="auto"/>
                <w:sz w:val="21"/>
                <w:szCs w:val="21"/>
                <w:highlight w:val="none"/>
              </w:rPr>
            </w:pPr>
          </w:p>
          <w:p w14:paraId="2327B1EB">
            <w:pPr>
              <w:spacing w:line="244" w:lineRule="auto"/>
              <w:rPr>
                <w:rFonts w:ascii="Arial"/>
                <w:color w:val="auto"/>
                <w:sz w:val="21"/>
                <w:szCs w:val="21"/>
                <w:highlight w:val="none"/>
              </w:rPr>
            </w:pPr>
          </w:p>
          <w:p w14:paraId="11F8F437">
            <w:pPr>
              <w:spacing w:line="244" w:lineRule="auto"/>
              <w:rPr>
                <w:rFonts w:ascii="Arial"/>
                <w:color w:val="auto"/>
                <w:sz w:val="21"/>
                <w:szCs w:val="21"/>
                <w:highlight w:val="none"/>
              </w:rPr>
            </w:pPr>
          </w:p>
          <w:p w14:paraId="0BD09B85">
            <w:pPr>
              <w:spacing w:line="244" w:lineRule="auto"/>
              <w:rPr>
                <w:rFonts w:ascii="Arial"/>
                <w:color w:val="auto"/>
                <w:sz w:val="21"/>
                <w:szCs w:val="21"/>
                <w:highlight w:val="none"/>
              </w:rPr>
            </w:pPr>
          </w:p>
          <w:p w14:paraId="0A9A4B14">
            <w:pPr>
              <w:spacing w:line="244" w:lineRule="auto"/>
              <w:rPr>
                <w:rFonts w:ascii="Arial"/>
                <w:color w:val="auto"/>
                <w:sz w:val="21"/>
                <w:szCs w:val="21"/>
                <w:highlight w:val="none"/>
              </w:rPr>
            </w:pPr>
          </w:p>
          <w:p w14:paraId="0AB7FD47">
            <w:pPr>
              <w:pStyle w:val="14"/>
              <w:spacing w:before="71" w:line="229" w:lineRule="auto"/>
              <w:ind w:left="151" w:right="154" w:firstLine="25"/>
              <w:rPr>
                <w:color w:val="auto"/>
                <w:sz w:val="21"/>
                <w:szCs w:val="21"/>
                <w:highlight w:val="none"/>
              </w:rPr>
            </w:pPr>
            <w:r>
              <w:rPr>
                <w:color w:val="auto"/>
                <w:spacing w:val="-2"/>
                <w:sz w:val="21"/>
                <w:szCs w:val="21"/>
                <w:highlight w:val="none"/>
              </w:rPr>
              <w:t>监理服务方</w:t>
            </w:r>
            <w:r>
              <w:rPr>
                <w:color w:val="auto"/>
                <w:spacing w:val="-6"/>
                <w:sz w:val="21"/>
                <w:szCs w:val="21"/>
                <w:highlight w:val="none"/>
              </w:rPr>
              <w:t>案（1</w:t>
            </w:r>
            <w:r>
              <w:rPr>
                <w:rFonts w:hint="eastAsia" w:eastAsia="宋体"/>
                <w:color w:val="auto"/>
                <w:spacing w:val="-6"/>
                <w:sz w:val="21"/>
                <w:szCs w:val="21"/>
                <w:highlight w:val="none"/>
                <w:lang w:val="en-US" w:eastAsia="zh-CN"/>
              </w:rPr>
              <w:t>2</w:t>
            </w:r>
            <w:r>
              <w:rPr>
                <w:color w:val="auto"/>
                <w:spacing w:val="-44"/>
                <w:sz w:val="21"/>
                <w:szCs w:val="21"/>
                <w:highlight w:val="none"/>
              </w:rPr>
              <w:t xml:space="preserve"> </w:t>
            </w:r>
            <w:r>
              <w:rPr>
                <w:color w:val="auto"/>
                <w:spacing w:val="-6"/>
                <w:sz w:val="21"/>
                <w:szCs w:val="21"/>
                <w:highlight w:val="none"/>
              </w:rPr>
              <w:t>分）</w:t>
            </w:r>
          </w:p>
        </w:tc>
        <w:tc>
          <w:tcPr>
            <w:tcW w:w="5849" w:type="dxa"/>
            <w:tcBorders>
              <w:left w:val="single" w:color="auto" w:sz="4" w:space="0"/>
            </w:tcBorders>
            <w:vAlign w:val="top"/>
          </w:tcPr>
          <w:p w14:paraId="2A1B10AD">
            <w:pPr>
              <w:pStyle w:val="14"/>
              <w:spacing w:before="34" w:line="243" w:lineRule="auto"/>
              <w:ind w:left="113" w:right="37" w:firstLine="420"/>
              <w:jc w:val="both"/>
              <w:rPr>
                <w:color w:val="auto"/>
                <w:highlight w:val="none"/>
                <w:lang w:eastAsia="zh-CN"/>
              </w:rPr>
            </w:pPr>
            <w:r>
              <w:rPr>
                <w:color w:val="auto"/>
                <w:spacing w:val="2"/>
                <w:highlight w:val="none"/>
                <w:lang w:eastAsia="zh-CN"/>
              </w:rPr>
              <w:t>监理大纲内容齐全、结构完整、重点突出、符合规范、</w:t>
            </w:r>
            <w:r>
              <w:rPr>
                <w:color w:val="auto"/>
                <w:spacing w:val="3"/>
                <w:highlight w:val="none"/>
                <w:lang w:eastAsia="zh-CN"/>
              </w:rPr>
              <w:t>针对性强，质量控制方案、进度控制方案、投资控制方案、</w:t>
            </w:r>
            <w:r>
              <w:rPr>
                <w:color w:val="auto"/>
                <w:spacing w:val="8"/>
                <w:highlight w:val="none"/>
                <w:lang w:eastAsia="zh-CN"/>
              </w:rPr>
              <w:t>安全控制方案、合同与信息管理方案、工程建设相关方的</w:t>
            </w:r>
            <w:r>
              <w:rPr>
                <w:color w:val="auto"/>
                <w:spacing w:val="5"/>
                <w:highlight w:val="none"/>
                <w:lang w:eastAsia="zh-CN"/>
              </w:rPr>
              <w:t>关系协调方案等要点明确、措施得当得</w:t>
            </w:r>
            <w:r>
              <w:rPr>
                <w:color w:val="auto"/>
                <w:spacing w:val="-18"/>
                <w:highlight w:val="none"/>
                <w:lang w:eastAsia="zh-CN"/>
              </w:rPr>
              <w:t xml:space="preserve"> </w:t>
            </w:r>
            <w:r>
              <w:rPr>
                <w:color w:val="auto"/>
                <w:spacing w:val="5"/>
                <w:highlight w:val="none"/>
                <w:lang w:eastAsia="zh-CN"/>
              </w:rPr>
              <w:t>1</w:t>
            </w:r>
            <w:r>
              <w:rPr>
                <w:rFonts w:hint="eastAsia"/>
                <w:color w:val="auto"/>
                <w:spacing w:val="5"/>
                <w:highlight w:val="none"/>
                <w:lang w:val="en-US" w:eastAsia="zh-CN"/>
              </w:rPr>
              <w:t>2</w:t>
            </w:r>
            <w:r>
              <w:rPr>
                <w:color w:val="auto"/>
                <w:spacing w:val="-46"/>
                <w:highlight w:val="none"/>
                <w:lang w:eastAsia="zh-CN"/>
              </w:rPr>
              <w:t xml:space="preserve"> </w:t>
            </w:r>
            <w:r>
              <w:rPr>
                <w:color w:val="auto"/>
                <w:spacing w:val="5"/>
                <w:highlight w:val="none"/>
                <w:lang w:eastAsia="zh-CN"/>
              </w:rPr>
              <w:t>分；</w:t>
            </w:r>
          </w:p>
          <w:p w14:paraId="6B5B8B98">
            <w:pPr>
              <w:pStyle w:val="14"/>
              <w:spacing w:before="23" w:line="242" w:lineRule="auto"/>
              <w:ind w:left="114" w:right="106" w:firstLine="419"/>
              <w:jc w:val="both"/>
              <w:rPr>
                <w:color w:val="auto"/>
                <w:highlight w:val="none"/>
                <w:lang w:eastAsia="zh-CN"/>
              </w:rPr>
            </w:pPr>
            <w:r>
              <w:rPr>
                <w:color w:val="auto"/>
                <w:spacing w:val="8"/>
                <w:highlight w:val="none"/>
                <w:lang w:eastAsia="zh-CN"/>
              </w:rPr>
              <w:t>监理大纲内容较齐全、结构较完整、重点较突出、符合规范、针对性较强，质量控制方案、进度控制方案、投资控制方案、安全控制方案、合同与信息管理方案、工程建设相关方的关系协调方案等要点较明确、措施较得当</w:t>
            </w:r>
            <w:r>
              <w:rPr>
                <w:color w:val="auto"/>
                <w:spacing w:val="-7"/>
                <w:highlight w:val="none"/>
                <w:lang w:eastAsia="zh-CN"/>
              </w:rPr>
              <w:t>的得</w:t>
            </w:r>
            <w:r>
              <w:rPr>
                <w:color w:val="auto"/>
                <w:spacing w:val="-41"/>
                <w:highlight w:val="none"/>
                <w:lang w:eastAsia="zh-CN"/>
              </w:rPr>
              <w:t xml:space="preserve"> </w:t>
            </w:r>
            <w:r>
              <w:rPr>
                <w:rFonts w:hint="eastAsia"/>
                <w:color w:val="auto"/>
                <w:spacing w:val="-7"/>
                <w:highlight w:val="none"/>
                <w:lang w:val="en-US" w:eastAsia="zh-CN"/>
              </w:rPr>
              <w:t>9</w:t>
            </w:r>
            <w:r>
              <w:rPr>
                <w:color w:val="auto"/>
                <w:spacing w:val="-43"/>
                <w:highlight w:val="none"/>
                <w:lang w:eastAsia="zh-CN"/>
              </w:rPr>
              <w:t xml:space="preserve"> </w:t>
            </w:r>
            <w:r>
              <w:rPr>
                <w:color w:val="auto"/>
                <w:spacing w:val="-7"/>
                <w:highlight w:val="none"/>
                <w:lang w:eastAsia="zh-CN"/>
              </w:rPr>
              <w:t>分；</w:t>
            </w:r>
          </w:p>
          <w:p w14:paraId="320742C0">
            <w:pPr>
              <w:pStyle w:val="14"/>
              <w:spacing w:before="23" w:line="242" w:lineRule="auto"/>
              <w:ind w:left="113" w:right="40" w:firstLine="420"/>
              <w:jc w:val="both"/>
              <w:rPr>
                <w:color w:val="auto"/>
                <w:highlight w:val="none"/>
                <w:lang w:eastAsia="zh-CN"/>
              </w:rPr>
            </w:pPr>
            <w:r>
              <w:rPr>
                <w:color w:val="auto"/>
                <w:spacing w:val="8"/>
                <w:highlight w:val="none"/>
                <w:lang w:eastAsia="zh-CN"/>
              </w:rPr>
              <w:t>监理大纲内容基本齐全、结构基本完整、重点基本突出、基本符合规范、针对性一般，质量控制方案、进度控制方案、投资控制方案、安全控制方案、合同与信息管理</w:t>
            </w:r>
            <w:r>
              <w:rPr>
                <w:color w:val="auto"/>
                <w:spacing w:val="10"/>
                <w:highlight w:val="none"/>
                <w:lang w:eastAsia="zh-CN"/>
              </w:rPr>
              <w:t xml:space="preserve"> </w:t>
            </w:r>
            <w:r>
              <w:rPr>
                <w:color w:val="auto"/>
                <w:spacing w:val="5"/>
                <w:highlight w:val="none"/>
                <w:lang w:eastAsia="zh-CN"/>
              </w:rPr>
              <w:t>方案、工程建设相关方的关系协调方案等要点明确一般、</w:t>
            </w:r>
            <w:r>
              <w:rPr>
                <w:color w:val="auto"/>
                <w:spacing w:val="13"/>
                <w:highlight w:val="none"/>
                <w:lang w:eastAsia="zh-CN"/>
              </w:rPr>
              <w:t xml:space="preserve"> </w:t>
            </w:r>
            <w:r>
              <w:rPr>
                <w:color w:val="auto"/>
                <w:spacing w:val="-3"/>
                <w:highlight w:val="none"/>
                <w:lang w:eastAsia="zh-CN"/>
              </w:rPr>
              <w:t>措施得当一般的得</w:t>
            </w:r>
            <w:r>
              <w:rPr>
                <w:color w:val="auto"/>
                <w:spacing w:val="-42"/>
                <w:highlight w:val="none"/>
                <w:lang w:eastAsia="zh-CN"/>
              </w:rPr>
              <w:t xml:space="preserve"> </w:t>
            </w:r>
            <w:r>
              <w:rPr>
                <w:rFonts w:hint="eastAsia"/>
                <w:color w:val="auto"/>
                <w:spacing w:val="-3"/>
                <w:highlight w:val="none"/>
                <w:lang w:val="en-US" w:eastAsia="zh-CN"/>
              </w:rPr>
              <w:t>6</w:t>
            </w:r>
            <w:r>
              <w:rPr>
                <w:color w:val="auto"/>
                <w:spacing w:val="-44"/>
                <w:highlight w:val="none"/>
                <w:lang w:eastAsia="zh-CN"/>
              </w:rPr>
              <w:t xml:space="preserve"> </w:t>
            </w:r>
            <w:r>
              <w:rPr>
                <w:color w:val="auto"/>
                <w:spacing w:val="-3"/>
                <w:highlight w:val="none"/>
                <w:lang w:eastAsia="zh-CN"/>
              </w:rPr>
              <w:t>分；</w:t>
            </w:r>
          </w:p>
          <w:p w14:paraId="5B989564">
            <w:pPr>
              <w:pStyle w:val="14"/>
              <w:spacing w:before="24" w:line="242" w:lineRule="auto"/>
              <w:ind w:left="115" w:right="106" w:firstLine="419"/>
              <w:jc w:val="both"/>
              <w:rPr>
                <w:color w:val="auto"/>
                <w:highlight w:val="none"/>
                <w:lang w:eastAsia="zh-CN"/>
              </w:rPr>
            </w:pPr>
            <w:r>
              <w:rPr>
                <w:color w:val="auto"/>
                <w:spacing w:val="8"/>
                <w:highlight w:val="none"/>
                <w:lang w:eastAsia="zh-CN"/>
              </w:rPr>
              <w:t>监理大纲内容不齐全、结构不完整、重点不突出、不</w:t>
            </w:r>
            <w:r>
              <w:rPr>
                <w:color w:val="auto"/>
                <w:spacing w:val="6"/>
                <w:highlight w:val="none"/>
                <w:lang w:eastAsia="zh-CN"/>
              </w:rPr>
              <w:t xml:space="preserve"> </w:t>
            </w:r>
            <w:r>
              <w:rPr>
                <w:color w:val="auto"/>
                <w:spacing w:val="8"/>
                <w:highlight w:val="none"/>
                <w:lang w:eastAsia="zh-CN"/>
              </w:rPr>
              <w:t>符合规范、针对性差，质量控制方案、进度控制方案、投</w:t>
            </w:r>
            <w:r>
              <w:rPr>
                <w:color w:val="auto"/>
                <w:spacing w:val="9"/>
                <w:highlight w:val="none"/>
                <w:lang w:eastAsia="zh-CN"/>
              </w:rPr>
              <w:t xml:space="preserve"> </w:t>
            </w:r>
            <w:r>
              <w:rPr>
                <w:color w:val="auto"/>
                <w:spacing w:val="8"/>
                <w:highlight w:val="none"/>
                <w:lang w:eastAsia="zh-CN"/>
              </w:rPr>
              <w:t>资控制方案、安全控制方案、合同与信息管理方案、工程</w:t>
            </w:r>
            <w:r>
              <w:rPr>
                <w:color w:val="auto"/>
                <w:spacing w:val="9"/>
                <w:highlight w:val="none"/>
                <w:lang w:eastAsia="zh-CN"/>
              </w:rPr>
              <w:t xml:space="preserve"> </w:t>
            </w:r>
            <w:r>
              <w:rPr>
                <w:color w:val="auto"/>
                <w:spacing w:val="8"/>
                <w:highlight w:val="none"/>
                <w:lang w:eastAsia="zh-CN"/>
              </w:rPr>
              <w:t>建设相关方的关系协调方案等要点不明确、措施不得当</w:t>
            </w:r>
            <w:r>
              <w:rPr>
                <w:color w:val="auto"/>
                <w:highlight w:val="none"/>
                <w:lang w:eastAsia="zh-CN"/>
              </w:rPr>
              <w:t xml:space="preserve"> </w:t>
            </w:r>
            <w:r>
              <w:rPr>
                <w:color w:val="auto"/>
                <w:spacing w:val="-6"/>
                <w:highlight w:val="none"/>
                <w:lang w:eastAsia="zh-CN"/>
              </w:rPr>
              <w:t>的得</w:t>
            </w:r>
            <w:r>
              <w:rPr>
                <w:color w:val="auto"/>
                <w:spacing w:val="-47"/>
                <w:highlight w:val="none"/>
                <w:lang w:eastAsia="zh-CN"/>
              </w:rPr>
              <w:t xml:space="preserve"> </w:t>
            </w:r>
            <w:r>
              <w:rPr>
                <w:rFonts w:hint="eastAsia"/>
                <w:color w:val="auto"/>
                <w:spacing w:val="-6"/>
                <w:highlight w:val="none"/>
                <w:lang w:val="en-US" w:eastAsia="zh-CN"/>
              </w:rPr>
              <w:t>4</w:t>
            </w:r>
            <w:r>
              <w:rPr>
                <w:color w:val="auto"/>
                <w:spacing w:val="-43"/>
                <w:highlight w:val="none"/>
                <w:lang w:eastAsia="zh-CN"/>
              </w:rPr>
              <w:t xml:space="preserve"> </w:t>
            </w:r>
            <w:r>
              <w:rPr>
                <w:color w:val="auto"/>
                <w:spacing w:val="-6"/>
                <w:highlight w:val="none"/>
                <w:lang w:eastAsia="zh-CN"/>
              </w:rPr>
              <w:t>分；</w:t>
            </w:r>
          </w:p>
          <w:p w14:paraId="049CAE7F">
            <w:pPr>
              <w:pStyle w:val="14"/>
              <w:spacing w:before="23" w:line="206" w:lineRule="auto"/>
              <w:ind w:left="558"/>
              <w:rPr>
                <w:color w:val="auto"/>
                <w:sz w:val="21"/>
                <w:szCs w:val="21"/>
                <w:highlight w:val="none"/>
              </w:rPr>
            </w:pPr>
            <w:r>
              <w:rPr>
                <w:color w:val="auto"/>
                <w:spacing w:val="-5"/>
                <w:highlight w:val="none"/>
              </w:rPr>
              <w:t>未描述得</w:t>
            </w:r>
            <w:r>
              <w:rPr>
                <w:color w:val="auto"/>
                <w:spacing w:val="-45"/>
                <w:highlight w:val="none"/>
              </w:rPr>
              <w:t xml:space="preserve"> </w:t>
            </w:r>
            <w:r>
              <w:rPr>
                <w:color w:val="auto"/>
                <w:spacing w:val="-5"/>
                <w:highlight w:val="none"/>
              </w:rPr>
              <w:t>0</w:t>
            </w:r>
            <w:r>
              <w:rPr>
                <w:color w:val="auto"/>
                <w:spacing w:val="-43"/>
                <w:highlight w:val="none"/>
              </w:rPr>
              <w:t xml:space="preserve"> </w:t>
            </w:r>
            <w:r>
              <w:rPr>
                <w:color w:val="auto"/>
                <w:spacing w:val="-5"/>
                <w:highlight w:val="none"/>
              </w:rPr>
              <w:t>分。</w:t>
            </w:r>
          </w:p>
        </w:tc>
      </w:tr>
      <w:tr w14:paraId="4975A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3" w:hRule="atLeast"/>
        </w:trPr>
        <w:tc>
          <w:tcPr>
            <w:tcW w:w="653" w:type="dxa"/>
            <w:vMerge w:val="continue"/>
            <w:vAlign w:val="top"/>
          </w:tcPr>
          <w:p w14:paraId="5801FD86">
            <w:pPr>
              <w:rPr>
                <w:rFonts w:ascii="Arial"/>
                <w:color w:val="auto"/>
                <w:sz w:val="21"/>
                <w:szCs w:val="21"/>
                <w:highlight w:val="none"/>
              </w:rPr>
            </w:pPr>
          </w:p>
        </w:tc>
        <w:tc>
          <w:tcPr>
            <w:tcW w:w="850" w:type="dxa"/>
            <w:vMerge w:val="continue"/>
            <w:vAlign w:val="top"/>
          </w:tcPr>
          <w:p w14:paraId="7E2675C9">
            <w:pPr>
              <w:rPr>
                <w:rFonts w:ascii="Arial"/>
                <w:color w:val="auto"/>
                <w:sz w:val="21"/>
                <w:szCs w:val="21"/>
                <w:highlight w:val="none"/>
              </w:rPr>
            </w:pPr>
          </w:p>
        </w:tc>
        <w:tc>
          <w:tcPr>
            <w:tcW w:w="1370" w:type="dxa"/>
            <w:tcBorders>
              <w:top w:val="single" w:color="auto" w:sz="4" w:space="0"/>
            </w:tcBorders>
            <w:vAlign w:val="top"/>
          </w:tcPr>
          <w:p w14:paraId="2C9014DE">
            <w:pPr>
              <w:spacing w:line="256" w:lineRule="auto"/>
              <w:rPr>
                <w:rFonts w:ascii="Arial"/>
                <w:color w:val="auto"/>
                <w:sz w:val="21"/>
                <w:szCs w:val="21"/>
                <w:highlight w:val="none"/>
              </w:rPr>
            </w:pPr>
          </w:p>
          <w:p w14:paraId="3654565F">
            <w:pPr>
              <w:spacing w:line="256" w:lineRule="auto"/>
              <w:rPr>
                <w:rFonts w:ascii="Arial"/>
                <w:color w:val="auto"/>
                <w:sz w:val="21"/>
                <w:szCs w:val="21"/>
                <w:highlight w:val="none"/>
              </w:rPr>
            </w:pPr>
          </w:p>
          <w:p w14:paraId="5F6678CD">
            <w:pPr>
              <w:spacing w:line="256" w:lineRule="auto"/>
              <w:rPr>
                <w:rFonts w:ascii="Arial"/>
                <w:color w:val="auto"/>
                <w:sz w:val="21"/>
                <w:szCs w:val="21"/>
                <w:highlight w:val="none"/>
              </w:rPr>
            </w:pPr>
          </w:p>
          <w:p w14:paraId="5DA600CC">
            <w:pPr>
              <w:spacing w:line="256" w:lineRule="auto"/>
              <w:rPr>
                <w:rFonts w:ascii="Arial"/>
                <w:color w:val="auto"/>
                <w:sz w:val="21"/>
                <w:szCs w:val="21"/>
                <w:highlight w:val="none"/>
              </w:rPr>
            </w:pPr>
          </w:p>
          <w:p w14:paraId="127FA6DC">
            <w:pPr>
              <w:spacing w:line="257" w:lineRule="auto"/>
              <w:rPr>
                <w:rFonts w:ascii="Arial"/>
                <w:color w:val="auto"/>
                <w:sz w:val="21"/>
                <w:szCs w:val="21"/>
                <w:highlight w:val="none"/>
              </w:rPr>
            </w:pPr>
          </w:p>
          <w:p w14:paraId="567E38F3">
            <w:pPr>
              <w:spacing w:line="257" w:lineRule="auto"/>
              <w:rPr>
                <w:rFonts w:ascii="Arial"/>
                <w:color w:val="auto"/>
                <w:sz w:val="21"/>
                <w:szCs w:val="21"/>
                <w:highlight w:val="none"/>
              </w:rPr>
            </w:pPr>
          </w:p>
          <w:p w14:paraId="6A968F9E">
            <w:pPr>
              <w:spacing w:line="257" w:lineRule="auto"/>
              <w:rPr>
                <w:rFonts w:ascii="Arial"/>
                <w:color w:val="auto"/>
                <w:sz w:val="21"/>
                <w:szCs w:val="21"/>
                <w:highlight w:val="none"/>
              </w:rPr>
            </w:pPr>
          </w:p>
          <w:p w14:paraId="10F62846">
            <w:pPr>
              <w:spacing w:line="257" w:lineRule="auto"/>
              <w:rPr>
                <w:rFonts w:ascii="Arial"/>
                <w:color w:val="auto"/>
                <w:sz w:val="21"/>
                <w:szCs w:val="21"/>
                <w:highlight w:val="none"/>
              </w:rPr>
            </w:pPr>
          </w:p>
          <w:p w14:paraId="4C5E301F">
            <w:pPr>
              <w:spacing w:line="257" w:lineRule="auto"/>
              <w:rPr>
                <w:rFonts w:ascii="Arial"/>
                <w:color w:val="auto"/>
                <w:sz w:val="21"/>
                <w:szCs w:val="21"/>
                <w:highlight w:val="none"/>
              </w:rPr>
            </w:pPr>
          </w:p>
          <w:p w14:paraId="3EBAD3C4">
            <w:pPr>
              <w:pStyle w:val="14"/>
              <w:spacing w:before="72" w:line="231" w:lineRule="auto"/>
              <w:ind w:left="115" w:right="112" w:firstLine="59"/>
              <w:rPr>
                <w:color w:val="auto"/>
                <w:sz w:val="21"/>
                <w:szCs w:val="21"/>
                <w:highlight w:val="none"/>
              </w:rPr>
            </w:pPr>
            <w:r>
              <w:rPr>
                <w:color w:val="auto"/>
                <w:spacing w:val="-2"/>
                <w:sz w:val="21"/>
                <w:szCs w:val="21"/>
                <w:highlight w:val="none"/>
              </w:rPr>
              <w:t>造价咨询方</w:t>
            </w:r>
            <w:r>
              <w:rPr>
                <w:color w:val="auto"/>
                <w:spacing w:val="-8"/>
                <w:sz w:val="21"/>
                <w:szCs w:val="21"/>
                <w:highlight w:val="none"/>
              </w:rPr>
              <w:t>案（1</w:t>
            </w:r>
            <w:r>
              <w:rPr>
                <w:rFonts w:hint="eastAsia" w:eastAsia="宋体"/>
                <w:color w:val="auto"/>
                <w:spacing w:val="-8"/>
                <w:sz w:val="21"/>
                <w:szCs w:val="21"/>
                <w:highlight w:val="none"/>
                <w:lang w:val="en-US" w:eastAsia="zh-CN"/>
              </w:rPr>
              <w:t>2</w:t>
            </w:r>
            <w:r>
              <w:rPr>
                <w:color w:val="auto"/>
                <w:spacing w:val="-8"/>
                <w:sz w:val="21"/>
                <w:szCs w:val="21"/>
                <w:highlight w:val="none"/>
              </w:rPr>
              <w:t>分）</w:t>
            </w:r>
          </w:p>
        </w:tc>
        <w:tc>
          <w:tcPr>
            <w:tcW w:w="5849" w:type="dxa"/>
            <w:vAlign w:val="top"/>
          </w:tcPr>
          <w:p w14:paraId="1C5ED133">
            <w:pPr>
              <w:pStyle w:val="14"/>
              <w:spacing w:before="35"/>
              <w:ind w:left="114" w:right="48" w:firstLine="440"/>
              <w:rPr>
                <w:color w:val="auto"/>
                <w:highlight w:val="none"/>
                <w:lang w:eastAsia="zh-CN"/>
              </w:rPr>
            </w:pPr>
            <w:r>
              <w:rPr>
                <w:color w:val="auto"/>
                <w:spacing w:val="9"/>
                <w:highlight w:val="none"/>
                <w:lang w:eastAsia="zh-CN"/>
              </w:rPr>
              <w:t>造价咨询方案的服务内容、方法和措施目标明确、</w:t>
            </w:r>
            <w:r>
              <w:rPr>
                <w:color w:val="auto"/>
                <w:spacing w:val="5"/>
                <w:highlight w:val="none"/>
                <w:lang w:eastAsia="zh-CN"/>
              </w:rPr>
              <w:t xml:space="preserve"> </w:t>
            </w:r>
            <w:r>
              <w:rPr>
                <w:color w:val="auto"/>
                <w:spacing w:val="10"/>
                <w:highlight w:val="none"/>
                <w:lang w:eastAsia="zh-CN"/>
              </w:rPr>
              <w:t>内容和重点详实、人员组织和分工合理，质量控制措施、</w:t>
            </w:r>
            <w:r>
              <w:rPr>
                <w:color w:val="auto"/>
                <w:spacing w:val="2"/>
                <w:highlight w:val="none"/>
                <w:lang w:eastAsia="zh-CN"/>
              </w:rPr>
              <w:t xml:space="preserve"> </w:t>
            </w:r>
            <w:r>
              <w:rPr>
                <w:color w:val="auto"/>
                <w:spacing w:val="10"/>
                <w:highlight w:val="none"/>
                <w:lang w:eastAsia="zh-CN"/>
              </w:rPr>
              <w:t>风险控制措施、内部质量制度控制措施齐全、结构完整、</w:t>
            </w:r>
            <w:r>
              <w:rPr>
                <w:color w:val="auto"/>
                <w:spacing w:val="2"/>
                <w:highlight w:val="none"/>
                <w:lang w:eastAsia="zh-CN"/>
              </w:rPr>
              <w:t xml:space="preserve"> </w:t>
            </w:r>
            <w:r>
              <w:rPr>
                <w:color w:val="auto"/>
                <w:spacing w:val="-2"/>
                <w:highlight w:val="none"/>
                <w:lang w:eastAsia="zh-CN"/>
              </w:rPr>
              <w:t>重点突出、针对性强、要点明确、措施得当的得</w:t>
            </w:r>
            <w:r>
              <w:rPr>
                <w:color w:val="auto"/>
                <w:spacing w:val="-30"/>
                <w:highlight w:val="none"/>
                <w:lang w:eastAsia="zh-CN"/>
              </w:rPr>
              <w:t xml:space="preserve"> </w:t>
            </w:r>
            <w:r>
              <w:rPr>
                <w:color w:val="auto"/>
                <w:spacing w:val="-3"/>
                <w:highlight w:val="none"/>
                <w:lang w:eastAsia="zh-CN"/>
              </w:rPr>
              <w:t>1</w:t>
            </w:r>
            <w:r>
              <w:rPr>
                <w:rFonts w:hint="eastAsia"/>
                <w:color w:val="auto"/>
                <w:spacing w:val="-3"/>
                <w:highlight w:val="none"/>
                <w:lang w:val="en-US" w:eastAsia="zh-CN"/>
              </w:rPr>
              <w:t>2</w:t>
            </w:r>
            <w:r>
              <w:rPr>
                <w:color w:val="auto"/>
                <w:spacing w:val="-46"/>
                <w:highlight w:val="none"/>
                <w:lang w:eastAsia="zh-CN"/>
              </w:rPr>
              <w:t xml:space="preserve"> </w:t>
            </w:r>
            <w:r>
              <w:rPr>
                <w:color w:val="auto"/>
                <w:spacing w:val="-3"/>
                <w:highlight w:val="none"/>
                <w:lang w:eastAsia="zh-CN"/>
              </w:rPr>
              <w:t>分；</w:t>
            </w:r>
          </w:p>
          <w:p w14:paraId="7C8C57CF">
            <w:pPr>
              <w:pStyle w:val="14"/>
              <w:spacing w:before="23"/>
              <w:ind w:left="112" w:right="37" w:firstLine="442"/>
              <w:rPr>
                <w:color w:val="auto"/>
                <w:highlight w:val="none"/>
                <w:lang w:eastAsia="zh-CN"/>
              </w:rPr>
            </w:pPr>
            <w:r>
              <w:rPr>
                <w:color w:val="auto"/>
                <w:spacing w:val="2"/>
                <w:highlight w:val="none"/>
                <w:lang w:eastAsia="zh-CN"/>
              </w:rPr>
              <w:t>造价咨询方案的服务内容、方法和措施目标较明确、</w:t>
            </w:r>
            <w:r>
              <w:rPr>
                <w:color w:val="auto"/>
                <w:spacing w:val="14"/>
                <w:highlight w:val="none"/>
                <w:lang w:eastAsia="zh-CN"/>
              </w:rPr>
              <w:t xml:space="preserve"> </w:t>
            </w:r>
            <w:r>
              <w:rPr>
                <w:color w:val="auto"/>
                <w:spacing w:val="8"/>
                <w:highlight w:val="none"/>
                <w:lang w:eastAsia="zh-CN"/>
              </w:rPr>
              <w:t>内容和重点较详实、人员组织和分工较合理，质量控制措施、风险控制措施、内部质量制度控制措施较齐全、结构</w:t>
            </w:r>
            <w:r>
              <w:rPr>
                <w:color w:val="auto"/>
                <w:spacing w:val="5"/>
                <w:highlight w:val="none"/>
                <w:lang w:eastAsia="zh-CN"/>
              </w:rPr>
              <w:t>较完整、重点较突出、针对性较强、要点较明确、措施</w:t>
            </w:r>
            <w:r>
              <w:rPr>
                <w:color w:val="auto"/>
                <w:spacing w:val="-4"/>
                <w:highlight w:val="none"/>
                <w:lang w:eastAsia="zh-CN"/>
              </w:rPr>
              <w:t>较得当的得</w:t>
            </w:r>
            <w:r>
              <w:rPr>
                <w:color w:val="auto"/>
                <w:spacing w:val="-42"/>
                <w:highlight w:val="none"/>
                <w:lang w:eastAsia="zh-CN"/>
              </w:rPr>
              <w:t xml:space="preserve"> </w:t>
            </w:r>
            <w:r>
              <w:rPr>
                <w:rFonts w:hint="eastAsia"/>
                <w:color w:val="auto"/>
                <w:spacing w:val="-4"/>
                <w:highlight w:val="none"/>
                <w:lang w:val="en-US" w:eastAsia="zh-CN"/>
              </w:rPr>
              <w:t>9</w:t>
            </w:r>
            <w:r>
              <w:rPr>
                <w:color w:val="auto"/>
                <w:spacing w:val="-44"/>
                <w:highlight w:val="none"/>
                <w:lang w:eastAsia="zh-CN"/>
              </w:rPr>
              <w:t xml:space="preserve"> </w:t>
            </w:r>
            <w:r>
              <w:rPr>
                <w:color w:val="auto"/>
                <w:spacing w:val="-4"/>
                <w:highlight w:val="none"/>
                <w:lang w:eastAsia="zh-CN"/>
              </w:rPr>
              <w:t>分；</w:t>
            </w:r>
          </w:p>
          <w:p w14:paraId="2F118893">
            <w:pPr>
              <w:pStyle w:val="14"/>
              <w:spacing w:before="21"/>
              <w:ind w:left="113" w:right="106" w:firstLine="441"/>
              <w:jc w:val="both"/>
              <w:rPr>
                <w:color w:val="auto"/>
                <w:highlight w:val="none"/>
                <w:lang w:eastAsia="zh-CN"/>
              </w:rPr>
            </w:pPr>
            <w:r>
              <w:rPr>
                <w:color w:val="auto"/>
                <w:spacing w:val="8"/>
                <w:highlight w:val="none"/>
                <w:lang w:eastAsia="zh-CN"/>
              </w:rPr>
              <w:t>造价咨询方案的服务内容、方法和措施目标基本明</w:t>
            </w:r>
            <w:r>
              <w:rPr>
                <w:color w:val="auto"/>
                <w:spacing w:val="13"/>
                <w:highlight w:val="none"/>
                <w:lang w:eastAsia="zh-CN"/>
              </w:rPr>
              <w:t xml:space="preserve"> </w:t>
            </w:r>
            <w:r>
              <w:rPr>
                <w:color w:val="auto"/>
                <w:spacing w:val="8"/>
                <w:highlight w:val="none"/>
                <w:lang w:eastAsia="zh-CN"/>
              </w:rPr>
              <w:t>确、内容和重点基本详实、人员组织和分工基本合理，质</w:t>
            </w:r>
            <w:r>
              <w:rPr>
                <w:color w:val="auto"/>
                <w:spacing w:val="11"/>
                <w:highlight w:val="none"/>
                <w:lang w:eastAsia="zh-CN"/>
              </w:rPr>
              <w:t xml:space="preserve"> </w:t>
            </w:r>
            <w:r>
              <w:rPr>
                <w:color w:val="auto"/>
                <w:spacing w:val="8"/>
                <w:highlight w:val="none"/>
                <w:lang w:eastAsia="zh-CN"/>
              </w:rPr>
              <w:t>量控制措施、风险控制措施、内部质量制度控制措施基本</w:t>
            </w:r>
            <w:r>
              <w:rPr>
                <w:color w:val="auto"/>
                <w:spacing w:val="11"/>
                <w:highlight w:val="none"/>
                <w:lang w:eastAsia="zh-CN"/>
              </w:rPr>
              <w:t xml:space="preserve"> </w:t>
            </w:r>
            <w:r>
              <w:rPr>
                <w:color w:val="auto"/>
                <w:spacing w:val="2"/>
                <w:highlight w:val="none"/>
                <w:lang w:eastAsia="zh-CN"/>
              </w:rPr>
              <w:t>齐全、结构基本完整、重点基本突出、针对性一般、要点</w:t>
            </w:r>
            <w:r>
              <w:rPr>
                <w:color w:val="auto"/>
                <w:spacing w:val="3"/>
                <w:highlight w:val="none"/>
                <w:lang w:eastAsia="zh-CN"/>
              </w:rPr>
              <w:t xml:space="preserve"> </w:t>
            </w:r>
            <w:r>
              <w:rPr>
                <w:color w:val="auto"/>
                <w:spacing w:val="-2"/>
                <w:highlight w:val="none"/>
                <w:lang w:eastAsia="zh-CN"/>
              </w:rPr>
              <w:t>明确一般、措施得当一般的得</w:t>
            </w:r>
            <w:r>
              <w:rPr>
                <w:color w:val="auto"/>
                <w:spacing w:val="-41"/>
                <w:highlight w:val="none"/>
                <w:lang w:eastAsia="zh-CN"/>
              </w:rPr>
              <w:t xml:space="preserve"> </w:t>
            </w:r>
            <w:r>
              <w:rPr>
                <w:rFonts w:hint="eastAsia"/>
                <w:color w:val="auto"/>
                <w:spacing w:val="-2"/>
                <w:highlight w:val="none"/>
                <w:lang w:val="en-US" w:eastAsia="zh-CN"/>
              </w:rPr>
              <w:t>6</w:t>
            </w:r>
            <w:r>
              <w:rPr>
                <w:color w:val="auto"/>
                <w:spacing w:val="-44"/>
                <w:highlight w:val="none"/>
                <w:lang w:eastAsia="zh-CN"/>
              </w:rPr>
              <w:t xml:space="preserve"> </w:t>
            </w:r>
            <w:r>
              <w:rPr>
                <w:color w:val="auto"/>
                <w:spacing w:val="-2"/>
                <w:highlight w:val="none"/>
                <w:lang w:eastAsia="zh-CN"/>
              </w:rPr>
              <w:t>分；</w:t>
            </w:r>
          </w:p>
          <w:p w14:paraId="046AF812">
            <w:pPr>
              <w:pStyle w:val="14"/>
              <w:spacing w:before="23" w:line="237" w:lineRule="auto"/>
              <w:ind w:left="112" w:right="37" w:firstLine="442"/>
              <w:jc w:val="both"/>
              <w:rPr>
                <w:color w:val="auto"/>
                <w:spacing w:val="-4"/>
                <w:highlight w:val="none"/>
                <w:lang w:eastAsia="zh-CN"/>
              </w:rPr>
            </w:pPr>
            <w:r>
              <w:rPr>
                <w:color w:val="auto"/>
                <w:spacing w:val="2"/>
                <w:highlight w:val="none"/>
                <w:lang w:eastAsia="zh-CN"/>
              </w:rPr>
              <w:t>造价咨询方案的服务内容、方法和措施目标不明确、</w:t>
            </w:r>
            <w:r>
              <w:rPr>
                <w:color w:val="auto"/>
                <w:spacing w:val="14"/>
                <w:highlight w:val="none"/>
                <w:lang w:eastAsia="zh-CN"/>
              </w:rPr>
              <w:t xml:space="preserve"> </w:t>
            </w:r>
            <w:r>
              <w:rPr>
                <w:color w:val="auto"/>
                <w:spacing w:val="8"/>
                <w:highlight w:val="none"/>
                <w:lang w:eastAsia="zh-CN"/>
              </w:rPr>
              <w:t>内容和重点不详实、人员组织和分工不合理，质量控制措</w:t>
            </w:r>
            <w:r>
              <w:rPr>
                <w:color w:val="auto"/>
                <w:spacing w:val="11"/>
                <w:highlight w:val="none"/>
                <w:lang w:eastAsia="zh-CN"/>
              </w:rPr>
              <w:t xml:space="preserve"> </w:t>
            </w:r>
            <w:r>
              <w:rPr>
                <w:color w:val="auto"/>
                <w:spacing w:val="8"/>
                <w:highlight w:val="none"/>
                <w:lang w:eastAsia="zh-CN"/>
              </w:rPr>
              <w:t>施、风险控制措施、内部质量制度控制措施不齐全、结构</w:t>
            </w:r>
            <w:r>
              <w:rPr>
                <w:color w:val="auto"/>
                <w:spacing w:val="11"/>
                <w:highlight w:val="none"/>
                <w:lang w:eastAsia="zh-CN"/>
              </w:rPr>
              <w:t xml:space="preserve"> </w:t>
            </w:r>
            <w:r>
              <w:rPr>
                <w:color w:val="auto"/>
                <w:spacing w:val="6"/>
                <w:highlight w:val="none"/>
                <w:lang w:eastAsia="zh-CN"/>
              </w:rPr>
              <w:t>不完整、重点不突出、针对性不强、要点不明确、措施</w:t>
            </w:r>
            <w:r>
              <w:rPr>
                <w:color w:val="auto"/>
                <w:spacing w:val="10"/>
                <w:highlight w:val="none"/>
                <w:lang w:eastAsia="zh-CN"/>
              </w:rPr>
              <w:t xml:space="preserve"> </w:t>
            </w:r>
            <w:r>
              <w:rPr>
                <w:color w:val="auto"/>
                <w:spacing w:val="-4"/>
                <w:highlight w:val="none"/>
                <w:lang w:eastAsia="zh-CN"/>
              </w:rPr>
              <w:t>不得当的得</w:t>
            </w:r>
            <w:r>
              <w:rPr>
                <w:color w:val="auto"/>
                <w:spacing w:val="-42"/>
                <w:highlight w:val="none"/>
                <w:lang w:eastAsia="zh-CN"/>
              </w:rPr>
              <w:t xml:space="preserve"> </w:t>
            </w:r>
            <w:r>
              <w:rPr>
                <w:rFonts w:hint="eastAsia"/>
                <w:color w:val="auto"/>
                <w:spacing w:val="-4"/>
                <w:highlight w:val="none"/>
                <w:lang w:val="en-US" w:eastAsia="zh-CN"/>
              </w:rPr>
              <w:t>4</w:t>
            </w:r>
            <w:r>
              <w:rPr>
                <w:color w:val="auto"/>
                <w:spacing w:val="-44"/>
                <w:highlight w:val="none"/>
                <w:lang w:eastAsia="zh-CN"/>
              </w:rPr>
              <w:t xml:space="preserve"> </w:t>
            </w:r>
            <w:r>
              <w:rPr>
                <w:color w:val="auto"/>
                <w:spacing w:val="-4"/>
                <w:highlight w:val="none"/>
                <w:lang w:eastAsia="zh-CN"/>
              </w:rPr>
              <w:t>分；</w:t>
            </w:r>
          </w:p>
          <w:p w14:paraId="76620483">
            <w:pPr>
              <w:pStyle w:val="14"/>
              <w:spacing w:before="23" w:line="237" w:lineRule="auto"/>
              <w:ind w:left="112" w:right="37" w:firstLine="442"/>
              <w:jc w:val="both"/>
              <w:rPr>
                <w:color w:val="auto"/>
                <w:sz w:val="21"/>
                <w:szCs w:val="21"/>
                <w:highlight w:val="none"/>
              </w:rPr>
            </w:pPr>
            <w:r>
              <w:rPr>
                <w:color w:val="auto"/>
                <w:spacing w:val="-5"/>
                <w:highlight w:val="none"/>
                <w:lang w:eastAsia="zh-CN"/>
              </w:rPr>
              <w:t>未描述得</w:t>
            </w:r>
            <w:r>
              <w:rPr>
                <w:color w:val="auto"/>
                <w:spacing w:val="-45"/>
                <w:highlight w:val="none"/>
                <w:lang w:eastAsia="zh-CN"/>
              </w:rPr>
              <w:t xml:space="preserve"> </w:t>
            </w:r>
            <w:r>
              <w:rPr>
                <w:color w:val="auto"/>
                <w:spacing w:val="-5"/>
                <w:highlight w:val="none"/>
                <w:lang w:eastAsia="zh-CN"/>
              </w:rPr>
              <w:t>0</w:t>
            </w:r>
            <w:r>
              <w:rPr>
                <w:color w:val="auto"/>
                <w:spacing w:val="-43"/>
                <w:highlight w:val="none"/>
                <w:lang w:eastAsia="zh-CN"/>
              </w:rPr>
              <w:t xml:space="preserve"> </w:t>
            </w:r>
            <w:r>
              <w:rPr>
                <w:color w:val="auto"/>
                <w:spacing w:val="-5"/>
                <w:highlight w:val="none"/>
                <w:lang w:eastAsia="zh-CN"/>
              </w:rPr>
              <w:t>分</w:t>
            </w:r>
            <w:r>
              <w:rPr>
                <w:rFonts w:hint="eastAsia"/>
                <w:color w:val="auto"/>
                <w:spacing w:val="-5"/>
                <w:highlight w:val="none"/>
                <w:lang w:eastAsia="zh-CN"/>
              </w:rPr>
              <w:t>。</w:t>
            </w:r>
          </w:p>
        </w:tc>
      </w:tr>
      <w:tr w14:paraId="0312F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653" w:type="dxa"/>
            <w:vMerge w:val="continue"/>
            <w:tcBorders>
              <w:bottom w:val="single" w:color="auto" w:sz="4" w:space="0"/>
            </w:tcBorders>
            <w:vAlign w:val="top"/>
          </w:tcPr>
          <w:p w14:paraId="2DBF8137">
            <w:pPr>
              <w:rPr>
                <w:rFonts w:ascii="Arial"/>
                <w:color w:val="auto"/>
                <w:sz w:val="21"/>
                <w:szCs w:val="21"/>
                <w:highlight w:val="none"/>
              </w:rPr>
            </w:pPr>
          </w:p>
        </w:tc>
        <w:tc>
          <w:tcPr>
            <w:tcW w:w="850" w:type="dxa"/>
            <w:vMerge w:val="continue"/>
            <w:tcBorders>
              <w:bottom w:val="single" w:color="auto" w:sz="4" w:space="0"/>
            </w:tcBorders>
            <w:vAlign w:val="top"/>
          </w:tcPr>
          <w:p w14:paraId="103FEDDE">
            <w:pPr>
              <w:rPr>
                <w:rFonts w:ascii="Arial"/>
                <w:color w:val="auto"/>
                <w:sz w:val="21"/>
                <w:szCs w:val="21"/>
                <w:highlight w:val="none"/>
              </w:rPr>
            </w:pPr>
          </w:p>
        </w:tc>
        <w:tc>
          <w:tcPr>
            <w:tcW w:w="1370" w:type="dxa"/>
            <w:tcBorders>
              <w:bottom w:val="single" w:color="auto" w:sz="4" w:space="0"/>
            </w:tcBorders>
            <w:vAlign w:val="top"/>
          </w:tcPr>
          <w:p w14:paraId="5E713ACB">
            <w:pPr>
              <w:spacing w:line="270" w:lineRule="auto"/>
              <w:rPr>
                <w:rFonts w:ascii="Arial"/>
                <w:color w:val="auto"/>
                <w:sz w:val="21"/>
                <w:szCs w:val="21"/>
                <w:highlight w:val="none"/>
              </w:rPr>
            </w:pPr>
          </w:p>
          <w:p w14:paraId="0B68782D">
            <w:pPr>
              <w:spacing w:line="270" w:lineRule="auto"/>
              <w:rPr>
                <w:rFonts w:ascii="Arial"/>
                <w:color w:val="auto"/>
                <w:sz w:val="21"/>
                <w:szCs w:val="21"/>
                <w:highlight w:val="none"/>
              </w:rPr>
            </w:pPr>
          </w:p>
          <w:p w14:paraId="62ACE95B">
            <w:pPr>
              <w:pStyle w:val="14"/>
              <w:spacing w:before="71" w:line="230" w:lineRule="auto"/>
              <w:ind w:right="168"/>
              <w:rPr>
                <w:color w:val="auto"/>
                <w:spacing w:val="-2"/>
                <w:sz w:val="21"/>
                <w:szCs w:val="21"/>
                <w:highlight w:val="none"/>
              </w:rPr>
            </w:pPr>
            <w:r>
              <w:rPr>
                <w:color w:val="auto"/>
                <w:spacing w:val="-2"/>
                <w:sz w:val="21"/>
                <w:szCs w:val="21"/>
                <w:highlight w:val="none"/>
              </w:rPr>
              <w:t>服务承诺</w:t>
            </w:r>
          </w:p>
          <w:p w14:paraId="2377AB4F">
            <w:pPr>
              <w:pStyle w:val="14"/>
              <w:spacing w:before="71" w:line="230" w:lineRule="auto"/>
              <w:ind w:right="168"/>
              <w:rPr>
                <w:color w:val="auto"/>
                <w:sz w:val="21"/>
                <w:szCs w:val="21"/>
                <w:highlight w:val="none"/>
              </w:rPr>
            </w:pPr>
            <w:r>
              <w:rPr>
                <w:color w:val="auto"/>
                <w:spacing w:val="-2"/>
                <w:sz w:val="21"/>
                <w:szCs w:val="21"/>
                <w:highlight w:val="none"/>
              </w:rPr>
              <w:t>措</w:t>
            </w:r>
            <w:r>
              <w:rPr>
                <w:color w:val="auto"/>
                <w:spacing w:val="-4"/>
                <w:sz w:val="21"/>
                <w:szCs w:val="21"/>
                <w:highlight w:val="none"/>
              </w:rPr>
              <w:t>施(</w:t>
            </w:r>
            <w:r>
              <w:rPr>
                <w:rFonts w:hint="eastAsia" w:eastAsia="宋体"/>
                <w:color w:val="auto"/>
                <w:spacing w:val="-4"/>
                <w:sz w:val="21"/>
                <w:szCs w:val="21"/>
                <w:highlight w:val="none"/>
                <w:lang w:val="en-US" w:eastAsia="zh-CN"/>
              </w:rPr>
              <w:t>4</w:t>
            </w:r>
            <w:r>
              <w:rPr>
                <w:color w:val="auto"/>
                <w:spacing w:val="-4"/>
                <w:sz w:val="21"/>
                <w:szCs w:val="21"/>
                <w:highlight w:val="none"/>
              </w:rPr>
              <w:t>分)</w:t>
            </w:r>
          </w:p>
        </w:tc>
        <w:tc>
          <w:tcPr>
            <w:tcW w:w="5849" w:type="dxa"/>
            <w:vAlign w:val="top"/>
          </w:tcPr>
          <w:p w14:paraId="41DAFBDE">
            <w:pPr>
              <w:pStyle w:val="14"/>
              <w:spacing w:before="21" w:line="233" w:lineRule="auto"/>
              <w:ind w:right="106"/>
              <w:rPr>
                <w:color w:val="auto"/>
                <w:spacing w:val="-3"/>
                <w:highlight w:val="none"/>
                <w:lang w:eastAsia="zh-CN"/>
              </w:rPr>
            </w:pPr>
            <w:r>
              <w:rPr>
                <w:color w:val="auto"/>
                <w:spacing w:val="-3"/>
                <w:highlight w:val="none"/>
                <w:lang w:eastAsia="zh-CN"/>
              </w:rPr>
              <w:t>服务商根据项目采购需求做出服务承诺（包含但不 仅限于）：服务内容；服务时间；成果交付时间等</w:t>
            </w:r>
          </w:p>
          <w:p w14:paraId="08FD52E3">
            <w:pPr>
              <w:pStyle w:val="14"/>
              <w:spacing w:before="21" w:line="233" w:lineRule="auto"/>
              <w:ind w:right="106"/>
              <w:rPr>
                <w:color w:val="auto"/>
                <w:spacing w:val="-3"/>
                <w:highlight w:val="none"/>
                <w:lang w:eastAsia="zh-CN"/>
              </w:rPr>
            </w:pPr>
            <w:r>
              <w:rPr>
                <w:color w:val="auto"/>
                <w:spacing w:val="-3"/>
                <w:highlight w:val="none"/>
                <w:lang w:eastAsia="zh-CN"/>
              </w:rPr>
              <w:t>服务承诺内容完整、满足度高、保障性强得</w:t>
            </w:r>
            <w:r>
              <w:rPr>
                <w:rFonts w:hint="eastAsia" w:eastAsia="宋体"/>
                <w:color w:val="auto"/>
                <w:spacing w:val="-3"/>
                <w:highlight w:val="none"/>
                <w:lang w:eastAsia="zh-CN"/>
              </w:rPr>
              <w:t>4</w:t>
            </w:r>
            <w:r>
              <w:rPr>
                <w:color w:val="auto"/>
                <w:spacing w:val="-3"/>
                <w:highlight w:val="none"/>
                <w:lang w:eastAsia="zh-CN"/>
              </w:rPr>
              <w:t xml:space="preserve"> 分；</w:t>
            </w:r>
          </w:p>
          <w:p w14:paraId="79617CC4">
            <w:pPr>
              <w:pStyle w:val="14"/>
              <w:spacing w:before="21" w:line="233" w:lineRule="auto"/>
              <w:ind w:right="106"/>
              <w:rPr>
                <w:color w:val="auto"/>
                <w:spacing w:val="-3"/>
                <w:highlight w:val="none"/>
                <w:lang w:eastAsia="zh-CN"/>
              </w:rPr>
            </w:pPr>
            <w:r>
              <w:rPr>
                <w:color w:val="auto"/>
                <w:spacing w:val="-3"/>
                <w:highlight w:val="none"/>
                <w:lang w:eastAsia="zh-CN"/>
              </w:rPr>
              <w:t>服务承诺内容较完整、满足度较高、保障性较好得</w:t>
            </w:r>
            <w:r>
              <w:rPr>
                <w:rFonts w:hint="eastAsia" w:eastAsia="宋体"/>
                <w:color w:val="auto"/>
                <w:spacing w:val="-3"/>
                <w:highlight w:val="none"/>
                <w:lang w:eastAsia="zh-CN"/>
              </w:rPr>
              <w:t>2</w:t>
            </w:r>
            <w:r>
              <w:rPr>
                <w:color w:val="auto"/>
                <w:spacing w:val="-3"/>
                <w:highlight w:val="none"/>
                <w:lang w:eastAsia="zh-CN"/>
              </w:rPr>
              <w:t>分；</w:t>
            </w:r>
          </w:p>
          <w:p w14:paraId="2BFC7526">
            <w:pPr>
              <w:pStyle w:val="14"/>
              <w:spacing w:before="21" w:line="233" w:lineRule="auto"/>
              <w:ind w:right="106"/>
              <w:rPr>
                <w:color w:val="auto"/>
                <w:spacing w:val="-3"/>
                <w:highlight w:val="none"/>
                <w:lang w:eastAsia="zh-CN"/>
              </w:rPr>
            </w:pPr>
            <w:r>
              <w:rPr>
                <w:color w:val="auto"/>
                <w:spacing w:val="-3"/>
                <w:highlight w:val="none"/>
                <w:lang w:eastAsia="zh-CN"/>
              </w:rPr>
              <w:t>服务承诺内容完整度一般、满足度一般、保障性一 般得 1 分；</w:t>
            </w:r>
          </w:p>
          <w:p w14:paraId="1B2F530C">
            <w:pPr>
              <w:pStyle w:val="14"/>
              <w:spacing w:before="21" w:line="233" w:lineRule="auto"/>
              <w:ind w:left="112" w:right="106" w:firstLine="445"/>
              <w:rPr>
                <w:color w:val="auto"/>
                <w:sz w:val="21"/>
                <w:szCs w:val="21"/>
                <w:highlight w:val="none"/>
              </w:rPr>
            </w:pPr>
            <w:r>
              <w:rPr>
                <w:color w:val="auto"/>
                <w:spacing w:val="-3"/>
                <w:highlight w:val="none"/>
              </w:rPr>
              <w:t>未描述得 0 分。</w:t>
            </w:r>
          </w:p>
        </w:tc>
      </w:tr>
      <w:tr w14:paraId="115D1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trPr>
        <w:tc>
          <w:tcPr>
            <w:tcW w:w="653" w:type="dxa"/>
            <w:vMerge w:val="restart"/>
            <w:tcBorders>
              <w:top w:val="single" w:color="auto" w:sz="4" w:space="0"/>
              <w:left w:val="single" w:color="auto" w:sz="4" w:space="0"/>
            </w:tcBorders>
            <w:vAlign w:val="top"/>
          </w:tcPr>
          <w:p w14:paraId="706AE1A9">
            <w:pPr>
              <w:rPr>
                <w:rFonts w:hint="eastAsia" w:eastAsia="宋体"/>
                <w:color w:val="auto"/>
                <w:sz w:val="21"/>
                <w:szCs w:val="21"/>
                <w:highlight w:val="none"/>
                <w:lang w:val="en-US" w:eastAsia="zh-CN"/>
              </w:rPr>
            </w:pPr>
          </w:p>
          <w:p w14:paraId="2812BDAC">
            <w:pPr>
              <w:rPr>
                <w:rFonts w:hint="eastAsia" w:eastAsia="宋体"/>
                <w:color w:val="auto"/>
                <w:sz w:val="21"/>
                <w:szCs w:val="21"/>
                <w:highlight w:val="none"/>
                <w:lang w:val="en-US" w:eastAsia="zh-CN"/>
              </w:rPr>
            </w:pPr>
          </w:p>
          <w:p w14:paraId="1183B09F">
            <w:pPr>
              <w:rPr>
                <w:rFonts w:hint="eastAsia" w:eastAsia="宋体"/>
                <w:color w:val="auto"/>
                <w:sz w:val="21"/>
                <w:szCs w:val="21"/>
                <w:highlight w:val="none"/>
                <w:lang w:val="en-US" w:eastAsia="zh-CN"/>
              </w:rPr>
            </w:pPr>
          </w:p>
          <w:p w14:paraId="04425113">
            <w:pPr>
              <w:rPr>
                <w:rFonts w:hint="eastAsia" w:eastAsia="宋体"/>
                <w:color w:val="auto"/>
                <w:sz w:val="21"/>
                <w:szCs w:val="21"/>
                <w:highlight w:val="none"/>
                <w:lang w:val="en-US" w:eastAsia="zh-CN"/>
              </w:rPr>
            </w:pPr>
          </w:p>
          <w:p w14:paraId="5259663E">
            <w:pPr>
              <w:rPr>
                <w:rFonts w:hint="eastAsia" w:eastAsia="宋体"/>
                <w:color w:val="auto"/>
                <w:sz w:val="21"/>
                <w:szCs w:val="21"/>
                <w:highlight w:val="none"/>
                <w:lang w:val="en-US" w:eastAsia="zh-CN"/>
              </w:rPr>
            </w:pPr>
          </w:p>
          <w:p w14:paraId="7688374D">
            <w:pPr>
              <w:rPr>
                <w:rFonts w:hint="eastAsia" w:eastAsia="宋体"/>
                <w:color w:val="auto"/>
                <w:sz w:val="21"/>
                <w:szCs w:val="21"/>
                <w:highlight w:val="none"/>
                <w:lang w:val="en-US" w:eastAsia="zh-CN"/>
              </w:rPr>
            </w:pPr>
          </w:p>
          <w:p w14:paraId="6C212222">
            <w:pPr>
              <w:rPr>
                <w:rFonts w:hint="eastAsia" w:eastAsia="宋体"/>
                <w:color w:val="auto"/>
                <w:sz w:val="21"/>
                <w:szCs w:val="21"/>
                <w:highlight w:val="none"/>
                <w:lang w:val="en-US" w:eastAsia="zh-CN"/>
              </w:rPr>
            </w:pPr>
          </w:p>
          <w:p w14:paraId="2CD3E386">
            <w:pPr>
              <w:rPr>
                <w:rFonts w:hint="eastAsia" w:eastAsia="宋体"/>
                <w:color w:val="auto"/>
                <w:sz w:val="21"/>
                <w:szCs w:val="21"/>
                <w:highlight w:val="none"/>
                <w:lang w:val="en-US" w:eastAsia="zh-CN"/>
              </w:rPr>
            </w:pPr>
          </w:p>
          <w:p w14:paraId="317D38F8">
            <w:pPr>
              <w:rPr>
                <w:rFonts w:hint="eastAsia" w:eastAsia="宋体"/>
                <w:color w:val="auto"/>
                <w:sz w:val="21"/>
                <w:szCs w:val="21"/>
                <w:highlight w:val="none"/>
                <w:lang w:val="en-US" w:eastAsia="zh-CN"/>
              </w:rPr>
            </w:pPr>
          </w:p>
          <w:p w14:paraId="732B8695">
            <w:pPr>
              <w:rPr>
                <w:rFonts w:hint="eastAsia" w:eastAsia="宋体"/>
                <w:color w:val="auto"/>
                <w:sz w:val="21"/>
                <w:szCs w:val="21"/>
                <w:highlight w:val="none"/>
                <w:lang w:val="en-US" w:eastAsia="zh-CN"/>
              </w:rPr>
            </w:pPr>
          </w:p>
          <w:p w14:paraId="122AFD27">
            <w:pPr>
              <w:jc w:val="center"/>
              <w:rPr>
                <w:rFonts w:hint="eastAsia" w:eastAsia="宋体"/>
                <w:color w:val="auto"/>
                <w:sz w:val="21"/>
                <w:szCs w:val="21"/>
                <w:highlight w:val="none"/>
                <w:lang w:val="en-US" w:eastAsia="zh-CN"/>
              </w:rPr>
            </w:pPr>
          </w:p>
          <w:p w14:paraId="69F53996">
            <w:pPr>
              <w:jc w:val="center"/>
              <w:rPr>
                <w:rFonts w:hint="eastAsia" w:eastAsia="宋体"/>
                <w:color w:val="auto"/>
                <w:sz w:val="21"/>
                <w:szCs w:val="21"/>
                <w:highlight w:val="none"/>
                <w:lang w:val="en-US" w:eastAsia="zh-CN"/>
              </w:rPr>
            </w:pPr>
          </w:p>
          <w:p w14:paraId="4C29D2D2">
            <w:pPr>
              <w:jc w:val="center"/>
              <w:rPr>
                <w:rFonts w:hint="eastAsia" w:eastAsia="宋体"/>
                <w:color w:val="auto"/>
                <w:sz w:val="21"/>
                <w:szCs w:val="21"/>
                <w:highlight w:val="none"/>
                <w:lang w:val="en-US" w:eastAsia="zh-CN"/>
              </w:rPr>
            </w:pPr>
          </w:p>
          <w:p w14:paraId="2444D760">
            <w:pPr>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3</w:t>
            </w:r>
          </w:p>
          <w:p w14:paraId="409044DF">
            <w:pPr>
              <w:pStyle w:val="14"/>
              <w:spacing w:before="72" w:line="184" w:lineRule="auto"/>
              <w:ind w:left="281"/>
              <w:rPr>
                <w:rFonts w:hint="eastAsia" w:eastAsia="宋体"/>
                <w:color w:val="auto"/>
                <w:sz w:val="21"/>
                <w:szCs w:val="21"/>
                <w:highlight w:val="none"/>
                <w:lang w:val="en-US" w:eastAsia="zh-CN"/>
              </w:rPr>
            </w:pPr>
          </w:p>
          <w:p w14:paraId="540E7BBF">
            <w:pPr>
              <w:pStyle w:val="14"/>
              <w:spacing w:before="72" w:line="184" w:lineRule="auto"/>
              <w:ind w:left="281"/>
              <w:rPr>
                <w:rFonts w:hint="eastAsia" w:eastAsia="宋体"/>
                <w:color w:val="auto"/>
                <w:sz w:val="21"/>
                <w:szCs w:val="21"/>
                <w:highlight w:val="none"/>
                <w:lang w:val="en-US" w:eastAsia="zh-CN"/>
              </w:rPr>
            </w:pPr>
          </w:p>
          <w:p w14:paraId="67A654E2">
            <w:pPr>
              <w:pStyle w:val="14"/>
              <w:spacing w:before="72" w:line="184" w:lineRule="auto"/>
              <w:ind w:left="281"/>
              <w:rPr>
                <w:rFonts w:hint="eastAsia" w:eastAsia="宋体"/>
                <w:color w:val="auto"/>
                <w:sz w:val="21"/>
                <w:szCs w:val="21"/>
                <w:highlight w:val="none"/>
                <w:lang w:val="en-US" w:eastAsia="zh-CN"/>
              </w:rPr>
            </w:pPr>
          </w:p>
          <w:p w14:paraId="27980DD9">
            <w:pPr>
              <w:pStyle w:val="14"/>
              <w:spacing w:before="72" w:line="184" w:lineRule="auto"/>
              <w:ind w:left="281"/>
              <w:rPr>
                <w:rFonts w:hint="eastAsia" w:eastAsia="宋体"/>
                <w:color w:val="auto"/>
                <w:sz w:val="21"/>
                <w:szCs w:val="21"/>
                <w:highlight w:val="none"/>
                <w:lang w:val="en-US" w:eastAsia="zh-CN"/>
              </w:rPr>
            </w:pPr>
          </w:p>
          <w:p w14:paraId="32E29675">
            <w:pPr>
              <w:pStyle w:val="14"/>
              <w:spacing w:before="72" w:line="184" w:lineRule="auto"/>
              <w:ind w:left="281"/>
              <w:rPr>
                <w:rFonts w:hint="eastAsia" w:eastAsia="宋体"/>
                <w:color w:val="auto"/>
                <w:sz w:val="21"/>
                <w:szCs w:val="21"/>
                <w:highlight w:val="none"/>
                <w:lang w:val="en-US" w:eastAsia="zh-CN"/>
              </w:rPr>
            </w:pPr>
          </w:p>
          <w:p w14:paraId="080619AB">
            <w:pPr>
              <w:pStyle w:val="14"/>
              <w:spacing w:before="72" w:line="184" w:lineRule="auto"/>
              <w:ind w:left="281"/>
              <w:rPr>
                <w:rFonts w:hint="eastAsia" w:eastAsia="宋体"/>
                <w:color w:val="auto"/>
                <w:sz w:val="21"/>
                <w:szCs w:val="21"/>
                <w:highlight w:val="none"/>
                <w:lang w:val="en-US" w:eastAsia="zh-CN"/>
              </w:rPr>
            </w:pPr>
          </w:p>
        </w:tc>
        <w:tc>
          <w:tcPr>
            <w:tcW w:w="850" w:type="dxa"/>
            <w:vMerge w:val="restart"/>
            <w:tcBorders>
              <w:top w:val="single" w:color="auto" w:sz="4" w:space="0"/>
              <w:right w:val="single" w:color="auto" w:sz="4" w:space="0"/>
            </w:tcBorders>
            <w:vAlign w:val="top"/>
          </w:tcPr>
          <w:p w14:paraId="1E59C82A">
            <w:pPr>
              <w:pStyle w:val="14"/>
              <w:spacing w:before="72"/>
              <w:ind w:right="151"/>
              <w:rPr>
                <w:color w:val="auto"/>
                <w:spacing w:val="-4"/>
                <w:sz w:val="21"/>
                <w:szCs w:val="21"/>
                <w:highlight w:val="none"/>
              </w:rPr>
            </w:pPr>
          </w:p>
          <w:p w14:paraId="3900413A">
            <w:pPr>
              <w:pStyle w:val="14"/>
              <w:spacing w:before="72"/>
              <w:ind w:right="151"/>
              <w:rPr>
                <w:color w:val="auto"/>
                <w:spacing w:val="-4"/>
                <w:sz w:val="21"/>
                <w:szCs w:val="21"/>
                <w:highlight w:val="none"/>
              </w:rPr>
            </w:pPr>
          </w:p>
          <w:p w14:paraId="65B58047">
            <w:pPr>
              <w:pStyle w:val="14"/>
              <w:spacing w:before="72"/>
              <w:ind w:right="151"/>
              <w:rPr>
                <w:color w:val="auto"/>
                <w:spacing w:val="-4"/>
                <w:sz w:val="21"/>
                <w:szCs w:val="21"/>
                <w:highlight w:val="none"/>
              </w:rPr>
            </w:pPr>
          </w:p>
          <w:p w14:paraId="30C3DD4E">
            <w:pPr>
              <w:pStyle w:val="14"/>
              <w:spacing w:before="72"/>
              <w:ind w:right="151"/>
              <w:rPr>
                <w:color w:val="auto"/>
                <w:spacing w:val="-4"/>
                <w:sz w:val="21"/>
                <w:szCs w:val="21"/>
                <w:highlight w:val="none"/>
              </w:rPr>
            </w:pPr>
          </w:p>
          <w:p w14:paraId="3BA118FE">
            <w:pPr>
              <w:pStyle w:val="14"/>
              <w:spacing w:before="72"/>
              <w:ind w:right="151"/>
              <w:rPr>
                <w:color w:val="auto"/>
                <w:spacing w:val="-4"/>
                <w:sz w:val="21"/>
                <w:szCs w:val="21"/>
                <w:highlight w:val="none"/>
              </w:rPr>
            </w:pPr>
          </w:p>
          <w:p w14:paraId="555BC907">
            <w:pPr>
              <w:pStyle w:val="14"/>
              <w:spacing w:before="72"/>
              <w:ind w:right="151"/>
              <w:rPr>
                <w:color w:val="auto"/>
                <w:spacing w:val="-4"/>
                <w:sz w:val="21"/>
                <w:szCs w:val="21"/>
                <w:highlight w:val="none"/>
              </w:rPr>
            </w:pPr>
          </w:p>
          <w:p w14:paraId="0B18F1CB">
            <w:pPr>
              <w:pStyle w:val="14"/>
              <w:spacing w:before="72"/>
              <w:ind w:right="151"/>
              <w:rPr>
                <w:color w:val="auto"/>
                <w:spacing w:val="-4"/>
                <w:sz w:val="21"/>
                <w:szCs w:val="21"/>
                <w:highlight w:val="none"/>
              </w:rPr>
            </w:pPr>
          </w:p>
          <w:p w14:paraId="1F76ACE2">
            <w:pPr>
              <w:pStyle w:val="14"/>
              <w:spacing w:before="72"/>
              <w:ind w:right="151"/>
              <w:rPr>
                <w:color w:val="auto"/>
                <w:spacing w:val="-4"/>
                <w:sz w:val="21"/>
                <w:szCs w:val="21"/>
                <w:highlight w:val="none"/>
              </w:rPr>
            </w:pPr>
          </w:p>
          <w:p w14:paraId="46D3FE48">
            <w:pPr>
              <w:pStyle w:val="14"/>
              <w:spacing w:before="72"/>
              <w:ind w:right="151"/>
              <w:rPr>
                <w:color w:val="auto"/>
                <w:spacing w:val="-4"/>
                <w:sz w:val="21"/>
                <w:szCs w:val="21"/>
                <w:highlight w:val="none"/>
              </w:rPr>
            </w:pPr>
          </w:p>
          <w:p w14:paraId="0E811F62">
            <w:pPr>
              <w:pStyle w:val="14"/>
              <w:spacing w:before="72"/>
              <w:ind w:right="151"/>
              <w:rPr>
                <w:rFonts w:hint="default" w:eastAsia="宋体"/>
                <w:color w:val="auto"/>
                <w:spacing w:val="-4"/>
                <w:sz w:val="21"/>
                <w:szCs w:val="21"/>
                <w:highlight w:val="none"/>
                <w:lang w:val="en-US" w:eastAsia="zh-CN"/>
              </w:rPr>
            </w:pPr>
            <w:r>
              <w:rPr>
                <w:color w:val="auto"/>
                <w:spacing w:val="-4"/>
                <w:sz w:val="21"/>
                <w:szCs w:val="21"/>
                <w:highlight w:val="none"/>
              </w:rPr>
              <w:t>商务部分</w:t>
            </w:r>
            <w:r>
              <w:rPr>
                <w:rFonts w:hint="eastAsia" w:eastAsia="宋体"/>
                <w:color w:val="auto"/>
                <w:spacing w:val="2"/>
                <w:sz w:val="21"/>
                <w:szCs w:val="21"/>
                <w:highlight w:val="none"/>
                <w:lang w:val="en-US" w:eastAsia="zh-CN"/>
              </w:rPr>
              <w:t>25分</w:t>
            </w:r>
          </w:p>
        </w:tc>
        <w:tc>
          <w:tcPr>
            <w:tcW w:w="1370" w:type="dxa"/>
            <w:vMerge w:val="restart"/>
            <w:tcBorders>
              <w:left w:val="single" w:color="auto" w:sz="4" w:space="0"/>
            </w:tcBorders>
            <w:shd w:val="clear" w:color="auto" w:fill="auto"/>
            <w:vAlign w:val="top"/>
          </w:tcPr>
          <w:p w14:paraId="4883D78D">
            <w:pPr>
              <w:spacing w:line="259" w:lineRule="auto"/>
              <w:rPr>
                <w:rFonts w:ascii="Arial"/>
                <w:color w:val="auto"/>
                <w:sz w:val="21"/>
                <w:szCs w:val="21"/>
                <w:highlight w:val="none"/>
              </w:rPr>
            </w:pPr>
          </w:p>
          <w:p w14:paraId="514043AD">
            <w:pPr>
              <w:spacing w:line="259" w:lineRule="auto"/>
              <w:rPr>
                <w:rFonts w:ascii="Arial"/>
                <w:color w:val="auto"/>
                <w:sz w:val="21"/>
                <w:szCs w:val="21"/>
                <w:highlight w:val="none"/>
              </w:rPr>
            </w:pPr>
          </w:p>
          <w:p w14:paraId="369AA661">
            <w:pPr>
              <w:pStyle w:val="14"/>
              <w:spacing w:before="72" w:line="230" w:lineRule="auto"/>
              <w:ind w:right="105"/>
              <w:rPr>
                <w:color w:val="auto"/>
                <w:spacing w:val="-16"/>
                <w:sz w:val="21"/>
                <w:szCs w:val="21"/>
                <w:highlight w:val="none"/>
              </w:rPr>
            </w:pPr>
          </w:p>
          <w:p w14:paraId="398100FE">
            <w:pPr>
              <w:pStyle w:val="14"/>
              <w:spacing w:before="72" w:line="230" w:lineRule="auto"/>
              <w:ind w:right="105"/>
              <w:rPr>
                <w:color w:val="auto"/>
                <w:spacing w:val="-16"/>
                <w:sz w:val="21"/>
                <w:szCs w:val="21"/>
                <w:highlight w:val="none"/>
              </w:rPr>
            </w:pPr>
          </w:p>
          <w:p w14:paraId="065546D8">
            <w:pPr>
              <w:pStyle w:val="14"/>
              <w:spacing w:before="72" w:line="230" w:lineRule="auto"/>
              <w:ind w:right="105"/>
              <w:rPr>
                <w:color w:val="auto"/>
                <w:spacing w:val="-16"/>
                <w:sz w:val="21"/>
                <w:szCs w:val="21"/>
                <w:highlight w:val="none"/>
              </w:rPr>
            </w:pPr>
          </w:p>
          <w:p w14:paraId="67759B28">
            <w:pPr>
              <w:pStyle w:val="14"/>
              <w:spacing w:before="72" w:line="230" w:lineRule="auto"/>
              <w:ind w:right="105"/>
              <w:rPr>
                <w:color w:val="auto"/>
                <w:spacing w:val="-16"/>
                <w:sz w:val="21"/>
                <w:szCs w:val="21"/>
                <w:highlight w:val="none"/>
              </w:rPr>
            </w:pPr>
          </w:p>
          <w:p w14:paraId="7C859789">
            <w:pPr>
              <w:pStyle w:val="14"/>
              <w:spacing w:before="72" w:line="230" w:lineRule="auto"/>
              <w:ind w:right="105"/>
              <w:rPr>
                <w:color w:val="auto"/>
                <w:spacing w:val="-16"/>
                <w:sz w:val="21"/>
                <w:szCs w:val="21"/>
                <w:highlight w:val="none"/>
              </w:rPr>
            </w:pPr>
          </w:p>
          <w:p w14:paraId="179FC2A6">
            <w:pPr>
              <w:pStyle w:val="14"/>
              <w:spacing w:before="72" w:line="230" w:lineRule="auto"/>
              <w:ind w:right="105"/>
              <w:rPr>
                <w:color w:val="auto"/>
                <w:spacing w:val="-16"/>
                <w:sz w:val="21"/>
                <w:szCs w:val="21"/>
                <w:highlight w:val="none"/>
              </w:rPr>
            </w:pPr>
          </w:p>
          <w:p w14:paraId="198ECDCD">
            <w:pPr>
              <w:pStyle w:val="14"/>
              <w:spacing w:before="72" w:line="230" w:lineRule="auto"/>
              <w:ind w:right="105"/>
              <w:rPr>
                <w:color w:val="auto"/>
                <w:spacing w:val="-16"/>
                <w:sz w:val="21"/>
                <w:szCs w:val="21"/>
                <w:highlight w:val="none"/>
              </w:rPr>
            </w:pPr>
          </w:p>
          <w:p w14:paraId="6AF30A3F">
            <w:pPr>
              <w:pStyle w:val="14"/>
              <w:spacing w:before="72" w:line="230" w:lineRule="auto"/>
              <w:ind w:right="105" w:rightChars="0"/>
              <w:rPr>
                <w:rFonts w:ascii="Arial" w:hAnsi="Arial" w:eastAsia="Arial" w:cs="Arial"/>
                <w:snapToGrid w:val="0"/>
                <w:color w:val="auto"/>
                <w:kern w:val="0"/>
                <w:sz w:val="21"/>
                <w:szCs w:val="21"/>
                <w:highlight w:val="none"/>
                <w:lang w:val="en-US" w:eastAsia="en-US" w:bidi="ar-SA"/>
              </w:rPr>
            </w:pPr>
            <w:r>
              <w:rPr>
                <w:color w:val="auto"/>
                <w:spacing w:val="-16"/>
                <w:sz w:val="21"/>
                <w:szCs w:val="21"/>
                <w:highlight w:val="none"/>
              </w:rPr>
              <w:t>项目团队（</w:t>
            </w:r>
            <w:r>
              <w:rPr>
                <w:rFonts w:hint="eastAsia" w:eastAsia="宋体"/>
                <w:color w:val="auto"/>
                <w:spacing w:val="-16"/>
                <w:sz w:val="21"/>
                <w:szCs w:val="21"/>
                <w:highlight w:val="none"/>
                <w:lang w:val="en-US" w:eastAsia="zh-CN"/>
              </w:rPr>
              <w:t>18</w:t>
            </w:r>
            <w:r>
              <w:rPr>
                <w:color w:val="auto"/>
                <w:spacing w:val="5"/>
                <w:sz w:val="21"/>
                <w:szCs w:val="21"/>
                <w:highlight w:val="none"/>
              </w:rPr>
              <w:t xml:space="preserve"> </w:t>
            </w:r>
            <w:r>
              <w:rPr>
                <w:color w:val="auto"/>
                <w:spacing w:val="-6"/>
                <w:sz w:val="21"/>
                <w:szCs w:val="21"/>
                <w:highlight w:val="none"/>
              </w:rPr>
              <w:t>分）</w:t>
            </w:r>
          </w:p>
        </w:tc>
        <w:tc>
          <w:tcPr>
            <w:tcW w:w="5849" w:type="dxa"/>
            <w:shd w:val="clear" w:color="auto" w:fill="auto"/>
            <w:vAlign w:val="top"/>
          </w:tcPr>
          <w:p w14:paraId="20576A61">
            <w:pPr>
              <w:pStyle w:val="14"/>
              <w:spacing w:before="34" w:line="221" w:lineRule="auto"/>
              <w:ind w:left="533"/>
              <w:rPr>
                <w:rFonts w:ascii="Times New Roman" w:hAnsi="Times New Roman" w:eastAsia="Times New Roman" w:cs="Times New Roman"/>
                <w:color w:val="auto"/>
                <w:highlight w:val="none"/>
                <w:lang w:eastAsia="zh-CN"/>
              </w:rPr>
            </w:pPr>
            <w:r>
              <w:rPr>
                <w:b/>
                <w:bCs/>
                <w:color w:val="auto"/>
                <w:spacing w:val="7"/>
                <w:highlight w:val="none"/>
                <w:lang w:eastAsia="zh-CN"/>
              </w:rPr>
              <w:t>全过程工程咨询项目总负责人</w:t>
            </w:r>
            <w:r>
              <w:rPr>
                <w:rFonts w:ascii="Times New Roman" w:hAnsi="Times New Roman" w:eastAsia="Times New Roman" w:cs="Times New Roman"/>
                <w:b/>
                <w:bCs/>
                <w:color w:val="auto"/>
                <w:spacing w:val="7"/>
                <w:highlight w:val="none"/>
                <w:lang w:eastAsia="zh-CN"/>
              </w:rPr>
              <w:t>(</w:t>
            </w:r>
            <w:r>
              <w:rPr>
                <w:rFonts w:hint="eastAsia" w:ascii="Times New Roman" w:hAnsi="Times New Roman" w:eastAsia="Times New Roman" w:cs="Times New Roman"/>
                <w:b/>
                <w:bCs/>
                <w:color w:val="auto"/>
                <w:spacing w:val="7"/>
                <w:highlight w:val="none"/>
                <w:lang w:val="en-US" w:eastAsia="zh-CN"/>
              </w:rPr>
              <w:t>3</w:t>
            </w:r>
            <w:r>
              <w:rPr>
                <w:b/>
                <w:bCs/>
                <w:color w:val="auto"/>
                <w:spacing w:val="7"/>
                <w:highlight w:val="none"/>
                <w:lang w:eastAsia="zh-CN"/>
              </w:rPr>
              <w:t>分</w:t>
            </w:r>
            <w:r>
              <w:rPr>
                <w:rFonts w:ascii="Times New Roman" w:hAnsi="Times New Roman" w:eastAsia="Times New Roman" w:cs="Times New Roman"/>
                <w:b/>
                <w:bCs/>
                <w:color w:val="auto"/>
                <w:spacing w:val="7"/>
                <w:highlight w:val="none"/>
                <w:lang w:eastAsia="zh-CN"/>
              </w:rPr>
              <w:t>)</w:t>
            </w:r>
          </w:p>
          <w:p w14:paraId="72C0C95A">
            <w:pPr>
              <w:pStyle w:val="14"/>
              <w:spacing w:before="34" w:line="238" w:lineRule="auto"/>
              <w:ind w:left="113" w:right="106" w:firstLine="441"/>
              <w:rPr>
                <w:color w:val="auto"/>
                <w:highlight w:val="none"/>
                <w:lang w:eastAsia="zh-CN"/>
              </w:rPr>
            </w:pPr>
            <w:r>
              <w:rPr>
                <w:color w:val="auto"/>
                <w:spacing w:val="-3"/>
                <w:highlight w:val="none"/>
                <w:lang w:eastAsia="zh-CN"/>
              </w:rPr>
              <w:t>①供应商拟派项目总负责人（总咨询师）具备</w:t>
            </w:r>
            <w:r>
              <w:rPr>
                <w:color w:val="auto"/>
                <w:spacing w:val="-4"/>
                <w:highlight w:val="none"/>
                <w:lang w:eastAsia="zh-CN"/>
              </w:rPr>
              <w:t>注册</w:t>
            </w:r>
            <w:r>
              <w:rPr>
                <w:color w:val="auto"/>
                <w:spacing w:val="-1"/>
                <w:highlight w:val="none"/>
                <w:lang w:eastAsia="zh-CN"/>
              </w:rPr>
              <w:t>监理工程师</w:t>
            </w:r>
            <w:r>
              <w:rPr>
                <w:color w:val="auto"/>
                <w:spacing w:val="-3"/>
                <w:highlight w:val="none"/>
                <w:lang w:eastAsia="zh-CN"/>
              </w:rPr>
              <w:t>、一级注册</w:t>
            </w:r>
            <w:r>
              <w:rPr>
                <w:rFonts w:hint="eastAsia"/>
                <w:color w:val="auto"/>
                <w:spacing w:val="-3"/>
                <w:highlight w:val="none"/>
                <w:lang w:eastAsia="zh-CN"/>
              </w:rPr>
              <w:t>结构</w:t>
            </w:r>
            <w:r>
              <w:rPr>
                <w:color w:val="auto"/>
                <w:spacing w:val="-3"/>
                <w:highlight w:val="none"/>
                <w:lang w:eastAsia="zh-CN"/>
              </w:rPr>
              <w:t>师、</w:t>
            </w:r>
            <w:r>
              <w:rPr>
                <w:rFonts w:hint="eastAsia"/>
                <w:color w:val="auto"/>
                <w:spacing w:val="-3"/>
                <w:highlight w:val="none"/>
                <w:lang w:eastAsia="zh-CN"/>
              </w:rPr>
              <w:t>土</w:t>
            </w:r>
            <w:r>
              <w:rPr>
                <w:rFonts w:hint="eastAsia"/>
                <w:color w:val="auto"/>
                <w:spacing w:val="-3"/>
                <w:highlight w:val="none"/>
                <w:lang w:val="en-US" w:eastAsia="zh-CN"/>
              </w:rPr>
              <w:t>木</w:t>
            </w:r>
            <w:r>
              <w:rPr>
                <w:rFonts w:hint="eastAsia"/>
                <w:color w:val="auto"/>
                <w:spacing w:val="-3"/>
                <w:highlight w:val="none"/>
                <w:lang w:eastAsia="zh-CN"/>
              </w:rPr>
              <w:t>工程师、</w:t>
            </w:r>
            <w:r>
              <w:rPr>
                <w:rFonts w:hint="eastAsia"/>
                <w:color w:val="auto"/>
                <w:spacing w:val="-3"/>
                <w:highlight w:val="none"/>
                <w:lang w:val="en-US" w:eastAsia="zh-CN"/>
              </w:rPr>
              <w:t>一级注册建筑师、</w:t>
            </w:r>
            <w:r>
              <w:rPr>
                <w:rFonts w:hint="eastAsia"/>
                <w:color w:val="auto"/>
                <w:spacing w:val="-3"/>
                <w:highlight w:val="none"/>
                <w:lang w:eastAsia="zh-CN"/>
              </w:rPr>
              <w:t>注册公用设备工程师</w:t>
            </w:r>
            <w:r>
              <w:rPr>
                <w:color w:val="auto"/>
                <w:spacing w:val="-3"/>
                <w:highlight w:val="none"/>
                <w:lang w:eastAsia="zh-CN"/>
              </w:rPr>
              <w:t>、</w:t>
            </w:r>
            <w:r>
              <w:rPr>
                <w:color w:val="auto"/>
                <w:spacing w:val="7"/>
                <w:highlight w:val="none"/>
                <w:lang w:eastAsia="zh-CN"/>
              </w:rPr>
              <w:t>执业资格其中任意一项得</w:t>
            </w:r>
            <w:r>
              <w:rPr>
                <w:color w:val="auto"/>
                <w:spacing w:val="-24"/>
                <w:highlight w:val="none"/>
                <w:lang w:eastAsia="zh-CN"/>
              </w:rPr>
              <w:t xml:space="preserve"> </w:t>
            </w:r>
            <w:r>
              <w:rPr>
                <w:color w:val="auto"/>
                <w:spacing w:val="7"/>
                <w:highlight w:val="none"/>
                <w:lang w:eastAsia="zh-CN"/>
              </w:rPr>
              <w:t>1</w:t>
            </w:r>
            <w:r>
              <w:rPr>
                <w:color w:val="auto"/>
                <w:spacing w:val="-35"/>
                <w:highlight w:val="none"/>
                <w:lang w:eastAsia="zh-CN"/>
              </w:rPr>
              <w:t xml:space="preserve"> </w:t>
            </w:r>
            <w:r>
              <w:rPr>
                <w:color w:val="auto"/>
                <w:spacing w:val="7"/>
                <w:highlight w:val="none"/>
                <w:lang w:eastAsia="zh-CN"/>
              </w:rPr>
              <w:t>分</w:t>
            </w:r>
            <w:r>
              <w:rPr>
                <w:color w:val="auto"/>
                <w:spacing w:val="6"/>
                <w:highlight w:val="none"/>
                <w:lang w:eastAsia="zh-CN"/>
              </w:rPr>
              <w:t>；同时具备</w:t>
            </w:r>
            <w:r>
              <w:rPr>
                <w:color w:val="auto"/>
                <w:spacing w:val="7"/>
                <w:highlight w:val="none"/>
                <w:lang w:eastAsia="zh-CN"/>
              </w:rPr>
              <w:t>上述执业资格中任意两项及以上的得</w:t>
            </w:r>
            <w:r>
              <w:rPr>
                <w:color w:val="auto"/>
                <w:spacing w:val="-27"/>
                <w:highlight w:val="none"/>
                <w:lang w:eastAsia="zh-CN"/>
              </w:rPr>
              <w:t xml:space="preserve"> </w:t>
            </w:r>
            <w:r>
              <w:rPr>
                <w:color w:val="auto"/>
                <w:spacing w:val="7"/>
                <w:highlight w:val="none"/>
                <w:lang w:eastAsia="zh-CN"/>
              </w:rPr>
              <w:t>2</w:t>
            </w:r>
            <w:r>
              <w:rPr>
                <w:color w:val="auto"/>
                <w:spacing w:val="-35"/>
                <w:highlight w:val="none"/>
                <w:lang w:eastAsia="zh-CN"/>
              </w:rPr>
              <w:t xml:space="preserve"> </w:t>
            </w:r>
            <w:r>
              <w:rPr>
                <w:color w:val="auto"/>
                <w:spacing w:val="7"/>
                <w:highlight w:val="none"/>
                <w:lang w:eastAsia="zh-CN"/>
              </w:rPr>
              <w:t>分；</w:t>
            </w:r>
          </w:p>
          <w:p w14:paraId="1B2F1451">
            <w:pPr>
              <w:pStyle w:val="14"/>
              <w:spacing w:before="37" w:line="220" w:lineRule="auto"/>
              <w:ind w:left="120" w:firstLine="204" w:firstLineChars="100"/>
              <w:rPr>
                <w:rFonts w:ascii="Arial" w:hAnsi="Arial" w:eastAsia="Arial" w:cs="Arial"/>
                <w:snapToGrid w:val="0"/>
                <w:color w:val="auto"/>
                <w:kern w:val="0"/>
                <w:sz w:val="21"/>
                <w:szCs w:val="21"/>
                <w:highlight w:val="none"/>
                <w:lang w:val="en-US" w:eastAsia="en-US" w:bidi="ar-SA"/>
              </w:rPr>
            </w:pPr>
            <w:r>
              <w:rPr>
                <w:color w:val="auto"/>
                <w:spacing w:val="-3"/>
                <w:highlight w:val="none"/>
                <w:lang w:eastAsia="zh-CN"/>
              </w:rPr>
              <w:t>②项目总负责人（总咨询师）具备高级工程师职称</w:t>
            </w:r>
            <w:r>
              <w:rPr>
                <w:b/>
                <w:bCs/>
                <w:color w:val="auto"/>
                <w:spacing w:val="-4"/>
                <w:highlight w:val="none"/>
                <w:lang w:eastAsia="zh-CN"/>
              </w:rPr>
              <w:t>（</w:t>
            </w:r>
            <w:r>
              <w:rPr>
                <w:rFonts w:hint="eastAsia"/>
                <w:b/>
                <w:bCs/>
                <w:color w:val="auto"/>
                <w:spacing w:val="-4"/>
                <w:highlight w:val="none"/>
                <w:lang w:val="en-US" w:eastAsia="zh-CN"/>
              </w:rPr>
              <w:t>工程类副高级及以上</w:t>
            </w:r>
            <w:r>
              <w:rPr>
                <w:b/>
                <w:bCs/>
                <w:color w:val="auto"/>
                <w:spacing w:val="-3"/>
                <w:highlight w:val="none"/>
                <w:lang w:eastAsia="zh-CN"/>
              </w:rPr>
              <w:t>）</w:t>
            </w:r>
            <w:r>
              <w:rPr>
                <w:color w:val="auto"/>
                <w:spacing w:val="-3"/>
                <w:highlight w:val="none"/>
                <w:lang w:eastAsia="zh-CN"/>
              </w:rPr>
              <w:t>得 1 分；</w:t>
            </w:r>
          </w:p>
        </w:tc>
      </w:tr>
      <w:tr w14:paraId="63378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653" w:type="dxa"/>
            <w:vMerge w:val="continue"/>
            <w:tcBorders>
              <w:left w:val="single" w:color="auto" w:sz="4" w:space="0"/>
            </w:tcBorders>
            <w:vAlign w:val="top"/>
          </w:tcPr>
          <w:p w14:paraId="7CFDF9BC">
            <w:pPr>
              <w:rPr>
                <w:rFonts w:ascii="Arial"/>
                <w:color w:val="auto"/>
                <w:sz w:val="21"/>
                <w:szCs w:val="21"/>
                <w:highlight w:val="none"/>
              </w:rPr>
            </w:pPr>
          </w:p>
        </w:tc>
        <w:tc>
          <w:tcPr>
            <w:tcW w:w="850" w:type="dxa"/>
            <w:vMerge w:val="continue"/>
            <w:tcBorders>
              <w:right w:val="single" w:color="auto" w:sz="4" w:space="0"/>
            </w:tcBorders>
            <w:vAlign w:val="top"/>
          </w:tcPr>
          <w:p w14:paraId="4206E75A">
            <w:pPr>
              <w:rPr>
                <w:rFonts w:ascii="Arial"/>
                <w:color w:val="auto"/>
                <w:sz w:val="21"/>
                <w:szCs w:val="21"/>
                <w:highlight w:val="none"/>
              </w:rPr>
            </w:pPr>
          </w:p>
        </w:tc>
        <w:tc>
          <w:tcPr>
            <w:tcW w:w="1370" w:type="dxa"/>
            <w:vMerge w:val="continue"/>
            <w:tcBorders>
              <w:left w:val="single" w:color="auto" w:sz="4" w:space="0"/>
            </w:tcBorders>
            <w:vAlign w:val="top"/>
          </w:tcPr>
          <w:p w14:paraId="4FB43C6C">
            <w:pPr>
              <w:pStyle w:val="14"/>
              <w:spacing w:before="71" w:line="230" w:lineRule="auto"/>
              <w:ind w:left="313" w:right="168" w:hanging="138"/>
              <w:rPr>
                <w:color w:val="auto"/>
                <w:spacing w:val="-2"/>
                <w:sz w:val="21"/>
                <w:szCs w:val="21"/>
                <w:highlight w:val="none"/>
              </w:rPr>
            </w:pPr>
          </w:p>
        </w:tc>
        <w:tc>
          <w:tcPr>
            <w:tcW w:w="5849" w:type="dxa"/>
            <w:shd w:val="clear" w:color="auto" w:fill="auto"/>
            <w:vAlign w:val="top"/>
          </w:tcPr>
          <w:p w14:paraId="7B514F9A">
            <w:pPr>
              <w:pStyle w:val="14"/>
              <w:spacing w:before="32" w:line="220" w:lineRule="auto"/>
              <w:ind w:left="558"/>
              <w:rPr>
                <w:color w:val="auto"/>
                <w:highlight w:val="none"/>
                <w:lang w:eastAsia="zh-CN"/>
              </w:rPr>
            </w:pPr>
            <w:r>
              <w:rPr>
                <w:b/>
                <w:bCs/>
                <w:color w:val="auto"/>
                <w:spacing w:val="-4"/>
                <w:highlight w:val="none"/>
                <w:lang w:eastAsia="zh-CN"/>
              </w:rPr>
              <w:t>项目管理专业人员配置情况（</w:t>
            </w:r>
            <w:r>
              <w:rPr>
                <w:rFonts w:hint="eastAsia"/>
                <w:b/>
                <w:bCs/>
                <w:color w:val="auto"/>
                <w:spacing w:val="-4"/>
                <w:highlight w:val="none"/>
                <w:lang w:val="en-US" w:eastAsia="zh-CN"/>
              </w:rPr>
              <w:t>6</w:t>
            </w:r>
            <w:r>
              <w:rPr>
                <w:b/>
                <w:bCs/>
                <w:color w:val="auto"/>
                <w:spacing w:val="-4"/>
                <w:highlight w:val="none"/>
                <w:lang w:eastAsia="zh-CN"/>
              </w:rPr>
              <w:t>分）</w:t>
            </w:r>
          </w:p>
          <w:p w14:paraId="33232A72">
            <w:pPr>
              <w:pStyle w:val="14"/>
              <w:spacing w:before="21" w:line="233" w:lineRule="auto"/>
              <w:ind w:left="113" w:right="106" w:firstLine="440"/>
              <w:rPr>
                <w:color w:val="auto"/>
                <w:spacing w:val="5"/>
                <w:highlight w:val="none"/>
                <w:lang w:eastAsia="zh-CN"/>
              </w:rPr>
            </w:pPr>
            <w:r>
              <w:rPr>
                <w:rFonts w:hint="eastAsia"/>
                <w:color w:val="auto"/>
                <w:spacing w:val="5"/>
                <w:highlight w:val="none"/>
                <w:lang w:val="en-US" w:eastAsia="zh-CN"/>
              </w:rPr>
              <w:t>1、</w:t>
            </w:r>
            <w:r>
              <w:rPr>
                <w:color w:val="auto"/>
                <w:spacing w:val="5"/>
                <w:highlight w:val="none"/>
                <w:lang w:eastAsia="zh-CN"/>
              </w:rPr>
              <w:t>①项目管理负责人具备</w:t>
            </w:r>
            <w:r>
              <w:rPr>
                <w:color w:val="auto"/>
                <w:spacing w:val="-3"/>
                <w:highlight w:val="none"/>
                <w:lang w:eastAsia="zh-CN"/>
              </w:rPr>
              <w:t>注</w:t>
            </w:r>
            <w:r>
              <w:rPr>
                <w:color w:val="auto"/>
                <w:spacing w:val="5"/>
                <w:highlight w:val="none"/>
                <w:lang w:eastAsia="zh-CN"/>
              </w:rPr>
              <w:t>册监理工程师</w:t>
            </w:r>
            <w:r>
              <w:rPr>
                <w:rFonts w:hint="eastAsia"/>
                <w:color w:val="auto"/>
                <w:spacing w:val="5"/>
                <w:highlight w:val="none"/>
                <w:lang w:eastAsia="zh-CN"/>
              </w:rPr>
              <w:t>、</w:t>
            </w:r>
            <w:r>
              <w:rPr>
                <w:color w:val="auto"/>
                <w:spacing w:val="5"/>
                <w:highlight w:val="none"/>
                <w:lang w:eastAsia="zh-CN"/>
              </w:rPr>
              <w:t>一级注册</w:t>
            </w:r>
            <w:r>
              <w:rPr>
                <w:rFonts w:hint="eastAsia"/>
                <w:color w:val="auto"/>
                <w:spacing w:val="5"/>
                <w:highlight w:val="none"/>
                <w:lang w:eastAsia="zh-CN"/>
              </w:rPr>
              <w:t>结构</w:t>
            </w:r>
            <w:r>
              <w:rPr>
                <w:color w:val="auto"/>
                <w:spacing w:val="5"/>
                <w:highlight w:val="none"/>
                <w:lang w:eastAsia="zh-CN"/>
              </w:rPr>
              <w:t>师、</w:t>
            </w:r>
            <w:r>
              <w:rPr>
                <w:rFonts w:hint="eastAsia"/>
                <w:color w:val="auto"/>
                <w:spacing w:val="5"/>
                <w:highlight w:val="none"/>
                <w:lang w:val="en-US" w:eastAsia="zh-CN"/>
              </w:rPr>
              <w:t>一级注册建筑师、</w:t>
            </w:r>
            <w:r>
              <w:rPr>
                <w:rFonts w:hint="eastAsia"/>
                <w:color w:val="auto"/>
                <w:spacing w:val="5"/>
                <w:highlight w:val="none"/>
                <w:lang w:eastAsia="zh-CN"/>
              </w:rPr>
              <w:t>注册公用设备工程师</w:t>
            </w:r>
            <w:r>
              <w:rPr>
                <w:color w:val="auto"/>
                <w:spacing w:val="5"/>
                <w:highlight w:val="none"/>
                <w:lang w:eastAsia="zh-CN"/>
              </w:rPr>
              <w:t>、其中一项</w:t>
            </w:r>
            <w:r>
              <w:rPr>
                <w:rFonts w:hint="eastAsia"/>
                <w:color w:val="auto"/>
                <w:spacing w:val="5"/>
                <w:highlight w:val="none"/>
                <w:lang w:val="en-US" w:eastAsia="zh-CN"/>
              </w:rPr>
              <w:t>执业</w:t>
            </w:r>
            <w:r>
              <w:rPr>
                <w:color w:val="auto"/>
                <w:spacing w:val="5"/>
                <w:highlight w:val="none"/>
                <w:lang w:eastAsia="zh-CN"/>
              </w:rPr>
              <w:t>得 1 分</w:t>
            </w:r>
            <w:r>
              <w:rPr>
                <w:rFonts w:hint="eastAsia"/>
                <w:color w:val="auto"/>
                <w:spacing w:val="5"/>
                <w:highlight w:val="none"/>
                <w:lang w:eastAsia="zh-CN"/>
              </w:rPr>
              <w:t>，同时具有得</w:t>
            </w:r>
            <w:r>
              <w:rPr>
                <w:color w:val="auto"/>
                <w:spacing w:val="5"/>
                <w:highlight w:val="none"/>
                <w:lang w:eastAsia="zh-CN"/>
              </w:rPr>
              <w:t xml:space="preserve"> 2 </w:t>
            </w:r>
            <w:r>
              <w:rPr>
                <w:rFonts w:hint="eastAsia"/>
                <w:color w:val="auto"/>
                <w:spacing w:val="5"/>
                <w:highlight w:val="none"/>
                <w:lang w:eastAsia="zh-CN"/>
              </w:rPr>
              <w:t>分</w:t>
            </w:r>
            <w:r>
              <w:rPr>
                <w:color w:val="auto"/>
                <w:spacing w:val="5"/>
                <w:highlight w:val="none"/>
                <w:lang w:eastAsia="zh-CN"/>
              </w:rPr>
              <w:t>；</w:t>
            </w:r>
          </w:p>
          <w:p w14:paraId="5380E459">
            <w:pPr>
              <w:pStyle w:val="14"/>
              <w:spacing w:before="25" w:line="229" w:lineRule="auto"/>
              <w:ind w:left="114" w:right="61" w:firstLine="438"/>
              <w:rPr>
                <w:color w:val="auto"/>
                <w:spacing w:val="-3"/>
                <w:highlight w:val="none"/>
                <w:lang w:eastAsia="zh-CN"/>
              </w:rPr>
            </w:pPr>
            <w:r>
              <w:rPr>
                <w:color w:val="auto"/>
                <w:spacing w:val="-1"/>
                <w:highlight w:val="none"/>
                <w:lang w:eastAsia="zh-CN"/>
              </w:rPr>
              <w:t>②项目管理负责人</w:t>
            </w:r>
            <w:r>
              <w:rPr>
                <w:color w:val="auto"/>
                <w:spacing w:val="-3"/>
                <w:highlight w:val="none"/>
                <w:lang w:eastAsia="zh-CN"/>
              </w:rPr>
              <w:t>具有高级职称</w:t>
            </w:r>
            <w:r>
              <w:rPr>
                <w:b/>
                <w:bCs/>
                <w:color w:val="auto"/>
                <w:spacing w:val="-4"/>
                <w:highlight w:val="none"/>
                <w:lang w:eastAsia="zh-CN"/>
              </w:rPr>
              <w:t>（</w:t>
            </w:r>
            <w:r>
              <w:rPr>
                <w:rFonts w:hint="eastAsia"/>
                <w:b/>
                <w:bCs/>
                <w:color w:val="auto"/>
                <w:spacing w:val="-4"/>
                <w:highlight w:val="none"/>
                <w:lang w:val="en-US" w:eastAsia="zh-CN"/>
              </w:rPr>
              <w:t>工程类副高级及以上</w:t>
            </w:r>
            <w:r>
              <w:rPr>
                <w:b/>
                <w:bCs/>
                <w:color w:val="auto"/>
                <w:spacing w:val="-3"/>
                <w:highlight w:val="none"/>
                <w:lang w:eastAsia="zh-CN"/>
              </w:rPr>
              <w:t>）</w:t>
            </w:r>
            <w:r>
              <w:rPr>
                <w:color w:val="auto"/>
                <w:spacing w:val="-3"/>
                <w:highlight w:val="none"/>
                <w:lang w:eastAsia="zh-CN"/>
              </w:rPr>
              <w:t xml:space="preserve">得 </w:t>
            </w:r>
            <w:r>
              <w:rPr>
                <w:rFonts w:hint="eastAsia"/>
                <w:color w:val="auto"/>
                <w:spacing w:val="-3"/>
                <w:highlight w:val="none"/>
                <w:lang w:eastAsia="zh-CN"/>
              </w:rPr>
              <w:t>1</w:t>
            </w:r>
            <w:r>
              <w:rPr>
                <w:color w:val="auto"/>
                <w:spacing w:val="-3"/>
                <w:highlight w:val="none"/>
                <w:lang w:eastAsia="zh-CN"/>
              </w:rPr>
              <w:t xml:space="preserve"> 分；</w:t>
            </w:r>
          </w:p>
          <w:p w14:paraId="0CB36079">
            <w:pPr>
              <w:pStyle w:val="14"/>
              <w:spacing w:before="23" w:line="230" w:lineRule="auto"/>
              <w:ind w:left="135" w:right="95" w:firstLine="418"/>
              <w:rPr>
                <w:rFonts w:hint="default"/>
                <w:color w:val="auto"/>
                <w:spacing w:val="-4"/>
                <w:highlight w:val="none"/>
                <w:lang w:val="en-US" w:eastAsia="zh-CN"/>
              </w:rPr>
            </w:pPr>
            <w:r>
              <w:rPr>
                <w:rFonts w:hint="eastAsia"/>
                <w:color w:val="auto"/>
                <w:spacing w:val="-4"/>
                <w:highlight w:val="none"/>
                <w:lang w:val="en-US" w:eastAsia="zh-CN"/>
              </w:rPr>
              <w:t>2、</w:t>
            </w:r>
            <w:r>
              <w:rPr>
                <w:color w:val="auto"/>
                <w:spacing w:val="5"/>
                <w:highlight w:val="none"/>
                <w:lang w:eastAsia="zh-CN"/>
              </w:rPr>
              <w:t>①</w:t>
            </w:r>
            <w:r>
              <w:rPr>
                <w:color w:val="auto"/>
                <w:spacing w:val="-4"/>
                <w:highlight w:val="none"/>
                <w:lang w:eastAsia="zh-CN"/>
              </w:rPr>
              <w:t>项目设计管理</w:t>
            </w:r>
            <w:r>
              <w:rPr>
                <w:rFonts w:hint="eastAsia"/>
                <w:color w:val="auto"/>
                <w:spacing w:val="-4"/>
                <w:highlight w:val="none"/>
                <w:lang w:val="en-US" w:eastAsia="zh-CN"/>
              </w:rPr>
              <w:t>人员具备注册监理工程师得1分，另配备</w:t>
            </w:r>
            <w:r>
              <w:rPr>
                <w:color w:val="auto"/>
                <w:spacing w:val="-4"/>
                <w:highlight w:val="none"/>
                <w:lang w:eastAsia="zh-CN"/>
              </w:rPr>
              <w:t>一级注册</w:t>
            </w:r>
            <w:r>
              <w:rPr>
                <w:rFonts w:hint="eastAsia"/>
                <w:color w:val="auto"/>
                <w:spacing w:val="-4"/>
                <w:highlight w:val="none"/>
                <w:lang w:eastAsia="zh-CN"/>
              </w:rPr>
              <w:t>结构</w:t>
            </w:r>
            <w:r>
              <w:rPr>
                <w:color w:val="auto"/>
                <w:spacing w:val="-4"/>
                <w:highlight w:val="none"/>
                <w:lang w:eastAsia="zh-CN"/>
              </w:rPr>
              <w:t>师、</w:t>
            </w:r>
            <w:r>
              <w:rPr>
                <w:rFonts w:hint="eastAsia"/>
                <w:color w:val="auto"/>
                <w:spacing w:val="-4"/>
                <w:highlight w:val="none"/>
                <w:lang w:val="en-US" w:eastAsia="zh-CN"/>
              </w:rPr>
              <w:t>一级注册建筑师、</w:t>
            </w:r>
            <w:r>
              <w:rPr>
                <w:rFonts w:hint="eastAsia"/>
                <w:color w:val="auto"/>
                <w:spacing w:val="-4"/>
                <w:highlight w:val="none"/>
                <w:lang w:eastAsia="zh-CN"/>
              </w:rPr>
              <w:t>注册公用设备工程师</w:t>
            </w:r>
            <w:r>
              <w:rPr>
                <w:color w:val="auto"/>
                <w:spacing w:val="-4"/>
                <w:highlight w:val="none"/>
                <w:lang w:eastAsia="zh-CN"/>
              </w:rPr>
              <w:t>、</w:t>
            </w:r>
            <w:r>
              <w:rPr>
                <w:rFonts w:hint="eastAsia"/>
                <w:color w:val="auto"/>
                <w:spacing w:val="-4"/>
                <w:highlight w:val="none"/>
                <w:lang w:eastAsia="zh-CN"/>
              </w:rPr>
              <w:t>注册土木工程师</w:t>
            </w:r>
            <w:r>
              <w:rPr>
                <w:rFonts w:hint="eastAsia"/>
                <w:color w:val="auto"/>
                <w:spacing w:val="-4"/>
                <w:highlight w:val="none"/>
                <w:lang w:val="en-US" w:eastAsia="zh-CN"/>
              </w:rPr>
              <w:t>其中一项执业</w:t>
            </w:r>
            <w:r>
              <w:rPr>
                <w:color w:val="auto"/>
                <w:spacing w:val="-4"/>
                <w:highlight w:val="none"/>
                <w:lang w:eastAsia="zh-CN"/>
              </w:rPr>
              <w:t>资格</w:t>
            </w:r>
            <w:r>
              <w:rPr>
                <w:rFonts w:hint="eastAsia"/>
                <w:color w:val="auto"/>
                <w:spacing w:val="-4"/>
                <w:highlight w:val="none"/>
                <w:lang w:val="en-US" w:eastAsia="zh-CN"/>
              </w:rPr>
              <w:t>的人员</w:t>
            </w:r>
            <w:r>
              <w:rPr>
                <w:color w:val="auto"/>
                <w:spacing w:val="-4"/>
                <w:highlight w:val="none"/>
                <w:lang w:eastAsia="zh-CN"/>
              </w:rPr>
              <w:t xml:space="preserve">得 1 分， </w:t>
            </w:r>
            <w:r>
              <w:rPr>
                <w:rFonts w:hint="eastAsia"/>
                <w:color w:val="auto"/>
                <w:spacing w:val="-4"/>
                <w:highlight w:val="none"/>
                <w:lang w:val="en-US" w:eastAsia="zh-CN"/>
              </w:rPr>
              <w:t>最多得2分。</w:t>
            </w:r>
          </w:p>
          <w:p w14:paraId="0513175E">
            <w:pPr>
              <w:pStyle w:val="14"/>
              <w:spacing w:before="23" w:line="230" w:lineRule="auto"/>
              <w:ind w:left="135" w:right="95" w:firstLine="418"/>
              <w:rPr>
                <w:color w:val="auto"/>
                <w:spacing w:val="-5"/>
                <w:highlight w:val="none"/>
                <w:lang w:eastAsia="zh-CN"/>
              </w:rPr>
            </w:pPr>
            <w:r>
              <w:rPr>
                <w:color w:val="auto"/>
                <w:spacing w:val="-1"/>
                <w:highlight w:val="none"/>
                <w:lang w:eastAsia="zh-CN"/>
              </w:rPr>
              <w:t>②</w:t>
            </w:r>
            <w:r>
              <w:rPr>
                <w:color w:val="auto"/>
                <w:spacing w:val="-3"/>
                <w:highlight w:val="none"/>
                <w:lang w:eastAsia="zh-CN"/>
              </w:rPr>
              <w:t>同时具有</w:t>
            </w:r>
            <w:r>
              <w:rPr>
                <w:b/>
                <w:bCs/>
                <w:color w:val="auto"/>
                <w:spacing w:val="-3"/>
                <w:highlight w:val="none"/>
                <w:lang w:eastAsia="zh-CN"/>
              </w:rPr>
              <w:t>工程类</w:t>
            </w:r>
            <w:r>
              <w:rPr>
                <w:rFonts w:hint="eastAsia"/>
                <w:b/>
                <w:bCs/>
                <w:color w:val="auto"/>
                <w:spacing w:val="-3"/>
                <w:highlight w:val="none"/>
                <w:lang w:val="en-US" w:eastAsia="zh-CN"/>
              </w:rPr>
              <w:t>副高</w:t>
            </w:r>
            <w:r>
              <w:rPr>
                <w:b/>
                <w:bCs/>
                <w:color w:val="auto"/>
                <w:spacing w:val="-3"/>
                <w:highlight w:val="none"/>
                <w:lang w:eastAsia="zh-CN"/>
              </w:rPr>
              <w:t>级</w:t>
            </w:r>
            <w:r>
              <w:rPr>
                <w:rFonts w:hint="eastAsia"/>
                <w:b/>
                <w:bCs/>
                <w:color w:val="auto"/>
                <w:spacing w:val="-4"/>
                <w:highlight w:val="none"/>
                <w:lang w:val="en-US" w:eastAsia="zh-CN"/>
              </w:rPr>
              <w:t>及以</w:t>
            </w:r>
            <w:r>
              <w:rPr>
                <w:b/>
                <w:bCs/>
                <w:color w:val="auto"/>
                <w:spacing w:val="-3"/>
                <w:highlight w:val="none"/>
                <w:lang w:eastAsia="zh-CN"/>
              </w:rPr>
              <w:t>上</w:t>
            </w:r>
            <w:r>
              <w:rPr>
                <w:color w:val="auto"/>
                <w:spacing w:val="-3"/>
                <w:highlight w:val="none"/>
                <w:lang w:eastAsia="zh-CN"/>
              </w:rPr>
              <w:t>职称得</w:t>
            </w:r>
            <w:r>
              <w:rPr>
                <w:color w:val="auto"/>
                <w:spacing w:val="-42"/>
                <w:highlight w:val="none"/>
                <w:lang w:eastAsia="zh-CN"/>
              </w:rPr>
              <w:t xml:space="preserve"> </w:t>
            </w:r>
            <w:r>
              <w:rPr>
                <w:rFonts w:hint="eastAsia"/>
                <w:color w:val="auto"/>
                <w:spacing w:val="-42"/>
                <w:highlight w:val="none"/>
                <w:lang w:val="en-US" w:eastAsia="zh-CN"/>
              </w:rPr>
              <w:t>1</w:t>
            </w:r>
            <w:r>
              <w:rPr>
                <w:color w:val="auto"/>
                <w:spacing w:val="-44"/>
                <w:highlight w:val="none"/>
                <w:lang w:eastAsia="zh-CN"/>
              </w:rPr>
              <w:t xml:space="preserve"> </w:t>
            </w:r>
            <w:r>
              <w:rPr>
                <w:color w:val="auto"/>
                <w:spacing w:val="-3"/>
                <w:highlight w:val="none"/>
                <w:lang w:eastAsia="zh-CN"/>
              </w:rPr>
              <w:t>分；</w:t>
            </w:r>
          </w:p>
          <w:p w14:paraId="6E162224">
            <w:pPr>
              <w:pStyle w:val="14"/>
              <w:spacing w:before="23" w:line="223" w:lineRule="auto"/>
              <w:ind w:left="112" w:leftChars="0" w:right="106" w:rightChars="0" w:firstLine="440" w:firstLineChars="0"/>
              <w:rPr>
                <w:rFonts w:hint="default" w:eastAsia="微软雅黑"/>
                <w:color w:val="auto"/>
                <w:spacing w:val="-5"/>
                <w:sz w:val="21"/>
                <w:szCs w:val="21"/>
                <w:highlight w:val="none"/>
                <w:lang w:val="en-US" w:eastAsia="zh-CN"/>
              </w:rPr>
            </w:pPr>
          </w:p>
        </w:tc>
      </w:tr>
      <w:tr w14:paraId="039FF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653" w:type="dxa"/>
            <w:vMerge w:val="continue"/>
            <w:tcBorders>
              <w:left w:val="single" w:color="auto" w:sz="4" w:space="0"/>
            </w:tcBorders>
            <w:vAlign w:val="top"/>
          </w:tcPr>
          <w:p w14:paraId="6FA8BFB1">
            <w:pPr>
              <w:rPr>
                <w:rFonts w:ascii="Arial"/>
                <w:color w:val="auto"/>
                <w:sz w:val="21"/>
                <w:szCs w:val="21"/>
                <w:highlight w:val="none"/>
              </w:rPr>
            </w:pPr>
          </w:p>
        </w:tc>
        <w:tc>
          <w:tcPr>
            <w:tcW w:w="850" w:type="dxa"/>
            <w:vMerge w:val="continue"/>
            <w:tcBorders>
              <w:right w:val="single" w:color="auto" w:sz="4" w:space="0"/>
            </w:tcBorders>
            <w:vAlign w:val="top"/>
          </w:tcPr>
          <w:p w14:paraId="4E20BD7C">
            <w:pPr>
              <w:rPr>
                <w:rFonts w:ascii="Arial"/>
                <w:color w:val="auto"/>
                <w:sz w:val="21"/>
                <w:szCs w:val="21"/>
                <w:highlight w:val="none"/>
              </w:rPr>
            </w:pPr>
          </w:p>
        </w:tc>
        <w:tc>
          <w:tcPr>
            <w:tcW w:w="1370" w:type="dxa"/>
            <w:vMerge w:val="continue"/>
            <w:tcBorders>
              <w:left w:val="single" w:color="auto" w:sz="4" w:space="0"/>
            </w:tcBorders>
            <w:vAlign w:val="top"/>
          </w:tcPr>
          <w:p w14:paraId="751EB1D3">
            <w:pPr>
              <w:pStyle w:val="14"/>
              <w:spacing w:before="71" w:line="230" w:lineRule="auto"/>
              <w:ind w:left="313" w:right="168" w:hanging="138"/>
              <w:rPr>
                <w:color w:val="auto"/>
                <w:spacing w:val="-2"/>
                <w:sz w:val="21"/>
                <w:szCs w:val="21"/>
                <w:highlight w:val="none"/>
              </w:rPr>
            </w:pPr>
          </w:p>
        </w:tc>
        <w:tc>
          <w:tcPr>
            <w:tcW w:w="5849" w:type="dxa"/>
            <w:shd w:val="clear" w:color="auto" w:fill="auto"/>
            <w:vAlign w:val="top"/>
          </w:tcPr>
          <w:p w14:paraId="7F6BCC85">
            <w:pPr>
              <w:pStyle w:val="14"/>
              <w:spacing w:before="33" w:line="221" w:lineRule="auto"/>
              <w:ind w:left="558"/>
              <w:rPr>
                <w:color w:val="auto"/>
                <w:highlight w:val="none"/>
                <w:lang w:eastAsia="zh-CN"/>
              </w:rPr>
            </w:pPr>
            <w:r>
              <w:rPr>
                <w:b/>
                <w:bCs/>
                <w:color w:val="auto"/>
                <w:spacing w:val="-3"/>
                <w:highlight w:val="none"/>
                <w:lang w:eastAsia="zh-CN"/>
              </w:rPr>
              <w:t>工程监理专业人员配置情况（</w:t>
            </w:r>
            <w:r>
              <w:rPr>
                <w:rFonts w:hint="eastAsia"/>
                <w:b/>
                <w:bCs/>
                <w:color w:val="auto"/>
                <w:spacing w:val="-3"/>
                <w:highlight w:val="none"/>
                <w:lang w:val="en-US" w:eastAsia="zh-CN"/>
              </w:rPr>
              <w:t>5</w:t>
            </w:r>
            <w:r>
              <w:rPr>
                <w:color w:val="auto"/>
                <w:spacing w:val="-44"/>
                <w:highlight w:val="none"/>
                <w:lang w:eastAsia="zh-CN"/>
              </w:rPr>
              <w:t xml:space="preserve"> </w:t>
            </w:r>
            <w:r>
              <w:rPr>
                <w:b/>
                <w:bCs/>
                <w:color w:val="auto"/>
                <w:spacing w:val="-3"/>
                <w:highlight w:val="none"/>
                <w:lang w:eastAsia="zh-CN"/>
              </w:rPr>
              <w:t>分）</w:t>
            </w:r>
          </w:p>
          <w:p w14:paraId="3E12F0FF">
            <w:pPr>
              <w:pStyle w:val="14"/>
              <w:spacing w:before="23" w:line="230" w:lineRule="auto"/>
              <w:ind w:left="116" w:right="106" w:firstLine="438"/>
              <w:rPr>
                <w:color w:val="auto"/>
                <w:spacing w:val="-2"/>
                <w:highlight w:val="none"/>
                <w:lang w:eastAsia="zh-CN"/>
              </w:rPr>
            </w:pPr>
            <w:r>
              <w:rPr>
                <w:color w:val="auto"/>
                <w:spacing w:val="-2"/>
                <w:highlight w:val="none"/>
                <w:lang w:eastAsia="zh-CN"/>
              </w:rPr>
              <w:t>①总监理工程师具备注册监理工程师执业资格得 1 分；</w:t>
            </w:r>
          </w:p>
          <w:p w14:paraId="1E7CA242">
            <w:pPr>
              <w:pStyle w:val="14"/>
              <w:spacing w:before="23" w:line="230" w:lineRule="auto"/>
              <w:ind w:left="116" w:right="106" w:firstLine="438"/>
              <w:rPr>
                <w:color w:val="auto"/>
                <w:spacing w:val="-2"/>
                <w:highlight w:val="none"/>
                <w:lang w:eastAsia="zh-CN"/>
              </w:rPr>
            </w:pPr>
            <w:r>
              <w:rPr>
                <w:color w:val="auto"/>
                <w:spacing w:val="-2"/>
                <w:highlight w:val="none"/>
                <w:lang w:eastAsia="zh-CN"/>
              </w:rPr>
              <w:t>②总监理工程师具有一级注册</w:t>
            </w:r>
            <w:r>
              <w:rPr>
                <w:rFonts w:hint="eastAsia"/>
                <w:color w:val="auto"/>
                <w:spacing w:val="-2"/>
                <w:highlight w:val="none"/>
                <w:lang w:eastAsia="zh-CN"/>
              </w:rPr>
              <w:t>结构</w:t>
            </w:r>
            <w:r>
              <w:rPr>
                <w:color w:val="auto"/>
                <w:spacing w:val="-2"/>
                <w:highlight w:val="none"/>
                <w:lang w:eastAsia="zh-CN"/>
              </w:rPr>
              <w:t>师、</w:t>
            </w:r>
            <w:r>
              <w:rPr>
                <w:rFonts w:hint="eastAsia"/>
                <w:color w:val="auto"/>
                <w:spacing w:val="-2"/>
                <w:highlight w:val="none"/>
                <w:lang w:eastAsia="zh-CN"/>
              </w:rPr>
              <w:t>土</w:t>
            </w:r>
            <w:r>
              <w:rPr>
                <w:rFonts w:hint="eastAsia"/>
                <w:color w:val="auto"/>
                <w:spacing w:val="-2"/>
                <w:highlight w:val="none"/>
                <w:lang w:val="en-US" w:eastAsia="zh-CN"/>
              </w:rPr>
              <w:t>木</w:t>
            </w:r>
            <w:r>
              <w:rPr>
                <w:rFonts w:hint="eastAsia"/>
                <w:color w:val="auto"/>
                <w:spacing w:val="-2"/>
                <w:highlight w:val="none"/>
                <w:lang w:eastAsia="zh-CN"/>
              </w:rPr>
              <w:t>工程师、</w:t>
            </w:r>
            <w:r>
              <w:rPr>
                <w:rFonts w:hint="eastAsia"/>
                <w:color w:val="auto"/>
                <w:spacing w:val="-2"/>
                <w:highlight w:val="none"/>
                <w:lang w:val="en-US" w:eastAsia="zh-CN"/>
              </w:rPr>
              <w:t>一级注册建筑师、</w:t>
            </w:r>
            <w:r>
              <w:rPr>
                <w:rFonts w:hint="eastAsia"/>
                <w:color w:val="auto"/>
                <w:spacing w:val="-2"/>
                <w:highlight w:val="none"/>
                <w:lang w:eastAsia="zh-CN"/>
              </w:rPr>
              <w:t>注册公用设备工程师</w:t>
            </w:r>
            <w:r>
              <w:rPr>
                <w:rFonts w:hint="eastAsia"/>
                <w:color w:val="auto"/>
                <w:spacing w:val="-2"/>
                <w:highlight w:val="none"/>
                <w:lang w:val="en-US" w:eastAsia="zh-CN"/>
              </w:rPr>
              <w:t>其中一项</w:t>
            </w:r>
            <w:r>
              <w:rPr>
                <w:color w:val="auto"/>
                <w:spacing w:val="-2"/>
                <w:highlight w:val="none"/>
                <w:lang w:eastAsia="zh-CN"/>
              </w:rPr>
              <w:t xml:space="preserve">得1 分； </w:t>
            </w:r>
          </w:p>
          <w:p w14:paraId="27807DD1">
            <w:pPr>
              <w:pStyle w:val="14"/>
              <w:spacing w:before="23" w:line="230" w:lineRule="auto"/>
              <w:ind w:left="116" w:right="106" w:firstLine="438"/>
              <w:rPr>
                <w:color w:val="auto"/>
                <w:spacing w:val="-2"/>
                <w:highlight w:val="none"/>
                <w:lang w:eastAsia="zh-CN"/>
              </w:rPr>
            </w:pPr>
            <w:r>
              <w:rPr>
                <w:color w:val="auto"/>
                <w:spacing w:val="-2"/>
                <w:highlight w:val="none"/>
                <w:lang w:eastAsia="zh-CN"/>
              </w:rPr>
              <w:t>③配备专业监理工程师人数优于采购需求中专业监理工程师最低配备条件的得 1 分；</w:t>
            </w:r>
          </w:p>
          <w:p w14:paraId="3F889F1A">
            <w:pPr>
              <w:pStyle w:val="14"/>
              <w:spacing w:before="23" w:line="230" w:lineRule="auto"/>
              <w:ind w:left="116" w:right="106" w:firstLine="438"/>
              <w:rPr>
                <w:color w:val="auto"/>
                <w:spacing w:val="-2"/>
                <w:highlight w:val="none"/>
                <w:lang w:eastAsia="zh-CN"/>
              </w:rPr>
            </w:pPr>
            <w:r>
              <w:rPr>
                <w:color w:val="auto"/>
                <w:spacing w:val="-2"/>
                <w:highlight w:val="none"/>
                <w:lang w:eastAsia="zh-CN"/>
              </w:rPr>
              <w:t>④所配备专业监理工程师中每有一人具有一级注册</w:t>
            </w:r>
            <w:r>
              <w:rPr>
                <w:rFonts w:hint="eastAsia"/>
                <w:color w:val="auto"/>
                <w:spacing w:val="-2"/>
                <w:highlight w:val="none"/>
                <w:lang w:eastAsia="zh-CN"/>
              </w:rPr>
              <w:t>结构</w:t>
            </w:r>
            <w:r>
              <w:rPr>
                <w:color w:val="auto"/>
                <w:spacing w:val="-2"/>
                <w:highlight w:val="none"/>
                <w:lang w:eastAsia="zh-CN"/>
              </w:rPr>
              <w:t>师、</w:t>
            </w:r>
            <w:r>
              <w:rPr>
                <w:rFonts w:hint="eastAsia"/>
                <w:color w:val="auto"/>
                <w:spacing w:val="-2"/>
                <w:highlight w:val="none"/>
                <w:lang w:eastAsia="zh-CN"/>
              </w:rPr>
              <w:t>土</w:t>
            </w:r>
            <w:r>
              <w:rPr>
                <w:rFonts w:hint="eastAsia"/>
                <w:color w:val="auto"/>
                <w:spacing w:val="-2"/>
                <w:highlight w:val="none"/>
                <w:lang w:val="en-US" w:eastAsia="zh-CN"/>
              </w:rPr>
              <w:t>木</w:t>
            </w:r>
            <w:r>
              <w:rPr>
                <w:rFonts w:hint="eastAsia"/>
                <w:color w:val="auto"/>
                <w:spacing w:val="-2"/>
                <w:highlight w:val="none"/>
                <w:lang w:eastAsia="zh-CN"/>
              </w:rPr>
              <w:t>工程师、</w:t>
            </w:r>
            <w:r>
              <w:rPr>
                <w:rFonts w:hint="eastAsia"/>
                <w:color w:val="auto"/>
                <w:spacing w:val="-2"/>
                <w:highlight w:val="none"/>
                <w:lang w:val="en-US" w:eastAsia="zh-CN"/>
              </w:rPr>
              <w:t>一级注册建筑师、</w:t>
            </w:r>
            <w:r>
              <w:rPr>
                <w:rFonts w:hint="eastAsia"/>
                <w:color w:val="auto"/>
                <w:spacing w:val="-2"/>
                <w:highlight w:val="none"/>
                <w:lang w:eastAsia="zh-CN"/>
              </w:rPr>
              <w:t>注册公用设备工程师</w:t>
            </w:r>
            <w:r>
              <w:rPr>
                <w:color w:val="auto"/>
                <w:spacing w:val="-2"/>
                <w:highlight w:val="none"/>
                <w:lang w:eastAsia="zh-CN"/>
              </w:rPr>
              <w:t>、</w:t>
            </w:r>
            <w:r>
              <w:rPr>
                <w:rFonts w:hint="eastAsia"/>
                <w:color w:val="auto"/>
                <w:spacing w:val="-2"/>
                <w:highlight w:val="none"/>
                <w:lang w:val="en-US" w:eastAsia="zh-CN"/>
              </w:rPr>
              <w:t>其中一项</w:t>
            </w:r>
            <w:r>
              <w:rPr>
                <w:color w:val="auto"/>
                <w:spacing w:val="-2"/>
                <w:highlight w:val="none"/>
                <w:lang w:eastAsia="zh-CN"/>
              </w:rPr>
              <w:t>执业资格加 1 分，最多加 2 分；</w:t>
            </w:r>
          </w:p>
          <w:p w14:paraId="136FC32F">
            <w:pPr>
              <w:pStyle w:val="14"/>
              <w:spacing w:before="23" w:line="218" w:lineRule="auto"/>
              <w:ind w:left="553"/>
              <w:rPr>
                <w:rFonts w:ascii="Arial" w:hAnsi="Arial" w:eastAsia="Arial" w:cs="Arial"/>
                <w:snapToGrid w:val="0"/>
                <w:color w:val="auto"/>
                <w:kern w:val="0"/>
                <w:sz w:val="21"/>
                <w:szCs w:val="21"/>
                <w:highlight w:val="none"/>
                <w:lang w:val="en-US" w:eastAsia="en-US" w:bidi="ar-SA"/>
              </w:rPr>
            </w:pPr>
          </w:p>
        </w:tc>
      </w:tr>
      <w:tr w14:paraId="0E96F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653" w:type="dxa"/>
            <w:vMerge w:val="continue"/>
            <w:tcBorders>
              <w:left w:val="single" w:color="auto" w:sz="4" w:space="0"/>
            </w:tcBorders>
            <w:vAlign w:val="top"/>
          </w:tcPr>
          <w:p w14:paraId="5E191245">
            <w:pPr>
              <w:rPr>
                <w:rFonts w:ascii="Arial"/>
                <w:color w:val="auto"/>
                <w:sz w:val="21"/>
                <w:szCs w:val="21"/>
                <w:highlight w:val="none"/>
              </w:rPr>
            </w:pPr>
          </w:p>
        </w:tc>
        <w:tc>
          <w:tcPr>
            <w:tcW w:w="850" w:type="dxa"/>
            <w:vMerge w:val="continue"/>
            <w:tcBorders>
              <w:right w:val="single" w:color="auto" w:sz="4" w:space="0"/>
            </w:tcBorders>
            <w:vAlign w:val="top"/>
          </w:tcPr>
          <w:p w14:paraId="7B2835E8">
            <w:pPr>
              <w:rPr>
                <w:rFonts w:ascii="Arial"/>
                <w:color w:val="auto"/>
                <w:sz w:val="21"/>
                <w:szCs w:val="21"/>
                <w:highlight w:val="none"/>
              </w:rPr>
            </w:pPr>
          </w:p>
        </w:tc>
        <w:tc>
          <w:tcPr>
            <w:tcW w:w="1370" w:type="dxa"/>
            <w:vMerge w:val="continue"/>
            <w:tcBorders>
              <w:left w:val="single" w:color="auto" w:sz="4" w:space="0"/>
            </w:tcBorders>
            <w:vAlign w:val="top"/>
          </w:tcPr>
          <w:p w14:paraId="52F87342">
            <w:pPr>
              <w:pStyle w:val="14"/>
              <w:spacing w:before="71" w:line="230" w:lineRule="auto"/>
              <w:ind w:left="313" w:right="168" w:hanging="138"/>
              <w:rPr>
                <w:color w:val="auto"/>
                <w:spacing w:val="-2"/>
                <w:sz w:val="21"/>
                <w:szCs w:val="21"/>
                <w:highlight w:val="none"/>
              </w:rPr>
            </w:pPr>
          </w:p>
        </w:tc>
        <w:tc>
          <w:tcPr>
            <w:tcW w:w="5849" w:type="dxa"/>
            <w:shd w:val="clear" w:color="auto" w:fill="auto"/>
            <w:vAlign w:val="top"/>
          </w:tcPr>
          <w:p w14:paraId="2929E9C6">
            <w:pPr>
              <w:pStyle w:val="14"/>
              <w:spacing w:before="34" w:line="219" w:lineRule="auto"/>
              <w:ind w:left="554"/>
              <w:rPr>
                <w:color w:val="auto"/>
                <w:highlight w:val="none"/>
                <w:lang w:eastAsia="zh-CN"/>
              </w:rPr>
            </w:pPr>
            <w:r>
              <w:rPr>
                <w:b/>
                <w:bCs/>
                <w:color w:val="auto"/>
                <w:spacing w:val="-3"/>
                <w:highlight w:val="none"/>
                <w:lang w:eastAsia="zh-CN"/>
              </w:rPr>
              <w:t>造价咨询人员配置情况（</w:t>
            </w:r>
            <w:r>
              <w:rPr>
                <w:rFonts w:hint="eastAsia"/>
                <w:b/>
                <w:bCs/>
                <w:color w:val="auto"/>
                <w:spacing w:val="-3"/>
                <w:highlight w:val="none"/>
                <w:lang w:val="en-US" w:eastAsia="zh-CN"/>
              </w:rPr>
              <w:t>4</w:t>
            </w:r>
            <w:r>
              <w:rPr>
                <w:color w:val="auto"/>
                <w:spacing w:val="-44"/>
                <w:highlight w:val="none"/>
                <w:lang w:eastAsia="zh-CN"/>
              </w:rPr>
              <w:t xml:space="preserve"> </w:t>
            </w:r>
            <w:r>
              <w:rPr>
                <w:b/>
                <w:bCs/>
                <w:color w:val="auto"/>
                <w:spacing w:val="-3"/>
                <w:highlight w:val="none"/>
                <w:lang w:eastAsia="zh-CN"/>
              </w:rPr>
              <w:t>分）</w:t>
            </w:r>
          </w:p>
          <w:p w14:paraId="044B98E8">
            <w:pPr>
              <w:pStyle w:val="14"/>
              <w:spacing w:before="22" w:line="230" w:lineRule="auto"/>
              <w:ind w:left="113" w:right="106" w:firstLine="440"/>
              <w:rPr>
                <w:color w:val="auto"/>
                <w:spacing w:val="7"/>
                <w:highlight w:val="none"/>
                <w:lang w:eastAsia="zh-CN"/>
              </w:rPr>
            </w:pPr>
            <w:r>
              <w:rPr>
                <w:color w:val="auto"/>
                <w:spacing w:val="7"/>
                <w:highlight w:val="none"/>
                <w:lang w:eastAsia="zh-CN"/>
              </w:rPr>
              <w:t>①工程造价咨询负责人具备一级注册造价工程师</w:t>
            </w:r>
            <w:r>
              <w:rPr>
                <w:color w:val="auto"/>
                <w:spacing w:val="-6"/>
                <w:highlight w:val="none"/>
                <w:lang w:eastAsia="zh-CN"/>
              </w:rPr>
              <w:t>执业资格得</w:t>
            </w:r>
            <w:r>
              <w:rPr>
                <w:color w:val="auto"/>
                <w:spacing w:val="-27"/>
                <w:highlight w:val="none"/>
                <w:lang w:eastAsia="zh-CN"/>
              </w:rPr>
              <w:t xml:space="preserve"> </w:t>
            </w:r>
            <w:r>
              <w:rPr>
                <w:color w:val="auto"/>
                <w:spacing w:val="-6"/>
                <w:highlight w:val="none"/>
                <w:lang w:eastAsia="zh-CN"/>
              </w:rPr>
              <w:t>1</w:t>
            </w:r>
            <w:r>
              <w:rPr>
                <w:color w:val="auto"/>
                <w:spacing w:val="-44"/>
                <w:highlight w:val="none"/>
                <w:lang w:eastAsia="zh-CN"/>
              </w:rPr>
              <w:t xml:space="preserve"> </w:t>
            </w:r>
            <w:r>
              <w:rPr>
                <w:color w:val="auto"/>
                <w:spacing w:val="-6"/>
                <w:highlight w:val="none"/>
                <w:lang w:eastAsia="zh-CN"/>
              </w:rPr>
              <w:t>分；</w:t>
            </w:r>
          </w:p>
          <w:p w14:paraId="257DA3AB">
            <w:pPr>
              <w:pStyle w:val="14"/>
              <w:spacing w:before="22" w:line="230" w:lineRule="auto"/>
              <w:ind w:left="113" w:right="106" w:firstLine="440"/>
              <w:rPr>
                <w:color w:val="auto"/>
                <w:spacing w:val="7"/>
                <w:highlight w:val="none"/>
                <w:lang w:eastAsia="zh-CN"/>
              </w:rPr>
            </w:pPr>
            <w:r>
              <w:rPr>
                <w:color w:val="auto"/>
                <w:spacing w:val="7"/>
                <w:highlight w:val="none"/>
                <w:lang w:eastAsia="zh-CN"/>
              </w:rPr>
              <w:t>②具有高级职称</w:t>
            </w:r>
            <w:r>
              <w:rPr>
                <w:b/>
                <w:bCs/>
                <w:color w:val="auto"/>
                <w:spacing w:val="-4"/>
                <w:highlight w:val="none"/>
                <w:lang w:eastAsia="zh-CN"/>
              </w:rPr>
              <w:t>（</w:t>
            </w:r>
            <w:r>
              <w:rPr>
                <w:rFonts w:hint="eastAsia"/>
                <w:b/>
                <w:bCs/>
                <w:color w:val="auto"/>
                <w:spacing w:val="-4"/>
                <w:highlight w:val="none"/>
                <w:lang w:val="en-US" w:eastAsia="zh-CN"/>
              </w:rPr>
              <w:t>工程类副高级及以上</w:t>
            </w:r>
            <w:r>
              <w:rPr>
                <w:b/>
                <w:bCs/>
                <w:color w:val="auto"/>
                <w:spacing w:val="-3"/>
                <w:highlight w:val="none"/>
                <w:lang w:eastAsia="zh-CN"/>
              </w:rPr>
              <w:t>）</w:t>
            </w:r>
            <w:r>
              <w:rPr>
                <w:color w:val="auto"/>
                <w:spacing w:val="7"/>
                <w:highlight w:val="none"/>
                <w:lang w:eastAsia="zh-CN"/>
              </w:rPr>
              <w:t xml:space="preserve">得 </w:t>
            </w:r>
            <w:r>
              <w:rPr>
                <w:rFonts w:hint="eastAsia"/>
                <w:color w:val="auto"/>
                <w:spacing w:val="7"/>
                <w:highlight w:val="none"/>
                <w:lang w:val="en-US" w:eastAsia="zh-CN"/>
              </w:rPr>
              <w:t>1</w:t>
            </w:r>
            <w:r>
              <w:rPr>
                <w:color w:val="auto"/>
                <w:spacing w:val="7"/>
                <w:highlight w:val="none"/>
                <w:lang w:eastAsia="zh-CN"/>
              </w:rPr>
              <w:t>分；</w:t>
            </w:r>
          </w:p>
          <w:p w14:paraId="02FF299C">
            <w:pPr>
              <w:pStyle w:val="14"/>
              <w:spacing w:before="22" w:line="230" w:lineRule="auto"/>
              <w:ind w:left="113" w:right="106" w:firstLine="440"/>
              <w:rPr>
                <w:rFonts w:ascii="Arial" w:hAnsi="Arial" w:eastAsia="Arial" w:cs="Arial"/>
                <w:snapToGrid w:val="0"/>
                <w:color w:val="auto"/>
                <w:kern w:val="0"/>
                <w:sz w:val="21"/>
                <w:szCs w:val="21"/>
                <w:highlight w:val="none"/>
                <w:lang w:val="en-US" w:eastAsia="en-US" w:bidi="ar-SA"/>
              </w:rPr>
            </w:pPr>
            <w:r>
              <w:rPr>
                <w:color w:val="auto"/>
                <w:spacing w:val="7"/>
                <w:highlight w:val="none"/>
                <w:lang w:eastAsia="zh-CN"/>
              </w:rPr>
              <w:t>③配备</w:t>
            </w:r>
            <w:r>
              <w:rPr>
                <w:rFonts w:hint="eastAsia"/>
                <w:color w:val="auto"/>
                <w:spacing w:val="7"/>
                <w:highlight w:val="none"/>
                <w:lang w:val="en-US" w:eastAsia="zh-CN"/>
              </w:rPr>
              <w:t>注册</w:t>
            </w:r>
            <w:r>
              <w:rPr>
                <w:color w:val="auto"/>
                <w:spacing w:val="7"/>
                <w:highlight w:val="none"/>
                <w:lang w:eastAsia="zh-CN"/>
              </w:rPr>
              <w:t>造价从业人员中每有一人具有一级注册</w:t>
            </w:r>
            <w:r>
              <w:rPr>
                <w:rFonts w:hint="eastAsia"/>
                <w:color w:val="auto"/>
                <w:spacing w:val="7"/>
                <w:highlight w:val="none"/>
                <w:lang w:eastAsia="zh-CN"/>
              </w:rPr>
              <w:t>结构</w:t>
            </w:r>
            <w:r>
              <w:rPr>
                <w:color w:val="auto"/>
                <w:spacing w:val="7"/>
                <w:highlight w:val="none"/>
                <w:lang w:eastAsia="zh-CN"/>
              </w:rPr>
              <w:t>师、</w:t>
            </w:r>
            <w:r>
              <w:rPr>
                <w:rFonts w:hint="eastAsia"/>
                <w:color w:val="auto"/>
                <w:spacing w:val="7"/>
                <w:highlight w:val="none"/>
                <w:lang w:eastAsia="zh-CN"/>
              </w:rPr>
              <w:t>土</w:t>
            </w:r>
            <w:r>
              <w:rPr>
                <w:rFonts w:hint="eastAsia"/>
                <w:color w:val="auto"/>
                <w:spacing w:val="7"/>
                <w:highlight w:val="none"/>
                <w:lang w:val="en-US" w:eastAsia="zh-CN"/>
              </w:rPr>
              <w:t>木</w:t>
            </w:r>
            <w:r>
              <w:rPr>
                <w:rFonts w:hint="eastAsia"/>
                <w:color w:val="auto"/>
                <w:spacing w:val="7"/>
                <w:highlight w:val="none"/>
                <w:lang w:eastAsia="zh-CN"/>
              </w:rPr>
              <w:t>工程师、</w:t>
            </w:r>
            <w:r>
              <w:rPr>
                <w:rFonts w:hint="eastAsia"/>
                <w:color w:val="auto"/>
                <w:spacing w:val="7"/>
                <w:highlight w:val="none"/>
                <w:lang w:val="en-US" w:eastAsia="zh-CN"/>
              </w:rPr>
              <w:t>一级注册建筑师、</w:t>
            </w:r>
            <w:r>
              <w:rPr>
                <w:rFonts w:hint="eastAsia"/>
                <w:color w:val="auto"/>
                <w:spacing w:val="7"/>
                <w:highlight w:val="none"/>
                <w:lang w:eastAsia="zh-CN"/>
              </w:rPr>
              <w:t>注册公用设备工程师、</w:t>
            </w:r>
            <w:r>
              <w:rPr>
                <w:rFonts w:hint="eastAsia"/>
                <w:color w:val="auto"/>
                <w:spacing w:val="7"/>
                <w:highlight w:val="none"/>
                <w:lang w:val="en-US" w:eastAsia="zh-CN"/>
              </w:rPr>
              <w:t>注册监理工程师其中一项职业资格</w:t>
            </w:r>
            <w:r>
              <w:rPr>
                <w:color w:val="auto"/>
                <w:spacing w:val="7"/>
                <w:highlight w:val="none"/>
                <w:lang w:eastAsia="zh-CN"/>
              </w:rPr>
              <w:t>加 1 分，最多加 2 分；</w:t>
            </w:r>
          </w:p>
        </w:tc>
      </w:tr>
      <w:tr w14:paraId="437F9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653" w:type="dxa"/>
            <w:vMerge w:val="continue"/>
            <w:tcBorders>
              <w:left w:val="single" w:color="auto" w:sz="4" w:space="0"/>
            </w:tcBorders>
            <w:vAlign w:val="top"/>
          </w:tcPr>
          <w:p w14:paraId="7CC35849">
            <w:pPr>
              <w:rPr>
                <w:rFonts w:ascii="Arial"/>
                <w:color w:val="auto"/>
                <w:sz w:val="21"/>
                <w:szCs w:val="21"/>
                <w:highlight w:val="none"/>
              </w:rPr>
            </w:pPr>
          </w:p>
        </w:tc>
        <w:tc>
          <w:tcPr>
            <w:tcW w:w="850" w:type="dxa"/>
            <w:vMerge w:val="continue"/>
            <w:tcBorders>
              <w:right w:val="single" w:color="auto" w:sz="4" w:space="0"/>
            </w:tcBorders>
            <w:vAlign w:val="top"/>
          </w:tcPr>
          <w:p w14:paraId="799649C2">
            <w:pPr>
              <w:rPr>
                <w:rFonts w:ascii="Arial"/>
                <w:color w:val="auto"/>
                <w:sz w:val="21"/>
                <w:szCs w:val="21"/>
                <w:highlight w:val="none"/>
              </w:rPr>
            </w:pPr>
          </w:p>
        </w:tc>
        <w:tc>
          <w:tcPr>
            <w:tcW w:w="1370" w:type="dxa"/>
            <w:vMerge w:val="continue"/>
            <w:tcBorders>
              <w:bottom w:val="single" w:color="auto" w:sz="4" w:space="0"/>
            </w:tcBorders>
            <w:vAlign w:val="top"/>
          </w:tcPr>
          <w:p w14:paraId="75203668">
            <w:pPr>
              <w:pStyle w:val="14"/>
              <w:spacing w:before="71" w:line="230" w:lineRule="auto"/>
              <w:ind w:left="313" w:right="168" w:hanging="138"/>
              <w:rPr>
                <w:color w:val="auto"/>
                <w:spacing w:val="-2"/>
                <w:sz w:val="21"/>
                <w:szCs w:val="21"/>
                <w:highlight w:val="none"/>
              </w:rPr>
            </w:pPr>
          </w:p>
        </w:tc>
        <w:tc>
          <w:tcPr>
            <w:tcW w:w="5849" w:type="dxa"/>
            <w:shd w:val="clear" w:color="auto" w:fill="auto"/>
            <w:vAlign w:val="top"/>
          </w:tcPr>
          <w:p w14:paraId="40400F80">
            <w:pPr>
              <w:pStyle w:val="14"/>
              <w:spacing w:before="22" w:line="222" w:lineRule="auto"/>
              <w:ind w:left="138" w:leftChars="0" w:right="106" w:rightChars="0" w:firstLine="419" w:firstLineChars="0"/>
              <w:rPr>
                <w:color w:val="auto"/>
                <w:spacing w:val="-8"/>
                <w:sz w:val="21"/>
                <w:szCs w:val="21"/>
                <w:highlight w:val="none"/>
                <w:lang w:val="en-US" w:eastAsia="en-US"/>
              </w:rPr>
            </w:pPr>
            <w:r>
              <w:rPr>
                <w:b/>
                <w:bCs/>
                <w:color w:val="auto"/>
                <w:spacing w:val="2"/>
                <w:sz w:val="21"/>
                <w:szCs w:val="21"/>
                <w:highlight w:val="none"/>
              </w:rPr>
              <w:t>注</w:t>
            </w:r>
            <w:r>
              <w:rPr>
                <w:b/>
                <w:bCs/>
                <w:color w:val="auto"/>
                <w:spacing w:val="-26"/>
                <w:sz w:val="21"/>
                <w:szCs w:val="21"/>
                <w:highlight w:val="none"/>
              </w:rPr>
              <w:t>：（</w:t>
            </w:r>
            <w:r>
              <w:rPr>
                <w:b/>
                <w:bCs/>
                <w:color w:val="auto"/>
                <w:spacing w:val="2"/>
                <w:sz w:val="21"/>
                <w:szCs w:val="21"/>
                <w:highlight w:val="none"/>
              </w:rPr>
              <w:t>1）上述项目团队人员要求一人一岗，不得</w:t>
            </w:r>
            <w:r>
              <w:rPr>
                <w:b/>
                <w:bCs/>
                <w:color w:val="auto"/>
                <w:spacing w:val="1"/>
                <w:sz w:val="21"/>
                <w:szCs w:val="21"/>
                <w:highlight w:val="none"/>
              </w:rPr>
              <w:t>重复</w:t>
            </w:r>
            <w:r>
              <w:rPr>
                <w:b/>
                <w:bCs/>
                <w:color w:val="auto"/>
                <w:spacing w:val="-17"/>
                <w:sz w:val="21"/>
                <w:szCs w:val="21"/>
                <w:highlight w:val="none"/>
              </w:rPr>
              <w:t>；（</w:t>
            </w:r>
            <w:r>
              <w:rPr>
                <w:b/>
                <w:bCs/>
                <w:color w:val="auto"/>
                <w:spacing w:val="1"/>
                <w:sz w:val="21"/>
                <w:szCs w:val="21"/>
                <w:highlight w:val="none"/>
              </w:rPr>
              <w:t>2）供应商须提供上述项目团队人员相关</w:t>
            </w:r>
            <w:r>
              <w:rPr>
                <w:b/>
                <w:bCs/>
                <w:color w:val="auto"/>
                <w:sz w:val="21"/>
                <w:szCs w:val="21"/>
                <w:highlight w:val="none"/>
              </w:rPr>
              <w:t>职业</w:t>
            </w:r>
            <w:r>
              <w:rPr>
                <w:color w:val="auto"/>
                <w:spacing w:val="1"/>
                <w:sz w:val="21"/>
                <w:szCs w:val="21"/>
                <w:highlight w:val="none"/>
              </w:rPr>
              <w:t xml:space="preserve"> </w:t>
            </w:r>
            <w:r>
              <w:rPr>
                <w:b/>
                <w:bCs/>
                <w:color w:val="auto"/>
                <w:sz w:val="21"/>
                <w:szCs w:val="21"/>
                <w:highlight w:val="none"/>
              </w:rPr>
              <w:t>（执业）证书、职称证书复印件并加盖公章</w:t>
            </w:r>
            <w:r>
              <w:rPr>
                <w:b/>
                <w:bCs/>
                <w:color w:val="auto"/>
                <w:spacing w:val="-8"/>
                <w:sz w:val="21"/>
                <w:szCs w:val="21"/>
                <w:highlight w:val="none"/>
              </w:rPr>
              <w:t>；（</w:t>
            </w:r>
            <w:r>
              <w:rPr>
                <w:b/>
                <w:bCs/>
                <w:color w:val="auto"/>
                <w:sz w:val="21"/>
                <w:szCs w:val="21"/>
                <w:highlight w:val="none"/>
              </w:rPr>
              <w:t>3）供</w:t>
            </w:r>
            <w:r>
              <w:rPr>
                <w:b/>
                <w:bCs/>
                <w:color w:val="auto"/>
                <w:spacing w:val="-6"/>
                <w:sz w:val="21"/>
                <w:szCs w:val="21"/>
                <w:highlight w:val="none"/>
              </w:rPr>
              <w:t>应商须提供为项目团队人员缴纳的</w:t>
            </w:r>
            <w:r>
              <w:rPr>
                <w:color w:val="auto"/>
                <w:spacing w:val="-42"/>
                <w:sz w:val="21"/>
                <w:szCs w:val="21"/>
                <w:highlight w:val="none"/>
              </w:rPr>
              <w:t xml:space="preserve"> </w:t>
            </w:r>
            <w:r>
              <w:rPr>
                <w:b/>
                <w:bCs/>
                <w:color w:val="auto"/>
                <w:spacing w:val="-6"/>
                <w:sz w:val="21"/>
                <w:szCs w:val="21"/>
                <w:highlight w:val="none"/>
              </w:rPr>
              <w:t>202</w:t>
            </w:r>
            <w:r>
              <w:rPr>
                <w:rFonts w:hint="eastAsia" w:eastAsia="宋体"/>
                <w:b/>
                <w:bCs/>
                <w:color w:val="auto"/>
                <w:spacing w:val="-6"/>
                <w:sz w:val="21"/>
                <w:szCs w:val="21"/>
                <w:highlight w:val="none"/>
                <w:lang w:val="en-US" w:eastAsia="zh-CN"/>
              </w:rPr>
              <w:t>5</w:t>
            </w:r>
            <w:r>
              <w:rPr>
                <w:b/>
                <w:bCs/>
                <w:color w:val="auto"/>
                <w:spacing w:val="-6"/>
                <w:sz w:val="21"/>
                <w:szCs w:val="21"/>
                <w:highlight w:val="none"/>
              </w:rPr>
              <w:t>年</w:t>
            </w:r>
            <w:r>
              <w:rPr>
                <w:color w:val="auto"/>
                <w:spacing w:val="-30"/>
                <w:sz w:val="21"/>
                <w:szCs w:val="21"/>
                <w:highlight w:val="none"/>
              </w:rPr>
              <w:t xml:space="preserve"> </w:t>
            </w:r>
            <w:r>
              <w:rPr>
                <w:b/>
                <w:bCs/>
                <w:color w:val="auto"/>
                <w:spacing w:val="-7"/>
                <w:sz w:val="21"/>
                <w:szCs w:val="21"/>
                <w:highlight w:val="none"/>
              </w:rPr>
              <w:t>1</w:t>
            </w:r>
            <w:r>
              <w:rPr>
                <w:color w:val="auto"/>
                <w:spacing w:val="-38"/>
                <w:sz w:val="21"/>
                <w:szCs w:val="21"/>
                <w:highlight w:val="none"/>
              </w:rPr>
              <w:t xml:space="preserve"> </w:t>
            </w:r>
            <w:r>
              <w:rPr>
                <w:b/>
                <w:bCs/>
                <w:color w:val="auto"/>
                <w:spacing w:val="-7"/>
                <w:sz w:val="21"/>
                <w:szCs w:val="21"/>
                <w:highlight w:val="none"/>
              </w:rPr>
              <w:t>月</w:t>
            </w:r>
            <w:r>
              <w:rPr>
                <w:color w:val="auto"/>
                <w:spacing w:val="-30"/>
                <w:sz w:val="21"/>
                <w:szCs w:val="21"/>
                <w:highlight w:val="none"/>
              </w:rPr>
              <w:t xml:space="preserve"> </w:t>
            </w:r>
            <w:r>
              <w:rPr>
                <w:b/>
                <w:bCs/>
                <w:color w:val="auto"/>
                <w:spacing w:val="-7"/>
                <w:sz w:val="21"/>
                <w:szCs w:val="21"/>
                <w:highlight w:val="none"/>
              </w:rPr>
              <w:t>以</w:t>
            </w:r>
            <w:r>
              <w:rPr>
                <w:b/>
                <w:bCs/>
                <w:color w:val="auto"/>
                <w:sz w:val="21"/>
                <w:szCs w:val="21"/>
                <w:highlight w:val="none"/>
              </w:rPr>
              <w:t>来任意连续三个月的社会保险证明</w:t>
            </w:r>
            <w:r>
              <w:rPr>
                <w:b/>
                <w:bCs/>
                <w:color w:val="auto"/>
                <w:spacing w:val="-8"/>
                <w:sz w:val="21"/>
                <w:szCs w:val="21"/>
                <w:highlight w:val="none"/>
              </w:rPr>
              <w:t>；（</w:t>
            </w:r>
            <w:r>
              <w:rPr>
                <w:b/>
                <w:bCs/>
                <w:color w:val="auto"/>
                <w:sz w:val="21"/>
                <w:szCs w:val="21"/>
                <w:highlight w:val="none"/>
              </w:rPr>
              <w:t>4）上述项目团</w:t>
            </w:r>
            <w:r>
              <w:rPr>
                <w:b/>
                <w:bCs/>
                <w:color w:val="auto"/>
                <w:spacing w:val="4"/>
                <w:sz w:val="21"/>
                <w:szCs w:val="21"/>
                <w:highlight w:val="none"/>
              </w:rPr>
              <w:t>队人员中所有涉及专业工作年限的内容以供应商提供</w:t>
            </w:r>
            <w:r>
              <w:rPr>
                <w:b/>
                <w:bCs/>
                <w:color w:val="auto"/>
                <w:spacing w:val="-2"/>
                <w:sz w:val="21"/>
                <w:szCs w:val="21"/>
                <w:highlight w:val="none"/>
              </w:rPr>
              <w:t>的承诺书为准，承诺书格式自拟并加盖公章。</w:t>
            </w:r>
          </w:p>
        </w:tc>
      </w:tr>
      <w:tr w14:paraId="0F2AE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2" w:hRule="atLeast"/>
        </w:trPr>
        <w:tc>
          <w:tcPr>
            <w:tcW w:w="653" w:type="dxa"/>
            <w:vMerge w:val="continue"/>
            <w:tcBorders>
              <w:left w:val="single" w:color="auto" w:sz="4" w:space="0"/>
            </w:tcBorders>
            <w:vAlign w:val="top"/>
          </w:tcPr>
          <w:p w14:paraId="0FA35CBB">
            <w:pPr>
              <w:pStyle w:val="14"/>
              <w:spacing w:before="72" w:line="184" w:lineRule="auto"/>
              <w:ind w:left="281"/>
              <w:rPr>
                <w:rFonts w:hint="eastAsia" w:eastAsia="宋体"/>
                <w:color w:val="auto"/>
                <w:sz w:val="21"/>
                <w:szCs w:val="21"/>
                <w:highlight w:val="none"/>
                <w:lang w:val="en-US" w:eastAsia="zh-CN"/>
              </w:rPr>
            </w:pPr>
          </w:p>
        </w:tc>
        <w:tc>
          <w:tcPr>
            <w:tcW w:w="850" w:type="dxa"/>
            <w:vMerge w:val="continue"/>
            <w:tcBorders>
              <w:right w:val="single" w:color="auto" w:sz="4" w:space="0"/>
            </w:tcBorders>
            <w:vAlign w:val="top"/>
          </w:tcPr>
          <w:p w14:paraId="75D79CA5">
            <w:pPr>
              <w:pStyle w:val="14"/>
              <w:spacing w:before="72"/>
              <w:ind w:right="151"/>
              <w:rPr>
                <w:rFonts w:hint="default" w:eastAsia="宋体"/>
                <w:color w:val="auto"/>
                <w:spacing w:val="-4"/>
                <w:sz w:val="21"/>
                <w:szCs w:val="21"/>
                <w:highlight w:val="none"/>
                <w:lang w:val="en-US" w:eastAsia="zh-CN"/>
              </w:rPr>
            </w:pPr>
          </w:p>
        </w:tc>
        <w:tc>
          <w:tcPr>
            <w:tcW w:w="1370" w:type="dxa"/>
            <w:tcBorders>
              <w:top w:val="single" w:color="auto" w:sz="4" w:space="0"/>
              <w:bottom w:val="single" w:color="auto" w:sz="4" w:space="0"/>
              <w:right w:val="single" w:color="auto" w:sz="4" w:space="0"/>
            </w:tcBorders>
            <w:shd w:val="clear" w:color="auto" w:fill="auto"/>
            <w:vAlign w:val="top"/>
          </w:tcPr>
          <w:p w14:paraId="75EEDF4C">
            <w:pPr>
              <w:spacing w:line="260" w:lineRule="auto"/>
              <w:rPr>
                <w:rFonts w:ascii="Arial"/>
                <w:color w:val="auto"/>
                <w:sz w:val="21"/>
                <w:szCs w:val="21"/>
                <w:highlight w:val="none"/>
              </w:rPr>
            </w:pPr>
          </w:p>
          <w:p w14:paraId="0E4FD924">
            <w:pPr>
              <w:spacing w:line="260" w:lineRule="auto"/>
              <w:rPr>
                <w:rFonts w:ascii="Arial"/>
                <w:color w:val="auto"/>
                <w:sz w:val="21"/>
                <w:szCs w:val="21"/>
                <w:highlight w:val="none"/>
              </w:rPr>
            </w:pPr>
          </w:p>
          <w:p w14:paraId="2B0A1162">
            <w:pPr>
              <w:spacing w:line="261" w:lineRule="auto"/>
              <w:rPr>
                <w:rFonts w:ascii="Arial"/>
                <w:color w:val="auto"/>
                <w:sz w:val="21"/>
                <w:szCs w:val="21"/>
                <w:highlight w:val="none"/>
              </w:rPr>
            </w:pPr>
          </w:p>
          <w:p w14:paraId="1CA8CF9A">
            <w:pPr>
              <w:spacing w:line="261" w:lineRule="auto"/>
              <w:rPr>
                <w:rFonts w:ascii="Arial"/>
                <w:color w:val="auto"/>
                <w:sz w:val="21"/>
                <w:szCs w:val="21"/>
                <w:highlight w:val="none"/>
              </w:rPr>
            </w:pPr>
          </w:p>
          <w:p w14:paraId="37E1C408">
            <w:pPr>
              <w:spacing w:line="261" w:lineRule="auto"/>
              <w:rPr>
                <w:rFonts w:ascii="Arial"/>
                <w:color w:val="auto"/>
                <w:sz w:val="21"/>
                <w:szCs w:val="21"/>
                <w:highlight w:val="none"/>
              </w:rPr>
            </w:pPr>
          </w:p>
          <w:p w14:paraId="78BD33DC">
            <w:pPr>
              <w:pStyle w:val="14"/>
              <w:spacing w:before="71" w:line="230" w:lineRule="auto"/>
              <w:ind w:right="278" w:rightChars="0"/>
              <w:rPr>
                <w:rFonts w:hint="eastAsia" w:ascii="Arial" w:hAnsi="Arial" w:eastAsia="宋体" w:cs="Arial"/>
                <w:snapToGrid w:val="0"/>
                <w:color w:val="auto"/>
                <w:kern w:val="0"/>
                <w:sz w:val="21"/>
                <w:szCs w:val="21"/>
                <w:highlight w:val="none"/>
                <w:lang w:val="en-US" w:eastAsia="zh-CN" w:bidi="ar-SA"/>
              </w:rPr>
            </w:pPr>
            <w:r>
              <w:rPr>
                <w:color w:val="auto"/>
                <w:spacing w:val="-3"/>
                <w:sz w:val="21"/>
                <w:szCs w:val="21"/>
                <w:highlight w:val="none"/>
              </w:rPr>
              <w:t>企业业绩</w:t>
            </w:r>
            <w:r>
              <w:rPr>
                <w:color w:val="auto"/>
                <w:sz w:val="21"/>
                <w:szCs w:val="21"/>
                <w:highlight w:val="none"/>
              </w:rPr>
              <w:t xml:space="preserve"> </w:t>
            </w:r>
            <w:r>
              <w:rPr>
                <w:rFonts w:hint="eastAsia" w:eastAsia="宋体"/>
                <w:color w:val="auto"/>
                <w:sz w:val="21"/>
                <w:szCs w:val="21"/>
                <w:highlight w:val="none"/>
                <w:lang w:eastAsia="zh-CN"/>
              </w:rPr>
              <w:t>（</w:t>
            </w:r>
            <w:r>
              <w:rPr>
                <w:rFonts w:hint="eastAsia" w:eastAsia="宋体"/>
                <w:color w:val="auto"/>
                <w:spacing w:val="-7"/>
                <w:sz w:val="21"/>
                <w:szCs w:val="21"/>
                <w:highlight w:val="none"/>
                <w:lang w:val="en-US" w:eastAsia="zh-CN"/>
              </w:rPr>
              <w:t>3</w:t>
            </w:r>
            <w:r>
              <w:rPr>
                <w:color w:val="auto"/>
                <w:spacing w:val="-44"/>
                <w:sz w:val="21"/>
                <w:szCs w:val="21"/>
                <w:highlight w:val="none"/>
              </w:rPr>
              <w:t xml:space="preserve"> </w:t>
            </w:r>
            <w:r>
              <w:rPr>
                <w:color w:val="auto"/>
                <w:spacing w:val="-7"/>
                <w:sz w:val="21"/>
                <w:szCs w:val="21"/>
                <w:highlight w:val="none"/>
              </w:rPr>
              <w:t>分</w:t>
            </w:r>
            <w:r>
              <w:rPr>
                <w:rFonts w:hint="eastAsia" w:eastAsia="宋体"/>
                <w:color w:val="auto"/>
                <w:spacing w:val="-7"/>
                <w:sz w:val="21"/>
                <w:szCs w:val="21"/>
                <w:highlight w:val="none"/>
                <w:lang w:eastAsia="zh-CN"/>
              </w:rPr>
              <w:t>）</w:t>
            </w:r>
          </w:p>
        </w:tc>
        <w:tc>
          <w:tcPr>
            <w:tcW w:w="5849" w:type="dxa"/>
            <w:tcBorders>
              <w:left w:val="single" w:color="auto" w:sz="4" w:space="0"/>
            </w:tcBorders>
            <w:shd w:val="clear" w:color="auto" w:fill="auto"/>
            <w:vAlign w:val="top"/>
          </w:tcPr>
          <w:p w14:paraId="73D31D31">
            <w:pPr>
              <w:pStyle w:val="14"/>
              <w:spacing w:before="32" w:line="233" w:lineRule="auto"/>
              <w:ind w:left="112" w:right="106" w:firstLine="458"/>
              <w:rPr>
                <w:color w:val="auto"/>
                <w:highlight w:val="none"/>
                <w:lang w:eastAsia="zh-CN"/>
              </w:rPr>
            </w:pPr>
            <w:r>
              <w:rPr>
                <w:color w:val="auto"/>
                <w:spacing w:val="-6"/>
                <w:highlight w:val="none"/>
                <w:lang w:eastAsia="zh-CN"/>
              </w:rPr>
              <w:t>1、企业近三年（202</w:t>
            </w:r>
            <w:r>
              <w:rPr>
                <w:rFonts w:hint="eastAsia" w:eastAsia="宋体"/>
                <w:color w:val="auto"/>
                <w:spacing w:val="-6"/>
                <w:highlight w:val="none"/>
                <w:lang w:eastAsia="zh-CN"/>
              </w:rPr>
              <w:t>2</w:t>
            </w:r>
            <w:r>
              <w:rPr>
                <w:color w:val="auto"/>
                <w:spacing w:val="-6"/>
                <w:highlight w:val="none"/>
                <w:lang w:eastAsia="zh-CN"/>
              </w:rPr>
              <w:t>年</w:t>
            </w:r>
            <w:r>
              <w:rPr>
                <w:color w:val="auto"/>
                <w:spacing w:val="-30"/>
                <w:highlight w:val="none"/>
                <w:lang w:eastAsia="zh-CN"/>
              </w:rPr>
              <w:t xml:space="preserve"> </w:t>
            </w:r>
            <w:r>
              <w:rPr>
                <w:color w:val="auto"/>
                <w:spacing w:val="-6"/>
                <w:highlight w:val="none"/>
                <w:lang w:eastAsia="zh-CN"/>
              </w:rPr>
              <w:t>1</w:t>
            </w:r>
            <w:r>
              <w:rPr>
                <w:color w:val="auto"/>
                <w:spacing w:val="-43"/>
                <w:highlight w:val="none"/>
                <w:lang w:eastAsia="zh-CN"/>
              </w:rPr>
              <w:t xml:space="preserve"> </w:t>
            </w:r>
            <w:r>
              <w:rPr>
                <w:color w:val="auto"/>
                <w:spacing w:val="-6"/>
                <w:highlight w:val="none"/>
                <w:lang w:eastAsia="zh-CN"/>
              </w:rPr>
              <w:t>月</w:t>
            </w:r>
            <w:r>
              <w:rPr>
                <w:color w:val="auto"/>
                <w:spacing w:val="-30"/>
                <w:highlight w:val="none"/>
                <w:lang w:eastAsia="zh-CN"/>
              </w:rPr>
              <w:t xml:space="preserve"> </w:t>
            </w:r>
            <w:r>
              <w:rPr>
                <w:color w:val="auto"/>
                <w:spacing w:val="-6"/>
                <w:highlight w:val="none"/>
                <w:lang w:eastAsia="zh-CN"/>
              </w:rPr>
              <w:t>1 日以来）</w:t>
            </w:r>
            <w:r>
              <w:rPr>
                <w:color w:val="auto"/>
                <w:spacing w:val="-7"/>
                <w:highlight w:val="none"/>
                <w:lang w:eastAsia="zh-CN"/>
              </w:rPr>
              <w:t>具有全过</w:t>
            </w:r>
            <w:r>
              <w:rPr>
                <w:color w:val="auto"/>
                <w:spacing w:val="-3"/>
                <w:highlight w:val="none"/>
                <w:lang w:eastAsia="zh-CN"/>
              </w:rPr>
              <w:t>程工程咨询类似服务业绩，且业绩服务内容与本项目发包范围内容有</w:t>
            </w:r>
            <w:r>
              <w:rPr>
                <w:color w:val="auto"/>
                <w:spacing w:val="-41"/>
                <w:highlight w:val="none"/>
                <w:lang w:eastAsia="zh-CN"/>
              </w:rPr>
              <w:t xml:space="preserve"> </w:t>
            </w:r>
            <w:r>
              <w:rPr>
                <w:color w:val="auto"/>
                <w:spacing w:val="-3"/>
                <w:highlight w:val="none"/>
                <w:lang w:eastAsia="zh-CN"/>
              </w:rPr>
              <w:t>3</w:t>
            </w:r>
            <w:r>
              <w:rPr>
                <w:color w:val="auto"/>
                <w:spacing w:val="-43"/>
                <w:highlight w:val="none"/>
                <w:lang w:eastAsia="zh-CN"/>
              </w:rPr>
              <w:t xml:space="preserve"> </w:t>
            </w:r>
            <w:r>
              <w:rPr>
                <w:color w:val="auto"/>
                <w:spacing w:val="-3"/>
                <w:highlight w:val="none"/>
                <w:lang w:eastAsia="zh-CN"/>
              </w:rPr>
              <w:t>项及以上符合的，</w:t>
            </w:r>
            <w:r>
              <w:rPr>
                <w:rFonts w:hint="eastAsia" w:eastAsia="宋体"/>
                <w:color w:val="auto"/>
                <w:spacing w:val="-3"/>
                <w:highlight w:val="none"/>
                <w:lang w:eastAsia="zh-CN"/>
              </w:rPr>
              <w:t>每有一个得1分，总分</w:t>
            </w:r>
            <w:r>
              <w:rPr>
                <w:rFonts w:hint="eastAsia" w:eastAsiaTheme="minorEastAsia"/>
                <w:color w:val="auto"/>
                <w:spacing w:val="-3"/>
                <w:highlight w:val="none"/>
                <w:lang w:eastAsia="zh-CN"/>
              </w:rPr>
              <w:t>3</w:t>
            </w:r>
            <w:r>
              <w:rPr>
                <w:color w:val="auto"/>
                <w:spacing w:val="-44"/>
                <w:highlight w:val="none"/>
                <w:lang w:eastAsia="zh-CN"/>
              </w:rPr>
              <w:t xml:space="preserve"> </w:t>
            </w:r>
            <w:r>
              <w:rPr>
                <w:color w:val="auto"/>
                <w:spacing w:val="-3"/>
                <w:highlight w:val="none"/>
                <w:lang w:eastAsia="zh-CN"/>
              </w:rPr>
              <w:t>分。</w:t>
            </w:r>
          </w:p>
          <w:p w14:paraId="746C79A0">
            <w:pPr>
              <w:pStyle w:val="14"/>
              <w:spacing w:before="21" w:line="233" w:lineRule="auto"/>
              <w:ind w:left="112" w:right="106" w:firstLine="445"/>
              <w:rPr>
                <w:color w:val="auto"/>
                <w:highlight w:val="none"/>
                <w:lang w:eastAsia="zh-CN"/>
              </w:rPr>
            </w:pPr>
            <w:r>
              <w:rPr>
                <w:color w:val="auto"/>
                <w:spacing w:val="-6"/>
                <w:highlight w:val="none"/>
                <w:lang w:eastAsia="zh-CN"/>
              </w:rPr>
              <w:t>2、企业近三年（202</w:t>
            </w:r>
            <w:r>
              <w:rPr>
                <w:rFonts w:hint="eastAsia" w:eastAsia="宋体"/>
                <w:color w:val="auto"/>
                <w:spacing w:val="-6"/>
                <w:highlight w:val="none"/>
                <w:lang w:eastAsia="zh-CN"/>
              </w:rPr>
              <w:t>2</w:t>
            </w:r>
            <w:r>
              <w:rPr>
                <w:color w:val="auto"/>
                <w:spacing w:val="-6"/>
                <w:highlight w:val="none"/>
                <w:lang w:eastAsia="zh-CN"/>
              </w:rPr>
              <w:t>年</w:t>
            </w:r>
            <w:r>
              <w:rPr>
                <w:color w:val="auto"/>
                <w:spacing w:val="-30"/>
                <w:highlight w:val="none"/>
                <w:lang w:eastAsia="zh-CN"/>
              </w:rPr>
              <w:t xml:space="preserve"> </w:t>
            </w:r>
            <w:r>
              <w:rPr>
                <w:color w:val="auto"/>
                <w:spacing w:val="-6"/>
                <w:highlight w:val="none"/>
                <w:lang w:eastAsia="zh-CN"/>
              </w:rPr>
              <w:t>1</w:t>
            </w:r>
            <w:r>
              <w:rPr>
                <w:color w:val="auto"/>
                <w:spacing w:val="-44"/>
                <w:highlight w:val="none"/>
                <w:lang w:eastAsia="zh-CN"/>
              </w:rPr>
              <w:t xml:space="preserve"> </w:t>
            </w:r>
            <w:r>
              <w:rPr>
                <w:color w:val="auto"/>
                <w:spacing w:val="-6"/>
                <w:highlight w:val="none"/>
                <w:lang w:eastAsia="zh-CN"/>
              </w:rPr>
              <w:t>月</w:t>
            </w:r>
            <w:r>
              <w:rPr>
                <w:color w:val="auto"/>
                <w:spacing w:val="-30"/>
                <w:highlight w:val="none"/>
                <w:lang w:eastAsia="zh-CN"/>
              </w:rPr>
              <w:t xml:space="preserve"> </w:t>
            </w:r>
            <w:r>
              <w:rPr>
                <w:color w:val="auto"/>
                <w:spacing w:val="-6"/>
                <w:highlight w:val="none"/>
                <w:lang w:eastAsia="zh-CN"/>
              </w:rPr>
              <w:t>1 日以来）具有全过</w:t>
            </w:r>
            <w:r>
              <w:rPr>
                <w:color w:val="auto"/>
                <w:spacing w:val="-3"/>
                <w:highlight w:val="none"/>
                <w:lang w:eastAsia="zh-CN"/>
              </w:rPr>
              <w:t>程工程咨询类似服务业绩，且业绩服务内容与本项目发</w:t>
            </w:r>
            <w:r>
              <w:rPr>
                <w:color w:val="auto"/>
                <w:spacing w:val="-4"/>
                <w:highlight w:val="none"/>
                <w:lang w:eastAsia="zh-CN"/>
              </w:rPr>
              <w:t>包范围内容只有</w:t>
            </w:r>
            <w:r>
              <w:rPr>
                <w:color w:val="auto"/>
                <w:spacing w:val="-30"/>
                <w:highlight w:val="none"/>
                <w:lang w:eastAsia="zh-CN"/>
              </w:rPr>
              <w:t xml:space="preserve"> </w:t>
            </w:r>
            <w:r>
              <w:rPr>
                <w:color w:val="auto"/>
                <w:spacing w:val="-4"/>
                <w:highlight w:val="none"/>
                <w:lang w:eastAsia="zh-CN"/>
              </w:rPr>
              <w:t>2</w:t>
            </w:r>
            <w:r>
              <w:rPr>
                <w:color w:val="auto"/>
                <w:spacing w:val="-42"/>
                <w:highlight w:val="none"/>
                <w:lang w:eastAsia="zh-CN"/>
              </w:rPr>
              <w:t xml:space="preserve"> </w:t>
            </w:r>
            <w:r>
              <w:rPr>
                <w:color w:val="auto"/>
                <w:spacing w:val="-4"/>
                <w:highlight w:val="none"/>
                <w:lang w:eastAsia="zh-CN"/>
              </w:rPr>
              <w:t>项符合的，</w:t>
            </w:r>
            <w:r>
              <w:rPr>
                <w:rFonts w:hint="eastAsia" w:eastAsia="宋体"/>
                <w:color w:val="auto"/>
                <w:spacing w:val="-4"/>
                <w:highlight w:val="none"/>
                <w:lang w:eastAsia="zh-CN"/>
              </w:rPr>
              <w:t>每有一个得1分，总分</w:t>
            </w:r>
            <w:r>
              <w:rPr>
                <w:rFonts w:hint="eastAsia" w:eastAsiaTheme="minorEastAsia"/>
                <w:color w:val="auto"/>
                <w:spacing w:val="-4"/>
                <w:highlight w:val="none"/>
                <w:lang w:eastAsia="zh-CN"/>
              </w:rPr>
              <w:t>2</w:t>
            </w:r>
            <w:r>
              <w:rPr>
                <w:color w:val="auto"/>
                <w:spacing w:val="-43"/>
                <w:highlight w:val="none"/>
                <w:lang w:eastAsia="zh-CN"/>
              </w:rPr>
              <w:t xml:space="preserve"> </w:t>
            </w:r>
            <w:r>
              <w:rPr>
                <w:color w:val="auto"/>
                <w:spacing w:val="-4"/>
                <w:highlight w:val="none"/>
                <w:lang w:eastAsia="zh-CN"/>
              </w:rPr>
              <w:t>分。</w:t>
            </w:r>
          </w:p>
          <w:p w14:paraId="1F9039D1">
            <w:pPr>
              <w:pStyle w:val="14"/>
              <w:spacing w:before="23" w:line="233" w:lineRule="auto"/>
              <w:ind w:left="112" w:right="106" w:firstLine="446"/>
              <w:rPr>
                <w:color w:val="auto"/>
                <w:highlight w:val="none"/>
                <w:lang w:eastAsia="zh-CN"/>
              </w:rPr>
            </w:pPr>
            <w:r>
              <w:rPr>
                <w:color w:val="auto"/>
                <w:spacing w:val="-6"/>
                <w:highlight w:val="none"/>
                <w:lang w:eastAsia="zh-CN"/>
              </w:rPr>
              <w:t>3、企业近三年（202</w:t>
            </w:r>
            <w:r>
              <w:rPr>
                <w:rFonts w:hint="eastAsia" w:eastAsia="宋体"/>
                <w:color w:val="auto"/>
                <w:spacing w:val="-6"/>
                <w:highlight w:val="none"/>
                <w:lang w:eastAsia="zh-CN"/>
              </w:rPr>
              <w:t>2</w:t>
            </w:r>
            <w:r>
              <w:rPr>
                <w:color w:val="auto"/>
                <w:spacing w:val="-40"/>
                <w:highlight w:val="none"/>
                <w:lang w:eastAsia="zh-CN"/>
              </w:rPr>
              <w:t xml:space="preserve"> </w:t>
            </w:r>
            <w:r>
              <w:rPr>
                <w:color w:val="auto"/>
                <w:spacing w:val="-6"/>
                <w:highlight w:val="none"/>
                <w:lang w:eastAsia="zh-CN"/>
              </w:rPr>
              <w:t>年</w:t>
            </w:r>
            <w:r>
              <w:rPr>
                <w:color w:val="auto"/>
                <w:spacing w:val="-30"/>
                <w:highlight w:val="none"/>
                <w:lang w:eastAsia="zh-CN"/>
              </w:rPr>
              <w:t xml:space="preserve"> </w:t>
            </w:r>
            <w:r>
              <w:rPr>
                <w:color w:val="auto"/>
                <w:spacing w:val="-6"/>
                <w:highlight w:val="none"/>
                <w:lang w:eastAsia="zh-CN"/>
              </w:rPr>
              <w:t>1</w:t>
            </w:r>
            <w:r>
              <w:rPr>
                <w:color w:val="auto"/>
                <w:spacing w:val="-44"/>
                <w:highlight w:val="none"/>
                <w:lang w:eastAsia="zh-CN"/>
              </w:rPr>
              <w:t xml:space="preserve"> </w:t>
            </w:r>
            <w:r>
              <w:rPr>
                <w:color w:val="auto"/>
                <w:spacing w:val="-6"/>
                <w:highlight w:val="none"/>
                <w:lang w:eastAsia="zh-CN"/>
              </w:rPr>
              <w:t>月</w:t>
            </w:r>
            <w:r>
              <w:rPr>
                <w:color w:val="auto"/>
                <w:spacing w:val="-30"/>
                <w:highlight w:val="none"/>
                <w:lang w:eastAsia="zh-CN"/>
              </w:rPr>
              <w:t xml:space="preserve"> </w:t>
            </w:r>
            <w:r>
              <w:rPr>
                <w:color w:val="auto"/>
                <w:spacing w:val="-6"/>
                <w:highlight w:val="none"/>
                <w:lang w:eastAsia="zh-CN"/>
              </w:rPr>
              <w:t>1 日以来）具有全过</w:t>
            </w:r>
            <w:r>
              <w:rPr>
                <w:color w:val="auto"/>
                <w:spacing w:val="-3"/>
                <w:highlight w:val="none"/>
                <w:lang w:eastAsia="zh-CN"/>
              </w:rPr>
              <w:t>程工程咨询类似服务业绩，且业绩服务内容与本项目发</w:t>
            </w:r>
            <w:r>
              <w:rPr>
                <w:color w:val="auto"/>
                <w:spacing w:val="-5"/>
                <w:highlight w:val="none"/>
                <w:lang w:eastAsia="zh-CN"/>
              </w:rPr>
              <w:t>包范围内容只有</w:t>
            </w:r>
            <w:r>
              <w:rPr>
                <w:color w:val="auto"/>
                <w:spacing w:val="-24"/>
                <w:highlight w:val="none"/>
                <w:lang w:eastAsia="zh-CN"/>
              </w:rPr>
              <w:t xml:space="preserve"> </w:t>
            </w:r>
            <w:r>
              <w:rPr>
                <w:color w:val="auto"/>
                <w:spacing w:val="-5"/>
                <w:highlight w:val="none"/>
                <w:lang w:eastAsia="zh-CN"/>
              </w:rPr>
              <w:t>1</w:t>
            </w:r>
            <w:r>
              <w:rPr>
                <w:color w:val="auto"/>
                <w:spacing w:val="-43"/>
                <w:highlight w:val="none"/>
                <w:lang w:eastAsia="zh-CN"/>
              </w:rPr>
              <w:t xml:space="preserve"> </w:t>
            </w:r>
            <w:r>
              <w:rPr>
                <w:color w:val="auto"/>
                <w:spacing w:val="-5"/>
                <w:highlight w:val="none"/>
                <w:lang w:eastAsia="zh-CN"/>
              </w:rPr>
              <w:t>项符合的，得</w:t>
            </w:r>
            <w:r>
              <w:rPr>
                <w:color w:val="auto"/>
                <w:spacing w:val="-33"/>
                <w:highlight w:val="none"/>
                <w:lang w:eastAsia="zh-CN"/>
              </w:rPr>
              <w:t xml:space="preserve"> </w:t>
            </w:r>
            <w:r>
              <w:rPr>
                <w:color w:val="auto"/>
                <w:spacing w:val="-5"/>
                <w:highlight w:val="none"/>
                <w:lang w:eastAsia="zh-CN"/>
              </w:rPr>
              <w:t>1</w:t>
            </w:r>
            <w:r>
              <w:rPr>
                <w:color w:val="auto"/>
                <w:spacing w:val="-43"/>
                <w:highlight w:val="none"/>
                <w:lang w:eastAsia="zh-CN"/>
              </w:rPr>
              <w:t xml:space="preserve"> </w:t>
            </w:r>
            <w:r>
              <w:rPr>
                <w:color w:val="auto"/>
                <w:spacing w:val="-5"/>
                <w:highlight w:val="none"/>
                <w:lang w:eastAsia="zh-CN"/>
              </w:rPr>
              <w:t>分。</w:t>
            </w:r>
          </w:p>
          <w:p w14:paraId="41DB7634">
            <w:pPr>
              <w:pStyle w:val="14"/>
              <w:spacing w:before="23" w:line="230" w:lineRule="auto"/>
              <w:ind w:left="117" w:right="106" w:firstLine="437"/>
              <w:rPr>
                <w:color w:val="auto"/>
                <w:highlight w:val="none"/>
                <w:lang w:eastAsia="zh-CN"/>
              </w:rPr>
            </w:pPr>
            <w:r>
              <w:rPr>
                <w:color w:val="auto"/>
                <w:spacing w:val="-3"/>
                <w:highlight w:val="none"/>
                <w:lang w:eastAsia="zh-CN"/>
              </w:rPr>
              <w:t>4、企业近三年（202</w:t>
            </w:r>
            <w:r>
              <w:rPr>
                <w:rFonts w:hint="eastAsia" w:eastAsia="宋体"/>
                <w:color w:val="auto"/>
                <w:spacing w:val="-3"/>
                <w:highlight w:val="none"/>
                <w:lang w:eastAsia="zh-CN"/>
              </w:rPr>
              <w:t>2</w:t>
            </w:r>
            <w:r>
              <w:rPr>
                <w:color w:val="auto"/>
                <w:spacing w:val="-3"/>
                <w:highlight w:val="none"/>
                <w:lang w:eastAsia="zh-CN"/>
              </w:rPr>
              <w:t>年</w:t>
            </w:r>
            <w:r>
              <w:rPr>
                <w:color w:val="auto"/>
                <w:spacing w:val="-30"/>
                <w:highlight w:val="none"/>
                <w:lang w:eastAsia="zh-CN"/>
              </w:rPr>
              <w:t xml:space="preserve"> </w:t>
            </w:r>
            <w:r>
              <w:rPr>
                <w:color w:val="auto"/>
                <w:spacing w:val="-3"/>
                <w:highlight w:val="none"/>
                <w:lang w:eastAsia="zh-CN"/>
              </w:rPr>
              <w:t>1</w:t>
            </w:r>
            <w:r>
              <w:rPr>
                <w:color w:val="auto"/>
                <w:spacing w:val="-43"/>
                <w:highlight w:val="none"/>
                <w:lang w:eastAsia="zh-CN"/>
              </w:rPr>
              <w:t xml:space="preserve"> </w:t>
            </w:r>
            <w:r>
              <w:rPr>
                <w:color w:val="auto"/>
                <w:spacing w:val="-3"/>
                <w:highlight w:val="none"/>
                <w:lang w:eastAsia="zh-CN"/>
              </w:rPr>
              <w:t>月</w:t>
            </w:r>
            <w:r>
              <w:rPr>
                <w:color w:val="auto"/>
                <w:spacing w:val="-30"/>
                <w:highlight w:val="none"/>
                <w:lang w:eastAsia="zh-CN"/>
              </w:rPr>
              <w:t xml:space="preserve"> </w:t>
            </w:r>
            <w:r>
              <w:rPr>
                <w:color w:val="auto"/>
                <w:spacing w:val="-3"/>
                <w:highlight w:val="none"/>
                <w:lang w:eastAsia="zh-CN"/>
              </w:rPr>
              <w:t>1 日以来）没有类似</w:t>
            </w:r>
            <w:r>
              <w:rPr>
                <w:color w:val="auto"/>
                <w:spacing w:val="-4"/>
                <w:highlight w:val="none"/>
                <w:lang w:eastAsia="zh-CN"/>
              </w:rPr>
              <w:t>项目业绩的得</w:t>
            </w:r>
            <w:r>
              <w:rPr>
                <w:color w:val="auto"/>
                <w:spacing w:val="-42"/>
                <w:highlight w:val="none"/>
                <w:lang w:eastAsia="zh-CN"/>
              </w:rPr>
              <w:t xml:space="preserve"> </w:t>
            </w:r>
            <w:r>
              <w:rPr>
                <w:color w:val="auto"/>
                <w:spacing w:val="-4"/>
                <w:highlight w:val="none"/>
                <w:lang w:eastAsia="zh-CN"/>
              </w:rPr>
              <w:t>0</w:t>
            </w:r>
            <w:r>
              <w:rPr>
                <w:color w:val="auto"/>
                <w:spacing w:val="-44"/>
                <w:highlight w:val="none"/>
                <w:lang w:eastAsia="zh-CN"/>
              </w:rPr>
              <w:t xml:space="preserve"> </w:t>
            </w:r>
            <w:r>
              <w:rPr>
                <w:color w:val="auto"/>
                <w:spacing w:val="-4"/>
                <w:highlight w:val="none"/>
                <w:lang w:eastAsia="zh-CN"/>
              </w:rPr>
              <w:t>分。</w:t>
            </w:r>
          </w:p>
          <w:p w14:paraId="677F2A14">
            <w:pPr>
              <w:pStyle w:val="14"/>
              <w:spacing w:before="22" w:line="234" w:lineRule="auto"/>
              <w:ind w:left="113" w:right="108" w:firstLine="441"/>
              <w:jc w:val="both"/>
              <w:rPr>
                <w:b/>
                <w:bCs/>
                <w:color w:val="auto"/>
                <w:spacing w:val="-8"/>
                <w:highlight w:val="none"/>
                <w:lang w:eastAsia="zh-CN"/>
              </w:rPr>
            </w:pPr>
            <w:r>
              <w:rPr>
                <w:b/>
                <w:bCs/>
                <w:color w:val="auto"/>
                <w:spacing w:val="2"/>
                <w:highlight w:val="none"/>
                <w:lang w:eastAsia="zh-CN"/>
              </w:rPr>
              <w:t>注</w:t>
            </w:r>
            <w:r>
              <w:rPr>
                <w:b/>
                <w:bCs/>
                <w:color w:val="auto"/>
                <w:spacing w:val="-26"/>
                <w:highlight w:val="none"/>
                <w:lang w:eastAsia="zh-CN"/>
              </w:rPr>
              <w:t>：（</w:t>
            </w:r>
            <w:r>
              <w:rPr>
                <w:b/>
                <w:bCs/>
                <w:color w:val="auto"/>
                <w:spacing w:val="2"/>
                <w:highlight w:val="none"/>
                <w:lang w:eastAsia="zh-CN"/>
              </w:rPr>
              <w:t>1）类似工程咨询业绩认定标准：服务内容</w:t>
            </w:r>
            <w:r>
              <w:rPr>
                <w:b/>
                <w:bCs/>
                <w:color w:val="auto"/>
                <w:spacing w:val="6"/>
                <w:highlight w:val="none"/>
                <w:lang w:eastAsia="zh-CN"/>
              </w:rPr>
              <w:t>以咨询合同或中标通知书服务范围中是否包含类似项</w:t>
            </w:r>
            <w:r>
              <w:rPr>
                <w:b/>
                <w:bCs/>
                <w:color w:val="auto"/>
                <w:spacing w:val="-5"/>
                <w:highlight w:val="none"/>
                <w:lang w:eastAsia="zh-CN"/>
              </w:rPr>
              <w:t>目工程监理、全过程造价咨询、项目管理等为准，时间</w:t>
            </w:r>
            <w:r>
              <w:rPr>
                <w:b/>
                <w:bCs/>
                <w:color w:val="auto"/>
                <w:highlight w:val="none"/>
                <w:lang w:eastAsia="zh-CN"/>
              </w:rPr>
              <w:t>以合同签订时间为准</w:t>
            </w:r>
            <w:r>
              <w:rPr>
                <w:b/>
                <w:bCs/>
                <w:color w:val="auto"/>
                <w:spacing w:val="-8"/>
                <w:highlight w:val="none"/>
                <w:lang w:eastAsia="zh-CN"/>
              </w:rPr>
              <w:t>；</w:t>
            </w:r>
          </w:p>
          <w:p w14:paraId="5AFA73E8">
            <w:pPr>
              <w:pStyle w:val="14"/>
              <w:spacing w:before="22" w:line="234" w:lineRule="auto"/>
              <w:ind w:left="113" w:leftChars="0" w:right="108" w:rightChars="0" w:firstLine="441" w:firstLineChars="0"/>
              <w:jc w:val="both"/>
              <w:rPr>
                <w:rFonts w:ascii="Arial" w:hAnsi="Arial" w:eastAsia="Arial" w:cs="Arial"/>
                <w:snapToGrid w:val="0"/>
                <w:color w:val="auto"/>
                <w:kern w:val="0"/>
                <w:sz w:val="21"/>
                <w:szCs w:val="21"/>
                <w:highlight w:val="none"/>
                <w:lang w:val="en-US" w:eastAsia="en-US" w:bidi="ar-SA"/>
              </w:rPr>
            </w:pPr>
            <w:r>
              <w:rPr>
                <w:b/>
                <w:bCs/>
                <w:color w:val="auto"/>
                <w:spacing w:val="-8"/>
                <w:highlight w:val="none"/>
                <w:lang w:eastAsia="zh-CN"/>
              </w:rPr>
              <w:t>（</w:t>
            </w:r>
            <w:r>
              <w:rPr>
                <w:b/>
                <w:bCs/>
                <w:color w:val="auto"/>
                <w:highlight w:val="none"/>
                <w:lang w:eastAsia="zh-CN"/>
              </w:rPr>
              <w:t>2）供应商须提供合同</w:t>
            </w:r>
            <w:r>
              <w:rPr>
                <w:rFonts w:hint="eastAsia"/>
                <w:b/>
                <w:bCs/>
                <w:color w:val="auto"/>
                <w:highlight w:val="none"/>
                <w:lang w:val="en-US" w:eastAsia="zh-CN"/>
              </w:rPr>
              <w:t>或</w:t>
            </w:r>
            <w:r>
              <w:rPr>
                <w:b/>
                <w:bCs/>
                <w:color w:val="auto"/>
                <w:highlight w:val="none"/>
                <w:lang w:eastAsia="zh-CN"/>
              </w:rPr>
              <w:t>中标</w:t>
            </w:r>
            <w:r>
              <w:rPr>
                <w:b/>
                <w:bCs/>
                <w:color w:val="auto"/>
                <w:spacing w:val="4"/>
                <w:highlight w:val="none"/>
                <w:lang w:eastAsia="zh-CN"/>
              </w:rPr>
              <w:t>通知书复印件并加盖公章，合同</w:t>
            </w:r>
            <w:r>
              <w:rPr>
                <w:rFonts w:hint="eastAsia"/>
                <w:b/>
                <w:bCs/>
                <w:color w:val="auto"/>
                <w:spacing w:val="4"/>
                <w:highlight w:val="none"/>
                <w:lang w:eastAsia="zh-CN"/>
              </w:rPr>
              <w:t>、</w:t>
            </w:r>
            <w:r>
              <w:rPr>
                <w:rFonts w:hint="eastAsia"/>
                <w:b/>
                <w:bCs/>
                <w:color w:val="auto"/>
                <w:spacing w:val="4"/>
                <w:highlight w:val="none"/>
                <w:lang w:val="en-US" w:eastAsia="zh-CN"/>
              </w:rPr>
              <w:t>中标通知书</w:t>
            </w:r>
            <w:r>
              <w:rPr>
                <w:b/>
                <w:bCs/>
                <w:color w:val="auto"/>
                <w:spacing w:val="4"/>
                <w:highlight w:val="none"/>
                <w:lang w:eastAsia="zh-CN"/>
              </w:rPr>
              <w:t>主要内容页应清晰可</w:t>
            </w:r>
            <w:r>
              <w:rPr>
                <w:b/>
                <w:bCs/>
                <w:color w:val="auto"/>
                <w:spacing w:val="-7"/>
                <w:highlight w:val="none"/>
                <w:lang w:eastAsia="zh-CN"/>
              </w:rPr>
              <w:t>辨。</w:t>
            </w:r>
          </w:p>
        </w:tc>
      </w:tr>
      <w:tr w14:paraId="6D516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53" w:type="dxa"/>
            <w:vMerge w:val="continue"/>
            <w:tcBorders>
              <w:left w:val="single" w:color="auto" w:sz="4" w:space="0"/>
            </w:tcBorders>
            <w:vAlign w:val="top"/>
          </w:tcPr>
          <w:p w14:paraId="5F239F6E">
            <w:pPr>
              <w:pStyle w:val="14"/>
              <w:spacing w:before="72" w:line="184" w:lineRule="auto"/>
              <w:ind w:left="281"/>
              <w:rPr>
                <w:color w:val="auto"/>
                <w:sz w:val="21"/>
                <w:szCs w:val="21"/>
                <w:highlight w:val="none"/>
              </w:rPr>
            </w:pPr>
          </w:p>
        </w:tc>
        <w:tc>
          <w:tcPr>
            <w:tcW w:w="850" w:type="dxa"/>
            <w:vMerge w:val="continue"/>
            <w:tcBorders>
              <w:right w:val="single" w:color="auto" w:sz="4" w:space="0"/>
            </w:tcBorders>
            <w:vAlign w:val="top"/>
          </w:tcPr>
          <w:p w14:paraId="12331B8A">
            <w:pPr>
              <w:pStyle w:val="14"/>
              <w:spacing w:before="72"/>
              <w:ind w:right="151"/>
              <w:rPr>
                <w:color w:val="auto"/>
                <w:spacing w:val="-4"/>
                <w:sz w:val="21"/>
                <w:szCs w:val="21"/>
                <w:highlight w:val="none"/>
              </w:rPr>
            </w:pPr>
          </w:p>
        </w:tc>
        <w:tc>
          <w:tcPr>
            <w:tcW w:w="1370" w:type="dxa"/>
            <w:tcBorders>
              <w:top w:val="single" w:color="auto" w:sz="4" w:space="0"/>
              <w:bottom w:val="single" w:color="auto" w:sz="4" w:space="0"/>
              <w:right w:val="single" w:color="auto" w:sz="4" w:space="0"/>
            </w:tcBorders>
            <w:shd w:val="clear" w:color="auto" w:fill="auto"/>
            <w:vAlign w:val="top"/>
          </w:tcPr>
          <w:p w14:paraId="4C01040F">
            <w:pPr>
              <w:spacing w:line="2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企业实力</w:t>
            </w:r>
          </w:p>
          <w:p w14:paraId="59B28E0F">
            <w:pPr>
              <w:pStyle w:val="14"/>
              <w:spacing w:before="27" w:line="228" w:lineRule="auto"/>
              <w:ind w:left="341" w:leftChars="0"/>
              <w:rPr>
                <w:rFonts w:ascii="Arial" w:hAnsi="Arial" w:eastAsia="Arial" w:cs="Arial"/>
                <w:snapToGrid w:val="0"/>
                <w:color w:val="auto"/>
                <w:kern w:val="0"/>
                <w:sz w:val="21"/>
                <w:szCs w:val="21"/>
                <w:highlight w:val="none"/>
                <w:lang w:val="en-US" w:eastAsia="en-US" w:bidi="ar-SA"/>
              </w:rPr>
            </w:pPr>
            <w:r>
              <w:rPr>
                <w:rFonts w:hint="eastAsia" w:eastAsia="宋体"/>
                <w:color w:val="auto"/>
                <w:highlight w:val="none"/>
                <w:lang w:eastAsia="zh-CN"/>
              </w:rPr>
              <w:t>（</w:t>
            </w:r>
            <w:r>
              <w:rPr>
                <w:rFonts w:hint="eastAsia" w:eastAsiaTheme="minorEastAsia"/>
                <w:color w:val="auto"/>
                <w:spacing w:val="-7"/>
                <w:highlight w:val="none"/>
                <w:lang w:eastAsia="zh-CN"/>
              </w:rPr>
              <w:t>4</w:t>
            </w:r>
            <w:r>
              <w:rPr>
                <w:color w:val="auto"/>
                <w:spacing w:val="-44"/>
                <w:highlight w:val="none"/>
              </w:rPr>
              <w:t xml:space="preserve"> </w:t>
            </w:r>
            <w:r>
              <w:rPr>
                <w:rFonts w:hint="eastAsia" w:ascii="宋体" w:hAnsi="宋体" w:eastAsia="宋体" w:cs="宋体"/>
                <w:color w:val="auto"/>
                <w:spacing w:val="-7"/>
                <w:highlight w:val="none"/>
              </w:rPr>
              <w:t>分</w:t>
            </w:r>
            <w:r>
              <w:rPr>
                <w:rFonts w:hint="eastAsia" w:eastAsia="宋体"/>
                <w:color w:val="auto"/>
                <w:spacing w:val="-7"/>
                <w:highlight w:val="none"/>
                <w:lang w:eastAsia="zh-CN"/>
              </w:rPr>
              <w:t>）</w:t>
            </w:r>
          </w:p>
        </w:tc>
        <w:tc>
          <w:tcPr>
            <w:tcW w:w="5849" w:type="dxa"/>
            <w:tcBorders>
              <w:left w:val="single" w:color="auto" w:sz="4" w:space="0"/>
            </w:tcBorders>
            <w:shd w:val="clear" w:color="auto" w:fill="auto"/>
            <w:vAlign w:val="top"/>
          </w:tcPr>
          <w:p w14:paraId="5E46D8BB">
            <w:pPr>
              <w:pStyle w:val="14"/>
              <w:spacing w:before="26" w:line="236" w:lineRule="auto"/>
              <w:ind w:left="112" w:leftChars="0" w:right="108" w:rightChars="0" w:firstLine="420" w:firstLineChars="0"/>
              <w:jc w:val="both"/>
              <w:rPr>
                <w:rFonts w:ascii="Arial" w:hAnsi="Arial" w:eastAsia="Arial" w:cs="Arial"/>
                <w:snapToGrid w:val="0"/>
                <w:color w:val="auto"/>
                <w:kern w:val="0"/>
                <w:sz w:val="21"/>
                <w:szCs w:val="21"/>
                <w:highlight w:val="none"/>
                <w:lang w:val="en-US" w:eastAsia="en-US" w:bidi="ar-SA"/>
              </w:rPr>
            </w:pPr>
            <w:r>
              <w:rPr>
                <w:rFonts w:hint="eastAsia" w:ascii="宋体" w:hAnsi="宋体" w:eastAsia="宋体" w:cs="宋体"/>
                <w:color w:val="auto"/>
                <w:spacing w:val="-6"/>
                <w:highlight w:val="none"/>
                <w:lang w:eastAsia="zh-CN"/>
              </w:rPr>
              <w:t>企业具有工程监理综合资质、建筑行业设计甲级资质、工程勘察专业类乙级（</w:t>
            </w:r>
            <w:r>
              <w:rPr>
                <w:rFonts w:hint="eastAsia" w:ascii="宋体" w:hAnsi="宋体" w:eastAsia="宋体" w:cs="宋体"/>
                <w:color w:val="auto"/>
                <w:spacing w:val="-6"/>
                <w:highlight w:val="none"/>
                <w:lang w:val="en-US" w:eastAsia="zh-CN"/>
              </w:rPr>
              <w:t>含以上</w:t>
            </w:r>
            <w:r>
              <w:rPr>
                <w:rFonts w:hint="eastAsia" w:ascii="宋体" w:hAnsi="宋体" w:eastAsia="宋体" w:cs="宋体"/>
                <w:color w:val="auto"/>
                <w:spacing w:val="-6"/>
                <w:highlight w:val="none"/>
                <w:lang w:eastAsia="zh-CN"/>
              </w:rPr>
              <w:t>）资质、工程测量乙级（</w:t>
            </w:r>
            <w:r>
              <w:rPr>
                <w:rFonts w:hint="eastAsia" w:ascii="宋体" w:hAnsi="宋体" w:eastAsia="宋体" w:cs="宋体"/>
                <w:color w:val="auto"/>
                <w:spacing w:val="-6"/>
                <w:highlight w:val="none"/>
                <w:lang w:val="en-US" w:eastAsia="zh-CN"/>
              </w:rPr>
              <w:t>含以上</w:t>
            </w:r>
            <w:r>
              <w:rPr>
                <w:rFonts w:hint="eastAsia" w:ascii="宋体" w:hAnsi="宋体" w:eastAsia="宋体" w:cs="宋体"/>
                <w:color w:val="auto"/>
                <w:spacing w:val="-6"/>
                <w:highlight w:val="none"/>
                <w:lang w:eastAsia="zh-CN"/>
              </w:rPr>
              <w:t>）资质</w:t>
            </w:r>
            <w:r>
              <w:rPr>
                <w:rFonts w:hint="eastAsia" w:eastAsia="宋体"/>
                <w:color w:val="auto"/>
                <w:spacing w:val="5"/>
                <w:highlight w:val="none"/>
                <w:lang w:eastAsia="zh-CN"/>
              </w:rPr>
              <w:t>每有一个得1分，总分</w:t>
            </w:r>
            <w:r>
              <w:rPr>
                <w:color w:val="auto"/>
                <w:spacing w:val="-35"/>
                <w:highlight w:val="none"/>
                <w:lang w:eastAsia="zh-CN"/>
              </w:rPr>
              <w:t xml:space="preserve"> </w:t>
            </w:r>
            <w:r>
              <w:rPr>
                <w:rFonts w:hint="eastAsia" w:eastAsiaTheme="minorEastAsia"/>
                <w:color w:val="auto"/>
                <w:spacing w:val="5"/>
                <w:highlight w:val="none"/>
                <w:lang w:eastAsia="zh-CN"/>
              </w:rPr>
              <w:t>4</w:t>
            </w:r>
            <w:r>
              <w:rPr>
                <w:color w:val="auto"/>
                <w:spacing w:val="-35"/>
                <w:highlight w:val="none"/>
                <w:lang w:eastAsia="zh-CN"/>
              </w:rPr>
              <w:t xml:space="preserve"> </w:t>
            </w:r>
            <w:r>
              <w:rPr>
                <w:rFonts w:hint="eastAsia" w:ascii="宋体" w:hAnsi="宋体" w:eastAsia="宋体" w:cs="宋体"/>
                <w:color w:val="auto"/>
                <w:spacing w:val="5"/>
                <w:highlight w:val="none"/>
                <w:lang w:eastAsia="zh-CN"/>
              </w:rPr>
              <w:t>分</w:t>
            </w:r>
          </w:p>
        </w:tc>
      </w:tr>
    </w:tbl>
    <w:p w14:paraId="0F8AB993">
      <w:pPr>
        <w:pStyle w:val="2"/>
        <w:spacing w:before="117" w:line="220" w:lineRule="auto"/>
        <w:ind w:left="3553"/>
        <w:outlineLvl w:val="1"/>
        <w:rPr>
          <w:b/>
          <w:bCs/>
          <w:color w:val="auto"/>
          <w:spacing w:val="-7"/>
          <w:sz w:val="24"/>
          <w:szCs w:val="24"/>
          <w:highlight w:val="none"/>
        </w:rPr>
      </w:pPr>
    </w:p>
    <w:p w14:paraId="613FF3AB">
      <w:pPr>
        <w:pStyle w:val="2"/>
        <w:spacing w:before="117" w:line="220" w:lineRule="auto"/>
        <w:ind w:left="3553"/>
        <w:outlineLvl w:val="1"/>
        <w:rPr>
          <w:b/>
          <w:bCs/>
          <w:color w:val="auto"/>
          <w:spacing w:val="-7"/>
          <w:sz w:val="36"/>
          <w:szCs w:val="36"/>
          <w:highlight w:val="none"/>
        </w:rPr>
      </w:pPr>
    </w:p>
    <w:p w14:paraId="6F5004F8">
      <w:pPr>
        <w:pStyle w:val="2"/>
        <w:spacing w:before="117" w:line="220" w:lineRule="auto"/>
        <w:ind w:left="3553"/>
        <w:outlineLvl w:val="1"/>
        <w:rPr>
          <w:b/>
          <w:bCs/>
          <w:color w:val="auto"/>
          <w:spacing w:val="-7"/>
          <w:sz w:val="36"/>
          <w:szCs w:val="36"/>
          <w:highlight w:val="none"/>
        </w:rPr>
      </w:pPr>
    </w:p>
    <w:p w14:paraId="02683D37">
      <w:pPr>
        <w:pStyle w:val="2"/>
        <w:spacing w:before="117" w:line="220" w:lineRule="auto"/>
        <w:ind w:left="3553"/>
        <w:outlineLvl w:val="1"/>
        <w:rPr>
          <w:b/>
          <w:bCs/>
          <w:color w:val="auto"/>
          <w:spacing w:val="-7"/>
          <w:sz w:val="36"/>
          <w:szCs w:val="36"/>
          <w:highlight w:val="none"/>
        </w:rPr>
      </w:pPr>
    </w:p>
    <w:p w14:paraId="2A0DF33D">
      <w:pPr>
        <w:pStyle w:val="2"/>
        <w:spacing w:before="117" w:line="220" w:lineRule="auto"/>
        <w:ind w:left="3553"/>
        <w:outlineLvl w:val="1"/>
        <w:rPr>
          <w:b/>
          <w:bCs/>
          <w:color w:val="auto"/>
          <w:spacing w:val="-7"/>
          <w:sz w:val="36"/>
          <w:szCs w:val="36"/>
          <w:highlight w:val="none"/>
        </w:rPr>
      </w:pPr>
    </w:p>
    <w:p w14:paraId="39D6454F">
      <w:pPr>
        <w:spacing w:line="242" w:lineRule="auto"/>
        <w:rPr>
          <w:rFonts w:ascii="Arial"/>
          <w:color w:val="auto"/>
          <w:sz w:val="21"/>
          <w:highlight w:val="none"/>
        </w:rPr>
      </w:pPr>
    </w:p>
    <w:p w14:paraId="328297CD">
      <w:pPr>
        <w:spacing w:line="242" w:lineRule="auto"/>
        <w:rPr>
          <w:rFonts w:ascii="Arial"/>
          <w:color w:val="auto"/>
          <w:sz w:val="21"/>
          <w:highlight w:val="none"/>
        </w:rPr>
      </w:pPr>
    </w:p>
    <w:p w14:paraId="77BC1B25">
      <w:pPr>
        <w:spacing w:line="242" w:lineRule="auto"/>
        <w:rPr>
          <w:rFonts w:ascii="Arial"/>
          <w:color w:val="auto"/>
          <w:sz w:val="21"/>
          <w:highlight w:val="none"/>
        </w:rPr>
      </w:pPr>
    </w:p>
    <w:p w14:paraId="489AC525">
      <w:pPr>
        <w:spacing w:line="242" w:lineRule="auto"/>
        <w:rPr>
          <w:rFonts w:ascii="Arial"/>
          <w:color w:val="auto"/>
          <w:sz w:val="21"/>
          <w:highlight w:val="none"/>
        </w:rPr>
      </w:pPr>
    </w:p>
    <w:p w14:paraId="321C9EE7">
      <w:pPr>
        <w:spacing w:line="242" w:lineRule="auto"/>
        <w:rPr>
          <w:rFonts w:ascii="Arial"/>
          <w:color w:val="auto"/>
          <w:sz w:val="21"/>
          <w:highlight w:val="none"/>
        </w:rPr>
      </w:pPr>
    </w:p>
    <w:p w14:paraId="3905E8D4">
      <w:pPr>
        <w:spacing w:line="242" w:lineRule="auto"/>
        <w:rPr>
          <w:rFonts w:ascii="Arial"/>
          <w:color w:val="auto"/>
          <w:sz w:val="21"/>
          <w:highlight w:val="none"/>
        </w:rPr>
      </w:pPr>
    </w:p>
    <w:p w14:paraId="26768B0C">
      <w:pPr>
        <w:spacing w:line="242" w:lineRule="auto"/>
        <w:rPr>
          <w:rFonts w:ascii="Arial"/>
          <w:color w:val="auto"/>
          <w:sz w:val="21"/>
          <w:highlight w:val="none"/>
        </w:rPr>
      </w:pPr>
    </w:p>
    <w:p w14:paraId="25ABFAD2">
      <w:pPr>
        <w:spacing w:line="242" w:lineRule="auto"/>
        <w:rPr>
          <w:rFonts w:ascii="Arial"/>
          <w:color w:val="auto"/>
          <w:sz w:val="21"/>
          <w:highlight w:val="none"/>
        </w:rPr>
      </w:pPr>
    </w:p>
    <w:p w14:paraId="15FEF9FB">
      <w:pPr>
        <w:spacing w:line="242" w:lineRule="auto"/>
        <w:rPr>
          <w:rFonts w:ascii="Arial"/>
          <w:color w:val="auto"/>
          <w:sz w:val="21"/>
          <w:highlight w:val="none"/>
        </w:rPr>
      </w:pPr>
    </w:p>
    <w:p w14:paraId="069F7587">
      <w:pPr>
        <w:spacing w:line="242" w:lineRule="auto"/>
        <w:rPr>
          <w:rFonts w:ascii="Arial"/>
          <w:color w:val="auto"/>
          <w:sz w:val="21"/>
          <w:highlight w:val="none"/>
        </w:rPr>
      </w:pPr>
    </w:p>
    <w:p w14:paraId="47200D84">
      <w:pPr>
        <w:spacing w:line="242" w:lineRule="auto"/>
        <w:rPr>
          <w:rFonts w:ascii="Arial"/>
          <w:color w:val="auto"/>
          <w:sz w:val="21"/>
          <w:highlight w:val="none"/>
        </w:rPr>
      </w:pPr>
    </w:p>
    <w:p w14:paraId="7B248D31">
      <w:pPr>
        <w:spacing w:line="242" w:lineRule="auto"/>
        <w:rPr>
          <w:rFonts w:ascii="Arial"/>
          <w:color w:val="auto"/>
          <w:sz w:val="21"/>
          <w:highlight w:val="none"/>
        </w:rPr>
      </w:pPr>
    </w:p>
    <w:p w14:paraId="6C409CFA">
      <w:pPr>
        <w:spacing w:line="242" w:lineRule="auto"/>
        <w:rPr>
          <w:rFonts w:ascii="Arial"/>
          <w:color w:val="auto"/>
          <w:sz w:val="21"/>
          <w:highlight w:val="none"/>
        </w:rPr>
      </w:pPr>
    </w:p>
    <w:p w14:paraId="217A90CC">
      <w:pPr>
        <w:spacing w:line="242" w:lineRule="auto"/>
        <w:rPr>
          <w:rFonts w:ascii="Arial"/>
          <w:color w:val="auto"/>
          <w:sz w:val="21"/>
          <w:highlight w:val="none"/>
        </w:rPr>
      </w:pPr>
    </w:p>
    <w:p w14:paraId="6CA11B16">
      <w:pPr>
        <w:spacing w:line="242" w:lineRule="auto"/>
        <w:rPr>
          <w:rFonts w:ascii="Arial"/>
          <w:color w:val="auto"/>
          <w:sz w:val="21"/>
          <w:highlight w:val="none"/>
        </w:rPr>
      </w:pPr>
    </w:p>
    <w:p w14:paraId="71919668">
      <w:pPr>
        <w:spacing w:line="242" w:lineRule="auto"/>
        <w:rPr>
          <w:rFonts w:ascii="Arial"/>
          <w:color w:val="auto"/>
          <w:sz w:val="21"/>
          <w:highlight w:val="none"/>
        </w:rPr>
      </w:pPr>
    </w:p>
    <w:p w14:paraId="4DC8CEC4">
      <w:pPr>
        <w:spacing w:line="242" w:lineRule="auto"/>
        <w:rPr>
          <w:rFonts w:ascii="Arial"/>
          <w:color w:val="auto"/>
          <w:sz w:val="21"/>
          <w:highlight w:val="none"/>
        </w:rPr>
      </w:pPr>
    </w:p>
    <w:p w14:paraId="5BBF3533">
      <w:pPr>
        <w:spacing w:line="242" w:lineRule="auto"/>
        <w:rPr>
          <w:rFonts w:ascii="Arial"/>
          <w:color w:val="auto"/>
          <w:sz w:val="21"/>
          <w:highlight w:val="none"/>
        </w:rPr>
      </w:pPr>
    </w:p>
    <w:p w14:paraId="014F69C0">
      <w:pPr>
        <w:spacing w:line="242" w:lineRule="auto"/>
        <w:rPr>
          <w:rFonts w:ascii="Arial"/>
          <w:color w:val="auto"/>
          <w:sz w:val="21"/>
          <w:highlight w:val="none"/>
        </w:rPr>
      </w:pPr>
    </w:p>
    <w:p w14:paraId="40A820E0">
      <w:pPr>
        <w:spacing w:line="242" w:lineRule="auto"/>
        <w:rPr>
          <w:rFonts w:ascii="Arial"/>
          <w:color w:val="auto"/>
          <w:sz w:val="21"/>
          <w:highlight w:val="none"/>
        </w:rPr>
      </w:pPr>
    </w:p>
    <w:p w14:paraId="4722B089">
      <w:pPr>
        <w:spacing w:line="242" w:lineRule="auto"/>
        <w:rPr>
          <w:rFonts w:ascii="Arial"/>
          <w:color w:val="auto"/>
          <w:sz w:val="21"/>
          <w:highlight w:val="none"/>
        </w:rPr>
      </w:pPr>
    </w:p>
    <w:p w14:paraId="0F483E56">
      <w:pPr>
        <w:spacing w:line="242" w:lineRule="auto"/>
        <w:rPr>
          <w:rFonts w:ascii="Arial"/>
          <w:color w:val="auto"/>
          <w:sz w:val="21"/>
          <w:highlight w:val="none"/>
        </w:rPr>
      </w:pPr>
    </w:p>
    <w:p w14:paraId="202418CC">
      <w:pPr>
        <w:spacing w:line="242" w:lineRule="auto"/>
        <w:rPr>
          <w:rFonts w:ascii="Arial"/>
          <w:color w:val="auto"/>
          <w:sz w:val="21"/>
          <w:highlight w:val="none"/>
        </w:rPr>
      </w:pPr>
    </w:p>
    <w:p w14:paraId="2BA0EB2E">
      <w:pPr>
        <w:spacing w:line="242" w:lineRule="auto"/>
        <w:rPr>
          <w:rFonts w:ascii="Arial"/>
          <w:color w:val="auto"/>
          <w:sz w:val="21"/>
          <w:highlight w:val="none"/>
        </w:rPr>
      </w:pPr>
    </w:p>
    <w:p w14:paraId="224DF910">
      <w:pPr>
        <w:spacing w:line="242" w:lineRule="auto"/>
        <w:rPr>
          <w:rFonts w:ascii="Arial"/>
          <w:color w:val="auto"/>
          <w:sz w:val="21"/>
          <w:highlight w:val="none"/>
        </w:rPr>
      </w:pPr>
    </w:p>
    <w:p w14:paraId="0A0134B4">
      <w:pPr>
        <w:spacing w:line="242" w:lineRule="auto"/>
        <w:rPr>
          <w:rFonts w:ascii="Arial"/>
          <w:color w:val="auto"/>
          <w:sz w:val="21"/>
          <w:highlight w:val="none"/>
        </w:rPr>
      </w:pPr>
    </w:p>
    <w:p w14:paraId="6E6FFD1E">
      <w:pPr>
        <w:spacing w:line="242" w:lineRule="auto"/>
        <w:rPr>
          <w:rFonts w:ascii="Arial"/>
          <w:color w:val="auto"/>
          <w:sz w:val="21"/>
          <w:highlight w:val="none"/>
        </w:rPr>
      </w:pPr>
    </w:p>
    <w:p w14:paraId="725183DF">
      <w:pPr>
        <w:spacing w:line="242" w:lineRule="auto"/>
        <w:rPr>
          <w:rFonts w:ascii="Arial"/>
          <w:color w:val="auto"/>
          <w:sz w:val="21"/>
          <w:highlight w:val="none"/>
        </w:rPr>
      </w:pPr>
    </w:p>
    <w:p w14:paraId="5E0AE292">
      <w:pPr>
        <w:spacing w:line="242" w:lineRule="auto"/>
        <w:rPr>
          <w:rFonts w:ascii="Arial"/>
          <w:color w:val="auto"/>
          <w:sz w:val="21"/>
          <w:highlight w:val="none"/>
        </w:rPr>
      </w:pPr>
    </w:p>
    <w:p w14:paraId="3BBA2CDE">
      <w:pPr>
        <w:spacing w:line="242" w:lineRule="auto"/>
        <w:rPr>
          <w:rFonts w:ascii="Arial"/>
          <w:color w:val="auto"/>
          <w:sz w:val="21"/>
          <w:highlight w:val="none"/>
        </w:rPr>
      </w:pPr>
    </w:p>
    <w:p w14:paraId="7E7532D8">
      <w:pPr>
        <w:spacing w:line="242" w:lineRule="auto"/>
        <w:rPr>
          <w:rFonts w:ascii="Arial"/>
          <w:color w:val="auto"/>
          <w:sz w:val="21"/>
          <w:highlight w:val="none"/>
        </w:rPr>
      </w:pPr>
    </w:p>
    <w:p w14:paraId="32D4072D">
      <w:pPr>
        <w:spacing w:line="242" w:lineRule="auto"/>
        <w:rPr>
          <w:rFonts w:ascii="Arial"/>
          <w:color w:val="auto"/>
          <w:sz w:val="21"/>
          <w:highlight w:val="none"/>
        </w:rPr>
      </w:pPr>
    </w:p>
    <w:p w14:paraId="09AB128D">
      <w:pPr>
        <w:spacing w:line="242" w:lineRule="auto"/>
        <w:rPr>
          <w:rFonts w:ascii="Arial"/>
          <w:color w:val="auto"/>
          <w:sz w:val="21"/>
          <w:highlight w:val="none"/>
        </w:rPr>
      </w:pPr>
    </w:p>
    <w:p w14:paraId="44BE69BB">
      <w:pPr>
        <w:spacing w:line="242" w:lineRule="auto"/>
        <w:rPr>
          <w:rFonts w:ascii="Arial"/>
          <w:color w:val="auto"/>
          <w:sz w:val="21"/>
          <w:highlight w:val="none"/>
        </w:rPr>
      </w:pPr>
    </w:p>
    <w:p w14:paraId="389BD87B">
      <w:pPr>
        <w:spacing w:line="242" w:lineRule="auto"/>
        <w:rPr>
          <w:rFonts w:ascii="Arial"/>
          <w:color w:val="auto"/>
          <w:sz w:val="21"/>
          <w:highlight w:val="none"/>
        </w:rPr>
      </w:pPr>
    </w:p>
    <w:p w14:paraId="0F81CC2B">
      <w:pPr>
        <w:spacing w:line="242" w:lineRule="auto"/>
        <w:rPr>
          <w:rFonts w:ascii="Arial"/>
          <w:color w:val="auto"/>
          <w:sz w:val="21"/>
          <w:highlight w:val="none"/>
        </w:rPr>
      </w:pPr>
    </w:p>
    <w:p w14:paraId="3174730D">
      <w:pPr>
        <w:spacing w:line="242" w:lineRule="auto"/>
        <w:rPr>
          <w:rFonts w:ascii="Arial"/>
          <w:color w:val="auto"/>
          <w:sz w:val="21"/>
          <w:highlight w:val="none"/>
        </w:rPr>
      </w:pPr>
    </w:p>
    <w:p w14:paraId="742F4E34">
      <w:pPr>
        <w:spacing w:line="242" w:lineRule="auto"/>
        <w:rPr>
          <w:rFonts w:ascii="Arial"/>
          <w:color w:val="auto"/>
          <w:sz w:val="21"/>
          <w:highlight w:val="none"/>
        </w:rPr>
      </w:pPr>
    </w:p>
    <w:p w14:paraId="6F24F8A4">
      <w:pPr>
        <w:spacing w:line="242" w:lineRule="auto"/>
        <w:rPr>
          <w:rFonts w:ascii="Arial"/>
          <w:color w:val="auto"/>
          <w:sz w:val="21"/>
          <w:highlight w:val="none"/>
        </w:rPr>
      </w:pPr>
    </w:p>
    <w:p w14:paraId="5B1D3435">
      <w:pPr>
        <w:pStyle w:val="2"/>
        <w:spacing w:before="143" w:line="220" w:lineRule="auto"/>
        <w:ind w:left="2970"/>
        <w:outlineLvl w:val="1"/>
        <w:rPr>
          <w:color w:val="auto"/>
          <w:sz w:val="44"/>
          <w:szCs w:val="44"/>
          <w:highlight w:val="none"/>
        </w:rPr>
      </w:pPr>
      <w:r>
        <w:rPr>
          <w:b/>
          <w:bCs/>
          <w:color w:val="auto"/>
          <w:spacing w:val="-21"/>
          <w:sz w:val="44"/>
          <w:szCs w:val="44"/>
          <w:highlight w:val="none"/>
        </w:rPr>
        <w:t>磋</w:t>
      </w:r>
      <w:r>
        <w:rPr>
          <w:color w:val="auto"/>
          <w:spacing w:val="31"/>
          <w:sz w:val="44"/>
          <w:szCs w:val="44"/>
          <w:highlight w:val="none"/>
        </w:rPr>
        <w:t xml:space="preserve"> </w:t>
      </w:r>
      <w:r>
        <w:rPr>
          <w:b/>
          <w:bCs/>
          <w:color w:val="auto"/>
          <w:spacing w:val="-21"/>
          <w:sz w:val="44"/>
          <w:szCs w:val="44"/>
          <w:highlight w:val="none"/>
        </w:rPr>
        <w:t>商</w:t>
      </w:r>
      <w:r>
        <w:rPr>
          <w:color w:val="auto"/>
          <w:spacing w:val="25"/>
          <w:sz w:val="44"/>
          <w:szCs w:val="44"/>
          <w:highlight w:val="none"/>
        </w:rPr>
        <w:t xml:space="preserve"> </w:t>
      </w:r>
      <w:r>
        <w:rPr>
          <w:b/>
          <w:bCs/>
          <w:color w:val="auto"/>
          <w:spacing w:val="-21"/>
          <w:sz w:val="44"/>
          <w:szCs w:val="44"/>
          <w:highlight w:val="none"/>
        </w:rPr>
        <w:t>文</w:t>
      </w:r>
      <w:r>
        <w:rPr>
          <w:color w:val="auto"/>
          <w:spacing w:val="18"/>
          <w:sz w:val="44"/>
          <w:szCs w:val="44"/>
          <w:highlight w:val="none"/>
        </w:rPr>
        <w:t xml:space="preserve"> </w:t>
      </w:r>
      <w:r>
        <w:rPr>
          <w:b/>
          <w:bCs/>
          <w:color w:val="auto"/>
          <w:spacing w:val="-21"/>
          <w:sz w:val="44"/>
          <w:szCs w:val="44"/>
          <w:highlight w:val="none"/>
        </w:rPr>
        <w:t>件</w:t>
      </w:r>
    </w:p>
    <w:p w14:paraId="33941DF0">
      <w:pPr>
        <w:spacing w:line="427" w:lineRule="auto"/>
        <w:rPr>
          <w:rFonts w:ascii="Arial"/>
          <w:color w:val="auto"/>
          <w:sz w:val="21"/>
          <w:highlight w:val="none"/>
        </w:rPr>
      </w:pPr>
    </w:p>
    <w:p w14:paraId="0F2AB76A">
      <w:pPr>
        <w:pStyle w:val="2"/>
        <w:spacing w:before="130" w:line="218" w:lineRule="auto"/>
        <w:ind w:left="1020"/>
        <w:rPr>
          <w:rFonts w:hint="eastAsia" w:eastAsia="宋体"/>
          <w:color w:val="auto"/>
          <w:sz w:val="40"/>
          <w:szCs w:val="40"/>
          <w:highlight w:val="none"/>
          <w:lang w:eastAsia="zh-CN"/>
        </w:rPr>
      </w:pPr>
      <w:r>
        <w:rPr>
          <w:b/>
          <w:bCs/>
          <w:color w:val="auto"/>
          <w:spacing w:val="-4"/>
          <w:sz w:val="40"/>
          <w:szCs w:val="40"/>
          <w:highlight w:val="none"/>
        </w:rPr>
        <w:t>项目编号：</w:t>
      </w:r>
      <w:r>
        <w:rPr>
          <w:rFonts w:hint="eastAsia"/>
          <w:b/>
          <w:bCs/>
          <w:color w:val="auto"/>
          <w:spacing w:val="-4"/>
          <w:sz w:val="40"/>
          <w:szCs w:val="40"/>
          <w:highlight w:val="none"/>
          <w:lang w:eastAsia="zh-CN"/>
        </w:rPr>
        <w:t>XJBT-MGTX(CS)2025-08 号</w:t>
      </w:r>
    </w:p>
    <w:p w14:paraId="2C8FD388">
      <w:pPr>
        <w:spacing w:line="267" w:lineRule="auto"/>
        <w:rPr>
          <w:rFonts w:ascii="Arial"/>
          <w:color w:val="auto"/>
          <w:sz w:val="21"/>
          <w:highlight w:val="none"/>
        </w:rPr>
      </w:pPr>
    </w:p>
    <w:p w14:paraId="08362F57">
      <w:pPr>
        <w:spacing w:line="267" w:lineRule="auto"/>
        <w:rPr>
          <w:rFonts w:ascii="Arial"/>
          <w:color w:val="auto"/>
          <w:sz w:val="21"/>
          <w:highlight w:val="none"/>
        </w:rPr>
      </w:pPr>
    </w:p>
    <w:p w14:paraId="6618ABEB">
      <w:pPr>
        <w:pStyle w:val="2"/>
        <w:spacing w:before="130" w:line="220" w:lineRule="auto"/>
        <w:ind w:left="3381"/>
        <w:rPr>
          <w:color w:val="auto"/>
          <w:sz w:val="40"/>
          <w:szCs w:val="40"/>
          <w:highlight w:val="none"/>
        </w:rPr>
      </w:pPr>
      <w:r>
        <w:rPr>
          <w:b/>
          <w:bCs/>
          <w:color w:val="auto"/>
          <w:spacing w:val="-15"/>
          <w:sz w:val="40"/>
          <w:szCs w:val="40"/>
          <w:highlight w:val="none"/>
        </w:rPr>
        <w:t>第</w:t>
      </w:r>
      <w:r>
        <w:rPr>
          <w:color w:val="auto"/>
          <w:spacing w:val="19"/>
          <w:sz w:val="40"/>
          <w:szCs w:val="40"/>
          <w:highlight w:val="none"/>
        </w:rPr>
        <w:t xml:space="preserve"> </w:t>
      </w:r>
      <w:r>
        <w:rPr>
          <w:b/>
          <w:bCs/>
          <w:color w:val="auto"/>
          <w:spacing w:val="-15"/>
          <w:sz w:val="40"/>
          <w:szCs w:val="40"/>
          <w:highlight w:val="none"/>
        </w:rPr>
        <w:t>三</w:t>
      </w:r>
      <w:r>
        <w:rPr>
          <w:color w:val="auto"/>
          <w:spacing w:val="18"/>
          <w:sz w:val="40"/>
          <w:szCs w:val="40"/>
          <w:highlight w:val="none"/>
        </w:rPr>
        <w:t xml:space="preserve"> </w:t>
      </w:r>
      <w:r>
        <w:rPr>
          <w:b/>
          <w:bCs/>
          <w:color w:val="auto"/>
          <w:spacing w:val="-15"/>
          <w:sz w:val="40"/>
          <w:szCs w:val="40"/>
          <w:highlight w:val="none"/>
        </w:rPr>
        <w:t>册</w:t>
      </w:r>
    </w:p>
    <w:p w14:paraId="5C38CCE6">
      <w:pPr>
        <w:spacing w:line="313" w:lineRule="auto"/>
        <w:rPr>
          <w:rFonts w:ascii="Arial"/>
          <w:color w:val="auto"/>
          <w:sz w:val="21"/>
          <w:highlight w:val="none"/>
        </w:rPr>
      </w:pPr>
    </w:p>
    <w:p w14:paraId="78A67397">
      <w:pPr>
        <w:spacing w:line="313" w:lineRule="auto"/>
        <w:rPr>
          <w:rFonts w:ascii="Arial"/>
          <w:color w:val="auto"/>
          <w:sz w:val="21"/>
          <w:highlight w:val="none"/>
        </w:rPr>
      </w:pPr>
    </w:p>
    <w:p w14:paraId="29C87726">
      <w:pPr>
        <w:spacing w:line="2400" w:lineRule="exact"/>
        <w:ind w:firstLine="4615"/>
        <w:rPr>
          <w:color w:val="auto"/>
          <w:highlight w:val="none"/>
        </w:rPr>
      </w:pPr>
    </w:p>
    <w:p w14:paraId="3872D1B2">
      <w:pPr>
        <w:spacing w:line="2400" w:lineRule="exact"/>
        <w:rPr>
          <w:color w:val="auto"/>
          <w:highlight w:val="none"/>
        </w:rPr>
        <w:sectPr>
          <w:headerReference r:id="rId35" w:type="default"/>
          <w:footerReference r:id="rId36" w:type="default"/>
          <w:pgSz w:w="11907" w:h="16840"/>
          <w:pgMar w:top="1127" w:right="1784" w:bottom="1020" w:left="1785" w:header="870" w:footer="844" w:gutter="0"/>
          <w:pgNumType w:fmt="decimal"/>
          <w:cols w:space="720" w:num="1"/>
        </w:sectPr>
      </w:pPr>
    </w:p>
    <w:p w14:paraId="478B52FA">
      <w:pPr>
        <w:spacing w:line="267" w:lineRule="auto"/>
        <w:rPr>
          <w:rFonts w:ascii="Arial"/>
          <w:color w:val="auto"/>
          <w:sz w:val="21"/>
          <w:highlight w:val="none"/>
        </w:rPr>
      </w:pPr>
    </w:p>
    <w:p w14:paraId="31DAC09A">
      <w:pPr>
        <w:spacing w:line="267" w:lineRule="auto"/>
        <w:rPr>
          <w:rFonts w:ascii="Arial"/>
          <w:color w:val="auto"/>
          <w:sz w:val="21"/>
          <w:highlight w:val="none"/>
        </w:rPr>
      </w:pPr>
    </w:p>
    <w:p w14:paraId="42715EF4">
      <w:pPr>
        <w:spacing w:line="268" w:lineRule="auto"/>
        <w:rPr>
          <w:rFonts w:ascii="Arial"/>
          <w:color w:val="auto"/>
          <w:sz w:val="21"/>
          <w:highlight w:val="none"/>
        </w:rPr>
      </w:pPr>
    </w:p>
    <w:p w14:paraId="233BA5EA">
      <w:pPr>
        <w:spacing w:line="268" w:lineRule="auto"/>
        <w:rPr>
          <w:rFonts w:ascii="Arial"/>
          <w:color w:val="auto"/>
          <w:sz w:val="21"/>
          <w:highlight w:val="none"/>
        </w:rPr>
      </w:pPr>
    </w:p>
    <w:p w14:paraId="6DCAC372">
      <w:pPr>
        <w:spacing w:before="189" w:line="184" w:lineRule="auto"/>
        <w:ind w:left="2391"/>
        <w:outlineLvl w:val="0"/>
        <w:rPr>
          <w:rFonts w:ascii="微软雅黑" w:hAnsi="微软雅黑" w:eastAsia="微软雅黑" w:cs="微软雅黑"/>
          <w:color w:val="auto"/>
          <w:sz w:val="44"/>
          <w:szCs w:val="44"/>
          <w:highlight w:val="none"/>
        </w:rPr>
      </w:pPr>
      <w:r>
        <w:rPr>
          <w:rFonts w:ascii="微软雅黑" w:hAnsi="微软雅黑" w:eastAsia="微软雅黑" w:cs="微软雅黑"/>
          <w:b/>
          <w:bCs/>
          <w:color w:val="auto"/>
          <w:spacing w:val="-1"/>
          <w:sz w:val="44"/>
          <w:szCs w:val="44"/>
          <w:highlight w:val="none"/>
        </w:rPr>
        <w:t>第七章</w:t>
      </w:r>
      <w:r>
        <w:rPr>
          <w:rFonts w:ascii="微软雅黑" w:hAnsi="微软雅黑" w:eastAsia="微软雅黑" w:cs="微软雅黑"/>
          <w:b/>
          <w:bCs/>
          <w:color w:val="auto"/>
          <w:spacing w:val="17"/>
          <w:sz w:val="44"/>
          <w:szCs w:val="44"/>
          <w:highlight w:val="none"/>
        </w:rPr>
        <w:t xml:space="preserve">   </w:t>
      </w:r>
      <w:r>
        <w:rPr>
          <w:rFonts w:ascii="微软雅黑" w:hAnsi="微软雅黑" w:eastAsia="微软雅黑" w:cs="微软雅黑"/>
          <w:b/>
          <w:bCs/>
          <w:color w:val="auto"/>
          <w:spacing w:val="-1"/>
          <w:sz w:val="44"/>
          <w:szCs w:val="44"/>
          <w:highlight w:val="none"/>
        </w:rPr>
        <w:t>政府采购合同</w:t>
      </w:r>
    </w:p>
    <w:p w14:paraId="74B174C4">
      <w:pPr>
        <w:spacing w:line="266" w:lineRule="auto"/>
        <w:rPr>
          <w:rFonts w:ascii="Arial"/>
          <w:color w:val="auto"/>
          <w:sz w:val="21"/>
          <w:highlight w:val="none"/>
        </w:rPr>
      </w:pPr>
    </w:p>
    <w:p w14:paraId="7009CC84">
      <w:pPr>
        <w:spacing w:line="267" w:lineRule="auto"/>
        <w:rPr>
          <w:rFonts w:ascii="Arial"/>
          <w:color w:val="auto"/>
          <w:sz w:val="21"/>
          <w:highlight w:val="none"/>
        </w:rPr>
      </w:pPr>
    </w:p>
    <w:p w14:paraId="563F3E50">
      <w:pPr>
        <w:spacing w:before="103" w:line="183" w:lineRule="auto"/>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合同编号：</w:t>
      </w:r>
      <w:r>
        <w:rPr>
          <w:rFonts w:ascii="微软雅黑" w:hAnsi="微软雅黑" w:eastAsia="微软雅黑" w:cs="微软雅黑"/>
          <w:color w:val="auto"/>
          <w:sz w:val="24"/>
          <w:szCs w:val="24"/>
          <w:highlight w:val="none"/>
          <w:u w:val="single" w:color="auto"/>
        </w:rPr>
        <w:t xml:space="preserve">                   </w:t>
      </w:r>
    </w:p>
    <w:p w14:paraId="7B419400">
      <w:pPr>
        <w:spacing w:line="249" w:lineRule="auto"/>
        <w:rPr>
          <w:rFonts w:ascii="Arial"/>
          <w:color w:val="auto"/>
          <w:sz w:val="21"/>
          <w:highlight w:val="none"/>
        </w:rPr>
      </w:pPr>
    </w:p>
    <w:p w14:paraId="18A7E8F5">
      <w:pPr>
        <w:spacing w:line="250" w:lineRule="auto"/>
        <w:rPr>
          <w:rFonts w:ascii="Arial"/>
          <w:color w:val="auto"/>
          <w:sz w:val="21"/>
          <w:highlight w:val="none"/>
        </w:rPr>
      </w:pPr>
    </w:p>
    <w:p w14:paraId="0E35DC85">
      <w:pPr>
        <w:spacing w:line="250" w:lineRule="auto"/>
        <w:rPr>
          <w:rFonts w:ascii="Arial"/>
          <w:color w:val="auto"/>
          <w:sz w:val="21"/>
          <w:highlight w:val="none"/>
        </w:rPr>
      </w:pPr>
    </w:p>
    <w:p w14:paraId="7D3C16E5">
      <w:pPr>
        <w:spacing w:line="250" w:lineRule="auto"/>
        <w:rPr>
          <w:rFonts w:ascii="Arial"/>
          <w:color w:val="auto"/>
          <w:sz w:val="21"/>
          <w:highlight w:val="none"/>
        </w:rPr>
      </w:pPr>
    </w:p>
    <w:p w14:paraId="7A806F12">
      <w:pPr>
        <w:spacing w:line="250" w:lineRule="auto"/>
        <w:rPr>
          <w:rFonts w:ascii="Arial"/>
          <w:color w:val="auto"/>
          <w:sz w:val="21"/>
          <w:highlight w:val="none"/>
        </w:rPr>
      </w:pPr>
    </w:p>
    <w:p w14:paraId="79E36787">
      <w:pPr>
        <w:spacing w:before="103" w:line="183" w:lineRule="auto"/>
        <w:ind w:left="3392"/>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政府采购合同参考范本</w:t>
      </w:r>
    </w:p>
    <w:p w14:paraId="0865AB5F">
      <w:pPr>
        <w:spacing w:before="26" w:line="183" w:lineRule="auto"/>
        <w:ind w:left="4021"/>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1"/>
          <w:sz w:val="24"/>
          <w:szCs w:val="24"/>
          <w:highlight w:val="none"/>
        </w:rPr>
        <w:t>（服务类）</w:t>
      </w:r>
    </w:p>
    <w:p w14:paraId="4CEC8BDB">
      <w:pPr>
        <w:spacing w:line="312" w:lineRule="auto"/>
        <w:rPr>
          <w:rFonts w:ascii="Arial"/>
          <w:color w:val="auto"/>
          <w:sz w:val="21"/>
          <w:highlight w:val="none"/>
        </w:rPr>
      </w:pPr>
    </w:p>
    <w:p w14:paraId="03ADED63">
      <w:pPr>
        <w:spacing w:line="312" w:lineRule="auto"/>
        <w:rPr>
          <w:rFonts w:ascii="Arial"/>
          <w:color w:val="auto"/>
          <w:sz w:val="21"/>
          <w:highlight w:val="none"/>
        </w:rPr>
      </w:pPr>
    </w:p>
    <w:p w14:paraId="17C5AD4B">
      <w:pPr>
        <w:spacing w:line="313" w:lineRule="auto"/>
        <w:rPr>
          <w:rFonts w:ascii="Arial"/>
          <w:color w:val="auto"/>
          <w:sz w:val="21"/>
          <w:highlight w:val="none"/>
        </w:rPr>
      </w:pPr>
    </w:p>
    <w:p w14:paraId="364EC53F">
      <w:pPr>
        <w:spacing w:before="103" w:line="183" w:lineRule="auto"/>
        <w:ind w:left="3690"/>
        <w:rPr>
          <w:rFonts w:ascii="微软雅黑" w:hAnsi="微软雅黑" w:eastAsia="微软雅黑" w:cs="微软雅黑"/>
          <w:color w:val="auto"/>
          <w:sz w:val="24"/>
          <w:szCs w:val="24"/>
          <w:highlight w:val="none"/>
        </w:rPr>
      </w:pPr>
      <w:r>
        <w:rPr>
          <w:rFonts w:ascii="微软雅黑" w:hAnsi="微软雅黑" w:eastAsia="微软雅黑" w:cs="微软雅黑"/>
          <w:b/>
          <w:bCs/>
          <w:color w:val="auto"/>
          <w:sz w:val="24"/>
          <w:szCs w:val="24"/>
          <w:highlight w:val="none"/>
        </w:rPr>
        <w:t>第一部分 合同书</w:t>
      </w:r>
    </w:p>
    <w:p w14:paraId="333B8DFE">
      <w:pPr>
        <w:spacing w:line="293" w:lineRule="auto"/>
        <w:rPr>
          <w:rFonts w:ascii="Arial"/>
          <w:color w:val="auto"/>
          <w:sz w:val="21"/>
          <w:highlight w:val="none"/>
        </w:rPr>
      </w:pPr>
    </w:p>
    <w:p w14:paraId="4A13098D">
      <w:pPr>
        <w:spacing w:line="294" w:lineRule="auto"/>
        <w:rPr>
          <w:rFonts w:ascii="Arial"/>
          <w:color w:val="auto"/>
          <w:sz w:val="21"/>
          <w:highlight w:val="none"/>
        </w:rPr>
      </w:pPr>
    </w:p>
    <w:p w14:paraId="52089BEF">
      <w:pPr>
        <w:spacing w:line="294" w:lineRule="auto"/>
        <w:rPr>
          <w:rFonts w:ascii="Arial"/>
          <w:color w:val="auto"/>
          <w:sz w:val="21"/>
          <w:highlight w:val="none"/>
        </w:rPr>
      </w:pPr>
    </w:p>
    <w:p w14:paraId="2568C8BA">
      <w:pPr>
        <w:spacing w:line="294" w:lineRule="auto"/>
        <w:rPr>
          <w:rFonts w:ascii="Arial"/>
          <w:color w:val="auto"/>
          <w:sz w:val="21"/>
          <w:highlight w:val="none"/>
        </w:rPr>
      </w:pPr>
    </w:p>
    <w:p w14:paraId="270E887F">
      <w:pPr>
        <w:spacing w:before="103" w:line="183" w:lineRule="auto"/>
        <w:ind w:left="95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项目名称：</w:t>
      </w:r>
      <w:r>
        <w:rPr>
          <w:rFonts w:ascii="微软雅黑" w:hAnsi="微软雅黑" w:eastAsia="微软雅黑" w:cs="微软雅黑"/>
          <w:color w:val="auto"/>
          <w:sz w:val="24"/>
          <w:szCs w:val="24"/>
          <w:highlight w:val="none"/>
          <w:u w:val="single" w:color="auto"/>
        </w:rPr>
        <w:t xml:space="preserve">                                                            </w:t>
      </w:r>
    </w:p>
    <w:p w14:paraId="111F042D">
      <w:pPr>
        <w:spacing w:line="259" w:lineRule="auto"/>
        <w:rPr>
          <w:rFonts w:ascii="Arial"/>
          <w:color w:val="auto"/>
          <w:sz w:val="21"/>
          <w:highlight w:val="none"/>
        </w:rPr>
      </w:pPr>
    </w:p>
    <w:p w14:paraId="44D627D7">
      <w:pPr>
        <w:spacing w:line="259" w:lineRule="auto"/>
        <w:rPr>
          <w:rFonts w:ascii="Arial"/>
          <w:color w:val="auto"/>
          <w:sz w:val="21"/>
          <w:highlight w:val="none"/>
        </w:rPr>
      </w:pPr>
    </w:p>
    <w:p w14:paraId="6F43CCCF">
      <w:pPr>
        <w:spacing w:line="259" w:lineRule="auto"/>
        <w:rPr>
          <w:rFonts w:ascii="Arial"/>
          <w:color w:val="auto"/>
          <w:sz w:val="21"/>
          <w:highlight w:val="none"/>
        </w:rPr>
      </w:pPr>
    </w:p>
    <w:p w14:paraId="07CC8009">
      <w:pPr>
        <w:spacing w:line="259" w:lineRule="auto"/>
        <w:rPr>
          <w:rFonts w:ascii="Arial"/>
          <w:color w:val="auto"/>
          <w:sz w:val="21"/>
          <w:highlight w:val="none"/>
        </w:rPr>
      </w:pPr>
    </w:p>
    <w:p w14:paraId="412E404D">
      <w:pPr>
        <w:spacing w:line="259" w:lineRule="auto"/>
        <w:rPr>
          <w:rFonts w:ascii="Arial"/>
          <w:color w:val="auto"/>
          <w:sz w:val="21"/>
          <w:highlight w:val="none"/>
        </w:rPr>
      </w:pPr>
    </w:p>
    <w:p w14:paraId="55612D05">
      <w:pPr>
        <w:spacing w:before="102" w:line="183" w:lineRule="auto"/>
        <w:ind w:left="98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9"/>
          <w:sz w:val="24"/>
          <w:szCs w:val="24"/>
          <w:highlight w:val="none"/>
        </w:rPr>
        <w:t>甲方：</w:t>
      </w:r>
      <w:r>
        <w:rPr>
          <w:rFonts w:ascii="微软雅黑" w:hAnsi="微软雅黑" w:eastAsia="微软雅黑" w:cs="微软雅黑"/>
          <w:color w:val="auto"/>
          <w:sz w:val="24"/>
          <w:szCs w:val="24"/>
          <w:highlight w:val="none"/>
          <w:u w:val="single" w:color="auto"/>
        </w:rPr>
        <w:t xml:space="preserve">                                                                  </w:t>
      </w:r>
    </w:p>
    <w:p w14:paraId="35AEC151">
      <w:pPr>
        <w:spacing w:line="249" w:lineRule="auto"/>
        <w:rPr>
          <w:rFonts w:ascii="Arial"/>
          <w:color w:val="auto"/>
          <w:sz w:val="21"/>
          <w:highlight w:val="none"/>
        </w:rPr>
      </w:pPr>
    </w:p>
    <w:p w14:paraId="2D425A09">
      <w:pPr>
        <w:spacing w:line="250" w:lineRule="auto"/>
        <w:rPr>
          <w:rFonts w:ascii="Arial"/>
          <w:color w:val="auto"/>
          <w:sz w:val="21"/>
          <w:highlight w:val="none"/>
        </w:rPr>
      </w:pPr>
    </w:p>
    <w:p w14:paraId="663092BD">
      <w:pPr>
        <w:spacing w:before="104" w:line="183" w:lineRule="auto"/>
        <w:ind w:left="97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乙方：</w:t>
      </w:r>
      <w:r>
        <w:rPr>
          <w:rFonts w:ascii="微软雅黑" w:hAnsi="微软雅黑" w:eastAsia="微软雅黑" w:cs="微软雅黑"/>
          <w:color w:val="auto"/>
          <w:spacing w:val="-2"/>
          <w:sz w:val="24"/>
          <w:szCs w:val="24"/>
          <w:highlight w:val="none"/>
          <w:u w:val="single" w:color="auto"/>
        </w:rPr>
        <w:t xml:space="preserve">                                           </w:t>
      </w:r>
      <w:r>
        <w:rPr>
          <w:rFonts w:ascii="微软雅黑" w:hAnsi="微软雅黑" w:eastAsia="微软雅黑" w:cs="微软雅黑"/>
          <w:color w:val="auto"/>
          <w:spacing w:val="-3"/>
          <w:sz w:val="24"/>
          <w:szCs w:val="24"/>
          <w:highlight w:val="none"/>
          <w:u w:val="single" w:color="auto"/>
        </w:rPr>
        <w:t xml:space="preserve">                         </w:t>
      </w:r>
    </w:p>
    <w:p w14:paraId="7D038D2A">
      <w:pPr>
        <w:spacing w:line="250" w:lineRule="auto"/>
        <w:rPr>
          <w:rFonts w:ascii="Arial"/>
          <w:color w:val="auto"/>
          <w:sz w:val="21"/>
          <w:highlight w:val="none"/>
        </w:rPr>
      </w:pPr>
    </w:p>
    <w:p w14:paraId="14D3A443">
      <w:pPr>
        <w:spacing w:line="251" w:lineRule="auto"/>
        <w:rPr>
          <w:rFonts w:ascii="Arial"/>
          <w:color w:val="auto"/>
          <w:sz w:val="21"/>
          <w:highlight w:val="none"/>
        </w:rPr>
      </w:pPr>
    </w:p>
    <w:p w14:paraId="4F4751D6">
      <w:pPr>
        <w:spacing w:before="104" w:line="182" w:lineRule="auto"/>
        <w:ind w:left="959"/>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签订地：</w:t>
      </w:r>
      <w:r>
        <w:rPr>
          <w:rFonts w:ascii="微软雅黑" w:hAnsi="微软雅黑" w:eastAsia="微软雅黑" w:cs="微软雅黑"/>
          <w:color w:val="auto"/>
          <w:sz w:val="24"/>
          <w:szCs w:val="24"/>
          <w:highlight w:val="none"/>
          <w:u w:val="single" w:color="auto"/>
        </w:rPr>
        <w:t xml:space="preserve">                         </w:t>
      </w:r>
      <w:r>
        <w:rPr>
          <w:rFonts w:ascii="微软雅黑" w:hAnsi="微软雅黑" w:eastAsia="微软雅黑" w:cs="微软雅黑"/>
          <w:color w:val="auto"/>
          <w:spacing w:val="-1"/>
          <w:sz w:val="24"/>
          <w:szCs w:val="24"/>
          <w:highlight w:val="none"/>
          <w:u w:val="single" w:color="auto"/>
        </w:rPr>
        <w:t xml:space="preserve">                                      </w:t>
      </w:r>
    </w:p>
    <w:p w14:paraId="090ED057">
      <w:pPr>
        <w:spacing w:line="249" w:lineRule="auto"/>
        <w:rPr>
          <w:rFonts w:ascii="Arial"/>
          <w:color w:val="auto"/>
          <w:sz w:val="21"/>
          <w:highlight w:val="none"/>
        </w:rPr>
      </w:pPr>
    </w:p>
    <w:p w14:paraId="165B696F">
      <w:pPr>
        <w:spacing w:line="250" w:lineRule="auto"/>
        <w:rPr>
          <w:rFonts w:ascii="Arial"/>
          <w:color w:val="auto"/>
          <w:sz w:val="21"/>
          <w:highlight w:val="none"/>
        </w:rPr>
      </w:pPr>
    </w:p>
    <w:p w14:paraId="06CDA930">
      <w:pPr>
        <w:spacing w:before="104" w:line="183" w:lineRule="auto"/>
        <w:ind w:left="95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签订日期：</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z w:val="24"/>
          <w:szCs w:val="24"/>
          <w:highlight w:val="none"/>
          <w:u w:val="single" w:color="auto"/>
        </w:rPr>
        <w:t xml:space="preserve">  </w:t>
      </w:r>
      <w:r>
        <w:rPr>
          <w:rFonts w:ascii="微软雅黑" w:hAnsi="微软雅黑" w:eastAsia="微软雅黑" w:cs="微软雅黑"/>
          <w:color w:val="auto"/>
          <w:spacing w:val="-66"/>
          <w:sz w:val="24"/>
          <w:szCs w:val="24"/>
          <w:highlight w:val="none"/>
        </w:rPr>
        <w:t xml:space="preserve"> </w:t>
      </w:r>
      <w:r>
        <w:rPr>
          <w:rFonts w:ascii="微软雅黑" w:hAnsi="微软雅黑" w:eastAsia="微软雅黑" w:cs="微软雅黑"/>
          <w:color w:val="auto"/>
          <w:spacing w:val="-2"/>
          <w:sz w:val="24"/>
          <w:szCs w:val="24"/>
          <w:highlight w:val="none"/>
        </w:rPr>
        <w:t>年</w:t>
      </w:r>
      <w:r>
        <w:rPr>
          <w:rFonts w:ascii="微软雅黑" w:hAnsi="微软雅黑" w:eastAsia="微软雅黑" w:cs="微软雅黑"/>
          <w:color w:val="auto"/>
          <w:spacing w:val="5"/>
          <w:sz w:val="24"/>
          <w:szCs w:val="24"/>
          <w:highlight w:val="none"/>
          <w:u w:val="single" w:color="auto"/>
        </w:rPr>
        <w:t xml:space="preserve">           </w:t>
      </w:r>
      <w:r>
        <w:rPr>
          <w:rFonts w:ascii="微软雅黑" w:hAnsi="微软雅黑" w:eastAsia="微软雅黑" w:cs="微软雅黑"/>
          <w:color w:val="auto"/>
          <w:spacing w:val="-58"/>
          <w:sz w:val="24"/>
          <w:szCs w:val="24"/>
          <w:highlight w:val="none"/>
        </w:rPr>
        <w:t xml:space="preserve"> </w:t>
      </w:r>
      <w:r>
        <w:rPr>
          <w:rFonts w:ascii="微软雅黑" w:hAnsi="微软雅黑" w:eastAsia="微软雅黑" w:cs="微软雅黑"/>
          <w:color w:val="auto"/>
          <w:spacing w:val="-2"/>
          <w:sz w:val="24"/>
          <w:szCs w:val="24"/>
          <w:highlight w:val="none"/>
        </w:rPr>
        <w:t>月</w:t>
      </w:r>
      <w:r>
        <w:rPr>
          <w:rFonts w:ascii="微软雅黑" w:hAnsi="微软雅黑" w:eastAsia="微软雅黑" w:cs="微软雅黑"/>
          <w:color w:val="auto"/>
          <w:spacing w:val="5"/>
          <w:sz w:val="24"/>
          <w:szCs w:val="24"/>
          <w:highlight w:val="none"/>
          <w:u w:val="single" w:color="auto"/>
        </w:rPr>
        <w:t xml:space="preserve">           </w:t>
      </w:r>
      <w:r>
        <w:rPr>
          <w:rFonts w:ascii="微软雅黑" w:hAnsi="微软雅黑" w:eastAsia="微软雅黑" w:cs="微软雅黑"/>
          <w:color w:val="auto"/>
          <w:spacing w:val="-31"/>
          <w:sz w:val="24"/>
          <w:szCs w:val="24"/>
          <w:highlight w:val="none"/>
        </w:rPr>
        <w:t xml:space="preserve"> </w:t>
      </w:r>
      <w:r>
        <w:rPr>
          <w:rFonts w:ascii="微软雅黑" w:hAnsi="微软雅黑" w:eastAsia="微软雅黑" w:cs="微软雅黑"/>
          <w:color w:val="auto"/>
          <w:spacing w:val="-2"/>
          <w:sz w:val="24"/>
          <w:szCs w:val="24"/>
          <w:highlight w:val="none"/>
        </w:rPr>
        <w:t>日</w:t>
      </w:r>
    </w:p>
    <w:p w14:paraId="63986E2D">
      <w:pPr>
        <w:spacing w:line="259" w:lineRule="auto"/>
        <w:rPr>
          <w:rFonts w:ascii="Arial"/>
          <w:color w:val="auto"/>
          <w:sz w:val="21"/>
          <w:highlight w:val="none"/>
        </w:rPr>
      </w:pPr>
    </w:p>
    <w:p w14:paraId="64DE602B">
      <w:pPr>
        <w:spacing w:line="259" w:lineRule="auto"/>
        <w:rPr>
          <w:rFonts w:ascii="Arial"/>
          <w:color w:val="auto"/>
          <w:sz w:val="21"/>
          <w:highlight w:val="none"/>
        </w:rPr>
      </w:pPr>
    </w:p>
    <w:p w14:paraId="0D1DA0FD">
      <w:pPr>
        <w:spacing w:line="259" w:lineRule="auto"/>
        <w:rPr>
          <w:rFonts w:ascii="Arial"/>
          <w:color w:val="auto"/>
          <w:sz w:val="21"/>
          <w:highlight w:val="none"/>
        </w:rPr>
      </w:pPr>
    </w:p>
    <w:p w14:paraId="2A990A2E">
      <w:pPr>
        <w:spacing w:line="259" w:lineRule="auto"/>
        <w:rPr>
          <w:rFonts w:ascii="Arial"/>
          <w:color w:val="auto"/>
          <w:sz w:val="21"/>
          <w:highlight w:val="none"/>
        </w:rPr>
      </w:pPr>
    </w:p>
    <w:p w14:paraId="3DCD7982">
      <w:pPr>
        <w:spacing w:line="259" w:lineRule="auto"/>
        <w:rPr>
          <w:rFonts w:ascii="Arial"/>
          <w:color w:val="auto"/>
          <w:sz w:val="21"/>
          <w:highlight w:val="none"/>
        </w:rPr>
      </w:pPr>
    </w:p>
    <w:p w14:paraId="323209A5">
      <w:pPr>
        <w:spacing w:line="259" w:lineRule="auto"/>
        <w:rPr>
          <w:rFonts w:ascii="Arial"/>
          <w:color w:val="auto"/>
          <w:sz w:val="21"/>
          <w:highlight w:val="none"/>
        </w:rPr>
      </w:pPr>
    </w:p>
    <w:p w14:paraId="680B3B58">
      <w:pPr>
        <w:spacing w:line="259" w:lineRule="auto"/>
        <w:rPr>
          <w:rFonts w:ascii="Arial"/>
          <w:color w:val="auto"/>
          <w:sz w:val="21"/>
          <w:highlight w:val="none"/>
        </w:rPr>
      </w:pPr>
    </w:p>
    <w:p w14:paraId="357D4D6E">
      <w:pPr>
        <w:spacing w:line="250" w:lineRule="auto"/>
        <w:rPr>
          <w:rFonts w:ascii="Arial"/>
          <w:color w:val="auto"/>
          <w:sz w:val="21"/>
          <w:highlight w:val="none"/>
        </w:rPr>
      </w:pPr>
    </w:p>
    <w:p w14:paraId="06FF17D9">
      <w:pPr>
        <w:spacing w:line="250" w:lineRule="auto"/>
        <w:rPr>
          <w:rFonts w:ascii="Arial"/>
          <w:color w:val="auto"/>
          <w:sz w:val="21"/>
          <w:highlight w:val="none"/>
        </w:rPr>
      </w:pPr>
    </w:p>
    <w:p w14:paraId="40B2EB19">
      <w:pPr>
        <w:tabs>
          <w:tab w:val="left" w:pos="1453"/>
        </w:tabs>
        <w:spacing w:before="103" w:line="196" w:lineRule="auto"/>
        <w:ind w:left="17" w:right="233" w:firstLine="476"/>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u w:val="single" w:color="auto"/>
        </w:rPr>
        <w:tab/>
      </w:r>
      <w:r>
        <w:rPr>
          <w:rFonts w:ascii="微软雅黑" w:hAnsi="微软雅黑" w:eastAsia="微软雅黑" w:cs="微软雅黑"/>
          <w:color w:val="auto"/>
          <w:spacing w:val="-66"/>
          <w:sz w:val="24"/>
          <w:szCs w:val="24"/>
          <w:highlight w:val="none"/>
        </w:rPr>
        <w:t xml:space="preserve"> </w:t>
      </w:r>
      <w:r>
        <w:rPr>
          <w:rFonts w:ascii="微软雅黑" w:hAnsi="微软雅黑" w:eastAsia="微软雅黑" w:cs="微软雅黑"/>
          <w:color w:val="auto"/>
          <w:spacing w:val="-1"/>
          <w:sz w:val="24"/>
          <w:szCs w:val="24"/>
          <w:highlight w:val="none"/>
        </w:rPr>
        <w:t>年</w:t>
      </w:r>
      <w:r>
        <w:rPr>
          <w:rFonts w:ascii="微软雅黑" w:hAnsi="微软雅黑" w:eastAsia="微软雅黑" w:cs="微软雅黑"/>
          <w:color w:val="auto"/>
          <w:spacing w:val="-71"/>
          <w:sz w:val="24"/>
          <w:szCs w:val="24"/>
          <w:highlight w:val="none"/>
        </w:rPr>
        <w:t xml:space="preserve"> </w:t>
      </w:r>
      <w:r>
        <w:rPr>
          <w:rFonts w:ascii="微软雅黑" w:hAnsi="微软雅黑" w:eastAsia="微软雅黑" w:cs="微软雅黑"/>
          <w:color w:val="auto"/>
          <w:spacing w:val="9"/>
          <w:sz w:val="24"/>
          <w:szCs w:val="24"/>
          <w:highlight w:val="none"/>
          <w:u w:val="single" w:color="auto"/>
        </w:rPr>
        <w:t xml:space="preserve">      </w:t>
      </w:r>
      <w:r>
        <w:rPr>
          <w:rFonts w:ascii="微软雅黑" w:hAnsi="微软雅黑" w:eastAsia="微软雅黑" w:cs="微软雅黑"/>
          <w:color w:val="auto"/>
          <w:spacing w:val="-59"/>
          <w:sz w:val="24"/>
          <w:szCs w:val="24"/>
          <w:highlight w:val="none"/>
        </w:rPr>
        <w:t xml:space="preserve"> </w:t>
      </w:r>
      <w:r>
        <w:rPr>
          <w:rFonts w:ascii="微软雅黑" w:hAnsi="微软雅黑" w:eastAsia="微软雅黑" w:cs="微软雅黑"/>
          <w:color w:val="auto"/>
          <w:spacing w:val="-1"/>
          <w:sz w:val="24"/>
          <w:szCs w:val="24"/>
          <w:highlight w:val="none"/>
        </w:rPr>
        <w:t>月</w:t>
      </w:r>
      <w:r>
        <w:rPr>
          <w:rFonts w:ascii="微软雅黑" w:hAnsi="微软雅黑" w:eastAsia="微软雅黑" w:cs="微软雅黑"/>
          <w:color w:val="auto"/>
          <w:spacing w:val="-70"/>
          <w:sz w:val="24"/>
          <w:szCs w:val="24"/>
          <w:highlight w:val="none"/>
        </w:rPr>
        <w:t xml:space="preserve"> </w:t>
      </w:r>
      <w:r>
        <w:rPr>
          <w:rFonts w:ascii="微软雅黑" w:hAnsi="微软雅黑" w:eastAsia="微软雅黑" w:cs="微软雅黑"/>
          <w:color w:val="auto"/>
          <w:spacing w:val="9"/>
          <w:sz w:val="24"/>
          <w:szCs w:val="24"/>
          <w:highlight w:val="none"/>
          <w:u w:val="single" w:color="auto"/>
        </w:rPr>
        <w:t xml:space="preserve">      </w:t>
      </w:r>
      <w:r>
        <w:rPr>
          <w:rFonts w:ascii="微软雅黑" w:hAnsi="微软雅黑" w:eastAsia="微软雅黑" w:cs="微软雅黑"/>
          <w:color w:val="auto"/>
          <w:spacing w:val="-32"/>
          <w:sz w:val="24"/>
          <w:szCs w:val="24"/>
          <w:highlight w:val="none"/>
        </w:rPr>
        <w:t xml:space="preserve"> </w:t>
      </w:r>
      <w:r>
        <w:rPr>
          <w:rFonts w:ascii="微软雅黑" w:hAnsi="微软雅黑" w:eastAsia="微软雅黑" w:cs="微软雅黑"/>
          <w:color w:val="auto"/>
          <w:spacing w:val="-1"/>
          <w:sz w:val="24"/>
          <w:szCs w:val="24"/>
          <w:highlight w:val="none"/>
        </w:rPr>
        <w:t>日</w:t>
      </w:r>
      <w:r>
        <w:rPr>
          <w:rFonts w:ascii="微软雅黑" w:hAnsi="微软雅黑" w:eastAsia="微软雅黑" w:cs="微软雅黑"/>
          <w:color w:val="auto"/>
          <w:spacing w:val="-4"/>
          <w:sz w:val="24"/>
          <w:szCs w:val="24"/>
          <w:highlight w:val="none"/>
        </w:rPr>
        <w:t>，</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4"/>
          <w:sz w:val="24"/>
          <w:szCs w:val="24"/>
          <w:highlight w:val="none"/>
          <w:u w:val="single" w:color="auto"/>
        </w:rPr>
        <w:t>（</w:t>
      </w:r>
      <w:r>
        <w:rPr>
          <w:rFonts w:ascii="微软雅黑" w:hAnsi="微软雅黑" w:eastAsia="微软雅黑" w:cs="微软雅黑"/>
          <w:color w:val="auto"/>
          <w:spacing w:val="-1"/>
          <w:sz w:val="24"/>
          <w:szCs w:val="24"/>
          <w:highlight w:val="none"/>
          <w:u w:val="single" w:color="auto"/>
        </w:rPr>
        <w:t xml:space="preserve">采购人名称）     </w:t>
      </w:r>
      <w:r>
        <w:rPr>
          <w:rFonts w:ascii="微软雅黑" w:hAnsi="微软雅黑" w:eastAsia="微软雅黑" w:cs="微软雅黑"/>
          <w:color w:val="auto"/>
          <w:spacing w:val="-57"/>
          <w:sz w:val="24"/>
          <w:szCs w:val="24"/>
          <w:highlight w:val="none"/>
        </w:rPr>
        <w:t xml:space="preserve"> </w:t>
      </w:r>
      <w:r>
        <w:rPr>
          <w:rFonts w:ascii="微软雅黑" w:hAnsi="微软雅黑" w:eastAsia="微软雅黑" w:cs="微软雅黑"/>
          <w:color w:val="auto"/>
          <w:spacing w:val="-1"/>
          <w:sz w:val="24"/>
          <w:szCs w:val="24"/>
          <w:highlight w:val="none"/>
        </w:rPr>
        <w:t>以</w:t>
      </w:r>
      <w:r>
        <w:rPr>
          <w:rFonts w:ascii="微软雅黑" w:hAnsi="微软雅黑" w:eastAsia="微软雅黑" w:cs="微软雅黑"/>
          <w:color w:val="auto"/>
          <w:spacing w:val="-1"/>
          <w:sz w:val="24"/>
          <w:szCs w:val="24"/>
          <w:highlight w:val="none"/>
          <w:u w:val="single" w:color="auto"/>
        </w:rPr>
        <w:t xml:space="preserve">     （政府采购方式）</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6"/>
          <w:sz w:val="24"/>
          <w:szCs w:val="24"/>
          <w:highlight w:val="none"/>
        </w:rPr>
        <w:t>对</w:t>
      </w:r>
      <w:r>
        <w:rPr>
          <w:rFonts w:ascii="微软雅黑" w:hAnsi="微软雅黑" w:eastAsia="微软雅黑" w:cs="微软雅黑"/>
          <w:color w:val="auto"/>
          <w:spacing w:val="-59"/>
          <w:sz w:val="24"/>
          <w:szCs w:val="24"/>
          <w:highlight w:val="none"/>
        </w:rPr>
        <w:t xml:space="preserve"> </w:t>
      </w:r>
      <w:r>
        <w:rPr>
          <w:rFonts w:ascii="微软雅黑" w:hAnsi="微软雅黑" w:eastAsia="微软雅黑" w:cs="微软雅黑"/>
          <w:color w:val="auto"/>
          <w:spacing w:val="6"/>
          <w:sz w:val="24"/>
          <w:szCs w:val="24"/>
          <w:highlight w:val="none"/>
          <w:u w:val="single" w:color="auto"/>
        </w:rPr>
        <w:t xml:space="preserve">     （同前页项目名称）     </w:t>
      </w:r>
      <w:r>
        <w:rPr>
          <w:rFonts w:ascii="微软雅黑" w:hAnsi="微软雅黑" w:eastAsia="微软雅黑" w:cs="微软雅黑"/>
          <w:color w:val="auto"/>
          <w:spacing w:val="6"/>
          <w:sz w:val="24"/>
          <w:szCs w:val="24"/>
          <w:highlight w:val="none"/>
        </w:rPr>
        <w:t>项目进行了采购。经</w:t>
      </w:r>
      <w:r>
        <w:rPr>
          <w:rFonts w:ascii="微软雅黑" w:hAnsi="微软雅黑" w:eastAsia="微软雅黑" w:cs="微软雅黑"/>
          <w:color w:val="auto"/>
          <w:spacing w:val="-64"/>
          <w:sz w:val="24"/>
          <w:szCs w:val="24"/>
          <w:highlight w:val="none"/>
        </w:rPr>
        <w:t xml:space="preserve"> </w:t>
      </w:r>
      <w:r>
        <w:rPr>
          <w:rFonts w:ascii="微软雅黑" w:hAnsi="微软雅黑" w:eastAsia="微软雅黑" w:cs="微软雅黑"/>
          <w:color w:val="auto"/>
          <w:spacing w:val="6"/>
          <w:sz w:val="24"/>
          <w:szCs w:val="24"/>
          <w:highlight w:val="none"/>
          <w:u w:val="single" w:color="auto"/>
        </w:rPr>
        <w:t xml:space="preserve">     （相关评定主体名称）</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4"/>
          <w:sz w:val="24"/>
          <w:szCs w:val="24"/>
          <w:highlight w:val="none"/>
        </w:rPr>
        <w:t>评定</w:t>
      </w:r>
      <w:r>
        <w:rPr>
          <w:rFonts w:ascii="微软雅黑" w:hAnsi="微软雅黑" w:eastAsia="微软雅黑" w:cs="微软雅黑"/>
          <w:color w:val="auto"/>
          <w:spacing w:val="8"/>
          <w:sz w:val="24"/>
          <w:szCs w:val="24"/>
          <w:highlight w:val="none"/>
        </w:rPr>
        <w:t>，</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8"/>
          <w:sz w:val="24"/>
          <w:szCs w:val="24"/>
          <w:highlight w:val="none"/>
          <w:u w:val="single" w:color="auto"/>
        </w:rPr>
        <w:t>（</w:t>
      </w:r>
      <w:r>
        <w:rPr>
          <w:rFonts w:ascii="微软雅黑" w:hAnsi="微软雅黑" w:eastAsia="微软雅黑" w:cs="微软雅黑"/>
          <w:color w:val="auto"/>
          <w:spacing w:val="-4"/>
          <w:sz w:val="24"/>
          <w:szCs w:val="24"/>
          <w:highlight w:val="none"/>
          <w:u w:val="single" w:color="auto"/>
        </w:rPr>
        <w:t>中标供应商名称）</w:t>
      </w:r>
      <w:r>
        <w:rPr>
          <w:rFonts w:ascii="微软雅黑" w:hAnsi="微软雅黑" w:eastAsia="微软雅黑" w:cs="微软雅黑"/>
          <w:color w:val="auto"/>
          <w:spacing w:val="50"/>
          <w:sz w:val="24"/>
          <w:szCs w:val="24"/>
          <w:highlight w:val="none"/>
          <w:u w:val="single" w:color="auto"/>
        </w:rPr>
        <w:t xml:space="preserve"> </w:t>
      </w:r>
      <w:r>
        <w:rPr>
          <w:rFonts w:ascii="微软雅黑" w:hAnsi="微软雅黑" w:eastAsia="微软雅黑" w:cs="微软雅黑"/>
          <w:color w:val="auto"/>
          <w:spacing w:val="-63"/>
          <w:sz w:val="24"/>
          <w:szCs w:val="24"/>
          <w:highlight w:val="none"/>
        </w:rPr>
        <w:t xml:space="preserve"> </w:t>
      </w:r>
      <w:r>
        <w:rPr>
          <w:rFonts w:ascii="微软雅黑" w:hAnsi="微软雅黑" w:eastAsia="微软雅黑" w:cs="微软雅黑"/>
          <w:color w:val="auto"/>
          <w:spacing w:val="-4"/>
          <w:sz w:val="24"/>
          <w:szCs w:val="24"/>
          <w:highlight w:val="none"/>
        </w:rPr>
        <w:t>为该项目中标供应商。现于中标通知书发出之日</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起三十日内，按照采购文件确定的事项签订本合</w:t>
      </w:r>
      <w:r>
        <w:rPr>
          <w:rFonts w:ascii="微软雅黑" w:hAnsi="微软雅黑" w:eastAsia="微软雅黑" w:cs="微软雅黑"/>
          <w:color w:val="auto"/>
          <w:spacing w:val="-3"/>
          <w:sz w:val="24"/>
          <w:szCs w:val="24"/>
          <w:highlight w:val="none"/>
        </w:rPr>
        <w:t>同。</w:t>
      </w:r>
    </w:p>
    <w:p w14:paraId="1C409670">
      <w:pPr>
        <w:spacing w:before="13" w:line="183" w:lineRule="auto"/>
        <w:ind w:left="49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根据《</w:t>
      </w:r>
      <w:r>
        <w:rPr>
          <w:rFonts w:hint="eastAsia" w:ascii="微软雅黑" w:hAnsi="微软雅黑" w:eastAsia="微软雅黑" w:cs="微软雅黑"/>
          <w:color w:val="auto"/>
          <w:spacing w:val="-3"/>
          <w:sz w:val="24"/>
          <w:szCs w:val="24"/>
          <w:highlight w:val="none"/>
          <w:lang w:val="en-US" w:eastAsia="zh-CN"/>
        </w:rPr>
        <w:t>民法典</w:t>
      </w:r>
      <w:r>
        <w:rPr>
          <w:rFonts w:ascii="微软雅黑" w:hAnsi="微软雅黑" w:eastAsia="微软雅黑" w:cs="微软雅黑"/>
          <w:color w:val="auto"/>
          <w:spacing w:val="-3"/>
          <w:sz w:val="24"/>
          <w:szCs w:val="24"/>
          <w:highlight w:val="none"/>
        </w:rPr>
        <w:t>》、《中华人民共和国政府采购法》等相关法</w:t>
      </w:r>
    </w:p>
    <w:p w14:paraId="6C2CF98E">
      <w:pPr>
        <w:spacing w:before="26" w:line="193" w:lineRule="auto"/>
        <w:ind w:left="1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律法规之规定，按照平等、自愿、公平和诚实信用的原则，经</w:t>
      </w:r>
      <w:r>
        <w:rPr>
          <w:rFonts w:ascii="微软雅黑" w:hAnsi="微软雅黑" w:eastAsia="微软雅黑" w:cs="微软雅黑"/>
          <w:color w:val="auto"/>
          <w:sz w:val="24"/>
          <w:szCs w:val="24"/>
          <w:highlight w:val="none"/>
          <w:u w:val="single" w:color="auto"/>
        </w:rPr>
        <w:t xml:space="preserve">     （采购人名称）</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(以下简称：</w:t>
      </w:r>
      <w:r>
        <w:rPr>
          <w:rFonts w:ascii="微软雅黑" w:hAnsi="微软雅黑" w:eastAsia="微软雅黑" w:cs="微软雅黑"/>
          <w:color w:val="auto"/>
          <w:spacing w:val="-41"/>
          <w:sz w:val="24"/>
          <w:szCs w:val="24"/>
          <w:highlight w:val="none"/>
        </w:rPr>
        <w:t xml:space="preserve"> </w:t>
      </w:r>
      <w:r>
        <w:rPr>
          <w:rFonts w:ascii="微软雅黑" w:hAnsi="微软雅黑" w:eastAsia="微软雅黑" w:cs="微软雅黑"/>
          <w:color w:val="auto"/>
          <w:spacing w:val="1"/>
          <w:sz w:val="24"/>
          <w:szCs w:val="24"/>
          <w:highlight w:val="none"/>
        </w:rPr>
        <w:t>甲方)和</w:t>
      </w:r>
      <w:r>
        <w:rPr>
          <w:rFonts w:ascii="微软雅黑" w:hAnsi="微软雅黑" w:eastAsia="微软雅黑" w:cs="微软雅黑"/>
          <w:color w:val="auto"/>
          <w:spacing w:val="1"/>
          <w:sz w:val="24"/>
          <w:szCs w:val="24"/>
          <w:highlight w:val="none"/>
          <w:u w:val="single" w:color="auto"/>
        </w:rPr>
        <w:t xml:space="preserve">     （中标供应商名</w:t>
      </w:r>
      <w:r>
        <w:rPr>
          <w:rFonts w:ascii="微软雅黑" w:hAnsi="微软雅黑" w:eastAsia="微软雅黑" w:cs="微软雅黑"/>
          <w:color w:val="auto"/>
          <w:sz w:val="24"/>
          <w:szCs w:val="24"/>
          <w:highlight w:val="none"/>
          <w:u w:val="single" w:color="auto"/>
        </w:rPr>
        <w:t xml:space="preserve">称）     </w:t>
      </w:r>
      <w:r>
        <w:rPr>
          <w:rFonts w:ascii="微软雅黑" w:hAnsi="微软雅黑" w:eastAsia="微软雅黑" w:cs="微软雅黑"/>
          <w:color w:val="auto"/>
          <w:spacing w:val="-53"/>
          <w:sz w:val="24"/>
          <w:szCs w:val="24"/>
          <w:highlight w:val="none"/>
        </w:rPr>
        <w:t xml:space="preserve"> </w:t>
      </w:r>
      <w:r>
        <w:rPr>
          <w:rFonts w:ascii="微软雅黑" w:hAnsi="微软雅黑" w:eastAsia="微软雅黑" w:cs="微软雅黑"/>
          <w:color w:val="auto"/>
          <w:sz w:val="24"/>
          <w:szCs w:val="24"/>
          <w:highlight w:val="none"/>
        </w:rPr>
        <w:t xml:space="preserve">(以下简称：乙方)协商一致，约    </w:t>
      </w:r>
      <w:r>
        <w:rPr>
          <w:rFonts w:ascii="微软雅黑" w:hAnsi="微软雅黑" w:eastAsia="微软雅黑" w:cs="微软雅黑"/>
          <w:color w:val="auto"/>
          <w:spacing w:val="-3"/>
          <w:sz w:val="24"/>
          <w:szCs w:val="24"/>
          <w:highlight w:val="none"/>
        </w:rPr>
        <w:t>定以下合同条款，以兹共同遵守、全面履行。</w:t>
      </w:r>
    </w:p>
    <w:p w14:paraId="662D40DC">
      <w:pPr>
        <w:spacing w:before="25" w:line="183" w:lineRule="auto"/>
        <w:ind w:left="51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1.1 合同组成部分</w:t>
      </w:r>
    </w:p>
    <w:p w14:paraId="2E325AD8">
      <w:pPr>
        <w:spacing w:before="22" w:line="198" w:lineRule="auto"/>
        <w:ind w:left="17" w:right="46" w:firstLine="482"/>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下列文件为本合同的组成部分，并构成一个整体，需综合解释</w:t>
      </w:r>
      <w:r>
        <w:rPr>
          <w:rFonts w:ascii="微软雅黑" w:hAnsi="微软雅黑" w:eastAsia="微软雅黑" w:cs="微软雅黑"/>
          <w:color w:val="auto"/>
          <w:spacing w:val="2"/>
          <w:sz w:val="24"/>
          <w:szCs w:val="24"/>
          <w:highlight w:val="none"/>
        </w:rPr>
        <w:t>、相互补充</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如果下列文件内容出现不一致的情形，那么在保证按照采购文件确定的事项的前</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2"/>
          <w:sz w:val="24"/>
          <w:szCs w:val="24"/>
          <w:highlight w:val="none"/>
        </w:rPr>
        <w:t>提下，组成本合同的多个文件的优先适用顺序如下：</w:t>
      </w:r>
    </w:p>
    <w:p w14:paraId="4C671222">
      <w:pPr>
        <w:spacing w:before="4" w:line="198" w:lineRule="auto"/>
        <w:ind w:left="519" w:right="390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1.1.1 本合同及其补充合同、变更协议</w:t>
      </w:r>
      <w:r>
        <w:rPr>
          <w:rFonts w:ascii="微软雅黑" w:hAnsi="微软雅黑" w:eastAsia="微软雅黑" w:cs="微软雅黑"/>
          <w:color w:val="auto"/>
          <w:spacing w:val="13"/>
          <w:sz w:val="24"/>
          <w:szCs w:val="24"/>
          <w:highlight w:val="none"/>
        </w:rPr>
        <w:t xml:space="preserve"> </w:t>
      </w:r>
      <w:r>
        <w:rPr>
          <w:rFonts w:ascii="微软雅黑" w:hAnsi="微软雅黑" w:eastAsia="微软雅黑" w:cs="微软雅黑"/>
          <w:color w:val="auto"/>
          <w:spacing w:val="-8"/>
          <w:sz w:val="24"/>
          <w:szCs w:val="24"/>
          <w:highlight w:val="none"/>
        </w:rPr>
        <w:t>1.1.2</w:t>
      </w:r>
      <w:r>
        <w:rPr>
          <w:rFonts w:ascii="微软雅黑" w:hAnsi="微软雅黑" w:eastAsia="微软雅黑" w:cs="微软雅黑"/>
          <w:color w:val="auto"/>
          <w:spacing w:val="28"/>
          <w:sz w:val="24"/>
          <w:szCs w:val="24"/>
          <w:highlight w:val="none"/>
        </w:rPr>
        <w:t xml:space="preserve"> </w:t>
      </w:r>
      <w:r>
        <w:rPr>
          <w:rFonts w:ascii="微软雅黑" w:hAnsi="微软雅黑" w:eastAsia="微软雅黑" w:cs="微软雅黑"/>
          <w:color w:val="auto"/>
          <w:spacing w:val="-8"/>
          <w:sz w:val="24"/>
          <w:szCs w:val="24"/>
          <w:highlight w:val="none"/>
        </w:rPr>
        <w:t>中标通知书；</w:t>
      </w:r>
    </w:p>
    <w:p w14:paraId="610455F4">
      <w:pPr>
        <w:spacing w:line="196" w:lineRule="auto"/>
        <w:ind w:left="519" w:right="3662"/>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1.1.3 响应文件（含澄清或者说明文件</w:t>
      </w:r>
      <w:r>
        <w:rPr>
          <w:rFonts w:ascii="微软雅黑" w:hAnsi="微软雅黑" w:eastAsia="微软雅黑" w:cs="微软雅黑"/>
          <w:color w:val="auto"/>
          <w:spacing w:val="4"/>
          <w:sz w:val="24"/>
          <w:szCs w:val="24"/>
          <w:highlight w:val="none"/>
        </w:rPr>
        <w:t>）</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4"/>
          <w:sz w:val="24"/>
          <w:szCs w:val="24"/>
          <w:highlight w:val="none"/>
        </w:rPr>
        <w:t>1.1.4 磋商文件（含澄清或者修改文件</w:t>
      </w:r>
      <w:r>
        <w:rPr>
          <w:rFonts w:ascii="微软雅黑" w:hAnsi="微软雅黑" w:eastAsia="微软雅黑" w:cs="微软雅黑"/>
          <w:color w:val="auto"/>
          <w:spacing w:val="4"/>
          <w:sz w:val="24"/>
          <w:szCs w:val="24"/>
          <w:highlight w:val="none"/>
        </w:rPr>
        <w:t>）</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5"/>
          <w:sz w:val="24"/>
          <w:szCs w:val="24"/>
          <w:highlight w:val="none"/>
        </w:rPr>
        <w:t>1.1.5 其他相关采购文件。</w:t>
      </w:r>
    </w:p>
    <w:p w14:paraId="02405ECC">
      <w:pPr>
        <w:spacing w:before="14" w:line="182" w:lineRule="auto"/>
        <w:ind w:left="51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rPr>
        <w:t>1.2 标的</w:t>
      </w:r>
    </w:p>
    <w:p w14:paraId="6AEEBB90">
      <w:pPr>
        <w:spacing w:before="25" w:line="198" w:lineRule="auto"/>
        <w:ind w:left="519" w:right="253"/>
        <w:jc w:val="left"/>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1.2.1 标的名称</w:t>
      </w:r>
      <w:r>
        <w:rPr>
          <w:rFonts w:ascii="微软雅黑" w:hAnsi="微软雅黑" w:eastAsia="微软雅黑" w:cs="微软雅黑"/>
          <w:color w:val="auto"/>
          <w:spacing w:val="-21"/>
          <w:sz w:val="24"/>
          <w:szCs w:val="24"/>
          <w:highlight w:val="none"/>
        </w:rPr>
        <w:t xml:space="preserve">： </w:t>
      </w:r>
      <w:r>
        <w:rPr>
          <w:rFonts w:ascii="微软雅黑" w:hAnsi="微软雅黑" w:eastAsia="微软雅黑" w:cs="微软雅黑"/>
          <w:color w:val="auto"/>
          <w:sz w:val="24"/>
          <w:szCs w:val="24"/>
          <w:highlight w:val="none"/>
          <w:u w:val="single" w:color="auto"/>
        </w:rPr>
        <w:t xml:space="preserve">                                                                                 </w:t>
      </w:r>
      <w:r>
        <w:rPr>
          <w:rFonts w:ascii="微软雅黑" w:hAnsi="微软雅黑" w:eastAsia="微软雅黑" w:cs="微软雅黑"/>
          <w:color w:val="auto"/>
          <w:spacing w:val="8"/>
          <w:sz w:val="24"/>
          <w:szCs w:val="24"/>
          <w:highlight w:val="none"/>
        </w:rPr>
        <w:t xml:space="preserve"> </w:t>
      </w:r>
      <w:r>
        <w:rPr>
          <w:rFonts w:ascii="微软雅黑" w:hAnsi="微软雅黑" w:eastAsia="微软雅黑" w:cs="微软雅黑"/>
          <w:color w:val="auto"/>
          <w:spacing w:val="-3"/>
          <w:sz w:val="24"/>
          <w:szCs w:val="24"/>
          <w:highlight w:val="none"/>
        </w:rPr>
        <w:t>1.2.2 标的数量</w:t>
      </w:r>
      <w:r>
        <w:rPr>
          <w:rFonts w:ascii="微软雅黑" w:hAnsi="微软雅黑" w:eastAsia="微软雅黑" w:cs="微软雅黑"/>
          <w:color w:val="auto"/>
          <w:spacing w:val="-21"/>
          <w:sz w:val="24"/>
          <w:szCs w:val="24"/>
          <w:highlight w:val="none"/>
        </w:rPr>
        <w:t xml:space="preserve">： </w:t>
      </w:r>
      <w:r>
        <w:rPr>
          <w:rFonts w:ascii="微软雅黑" w:hAnsi="微软雅黑" w:eastAsia="微软雅黑" w:cs="微软雅黑"/>
          <w:color w:val="auto"/>
          <w:sz w:val="24"/>
          <w:szCs w:val="24"/>
          <w:highlight w:val="none"/>
          <w:u w:val="single" w:color="auto"/>
        </w:rPr>
        <w:t xml:space="preserve">                                                                                 </w:t>
      </w:r>
      <w:r>
        <w:rPr>
          <w:rFonts w:ascii="微软雅黑" w:hAnsi="微软雅黑" w:eastAsia="微软雅黑" w:cs="微软雅黑"/>
          <w:color w:val="auto"/>
          <w:spacing w:val="-3"/>
          <w:sz w:val="24"/>
          <w:szCs w:val="24"/>
          <w:highlight w:val="none"/>
        </w:rPr>
        <w:t>1.2.3 标的质量：</w:t>
      </w:r>
      <w:r>
        <w:rPr>
          <w:rFonts w:ascii="微软雅黑" w:hAnsi="微软雅黑" w:eastAsia="微软雅黑" w:cs="微软雅黑"/>
          <w:color w:val="auto"/>
          <w:spacing w:val="-12"/>
          <w:sz w:val="24"/>
          <w:szCs w:val="24"/>
          <w:highlight w:val="none"/>
        </w:rPr>
        <w:t xml:space="preserve"> </w:t>
      </w:r>
      <w:r>
        <w:rPr>
          <w:rFonts w:ascii="微软雅黑" w:hAnsi="微软雅黑" w:eastAsia="微软雅黑" w:cs="微软雅黑"/>
          <w:color w:val="auto"/>
          <w:spacing w:val="-3"/>
          <w:sz w:val="24"/>
          <w:szCs w:val="24"/>
          <w:highlight w:val="none"/>
          <w:u w:val="single" w:color="auto"/>
        </w:rPr>
        <w:t xml:space="preserve">                                                                                    </w:t>
      </w:r>
    </w:p>
    <w:p w14:paraId="37346B91">
      <w:pPr>
        <w:spacing w:before="2" w:line="183" w:lineRule="auto"/>
        <w:ind w:left="51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rPr>
        <w:t>1.3 价款</w:t>
      </w:r>
    </w:p>
    <w:p w14:paraId="635029BE">
      <w:pPr>
        <w:spacing w:before="27" w:line="178" w:lineRule="auto"/>
        <w:ind w:left="496" w:right="192" w:firstLine="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本合同总价为：￥</w:t>
      </w:r>
      <w:r>
        <w:rPr>
          <w:rFonts w:ascii="微软雅黑" w:hAnsi="微软雅黑" w:eastAsia="微软雅黑" w:cs="微软雅黑"/>
          <w:color w:val="auto"/>
          <w:spacing w:val="-5"/>
          <w:sz w:val="24"/>
          <w:szCs w:val="24"/>
          <w:highlight w:val="none"/>
        </w:rPr>
        <w:t xml:space="preserve"> </w:t>
      </w:r>
      <w:r>
        <w:rPr>
          <w:rFonts w:ascii="微软雅黑" w:hAnsi="微软雅黑" w:eastAsia="微软雅黑" w:cs="微软雅黑"/>
          <w:color w:val="auto"/>
          <w:spacing w:val="2"/>
          <w:sz w:val="24"/>
          <w:szCs w:val="24"/>
          <w:highlight w:val="none"/>
          <w:u w:val="single" w:color="auto"/>
        </w:rPr>
        <w:t xml:space="preserve">                  </w:t>
      </w:r>
      <w:r>
        <w:rPr>
          <w:rFonts w:ascii="微软雅黑" w:hAnsi="微软雅黑" w:eastAsia="微软雅黑" w:cs="微软雅黑"/>
          <w:color w:val="auto"/>
          <w:spacing w:val="-62"/>
          <w:sz w:val="24"/>
          <w:szCs w:val="24"/>
          <w:highlight w:val="none"/>
        </w:rPr>
        <w:t xml:space="preserve"> </w:t>
      </w:r>
      <w:r>
        <w:rPr>
          <w:rFonts w:ascii="微软雅黑" w:hAnsi="微软雅黑" w:eastAsia="微软雅黑" w:cs="微软雅黑"/>
          <w:color w:val="auto"/>
          <w:spacing w:val="-3"/>
          <w:sz w:val="24"/>
          <w:szCs w:val="24"/>
          <w:highlight w:val="none"/>
        </w:rPr>
        <w:t>元（大写：</w:t>
      </w:r>
      <w:r>
        <w:rPr>
          <w:rFonts w:ascii="微软雅黑" w:hAnsi="微软雅黑" w:eastAsia="微软雅黑" w:cs="微软雅黑"/>
          <w:color w:val="auto"/>
          <w:spacing w:val="-3"/>
          <w:sz w:val="24"/>
          <w:szCs w:val="24"/>
          <w:highlight w:val="none"/>
          <w:u w:val="single" w:color="auto"/>
        </w:rPr>
        <w:t xml:space="preserve">                             </w:t>
      </w:r>
      <w:r>
        <w:rPr>
          <w:rFonts w:ascii="微软雅黑" w:hAnsi="微软雅黑" w:eastAsia="微软雅黑" w:cs="微软雅黑"/>
          <w:color w:val="auto"/>
          <w:spacing w:val="-67"/>
          <w:sz w:val="24"/>
          <w:szCs w:val="24"/>
          <w:highlight w:val="none"/>
        </w:rPr>
        <w:t xml:space="preserve"> </w:t>
      </w:r>
      <w:r>
        <w:rPr>
          <w:rFonts w:ascii="微软雅黑" w:hAnsi="微软雅黑" w:eastAsia="微软雅黑" w:cs="微软雅黑"/>
          <w:color w:val="auto"/>
          <w:spacing w:val="-3"/>
          <w:sz w:val="24"/>
          <w:szCs w:val="24"/>
          <w:highlight w:val="none"/>
        </w:rPr>
        <w:t>元人民币）</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8"/>
          <w:sz w:val="24"/>
          <w:szCs w:val="24"/>
          <w:highlight w:val="none"/>
        </w:rPr>
        <w:t>分项价格：</w:t>
      </w:r>
    </w:p>
    <w:tbl>
      <w:tblPr>
        <w:tblStyle w:val="13"/>
        <w:tblW w:w="7154" w:type="dxa"/>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3397"/>
        <w:gridCol w:w="2553"/>
      </w:tblGrid>
      <w:tr w14:paraId="131AD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04" w:type="dxa"/>
            <w:vAlign w:val="top"/>
          </w:tcPr>
          <w:p w14:paraId="2A0BD613">
            <w:pPr>
              <w:spacing w:before="80" w:line="164" w:lineRule="auto"/>
              <w:ind w:left="35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序号</w:t>
            </w:r>
          </w:p>
        </w:tc>
        <w:tc>
          <w:tcPr>
            <w:tcW w:w="3397" w:type="dxa"/>
            <w:vAlign w:val="top"/>
          </w:tcPr>
          <w:p w14:paraId="0F65297A">
            <w:pPr>
              <w:spacing w:before="82" w:line="163" w:lineRule="auto"/>
              <w:ind w:left="131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分项名称</w:t>
            </w:r>
          </w:p>
        </w:tc>
        <w:tc>
          <w:tcPr>
            <w:tcW w:w="2553" w:type="dxa"/>
            <w:vAlign w:val="top"/>
          </w:tcPr>
          <w:p w14:paraId="159BDD2E">
            <w:pPr>
              <w:spacing w:before="82" w:line="163" w:lineRule="auto"/>
              <w:ind w:left="79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分项价格</w:t>
            </w:r>
          </w:p>
        </w:tc>
      </w:tr>
      <w:tr w14:paraId="307B2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204" w:type="dxa"/>
            <w:vAlign w:val="top"/>
          </w:tcPr>
          <w:p w14:paraId="3653412A">
            <w:pPr>
              <w:pStyle w:val="14"/>
              <w:rPr>
                <w:color w:val="auto"/>
                <w:highlight w:val="none"/>
              </w:rPr>
            </w:pPr>
          </w:p>
        </w:tc>
        <w:tc>
          <w:tcPr>
            <w:tcW w:w="3397" w:type="dxa"/>
            <w:vAlign w:val="top"/>
          </w:tcPr>
          <w:p w14:paraId="0DFD008D">
            <w:pPr>
              <w:pStyle w:val="14"/>
              <w:rPr>
                <w:color w:val="auto"/>
                <w:highlight w:val="none"/>
              </w:rPr>
            </w:pPr>
          </w:p>
        </w:tc>
        <w:tc>
          <w:tcPr>
            <w:tcW w:w="2553" w:type="dxa"/>
            <w:vAlign w:val="top"/>
          </w:tcPr>
          <w:p w14:paraId="1489BFC7">
            <w:pPr>
              <w:pStyle w:val="14"/>
              <w:rPr>
                <w:color w:val="auto"/>
                <w:highlight w:val="none"/>
              </w:rPr>
            </w:pPr>
          </w:p>
        </w:tc>
      </w:tr>
      <w:tr w14:paraId="1A826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204" w:type="dxa"/>
            <w:vAlign w:val="top"/>
          </w:tcPr>
          <w:p w14:paraId="55963422">
            <w:pPr>
              <w:pStyle w:val="14"/>
              <w:rPr>
                <w:color w:val="auto"/>
                <w:highlight w:val="none"/>
              </w:rPr>
            </w:pPr>
          </w:p>
        </w:tc>
        <w:tc>
          <w:tcPr>
            <w:tcW w:w="3397" w:type="dxa"/>
            <w:vAlign w:val="top"/>
          </w:tcPr>
          <w:p w14:paraId="6FC357CB">
            <w:pPr>
              <w:pStyle w:val="14"/>
              <w:rPr>
                <w:color w:val="auto"/>
                <w:highlight w:val="none"/>
              </w:rPr>
            </w:pPr>
          </w:p>
        </w:tc>
        <w:tc>
          <w:tcPr>
            <w:tcW w:w="2553" w:type="dxa"/>
            <w:vAlign w:val="top"/>
          </w:tcPr>
          <w:p w14:paraId="774172A3">
            <w:pPr>
              <w:pStyle w:val="14"/>
              <w:rPr>
                <w:color w:val="auto"/>
                <w:highlight w:val="none"/>
              </w:rPr>
            </w:pPr>
          </w:p>
        </w:tc>
      </w:tr>
      <w:tr w14:paraId="728F3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204" w:type="dxa"/>
            <w:vAlign w:val="top"/>
          </w:tcPr>
          <w:p w14:paraId="6B41A321">
            <w:pPr>
              <w:pStyle w:val="14"/>
              <w:rPr>
                <w:color w:val="auto"/>
                <w:highlight w:val="none"/>
              </w:rPr>
            </w:pPr>
          </w:p>
        </w:tc>
        <w:tc>
          <w:tcPr>
            <w:tcW w:w="3397" w:type="dxa"/>
            <w:vAlign w:val="top"/>
          </w:tcPr>
          <w:p w14:paraId="6D3A8454">
            <w:pPr>
              <w:pStyle w:val="14"/>
              <w:rPr>
                <w:color w:val="auto"/>
                <w:highlight w:val="none"/>
              </w:rPr>
            </w:pPr>
          </w:p>
        </w:tc>
        <w:tc>
          <w:tcPr>
            <w:tcW w:w="2553" w:type="dxa"/>
            <w:vAlign w:val="top"/>
          </w:tcPr>
          <w:p w14:paraId="2B3370E5">
            <w:pPr>
              <w:pStyle w:val="14"/>
              <w:rPr>
                <w:color w:val="auto"/>
                <w:highlight w:val="none"/>
              </w:rPr>
            </w:pPr>
          </w:p>
        </w:tc>
      </w:tr>
      <w:tr w14:paraId="0CBB3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204" w:type="dxa"/>
            <w:vAlign w:val="top"/>
          </w:tcPr>
          <w:p w14:paraId="79F35C55">
            <w:pPr>
              <w:pStyle w:val="14"/>
              <w:rPr>
                <w:color w:val="auto"/>
                <w:highlight w:val="none"/>
              </w:rPr>
            </w:pPr>
          </w:p>
        </w:tc>
        <w:tc>
          <w:tcPr>
            <w:tcW w:w="3397" w:type="dxa"/>
            <w:vAlign w:val="top"/>
          </w:tcPr>
          <w:p w14:paraId="764E724A">
            <w:pPr>
              <w:pStyle w:val="14"/>
              <w:rPr>
                <w:color w:val="auto"/>
                <w:highlight w:val="none"/>
              </w:rPr>
            </w:pPr>
          </w:p>
        </w:tc>
        <w:tc>
          <w:tcPr>
            <w:tcW w:w="2553" w:type="dxa"/>
            <w:vAlign w:val="top"/>
          </w:tcPr>
          <w:p w14:paraId="0E40CB24">
            <w:pPr>
              <w:pStyle w:val="14"/>
              <w:rPr>
                <w:color w:val="auto"/>
                <w:highlight w:val="none"/>
              </w:rPr>
            </w:pPr>
          </w:p>
        </w:tc>
      </w:tr>
      <w:tr w14:paraId="317CA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4601" w:type="dxa"/>
            <w:gridSpan w:val="2"/>
            <w:vAlign w:val="top"/>
          </w:tcPr>
          <w:p w14:paraId="609F0E90">
            <w:pPr>
              <w:spacing w:before="85" w:line="161" w:lineRule="auto"/>
              <w:ind w:left="215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总价</w:t>
            </w:r>
          </w:p>
        </w:tc>
        <w:tc>
          <w:tcPr>
            <w:tcW w:w="2553" w:type="dxa"/>
            <w:vAlign w:val="top"/>
          </w:tcPr>
          <w:p w14:paraId="484E230B">
            <w:pPr>
              <w:pStyle w:val="14"/>
              <w:rPr>
                <w:color w:val="auto"/>
                <w:highlight w:val="none"/>
              </w:rPr>
            </w:pPr>
          </w:p>
        </w:tc>
      </w:tr>
    </w:tbl>
    <w:p w14:paraId="58205520">
      <w:pPr>
        <w:spacing w:before="68" w:line="183" w:lineRule="auto"/>
        <w:ind w:left="51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1.4 付款方式和发票开具方式</w:t>
      </w:r>
    </w:p>
    <w:p w14:paraId="1BC0D894">
      <w:pPr>
        <w:spacing w:before="25" w:line="198" w:lineRule="auto"/>
        <w:ind w:left="519" w:right="25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1.4.1 付款方式</w:t>
      </w:r>
      <w:r>
        <w:rPr>
          <w:rFonts w:ascii="微软雅黑" w:hAnsi="微软雅黑" w:eastAsia="微软雅黑" w:cs="微软雅黑"/>
          <w:color w:val="auto"/>
          <w:spacing w:val="-10"/>
          <w:sz w:val="24"/>
          <w:szCs w:val="24"/>
          <w:highlight w:val="none"/>
        </w:rPr>
        <w:t>：</w:t>
      </w:r>
      <w:r>
        <w:rPr>
          <w:rFonts w:ascii="微软雅黑" w:hAnsi="微软雅黑" w:eastAsia="微软雅黑" w:cs="微软雅黑"/>
          <w:color w:val="auto"/>
          <w:sz w:val="24"/>
          <w:szCs w:val="24"/>
          <w:highlight w:val="none"/>
          <w:u w:val="single" w:color="auto"/>
        </w:rPr>
        <w:t xml:space="preserve">                                                                                 </w:t>
      </w:r>
      <w:r>
        <w:rPr>
          <w:rFonts w:ascii="微软雅黑" w:hAnsi="微软雅黑" w:eastAsia="微软雅黑" w:cs="微软雅黑"/>
          <w:color w:val="auto"/>
          <w:spacing w:val="-27"/>
          <w:sz w:val="24"/>
          <w:szCs w:val="24"/>
          <w:highlight w:val="none"/>
        </w:rPr>
        <w:t xml:space="preserve"> </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1.4.2 发票开具方式：</w:t>
      </w:r>
      <w:r>
        <w:rPr>
          <w:rFonts w:ascii="微软雅黑" w:hAnsi="微软雅黑" w:eastAsia="微软雅黑" w:cs="微软雅黑"/>
          <w:color w:val="auto"/>
          <w:spacing w:val="-22"/>
          <w:sz w:val="24"/>
          <w:szCs w:val="24"/>
          <w:highlight w:val="none"/>
        </w:rPr>
        <w:t xml:space="preserve"> </w:t>
      </w:r>
      <w:r>
        <w:rPr>
          <w:rFonts w:ascii="微软雅黑" w:hAnsi="微软雅黑" w:eastAsia="微软雅黑" w:cs="微软雅黑"/>
          <w:color w:val="auto"/>
          <w:spacing w:val="-2"/>
          <w:sz w:val="24"/>
          <w:szCs w:val="24"/>
          <w:highlight w:val="none"/>
          <w:u w:val="single" w:color="auto"/>
        </w:rPr>
        <w:t xml:space="preserve">                                                                    </w:t>
      </w:r>
      <w:r>
        <w:rPr>
          <w:rFonts w:ascii="微软雅黑" w:hAnsi="微软雅黑" w:eastAsia="微软雅黑" w:cs="微软雅黑"/>
          <w:color w:val="auto"/>
          <w:spacing w:val="-3"/>
          <w:sz w:val="24"/>
          <w:szCs w:val="24"/>
          <w:highlight w:val="none"/>
          <w:u w:val="single" w:color="auto"/>
        </w:rPr>
        <w:t xml:space="preserve">        </w:t>
      </w:r>
    </w:p>
    <w:p w14:paraId="24EF5709">
      <w:pPr>
        <w:spacing w:before="2" w:line="183" w:lineRule="auto"/>
        <w:ind w:left="51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1.5 履行期限、地点和方式</w:t>
      </w:r>
    </w:p>
    <w:p w14:paraId="53781D4B">
      <w:pPr>
        <w:spacing w:before="25" w:line="198" w:lineRule="auto"/>
        <w:ind w:left="519" w:right="253"/>
        <w:jc w:val="left"/>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1.5.1 履行期限</w:t>
      </w:r>
      <w:r>
        <w:rPr>
          <w:rFonts w:ascii="微软雅黑" w:hAnsi="微软雅黑" w:eastAsia="微软雅黑" w:cs="微软雅黑"/>
          <w:color w:val="auto"/>
          <w:spacing w:val="-21"/>
          <w:sz w:val="24"/>
          <w:szCs w:val="24"/>
          <w:highlight w:val="none"/>
        </w:rPr>
        <w:t xml:space="preserve">： </w:t>
      </w:r>
      <w:r>
        <w:rPr>
          <w:rFonts w:ascii="微软雅黑" w:hAnsi="微软雅黑" w:eastAsia="微软雅黑" w:cs="微软雅黑"/>
          <w:color w:val="auto"/>
          <w:sz w:val="24"/>
          <w:szCs w:val="24"/>
          <w:highlight w:val="none"/>
          <w:u w:val="single" w:color="auto"/>
        </w:rPr>
        <w:t xml:space="preserve">                                                                                 </w:t>
      </w:r>
      <w:r>
        <w:rPr>
          <w:rFonts w:ascii="微软雅黑" w:hAnsi="微软雅黑" w:eastAsia="微软雅黑" w:cs="微软雅黑"/>
          <w:color w:val="auto"/>
          <w:spacing w:val="8"/>
          <w:sz w:val="24"/>
          <w:szCs w:val="24"/>
          <w:highlight w:val="none"/>
        </w:rPr>
        <w:t xml:space="preserve"> </w:t>
      </w:r>
      <w:r>
        <w:rPr>
          <w:rFonts w:ascii="微软雅黑" w:hAnsi="微软雅黑" w:eastAsia="微软雅黑" w:cs="微软雅黑"/>
          <w:color w:val="auto"/>
          <w:spacing w:val="-3"/>
          <w:sz w:val="24"/>
          <w:szCs w:val="24"/>
          <w:highlight w:val="none"/>
        </w:rPr>
        <w:t>1.5.2 履行地点</w:t>
      </w:r>
      <w:r>
        <w:rPr>
          <w:rFonts w:ascii="微软雅黑" w:hAnsi="微软雅黑" w:eastAsia="微软雅黑" w:cs="微软雅黑"/>
          <w:color w:val="auto"/>
          <w:spacing w:val="-21"/>
          <w:sz w:val="24"/>
          <w:szCs w:val="24"/>
          <w:highlight w:val="none"/>
        </w:rPr>
        <w:t xml:space="preserve">： </w:t>
      </w:r>
      <w:r>
        <w:rPr>
          <w:rFonts w:ascii="微软雅黑" w:hAnsi="微软雅黑" w:eastAsia="微软雅黑" w:cs="微软雅黑"/>
          <w:color w:val="auto"/>
          <w:sz w:val="24"/>
          <w:szCs w:val="24"/>
          <w:highlight w:val="none"/>
          <w:u w:val="single" w:color="auto"/>
        </w:rPr>
        <w:t xml:space="preserve">                                                                                 </w:t>
      </w:r>
      <w:r>
        <w:rPr>
          <w:rFonts w:ascii="微软雅黑" w:hAnsi="微软雅黑" w:eastAsia="微软雅黑" w:cs="微软雅黑"/>
          <w:color w:val="auto"/>
          <w:spacing w:val="8"/>
          <w:sz w:val="24"/>
          <w:szCs w:val="24"/>
          <w:highlight w:val="none"/>
        </w:rPr>
        <w:t xml:space="preserve"> </w:t>
      </w:r>
      <w:r>
        <w:rPr>
          <w:rFonts w:ascii="微软雅黑" w:hAnsi="微软雅黑" w:eastAsia="微软雅黑" w:cs="微软雅黑"/>
          <w:color w:val="auto"/>
          <w:spacing w:val="-3"/>
          <w:sz w:val="24"/>
          <w:szCs w:val="24"/>
          <w:highlight w:val="none"/>
        </w:rPr>
        <w:t>1.5.3 履行方式：</w:t>
      </w:r>
      <w:r>
        <w:rPr>
          <w:rFonts w:ascii="微软雅黑" w:hAnsi="微软雅黑" w:eastAsia="微软雅黑" w:cs="微软雅黑"/>
          <w:color w:val="auto"/>
          <w:spacing w:val="-12"/>
          <w:sz w:val="24"/>
          <w:szCs w:val="24"/>
          <w:highlight w:val="none"/>
        </w:rPr>
        <w:t xml:space="preserve"> </w:t>
      </w:r>
      <w:r>
        <w:rPr>
          <w:rFonts w:ascii="微软雅黑" w:hAnsi="微软雅黑" w:eastAsia="微软雅黑" w:cs="微软雅黑"/>
          <w:color w:val="auto"/>
          <w:spacing w:val="-3"/>
          <w:sz w:val="24"/>
          <w:szCs w:val="24"/>
          <w:highlight w:val="none"/>
          <w:u w:val="single" w:color="auto"/>
        </w:rPr>
        <w:t xml:space="preserve">                                                                                    </w:t>
      </w:r>
    </w:p>
    <w:p w14:paraId="07F3BB36">
      <w:pPr>
        <w:spacing w:before="1" w:line="183" w:lineRule="auto"/>
        <w:ind w:left="51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1.6 违约责任</w:t>
      </w:r>
    </w:p>
    <w:p w14:paraId="1D178CE6">
      <w:pPr>
        <w:spacing w:before="27" w:line="197" w:lineRule="auto"/>
        <w:ind w:left="16" w:right="240" w:firstLine="50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1.6.1 除不可抗力外，</w:t>
      </w:r>
      <w:r>
        <w:rPr>
          <w:rFonts w:ascii="微软雅黑" w:hAnsi="微软雅黑" w:eastAsia="微软雅黑" w:cs="微软雅黑"/>
          <w:color w:val="auto"/>
          <w:spacing w:val="-29"/>
          <w:sz w:val="24"/>
          <w:szCs w:val="24"/>
          <w:highlight w:val="none"/>
        </w:rPr>
        <w:t xml:space="preserve"> </w:t>
      </w:r>
      <w:r>
        <w:rPr>
          <w:rFonts w:ascii="微软雅黑" w:hAnsi="微软雅黑" w:eastAsia="微软雅黑" w:cs="微软雅黑"/>
          <w:color w:val="auto"/>
          <w:spacing w:val="-1"/>
          <w:sz w:val="24"/>
          <w:szCs w:val="24"/>
          <w:highlight w:val="none"/>
        </w:rPr>
        <w:t>如果乙方没有按照</w:t>
      </w:r>
      <w:r>
        <w:rPr>
          <w:rFonts w:ascii="微软雅黑" w:hAnsi="微软雅黑" w:eastAsia="微软雅黑" w:cs="微软雅黑"/>
          <w:color w:val="auto"/>
          <w:spacing w:val="-2"/>
          <w:sz w:val="24"/>
          <w:szCs w:val="24"/>
          <w:highlight w:val="none"/>
        </w:rPr>
        <w:t>本合同约定的内容、期限、地点和</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方式履行，那么甲方可要求乙方支付违约金，违约金按每迟延履行一日的应提供</w:t>
      </w:r>
      <w:r>
        <w:rPr>
          <w:rFonts w:ascii="微软雅黑" w:hAnsi="微软雅黑" w:eastAsia="微软雅黑" w:cs="微软雅黑"/>
          <w:color w:val="auto"/>
          <w:spacing w:val="1"/>
          <w:sz w:val="24"/>
          <w:szCs w:val="24"/>
          <w:highlight w:val="none"/>
        </w:rPr>
        <w:t>而未提供服务价格的</w:t>
      </w:r>
      <w:r>
        <w:rPr>
          <w:rFonts w:ascii="微软雅黑" w:hAnsi="微软雅黑" w:eastAsia="微软雅黑" w:cs="微软雅黑"/>
          <w:color w:val="auto"/>
          <w:spacing w:val="-69"/>
          <w:sz w:val="24"/>
          <w:szCs w:val="24"/>
          <w:highlight w:val="none"/>
        </w:rPr>
        <w:t xml:space="preserve"> </w:t>
      </w:r>
      <w:r>
        <w:rPr>
          <w:rFonts w:ascii="微软雅黑" w:hAnsi="微软雅黑" w:eastAsia="微软雅黑" w:cs="微软雅黑"/>
          <w:color w:val="auto"/>
          <w:spacing w:val="10"/>
          <w:sz w:val="24"/>
          <w:szCs w:val="24"/>
          <w:highlight w:val="none"/>
          <w:u w:val="single" w:color="auto"/>
        </w:rPr>
        <w:t xml:space="preserve">      </w:t>
      </w:r>
      <w:r>
        <w:rPr>
          <w:rFonts w:ascii="微软雅黑" w:hAnsi="微软雅黑" w:eastAsia="微软雅黑" w:cs="微软雅黑"/>
          <w:color w:val="auto"/>
          <w:spacing w:val="-59"/>
          <w:sz w:val="24"/>
          <w:szCs w:val="24"/>
          <w:highlight w:val="none"/>
        </w:rPr>
        <w:t xml:space="preserve"> </w:t>
      </w:r>
      <w:r>
        <w:rPr>
          <w:rFonts w:ascii="微软雅黑" w:hAnsi="微软雅黑" w:eastAsia="微软雅黑" w:cs="微软雅黑"/>
          <w:color w:val="auto"/>
          <w:spacing w:val="1"/>
          <w:sz w:val="24"/>
          <w:szCs w:val="24"/>
          <w:highlight w:val="none"/>
        </w:rPr>
        <w:t>%计算，最高限额为本合同总价的</w:t>
      </w:r>
      <w:r>
        <w:rPr>
          <w:rFonts w:ascii="微软雅黑" w:hAnsi="微软雅黑" w:eastAsia="微软雅黑" w:cs="微软雅黑"/>
          <w:color w:val="auto"/>
          <w:spacing w:val="-69"/>
          <w:sz w:val="24"/>
          <w:szCs w:val="24"/>
          <w:highlight w:val="none"/>
        </w:rPr>
        <w:t xml:space="preserve"> </w:t>
      </w:r>
      <w:r>
        <w:rPr>
          <w:rFonts w:ascii="微软雅黑" w:hAnsi="微软雅黑" w:eastAsia="微软雅黑" w:cs="微软雅黑"/>
          <w:color w:val="auto"/>
          <w:spacing w:val="5"/>
          <w:sz w:val="24"/>
          <w:szCs w:val="24"/>
          <w:highlight w:val="none"/>
          <w:u w:val="single" w:color="auto"/>
        </w:rPr>
        <w:t xml:space="preserve">        </w:t>
      </w:r>
      <w:r>
        <w:rPr>
          <w:rFonts w:ascii="微软雅黑" w:hAnsi="微软雅黑" w:eastAsia="微软雅黑" w:cs="微软雅黑"/>
          <w:color w:val="auto"/>
          <w:spacing w:val="-59"/>
          <w:sz w:val="24"/>
          <w:szCs w:val="24"/>
          <w:highlight w:val="none"/>
        </w:rPr>
        <w:t xml:space="preserve"> </w:t>
      </w:r>
      <w:r>
        <w:rPr>
          <w:rFonts w:ascii="微软雅黑" w:hAnsi="微软雅黑" w:eastAsia="微软雅黑" w:cs="微软雅黑"/>
          <w:color w:val="auto"/>
          <w:spacing w:val="1"/>
          <w:sz w:val="24"/>
          <w:szCs w:val="24"/>
          <w:highlight w:val="none"/>
        </w:rPr>
        <w:t>%；迟延</w:t>
      </w:r>
      <w:r>
        <w:rPr>
          <w:rFonts w:ascii="微软雅黑" w:hAnsi="微软雅黑" w:eastAsia="微软雅黑" w:cs="微软雅黑"/>
          <w:color w:val="auto"/>
          <w:sz w:val="24"/>
          <w:szCs w:val="24"/>
          <w:highlight w:val="none"/>
        </w:rPr>
        <w:t xml:space="preserve">履行 </w:t>
      </w:r>
      <w:r>
        <w:rPr>
          <w:rFonts w:ascii="微软雅黑" w:hAnsi="微软雅黑" w:eastAsia="微软雅黑" w:cs="微软雅黑"/>
          <w:color w:val="auto"/>
          <w:spacing w:val="-3"/>
          <w:sz w:val="24"/>
          <w:szCs w:val="24"/>
          <w:highlight w:val="none"/>
        </w:rPr>
        <w:t>的违约金计算数额达到前述最高限额之日起，甲方有权在要求乙方支付</w:t>
      </w:r>
      <w:r>
        <w:rPr>
          <w:rFonts w:ascii="微软雅黑" w:hAnsi="微软雅黑" w:eastAsia="微软雅黑" w:cs="微软雅黑"/>
          <w:color w:val="auto"/>
          <w:spacing w:val="-4"/>
          <w:sz w:val="24"/>
          <w:szCs w:val="24"/>
          <w:highlight w:val="none"/>
        </w:rPr>
        <w:t>违约金的</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4"/>
          <w:sz w:val="24"/>
          <w:szCs w:val="24"/>
          <w:highlight w:val="none"/>
        </w:rPr>
        <w:t>同时，书面通知乙方解除本合同；</w:t>
      </w:r>
    </w:p>
    <w:p w14:paraId="5009FFBA">
      <w:pPr>
        <w:spacing w:before="23" w:line="195" w:lineRule="auto"/>
        <w:ind w:left="17" w:firstLine="50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1.6.2 除不可抗力外，</w:t>
      </w:r>
      <w:r>
        <w:rPr>
          <w:rFonts w:ascii="微软雅黑" w:hAnsi="微软雅黑" w:eastAsia="微软雅黑" w:cs="微软雅黑"/>
          <w:color w:val="auto"/>
          <w:spacing w:val="-34"/>
          <w:sz w:val="24"/>
          <w:szCs w:val="24"/>
          <w:highlight w:val="none"/>
        </w:rPr>
        <w:t xml:space="preserve"> </w:t>
      </w:r>
      <w:r>
        <w:rPr>
          <w:rFonts w:ascii="微软雅黑" w:hAnsi="微软雅黑" w:eastAsia="微软雅黑" w:cs="微软雅黑"/>
          <w:color w:val="auto"/>
          <w:spacing w:val="-1"/>
          <w:sz w:val="24"/>
          <w:szCs w:val="24"/>
          <w:highlight w:val="none"/>
        </w:rPr>
        <w:t>如果甲方没有按照本合同约定</w:t>
      </w:r>
      <w:r>
        <w:rPr>
          <w:rFonts w:ascii="微软雅黑" w:hAnsi="微软雅黑" w:eastAsia="微软雅黑" w:cs="微软雅黑"/>
          <w:color w:val="auto"/>
          <w:spacing w:val="-2"/>
          <w:sz w:val="24"/>
          <w:szCs w:val="24"/>
          <w:highlight w:val="none"/>
        </w:rPr>
        <w:t>的付款方式付款，那么</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乙方可要求甲方支付违约金，违约金按每迟延付款一日的应付而未付款的</w:t>
      </w:r>
      <w:r>
        <w:rPr>
          <w:rFonts w:ascii="微软雅黑" w:hAnsi="微软雅黑" w:eastAsia="微软雅黑" w:cs="微软雅黑"/>
          <w:color w:val="auto"/>
          <w:spacing w:val="-55"/>
          <w:sz w:val="24"/>
          <w:szCs w:val="24"/>
          <w:highlight w:val="none"/>
        </w:rPr>
        <w:t xml:space="preserve"> </w:t>
      </w:r>
      <w:r>
        <w:rPr>
          <w:rFonts w:ascii="微软雅黑" w:hAnsi="微软雅黑" w:eastAsia="微软雅黑" w:cs="微软雅黑"/>
          <w:color w:val="auto"/>
          <w:spacing w:val="11"/>
          <w:sz w:val="24"/>
          <w:szCs w:val="24"/>
          <w:highlight w:val="none"/>
          <w:u w:val="single" w:color="auto"/>
        </w:rPr>
        <w:t xml:space="preserve">      </w:t>
      </w:r>
      <w:r>
        <w:rPr>
          <w:rFonts w:ascii="微软雅黑" w:hAnsi="微软雅黑" w:eastAsia="微软雅黑" w:cs="微软雅黑"/>
          <w:color w:val="auto"/>
          <w:spacing w:val="-57"/>
          <w:sz w:val="24"/>
          <w:szCs w:val="24"/>
          <w:highlight w:val="none"/>
        </w:rPr>
        <w:t xml:space="preserve"> </w:t>
      </w:r>
      <w:r>
        <w:rPr>
          <w:rFonts w:ascii="微软雅黑" w:hAnsi="微软雅黑" w:eastAsia="微软雅黑" w:cs="微软雅黑"/>
          <w:color w:val="auto"/>
          <w:spacing w:val="3"/>
          <w:sz w:val="24"/>
          <w:szCs w:val="24"/>
          <w:highlight w:val="none"/>
        </w:rPr>
        <w:t>%</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
          <w:sz w:val="24"/>
          <w:szCs w:val="24"/>
          <w:highlight w:val="none"/>
        </w:rPr>
        <w:t>计算，最高限额为本合同总价的</w:t>
      </w:r>
      <w:r>
        <w:rPr>
          <w:rFonts w:ascii="微软雅黑" w:hAnsi="微软雅黑" w:eastAsia="微软雅黑" w:cs="微软雅黑"/>
          <w:color w:val="auto"/>
          <w:spacing w:val="-70"/>
          <w:sz w:val="24"/>
          <w:szCs w:val="24"/>
          <w:highlight w:val="none"/>
        </w:rPr>
        <w:t xml:space="preserve"> </w:t>
      </w:r>
      <w:r>
        <w:rPr>
          <w:rFonts w:ascii="微软雅黑" w:hAnsi="微软雅黑" w:eastAsia="微软雅黑" w:cs="微软雅黑"/>
          <w:color w:val="auto"/>
          <w:spacing w:val="4"/>
          <w:sz w:val="24"/>
          <w:szCs w:val="24"/>
          <w:highlight w:val="none"/>
          <w:u w:val="single" w:color="auto"/>
        </w:rPr>
        <w:t xml:space="preserve">        </w:t>
      </w:r>
      <w:r>
        <w:rPr>
          <w:rFonts w:ascii="微软雅黑" w:hAnsi="微软雅黑" w:eastAsia="微软雅黑" w:cs="微软雅黑"/>
          <w:color w:val="auto"/>
          <w:spacing w:val="-54"/>
          <w:sz w:val="24"/>
          <w:szCs w:val="24"/>
          <w:highlight w:val="none"/>
        </w:rPr>
        <w:t xml:space="preserve"> </w:t>
      </w:r>
      <w:r>
        <w:rPr>
          <w:rFonts w:ascii="微软雅黑" w:hAnsi="微软雅黑" w:eastAsia="微软雅黑" w:cs="微软雅黑"/>
          <w:color w:val="auto"/>
          <w:spacing w:val="1"/>
          <w:sz w:val="24"/>
          <w:szCs w:val="24"/>
          <w:highlight w:val="none"/>
        </w:rPr>
        <w:t>%；迟延付款的违约金计算数额达</w:t>
      </w:r>
      <w:r>
        <w:rPr>
          <w:rFonts w:ascii="微软雅黑" w:hAnsi="微软雅黑" w:eastAsia="微软雅黑" w:cs="微软雅黑"/>
          <w:color w:val="auto"/>
          <w:sz w:val="24"/>
          <w:szCs w:val="24"/>
          <w:highlight w:val="none"/>
        </w:rPr>
        <w:t xml:space="preserve">到前述    </w:t>
      </w:r>
      <w:r>
        <w:rPr>
          <w:rFonts w:ascii="微软雅黑" w:hAnsi="微软雅黑" w:eastAsia="微软雅黑" w:cs="微软雅黑"/>
          <w:color w:val="auto"/>
          <w:spacing w:val="-3"/>
          <w:sz w:val="24"/>
          <w:szCs w:val="24"/>
          <w:highlight w:val="none"/>
        </w:rPr>
        <w:t>最高限额之日起，乙方有权在要求甲方支付违约金的同时，书面通知甲方解除本</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11"/>
          <w:sz w:val="24"/>
          <w:szCs w:val="24"/>
          <w:highlight w:val="none"/>
        </w:rPr>
        <w:t>合同；</w:t>
      </w:r>
    </w:p>
    <w:p w14:paraId="3FD85346">
      <w:pPr>
        <w:spacing w:before="20" w:line="198" w:lineRule="auto"/>
        <w:ind w:left="16" w:right="213" w:firstLine="503"/>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1.6.3 除不可抗力外，</w:t>
      </w:r>
      <w:r>
        <w:rPr>
          <w:rFonts w:ascii="微软雅黑" w:hAnsi="微软雅黑" w:eastAsia="微软雅黑" w:cs="微软雅黑"/>
          <w:color w:val="auto"/>
          <w:spacing w:val="-35"/>
          <w:sz w:val="24"/>
          <w:szCs w:val="24"/>
          <w:highlight w:val="none"/>
        </w:rPr>
        <w:t xml:space="preserve"> </w:t>
      </w:r>
      <w:r>
        <w:rPr>
          <w:rFonts w:ascii="微软雅黑" w:hAnsi="微软雅黑" w:eastAsia="微软雅黑" w:cs="微软雅黑"/>
          <w:color w:val="auto"/>
          <w:spacing w:val="-1"/>
          <w:sz w:val="24"/>
          <w:szCs w:val="24"/>
          <w:highlight w:val="none"/>
        </w:rPr>
        <w:t>任何一方未能履行本合同约定的</w:t>
      </w:r>
      <w:r>
        <w:rPr>
          <w:rFonts w:ascii="微软雅黑" w:hAnsi="微软雅黑" w:eastAsia="微软雅黑" w:cs="微软雅黑"/>
          <w:color w:val="auto"/>
          <w:spacing w:val="-2"/>
          <w:sz w:val="24"/>
          <w:szCs w:val="24"/>
          <w:highlight w:val="none"/>
        </w:rPr>
        <w:t>其他主要义务，经催</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告后在合理期限内仍未履行的，或者任何一方有其他违约行为致使不能实现合同</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3"/>
          <w:sz w:val="24"/>
          <w:szCs w:val="24"/>
          <w:highlight w:val="none"/>
        </w:rPr>
        <w:t>目的的，或者任何一方有腐败行为（即：提供或给予或接受或索取任何财物或其</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3"/>
          <w:sz w:val="24"/>
          <w:szCs w:val="24"/>
          <w:highlight w:val="none"/>
        </w:rPr>
        <w:t>他好处或者采取其他不正当手段来影响对方当事人在合同签订、履行过程中的行</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3"/>
          <w:sz w:val="24"/>
          <w:szCs w:val="24"/>
          <w:highlight w:val="none"/>
        </w:rPr>
        <w:t>为）或者欺诈行为（即：以谎报事实或隐瞒真相的方法来影响对方当事人在合同</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1"/>
          <w:sz w:val="24"/>
          <w:szCs w:val="24"/>
          <w:highlight w:val="none"/>
        </w:rPr>
        <w:t>签订、履行过程中的行为）的，对方当事人可以</w:t>
      </w:r>
      <w:r>
        <w:rPr>
          <w:rFonts w:ascii="微软雅黑" w:hAnsi="微软雅黑" w:eastAsia="微软雅黑" w:cs="微软雅黑"/>
          <w:color w:val="auto"/>
          <w:spacing w:val="-2"/>
          <w:sz w:val="24"/>
          <w:szCs w:val="24"/>
          <w:highlight w:val="none"/>
        </w:rPr>
        <w:t>书面通知违约方解除本合同；</w:t>
      </w:r>
    </w:p>
    <w:p w14:paraId="08BCCA1C">
      <w:pPr>
        <w:spacing w:before="5" w:line="198" w:lineRule="auto"/>
        <w:ind w:left="16" w:right="213" w:firstLine="502"/>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1.6.4 任何一方按照前述约定要求违约方支付违约金的同时，</w:t>
      </w:r>
      <w:r>
        <w:rPr>
          <w:rFonts w:ascii="微软雅黑" w:hAnsi="微软雅黑" w:eastAsia="微软雅黑" w:cs="微软雅黑"/>
          <w:color w:val="auto"/>
          <w:spacing w:val="-44"/>
          <w:sz w:val="24"/>
          <w:szCs w:val="24"/>
          <w:highlight w:val="none"/>
        </w:rPr>
        <w:t xml:space="preserve"> </w:t>
      </w:r>
      <w:r>
        <w:rPr>
          <w:rFonts w:ascii="微软雅黑" w:hAnsi="微软雅黑" w:eastAsia="微软雅黑" w:cs="微软雅黑"/>
          <w:color w:val="auto"/>
          <w:spacing w:val="-1"/>
          <w:sz w:val="24"/>
          <w:szCs w:val="24"/>
          <w:highlight w:val="none"/>
        </w:rPr>
        <w:t>仍有权要求违</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5"/>
          <w:sz w:val="24"/>
          <w:szCs w:val="24"/>
          <w:highlight w:val="none"/>
        </w:rPr>
        <w:t>约方继续履行合同、采取补救措施， 并有权按照己方实际损失情况要求违约方赔</w:t>
      </w:r>
      <w:r>
        <w:rPr>
          <w:rFonts w:ascii="微软雅黑" w:hAnsi="微软雅黑" w:eastAsia="微软雅黑" w:cs="微软雅黑"/>
          <w:color w:val="auto"/>
          <w:spacing w:val="11"/>
          <w:sz w:val="24"/>
          <w:szCs w:val="24"/>
          <w:highlight w:val="none"/>
        </w:rPr>
        <w:t xml:space="preserve"> </w:t>
      </w:r>
      <w:r>
        <w:rPr>
          <w:rFonts w:ascii="微软雅黑" w:hAnsi="微软雅黑" w:eastAsia="微软雅黑" w:cs="微软雅黑"/>
          <w:color w:val="auto"/>
          <w:spacing w:val="-3"/>
          <w:sz w:val="24"/>
          <w:szCs w:val="24"/>
          <w:highlight w:val="none"/>
        </w:rPr>
        <w:t>偿损失；任何一方按照前述约定要求解除本合同的同时，仍有权要求违约方支付</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3"/>
          <w:sz w:val="24"/>
          <w:szCs w:val="24"/>
          <w:highlight w:val="none"/>
        </w:rPr>
        <w:t>违约金和按照己方实际损失情况要求违约方赔偿损失；且守约方行使的任何权利</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2"/>
          <w:sz w:val="24"/>
          <w:szCs w:val="24"/>
          <w:highlight w:val="none"/>
        </w:rPr>
        <w:t>救济方式均不视为其放弃了其他法定或者约定的权利救济方式；</w:t>
      </w:r>
    </w:p>
    <w:p w14:paraId="62E753F9">
      <w:pPr>
        <w:spacing w:line="198" w:lineRule="auto"/>
        <w:ind w:left="17" w:right="140" w:firstLine="501"/>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1.6.5 除前述约定外，除不可抗力外，任何一方未能履行本合同约定的义务，</w:t>
      </w:r>
      <w:r>
        <w:rPr>
          <w:rFonts w:ascii="微软雅黑" w:hAnsi="微软雅黑" w:eastAsia="微软雅黑" w:cs="微软雅黑"/>
          <w:color w:val="auto"/>
          <w:spacing w:val="8"/>
          <w:sz w:val="24"/>
          <w:szCs w:val="24"/>
          <w:highlight w:val="none"/>
        </w:rPr>
        <w:t xml:space="preserve"> </w:t>
      </w:r>
      <w:r>
        <w:rPr>
          <w:rFonts w:ascii="微软雅黑" w:hAnsi="微软雅黑" w:eastAsia="微软雅黑" w:cs="微软雅黑"/>
          <w:color w:val="auto"/>
          <w:spacing w:val="-5"/>
          <w:sz w:val="24"/>
          <w:szCs w:val="24"/>
          <w:highlight w:val="none"/>
        </w:rPr>
        <w:t>对方当事人均有权要求继续履行、采取补救措施或者赔偿损失等， 且对方当事人</w:t>
      </w:r>
      <w:r>
        <w:rPr>
          <w:rFonts w:ascii="微软雅黑" w:hAnsi="微软雅黑" w:eastAsia="微软雅黑" w:cs="微软雅黑"/>
          <w:color w:val="auto"/>
          <w:spacing w:val="5"/>
          <w:sz w:val="24"/>
          <w:szCs w:val="24"/>
          <w:highlight w:val="none"/>
        </w:rPr>
        <w:t xml:space="preserve">  </w:t>
      </w:r>
      <w:r>
        <w:rPr>
          <w:rFonts w:ascii="微软雅黑" w:hAnsi="微软雅黑" w:eastAsia="微软雅黑" w:cs="微软雅黑"/>
          <w:color w:val="auto"/>
          <w:spacing w:val="-1"/>
          <w:sz w:val="24"/>
          <w:szCs w:val="24"/>
          <w:highlight w:val="none"/>
        </w:rPr>
        <w:t>行使的任何权利救济方式均不视为其放弃了其他法</w:t>
      </w:r>
      <w:r>
        <w:rPr>
          <w:rFonts w:ascii="微软雅黑" w:hAnsi="微软雅黑" w:eastAsia="微软雅黑" w:cs="微软雅黑"/>
          <w:color w:val="auto"/>
          <w:spacing w:val="-2"/>
          <w:sz w:val="24"/>
          <w:szCs w:val="24"/>
          <w:highlight w:val="none"/>
        </w:rPr>
        <w:t>定或者约定的权利救济方式；</w:t>
      </w:r>
    </w:p>
    <w:p w14:paraId="3952366A">
      <w:pPr>
        <w:spacing w:before="4" w:line="197" w:lineRule="auto"/>
        <w:ind w:left="18" w:right="213" w:firstLine="500"/>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1.6.6 如果出现政府采购监督管理部门在处理投诉事项期间，</w:t>
      </w:r>
      <w:r>
        <w:rPr>
          <w:rFonts w:ascii="微软雅黑" w:hAnsi="微软雅黑" w:eastAsia="微软雅黑" w:cs="微软雅黑"/>
          <w:color w:val="auto"/>
          <w:spacing w:val="-44"/>
          <w:sz w:val="24"/>
          <w:szCs w:val="24"/>
          <w:highlight w:val="none"/>
        </w:rPr>
        <w:t xml:space="preserve"> </w:t>
      </w:r>
      <w:r>
        <w:rPr>
          <w:rFonts w:ascii="微软雅黑" w:hAnsi="微软雅黑" w:eastAsia="微软雅黑" w:cs="微软雅黑"/>
          <w:color w:val="auto"/>
          <w:spacing w:val="-1"/>
          <w:sz w:val="24"/>
          <w:szCs w:val="24"/>
          <w:highlight w:val="none"/>
        </w:rPr>
        <w:t>书面通知甲方</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暂停采购活动的情形，或者询问或质疑事项可能影响中标结果的，导致甲方中止</w:t>
      </w:r>
      <w:r>
        <w:rPr>
          <w:rFonts w:ascii="微软雅黑" w:hAnsi="微软雅黑" w:eastAsia="微软雅黑" w:cs="微软雅黑"/>
          <w:color w:val="auto"/>
          <w:spacing w:val="5"/>
          <w:sz w:val="24"/>
          <w:szCs w:val="24"/>
          <w:highlight w:val="none"/>
        </w:rPr>
        <w:t xml:space="preserve"> </w:t>
      </w:r>
      <w:r>
        <w:rPr>
          <w:rFonts w:ascii="微软雅黑" w:hAnsi="微软雅黑" w:eastAsia="微软雅黑" w:cs="微软雅黑"/>
          <w:color w:val="auto"/>
          <w:spacing w:val="-3"/>
          <w:sz w:val="24"/>
          <w:szCs w:val="24"/>
          <w:highlight w:val="none"/>
        </w:rPr>
        <w:t>履行合同的情形，均不视为甲方违约。</w:t>
      </w:r>
    </w:p>
    <w:p w14:paraId="6D23105E">
      <w:pPr>
        <w:spacing w:before="5" w:line="183" w:lineRule="auto"/>
        <w:ind w:left="51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1.7 合同争议的解决</w:t>
      </w:r>
    </w:p>
    <w:p w14:paraId="1E3B4125">
      <w:pPr>
        <w:spacing w:before="25" w:line="198" w:lineRule="auto"/>
        <w:ind w:left="15" w:right="103" w:firstLine="48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本合同履行过程中发生的任何争议，双方当事人均可通过和解或者调解解决</w:t>
      </w:r>
      <w:r>
        <w:rPr>
          <w:rFonts w:ascii="微软雅黑" w:hAnsi="微软雅黑" w:eastAsia="微软雅黑" w:cs="微软雅黑"/>
          <w:color w:val="auto"/>
          <w:spacing w:val="8"/>
          <w:sz w:val="24"/>
          <w:szCs w:val="24"/>
          <w:highlight w:val="none"/>
        </w:rPr>
        <w:t xml:space="preserve"> </w:t>
      </w:r>
      <w:r>
        <w:rPr>
          <w:rFonts w:ascii="微软雅黑" w:hAnsi="微软雅黑" w:eastAsia="微软雅黑" w:cs="微软雅黑"/>
          <w:color w:val="auto"/>
          <w:sz w:val="24"/>
          <w:szCs w:val="24"/>
          <w:highlight w:val="none"/>
        </w:rPr>
        <w:t>不愿和解、调解或者和解、调解不成的，可以选择下列第</w:t>
      </w:r>
      <w:r>
        <w:rPr>
          <w:rFonts w:ascii="微软雅黑" w:hAnsi="微软雅黑" w:eastAsia="微软雅黑" w:cs="微软雅黑"/>
          <w:color w:val="auto"/>
          <w:sz w:val="24"/>
          <w:szCs w:val="24"/>
          <w:highlight w:val="none"/>
          <w:u w:val="single" w:color="auto"/>
        </w:rPr>
        <w:t xml:space="preserve">      </w:t>
      </w:r>
      <w:r>
        <w:rPr>
          <w:rFonts w:ascii="微软雅黑" w:hAnsi="微软雅黑" w:eastAsia="微软雅黑" w:cs="微软雅黑"/>
          <w:color w:val="auto"/>
          <w:spacing w:val="-57"/>
          <w:sz w:val="24"/>
          <w:szCs w:val="24"/>
          <w:highlight w:val="none"/>
        </w:rPr>
        <w:t xml:space="preserve"> </w:t>
      </w:r>
      <w:r>
        <w:rPr>
          <w:rFonts w:ascii="微软雅黑" w:hAnsi="微软雅黑" w:eastAsia="微软雅黑" w:cs="微软雅黑"/>
          <w:color w:val="auto"/>
          <w:sz w:val="24"/>
          <w:szCs w:val="24"/>
          <w:highlight w:val="none"/>
        </w:rPr>
        <w:t>种方式解决：</w:t>
      </w:r>
    </w:p>
    <w:p w14:paraId="69899FA4">
      <w:pPr>
        <w:spacing w:before="2" w:line="197" w:lineRule="auto"/>
        <w:ind w:left="16" w:right="213" w:firstLine="50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1.7.1</w:t>
      </w:r>
      <w:r>
        <w:rPr>
          <w:rFonts w:ascii="微软雅黑" w:hAnsi="微软雅黑" w:eastAsia="微软雅黑" w:cs="微软雅黑"/>
          <w:color w:val="auto"/>
          <w:spacing w:val="61"/>
          <w:sz w:val="24"/>
          <w:szCs w:val="24"/>
          <w:highlight w:val="none"/>
        </w:rPr>
        <w:t xml:space="preserve"> </w:t>
      </w:r>
      <w:r>
        <w:rPr>
          <w:rFonts w:ascii="微软雅黑" w:hAnsi="微软雅黑" w:eastAsia="微软雅黑" w:cs="微软雅黑"/>
          <w:color w:val="auto"/>
          <w:spacing w:val="3"/>
          <w:sz w:val="24"/>
          <w:szCs w:val="24"/>
          <w:highlight w:val="none"/>
        </w:rPr>
        <w:t>将争议提交</w:t>
      </w:r>
      <w:r>
        <w:rPr>
          <w:rFonts w:ascii="微软雅黑" w:hAnsi="微软雅黑" w:eastAsia="微软雅黑" w:cs="微软雅黑"/>
          <w:color w:val="auto"/>
          <w:spacing w:val="-65"/>
          <w:sz w:val="24"/>
          <w:szCs w:val="24"/>
          <w:highlight w:val="none"/>
        </w:rPr>
        <w:t xml:space="preserve"> </w:t>
      </w:r>
      <w:r>
        <w:rPr>
          <w:rFonts w:ascii="微软雅黑" w:hAnsi="微软雅黑" w:eastAsia="微软雅黑" w:cs="微软雅黑"/>
          <w:color w:val="auto"/>
          <w:spacing w:val="2"/>
          <w:sz w:val="24"/>
          <w:szCs w:val="24"/>
          <w:highlight w:val="none"/>
          <w:u w:val="single" w:color="auto"/>
        </w:rPr>
        <w:t xml:space="preserve">                        </w:t>
      </w:r>
      <w:r>
        <w:rPr>
          <w:rFonts w:ascii="微软雅黑" w:hAnsi="微软雅黑" w:eastAsia="微软雅黑" w:cs="微软雅黑"/>
          <w:color w:val="auto"/>
          <w:spacing w:val="-61"/>
          <w:sz w:val="24"/>
          <w:szCs w:val="24"/>
          <w:highlight w:val="none"/>
        </w:rPr>
        <w:t xml:space="preserve"> </w:t>
      </w:r>
      <w:r>
        <w:rPr>
          <w:rFonts w:ascii="微软雅黑" w:hAnsi="微软雅黑" w:eastAsia="微软雅黑" w:cs="微软雅黑"/>
          <w:color w:val="auto"/>
          <w:spacing w:val="3"/>
          <w:sz w:val="24"/>
          <w:szCs w:val="24"/>
          <w:highlight w:val="none"/>
        </w:rPr>
        <w:t>仲裁委员会依申请仲裁时其现行有效的</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6"/>
          <w:sz w:val="24"/>
          <w:szCs w:val="24"/>
          <w:highlight w:val="none"/>
        </w:rPr>
        <w:t>仲裁规则裁决；</w:t>
      </w:r>
    </w:p>
    <w:p w14:paraId="4FC4DF18">
      <w:pPr>
        <w:spacing w:before="5" w:line="196" w:lineRule="auto"/>
        <w:ind w:left="14" w:right="213" w:firstLine="504"/>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1.7.2</w:t>
      </w:r>
      <w:r>
        <w:rPr>
          <w:rFonts w:ascii="微软雅黑" w:hAnsi="微软雅黑" w:eastAsia="微软雅黑" w:cs="微软雅黑"/>
          <w:color w:val="auto"/>
          <w:spacing w:val="25"/>
          <w:w w:val="101"/>
          <w:sz w:val="24"/>
          <w:szCs w:val="24"/>
          <w:highlight w:val="none"/>
        </w:rPr>
        <w:t xml:space="preserve"> </w:t>
      </w:r>
      <w:r>
        <w:rPr>
          <w:rFonts w:ascii="微软雅黑" w:hAnsi="微软雅黑" w:eastAsia="微软雅黑" w:cs="微软雅黑"/>
          <w:color w:val="auto"/>
          <w:spacing w:val="1"/>
          <w:sz w:val="24"/>
          <w:szCs w:val="24"/>
          <w:highlight w:val="none"/>
        </w:rPr>
        <w:t>向</w:t>
      </w:r>
      <w:r>
        <w:rPr>
          <w:rFonts w:ascii="微软雅黑" w:hAnsi="微软雅黑" w:eastAsia="微软雅黑" w:cs="微软雅黑"/>
          <w:color w:val="auto"/>
          <w:spacing w:val="-19"/>
          <w:sz w:val="24"/>
          <w:szCs w:val="24"/>
          <w:highlight w:val="none"/>
        </w:rPr>
        <w:t xml:space="preserve"> </w:t>
      </w:r>
      <w:r>
        <w:rPr>
          <w:rFonts w:ascii="微软雅黑" w:hAnsi="微软雅黑" w:eastAsia="微软雅黑" w:cs="微软雅黑"/>
          <w:color w:val="auto"/>
          <w:spacing w:val="1"/>
          <w:sz w:val="24"/>
          <w:szCs w:val="24"/>
          <w:highlight w:val="none"/>
          <w:u w:val="single" w:color="auto"/>
        </w:rPr>
        <w:t xml:space="preserve">     （被告住所地、合同履行地、合同签订地、原告住所地、标的</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u w:val="single" w:color="auto"/>
        </w:rPr>
        <w:t xml:space="preserve">物所在地等与争议有实际联系的地点中选出的人民法院名称）       </w:t>
      </w:r>
      <w:r>
        <w:rPr>
          <w:rFonts w:ascii="微软雅黑" w:hAnsi="微软雅黑" w:eastAsia="微软雅黑" w:cs="微软雅黑"/>
          <w:color w:val="auto"/>
          <w:spacing w:val="-61"/>
          <w:sz w:val="24"/>
          <w:szCs w:val="24"/>
          <w:highlight w:val="none"/>
        </w:rPr>
        <w:t xml:space="preserve"> </w:t>
      </w:r>
      <w:r>
        <w:rPr>
          <w:rFonts w:ascii="微软雅黑" w:hAnsi="微软雅黑" w:eastAsia="微软雅黑" w:cs="微软雅黑"/>
          <w:color w:val="auto"/>
          <w:spacing w:val="3"/>
          <w:sz w:val="24"/>
          <w:szCs w:val="24"/>
          <w:highlight w:val="none"/>
        </w:rPr>
        <w:t>人民法院起</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12"/>
          <w:sz w:val="24"/>
          <w:szCs w:val="24"/>
          <w:highlight w:val="none"/>
        </w:rPr>
        <w:t>诉。</w:t>
      </w:r>
    </w:p>
    <w:p w14:paraId="36C1591C">
      <w:pPr>
        <w:spacing w:before="9" w:line="183" w:lineRule="auto"/>
        <w:ind w:left="51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1.8 合同生效</w:t>
      </w:r>
    </w:p>
    <w:p w14:paraId="497C7C44">
      <w:pPr>
        <w:spacing w:before="25" w:line="184" w:lineRule="auto"/>
        <w:ind w:left="49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本合同自双方当事人盖章或者签字时生效。</w:t>
      </w:r>
    </w:p>
    <w:p w14:paraId="3E125489">
      <w:pPr>
        <w:spacing w:line="263" w:lineRule="auto"/>
        <w:rPr>
          <w:rFonts w:ascii="Arial"/>
          <w:color w:val="auto"/>
          <w:sz w:val="21"/>
          <w:highlight w:val="none"/>
        </w:rPr>
      </w:pPr>
    </w:p>
    <w:p w14:paraId="7B16E802">
      <w:pPr>
        <w:spacing w:before="103" w:line="182" w:lineRule="auto"/>
        <w:ind w:left="32"/>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甲方</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2"/>
          <w:sz w:val="24"/>
          <w:szCs w:val="24"/>
          <w:highlight w:val="none"/>
        </w:rPr>
        <w:t xml:space="preserve">           </w:t>
      </w:r>
      <w:r>
        <w:rPr>
          <w:rFonts w:ascii="微软雅黑" w:hAnsi="微软雅黑" w:eastAsia="微软雅黑" w:cs="微软雅黑"/>
          <w:b/>
          <w:bCs/>
          <w:color w:val="auto"/>
          <w:spacing w:val="-2"/>
          <w:sz w:val="24"/>
          <w:szCs w:val="24"/>
          <w:highlight w:val="none"/>
        </w:rPr>
        <w:t>乙方</w:t>
      </w:r>
      <w:r>
        <w:rPr>
          <w:rFonts w:ascii="微软雅黑" w:hAnsi="微软雅黑" w:eastAsia="微软雅黑" w:cs="微软雅黑"/>
          <w:color w:val="auto"/>
          <w:spacing w:val="-2"/>
          <w:sz w:val="24"/>
          <w:szCs w:val="24"/>
          <w:highlight w:val="none"/>
        </w:rPr>
        <w:t>：</w:t>
      </w:r>
    </w:p>
    <w:p w14:paraId="47897E7F">
      <w:pPr>
        <w:spacing w:before="24" w:line="184" w:lineRule="auto"/>
        <w:jc w:val="right"/>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统一社会信用代码：                                        统一社会信用代码或身份证号码：</w:t>
      </w:r>
    </w:p>
    <w:p w14:paraId="6ED10BB9">
      <w:pPr>
        <w:spacing w:line="263" w:lineRule="auto"/>
        <w:rPr>
          <w:rFonts w:ascii="Arial"/>
          <w:color w:val="auto"/>
          <w:sz w:val="21"/>
          <w:highlight w:val="none"/>
        </w:rPr>
      </w:pPr>
    </w:p>
    <w:p w14:paraId="270F4687">
      <w:pPr>
        <w:spacing w:before="103" w:line="182" w:lineRule="auto"/>
        <w:ind w:left="1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 xml:space="preserve">住所：                                   </w:t>
      </w:r>
      <w:r>
        <w:rPr>
          <w:rFonts w:ascii="微软雅黑" w:hAnsi="微软雅黑" w:eastAsia="微软雅黑" w:cs="微软雅黑"/>
          <w:color w:val="auto"/>
          <w:spacing w:val="-2"/>
          <w:sz w:val="24"/>
          <w:szCs w:val="24"/>
          <w:highlight w:val="none"/>
        </w:rPr>
        <w:t xml:space="preserve">                         住所：</w:t>
      </w:r>
    </w:p>
    <w:p w14:paraId="5A1C2E18">
      <w:pPr>
        <w:spacing w:line="295" w:lineRule="auto"/>
        <w:rPr>
          <w:rFonts w:ascii="Arial"/>
          <w:color w:val="auto"/>
          <w:sz w:val="21"/>
          <w:highlight w:val="none"/>
        </w:rPr>
      </w:pPr>
    </w:p>
    <w:p w14:paraId="0C17194D">
      <w:pPr>
        <w:spacing w:line="249" w:lineRule="auto"/>
        <w:rPr>
          <w:rFonts w:ascii="Arial"/>
          <w:color w:val="auto"/>
          <w:sz w:val="21"/>
          <w:highlight w:val="none"/>
        </w:rPr>
      </w:pPr>
    </w:p>
    <w:p w14:paraId="491AEB80">
      <w:pPr>
        <w:spacing w:line="249" w:lineRule="auto"/>
        <w:rPr>
          <w:rFonts w:ascii="Arial"/>
          <w:color w:val="auto"/>
          <w:sz w:val="21"/>
          <w:highlight w:val="none"/>
        </w:rPr>
      </w:pPr>
    </w:p>
    <w:p w14:paraId="66A3B94D">
      <w:pPr>
        <w:spacing w:line="250" w:lineRule="auto"/>
        <w:rPr>
          <w:rFonts w:ascii="Arial"/>
          <w:color w:val="auto"/>
          <w:sz w:val="21"/>
          <w:highlight w:val="none"/>
        </w:rPr>
      </w:pPr>
    </w:p>
    <w:p w14:paraId="380D7404">
      <w:pPr>
        <w:spacing w:line="250" w:lineRule="auto"/>
        <w:rPr>
          <w:rFonts w:ascii="Arial"/>
          <w:color w:val="auto"/>
          <w:sz w:val="21"/>
          <w:highlight w:val="none"/>
        </w:rPr>
      </w:pPr>
    </w:p>
    <w:p w14:paraId="5AC10C55">
      <w:pPr>
        <w:spacing w:before="103" w:line="183" w:lineRule="auto"/>
        <w:ind w:left="17"/>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法定代表人或                                                 法</w:t>
      </w:r>
      <w:r>
        <w:rPr>
          <w:rFonts w:ascii="微软雅黑" w:hAnsi="微软雅黑" w:eastAsia="微软雅黑" w:cs="微软雅黑"/>
          <w:color w:val="auto"/>
          <w:spacing w:val="-1"/>
          <w:sz w:val="24"/>
          <w:szCs w:val="24"/>
          <w:highlight w:val="none"/>
        </w:rPr>
        <w:t>定代表人</w:t>
      </w:r>
    </w:p>
    <w:p w14:paraId="70B78E55">
      <w:pPr>
        <w:spacing w:before="24" w:line="184" w:lineRule="auto"/>
        <w:ind w:left="1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授权代表（签字</w:t>
      </w:r>
      <w:r>
        <w:rPr>
          <w:rFonts w:ascii="微软雅黑" w:hAnsi="微软雅黑" w:eastAsia="微软雅黑" w:cs="微软雅黑"/>
          <w:color w:val="auto"/>
          <w:spacing w:val="4"/>
          <w:sz w:val="24"/>
          <w:szCs w:val="24"/>
          <w:highlight w:val="none"/>
        </w:rPr>
        <w:t>）：</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1"/>
          <w:sz w:val="24"/>
          <w:szCs w:val="24"/>
          <w:highlight w:val="none"/>
        </w:rPr>
        <w:t>或授权代表（签字）:</w:t>
      </w:r>
    </w:p>
    <w:p w14:paraId="063744A3">
      <w:pPr>
        <w:spacing w:before="27" w:line="182" w:lineRule="auto"/>
        <w:ind w:left="1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联系人：</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5"/>
          <w:sz w:val="24"/>
          <w:szCs w:val="24"/>
          <w:highlight w:val="none"/>
        </w:rPr>
        <w:t>联系人：</w:t>
      </w:r>
    </w:p>
    <w:p w14:paraId="3E685D0D">
      <w:pPr>
        <w:spacing w:before="26" w:line="183" w:lineRule="auto"/>
        <w:ind w:left="1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 xml:space="preserve">约定送达地址：                                           </w:t>
      </w:r>
      <w:r>
        <w:rPr>
          <w:rFonts w:ascii="微软雅黑" w:hAnsi="微软雅黑" w:eastAsia="微软雅黑" w:cs="微软雅黑"/>
          <w:color w:val="auto"/>
          <w:spacing w:val="-2"/>
          <w:sz w:val="24"/>
          <w:szCs w:val="24"/>
          <w:highlight w:val="none"/>
        </w:rPr>
        <w:t xml:space="preserve">   约定送达地址：</w:t>
      </w:r>
    </w:p>
    <w:p w14:paraId="61AB410B">
      <w:pPr>
        <w:spacing w:before="26" w:line="183" w:lineRule="auto"/>
        <w:ind w:left="3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 xml:space="preserve">邮政编码：                     </w:t>
      </w:r>
      <w:r>
        <w:rPr>
          <w:rFonts w:ascii="微软雅黑" w:hAnsi="微软雅黑" w:eastAsia="微软雅黑" w:cs="微软雅黑"/>
          <w:color w:val="auto"/>
          <w:spacing w:val="-3"/>
          <w:sz w:val="24"/>
          <w:szCs w:val="24"/>
          <w:highlight w:val="none"/>
        </w:rPr>
        <w:t xml:space="preserve">                                 邮政编码：</w:t>
      </w:r>
    </w:p>
    <w:p w14:paraId="304575E4">
      <w:pPr>
        <w:spacing w:before="27" w:line="182" w:lineRule="auto"/>
        <w:ind w:left="2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 xml:space="preserve">电话:                                   </w:t>
      </w:r>
      <w:r>
        <w:rPr>
          <w:rFonts w:ascii="微软雅黑" w:hAnsi="微软雅黑" w:eastAsia="微软雅黑" w:cs="微软雅黑"/>
          <w:color w:val="auto"/>
          <w:spacing w:val="-2"/>
          <w:sz w:val="24"/>
          <w:szCs w:val="24"/>
          <w:highlight w:val="none"/>
        </w:rPr>
        <w:t xml:space="preserve">                           电话:</w:t>
      </w:r>
    </w:p>
    <w:p w14:paraId="5A4846EE">
      <w:pPr>
        <w:spacing w:before="28" w:line="182" w:lineRule="auto"/>
        <w:ind w:left="17"/>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 xml:space="preserve">传真:                                                </w:t>
      </w:r>
      <w:r>
        <w:rPr>
          <w:rFonts w:ascii="微软雅黑" w:hAnsi="微软雅黑" w:eastAsia="微软雅黑" w:cs="微软雅黑"/>
          <w:color w:val="auto"/>
          <w:spacing w:val="-1"/>
          <w:sz w:val="24"/>
          <w:szCs w:val="24"/>
          <w:highlight w:val="none"/>
        </w:rPr>
        <w:t xml:space="preserve">             传真:</w:t>
      </w:r>
    </w:p>
    <w:p w14:paraId="16EBB657">
      <w:pPr>
        <w:spacing w:before="28" w:line="182" w:lineRule="auto"/>
        <w:ind w:left="2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 xml:space="preserve">电子邮箱：                       </w:t>
      </w:r>
      <w:r>
        <w:rPr>
          <w:rFonts w:ascii="微软雅黑" w:hAnsi="微软雅黑" w:eastAsia="微软雅黑" w:cs="微软雅黑"/>
          <w:color w:val="auto"/>
          <w:spacing w:val="-3"/>
          <w:sz w:val="24"/>
          <w:szCs w:val="24"/>
          <w:highlight w:val="none"/>
        </w:rPr>
        <w:t xml:space="preserve">                               电子邮箱：</w:t>
      </w:r>
    </w:p>
    <w:p w14:paraId="61EA5A50">
      <w:pPr>
        <w:spacing w:before="24" w:line="184" w:lineRule="auto"/>
        <w:ind w:left="1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 xml:space="preserve">开户银行：                                    </w:t>
      </w:r>
      <w:r>
        <w:rPr>
          <w:rFonts w:ascii="微软雅黑" w:hAnsi="微软雅黑" w:eastAsia="微软雅黑" w:cs="微软雅黑"/>
          <w:color w:val="auto"/>
          <w:spacing w:val="-2"/>
          <w:sz w:val="24"/>
          <w:szCs w:val="24"/>
          <w:highlight w:val="none"/>
        </w:rPr>
        <w:t xml:space="preserve">                 开户银行：</w:t>
      </w:r>
    </w:p>
    <w:p w14:paraId="6025EFD3">
      <w:pPr>
        <w:spacing w:before="24" w:line="184" w:lineRule="auto"/>
        <w:ind w:left="1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 xml:space="preserve">开户名称：                                    </w:t>
      </w:r>
      <w:r>
        <w:rPr>
          <w:rFonts w:ascii="微软雅黑" w:hAnsi="微软雅黑" w:eastAsia="微软雅黑" w:cs="微软雅黑"/>
          <w:color w:val="auto"/>
          <w:spacing w:val="-2"/>
          <w:sz w:val="24"/>
          <w:szCs w:val="24"/>
          <w:highlight w:val="none"/>
        </w:rPr>
        <w:t xml:space="preserve">                 开户名称：</w:t>
      </w:r>
    </w:p>
    <w:p w14:paraId="38543E3B">
      <w:pPr>
        <w:spacing w:before="25" w:line="184" w:lineRule="auto"/>
        <w:ind w:left="1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 xml:space="preserve">开户账号：                                    </w:t>
      </w:r>
      <w:r>
        <w:rPr>
          <w:rFonts w:ascii="微软雅黑" w:hAnsi="微软雅黑" w:eastAsia="微软雅黑" w:cs="微软雅黑"/>
          <w:color w:val="auto"/>
          <w:spacing w:val="-2"/>
          <w:sz w:val="24"/>
          <w:szCs w:val="24"/>
          <w:highlight w:val="none"/>
        </w:rPr>
        <w:t xml:space="preserve">                 开户账号：</w:t>
      </w:r>
    </w:p>
    <w:p w14:paraId="22FB21E9">
      <w:pPr>
        <w:spacing w:line="299" w:lineRule="auto"/>
        <w:rPr>
          <w:rFonts w:ascii="Arial"/>
          <w:color w:val="auto"/>
          <w:sz w:val="21"/>
          <w:highlight w:val="none"/>
        </w:rPr>
      </w:pPr>
    </w:p>
    <w:p w14:paraId="402BF7A6">
      <w:pPr>
        <w:spacing w:line="300" w:lineRule="auto"/>
        <w:rPr>
          <w:rFonts w:ascii="Arial"/>
          <w:color w:val="auto"/>
          <w:sz w:val="21"/>
          <w:highlight w:val="none"/>
        </w:rPr>
      </w:pPr>
    </w:p>
    <w:p w14:paraId="5EBBE391">
      <w:pPr>
        <w:spacing w:before="103" w:line="183" w:lineRule="auto"/>
        <w:ind w:left="3008"/>
        <w:outlineLvl w:val="1"/>
        <w:rPr>
          <w:rFonts w:ascii="微软雅黑" w:hAnsi="微软雅黑" w:eastAsia="微软雅黑" w:cs="微软雅黑"/>
          <w:b/>
          <w:bCs/>
          <w:color w:val="auto"/>
          <w:spacing w:val="-1"/>
          <w:sz w:val="24"/>
          <w:szCs w:val="24"/>
          <w:highlight w:val="none"/>
        </w:rPr>
      </w:pPr>
    </w:p>
    <w:p w14:paraId="43F1DBBF">
      <w:pPr>
        <w:spacing w:before="103" w:line="183" w:lineRule="auto"/>
        <w:ind w:left="3008"/>
        <w:outlineLvl w:val="1"/>
        <w:rPr>
          <w:rFonts w:ascii="微软雅黑" w:hAnsi="微软雅黑" w:eastAsia="微软雅黑" w:cs="微软雅黑"/>
          <w:b/>
          <w:bCs/>
          <w:color w:val="auto"/>
          <w:spacing w:val="-1"/>
          <w:sz w:val="24"/>
          <w:szCs w:val="24"/>
          <w:highlight w:val="none"/>
        </w:rPr>
      </w:pPr>
    </w:p>
    <w:p w14:paraId="7B74996C">
      <w:pPr>
        <w:spacing w:before="103" w:line="183" w:lineRule="auto"/>
        <w:ind w:left="3008"/>
        <w:outlineLvl w:val="1"/>
        <w:rPr>
          <w:rFonts w:ascii="微软雅黑" w:hAnsi="微软雅黑" w:eastAsia="微软雅黑" w:cs="微软雅黑"/>
          <w:b/>
          <w:bCs/>
          <w:color w:val="auto"/>
          <w:spacing w:val="-1"/>
          <w:sz w:val="24"/>
          <w:szCs w:val="24"/>
          <w:highlight w:val="none"/>
        </w:rPr>
      </w:pPr>
    </w:p>
    <w:p w14:paraId="14316E46">
      <w:pPr>
        <w:spacing w:before="103" w:line="183" w:lineRule="auto"/>
        <w:ind w:left="3008"/>
        <w:outlineLvl w:val="1"/>
        <w:rPr>
          <w:rFonts w:ascii="微软雅黑" w:hAnsi="微软雅黑" w:eastAsia="微软雅黑" w:cs="微软雅黑"/>
          <w:b/>
          <w:bCs/>
          <w:color w:val="auto"/>
          <w:spacing w:val="-1"/>
          <w:sz w:val="24"/>
          <w:szCs w:val="24"/>
          <w:highlight w:val="none"/>
        </w:rPr>
      </w:pPr>
    </w:p>
    <w:p w14:paraId="6CBE5DAB">
      <w:pPr>
        <w:spacing w:before="103" w:line="183" w:lineRule="auto"/>
        <w:ind w:left="3008"/>
        <w:outlineLvl w:val="1"/>
        <w:rPr>
          <w:rFonts w:ascii="微软雅黑" w:hAnsi="微软雅黑" w:eastAsia="微软雅黑" w:cs="微软雅黑"/>
          <w:b/>
          <w:bCs/>
          <w:color w:val="auto"/>
          <w:spacing w:val="-1"/>
          <w:sz w:val="24"/>
          <w:szCs w:val="24"/>
          <w:highlight w:val="none"/>
        </w:rPr>
      </w:pPr>
    </w:p>
    <w:p w14:paraId="17DBAEFF">
      <w:pPr>
        <w:spacing w:before="103" w:line="183" w:lineRule="auto"/>
        <w:ind w:left="3008"/>
        <w:outlineLvl w:val="1"/>
        <w:rPr>
          <w:rFonts w:ascii="微软雅黑" w:hAnsi="微软雅黑" w:eastAsia="微软雅黑" w:cs="微软雅黑"/>
          <w:b/>
          <w:bCs/>
          <w:color w:val="auto"/>
          <w:spacing w:val="-1"/>
          <w:sz w:val="24"/>
          <w:szCs w:val="24"/>
          <w:highlight w:val="none"/>
        </w:rPr>
      </w:pPr>
    </w:p>
    <w:p w14:paraId="6D8E800C">
      <w:pPr>
        <w:spacing w:before="103" w:line="183" w:lineRule="auto"/>
        <w:ind w:left="3008"/>
        <w:outlineLvl w:val="1"/>
        <w:rPr>
          <w:rFonts w:ascii="微软雅黑" w:hAnsi="微软雅黑" w:eastAsia="微软雅黑" w:cs="微软雅黑"/>
          <w:b/>
          <w:bCs/>
          <w:color w:val="auto"/>
          <w:spacing w:val="-1"/>
          <w:sz w:val="24"/>
          <w:szCs w:val="24"/>
          <w:highlight w:val="none"/>
        </w:rPr>
      </w:pPr>
    </w:p>
    <w:p w14:paraId="6BC8CF7B">
      <w:pPr>
        <w:spacing w:before="103" w:line="183" w:lineRule="auto"/>
        <w:ind w:left="3008"/>
        <w:outlineLvl w:val="1"/>
        <w:rPr>
          <w:rFonts w:ascii="微软雅黑" w:hAnsi="微软雅黑" w:eastAsia="微软雅黑" w:cs="微软雅黑"/>
          <w:b/>
          <w:bCs/>
          <w:color w:val="auto"/>
          <w:spacing w:val="-1"/>
          <w:sz w:val="24"/>
          <w:szCs w:val="24"/>
          <w:highlight w:val="none"/>
        </w:rPr>
      </w:pPr>
    </w:p>
    <w:p w14:paraId="7299B4C4">
      <w:pPr>
        <w:spacing w:before="103" w:line="183" w:lineRule="auto"/>
        <w:ind w:left="3008"/>
        <w:outlineLvl w:val="1"/>
        <w:rPr>
          <w:rFonts w:ascii="微软雅黑" w:hAnsi="微软雅黑" w:eastAsia="微软雅黑" w:cs="微软雅黑"/>
          <w:b/>
          <w:bCs/>
          <w:color w:val="auto"/>
          <w:spacing w:val="-1"/>
          <w:sz w:val="24"/>
          <w:szCs w:val="24"/>
          <w:highlight w:val="none"/>
        </w:rPr>
      </w:pPr>
    </w:p>
    <w:p w14:paraId="1E935567">
      <w:pPr>
        <w:spacing w:before="103" w:line="183" w:lineRule="auto"/>
        <w:ind w:left="3008"/>
        <w:outlineLvl w:val="1"/>
        <w:rPr>
          <w:rFonts w:ascii="微软雅黑" w:hAnsi="微软雅黑" w:eastAsia="微软雅黑" w:cs="微软雅黑"/>
          <w:b/>
          <w:bCs/>
          <w:color w:val="auto"/>
          <w:spacing w:val="-1"/>
          <w:sz w:val="24"/>
          <w:szCs w:val="24"/>
          <w:highlight w:val="none"/>
        </w:rPr>
      </w:pPr>
    </w:p>
    <w:p w14:paraId="3FF8E929">
      <w:pPr>
        <w:spacing w:before="103" w:line="183" w:lineRule="auto"/>
        <w:ind w:left="3008"/>
        <w:outlineLvl w:val="1"/>
        <w:rPr>
          <w:rFonts w:ascii="微软雅黑" w:hAnsi="微软雅黑" w:eastAsia="微软雅黑" w:cs="微软雅黑"/>
          <w:b/>
          <w:bCs/>
          <w:color w:val="auto"/>
          <w:spacing w:val="-1"/>
          <w:sz w:val="24"/>
          <w:szCs w:val="24"/>
          <w:highlight w:val="none"/>
        </w:rPr>
      </w:pPr>
    </w:p>
    <w:p w14:paraId="469D56D2">
      <w:pPr>
        <w:spacing w:before="103" w:line="183" w:lineRule="auto"/>
        <w:ind w:left="3008"/>
        <w:outlineLvl w:val="1"/>
        <w:rPr>
          <w:rFonts w:ascii="微软雅黑" w:hAnsi="微软雅黑" w:eastAsia="微软雅黑" w:cs="微软雅黑"/>
          <w:b/>
          <w:bCs/>
          <w:color w:val="auto"/>
          <w:spacing w:val="-1"/>
          <w:sz w:val="24"/>
          <w:szCs w:val="24"/>
          <w:highlight w:val="none"/>
        </w:rPr>
      </w:pPr>
    </w:p>
    <w:p w14:paraId="1E79A8A2">
      <w:pPr>
        <w:spacing w:before="103" w:line="183" w:lineRule="auto"/>
        <w:ind w:left="3008"/>
        <w:outlineLvl w:val="1"/>
        <w:rPr>
          <w:rFonts w:ascii="微软雅黑" w:hAnsi="微软雅黑" w:eastAsia="微软雅黑" w:cs="微软雅黑"/>
          <w:b/>
          <w:bCs/>
          <w:color w:val="auto"/>
          <w:spacing w:val="-1"/>
          <w:sz w:val="24"/>
          <w:szCs w:val="24"/>
          <w:highlight w:val="none"/>
        </w:rPr>
      </w:pPr>
    </w:p>
    <w:p w14:paraId="1706A07B">
      <w:pPr>
        <w:spacing w:before="103" w:line="183" w:lineRule="auto"/>
        <w:ind w:left="3008"/>
        <w:outlineLvl w:val="1"/>
        <w:rPr>
          <w:rFonts w:ascii="微软雅黑" w:hAnsi="微软雅黑" w:eastAsia="微软雅黑" w:cs="微软雅黑"/>
          <w:b/>
          <w:bCs/>
          <w:color w:val="auto"/>
          <w:spacing w:val="-1"/>
          <w:sz w:val="24"/>
          <w:szCs w:val="24"/>
          <w:highlight w:val="none"/>
        </w:rPr>
      </w:pPr>
    </w:p>
    <w:p w14:paraId="060C5DC0">
      <w:pPr>
        <w:spacing w:before="103" w:line="183" w:lineRule="auto"/>
        <w:ind w:left="3008"/>
        <w:outlineLvl w:val="1"/>
        <w:rPr>
          <w:rFonts w:ascii="微软雅黑" w:hAnsi="微软雅黑" w:eastAsia="微软雅黑" w:cs="微软雅黑"/>
          <w:b/>
          <w:bCs/>
          <w:color w:val="auto"/>
          <w:spacing w:val="-1"/>
          <w:sz w:val="24"/>
          <w:szCs w:val="24"/>
          <w:highlight w:val="none"/>
        </w:rPr>
      </w:pPr>
    </w:p>
    <w:p w14:paraId="67C446D1">
      <w:pPr>
        <w:spacing w:before="103" w:line="183" w:lineRule="auto"/>
        <w:ind w:left="3008"/>
        <w:outlineLvl w:val="1"/>
        <w:rPr>
          <w:rFonts w:ascii="微软雅黑" w:hAnsi="微软雅黑" w:eastAsia="微软雅黑" w:cs="微软雅黑"/>
          <w:b/>
          <w:bCs/>
          <w:color w:val="auto"/>
          <w:spacing w:val="-1"/>
          <w:sz w:val="24"/>
          <w:szCs w:val="24"/>
          <w:highlight w:val="none"/>
        </w:rPr>
      </w:pPr>
    </w:p>
    <w:p w14:paraId="42EE385B">
      <w:pPr>
        <w:spacing w:before="103" w:line="183" w:lineRule="auto"/>
        <w:ind w:left="3008"/>
        <w:outlineLvl w:val="1"/>
        <w:rPr>
          <w:rFonts w:ascii="微软雅黑" w:hAnsi="微软雅黑" w:eastAsia="微软雅黑" w:cs="微软雅黑"/>
          <w:b/>
          <w:bCs/>
          <w:color w:val="auto"/>
          <w:spacing w:val="-1"/>
          <w:sz w:val="24"/>
          <w:szCs w:val="24"/>
          <w:highlight w:val="none"/>
        </w:rPr>
      </w:pPr>
    </w:p>
    <w:p w14:paraId="2F437433">
      <w:pPr>
        <w:spacing w:before="103" w:line="183" w:lineRule="auto"/>
        <w:ind w:left="3008"/>
        <w:outlineLvl w:val="1"/>
        <w:rPr>
          <w:rFonts w:ascii="微软雅黑" w:hAnsi="微软雅黑" w:eastAsia="微软雅黑" w:cs="微软雅黑"/>
          <w:b/>
          <w:bCs/>
          <w:color w:val="auto"/>
          <w:spacing w:val="-1"/>
          <w:sz w:val="24"/>
          <w:szCs w:val="24"/>
          <w:highlight w:val="none"/>
        </w:rPr>
      </w:pPr>
    </w:p>
    <w:p w14:paraId="5091DD6F">
      <w:pPr>
        <w:spacing w:before="103" w:line="183" w:lineRule="auto"/>
        <w:ind w:left="3008"/>
        <w:outlineLvl w:val="1"/>
        <w:rPr>
          <w:rFonts w:ascii="微软雅黑" w:hAnsi="微软雅黑" w:eastAsia="微软雅黑" w:cs="微软雅黑"/>
          <w:b/>
          <w:bCs/>
          <w:color w:val="auto"/>
          <w:spacing w:val="-1"/>
          <w:sz w:val="24"/>
          <w:szCs w:val="24"/>
          <w:highlight w:val="none"/>
        </w:rPr>
      </w:pPr>
    </w:p>
    <w:p w14:paraId="1776912E">
      <w:pPr>
        <w:spacing w:before="103" w:line="183" w:lineRule="auto"/>
        <w:ind w:left="3008"/>
        <w:outlineLvl w:val="1"/>
        <w:rPr>
          <w:rFonts w:ascii="微软雅黑" w:hAnsi="微软雅黑" w:eastAsia="微软雅黑" w:cs="微软雅黑"/>
          <w:b/>
          <w:bCs/>
          <w:color w:val="auto"/>
          <w:spacing w:val="-1"/>
          <w:sz w:val="24"/>
          <w:szCs w:val="24"/>
          <w:highlight w:val="none"/>
        </w:rPr>
      </w:pPr>
    </w:p>
    <w:p w14:paraId="3D5FA5DA">
      <w:pPr>
        <w:spacing w:before="103" w:line="183" w:lineRule="auto"/>
        <w:ind w:left="3008"/>
        <w:outlineLvl w:val="1"/>
        <w:rPr>
          <w:rFonts w:ascii="微软雅黑" w:hAnsi="微软雅黑" w:eastAsia="微软雅黑" w:cs="微软雅黑"/>
          <w:b/>
          <w:bCs/>
          <w:color w:val="auto"/>
          <w:spacing w:val="-1"/>
          <w:sz w:val="24"/>
          <w:szCs w:val="24"/>
          <w:highlight w:val="none"/>
        </w:rPr>
      </w:pPr>
    </w:p>
    <w:p w14:paraId="63DA4835">
      <w:pPr>
        <w:spacing w:before="103" w:line="183" w:lineRule="auto"/>
        <w:ind w:left="3008"/>
        <w:outlineLvl w:val="1"/>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第二部分 合同一般条款</w:t>
      </w:r>
    </w:p>
    <w:p w14:paraId="3293848B">
      <w:pPr>
        <w:spacing w:before="26" w:line="183"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2.1 定义</w:t>
      </w:r>
    </w:p>
    <w:p w14:paraId="0F920E82">
      <w:pPr>
        <w:spacing w:before="26" w:line="183" w:lineRule="auto"/>
        <w:ind w:left="49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本合同中的下列词语应按以下内容进行解释：</w:t>
      </w:r>
    </w:p>
    <w:p w14:paraId="16AF09DC">
      <w:pPr>
        <w:spacing w:before="25" w:line="198" w:lineRule="auto"/>
        <w:ind w:left="17" w:right="192" w:firstLine="490"/>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2.1.1 “合同”系指采购人和中标供应商签订的载明双方当事人所达成的协</w:t>
      </w:r>
      <w:r>
        <w:rPr>
          <w:rFonts w:ascii="微软雅黑" w:hAnsi="微软雅黑" w:eastAsia="微软雅黑" w:cs="微软雅黑"/>
          <w:color w:val="auto"/>
          <w:spacing w:val="2"/>
          <w:sz w:val="24"/>
          <w:szCs w:val="24"/>
          <w:highlight w:val="none"/>
        </w:rPr>
        <w:t xml:space="preserve"> </w:t>
      </w:r>
      <w:r>
        <w:rPr>
          <w:rFonts w:ascii="微软雅黑" w:hAnsi="微软雅黑" w:eastAsia="微软雅黑" w:cs="微软雅黑"/>
          <w:color w:val="auto"/>
          <w:spacing w:val="-2"/>
          <w:sz w:val="24"/>
          <w:szCs w:val="24"/>
          <w:highlight w:val="none"/>
        </w:rPr>
        <w:t>议，并包括所有的附件、附录和构成合同的其他文件。</w:t>
      </w:r>
    </w:p>
    <w:p w14:paraId="0367B84F">
      <w:pPr>
        <w:spacing w:before="2" w:line="197" w:lineRule="auto"/>
        <w:ind w:left="17" w:firstLine="49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2.1.2</w:t>
      </w:r>
      <w:r>
        <w:rPr>
          <w:rFonts w:ascii="微软雅黑" w:hAnsi="微软雅黑" w:eastAsia="微软雅黑" w:cs="微软雅黑"/>
          <w:color w:val="auto"/>
          <w:spacing w:val="70"/>
          <w:sz w:val="24"/>
          <w:szCs w:val="24"/>
          <w:highlight w:val="none"/>
        </w:rPr>
        <w:t xml:space="preserve"> </w:t>
      </w:r>
      <w:r>
        <w:rPr>
          <w:rFonts w:ascii="微软雅黑" w:hAnsi="微软雅黑" w:eastAsia="微软雅黑" w:cs="微软雅黑"/>
          <w:color w:val="auto"/>
          <w:spacing w:val="2"/>
          <w:sz w:val="24"/>
          <w:szCs w:val="24"/>
          <w:highlight w:val="none"/>
        </w:rPr>
        <w:t>“合同价</w:t>
      </w:r>
      <w:r>
        <w:rPr>
          <w:rFonts w:ascii="微软雅黑" w:hAnsi="微软雅黑" w:eastAsia="微软雅黑" w:cs="微软雅黑"/>
          <w:color w:val="auto"/>
          <w:spacing w:val="-50"/>
          <w:sz w:val="24"/>
          <w:szCs w:val="24"/>
          <w:highlight w:val="none"/>
        </w:rPr>
        <w:t xml:space="preserve"> </w:t>
      </w:r>
      <w:r>
        <w:rPr>
          <w:rFonts w:ascii="微软雅黑" w:hAnsi="微软雅黑" w:eastAsia="微软雅黑" w:cs="微软雅黑"/>
          <w:color w:val="auto"/>
          <w:spacing w:val="2"/>
          <w:sz w:val="24"/>
          <w:szCs w:val="24"/>
          <w:highlight w:val="none"/>
        </w:rPr>
        <w:t>”系指根据合同约定，</w:t>
      </w:r>
      <w:r>
        <w:rPr>
          <w:rFonts w:ascii="微软雅黑" w:hAnsi="微软雅黑" w:eastAsia="微软雅黑" w:cs="微软雅黑"/>
          <w:color w:val="auto"/>
          <w:spacing w:val="-38"/>
          <w:sz w:val="24"/>
          <w:szCs w:val="24"/>
          <w:highlight w:val="none"/>
        </w:rPr>
        <w:t xml:space="preserve"> </w:t>
      </w:r>
      <w:r>
        <w:rPr>
          <w:rFonts w:ascii="微软雅黑" w:hAnsi="微软雅黑" w:eastAsia="微软雅黑" w:cs="微软雅黑"/>
          <w:color w:val="auto"/>
          <w:spacing w:val="2"/>
          <w:sz w:val="24"/>
          <w:szCs w:val="24"/>
          <w:highlight w:val="none"/>
        </w:rPr>
        <w:t>中标供应商在完全履行合同义务后，</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采购人应支付给中标供应商的价格。</w:t>
      </w:r>
    </w:p>
    <w:p w14:paraId="75DF39D2">
      <w:pPr>
        <w:spacing w:line="198" w:lineRule="auto"/>
        <w:ind w:left="15" w:right="192" w:firstLine="492"/>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2.1.3 “服务”系指中标供应商根据合同约定应向采购人履行的除货物和工</w:t>
      </w:r>
      <w:r>
        <w:rPr>
          <w:rFonts w:ascii="微软雅黑" w:hAnsi="微软雅黑" w:eastAsia="微软雅黑" w:cs="微软雅黑"/>
          <w:color w:val="auto"/>
          <w:spacing w:val="2"/>
          <w:sz w:val="24"/>
          <w:szCs w:val="24"/>
          <w:highlight w:val="none"/>
        </w:rPr>
        <w:t xml:space="preserve"> </w:t>
      </w:r>
      <w:r>
        <w:rPr>
          <w:rFonts w:ascii="微软雅黑" w:hAnsi="微软雅黑" w:eastAsia="微软雅黑" w:cs="微软雅黑"/>
          <w:color w:val="auto"/>
          <w:spacing w:val="-3"/>
          <w:sz w:val="24"/>
          <w:szCs w:val="24"/>
          <w:highlight w:val="none"/>
        </w:rPr>
        <w:t>程以外的其他政府采购对象，包括采购人自身需要的服务和向社会公众提供的公</w:t>
      </w:r>
      <w:r>
        <w:rPr>
          <w:rFonts w:ascii="微软雅黑" w:hAnsi="微软雅黑" w:eastAsia="微软雅黑" w:cs="微软雅黑"/>
          <w:color w:val="auto"/>
          <w:spacing w:val="8"/>
          <w:sz w:val="24"/>
          <w:szCs w:val="24"/>
          <w:highlight w:val="none"/>
        </w:rPr>
        <w:t xml:space="preserve"> </w:t>
      </w:r>
      <w:r>
        <w:rPr>
          <w:rFonts w:ascii="微软雅黑" w:hAnsi="微软雅黑" w:eastAsia="微软雅黑" w:cs="微软雅黑"/>
          <w:color w:val="auto"/>
          <w:spacing w:val="-9"/>
          <w:sz w:val="24"/>
          <w:szCs w:val="24"/>
          <w:highlight w:val="none"/>
        </w:rPr>
        <w:t>共服务。</w:t>
      </w:r>
    </w:p>
    <w:p w14:paraId="08F3000C">
      <w:pPr>
        <w:spacing w:before="2" w:line="198" w:lineRule="auto"/>
        <w:ind w:left="17" w:right="192" w:firstLine="49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2.1.4 “甲方”系指与中标供应商签署合同的采购人</w:t>
      </w:r>
      <w:r>
        <w:rPr>
          <w:rFonts w:ascii="微软雅黑" w:hAnsi="微软雅黑" w:eastAsia="微软雅黑" w:cs="微软雅黑"/>
          <w:color w:val="auto"/>
          <w:spacing w:val="-33"/>
          <w:sz w:val="24"/>
          <w:szCs w:val="24"/>
          <w:highlight w:val="none"/>
        </w:rPr>
        <w:t xml:space="preserve"> </w:t>
      </w:r>
      <w:r>
        <w:rPr>
          <w:rFonts w:ascii="微软雅黑" w:hAnsi="微软雅黑" w:eastAsia="微软雅黑" w:cs="微软雅黑"/>
          <w:color w:val="auto"/>
          <w:spacing w:val="-1"/>
          <w:sz w:val="24"/>
          <w:szCs w:val="24"/>
          <w:highlight w:val="none"/>
        </w:rPr>
        <w:t>；采购人委托采购代理</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机构代表其与乙方签订合同的，采购人的授权委托书作为合同附件。</w:t>
      </w:r>
    </w:p>
    <w:p w14:paraId="3C94D0C4">
      <w:pPr>
        <w:spacing w:before="1" w:line="198" w:lineRule="auto"/>
        <w:ind w:left="17" w:right="192" w:firstLine="49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2.1.5 “乙方”系指根据合同约定提供服务的中标供应商</w:t>
      </w:r>
      <w:r>
        <w:rPr>
          <w:rFonts w:ascii="微软雅黑" w:hAnsi="微软雅黑" w:eastAsia="微软雅黑" w:cs="微软雅黑"/>
          <w:color w:val="auto"/>
          <w:spacing w:val="-33"/>
          <w:sz w:val="24"/>
          <w:szCs w:val="24"/>
          <w:highlight w:val="none"/>
        </w:rPr>
        <w:t xml:space="preserve"> </w:t>
      </w:r>
      <w:r>
        <w:rPr>
          <w:rFonts w:ascii="微软雅黑" w:hAnsi="微软雅黑" w:eastAsia="微软雅黑" w:cs="微软雅黑"/>
          <w:color w:val="auto"/>
          <w:spacing w:val="-1"/>
          <w:sz w:val="24"/>
          <w:szCs w:val="24"/>
          <w:highlight w:val="none"/>
        </w:rPr>
        <w:t>；两个以上的自然</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人、法人或者其他组织组成一个联合体，以一个供应商的身份共同参加政府采购</w:t>
      </w:r>
      <w:r>
        <w:rPr>
          <w:rFonts w:ascii="微软雅黑" w:hAnsi="微软雅黑" w:eastAsia="微软雅黑" w:cs="微软雅黑"/>
          <w:color w:val="auto"/>
          <w:spacing w:val="6"/>
          <w:sz w:val="24"/>
          <w:szCs w:val="24"/>
          <w:highlight w:val="none"/>
        </w:rPr>
        <w:t xml:space="preserve"> </w:t>
      </w:r>
      <w:r>
        <w:rPr>
          <w:rFonts w:ascii="微软雅黑" w:hAnsi="微软雅黑" w:eastAsia="微软雅黑" w:cs="微软雅黑"/>
          <w:color w:val="auto"/>
          <w:spacing w:val="-3"/>
          <w:sz w:val="24"/>
          <w:szCs w:val="24"/>
          <w:highlight w:val="none"/>
        </w:rPr>
        <w:t>的，联合体各方均应为乙方或者与乙方相同地位的合同当事人，并就合同约定的</w:t>
      </w:r>
      <w:r>
        <w:rPr>
          <w:rFonts w:ascii="微软雅黑" w:hAnsi="微软雅黑" w:eastAsia="微软雅黑" w:cs="微软雅黑"/>
          <w:color w:val="auto"/>
          <w:spacing w:val="6"/>
          <w:sz w:val="24"/>
          <w:szCs w:val="24"/>
          <w:highlight w:val="none"/>
        </w:rPr>
        <w:t xml:space="preserve"> </w:t>
      </w:r>
      <w:r>
        <w:rPr>
          <w:rFonts w:ascii="微软雅黑" w:hAnsi="微软雅黑" w:eastAsia="微软雅黑" w:cs="微软雅黑"/>
          <w:color w:val="auto"/>
          <w:spacing w:val="-4"/>
          <w:sz w:val="24"/>
          <w:szCs w:val="24"/>
          <w:highlight w:val="none"/>
        </w:rPr>
        <w:t>事项对甲方承担连带责任。</w:t>
      </w:r>
    </w:p>
    <w:p w14:paraId="7F3465F2">
      <w:pPr>
        <w:spacing w:before="1" w:line="184" w:lineRule="auto"/>
        <w:ind w:left="50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2.1.6 “现场”系指合同约定提供服务的地点。</w:t>
      </w:r>
    </w:p>
    <w:p w14:paraId="69D91AE8">
      <w:pPr>
        <w:spacing w:before="26" w:line="172"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2.2 技术规范</w:t>
      </w:r>
    </w:p>
    <w:p w14:paraId="06324950">
      <w:pPr>
        <w:spacing w:before="5" w:line="201" w:lineRule="auto"/>
        <w:ind w:left="16" w:right="24" w:firstLine="482"/>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服务所应遵守的技术规范应与采购文件规定的技术规范和技</w:t>
      </w:r>
      <w:r>
        <w:rPr>
          <w:rFonts w:ascii="微软雅黑" w:hAnsi="微软雅黑" w:eastAsia="微软雅黑" w:cs="微软雅黑"/>
          <w:color w:val="auto"/>
          <w:spacing w:val="1"/>
          <w:sz w:val="24"/>
          <w:szCs w:val="24"/>
          <w:highlight w:val="none"/>
        </w:rPr>
        <w:t>术规范附件(如</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果有的话)及其技术规范偏差表(如果被甲方接受的话)相一致；如果采购文件中没</w:t>
      </w:r>
      <w:r>
        <w:rPr>
          <w:rFonts w:ascii="微软雅黑" w:hAnsi="微软雅黑" w:eastAsia="微软雅黑" w:cs="微软雅黑"/>
          <w:color w:val="auto"/>
          <w:spacing w:val="4"/>
          <w:sz w:val="24"/>
          <w:szCs w:val="24"/>
          <w:highlight w:val="none"/>
        </w:rPr>
        <w:t xml:space="preserve">   </w:t>
      </w:r>
      <w:r>
        <w:rPr>
          <w:rFonts w:ascii="微软雅黑" w:hAnsi="微软雅黑" w:eastAsia="微软雅黑" w:cs="微软雅黑"/>
          <w:color w:val="auto"/>
          <w:spacing w:val="-5"/>
          <w:sz w:val="24"/>
          <w:szCs w:val="24"/>
          <w:highlight w:val="none"/>
        </w:rPr>
        <w:t>有技术规范的相应说明，那么应以国家有关部门最新颁布的相应标准和规范为准。</w:t>
      </w:r>
    </w:p>
    <w:p w14:paraId="263F6352">
      <w:pPr>
        <w:spacing w:before="26" w:line="183"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2.3 知识产权</w:t>
      </w:r>
    </w:p>
    <w:p w14:paraId="1CC30A3C">
      <w:pPr>
        <w:spacing w:before="24" w:line="198" w:lineRule="auto"/>
        <w:ind w:left="16" w:right="192" w:firstLine="491"/>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2.3.1 乙方应保证其提供的服务不受任何第三方提出的侵犯其著作权、商标</w:t>
      </w:r>
      <w:r>
        <w:rPr>
          <w:rFonts w:ascii="微软雅黑" w:hAnsi="微软雅黑" w:eastAsia="微软雅黑" w:cs="微软雅黑"/>
          <w:color w:val="auto"/>
          <w:spacing w:val="2"/>
          <w:sz w:val="24"/>
          <w:szCs w:val="24"/>
          <w:highlight w:val="none"/>
        </w:rPr>
        <w:t xml:space="preserve"> </w:t>
      </w:r>
      <w:r>
        <w:rPr>
          <w:rFonts w:ascii="微软雅黑" w:hAnsi="微软雅黑" w:eastAsia="微软雅黑" w:cs="微软雅黑"/>
          <w:color w:val="auto"/>
          <w:spacing w:val="-3"/>
          <w:sz w:val="24"/>
          <w:szCs w:val="24"/>
          <w:highlight w:val="none"/>
        </w:rPr>
        <w:t>权、专利权等知识产权方面的起诉；如果任何第三方提出侵权指控，那么乙方须</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2"/>
          <w:sz w:val="24"/>
          <w:szCs w:val="24"/>
          <w:highlight w:val="none"/>
        </w:rPr>
        <w:t>与该第三方交涉并承担由此发生的一切责任、费用和赔偿；</w:t>
      </w:r>
    </w:p>
    <w:p w14:paraId="72E2E44A">
      <w:pPr>
        <w:spacing w:before="3" w:line="174" w:lineRule="auto"/>
        <w:ind w:left="508"/>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2.3.2 合同涉及技术成果的归属和收益的分成办法的，详见</w:t>
      </w:r>
      <w:r>
        <w:rPr>
          <w:rFonts w:ascii="微软雅黑" w:hAnsi="微软雅黑" w:eastAsia="微软雅黑" w:cs="微软雅黑"/>
          <w:color w:val="auto"/>
          <w:spacing w:val="-26"/>
          <w:sz w:val="24"/>
          <w:szCs w:val="24"/>
          <w:highlight w:val="none"/>
        </w:rPr>
        <w:t xml:space="preserve"> </w:t>
      </w:r>
      <w:r>
        <w:rPr>
          <w:rFonts w:ascii="微软雅黑" w:hAnsi="微软雅黑" w:eastAsia="微软雅黑" w:cs="微软雅黑"/>
          <w:b/>
          <w:bCs/>
          <w:i/>
          <w:iCs/>
          <w:color w:val="auto"/>
          <w:sz w:val="25"/>
          <w:szCs w:val="25"/>
          <w:highlight w:val="none"/>
          <w:u w:val="single" w:color="auto"/>
        </w:rPr>
        <w:t>合同专用条款</w:t>
      </w:r>
      <w:r>
        <w:rPr>
          <w:rFonts w:ascii="微软雅黑" w:hAnsi="微软雅黑" w:eastAsia="微软雅黑" w:cs="微软雅黑"/>
          <w:color w:val="auto"/>
          <w:sz w:val="24"/>
          <w:szCs w:val="24"/>
          <w:highlight w:val="none"/>
        </w:rPr>
        <w:t>。</w:t>
      </w:r>
    </w:p>
    <w:p w14:paraId="4F897471">
      <w:pPr>
        <w:spacing w:before="28" w:line="183" w:lineRule="auto"/>
        <w:ind w:left="506"/>
        <w:outlineLvl w:val="3"/>
        <w:rPr>
          <w:rFonts w:ascii="Arial"/>
          <w:color w:val="auto"/>
          <w:sz w:val="21"/>
          <w:highlight w:val="none"/>
        </w:rPr>
      </w:pPr>
      <w:r>
        <w:rPr>
          <w:rFonts w:ascii="微软雅黑" w:hAnsi="微软雅黑" w:eastAsia="微软雅黑" w:cs="微软雅黑"/>
          <w:b/>
          <w:bCs/>
          <w:color w:val="auto"/>
          <w:spacing w:val="-1"/>
          <w:sz w:val="24"/>
          <w:szCs w:val="24"/>
          <w:highlight w:val="none"/>
        </w:rPr>
        <w:t>2.4 履约检查和问题反馈</w:t>
      </w:r>
    </w:p>
    <w:p w14:paraId="2E0C19BB">
      <w:pPr>
        <w:spacing w:before="103" w:line="197" w:lineRule="auto"/>
        <w:ind w:left="17" w:right="192" w:firstLine="490"/>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2.4.1 甲方有权在其认为必要时，对乙方是否能够按照合同约定提供服务进</w:t>
      </w:r>
      <w:r>
        <w:rPr>
          <w:rFonts w:ascii="微软雅黑" w:hAnsi="微软雅黑" w:eastAsia="微软雅黑" w:cs="微软雅黑"/>
          <w:color w:val="auto"/>
          <w:spacing w:val="1"/>
          <w:sz w:val="24"/>
          <w:szCs w:val="24"/>
          <w:highlight w:val="none"/>
        </w:rPr>
        <w:t xml:space="preserve"> </w:t>
      </w:r>
      <w:r>
        <w:rPr>
          <w:rFonts w:ascii="微软雅黑" w:hAnsi="微软雅黑" w:eastAsia="微软雅黑" w:cs="微软雅黑"/>
          <w:color w:val="auto"/>
          <w:spacing w:val="-3"/>
          <w:sz w:val="24"/>
          <w:szCs w:val="24"/>
          <w:highlight w:val="none"/>
        </w:rPr>
        <w:t>行履约检查，以确保乙方所提供的服务能够依约满足甲方之项目需求，但不得因</w:t>
      </w:r>
      <w:r>
        <w:rPr>
          <w:rFonts w:ascii="微软雅黑" w:hAnsi="微软雅黑" w:eastAsia="微软雅黑" w:cs="微软雅黑"/>
          <w:color w:val="auto"/>
          <w:spacing w:val="6"/>
          <w:sz w:val="24"/>
          <w:szCs w:val="24"/>
          <w:highlight w:val="none"/>
        </w:rPr>
        <w:t xml:space="preserve"> </w:t>
      </w:r>
      <w:r>
        <w:rPr>
          <w:rFonts w:ascii="微软雅黑" w:hAnsi="微软雅黑" w:eastAsia="微软雅黑" w:cs="微软雅黑"/>
          <w:color w:val="auto"/>
          <w:spacing w:val="-2"/>
          <w:sz w:val="24"/>
          <w:szCs w:val="24"/>
          <w:highlight w:val="none"/>
        </w:rPr>
        <w:t>履约检查妨碍乙方的正常工作，乙方应予积极配</w:t>
      </w:r>
      <w:r>
        <w:rPr>
          <w:rFonts w:ascii="微软雅黑" w:hAnsi="微软雅黑" w:eastAsia="微软雅黑" w:cs="微软雅黑"/>
          <w:color w:val="auto"/>
          <w:spacing w:val="-3"/>
          <w:sz w:val="24"/>
          <w:szCs w:val="24"/>
          <w:highlight w:val="none"/>
        </w:rPr>
        <w:t>合；</w:t>
      </w:r>
    </w:p>
    <w:p w14:paraId="1EA69495">
      <w:pPr>
        <w:spacing w:before="5" w:line="197" w:lineRule="auto"/>
        <w:ind w:left="27" w:right="192" w:firstLine="48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2.4.2 合同履行期间， 甲方有权将履行过程中出现的问题反馈给乙方，双方</w:t>
      </w:r>
      <w:r>
        <w:rPr>
          <w:rFonts w:ascii="微软雅黑" w:hAnsi="微软雅黑" w:eastAsia="微软雅黑" w:cs="微软雅黑"/>
          <w:color w:val="auto"/>
          <w:spacing w:val="5"/>
          <w:sz w:val="24"/>
          <w:szCs w:val="24"/>
          <w:highlight w:val="none"/>
        </w:rPr>
        <w:t xml:space="preserve"> </w:t>
      </w:r>
      <w:r>
        <w:rPr>
          <w:rFonts w:ascii="微软雅黑" w:hAnsi="微软雅黑" w:eastAsia="微软雅黑" w:cs="微软雅黑"/>
          <w:color w:val="auto"/>
          <w:spacing w:val="-3"/>
          <w:sz w:val="24"/>
          <w:szCs w:val="24"/>
          <w:highlight w:val="none"/>
        </w:rPr>
        <w:t>当事人应以书面形式约定需要完善和改进的内容。</w:t>
      </w:r>
    </w:p>
    <w:p w14:paraId="71E3C62E">
      <w:pPr>
        <w:spacing w:before="3" w:line="183"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2.5 结算方式和付款条件</w:t>
      </w:r>
    </w:p>
    <w:p w14:paraId="71B4EB70">
      <w:pPr>
        <w:spacing w:before="26" w:line="174" w:lineRule="auto"/>
        <w:ind w:left="497"/>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详见</w:t>
      </w:r>
      <w:r>
        <w:rPr>
          <w:rFonts w:ascii="微软雅黑" w:hAnsi="微软雅黑" w:eastAsia="微软雅黑" w:cs="微软雅黑"/>
          <w:b/>
          <w:bCs/>
          <w:i/>
          <w:iCs/>
          <w:color w:val="auto"/>
          <w:sz w:val="25"/>
          <w:szCs w:val="25"/>
          <w:highlight w:val="none"/>
          <w:u w:val="single" w:color="auto"/>
        </w:rPr>
        <w:t>合同专用条款</w:t>
      </w:r>
      <w:r>
        <w:rPr>
          <w:rFonts w:ascii="微软雅黑" w:hAnsi="微软雅黑" w:eastAsia="微软雅黑" w:cs="微软雅黑"/>
          <w:color w:val="auto"/>
          <w:sz w:val="24"/>
          <w:szCs w:val="24"/>
          <w:highlight w:val="none"/>
        </w:rPr>
        <w:t>。</w:t>
      </w:r>
    </w:p>
    <w:p w14:paraId="0C06C2C3">
      <w:pPr>
        <w:spacing w:before="28" w:line="183"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2.6 技术资料和保密义务</w:t>
      </w:r>
    </w:p>
    <w:p w14:paraId="589B969F">
      <w:pPr>
        <w:spacing w:before="26" w:line="197" w:lineRule="auto"/>
        <w:ind w:left="18" w:right="192" w:firstLine="48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2.6.1 乙方有权依据合同约定和项目需</w:t>
      </w:r>
      <w:r>
        <w:rPr>
          <w:rFonts w:ascii="微软雅黑" w:hAnsi="微软雅黑" w:eastAsia="微软雅黑" w:cs="微软雅黑"/>
          <w:color w:val="auto"/>
          <w:spacing w:val="-2"/>
          <w:sz w:val="24"/>
          <w:szCs w:val="24"/>
          <w:highlight w:val="none"/>
        </w:rPr>
        <w:t>要，</w:t>
      </w:r>
      <w:r>
        <w:rPr>
          <w:rFonts w:ascii="微软雅黑" w:hAnsi="微软雅黑" w:eastAsia="微软雅黑" w:cs="微软雅黑"/>
          <w:color w:val="auto"/>
          <w:spacing w:val="-17"/>
          <w:sz w:val="24"/>
          <w:szCs w:val="24"/>
          <w:highlight w:val="none"/>
        </w:rPr>
        <w:t xml:space="preserve"> </w:t>
      </w:r>
      <w:r>
        <w:rPr>
          <w:rFonts w:ascii="微软雅黑" w:hAnsi="微软雅黑" w:eastAsia="微软雅黑" w:cs="微软雅黑"/>
          <w:color w:val="auto"/>
          <w:spacing w:val="-2"/>
          <w:sz w:val="24"/>
          <w:szCs w:val="24"/>
          <w:highlight w:val="none"/>
        </w:rPr>
        <w:t>向甲方了解有关情况，调阅有关</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4"/>
          <w:sz w:val="24"/>
          <w:szCs w:val="24"/>
          <w:highlight w:val="none"/>
        </w:rPr>
        <w:t>资料等，甲方应予积极配合；</w:t>
      </w:r>
    </w:p>
    <w:p w14:paraId="16CAEAE7">
      <w:pPr>
        <w:spacing w:before="3" w:line="184" w:lineRule="auto"/>
        <w:ind w:left="50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2.6.2 乙方有义务妥善保管和保护由甲方提供的前款信息和资料等；</w:t>
      </w:r>
    </w:p>
    <w:p w14:paraId="0EC30083">
      <w:pPr>
        <w:spacing w:before="24" w:line="198" w:lineRule="auto"/>
        <w:ind w:left="16" w:right="191" w:firstLine="491"/>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2.6.3 除非依照法律规定或者对方当事人的书面同意，任何一方均应保证不</w:t>
      </w:r>
      <w:r>
        <w:rPr>
          <w:rFonts w:ascii="微软雅黑" w:hAnsi="微软雅黑" w:eastAsia="微软雅黑" w:cs="微软雅黑"/>
          <w:color w:val="auto"/>
          <w:spacing w:val="2"/>
          <w:sz w:val="24"/>
          <w:szCs w:val="24"/>
          <w:highlight w:val="none"/>
        </w:rPr>
        <w:t xml:space="preserve"> </w:t>
      </w:r>
      <w:r>
        <w:rPr>
          <w:rFonts w:ascii="微软雅黑" w:hAnsi="微软雅黑" w:eastAsia="微软雅黑" w:cs="微软雅黑"/>
          <w:color w:val="auto"/>
          <w:spacing w:val="4"/>
          <w:sz w:val="24"/>
          <w:szCs w:val="24"/>
          <w:highlight w:val="none"/>
        </w:rPr>
        <w:t>向任何第三方提供或披露有关合同的或者履行合同过程中知悉的对方当事人任</w:t>
      </w:r>
      <w:r>
        <w:rPr>
          <w:rFonts w:ascii="微软雅黑" w:hAnsi="微软雅黑" w:eastAsia="微软雅黑" w:cs="微软雅黑"/>
          <w:color w:val="auto"/>
          <w:spacing w:val="6"/>
          <w:sz w:val="24"/>
          <w:szCs w:val="24"/>
          <w:highlight w:val="none"/>
        </w:rPr>
        <w:t xml:space="preserve"> </w:t>
      </w:r>
      <w:r>
        <w:rPr>
          <w:rFonts w:ascii="微软雅黑" w:hAnsi="微软雅黑" w:eastAsia="微软雅黑" w:cs="微软雅黑"/>
          <w:color w:val="auto"/>
          <w:spacing w:val="-3"/>
          <w:sz w:val="24"/>
          <w:szCs w:val="24"/>
          <w:highlight w:val="none"/>
        </w:rPr>
        <w:t>何未公开的信息和资料，包括但不限于技术情报、技术资料、商业秘密和商业信</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3"/>
          <w:sz w:val="24"/>
          <w:szCs w:val="24"/>
          <w:highlight w:val="none"/>
        </w:rPr>
        <w:t>息等，并采取一切合理和必要措施和方式防止任何第三方接触到对方当事人的上</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5"/>
          <w:sz w:val="24"/>
          <w:szCs w:val="24"/>
          <w:highlight w:val="none"/>
        </w:rPr>
        <w:t>述保密信息和资料。</w:t>
      </w:r>
    </w:p>
    <w:p w14:paraId="32D3A1A7">
      <w:pPr>
        <w:spacing w:before="5" w:line="182"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2.7 质量保证</w:t>
      </w:r>
    </w:p>
    <w:p w14:paraId="1C3C28CD">
      <w:pPr>
        <w:spacing w:before="25" w:line="197" w:lineRule="auto"/>
        <w:ind w:left="19" w:right="192" w:firstLine="48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2.7.1 乙方应建立和完善履行合同的内部质量保证体系，</w:t>
      </w:r>
      <w:r>
        <w:rPr>
          <w:rFonts w:ascii="微软雅黑" w:hAnsi="微软雅黑" w:eastAsia="微软雅黑" w:cs="微软雅黑"/>
          <w:color w:val="auto"/>
          <w:spacing w:val="-33"/>
          <w:sz w:val="24"/>
          <w:szCs w:val="24"/>
          <w:highlight w:val="none"/>
        </w:rPr>
        <w:t xml:space="preserve"> </w:t>
      </w:r>
      <w:r>
        <w:rPr>
          <w:rFonts w:ascii="微软雅黑" w:hAnsi="微软雅黑" w:eastAsia="微软雅黑" w:cs="微软雅黑"/>
          <w:color w:val="auto"/>
          <w:spacing w:val="-1"/>
          <w:sz w:val="24"/>
          <w:szCs w:val="24"/>
          <w:highlight w:val="none"/>
        </w:rPr>
        <w:t>并提供相关内部规</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章制度给甲方，以便甲方进行监督检查；</w:t>
      </w:r>
    </w:p>
    <w:p w14:paraId="54848102">
      <w:pPr>
        <w:spacing w:before="4" w:line="197" w:lineRule="auto"/>
        <w:ind w:left="15" w:right="192" w:firstLine="49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2.7.2 乙方应保证履行合同的人员数量和素质、</w:t>
      </w:r>
      <w:r>
        <w:rPr>
          <w:rFonts w:ascii="微软雅黑" w:hAnsi="微软雅黑" w:eastAsia="微软雅黑" w:cs="微软雅黑"/>
          <w:color w:val="auto"/>
          <w:spacing w:val="-33"/>
          <w:sz w:val="24"/>
          <w:szCs w:val="24"/>
          <w:highlight w:val="none"/>
        </w:rPr>
        <w:t xml:space="preserve"> </w:t>
      </w:r>
      <w:r>
        <w:rPr>
          <w:rFonts w:ascii="微软雅黑" w:hAnsi="微软雅黑" w:eastAsia="微软雅黑" w:cs="微软雅黑"/>
          <w:color w:val="auto"/>
          <w:spacing w:val="-1"/>
          <w:sz w:val="24"/>
          <w:szCs w:val="24"/>
          <w:highlight w:val="none"/>
        </w:rPr>
        <w:t>软件和硬件设备的配置、场</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地、环境和设施等满足全面履行合同的要求，并应接受甲方的监督检查。</w:t>
      </w:r>
    </w:p>
    <w:p w14:paraId="6ED27DEC">
      <w:pPr>
        <w:spacing w:before="5" w:line="183"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2.8 延迟履行</w:t>
      </w:r>
    </w:p>
    <w:p w14:paraId="03BE2154">
      <w:pPr>
        <w:spacing w:before="22" w:line="198" w:lineRule="auto"/>
        <w:ind w:left="16" w:right="119" w:firstLine="480"/>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在合同履行过程中，如果乙方遇到不能按时提供服务的情况，应及时以书面</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7"/>
          <w:sz w:val="24"/>
          <w:szCs w:val="24"/>
          <w:highlight w:val="none"/>
        </w:rPr>
        <w:t>形式将不能按时提供服务的理由、预期延误时间通</w:t>
      </w:r>
      <w:r>
        <w:rPr>
          <w:rFonts w:ascii="微软雅黑" w:hAnsi="微软雅黑" w:eastAsia="微软雅黑" w:cs="微软雅黑"/>
          <w:color w:val="auto"/>
          <w:spacing w:val="-8"/>
          <w:sz w:val="24"/>
          <w:szCs w:val="24"/>
          <w:highlight w:val="none"/>
        </w:rPr>
        <w:t>知甲方；甲方收到乙方通知后，</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认为其理由正当的，可以书面形式酌情同意乙方可以延长履行的具体时间。</w:t>
      </w:r>
    </w:p>
    <w:p w14:paraId="6017D01F">
      <w:pPr>
        <w:spacing w:before="5" w:line="183"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2.9 合同变更</w:t>
      </w:r>
    </w:p>
    <w:p w14:paraId="42499C84">
      <w:pPr>
        <w:spacing w:before="25" w:line="198" w:lineRule="auto"/>
        <w:ind w:left="16" w:right="192" w:firstLine="491"/>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2.9.1 双方当事人协商一致，</w:t>
      </w:r>
      <w:r>
        <w:rPr>
          <w:rFonts w:ascii="微软雅黑" w:hAnsi="微软雅黑" w:eastAsia="微软雅黑" w:cs="微软雅黑"/>
          <w:color w:val="auto"/>
          <w:spacing w:val="-33"/>
          <w:sz w:val="24"/>
          <w:szCs w:val="24"/>
          <w:highlight w:val="none"/>
        </w:rPr>
        <w:t xml:space="preserve"> </w:t>
      </w:r>
      <w:r>
        <w:rPr>
          <w:rFonts w:ascii="微软雅黑" w:hAnsi="微软雅黑" w:eastAsia="微软雅黑" w:cs="微软雅黑"/>
          <w:color w:val="auto"/>
          <w:spacing w:val="-1"/>
          <w:sz w:val="24"/>
          <w:szCs w:val="24"/>
          <w:highlight w:val="none"/>
        </w:rPr>
        <w:t>可以签订书面补充合同的形式变更合同，但不</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得违背采购文件确定的事项，且如果系追加与合同标的相同的服务的，那么所有</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2"/>
          <w:sz w:val="24"/>
          <w:szCs w:val="24"/>
          <w:highlight w:val="none"/>
        </w:rPr>
        <w:t>补充合同的采购金额不得超过原合同价的 10%；</w:t>
      </w:r>
    </w:p>
    <w:p w14:paraId="46074BC8">
      <w:pPr>
        <w:spacing w:before="4" w:line="197" w:lineRule="auto"/>
        <w:ind w:left="15" w:firstLine="492"/>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 xml:space="preserve">2.9.2 合同继续履行将损害国家利益和社会公共利益的，双方当事人应当以   </w:t>
      </w:r>
      <w:r>
        <w:rPr>
          <w:rFonts w:ascii="微软雅黑" w:hAnsi="微软雅黑" w:eastAsia="微软雅黑" w:cs="微软雅黑"/>
          <w:color w:val="auto"/>
          <w:spacing w:val="3"/>
          <w:sz w:val="24"/>
          <w:szCs w:val="24"/>
          <w:highlight w:val="none"/>
        </w:rPr>
        <w:t>书面形式变更合同。有过错的一方应当承担赔偿责任，双</w:t>
      </w:r>
      <w:r>
        <w:rPr>
          <w:rFonts w:ascii="微软雅黑" w:hAnsi="微软雅黑" w:eastAsia="微软雅黑" w:cs="微软雅黑"/>
          <w:color w:val="auto"/>
          <w:spacing w:val="2"/>
          <w:sz w:val="24"/>
          <w:szCs w:val="24"/>
          <w:highlight w:val="none"/>
        </w:rPr>
        <w:t>方当事人都有过错的，</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5"/>
          <w:sz w:val="24"/>
          <w:szCs w:val="24"/>
          <w:highlight w:val="none"/>
        </w:rPr>
        <w:t>各自承担相应的责任。</w:t>
      </w:r>
    </w:p>
    <w:p w14:paraId="2605EEE1">
      <w:pPr>
        <w:spacing w:before="3" w:line="183"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2.10 合同转让和分包</w:t>
      </w:r>
    </w:p>
    <w:p w14:paraId="2AF62C1B">
      <w:pPr>
        <w:spacing w:before="23" w:line="198" w:lineRule="auto"/>
        <w:ind w:left="15" w:right="192" w:firstLine="481"/>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合同的权利义务依法不得转让，但经甲方同意，乙方可以依法采取分包方式</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履行合同，即：依法可以将合同项下的部分非主体、非关键性工作分包给他人完</w:t>
      </w:r>
      <w:r>
        <w:rPr>
          <w:rFonts w:ascii="微软雅黑" w:hAnsi="微软雅黑" w:eastAsia="微软雅黑" w:cs="微软雅黑"/>
          <w:color w:val="auto"/>
          <w:spacing w:val="8"/>
          <w:sz w:val="24"/>
          <w:szCs w:val="24"/>
          <w:highlight w:val="none"/>
        </w:rPr>
        <w:t xml:space="preserve"> </w:t>
      </w:r>
      <w:r>
        <w:rPr>
          <w:rFonts w:ascii="微软雅黑" w:hAnsi="微软雅黑" w:eastAsia="微软雅黑" w:cs="微软雅黑"/>
          <w:color w:val="auto"/>
          <w:spacing w:val="-3"/>
          <w:sz w:val="24"/>
          <w:szCs w:val="24"/>
          <w:highlight w:val="none"/>
        </w:rPr>
        <w:t>成，接受分包的人应当具备相应的资格条件，并不得再次分包，且乙方应就分包</w:t>
      </w:r>
      <w:r>
        <w:rPr>
          <w:rFonts w:ascii="微软雅黑" w:hAnsi="微软雅黑" w:eastAsia="微软雅黑" w:cs="微软雅黑"/>
          <w:color w:val="auto"/>
          <w:spacing w:val="8"/>
          <w:sz w:val="24"/>
          <w:szCs w:val="24"/>
          <w:highlight w:val="none"/>
        </w:rPr>
        <w:t xml:space="preserve"> </w:t>
      </w:r>
      <w:r>
        <w:rPr>
          <w:rFonts w:ascii="微软雅黑" w:hAnsi="微软雅黑" w:eastAsia="微软雅黑" w:cs="微软雅黑"/>
          <w:color w:val="auto"/>
          <w:spacing w:val="-2"/>
          <w:sz w:val="24"/>
          <w:szCs w:val="24"/>
          <w:highlight w:val="none"/>
        </w:rPr>
        <w:t>项目向甲方负责，并与分包供应商就分包项目向甲方承担连带责任。</w:t>
      </w:r>
    </w:p>
    <w:p w14:paraId="6A43DF33">
      <w:pPr>
        <w:spacing w:before="5" w:line="183"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2.11 不可抗力</w:t>
      </w:r>
    </w:p>
    <w:p w14:paraId="54DC6073">
      <w:pPr>
        <w:spacing w:before="27" w:line="197" w:lineRule="auto"/>
        <w:ind w:left="17" w:right="192" w:firstLine="490"/>
        <w:rPr>
          <w:rFonts w:ascii="Arial"/>
          <w:color w:val="auto"/>
          <w:sz w:val="21"/>
          <w:highlight w:val="none"/>
        </w:rPr>
      </w:pPr>
      <w:r>
        <w:rPr>
          <w:rFonts w:ascii="微软雅黑" w:hAnsi="微软雅黑" w:eastAsia="微软雅黑" w:cs="微软雅黑"/>
          <w:color w:val="auto"/>
          <w:spacing w:val="-4"/>
          <w:sz w:val="24"/>
          <w:szCs w:val="24"/>
          <w:highlight w:val="none"/>
        </w:rPr>
        <w:t>2.11.1 如果任何一方遭遇法律规定的不可抗力，致使合同履行受阻时，履行</w:t>
      </w:r>
      <w:r>
        <w:rPr>
          <w:rFonts w:ascii="微软雅黑" w:hAnsi="微软雅黑" w:eastAsia="微软雅黑" w:cs="微软雅黑"/>
          <w:color w:val="auto"/>
          <w:spacing w:val="9"/>
          <w:sz w:val="24"/>
          <w:szCs w:val="24"/>
          <w:highlight w:val="none"/>
        </w:rPr>
        <w:t xml:space="preserve"> </w:t>
      </w:r>
      <w:r>
        <w:rPr>
          <w:rFonts w:ascii="微软雅黑" w:hAnsi="微软雅黑" w:eastAsia="微软雅黑" w:cs="微软雅黑"/>
          <w:color w:val="auto"/>
          <w:spacing w:val="-2"/>
          <w:sz w:val="24"/>
          <w:szCs w:val="24"/>
          <w:highlight w:val="none"/>
        </w:rPr>
        <w:t>合同的期限应予延长，延长的期限应相当于不可抗力所影响的时间；</w:t>
      </w:r>
    </w:p>
    <w:p w14:paraId="2599DBC2">
      <w:pPr>
        <w:spacing w:before="103" w:line="184" w:lineRule="auto"/>
        <w:ind w:left="50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2.11.2</w:t>
      </w:r>
      <w:r>
        <w:rPr>
          <w:rFonts w:ascii="微软雅黑" w:hAnsi="微软雅黑" w:eastAsia="微软雅黑" w:cs="微软雅黑"/>
          <w:color w:val="auto"/>
          <w:spacing w:val="19"/>
          <w:w w:val="101"/>
          <w:sz w:val="24"/>
          <w:szCs w:val="24"/>
          <w:highlight w:val="none"/>
        </w:rPr>
        <w:t xml:space="preserve"> </w:t>
      </w:r>
      <w:r>
        <w:rPr>
          <w:rFonts w:ascii="微软雅黑" w:hAnsi="微软雅黑" w:eastAsia="微软雅黑" w:cs="微软雅黑"/>
          <w:color w:val="auto"/>
          <w:spacing w:val="-2"/>
          <w:sz w:val="24"/>
          <w:szCs w:val="24"/>
          <w:highlight w:val="none"/>
        </w:rPr>
        <w:t>因不可抗力致使不能实现合同目的的</w:t>
      </w:r>
      <w:r>
        <w:rPr>
          <w:rFonts w:ascii="微软雅黑" w:hAnsi="微软雅黑" w:eastAsia="微软雅黑" w:cs="微软雅黑"/>
          <w:color w:val="auto"/>
          <w:spacing w:val="-3"/>
          <w:sz w:val="24"/>
          <w:szCs w:val="24"/>
          <w:highlight w:val="none"/>
        </w:rPr>
        <w:t>，当事人可以解除合同；</w:t>
      </w:r>
    </w:p>
    <w:p w14:paraId="745E79AC">
      <w:pPr>
        <w:spacing w:before="25" w:line="193" w:lineRule="auto"/>
        <w:ind w:left="18" w:right="1" w:firstLine="48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2.11.3</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1"/>
          <w:sz w:val="24"/>
          <w:szCs w:val="24"/>
          <w:highlight w:val="none"/>
        </w:rPr>
        <w:t>因不可抗力致使合同有变更必要的，双方当事人应在</w:t>
      </w:r>
      <w:r>
        <w:rPr>
          <w:rFonts w:ascii="微软雅黑" w:hAnsi="微软雅黑" w:eastAsia="微软雅黑" w:cs="微软雅黑"/>
          <w:b/>
          <w:bCs/>
          <w:i/>
          <w:iCs/>
          <w:color w:val="auto"/>
          <w:spacing w:val="1"/>
          <w:sz w:val="25"/>
          <w:szCs w:val="25"/>
          <w:highlight w:val="none"/>
          <w:u w:val="single" w:color="auto"/>
        </w:rPr>
        <w:t>合同专用条款</w:t>
      </w:r>
      <w:r>
        <w:rPr>
          <w:rFonts w:ascii="微软雅黑" w:hAnsi="微软雅黑" w:eastAsia="微软雅黑" w:cs="微软雅黑"/>
          <w:b/>
          <w:bCs/>
          <w:color w:val="auto"/>
          <w:sz w:val="25"/>
          <w:szCs w:val="25"/>
          <w:highlight w:val="none"/>
        </w:rPr>
        <w:t xml:space="preserve"> </w:t>
      </w:r>
      <w:r>
        <w:rPr>
          <w:rFonts w:ascii="微软雅黑" w:hAnsi="微软雅黑" w:eastAsia="微软雅黑" w:cs="微软雅黑"/>
          <w:color w:val="auto"/>
          <w:spacing w:val="-4"/>
          <w:sz w:val="24"/>
          <w:szCs w:val="24"/>
          <w:highlight w:val="none"/>
        </w:rPr>
        <w:t>约定时间内以书面形式变更合同；</w:t>
      </w:r>
    </w:p>
    <w:p w14:paraId="33009F9D">
      <w:pPr>
        <w:spacing w:before="4" w:line="192" w:lineRule="auto"/>
        <w:ind w:left="17" w:right="72" w:firstLine="490"/>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5"/>
          <w:sz w:val="24"/>
          <w:szCs w:val="24"/>
          <w:highlight w:val="none"/>
        </w:rPr>
        <w:t>2.11.4 受不可抗力影响的一方在不可抗力发</w:t>
      </w:r>
      <w:r>
        <w:rPr>
          <w:rFonts w:ascii="微软雅黑" w:hAnsi="微软雅黑" w:eastAsia="微软雅黑" w:cs="微软雅黑"/>
          <w:color w:val="auto"/>
          <w:spacing w:val="-6"/>
          <w:sz w:val="24"/>
          <w:szCs w:val="24"/>
          <w:highlight w:val="none"/>
        </w:rPr>
        <w:t>生后，应在</w:t>
      </w:r>
      <w:r>
        <w:rPr>
          <w:rFonts w:ascii="微软雅黑" w:hAnsi="微软雅黑" w:eastAsia="微软雅黑" w:cs="微软雅黑"/>
          <w:b/>
          <w:bCs/>
          <w:i/>
          <w:iCs/>
          <w:color w:val="auto"/>
          <w:spacing w:val="-6"/>
          <w:sz w:val="25"/>
          <w:szCs w:val="25"/>
          <w:highlight w:val="none"/>
          <w:u w:val="single" w:color="auto"/>
        </w:rPr>
        <w:t>合同专用条款</w:t>
      </w:r>
      <w:r>
        <w:rPr>
          <w:rFonts w:ascii="微软雅黑" w:hAnsi="微软雅黑" w:eastAsia="微软雅黑" w:cs="微软雅黑"/>
          <w:color w:val="auto"/>
          <w:spacing w:val="-6"/>
          <w:sz w:val="24"/>
          <w:szCs w:val="24"/>
          <w:highlight w:val="none"/>
        </w:rPr>
        <w:t>约定时</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5"/>
          <w:sz w:val="24"/>
          <w:szCs w:val="24"/>
          <w:highlight w:val="none"/>
        </w:rPr>
        <w:t>间内以书面形式通知对方当事人，并在</w:t>
      </w:r>
      <w:r>
        <w:rPr>
          <w:rFonts w:ascii="微软雅黑" w:hAnsi="微软雅黑" w:eastAsia="微软雅黑" w:cs="微软雅黑"/>
          <w:b/>
          <w:bCs/>
          <w:i/>
          <w:iCs/>
          <w:color w:val="auto"/>
          <w:spacing w:val="-5"/>
          <w:sz w:val="25"/>
          <w:szCs w:val="25"/>
          <w:highlight w:val="none"/>
          <w:u w:val="single" w:color="auto"/>
        </w:rPr>
        <w:t>合同专用条款</w:t>
      </w:r>
      <w:r>
        <w:rPr>
          <w:rFonts w:ascii="微软雅黑" w:hAnsi="微软雅黑" w:eastAsia="微软雅黑" w:cs="微软雅黑"/>
          <w:color w:val="auto"/>
          <w:spacing w:val="-5"/>
          <w:sz w:val="24"/>
          <w:szCs w:val="24"/>
          <w:highlight w:val="none"/>
        </w:rPr>
        <w:t>约定时间内，将有关部门出</w:t>
      </w:r>
      <w:r>
        <w:rPr>
          <w:rFonts w:ascii="微软雅黑" w:hAnsi="微软雅黑" w:eastAsia="微软雅黑" w:cs="微软雅黑"/>
          <w:color w:val="auto"/>
          <w:spacing w:val="16"/>
          <w:sz w:val="24"/>
          <w:szCs w:val="24"/>
          <w:highlight w:val="none"/>
        </w:rPr>
        <w:t xml:space="preserve"> </w:t>
      </w:r>
      <w:r>
        <w:rPr>
          <w:rFonts w:ascii="微软雅黑" w:hAnsi="微软雅黑" w:eastAsia="微软雅黑" w:cs="微软雅黑"/>
          <w:color w:val="auto"/>
          <w:spacing w:val="-4"/>
          <w:sz w:val="24"/>
          <w:szCs w:val="24"/>
          <w:highlight w:val="none"/>
        </w:rPr>
        <w:t>具的证明文件送达对方当事人。</w:t>
      </w:r>
    </w:p>
    <w:p w14:paraId="3E2F37CE">
      <w:pPr>
        <w:spacing w:before="4" w:line="183"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2.12 税费</w:t>
      </w:r>
    </w:p>
    <w:p w14:paraId="0D7791BC">
      <w:pPr>
        <w:spacing w:before="25" w:line="183" w:lineRule="auto"/>
        <w:ind w:left="49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与合同有关的一切税费，均按照中华人民共和国法律的相关规定缴纳。</w:t>
      </w:r>
    </w:p>
    <w:p w14:paraId="768A13B3">
      <w:pPr>
        <w:spacing w:before="26" w:line="183"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3"/>
          <w:sz w:val="24"/>
          <w:szCs w:val="24"/>
          <w:highlight w:val="none"/>
        </w:rPr>
        <w:t>2.13</w:t>
      </w:r>
      <w:r>
        <w:rPr>
          <w:rFonts w:ascii="微软雅黑" w:hAnsi="微软雅黑" w:eastAsia="微软雅黑" w:cs="微软雅黑"/>
          <w:b/>
          <w:bCs/>
          <w:color w:val="auto"/>
          <w:spacing w:val="13"/>
          <w:sz w:val="24"/>
          <w:szCs w:val="24"/>
          <w:highlight w:val="none"/>
        </w:rPr>
        <w:t xml:space="preserve"> </w:t>
      </w:r>
      <w:r>
        <w:rPr>
          <w:rFonts w:ascii="微软雅黑" w:hAnsi="微软雅黑" w:eastAsia="微软雅黑" w:cs="微软雅黑"/>
          <w:b/>
          <w:bCs/>
          <w:color w:val="auto"/>
          <w:spacing w:val="-3"/>
          <w:sz w:val="24"/>
          <w:szCs w:val="24"/>
          <w:highlight w:val="none"/>
        </w:rPr>
        <w:t>乙方破产</w:t>
      </w:r>
    </w:p>
    <w:p w14:paraId="146FF0AD">
      <w:pPr>
        <w:spacing w:before="25" w:line="198" w:lineRule="auto"/>
        <w:ind w:left="15" w:right="72" w:firstLine="481"/>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如果乙方破产导致合同无法履行时，甲方可以书面形式通知乙方终止合同且</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不给予乙方任何补偿和赔偿，但合同的终止不损害或不影响甲方已经采取或将要</w:t>
      </w:r>
      <w:r>
        <w:rPr>
          <w:rFonts w:ascii="微软雅黑" w:hAnsi="微软雅黑" w:eastAsia="微软雅黑" w:cs="微软雅黑"/>
          <w:color w:val="auto"/>
          <w:spacing w:val="8"/>
          <w:sz w:val="24"/>
          <w:szCs w:val="24"/>
          <w:highlight w:val="none"/>
        </w:rPr>
        <w:t xml:space="preserve"> </w:t>
      </w:r>
      <w:r>
        <w:rPr>
          <w:rFonts w:ascii="微软雅黑" w:hAnsi="微软雅黑" w:eastAsia="微软雅黑" w:cs="微软雅黑"/>
          <w:color w:val="auto"/>
          <w:spacing w:val="-2"/>
          <w:sz w:val="24"/>
          <w:szCs w:val="24"/>
          <w:highlight w:val="none"/>
        </w:rPr>
        <w:t>采取的任何要求乙方支付违约金、赔偿损失等的行动或补救措施的权利。</w:t>
      </w:r>
    </w:p>
    <w:p w14:paraId="13540592">
      <w:pPr>
        <w:spacing w:before="2" w:line="183"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2.14 合同中止、终止</w:t>
      </w:r>
    </w:p>
    <w:p w14:paraId="4CE221DF">
      <w:pPr>
        <w:spacing w:before="26" w:line="183" w:lineRule="auto"/>
        <w:ind w:left="50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2.14.1 双方当事人不得擅自中止或者终止合同；</w:t>
      </w:r>
    </w:p>
    <w:p w14:paraId="413E5774">
      <w:pPr>
        <w:spacing w:before="23" w:line="198" w:lineRule="auto"/>
        <w:ind w:left="19" w:right="72" w:firstLine="48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2.14.2 合同继续履行将损害国家利益和社会公共利益的，双方当事人应当中</w:t>
      </w:r>
      <w:r>
        <w:rPr>
          <w:rFonts w:ascii="微软雅黑" w:hAnsi="微软雅黑" w:eastAsia="微软雅黑" w:cs="微软雅黑"/>
          <w:color w:val="auto"/>
          <w:spacing w:val="9"/>
          <w:sz w:val="24"/>
          <w:szCs w:val="24"/>
          <w:highlight w:val="none"/>
        </w:rPr>
        <w:t xml:space="preserve"> </w:t>
      </w:r>
      <w:r>
        <w:rPr>
          <w:rFonts w:ascii="微软雅黑" w:hAnsi="微软雅黑" w:eastAsia="微软雅黑" w:cs="微软雅黑"/>
          <w:color w:val="auto"/>
          <w:spacing w:val="-3"/>
          <w:sz w:val="24"/>
          <w:szCs w:val="24"/>
          <w:highlight w:val="none"/>
        </w:rPr>
        <w:t>止或者终止合同。有过错的一方应当承担赔偿责任，双方当事人都有过错的，各</w:t>
      </w:r>
      <w:r>
        <w:rPr>
          <w:rFonts w:ascii="微软雅黑" w:hAnsi="微软雅黑" w:eastAsia="微软雅黑" w:cs="微软雅黑"/>
          <w:color w:val="auto"/>
          <w:spacing w:val="4"/>
          <w:sz w:val="24"/>
          <w:szCs w:val="24"/>
          <w:highlight w:val="none"/>
        </w:rPr>
        <w:t xml:space="preserve"> </w:t>
      </w:r>
      <w:r>
        <w:rPr>
          <w:rFonts w:ascii="微软雅黑" w:hAnsi="微软雅黑" w:eastAsia="微软雅黑" w:cs="微软雅黑"/>
          <w:color w:val="auto"/>
          <w:spacing w:val="-6"/>
          <w:sz w:val="24"/>
          <w:szCs w:val="24"/>
          <w:highlight w:val="none"/>
        </w:rPr>
        <w:t>自承担相应的责任。</w:t>
      </w:r>
    </w:p>
    <w:p w14:paraId="5B496F05">
      <w:pPr>
        <w:spacing w:before="4" w:line="183"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2.15 检验和验收</w:t>
      </w:r>
    </w:p>
    <w:p w14:paraId="28AAF9E5">
      <w:pPr>
        <w:spacing w:before="26" w:line="188" w:lineRule="auto"/>
        <w:ind w:left="7" w:right="5" w:firstLine="500"/>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2.15.1</w:t>
      </w:r>
      <w:r>
        <w:rPr>
          <w:rFonts w:ascii="微软雅黑" w:hAnsi="微软雅黑" w:eastAsia="微软雅黑" w:cs="微软雅黑"/>
          <w:color w:val="auto"/>
          <w:spacing w:val="68"/>
          <w:sz w:val="24"/>
          <w:szCs w:val="24"/>
          <w:highlight w:val="none"/>
        </w:rPr>
        <w:t xml:space="preserve"> </w:t>
      </w:r>
      <w:r>
        <w:rPr>
          <w:rFonts w:ascii="微软雅黑" w:hAnsi="微软雅黑" w:eastAsia="微软雅黑" w:cs="微软雅黑"/>
          <w:color w:val="auto"/>
          <w:sz w:val="24"/>
          <w:szCs w:val="24"/>
          <w:highlight w:val="none"/>
        </w:rPr>
        <w:t>乙方按照</w:t>
      </w:r>
      <w:r>
        <w:rPr>
          <w:rFonts w:ascii="微软雅黑" w:hAnsi="微软雅黑" w:eastAsia="微软雅黑" w:cs="微软雅黑"/>
          <w:b/>
          <w:bCs/>
          <w:i/>
          <w:iCs/>
          <w:color w:val="auto"/>
          <w:sz w:val="25"/>
          <w:szCs w:val="25"/>
          <w:highlight w:val="none"/>
          <w:u w:val="single" w:color="auto"/>
        </w:rPr>
        <w:t>合同专用条款</w:t>
      </w:r>
      <w:r>
        <w:rPr>
          <w:rFonts w:ascii="微软雅黑" w:hAnsi="微软雅黑" w:eastAsia="微软雅黑" w:cs="微软雅黑"/>
          <w:color w:val="auto"/>
          <w:sz w:val="24"/>
          <w:szCs w:val="24"/>
          <w:highlight w:val="none"/>
        </w:rPr>
        <w:t>的约定，定期提交</w:t>
      </w:r>
      <w:r>
        <w:rPr>
          <w:rFonts w:ascii="微软雅黑" w:hAnsi="微软雅黑" w:eastAsia="微软雅黑" w:cs="微软雅黑"/>
          <w:color w:val="auto"/>
          <w:spacing w:val="-1"/>
          <w:sz w:val="24"/>
          <w:szCs w:val="24"/>
          <w:highlight w:val="none"/>
        </w:rPr>
        <w:t>服务报告，</w:t>
      </w:r>
      <w:r>
        <w:rPr>
          <w:rFonts w:ascii="微软雅黑" w:hAnsi="微软雅黑" w:eastAsia="微软雅黑" w:cs="微软雅黑"/>
          <w:color w:val="auto"/>
          <w:spacing w:val="-40"/>
          <w:sz w:val="24"/>
          <w:szCs w:val="24"/>
          <w:highlight w:val="none"/>
        </w:rPr>
        <w:t xml:space="preserve"> </w:t>
      </w:r>
      <w:r>
        <w:rPr>
          <w:rFonts w:ascii="微软雅黑" w:hAnsi="微软雅黑" w:eastAsia="微软雅黑" w:cs="微软雅黑"/>
          <w:color w:val="auto"/>
          <w:spacing w:val="-1"/>
          <w:sz w:val="24"/>
          <w:szCs w:val="24"/>
          <w:highlight w:val="none"/>
        </w:rPr>
        <w:t>甲方按照</w:t>
      </w:r>
      <w:r>
        <w:rPr>
          <w:rFonts w:ascii="微软雅黑" w:hAnsi="微软雅黑" w:eastAsia="微软雅黑" w:cs="微软雅黑"/>
          <w:b/>
          <w:bCs/>
          <w:i/>
          <w:iCs/>
          <w:color w:val="auto"/>
          <w:spacing w:val="-1"/>
          <w:sz w:val="25"/>
          <w:szCs w:val="25"/>
          <w:highlight w:val="none"/>
          <w:u w:val="single" w:color="auto"/>
        </w:rPr>
        <w:t>合同</w:t>
      </w:r>
      <w:r>
        <w:rPr>
          <w:rFonts w:ascii="微软雅黑" w:hAnsi="微软雅黑" w:eastAsia="微软雅黑" w:cs="微软雅黑"/>
          <w:b/>
          <w:bCs/>
          <w:color w:val="auto"/>
          <w:sz w:val="25"/>
          <w:szCs w:val="25"/>
          <w:highlight w:val="none"/>
        </w:rPr>
        <w:t xml:space="preserve"> </w:t>
      </w:r>
      <w:r>
        <w:rPr>
          <w:rFonts w:ascii="微软雅黑" w:hAnsi="微软雅黑" w:eastAsia="微软雅黑" w:cs="微软雅黑"/>
          <w:b/>
          <w:bCs/>
          <w:i/>
          <w:iCs/>
          <w:color w:val="auto"/>
          <w:spacing w:val="-5"/>
          <w:sz w:val="25"/>
          <w:szCs w:val="25"/>
          <w:highlight w:val="none"/>
          <w:u w:val="single" w:color="auto"/>
        </w:rPr>
        <w:t>专用条款</w:t>
      </w:r>
      <w:r>
        <w:rPr>
          <w:rFonts w:ascii="微软雅黑" w:hAnsi="微软雅黑" w:eastAsia="微软雅黑" w:cs="微软雅黑"/>
          <w:color w:val="auto"/>
          <w:spacing w:val="-5"/>
          <w:sz w:val="24"/>
          <w:szCs w:val="24"/>
          <w:highlight w:val="none"/>
        </w:rPr>
        <w:t>的约定进行定期验收；</w:t>
      </w:r>
    </w:p>
    <w:p w14:paraId="6BB7E93B">
      <w:pPr>
        <w:spacing w:before="5" w:line="197" w:lineRule="auto"/>
        <w:ind w:left="16" w:right="72" w:firstLine="491"/>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2.15.2</w:t>
      </w:r>
      <w:r>
        <w:rPr>
          <w:rFonts w:ascii="微软雅黑" w:hAnsi="微软雅黑" w:eastAsia="微软雅黑" w:cs="微软雅黑"/>
          <w:color w:val="auto"/>
          <w:spacing w:val="69"/>
          <w:sz w:val="24"/>
          <w:szCs w:val="24"/>
          <w:highlight w:val="none"/>
        </w:rPr>
        <w:t xml:space="preserve"> </w:t>
      </w:r>
      <w:r>
        <w:rPr>
          <w:rFonts w:ascii="微软雅黑" w:hAnsi="微软雅黑" w:eastAsia="微软雅黑" w:cs="微软雅黑"/>
          <w:color w:val="auto"/>
          <w:sz w:val="24"/>
          <w:szCs w:val="24"/>
          <w:highlight w:val="none"/>
        </w:rPr>
        <w:t>合同期满或者履行完毕后，</w:t>
      </w:r>
      <w:r>
        <w:rPr>
          <w:rFonts w:ascii="微软雅黑" w:hAnsi="微软雅黑" w:eastAsia="微软雅黑" w:cs="微软雅黑"/>
          <w:color w:val="auto"/>
          <w:spacing w:val="-39"/>
          <w:sz w:val="24"/>
          <w:szCs w:val="24"/>
          <w:highlight w:val="none"/>
        </w:rPr>
        <w:t xml:space="preserve"> </w:t>
      </w:r>
      <w:r>
        <w:rPr>
          <w:rFonts w:ascii="微软雅黑" w:hAnsi="微软雅黑" w:eastAsia="微软雅黑" w:cs="微软雅黑"/>
          <w:color w:val="auto"/>
          <w:sz w:val="24"/>
          <w:szCs w:val="24"/>
          <w:highlight w:val="none"/>
        </w:rPr>
        <w:t xml:space="preserve">甲方有权组织（包括依法邀请国家认可 </w:t>
      </w:r>
      <w:r>
        <w:rPr>
          <w:rFonts w:ascii="微软雅黑" w:hAnsi="微软雅黑" w:eastAsia="微软雅黑" w:cs="微软雅黑"/>
          <w:color w:val="auto"/>
          <w:spacing w:val="-3"/>
          <w:sz w:val="24"/>
          <w:szCs w:val="24"/>
          <w:highlight w:val="none"/>
        </w:rPr>
        <w:t>的质量检测机构参加）对乙方履约的验收，即：按照合同约定的标准，组织对乙</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3"/>
          <w:sz w:val="24"/>
          <w:szCs w:val="24"/>
          <w:highlight w:val="none"/>
        </w:rPr>
        <w:t>方履约情况的验收，并出具验收书；向社会公众提供的公共服务项目，验收时应</w:t>
      </w:r>
      <w:r>
        <w:rPr>
          <w:rFonts w:ascii="微软雅黑" w:hAnsi="微软雅黑" w:eastAsia="微软雅黑" w:cs="微软雅黑"/>
          <w:color w:val="auto"/>
          <w:spacing w:val="7"/>
          <w:sz w:val="24"/>
          <w:szCs w:val="24"/>
          <w:highlight w:val="none"/>
        </w:rPr>
        <w:t xml:space="preserve"> </w:t>
      </w:r>
      <w:r>
        <w:rPr>
          <w:rFonts w:ascii="微软雅黑" w:hAnsi="微软雅黑" w:eastAsia="微软雅黑" w:cs="微软雅黑"/>
          <w:color w:val="auto"/>
          <w:spacing w:val="-2"/>
          <w:sz w:val="24"/>
          <w:szCs w:val="24"/>
          <w:highlight w:val="none"/>
        </w:rPr>
        <w:t>当邀请服务对象参与并出具意见，验收结果应当向社会公告；</w:t>
      </w:r>
    </w:p>
    <w:p w14:paraId="2A0E0B07">
      <w:pPr>
        <w:spacing w:before="8" w:line="190" w:lineRule="auto"/>
        <w:ind w:left="7" w:right="5" w:firstLine="500"/>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3"/>
          <w:sz w:val="24"/>
          <w:szCs w:val="24"/>
          <w:highlight w:val="none"/>
        </w:rPr>
        <w:t>2.15.3</w:t>
      </w:r>
      <w:r>
        <w:rPr>
          <w:rFonts w:ascii="微软雅黑" w:hAnsi="微软雅黑" w:eastAsia="微软雅黑" w:cs="微软雅黑"/>
          <w:color w:val="auto"/>
          <w:spacing w:val="54"/>
          <w:w w:val="101"/>
          <w:sz w:val="24"/>
          <w:szCs w:val="24"/>
          <w:highlight w:val="none"/>
        </w:rPr>
        <w:t xml:space="preserve"> </w:t>
      </w:r>
      <w:r>
        <w:rPr>
          <w:rFonts w:ascii="微软雅黑" w:hAnsi="微软雅黑" w:eastAsia="微软雅黑" w:cs="微软雅黑"/>
          <w:color w:val="auto"/>
          <w:spacing w:val="3"/>
          <w:sz w:val="24"/>
          <w:szCs w:val="24"/>
          <w:highlight w:val="none"/>
        </w:rPr>
        <w:t>检验和验收标准、程序等具体内容以及前</w:t>
      </w:r>
      <w:r>
        <w:rPr>
          <w:rFonts w:ascii="微软雅黑" w:hAnsi="微软雅黑" w:eastAsia="微软雅黑" w:cs="微软雅黑"/>
          <w:color w:val="auto"/>
          <w:spacing w:val="2"/>
          <w:sz w:val="24"/>
          <w:szCs w:val="24"/>
          <w:highlight w:val="none"/>
        </w:rPr>
        <w:t>述验收书的效力详见</w:t>
      </w:r>
      <w:r>
        <w:rPr>
          <w:rFonts w:ascii="微软雅黑" w:hAnsi="微软雅黑" w:eastAsia="微软雅黑" w:cs="微软雅黑"/>
          <w:b/>
          <w:bCs/>
          <w:i/>
          <w:iCs/>
          <w:color w:val="auto"/>
          <w:spacing w:val="2"/>
          <w:sz w:val="25"/>
          <w:szCs w:val="25"/>
          <w:highlight w:val="none"/>
          <w:u w:val="single" w:color="auto"/>
        </w:rPr>
        <w:t>合同</w:t>
      </w:r>
      <w:r>
        <w:rPr>
          <w:rFonts w:ascii="微软雅黑" w:hAnsi="微软雅黑" w:eastAsia="微软雅黑" w:cs="微软雅黑"/>
          <w:b/>
          <w:bCs/>
          <w:color w:val="auto"/>
          <w:sz w:val="25"/>
          <w:szCs w:val="25"/>
          <w:highlight w:val="none"/>
        </w:rPr>
        <w:t xml:space="preserve"> </w:t>
      </w:r>
      <w:r>
        <w:rPr>
          <w:rFonts w:ascii="微软雅黑" w:hAnsi="微软雅黑" w:eastAsia="微软雅黑" w:cs="微软雅黑"/>
          <w:b/>
          <w:bCs/>
          <w:i/>
          <w:iCs/>
          <w:color w:val="auto"/>
          <w:spacing w:val="7"/>
          <w:sz w:val="25"/>
          <w:szCs w:val="25"/>
          <w:highlight w:val="none"/>
          <w:u w:val="single" w:color="auto"/>
        </w:rPr>
        <w:t>专用条款</w:t>
      </w:r>
      <w:r>
        <w:rPr>
          <w:rFonts w:ascii="微软雅黑" w:hAnsi="微软雅黑" w:eastAsia="微软雅黑" w:cs="微软雅黑"/>
          <w:i/>
          <w:iCs/>
          <w:color w:val="auto"/>
          <w:spacing w:val="7"/>
          <w:sz w:val="25"/>
          <w:szCs w:val="25"/>
          <w:highlight w:val="none"/>
        </w:rPr>
        <w:t>。</w:t>
      </w:r>
    </w:p>
    <w:p w14:paraId="5526FE45">
      <w:pPr>
        <w:spacing w:before="3" w:line="183"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2.16 通知和送达</w:t>
      </w:r>
    </w:p>
    <w:p w14:paraId="3E6FD926">
      <w:pPr>
        <w:spacing w:before="25" w:line="198" w:lineRule="auto"/>
        <w:ind w:left="17" w:right="72" w:firstLine="490"/>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2.16.1</w:t>
      </w:r>
      <w:r>
        <w:rPr>
          <w:rFonts w:ascii="微软雅黑" w:hAnsi="微软雅黑" w:eastAsia="微软雅黑" w:cs="微软雅黑"/>
          <w:color w:val="auto"/>
          <w:spacing w:val="54"/>
          <w:w w:val="101"/>
          <w:sz w:val="24"/>
          <w:szCs w:val="24"/>
          <w:highlight w:val="none"/>
        </w:rPr>
        <w:t xml:space="preserve"> </w:t>
      </w:r>
      <w:r>
        <w:rPr>
          <w:rFonts w:ascii="微软雅黑" w:hAnsi="微软雅黑" w:eastAsia="微软雅黑" w:cs="微软雅黑"/>
          <w:color w:val="auto"/>
          <w:spacing w:val="1"/>
          <w:sz w:val="24"/>
          <w:szCs w:val="24"/>
          <w:highlight w:val="none"/>
        </w:rPr>
        <w:t>任何一方因履行合同而以合同第一部</w:t>
      </w:r>
      <w:r>
        <w:rPr>
          <w:rFonts w:ascii="微软雅黑" w:hAnsi="微软雅黑" w:eastAsia="微软雅黑" w:cs="微软雅黑"/>
          <w:color w:val="auto"/>
          <w:sz w:val="24"/>
          <w:szCs w:val="24"/>
          <w:highlight w:val="none"/>
        </w:rPr>
        <w:t>分尾部所列明的</w:t>
      </w:r>
      <w:r>
        <w:rPr>
          <w:rFonts w:ascii="微软雅黑" w:hAnsi="微软雅黑" w:eastAsia="微软雅黑" w:cs="微软雅黑"/>
          <w:color w:val="auto"/>
          <w:spacing w:val="-70"/>
          <w:sz w:val="24"/>
          <w:szCs w:val="24"/>
          <w:highlight w:val="none"/>
        </w:rPr>
        <w:t xml:space="preserve"> </w:t>
      </w:r>
      <w:r>
        <w:rPr>
          <w:rFonts w:ascii="微软雅黑" w:hAnsi="微软雅黑" w:eastAsia="微软雅黑" w:cs="微软雅黑"/>
          <w:color w:val="auto"/>
          <w:sz w:val="24"/>
          <w:szCs w:val="24"/>
          <w:highlight w:val="none"/>
          <w:u w:val="single" w:color="auto"/>
        </w:rPr>
        <w:t xml:space="preserve">                 </w:t>
      </w:r>
      <w:r>
        <w:rPr>
          <w:rFonts w:ascii="微软雅黑" w:hAnsi="微软雅黑" w:eastAsia="微软雅黑" w:cs="微软雅黑"/>
          <w:color w:val="auto"/>
          <w:spacing w:val="-55"/>
          <w:sz w:val="24"/>
          <w:szCs w:val="24"/>
          <w:highlight w:val="none"/>
        </w:rPr>
        <w:t xml:space="preserve"> </w:t>
      </w:r>
      <w:r>
        <w:rPr>
          <w:rFonts w:ascii="微软雅黑" w:hAnsi="微软雅黑" w:eastAsia="微软雅黑" w:cs="微软雅黑"/>
          <w:color w:val="auto"/>
          <w:sz w:val="24"/>
          <w:szCs w:val="24"/>
          <w:highlight w:val="none"/>
        </w:rPr>
        <w:t xml:space="preserve">发 </w:t>
      </w:r>
      <w:r>
        <w:rPr>
          <w:rFonts w:ascii="微软雅黑" w:hAnsi="微软雅黑" w:eastAsia="微软雅黑" w:cs="微软雅黑"/>
          <w:color w:val="auto"/>
          <w:spacing w:val="-3"/>
          <w:sz w:val="24"/>
          <w:szCs w:val="24"/>
          <w:highlight w:val="none"/>
        </w:rPr>
        <w:t>出的所有通知、文件、材料，均视为已向对方当事人送达；任何一方变更上述送</w:t>
      </w:r>
      <w:r>
        <w:rPr>
          <w:rFonts w:ascii="微软雅黑" w:hAnsi="微软雅黑" w:eastAsia="微软雅黑" w:cs="微软雅黑"/>
          <w:color w:val="auto"/>
          <w:spacing w:val="6"/>
          <w:sz w:val="24"/>
          <w:szCs w:val="24"/>
          <w:highlight w:val="none"/>
        </w:rPr>
        <w:t xml:space="preserve"> </w:t>
      </w:r>
      <w:r>
        <w:rPr>
          <w:rFonts w:ascii="微软雅黑" w:hAnsi="微软雅黑" w:eastAsia="微软雅黑" w:cs="微软雅黑"/>
          <w:color w:val="auto"/>
          <w:sz w:val="24"/>
          <w:szCs w:val="24"/>
          <w:highlight w:val="none"/>
        </w:rPr>
        <w:t>达方式或者地址的，应于</w:t>
      </w:r>
      <w:r>
        <w:rPr>
          <w:rFonts w:ascii="微软雅黑" w:hAnsi="微软雅黑" w:eastAsia="微软雅黑" w:cs="微软雅黑"/>
          <w:color w:val="auto"/>
          <w:spacing w:val="-55"/>
          <w:sz w:val="24"/>
          <w:szCs w:val="24"/>
          <w:highlight w:val="none"/>
        </w:rPr>
        <w:t xml:space="preserve"> </w:t>
      </w:r>
      <w:r>
        <w:rPr>
          <w:rFonts w:ascii="微软雅黑" w:hAnsi="微软雅黑" w:eastAsia="微软雅黑" w:cs="微软雅黑"/>
          <w:color w:val="auto"/>
          <w:spacing w:val="1"/>
          <w:sz w:val="24"/>
          <w:szCs w:val="24"/>
          <w:highlight w:val="none"/>
          <w:u w:val="single" w:color="auto"/>
        </w:rPr>
        <w:t xml:space="preserve">     </w:t>
      </w:r>
      <w:r>
        <w:rPr>
          <w:rFonts w:ascii="微软雅黑" w:hAnsi="微软雅黑" w:eastAsia="微软雅黑" w:cs="微软雅黑"/>
          <w:color w:val="auto"/>
          <w:spacing w:val="-66"/>
          <w:sz w:val="24"/>
          <w:szCs w:val="24"/>
          <w:highlight w:val="none"/>
        </w:rPr>
        <w:t xml:space="preserve"> </w:t>
      </w:r>
      <w:r>
        <w:rPr>
          <w:rFonts w:ascii="微软雅黑" w:hAnsi="微软雅黑" w:eastAsia="微软雅黑" w:cs="微软雅黑"/>
          <w:color w:val="auto"/>
          <w:sz w:val="24"/>
          <w:szCs w:val="24"/>
          <w:highlight w:val="none"/>
        </w:rPr>
        <w:t xml:space="preserve">个工作日内书面通知对方当事人，在对方当事人收 </w:t>
      </w:r>
      <w:r>
        <w:rPr>
          <w:rFonts w:ascii="微软雅黑" w:hAnsi="微软雅黑" w:eastAsia="微软雅黑" w:cs="微软雅黑"/>
          <w:color w:val="auto"/>
          <w:spacing w:val="-2"/>
          <w:sz w:val="24"/>
          <w:szCs w:val="24"/>
          <w:highlight w:val="none"/>
        </w:rPr>
        <w:t>到有关变更通知之前，变更前的约定送达方式或者地址仍视为有效。</w:t>
      </w:r>
    </w:p>
    <w:p w14:paraId="4621E255">
      <w:pPr>
        <w:spacing w:before="1" w:line="198" w:lineRule="auto"/>
        <w:ind w:left="16" w:firstLine="491"/>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8"/>
          <w:sz w:val="24"/>
          <w:szCs w:val="24"/>
          <w:highlight w:val="none"/>
        </w:rPr>
        <w:t>2.16.2 以当面交付方式送达的，交付之时视为送达；以电子邮件方式送</w:t>
      </w:r>
      <w:r>
        <w:rPr>
          <w:rFonts w:ascii="微软雅黑" w:hAnsi="微软雅黑" w:eastAsia="微软雅黑" w:cs="微软雅黑"/>
          <w:color w:val="auto"/>
          <w:spacing w:val="-9"/>
          <w:sz w:val="24"/>
          <w:szCs w:val="24"/>
          <w:highlight w:val="none"/>
        </w:rPr>
        <w:t>达的，</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发出电子邮件之时视为送达；以传真方式送达的，发出传真之时视为送达；以邮</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2"/>
          <w:sz w:val="24"/>
          <w:szCs w:val="24"/>
          <w:highlight w:val="none"/>
        </w:rPr>
        <w:t>寄方式送达的，邮件挂号寄出或者交邮之日之次日视为送达。</w:t>
      </w:r>
    </w:p>
    <w:p w14:paraId="0904D2B4">
      <w:pPr>
        <w:spacing w:before="2" w:line="183"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2.17 合同使用的文字和适用的法律</w:t>
      </w:r>
    </w:p>
    <w:p w14:paraId="42701701">
      <w:pPr>
        <w:spacing w:before="25" w:line="198" w:lineRule="auto"/>
        <w:ind w:left="508" w:right="359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2.17.1 合同使用汉语书就、变更和解释；</w:t>
      </w:r>
      <w:r>
        <w:rPr>
          <w:rFonts w:ascii="微软雅黑" w:hAnsi="微软雅黑" w:eastAsia="微软雅黑" w:cs="微软雅黑"/>
          <w:color w:val="auto"/>
          <w:spacing w:val="6"/>
          <w:sz w:val="24"/>
          <w:szCs w:val="24"/>
          <w:highlight w:val="none"/>
        </w:rPr>
        <w:t xml:space="preserve"> </w:t>
      </w:r>
      <w:r>
        <w:rPr>
          <w:rFonts w:ascii="微软雅黑" w:hAnsi="微软雅黑" w:eastAsia="微软雅黑" w:cs="微软雅黑"/>
          <w:color w:val="auto"/>
          <w:spacing w:val="-3"/>
          <w:sz w:val="24"/>
          <w:szCs w:val="24"/>
          <w:highlight w:val="none"/>
        </w:rPr>
        <w:t>2.17.2 合同适用中华人民共和国法律。</w:t>
      </w:r>
    </w:p>
    <w:p w14:paraId="42513AC3">
      <w:pPr>
        <w:spacing w:before="2" w:line="183" w:lineRule="auto"/>
        <w:ind w:left="506"/>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2.18 履约保证金</w:t>
      </w:r>
    </w:p>
    <w:p w14:paraId="231271DF">
      <w:pPr>
        <w:spacing w:before="26" w:line="193" w:lineRule="auto"/>
        <w:ind w:left="27" w:firstLine="48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2.18.1</w:t>
      </w:r>
      <w:r>
        <w:rPr>
          <w:rFonts w:ascii="微软雅黑" w:hAnsi="微软雅黑" w:eastAsia="微软雅黑" w:cs="微软雅黑"/>
          <w:color w:val="auto"/>
          <w:spacing w:val="55"/>
          <w:sz w:val="24"/>
          <w:szCs w:val="24"/>
          <w:highlight w:val="none"/>
        </w:rPr>
        <w:t xml:space="preserve"> </w:t>
      </w:r>
      <w:r>
        <w:rPr>
          <w:rFonts w:ascii="微软雅黑" w:hAnsi="微软雅黑" w:eastAsia="微软雅黑" w:cs="微软雅黑"/>
          <w:color w:val="auto"/>
          <w:spacing w:val="-1"/>
          <w:sz w:val="24"/>
          <w:szCs w:val="24"/>
          <w:highlight w:val="none"/>
        </w:rPr>
        <w:t>采购文件要求乙方提交履约保证金的，</w:t>
      </w:r>
      <w:r>
        <w:rPr>
          <w:rFonts w:ascii="微软雅黑" w:hAnsi="微软雅黑" w:eastAsia="微软雅黑" w:cs="微软雅黑"/>
          <w:color w:val="auto"/>
          <w:spacing w:val="-50"/>
          <w:sz w:val="24"/>
          <w:szCs w:val="24"/>
          <w:highlight w:val="none"/>
        </w:rPr>
        <w:t xml:space="preserve"> </w:t>
      </w:r>
      <w:r>
        <w:rPr>
          <w:rFonts w:ascii="微软雅黑" w:hAnsi="微软雅黑" w:eastAsia="微软雅黑" w:cs="微软雅黑"/>
          <w:color w:val="auto"/>
          <w:spacing w:val="-1"/>
          <w:sz w:val="24"/>
          <w:szCs w:val="24"/>
          <w:highlight w:val="none"/>
        </w:rPr>
        <w:t>乙方应按</w:t>
      </w:r>
      <w:r>
        <w:rPr>
          <w:rFonts w:ascii="微软雅黑" w:hAnsi="微软雅黑" w:eastAsia="微软雅黑" w:cs="微软雅黑"/>
          <w:b/>
          <w:bCs/>
          <w:i/>
          <w:iCs/>
          <w:color w:val="auto"/>
          <w:spacing w:val="-1"/>
          <w:sz w:val="25"/>
          <w:szCs w:val="25"/>
          <w:highlight w:val="none"/>
          <w:u w:val="single" w:color="auto"/>
        </w:rPr>
        <w:t>合同专用条款</w:t>
      </w:r>
      <w:r>
        <w:rPr>
          <w:rFonts w:ascii="微软雅黑" w:hAnsi="微软雅黑" w:eastAsia="微软雅黑" w:cs="微软雅黑"/>
          <w:color w:val="auto"/>
          <w:spacing w:val="-1"/>
          <w:sz w:val="24"/>
          <w:szCs w:val="24"/>
          <w:highlight w:val="none"/>
        </w:rPr>
        <w:t>约定</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8"/>
          <w:sz w:val="24"/>
          <w:szCs w:val="24"/>
          <w:highlight w:val="none"/>
        </w:rPr>
        <w:t>的方式，以支票、汇票、本票或者金融机构、担保机构出具的保函等非现金形式，</w:t>
      </w:r>
    </w:p>
    <w:p w14:paraId="0F0B5ABD">
      <w:pPr>
        <w:spacing w:before="103" w:line="183" w:lineRule="auto"/>
        <w:ind w:left="3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提交不超过合同价 10%的履约保证金；</w:t>
      </w:r>
    </w:p>
    <w:p w14:paraId="033B74DA">
      <w:pPr>
        <w:spacing w:before="24" w:line="193" w:lineRule="auto"/>
        <w:ind w:left="38" w:right="240" w:firstLine="48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2.18.2</w:t>
      </w:r>
      <w:r>
        <w:rPr>
          <w:rFonts w:ascii="微软雅黑" w:hAnsi="微软雅黑" w:eastAsia="微软雅黑" w:cs="微软雅黑"/>
          <w:color w:val="auto"/>
          <w:spacing w:val="63"/>
          <w:w w:val="101"/>
          <w:sz w:val="24"/>
          <w:szCs w:val="24"/>
          <w:highlight w:val="none"/>
        </w:rPr>
        <w:t xml:space="preserve"> </w:t>
      </w:r>
      <w:r>
        <w:rPr>
          <w:rFonts w:ascii="微软雅黑" w:hAnsi="微软雅黑" w:eastAsia="微软雅黑" w:cs="微软雅黑"/>
          <w:color w:val="auto"/>
          <w:spacing w:val="-2"/>
          <w:sz w:val="24"/>
          <w:szCs w:val="24"/>
          <w:highlight w:val="none"/>
        </w:rPr>
        <w:t>履约保证金在</w:t>
      </w:r>
      <w:r>
        <w:rPr>
          <w:rFonts w:ascii="微软雅黑" w:hAnsi="微软雅黑" w:eastAsia="微软雅黑" w:cs="微软雅黑"/>
          <w:b/>
          <w:bCs/>
          <w:i/>
          <w:iCs/>
          <w:color w:val="auto"/>
          <w:spacing w:val="-2"/>
          <w:sz w:val="25"/>
          <w:szCs w:val="25"/>
          <w:highlight w:val="none"/>
          <w:u w:val="single" w:color="auto"/>
        </w:rPr>
        <w:t>合同专用条款</w:t>
      </w:r>
      <w:r>
        <w:rPr>
          <w:rFonts w:ascii="微软雅黑" w:hAnsi="微软雅黑" w:eastAsia="微软雅黑" w:cs="微软雅黑"/>
          <w:color w:val="auto"/>
          <w:spacing w:val="-2"/>
          <w:sz w:val="24"/>
          <w:szCs w:val="24"/>
          <w:highlight w:val="none"/>
        </w:rPr>
        <w:t>约定期间内不予退还或者应完全有效，</w:t>
      </w:r>
      <w:r>
        <w:rPr>
          <w:rFonts w:ascii="微软雅黑" w:hAnsi="微软雅黑" w:eastAsia="微软雅黑" w:cs="微软雅黑"/>
          <w:color w:val="auto"/>
          <w:sz w:val="24"/>
          <w:szCs w:val="24"/>
          <w:highlight w:val="none"/>
        </w:rPr>
        <w:t xml:space="preserve"> 前述约定期间届满之日起</w:t>
      </w:r>
      <w:r>
        <w:rPr>
          <w:rFonts w:ascii="微软雅黑" w:hAnsi="微软雅黑" w:eastAsia="微软雅黑" w:cs="微软雅黑"/>
          <w:color w:val="auto"/>
          <w:sz w:val="24"/>
          <w:szCs w:val="24"/>
          <w:highlight w:val="none"/>
          <w:u w:val="single" w:color="auto"/>
        </w:rPr>
        <w:t xml:space="preserve">      </w:t>
      </w:r>
      <w:r>
        <w:rPr>
          <w:rFonts w:ascii="微软雅黑" w:hAnsi="微软雅黑" w:eastAsia="微软雅黑" w:cs="微软雅黑"/>
          <w:color w:val="auto"/>
          <w:spacing w:val="-66"/>
          <w:sz w:val="24"/>
          <w:szCs w:val="24"/>
          <w:highlight w:val="none"/>
        </w:rPr>
        <w:t xml:space="preserve"> </w:t>
      </w:r>
      <w:r>
        <w:rPr>
          <w:rFonts w:ascii="微软雅黑" w:hAnsi="微软雅黑" w:eastAsia="微软雅黑" w:cs="微软雅黑"/>
          <w:color w:val="auto"/>
          <w:sz w:val="24"/>
          <w:szCs w:val="24"/>
          <w:highlight w:val="none"/>
        </w:rPr>
        <w:t>个工作日内，甲方应将履约保证金退还乙方；</w:t>
      </w:r>
    </w:p>
    <w:p w14:paraId="78651D2A">
      <w:pPr>
        <w:spacing w:before="2" w:line="198" w:lineRule="auto"/>
        <w:ind w:left="37" w:right="192" w:firstLine="48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2.18.3</w:t>
      </w:r>
      <w:r>
        <w:rPr>
          <w:rFonts w:ascii="微软雅黑" w:hAnsi="微软雅黑" w:eastAsia="微软雅黑" w:cs="微软雅黑"/>
          <w:color w:val="auto"/>
          <w:spacing w:val="66"/>
          <w:sz w:val="24"/>
          <w:szCs w:val="24"/>
          <w:highlight w:val="none"/>
        </w:rPr>
        <w:t xml:space="preserve"> </w:t>
      </w:r>
      <w:r>
        <w:rPr>
          <w:rFonts w:ascii="微软雅黑" w:hAnsi="微软雅黑" w:eastAsia="微软雅黑" w:cs="微软雅黑"/>
          <w:color w:val="auto"/>
          <w:spacing w:val="1"/>
          <w:sz w:val="24"/>
          <w:szCs w:val="24"/>
          <w:highlight w:val="none"/>
        </w:rPr>
        <w:t>如果乙方不履行合同，履约保证金不予退还；如果乙方未能按合同</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约定全面履行义务，那么甲方有权从履约保证金中取得补偿或赔偿，同时不影响</w:t>
      </w:r>
      <w:r>
        <w:rPr>
          <w:rFonts w:ascii="微软雅黑" w:hAnsi="微软雅黑" w:eastAsia="微软雅黑" w:cs="微软雅黑"/>
          <w:color w:val="auto"/>
          <w:spacing w:val="5"/>
          <w:sz w:val="24"/>
          <w:szCs w:val="24"/>
          <w:highlight w:val="none"/>
        </w:rPr>
        <w:t xml:space="preserve"> </w:t>
      </w:r>
      <w:r>
        <w:rPr>
          <w:rFonts w:ascii="微软雅黑" w:hAnsi="微软雅黑" w:eastAsia="微软雅黑" w:cs="微软雅黑"/>
          <w:color w:val="auto"/>
          <w:spacing w:val="-2"/>
          <w:sz w:val="24"/>
          <w:szCs w:val="24"/>
          <w:highlight w:val="none"/>
        </w:rPr>
        <w:t>甲方要求乙方承担合同约定的超过履约保证金的违约责任的权利。</w:t>
      </w:r>
    </w:p>
    <w:p w14:paraId="4699A125">
      <w:pPr>
        <w:spacing w:before="3" w:line="183" w:lineRule="auto"/>
        <w:ind w:left="525"/>
        <w:outlineLvl w:val="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2.19 合同份数</w:t>
      </w:r>
    </w:p>
    <w:p w14:paraId="45C97DF9">
      <w:pPr>
        <w:spacing w:before="26" w:line="193" w:lineRule="auto"/>
        <w:ind w:left="33" w:right="1824" w:firstLine="48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合同份数按</w:t>
      </w:r>
      <w:r>
        <w:rPr>
          <w:rFonts w:ascii="微软雅黑" w:hAnsi="微软雅黑" w:eastAsia="微软雅黑" w:cs="微软雅黑"/>
          <w:b/>
          <w:bCs/>
          <w:i/>
          <w:iCs/>
          <w:color w:val="auto"/>
          <w:spacing w:val="-4"/>
          <w:sz w:val="25"/>
          <w:szCs w:val="25"/>
          <w:highlight w:val="none"/>
          <w:u w:val="single" w:color="auto"/>
        </w:rPr>
        <w:t>合同专用条款</w:t>
      </w:r>
      <w:r>
        <w:rPr>
          <w:rFonts w:ascii="微软雅黑" w:hAnsi="微软雅黑" w:eastAsia="微软雅黑" w:cs="微软雅黑"/>
          <w:color w:val="auto"/>
          <w:spacing w:val="-4"/>
          <w:sz w:val="24"/>
          <w:szCs w:val="24"/>
          <w:highlight w:val="none"/>
        </w:rPr>
        <w:t>规定，每份均具有同</w:t>
      </w:r>
      <w:r>
        <w:rPr>
          <w:rFonts w:ascii="微软雅黑" w:hAnsi="微软雅黑" w:eastAsia="微软雅黑" w:cs="微软雅黑"/>
          <w:color w:val="auto"/>
          <w:spacing w:val="-5"/>
          <w:sz w:val="24"/>
          <w:szCs w:val="24"/>
          <w:highlight w:val="none"/>
        </w:rPr>
        <w:t>等法律效力。</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b/>
          <w:bCs/>
          <w:color w:val="auto"/>
          <w:spacing w:val="-1"/>
          <w:sz w:val="24"/>
          <w:szCs w:val="24"/>
          <w:highlight w:val="none"/>
        </w:rPr>
        <w:t>第三部分</w:t>
      </w:r>
      <w:r>
        <w:rPr>
          <w:rFonts w:ascii="微软雅黑" w:hAnsi="微软雅黑" w:eastAsia="微软雅黑" w:cs="微软雅黑"/>
          <w:b/>
          <w:bCs/>
          <w:color w:val="auto"/>
          <w:spacing w:val="11"/>
          <w:sz w:val="24"/>
          <w:szCs w:val="24"/>
          <w:highlight w:val="none"/>
        </w:rPr>
        <w:t xml:space="preserve">   </w:t>
      </w:r>
      <w:r>
        <w:rPr>
          <w:rFonts w:ascii="微软雅黑" w:hAnsi="微软雅黑" w:eastAsia="微软雅黑" w:cs="微软雅黑"/>
          <w:b/>
          <w:bCs/>
          <w:color w:val="auto"/>
          <w:spacing w:val="-1"/>
          <w:sz w:val="24"/>
          <w:szCs w:val="24"/>
          <w:highlight w:val="none"/>
        </w:rPr>
        <w:t>合同专用条款</w:t>
      </w:r>
    </w:p>
    <w:p w14:paraId="2AF93237">
      <w:pPr>
        <w:spacing w:before="4" w:line="185" w:lineRule="auto"/>
        <w:ind w:left="33" w:firstLine="482"/>
        <w:jc w:val="both"/>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本部分是对前两部分的补充和修改，如果前两部分和本部分的</w:t>
      </w:r>
      <w:r>
        <w:rPr>
          <w:rFonts w:ascii="微软雅黑" w:hAnsi="微软雅黑" w:eastAsia="微软雅黑" w:cs="微软雅黑"/>
          <w:color w:val="auto"/>
          <w:spacing w:val="2"/>
          <w:sz w:val="24"/>
          <w:szCs w:val="24"/>
          <w:highlight w:val="none"/>
        </w:rPr>
        <w:t>约定不一致，</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3"/>
          <w:sz w:val="24"/>
          <w:szCs w:val="24"/>
          <w:highlight w:val="none"/>
        </w:rPr>
        <w:t>应以本部分的约定为准。本部分的条款号应与前两部分的条款号保持对应；与前</w:t>
      </w:r>
      <w:r>
        <w:rPr>
          <w:rFonts w:ascii="微软雅黑" w:hAnsi="微软雅黑" w:eastAsia="微软雅黑" w:cs="微软雅黑"/>
          <w:color w:val="auto"/>
          <w:spacing w:val="2"/>
          <w:sz w:val="24"/>
          <w:szCs w:val="24"/>
          <w:highlight w:val="none"/>
        </w:rPr>
        <w:t xml:space="preserve">   </w:t>
      </w:r>
      <w:r>
        <w:rPr>
          <w:rFonts w:ascii="微软雅黑" w:hAnsi="微软雅黑" w:eastAsia="微软雅黑" w:cs="微软雅黑"/>
          <w:color w:val="auto"/>
          <w:spacing w:val="-3"/>
          <w:sz w:val="24"/>
          <w:szCs w:val="24"/>
          <w:highlight w:val="none"/>
        </w:rPr>
        <w:t>两部分无对应关系的内容可另行编制条款号。</w:t>
      </w:r>
    </w:p>
    <w:tbl>
      <w:tblPr>
        <w:tblStyle w:val="13"/>
        <w:tblW w:w="8433"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4"/>
        <w:gridCol w:w="7629"/>
      </w:tblGrid>
      <w:tr w14:paraId="22E82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04" w:type="dxa"/>
            <w:tcBorders>
              <w:left w:val="single" w:color="000000" w:sz="4" w:space="0"/>
            </w:tcBorders>
            <w:vAlign w:val="top"/>
          </w:tcPr>
          <w:p w14:paraId="7FC1B63C">
            <w:pPr>
              <w:spacing w:before="93" w:line="171" w:lineRule="auto"/>
              <w:ind w:left="40"/>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2"/>
                <w:sz w:val="24"/>
                <w:szCs w:val="24"/>
                <w:highlight w:val="none"/>
              </w:rPr>
              <w:t>条款号</w:t>
            </w:r>
          </w:p>
        </w:tc>
        <w:tc>
          <w:tcPr>
            <w:tcW w:w="7629" w:type="dxa"/>
            <w:vAlign w:val="top"/>
          </w:tcPr>
          <w:p w14:paraId="555F43D9">
            <w:pPr>
              <w:spacing w:before="93" w:line="171" w:lineRule="auto"/>
              <w:ind w:left="3328"/>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rPr>
              <w:t>约定内容</w:t>
            </w:r>
          </w:p>
        </w:tc>
      </w:tr>
      <w:tr w14:paraId="6F8E0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804" w:type="dxa"/>
            <w:tcBorders>
              <w:left w:val="single" w:color="000000" w:sz="4" w:space="0"/>
            </w:tcBorders>
            <w:vAlign w:val="top"/>
          </w:tcPr>
          <w:p w14:paraId="1F0FB9E9">
            <w:pPr>
              <w:pStyle w:val="14"/>
              <w:rPr>
                <w:color w:val="auto"/>
                <w:highlight w:val="none"/>
              </w:rPr>
            </w:pPr>
          </w:p>
        </w:tc>
        <w:tc>
          <w:tcPr>
            <w:tcW w:w="7629" w:type="dxa"/>
            <w:vAlign w:val="top"/>
          </w:tcPr>
          <w:p w14:paraId="5D77EC8F">
            <w:pPr>
              <w:pStyle w:val="14"/>
              <w:rPr>
                <w:color w:val="auto"/>
                <w:highlight w:val="none"/>
              </w:rPr>
            </w:pPr>
          </w:p>
        </w:tc>
      </w:tr>
      <w:tr w14:paraId="0E9F0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804" w:type="dxa"/>
            <w:tcBorders>
              <w:left w:val="single" w:color="000000" w:sz="4" w:space="0"/>
            </w:tcBorders>
            <w:vAlign w:val="top"/>
          </w:tcPr>
          <w:p w14:paraId="61EF0BC2">
            <w:pPr>
              <w:pStyle w:val="14"/>
              <w:rPr>
                <w:color w:val="auto"/>
                <w:highlight w:val="none"/>
              </w:rPr>
            </w:pPr>
          </w:p>
        </w:tc>
        <w:tc>
          <w:tcPr>
            <w:tcW w:w="7629" w:type="dxa"/>
            <w:vAlign w:val="top"/>
          </w:tcPr>
          <w:p w14:paraId="6675A587">
            <w:pPr>
              <w:pStyle w:val="14"/>
              <w:rPr>
                <w:color w:val="auto"/>
                <w:highlight w:val="none"/>
              </w:rPr>
            </w:pPr>
          </w:p>
        </w:tc>
      </w:tr>
      <w:tr w14:paraId="7FE7E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804" w:type="dxa"/>
            <w:tcBorders>
              <w:left w:val="single" w:color="000000" w:sz="4" w:space="0"/>
            </w:tcBorders>
            <w:vAlign w:val="top"/>
          </w:tcPr>
          <w:p w14:paraId="3D15C34C">
            <w:pPr>
              <w:pStyle w:val="14"/>
              <w:rPr>
                <w:color w:val="auto"/>
                <w:highlight w:val="none"/>
              </w:rPr>
            </w:pPr>
          </w:p>
        </w:tc>
        <w:tc>
          <w:tcPr>
            <w:tcW w:w="7629" w:type="dxa"/>
            <w:vAlign w:val="top"/>
          </w:tcPr>
          <w:p w14:paraId="6E623661">
            <w:pPr>
              <w:pStyle w:val="14"/>
              <w:rPr>
                <w:color w:val="auto"/>
                <w:highlight w:val="none"/>
              </w:rPr>
            </w:pPr>
          </w:p>
        </w:tc>
      </w:tr>
      <w:tr w14:paraId="50C22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804" w:type="dxa"/>
            <w:tcBorders>
              <w:left w:val="single" w:color="000000" w:sz="4" w:space="0"/>
            </w:tcBorders>
            <w:vAlign w:val="top"/>
          </w:tcPr>
          <w:p w14:paraId="51D95992">
            <w:pPr>
              <w:pStyle w:val="14"/>
              <w:rPr>
                <w:color w:val="auto"/>
                <w:highlight w:val="none"/>
              </w:rPr>
            </w:pPr>
          </w:p>
        </w:tc>
        <w:tc>
          <w:tcPr>
            <w:tcW w:w="7629" w:type="dxa"/>
            <w:vAlign w:val="top"/>
          </w:tcPr>
          <w:p w14:paraId="6323B725">
            <w:pPr>
              <w:pStyle w:val="14"/>
              <w:rPr>
                <w:color w:val="auto"/>
                <w:highlight w:val="none"/>
              </w:rPr>
            </w:pPr>
          </w:p>
        </w:tc>
      </w:tr>
      <w:tr w14:paraId="2916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804" w:type="dxa"/>
            <w:tcBorders>
              <w:left w:val="single" w:color="000000" w:sz="4" w:space="0"/>
            </w:tcBorders>
            <w:vAlign w:val="top"/>
          </w:tcPr>
          <w:p w14:paraId="38113C65">
            <w:pPr>
              <w:pStyle w:val="14"/>
              <w:rPr>
                <w:color w:val="auto"/>
                <w:highlight w:val="none"/>
              </w:rPr>
            </w:pPr>
          </w:p>
        </w:tc>
        <w:tc>
          <w:tcPr>
            <w:tcW w:w="7629" w:type="dxa"/>
            <w:vAlign w:val="top"/>
          </w:tcPr>
          <w:p w14:paraId="40A2A28A">
            <w:pPr>
              <w:pStyle w:val="14"/>
              <w:rPr>
                <w:color w:val="auto"/>
                <w:highlight w:val="none"/>
              </w:rPr>
            </w:pPr>
          </w:p>
        </w:tc>
      </w:tr>
      <w:tr w14:paraId="490CF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804" w:type="dxa"/>
            <w:tcBorders>
              <w:left w:val="single" w:color="000000" w:sz="4" w:space="0"/>
            </w:tcBorders>
            <w:vAlign w:val="top"/>
          </w:tcPr>
          <w:p w14:paraId="1BFFD772">
            <w:pPr>
              <w:pStyle w:val="14"/>
              <w:rPr>
                <w:color w:val="auto"/>
                <w:highlight w:val="none"/>
              </w:rPr>
            </w:pPr>
          </w:p>
        </w:tc>
        <w:tc>
          <w:tcPr>
            <w:tcW w:w="7629" w:type="dxa"/>
            <w:vAlign w:val="top"/>
          </w:tcPr>
          <w:p w14:paraId="46ED0C34">
            <w:pPr>
              <w:pStyle w:val="14"/>
              <w:rPr>
                <w:color w:val="auto"/>
                <w:highlight w:val="none"/>
              </w:rPr>
            </w:pPr>
          </w:p>
        </w:tc>
      </w:tr>
      <w:tr w14:paraId="4A38A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804" w:type="dxa"/>
            <w:tcBorders>
              <w:left w:val="single" w:color="000000" w:sz="4" w:space="0"/>
            </w:tcBorders>
            <w:vAlign w:val="top"/>
          </w:tcPr>
          <w:p w14:paraId="5034C7BA">
            <w:pPr>
              <w:pStyle w:val="14"/>
              <w:rPr>
                <w:color w:val="auto"/>
                <w:highlight w:val="none"/>
              </w:rPr>
            </w:pPr>
          </w:p>
        </w:tc>
        <w:tc>
          <w:tcPr>
            <w:tcW w:w="7629" w:type="dxa"/>
            <w:vAlign w:val="top"/>
          </w:tcPr>
          <w:p w14:paraId="0C6C8754">
            <w:pPr>
              <w:pStyle w:val="14"/>
              <w:rPr>
                <w:color w:val="auto"/>
                <w:highlight w:val="none"/>
              </w:rPr>
            </w:pPr>
          </w:p>
        </w:tc>
      </w:tr>
      <w:tr w14:paraId="4AE75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804" w:type="dxa"/>
            <w:tcBorders>
              <w:left w:val="single" w:color="000000" w:sz="4" w:space="0"/>
            </w:tcBorders>
            <w:vAlign w:val="top"/>
          </w:tcPr>
          <w:p w14:paraId="1E240A30">
            <w:pPr>
              <w:pStyle w:val="14"/>
              <w:rPr>
                <w:color w:val="auto"/>
                <w:highlight w:val="none"/>
              </w:rPr>
            </w:pPr>
          </w:p>
        </w:tc>
        <w:tc>
          <w:tcPr>
            <w:tcW w:w="7629" w:type="dxa"/>
            <w:vAlign w:val="top"/>
          </w:tcPr>
          <w:p w14:paraId="3AD0C8D3">
            <w:pPr>
              <w:pStyle w:val="14"/>
              <w:rPr>
                <w:color w:val="auto"/>
                <w:highlight w:val="none"/>
              </w:rPr>
            </w:pPr>
          </w:p>
        </w:tc>
      </w:tr>
      <w:tr w14:paraId="5D280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804" w:type="dxa"/>
            <w:tcBorders>
              <w:left w:val="single" w:color="000000" w:sz="4" w:space="0"/>
            </w:tcBorders>
            <w:vAlign w:val="top"/>
          </w:tcPr>
          <w:p w14:paraId="3C7C293F">
            <w:pPr>
              <w:pStyle w:val="14"/>
              <w:rPr>
                <w:color w:val="auto"/>
                <w:highlight w:val="none"/>
              </w:rPr>
            </w:pPr>
          </w:p>
        </w:tc>
        <w:tc>
          <w:tcPr>
            <w:tcW w:w="7629" w:type="dxa"/>
            <w:vAlign w:val="top"/>
          </w:tcPr>
          <w:p w14:paraId="470ECC68">
            <w:pPr>
              <w:pStyle w:val="14"/>
              <w:rPr>
                <w:color w:val="auto"/>
                <w:highlight w:val="none"/>
              </w:rPr>
            </w:pPr>
          </w:p>
        </w:tc>
      </w:tr>
      <w:tr w14:paraId="07C05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804" w:type="dxa"/>
            <w:tcBorders>
              <w:left w:val="single" w:color="000000" w:sz="4" w:space="0"/>
            </w:tcBorders>
            <w:vAlign w:val="top"/>
          </w:tcPr>
          <w:p w14:paraId="7B359C5A">
            <w:pPr>
              <w:pStyle w:val="14"/>
              <w:rPr>
                <w:color w:val="auto"/>
                <w:highlight w:val="none"/>
              </w:rPr>
            </w:pPr>
          </w:p>
        </w:tc>
        <w:tc>
          <w:tcPr>
            <w:tcW w:w="7629" w:type="dxa"/>
            <w:vAlign w:val="top"/>
          </w:tcPr>
          <w:p w14:paraId="59CDC74C">
            <w:pPr>
              <w:pStyle w:val="14"/>
              <w:rPr>
                <w:color w:val="auto"/>
                <w:highlight w:val="none"/>
              </w:rPr>
            </w:pPr>
          </w:p>
        </w:tc>
      </w:tr>
      <w:tr w14:paraId="15CC4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804" w:type="dxa"/>
            <w:tcBorders>
              <w:left w:val="single" w:color="000000" w:sz="4" w:space="0"/>
            </w:tcBorders>
            <w:vAlign w:val="top"/>
          </w:tcPr>
          <w:p w14:paraId="4F6BA3C6">
            <w:pPr>
              <w:pStyle w:val="14"/>
              <w:rPr>
                <w:color w:val="auto"/>
                <w:highlight w:val="none"/>
              </w:rPr>
            </w:pPr>
          </w:p>
        </w:tc>
        <w:tc>
          <w:tcPr>
            <w:tcW w:w="7629" w:type="dxa"/>
            <w:vAlign w:val="top"/>
          </w:tcPr>
          <w:p w14:paraId="28BEBC9D">
            <w:pPr>
              <w:pStyle w:val="14"/>
              <w:rPr>
                <w:color w:val="auto"/>
                <w:highlight w:val="none"/>
              </w:rPr>
            </w:pPr>
          </w:p>
        </w:tc>
      </w:tr>
      <w:tr w14:paraId="01602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804" w:type="dxa"/>
            <w:tcBorders>
              <w:left w:val="single" w:color="000000" w:sz="4" w:space="0"/>
            </w:tcBorders>
            <w:vAlign w:val="top"/>
          </w:tcPr>
          <w:p w14:paraId="4C199668">
            <w:pPr>
              <w:pStyle w:val="14"/>
              <w:rPr>
                <w:color w:val="auto"/>
                <w:highlight w:val="none"/>
              </w:rPr>
            </w:pPr>
          </w:p>
        </w:tc>
        <w:tc>
          <w:tcPr>
            <w:tcW w:w="7629" w:type="dxa"/>
            <w:vAlign w:val="top"/>
          </w:tcPr>
          <w:p w14:paraId="52C09B5C">
            <w:pPr>
              <w:pStyle w:val="14"/>
              <w:rPr>
                <w:color w:val="auto"/>
                <w:highlight w:val="none"/>
              </w:rPr>
            </w:pPr>
          </w:p>
        </w:tc>
      </w:tr>
    </w:tbl>
    <w:p w14:paraId="0E0A6BAA">
      <w:pPr>
        <w:spacing w:before="171" w:line="2400" w:lineRule="exact"/>
        <w:ind w:firstLine="4632"/>
        <w:rPr>
          <w:color w:val="auto"/>
          <w:highlight w:val="none"/>
        </w:rPr>
      </w:pPr>
    </w:p>
    <w:sectPr>
      <w:footerReference r:id="rId37" w:type="default"/>
      <w:pgSz w:w="11906" w:h="16839"/>
      <w:pgMar w:top="1134" w:right="1607" w:bottom="1134" w:left="1766" w:header="0" w:footer="122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2571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B3CA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77B3CA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8FA6">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987C5">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A4987C5">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66AFA">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916F9">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96916F9">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32EFA">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256DA">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2C256DA">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46A5E">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DF0D8">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5ADF0D8">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4AC6A">
    <w:pPr>
      <w:spacing w:line="171" w:lineRule="auto"/>
      <w:ind w:left="4325"/>
      <w:rPr>
        <w:rFonts w:ascii="宋体" w:hAnsi="宋体" w:eastAsia="宋体" w:cs="宋体"/>
        <w:sz w:val="16"/>
        <w:szCs w:val="16"/>
      </w:rPr>
    </w:pPr>
    <w:r>
      <w:rPr>
        <w:sz w:val="16"/>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63280A">
                          <w:pPr>
                            <w:pStyle w:val="5"/>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A63280A">
                    <w:pPr>
                      <w:pStyle w:val="5"/>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3DA75">
    <w:pPr>
      <w:pStyle w:val="5"/>
    </w:pPr>
    <w:r>
      <w:rPr>
        <w:sz w:val="18"/>
      </w:rPr>
      <mc:AlternateContent>
        <mc:Choice Requires="wps">
          <w:drawing>
            <wp:anchor distT="0" distB="0" distL="114300" distR="114300" simplePos="0" relativeHeight="251669504" behindDoc="0" locked="0" layoutInCell="1" allowOverlap="1">
              <wp:simplePos x="0" y="0"/>
              <wp:positionH relativeFrom="margin">
                <wp:posOffset>1772920</wp:posOffset>
              </wp:positionH>
              <wp:positionV relativeFrom="paragraph">
                <wp:posOffset>-451485</wp:posOffset>
              </wp:positionV>
              <wp:extent cx="666115" cy="77597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666115" cy="775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551A0">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39.6pt;margin-top:-35.55pt;height:61.1pt;width:52.45pt;mso-position-horizontal-relative:margin;z-index:251669504;mso-width-relative:page;mso-height-relative:page;" filled="f" stroked="f" coordsize="21600,21600" o:gfxdata="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ir0yrYAAAACgEAAA8AAAAAAAAAAQAgAAAAIgAAAGRycy9kb3du&#10;cmV2LnhtbFBLAQIUABQAAAAIAIdO4kA1ETisOAIAAGMEAAAOAAAAAAAAAAEAIAAAACcBAABkcnMv&#10;ZTJvRG9jLnhtbFBLBQYAAAAABgAGAFkBAADRBQAAAAA=&#10;">
              <v:fill on="f" focussize="0,0"/>
              <v:stroke on="f" weight="0.5pt"/>
              <v:imagedata o:title=""/>
              <o:lock v:ext="edit" aspectratio="f"/>
              <v:textbox inset="0mm,0mm,0mm,0mm">
                <w:txbxContent>
                  <w:p w14:paraId="2F8551A0">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F9465">
    <w:pPr>
      <w:pStyle w:val="2"/>
      <w:spacing w:line="170" w:lineRule="auto"/>
      <w:ind w:left="5070"/>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posOffset>2835910</wp:posOffset>
              </wp:positionH>
              <wp:positionV relativeFrom="paragraph">
                <wp:posOffset>-490220</wp:posOffset>
              </wp:positionV>
              <wp:extent cx="504190" cy="169989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04190" cy="1699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76BD6">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3.3pt;margin-top:-38.6pt;height:133.85pt;width:39.7pt;mso-position-horizontal-relative:margin;z-index:251670528;mso-width-relative:page;mso-height-relative:page;" filled="f" stroked="f" coordsize="21600,21600" o:gfxdata="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B/wibaAAAACwEAAA8AAAAAAAAAAQAgAAAAIgAAAGRycy9k&#10;b3ducmV2LnhtbFBLAQIUABQAAAAIAIdO4kAxakFpOQIAAGQEAAAOAAAAAAAAAAEAIAAAACkBAABk&#10;cnMvZTJvRG9jLnhtbFBLBQYAAAAABgAGAFkBAADUBQAAAAA=&#10;">
              <v:fill on="f" focussize="0,0"/>
              <v:stroke on="f" weight="0.5pt"/>
              <v:imagedata o:title=""/>
              <o:lock v:ext="edit" aspectratio="f"/>
              <v:textbox inset="0mm,0mm,0mm,0mm">
                <w:txbxContent>
                  <w:p w14:paraId="6E276BD6">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D93BB">
    <w:pPr>
      <w:pStyle w:val="2"/>
      <w:tabs>
        <w:tab w:val="left" w:pos="5067"/>
      </w:tabs>
      <w:spacing w:line="170" w:lineRule="auto"/>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posOffset>2614930</wp:posOffset>
              </wp:positionH>
              <wp:positionV relativeFrom="paragraph">
                <wp:posOffset>-717550</wp:posOffset>
              </wp:positionV>
              <wp:extent cx="3104515" cy="620077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3104515" cy="6200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4CF49">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9pt;margin-top:-56.5pt;height:488.25pt;width:244.45pt;mso-position-horizontal-relative:margin;z-index:251671552;mso-width-relative:page;mso-height-relative:page;" filled="f" stroked="f" coordsize="21600,21600" o:gfxdata="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ZZIujaAAAADAEAAA8AAAAAAAAAAQAgAAAAIgAAAGRycy9k&#10;b3ducmV2LnhtbFBLAQIUABQAAAAIAIdO4kDCms5ZOQIAAGUEAAAOAAAAAAAAAAEAIAAAACkBAABk&#10;cnMvZTJvRG9jLnhtbFBLBQYAAAAABgAGAFkBAADUBQAAAAA=&#10;">
              <v:fill on="f" focussize="0,0"/>
              <v:stroke on="f" weight="0.5pt"/>
              <v:imagedata o:title=""/>
              <o:lock v:ext="edit" aspectratio="f"/>
              <v:textbox inset="0mm,0mm,0mm,0mm">
                <w:txbxContent>
                  <w:p w14:paraId="0024CF49">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A8D2F">
    <w:pPr>
      <w:pStyle w:val="2"/>
      <w:tabs>
        <w:tab w:val="left" w:pos="5067"/>
      </w:tabs>
      <w:spacing w:line="170" w:lineRule="auto"/>
      <w:ind w:left="5070"/>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posOffset>2197735</wp:posOffset>
              </wp:positionH>
              <wp:positionV relativeFrom="paragraph">
                <wp:posOffset>-1057275</wp:posOffset>
              </wp:positionV>
              <wp:extent cx="572135" cy="119507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572135" cy="1195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C79AF">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3.05pt;margin-top:-83.25pt;height:94.1pt;width:45.05pt;mso-position-horizontal-relative:margin;z-index:251675648;mso-width-relative:page;mso-height-relative:page;" filled="f" stroked="f" coordsize="21600,21600" o:gfxdata="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FWKc9oAAAALAQAADwAAAAAAAAABACAAAAAiAAAAZHJzL2Rv&#10;d25yZXYueG1sUEsBAhQAFAAAAAgAh07iQONxXOY4AgAAZAQAAA4AAAAAAAAAAQAgAAAAKQEAAGRy&#10;cy9lMm9Eb2MueG1sUEsFBgAAAAAGAAYAWQEAANMFAAAAAA==&#10;">
              <v:fill on="f" focussize="0,0"/>
              <v:stroke on="f" weight="0.5pt"/>
              <v:imagedata o:title=""/>
              <o:lock v:ext="edit" aspectratio="f"/>
              <v:textbox inset="0mm,0mm,0mm,0mm">
                <w:txbxContent>
                  <w:p w14:paraId="6B2C79AF">
                    <w:pPr>
                      <w:pStyle w:val="5"/>
                    </w:pPr>
                    <w:r>
                      <w:fldChar w:fldCharType="begin"/>
                    </w:r>
                    <w:r>
                      <w:instrText xml:space="preserve"> PAGE  \* MERGEFORMAT </w:instrText>
                    </w:r>
                    <w:r>
                      <w:fldChar w:fldCharType="separate"/>
                    </w:r>
                    <w:r>
                      <w:t>62</w:t>
                    </w:r>
                    <w:r>
                      <w:fldChar w:fldCharType="end"/>
                    </w:r>
                  </w:p>
                </w:txbxContent>
              </v:textbox>
            </v:shape>
          </w:pict>
        </mc:Fallback>
      </mc:AlternateContent>
    </w:r>
    <w:r>
      <w:rPr>
        <w:rFonts w:hint="eastAsia"/>
        <w:spacing w:val="-2"/>
        <w:sz w:val="18"/>
        <w:szCs w:val="18"/>
        <w:lang w:eastAsia="zh-CN"/>
      </w:rP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8111">
    <w:pPr>
      <w:pStyle w:val="5"/>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35B88">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9C35B88">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587A">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04495" cy="67564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404495" cy="675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8EE1A">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53.2pt;width:31.85pt;mso-position-horizontal:center;mso-position-horizontal-relative:margin;z-index:251661312;mso-width-relative:page;mso-height-relative:page;" filled="f" stroked="f" coordsize="21600,21600" o:gfxdata="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VPPXD0gAAAAQBAAAPAAAAAAAAAAEAIAAAACIAAABkcnMvZG93bnJldi54&#10;bWxQSwECFAAUAAAACACHTuJAcKBuBTkCAABjBAAADgAAAAAAAAABACAAAAAhAQAAZHJzL2Uyb0Rv&#10;Yy54bWxQSwUGAAAAAAYABgBZAQAAzAUAAAAA&#10;">
              <v:fill on="f" focussize="0,0"/>
              <v:stroke on="f" weight="0.5pt"/>
              <v:imagedata o:title=""/>
              <o:lock v:ext="edit" aspectratio="f"/>
              <v:textbox inset="0mm,0mm,0mm,0mm">
                <w:txbxContent>
                  <w:p w14:paraId="1518EE1A">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82889">
    <w:pPr>
      <w:pStyle w:val="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ACEBA">
                          <w:pPr>
                            <w:pStyle w:val="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4AACEBA">
                    <w:pPr>
                      <w:pStyle w:val="5"/>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F1118">
    <w:pPr>
      <w:pStyle w:val="5"/>
    </w:pPr>
    <w:r>
      <w:rPr>
        <w:sz w:val="18"/>
      </w:rPr>
      <mc:AlternateContent>
        <mc:Choice Requires="wps">
          <w:drawing>
            <wp:anchor distT="0" distB="0" distL="114300" distR="114300" simplePos="0" relativeHeight="251692032" behindDoc="0" locked="0" layoutInCell="1" allowOverlap="1">
              <wp:simplePos x="0" y="0"/>
              <wp:positionH relativeFrom="margin">
                <wp:posOffset>2654935</wp:posOffset>
              </wp:positionH>
              <wp:positionV relativeFrom="paragraph">
                <wp:posOffset>-619125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84FC9">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05pt;margin-top:-48.75pt;height:144pt;width:144pt;mso-position-horizontal-relative:margin;mso-wrap-style:none;z-index:251692032;mso-width-relative:page;mso-height-relative:page;" filled="f" stroked="f" coordsize="21600,21600" o:gfxdata="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udPltcAAAAL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14:paraId="41084FC9">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D067">
    <w:pPr>
      <w:pStyle w:val="5"/>
    </w:pPr>
    <w:r>
      <w:rPr>
        <w:sz w:val="18"/>
      </w:rPr>
      <mc:AlternateContent>
        <mc:Choice Requires="wps">
          <w:drawing>
            <wp:anchor distT="0" distB="0" distL="114300" distR="114300" simplePos="0" relativeHeight="251691008" behindDoc="0" locked="0" layoutInCell="1" allowOverlap="1">
              <wp:simplePos x="0" y="0"/>
              <wp:positionH relativeFrom="margin">
                <wp:posOffset>2402205</wp:posOffset>
              </wp:positionH>
              <wp:positionV relativeFrom="paragraph">
                <wp:posOffset>-847725</wp:posOffset>
              </wp:positionV>
              <wp:extent cx="404495" cy="6756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4495" cy="675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864B7">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9.15pt;margin-top:-66.75pt;height:53.2pt;width:31.85pt;mso-position-horizontal-relative:margin;z-index:251691008;mso-width-relative:page;mso-height-relative:page;" filled="f" stroked="f" coordsize="21600,21600" o:gfxdata="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vn6T9sAAAAMAQAADwAAAAAAAAABACAAAAAiAAAAZHJzL2Rv&#10;d25yZXYueG1sUEsBAhQAFAAAAAgAh07iQIBVsFc3AgAAYQQAAA4AAAAAAAAAAQAgAAAAKgEAAGRy&#10;cy9lMm9Eb2MueG1sUEsFBgAAAAAGAAYAWQEAANMFAAAAAA==&#10;">
              <v:fill on="f" focussize="0,0"/>
              <v:stroke on="f" weight="0.5pt"/>
              <v:imagedata o:title=""/>
              <o:lock v:ext="edit" aspectratio="f"/>
              <v:textbox inset="0mm,0mm,0mm,0mm">
                <w:txbxContent>
                  <w:p w14:paraId="6F4864B7">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59E43">
    <w:pPr>
      <w:pStyle w:val="5"/>
    </w:pPr>
    <w:r>
      <w:rPr>
        <w:sz w:val="18"/>
      </w:rPr>
      <mc:AlternateContent>
        <mc:Choice Requires="wps">
          <w:drawing>
            <wp:anchor distT="0" distB="0" distL="114300" distR="114300" simplePos="0" relativeHeight="251662336" behindDoc="0" locked="0" layoutInCell="1" allowOverlap="1">
              <wp:simplePos x="0" y="0"/>
              <wp:positionH relativeFrom="margin">
                <wp:posOffset>2704465</wp:posOffset>
              </wp:positionH>
              <wp:positionV relativeFrom="paragraph">
                <wp:posOffset>-171450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F32EA">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2.95pt;margin-top:-13.5pt;height:144pt;width:144pt;mso-position-horizontal-relative:margin;mso-wrap-style:none;z-index:251662336;mso-width-relative:page;mso-height-relative:page;" filled="f" stroked="f" coordsize="21600,21600" o:gfxdata="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FbMH3YAAAACwEAAA8AAAAAAAAAAQAgAAAAIgAAAGRycy9kb3ducmV2Lnht&#10;bFBLAQIUABQAAAAIAIdO4kCW3w8JMgIAAGMEAAAOAAAAAAAAAAEAIAAAACcBAABkcnMvZTJvRG9j&#10;LnhtbFBLBQYAAAAABgAGAFkBAADLBQAAAAA=&#10;">
              <v:fill on="f" focussize="0,0"/>
              <v:stroke on="f" weight="0.5pt"/>
              <v:imagedata o:title=""/>
              <o:lock v:ext="edit" aspectratio="f"/>
              <v:textbox inset="0mm,0mm,0mm,0mm" style="mso-fit-shape-to-text:t;">
                <w:txbxContent>
                  <w:p w14:paraId="12CF32EA">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F8F0">
    <w:pPr>
      <w:pStyle w:val="5"/>
      <w:ind w:firstLine="4140" w:firstLineChars="2300"/>
      <w:rPr>
        <w:rFonts w:hint="default" w:eastAsia="宋体"/>
        <w:lang w:val="en-US" w:eastAsia="zh-CN"/>
      </w:rPr>
    </w:pPr>
    <w:r>
      <w:rPr>
        <w:rFonts w:hint="eastAsia" w:eastAsia="宋体"/>
        <w:lang w:val="en-US" w:eastAsia="zh-CN"/>
      </w:rPr>
      <w:t>22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41E22">
    <w:pPr>
      <w:pStyle w:val="5"/>
    </w:pPr>
    <w:r>
      <w:rPr>
        <w:sz w:val="18"/>
      </w:rPr>
      <mc:AlternateContent>
        <mc:Choice Requires="wps">
          <w:drawing>
            <wp:anchor distT="0" distB="0" distL="114300" distR="114300" simplePos="0" relativeHeight="251693056" behindDoc="0" locked="0" layoutInCell="1" allowOverlap="1">
              <wp:simplePos x="0" y="0"/>
              <wp:positionH relativeFrom="margin">
                <wp:posOffset>2628900</wp:posOffset>
              </wp:positionH>
              <wp:positionV relativeFrom="paragraph">
                <wp:posOffset>-219075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70BE7">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7pt;margin-top:-17.25pt;height:144pt;width:144pt;mso-position-horizontal-relative:margin;mso-wrap-style:none;z-index:251693056;mso-width-relative:page;mso-height-relative:page;" filled="f" stroked="f" coordsize="21600,21600" o:gfxdata="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syGVTYAAAACwEAAA8AAAAAAAAAAQAgAAAAIgAAAGRycy9kb3ducmV2Lnht&#10;bFBLAQIUABQAAAAIAIdO4kB/jq0RMgIAAGEEAAAOAAAAAAAAAAEAIAAAACcBAABkcnMvZTJvRG9j&#10;LnhtbFBLBQYAAAAABgAGAFkBAADLBQAAAAA=&#10;">
              <v:fill on="f" focussize="0,0"/>
              <v:stroke on="f" weight="0.5pt"/>
              <v:imagedata o:title=""/>
              <o:lock v:ext="edit" aspectratio="f"/>
              <v:textbox inset="0mm,0mm,0mm,0mm" style="mso-fit-shape-to-text:t;">
                <w:txbxContent>
                  <w:p w14:paraId="27070BE7">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67BEC">
    <w:pPr>
      <w:pStyle w:val="5"/>
    </w:pPr>
    <w:r>
      <w:rPr>
        <w:sz w:val="18"/>
      </w:rPr>
      <mc:AlternateContent>
        <mc:Choice Requires="wps">
          <w:drawing>
            <wp:anchor distT="0" distB="0" distL="114300" distR="114300" simplePos="0" relativeHeight="251663360" behindDoc="0" locked="0" layoutInCell="1" allowOverlap="1">
              <wp:simplePos x="0" y="0"/>
              <wp:positionH relativeFrom="margin">
                <wp:posOffset>2660015</wp:posOffset>
              </wp:positionH>
              <wp:positionV relativeFrom="paragraph">
                <wp:posOffset>-104775</wp:posOffset>
              </wp:positionV>
              <wp:extent cx="237490" cy="13779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3749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2528A">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45pt;margin-top:-8.25pt;height:10.85pt;width:18.7pt;mso-position-horizontal-relative:margin;z-index:251663360;mso-width-relative:page;mso-height-relative:page;" filled="f" stroked="f" coordsize="21600,21600" o:gfxdata="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H1XWjZAAAACQEAAA8AAAAAAAAAAQAgAAAAIgAAAGRycy9k&#10;b3ducmV2LnhtbFBLAQIUABQAAAAIAIdO4kAN2BE2OgIAAGMEAAAOAAAAAAAAAAEAIAAAACgBAABk&#10;cnMvZTJvRG9jLnhtbFBLBQYAAAAABgAGAFkBAADUBQAAAAA=&#10;">
              <v:fill on="f" focussize="0,0"/>
              <v:stroke on="f" weight="0.5pt"/>
              <v:imagedata o:title=""/>
              <o:lock v:ext="edit" aspectratio="f"/>
              <v:textbox inset="0mm,0mm,0mm,0mm">
                <w:txbxContent>
                  <w:p w14:paraId="3102528A">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96658">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1B3C2">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A21B3C2">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41A4">
    <w:pPr>
      <w:pStyle w:val="2"/>
      <w:tabs>
        <w:tab w:val="left" w:pos="469"/>
      </w:tabs>
      <w:spacing w:before="8" w:line="212" w:lineRule="auto"/>
      <w:ind w:left="37"/>
      <w:rPr>
        <w:sz w:val="18"/>
        <w:szCs w:val="18"/>
      </w:rPr>
    </w:pPr>
    <w:r>
      <w:rPr>
        <w:rFonts w:hint="eastAsia"/>
        <w:sz w:val="18"/>
        <w:szCs w:val="18"/>
        <w:lang w:eastAsia="zh-CN"/>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89EC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04E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DEC2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EB6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A6C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E0EA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F5C6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12EE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60B2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32C8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97F9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61A7A">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7AEE"/>
    <w:multiLevelType w:val="singleLevel"/>
    <w:tmpl w:val="96F27AEE"/>
    <w:lvl w:ilvl="0" w:tentative="0">
      <w:start w:val="4"/>
      <w:numFmt w:val="decimal"/>
      <w:suff w:val="nothing"/>
      <w:lvlText w:val="%1、"/>
      <w:lvlJc w:val="left"/>
      <w:pPr>
        <w:ind w:left="75" w:leftChars="0" w:firstLine="0" w:firstLineChars="0"/>
      </w:pPr>
    </w:lvl>
  </w:abstractNum>
  <w:abstractNum w:abstractNumId="1">
    <w:nsid w:val="A087264F"/>
    <w:multiLevelType w:val="singleLevel"/>
    <w:tmpl w:val="A087264F"/>
    <w:lvl w:ilvl="0" w:tentative="0">
      <w:start w:val="4"/>
      <w:numFmt w:val="chineseCounting"/>
      <w:suff w:val="nothing"/>
      <w:lvlText w:val="%1、"/>
      <w:lvlJc w:val="left"/>
      <w:rPr>
        <w:rFonts w:hint="eastAsia"/>
      </w:rPr>
    </w:lvl>
  </w:abstractNum>
  <w:abstractNum w:abstractNumId="2">
    <w:nsid w:val="B469F7DA"/>
    <w:multiLevelType w:val="singleLevel"/>
    <w:tmpl w:val="B469F7DA"/>
    <w:lvl w:ilvl="0" w:tentative="0">
      <w:start w:val="1"/>
      <w:numFmt w:val="chineseCounting"/>
      <w:suff w:val="nothing"/>
      <w:lvlText w:val="（%1）"/>
      <w:lvlJc w:val="left"/>
      <w:rPr>
        <w:rFonts w:hint="eastAsia"/>
      </w:rPr>
    </w:lvl>
  </w:abstractNum>
  <w:abstractNum w:abstractNumId="3">
    <w:nsid w:val="D12452F7"/>
    <w:multiLevelType w:val="singleLevel"/>
    <w:tmpl w:val="D12452F7"/>
    <w:lvl w:ilvl="0" w:tentative="0">
      <w:start w:val="2"/>
      <w:numFmt w:val="chineseCounting"/>
      <w:suff w:val="nothing"/>
      <w:lvlText w:val="%1、"/>
      <w:lvlJc w:val="left"/>
      <w:rPr>
        <w:rFonts w:hint="eastAsia"/>
      </w:rPr>
    </w:lvl>
  </w:abstractNum>
  <w:abstractNum w:abstractNumId="4">
    <w:nsid w:val="747429DF"/>
    <w:multiLevelType w:val="singleLevel"/>
    <w:tmpl w:val="747429DF"/>
    <w:lvl w:ilvl="0" w:tentative="0">
      <w:start w:val="36"/>
      <w:numFmt w:val="decimal"/>
      <w:suff w:val="space"/>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8D313A"/>
    <w:rsid w:val="00C44682"/>
    <w:rsid w:val="012313A8"/>
    <w:rsid w:val="01A712FD"/>
    <w:rsid w:val="01BA53D8"/>
    <w:rsid w:val="01E7372B"/>
    <w:rsid w:val="024B6E08"/>
    <w:rsid w:val="02CB1CAB"/>
    <w:rsid w:val="04A942BA"/>
    <w:rsid w:val="051931EE"/>
    <w:rsid w:val="05880374"/>
    <w:rsid w:val="05A86320"/>
    <w:rsid w:val="05AB0A50"/>
    <w:rsid w:val="05DA38E6"/>
    <w:rsid w:val="068154EF"/>
    <w:rsid w:val="08634780"/>
    <w:rsid w:val="08AA0601"/>
    <w:rsid w:val="08D538D0"/>
    <w:rsid w:val="08E25FED"/>
    <w:rsid w:val="090B10A0"/>
    <w:rsid w:val="09B401C1"/>
    <w:rsid w:val="0A851326"/>
    <w:rsid w:val="0ACC0D02"/>
    <w:rsid w:val="0B2E5519"/>
    <w:rsid w:val="0B980BE5"/>
    <w:rsid w:val="0BAA1044"/>
    <w:rsid w:val="0C3C77C2"/>
    <w:rsid w:val="0C6D2071"/>
    <w:rsid w:val="0C871385"/>
    <w:rsid w:val="0CA737D5"/>
    <w:rsid w:val="0CCA74C4"/>
    <w:rsid w:val="0D4172A0"/>
    <w:rsid w:val="0D774F56"/>
    <w:rsid w:val="0DA970D9"/>
    <w:rsid w:val="0DE364ED"/>
    <w:rsid w:val="0E460DCC"/>
    <w:rsid w:val="0EC95C85"/>
    <w:rsid w:val="0EE91659"/>
    <w:rsid w:val="0F8B118C"/>
    <w:rsid w:val="0FC22C67"/>
    <w:rsid w:val="10616682"/>
    <w:rsid w:val="108C51BC"/>
    <w:rsid w:val="10927ABA"/>
    <w:rsid w:val="109C58F3"/>
    <w:rsid w:val="10BD32FC"/>
    <w:rsid w:val="11292A0B"/>
    <w:rsid w:val="120945EA"/>
    <w:rsid w:val="1212349F"/>
    <w:rsid w:val="123E24E6"/>
    <w:rsid w:val="124318AA"/>
    <w:rsid w:val="12AF5192"/>
    <w:rsid w:val="141554C8"/>
    <w:rsid w:val="14264FE0"/>
    <w:rsid w:val="155D7127"/>
    <w:rsid w:val="15AA7E92"/>
    <w:rsid w:val="16B25250"/>
    <w:rsid w:val="1726732E"/>
    <w:rsid w:val="177C142C"/>
    <w:rsid w:val="17E86A50"/>
    <w:rsid w:val="18867DBF"/>
    <w:rsid w:val="18F41B50"/>
    <w:rsid w:val="19747A66"/>
    <w:rsid w:val="19FB2A6A"/>
    <w:rsid w:val="1AC90DBB"/>
    <w:rsid w:val="1AD5775F"/>
    <w:rsid w:val="1AF076EF"/>
    <w:rsid w:val="1B8D0583"/>
    <w:rsid w:val="1BA92963"/>
    <w:rsid w:val="1BE35EAC"/>
    <w:rsid w:val="1C0F0A4F"/>
    <w:rsid w:val="1C0F6CA1"/>
    <w:rsid w:val="1C346708"/>
    <w:rsid w:val="1D1125A5"/>
    <w:rsid w:val="1D5F0140"/>
    <w:rsid w:val="1DB23D88"/>
    <w:rsid w:val="1DEB1048"/>
    <w:rsid w:val="1DFA5EB3"/>
    <w:rsid w:val="1ECE2E43"/>
    <w:rsid w:val="1ED41ADC"/>
    <w:rsid w:val="1EE14925"/>
    <w:rsid w:val="1F38206B"/>
    <w:rsid w:val="1F737547"/>
    <w:rsid w:val="1F8452B0"/>
    <w:rsid w:val="1FE346CD"/>
    <w:rsid w:val="20084133"/>
    <w:rsid w:val="210448FA"/>
    <w:rsid w:val="21353F88"/>
    <w:rsid w:val="218617B3"/>
    <w:rsid w:val="218872DA"/>
    <w:rsid w:val="21BC087B"/>
    <w:rsid w:val="22162020"/>
    <w:rsid w:val="22CC31F6"/>
    <w:rsid w:val="22F17100"/>
    <w:rsid w:val="23E629DD"/>
    <w:rsid w:val="25341526"/>
    <w:rsid w:val="255B2F57"/>
    <w:rsid w:val="2560231B"/>
    <w:rsid w:val="25721EF9"/>
    <w:rsid w:val="260B2287"/>
    <w:rsid w:val="2661459D"/>
    <w:rsid w:val="26722306"/>
    <w:rsid w:val="268A58A2"/>
    <w:rsid w:val="26F62F37"/>
    <w:rsid w:val="27473793"/>
    <w:rsid w:val="27D668C5"/>
    <w:rsid w:val="288D6B8D"/>
    <w:rsid w:val="289D08A6"/>
    <w:rsid w:val="28CA642A"/>
    <w:rsid w:val="28E55011"/>
    <w:rsid w:val="29292F7E"/>
    <w:rsid w:val="29763EBB"/>
    <w:rsid w:val="29A44ECD"/>
    <w:rsid w:val="29E51041"/>
    <w:rsid w:val="2A862824"/>
    <w:rsid w:val="2BB6620E"/>
    <w:rsid w:val="2C043A01"/>
    <w:rsid w:val="2C293AEC"/>
    <w:rsid w:val="2CB27900"/>
    <w:rsid w:val="2CEE645F"/>
    <w:rsid w:val="2CF55A3F"/>
    <w:rsid w:val="2D151C3D"/>
    <w:rsid w:val="2D346567"/>
    <w:rsid w:val="2D565681"/>
    <w:rsid w:val="2DA52FC1"/>
    <w:rsid w:val="2DA82AB1"/>
    <w:rsid w:val="2DB87198"/>
    <w:rsid w:val="2E756E38"/>
    <w:rsid w:val="2F7D2448"/>
    <w:rsid w:val="2FAF1ED5"/>
    <w:rsid w:val="2FE204FD"/>
    <w:rsid w:val="304A60A2"/>
    <w:rsid w:val="306929CC"/>
    <w:rsid w:val="30EC7553"/>
    <w:rsid w:val="318B24CE"/>
    <w:rsid w:val="31A33CBC"/>
    <w:rsid w:val="31AA504A"/>
    <w:rsid w:val="31D75713"/>
    <w:rsid w:val="32087FC3"/>
    <w:rsid w:val="32747406"/>
    <w:rsid w:val="327D62BB"/>
    <w:rsid w:val="32B83797"/>
    <w:rsid w:val="333252F7"/>
    <w:rsid w:val="336D632F"/>
    <w:rsid w:val="33957634"/>
    <w:rsid w:val="33B65F28"/>
    <w:rsid w:val="33F16F60"/>
    <w:rsid w:val="342F5B3D"/>
    <w:rsid w:val="3474193F"/>
    <w:rsid w:val="34757B91"/>
    <w:rsid w:val="34767AE4"/>
    <w:rsid w:val="34A42225"/>
    <w:rsid w:val="34B82B1D"/>
    <w:rsid w:val="35064C8D"/>
    <w:rsid w:val="353A4937"/>
    <w:rsid w:val="35C30488"/>
    <w:rsid w:val="35E46651"/>
    <w:rsid w:val="35E9452E"/>
    <w:rsid w:val="35FF0D27"/>
    <w:rsid w:val="3652180C"/>
    <w:rsid w:val="366854D4"/>
    <w:rsid w:val="36962041"/>
    <w:rsid w:val="36D546CB"/>
    <w:rsid w:val="36E44C25"/>
    <w:rsid w:val="37052D23"/>
    <w:rsid w:val="370B658B"/>
    <w:rsid w:val="3756532C"/>
    <w:rsid w:val="38806B05"/>
    <w:rsid w:val="389820A0"/>
    <w:rsid w:val="38D46E50"/>
    <w:rsid w:val="393D2C48"/>
    <w:rsid w:val="3949339B"/>
    <w:rsid w:val="39561614"/>
    <w:rsid w:val="39FE4185"/>
    <w:rsid w:val="3A1E4827"/>
    <w:rsid w:val="3A451DB4"/>
    <w:rsid w:val="3A6C5593"/>
    <w:rsid w:val="3AAC1E33"/>
    <w:rsid w:val="3ACC4283"/>
    <w:rsid w:val="3AD43138"/>
    <w:rsid w:val="3ADB44C6"/>
    <w:rsid w:val="3AE55345"/>
    <w:rsid w:val="3B00217F"/>
    <w:rsid w:val="3B057795"/>
    <w:rsid w:val="3BB07C60"/>
    <w:rsid w:val="3BC907C3"/>
    <w:rsid w:val="3BDD426E"/>
    <w:rsid w:val="3C2B322B"/>
    <w:rsid w:val="3C90308E"/>
    <w:rsid w:val="3D8B5F3C"/>
    <w:rsid w:val="3DED69EA"/>
    <w:rsid w:val="3E126451"/>
    <w:rsid w:val="3E247F32"/>
    <w:rsid w:val="3E483694"/>
    <w:rsid w:val="3E75253C"/>
    <w:rsid w:val="3F1B7587"/>
    <w:rsid w:val="40DA24FE"/>
    <w:rsid w:val="41310533"/>
    <w:rsid w:val="423A7D24"/>
    <w:rsid w:val="43362BE2"/>
    <w:rsid w:val="437B1D31"/>
    <w:rsid w:val="444906F3"/>
    <w:rsid w:val="44A1052F"/>
    <w:rsid w:val="44E4041B"/>
    <w:rsid w:val="45A35BE1"/>
    <w:rsid w:val="460074D7"/>
    <w:rsid w:val="47DD7AD0"/>
    <w:rsid w:val="47F6649C"/>
    <w:rsid w:val="48057498"/>
    <w:rsid w:val="48A71E8C"/>
    <w:rsid w:val="49695393"/>
    <w:rsid w:val="4A05330E"/>
    <w:rsid w:val="4B7822C5"/>
    <w:rsid w:val="4BE156B5"/>
    <w:rsid w:val="4CD07C03"/>
    <w:rsid w:val="4CF17B79"/>
    <w:rsid w:val="4D3D3A13"/>
    <w:rsid w:val="4DAB1AD6"/>
    <w:rsid w:val="4E3A10AC"/>
    <w:rsid w:val="4E551CA6"/>
    <w:rsid w:val="4EC5306C"/>
    <w:rsid w:val="4EFE1502"/>
    <w:rsid w:val="4F251D5C"/>
    <w:rsid w:val="50242014"/>
    <w:rsid w:val="50632B3C"/>
    <w:rsid w:val="50A34C1E"/>
    <w:rsid w:val="50BB1CE7"/>
    <w:rsid w:val="50DC3D36"/>
    <w:rsid w:val="51D02E0B"/>
    <w:rsid w:val="51F003FF"/>
    <w:rsid w:val="522E717A"/>
    <w:rsid w:val="524F15CA"/>
    <w:rsid w:val="52601FAA"/>
    <w:rsid w:val="5266011F"/>
    <w:rsid w:val="52EA30A1"/>
    <w:rsid w:val="52F83BB2"/>
    <w:rsid w:val="532F4F57"/>
    <w:rsid w:val="53CE29C2"/>
    <w:rsid w:val="53D224B3"/>
    <w:rsid w:val="54224ABC"/>
    <w:rsid w:val="54280325"/>
    <w:rsid w:val="54662BFB"/>
    <w:rsid w:val="546B1FBF"/>
    <w:rsid w:val="5492579E"/>
    <w:rsid w:val="55172147"/>
    <w:rsid w:val="55560EC1"/>
    <w:rsid w:val="55DA73FC"/>
    <w:rsid w:val="56064695"/>
    <w:rsid w:val="56E12A0D"/>
    <w:rsid w:val="574216FD"/>
    <w:rsid w:val="57B63E99"/>
    <w:rsid w:val="57BB500C"/>
    <w:rsid w:val="582C7CB7"/>
    <w:rsid w:val="58F82D15"/>
    <w:rsid w:val="59012EF2"/>
    <w:rsid w:val="59D45C17"/>
    <w:rsid w:val="5A2C21F1"/>
    <w:rsid w:val="5A800849"/>
    <w:rsid w:val="5AB3646E"/>
    <w:rsid w:val="5AF947C9"/>
    <w:rsid w:val="5B547C51"/>
    <w:rsid w:val="5B5639C9"/>
    <w:rsid w:val="5BF77C6D"/>
    <w:rsid w:val="5C01514F"/>
    <w:rsid w:val="5CA2679A"/>
    <w:rsid w:val="5CC11316"/>
    <w:rsid w:val="5D253BAB"/>
    <w:rsid w:val="5D347D3A"/>
    <w:rsid w:val="5D423AD9"/>
    <w:rsid w:val="5EB427B5"/>
    <w:rsid w:val="5F463D55"/>
    <w:rsid w:val="5F6D2C2E"/>
    <w:rsid w:val="61573FF7"/>
    <w:rsid w:val="61ED6BC4"/>
    <w:rsid w:val="61FB3A16"/>
    <w:rsid w:val="63D00091"/>
    <w:rsid w:val="64E57B6C"/>
    <w:rsid w:val="6518092D"/>
    <w:rsid w:val="65293EFC"/>
    <w:rsid w:val="66240220"/>
    <w:rsid w:val="66F978FF"/>
    <w:rsid w:val="67CD5013"/>
    <w:rsid w:val="68442DFB"/>
    <w:rsid w:val="685578C8"/>
    <w:rsid w:val="68A8338A"/>
    <w:rsid w:val="68CA50AF"/>
    <w:rsid w:val="691B1DAE"/>
    <w:rsid w:val="693370F8"/>
    <w:rsid w:val="693469CC"/>
    <w:rsid w:val="69877444"/>
    <w:rsid w:val="69B144C0"/>
    <w:rsid w:val="69B65FE7"/>
    <w:rsid w:val="6A3F7D1E"/>
    <w:rsid w:val="6AAF6C52"/>
    <w:rsid w:val="6AFA59F3"/>
    <w:rsid w:val="6BD9385B"/>
    <w:rsid w:val="6C3867D3"/>
    <w:rsid w:val="6C5D26DE"/>
    <w:rsid w:val="6C7D068A"/>
    <w:rsid w:val="6CBD5CFD"/>
    <w:rsid w:val="6D655CEE"/>
    <w:rsid w:val="6F5328E3"/>
    <w:rsid w:val="6F991C7F"/>
    <w:rsid w:val="6FA136F2"/>
    <w:rsid w:val="701D01BA"/>
    <w:rsid w:val="706C7393"/>
    <w:rsid w:val="71A50310"/>
    <w:rsid w:val="72516841"/>
    <w:rsid w:val="73124222"/>
    <w:rsid w:val="734463A5"/>
    <w:rsid w:val="73522870"/>
    <w:rsid w:val="7379604F"/>
    <w:rsid w:val="73BC418E"/>
    <w:rsid w:val="73C848E1"/>
    <w:rsid w:val="744228E5"/>
    <w:rsid w:val="74F636CF"/>
    <w:rsid w:val="750E6C6B"/>
    <w:rsid w:val="759233F8"/>
    <w:rsid w:val="75AF3FAA"/>
    <w:rsid w:val="75BC4EC4"/>
    <w:rsid w:val="766034F6"/>
    <w:rsid w:val="7783749C"/>
    <w:rsid w:val="785250C1"/>
    <w:rsid w:val="78570929"/>
    <w:rsid w:val="78A21BA4"/>
    <w:rsid w:val="78B611AB"/>
    <w:rsid w:val="78FA19E0"/>
    <w:rsid w:val="7A6510DB"/>
    <w:rsid w:val="7AD46261"/>
    <w:rsid w:val="7B845591"/>
    <w:rsid w:val="7C5036C5"/>
    <w:rsid w:val="7C5C4760"/>
    <w:rsid w:val="7C5C650E"/>
    <w:rsid w:val="7C790E6E"/>
    <w:rsid w:val="7C7A4BE6"/>
    <w:rsid w:val="7CB73744"/>
    <w:rsid w:val="7CF36E72"/>
    <w:rsid w:val="7E2968C4"/>
    <w:rsid w:val="7E5F5E41"/>
    <w:rsid w:val="7EF90404"/>
    <w:rsid w:val="7F201A75"/>
    <w:rsid w:val="7FB14D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0"/>
      <w:szCs w:val="30"/>
      <w:lang w:val="en-US" w:eastAsia="en-US" w:bidi="ar-SA"/>
    </w:rPr>
  </w:style>
  <w:style w:type="paragraph" w:styleId="3">
    <w:name w:val="Plain Text"/>
    <w:basedOn w:val="1"/>
    <w:next w:val="4"/>
    <w:qFormat/>
    <w:uiPriority w:val="0"/>
    <w:rPr>
      <w:rFonts w:ascii="宋体" w:hAnsi="Courier New"/>
      <w:szCs w:val="20"/>
    </w:rPr>
  </w:style>
  <w:style w:type="paragraph" w:styleId="4">
    <w:name w:val="index 7"/>
    <w:basedOn w:val="1"/>
    <w:next w:val="1"/>
    <w:qFormat/>
    <w:uiPriority w:val="0"/>
    <w:pPr>
      <w:autoSpaceDE/>
      <w:autoSpaceDN/>
      <w:adjustRightInd/>
      <w:ind w:left="1200" w:leftChars="1200"/>
    </w:pPr>
    <w:rPr>
      <w:color w:val="auto"/>
      <w:kern w:val="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TML Sample"/>
    <w:basedOn w:val="10"/>
    <w:qFormat/>
    <w:uiPriority w:val="0"/>
    <w:rPr>
      <w:rFonts w:ascii="Courier New" w:hAnsi="Courier New"/>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16.png"/><Relationship Id="rId53" Type="http://schemas.openxmlformats.org/officeDocument/2006/relationships/image" Target="media/image15.png"/><Relationship Id="rId52" Type="http://schemas.openxmlformats.org/officeDocument/2006/relationships/image" Target="media/image14.png"/><Relationship Id="rId51" Type="http://schemas.openxmlformats.org/officeDocument/2006/relationships/image" Target="media/image13.png"/><Relationship Id="rId50" Type="http://schemas.openxmlformats.org/officeDocument/2006/relationships/image" Target="media/image12.png"/><Relationship Id="rId5" Type="http://schemas.openxmlformats.org/officeDocument/2006/relationships/footer" Target="footer1.xml"/><Relationship Id="rId49" Type="http://schemas.openxmlformats.org/officeDocument/2006/relationships/image" Target="media/image11.png"/><Relationship Id="rId48" Type="http://schemas.openxmlformats.org/officeDocument/2006/relationships/image" Target="media/image10.png"/><Relationship Id="rId47" Type="http://schemas.openxmlformats.org/officeDocument/2006/relationships/image" Target="media/image9.png"/><Relationship Id="rId46" Type="http://schemas.openxmlformats.org/officeDocument/2006/relationships/image" Target="media/image8.png"/><Relationship Id="rId45" Type="http://schemas.openxmlformats.org/officeDocument/2006/relationships/image" Target="media/image7.png"/><Relationship Id="rId44" Type="http://schemas.openxmlformats.org/officeDocument/2006/relationships/image" Target="media/image6.png"/><Relationship Id="rId43" Type="http://schemas.openxmlformats.org/officeDocument/2006/relationships/image" Target="media/image5.png"/><Relationship Id="rId42" Type="http://schemas.openxmlformats.org/officeDocument/2006/relationships/image" Target="media/image4.png"/><Relationship Id="rId41" Type="http://schemas.openxmlformats.org/officeDocument/2006/relationships/image" Target="media/image3.png"/><Relationship Id="rId40" Type="http://schemas.openxmlformats.org/officeDocument/2006/relationships/image" Target="media/image2.png"/><Relationship Id="rId4" Type="http://schemas.openxmlformats.org/officeDocument/2006/relationships/endnotes" Target="endnotes.xml"/><Relationship Id="rId39" Type="http://schemas.openxmlformats.org/officeDocument/2006/relationships/image" Target="media/image1.png"/><Relationship Id="rId38" Type="http://schemas.openxmlformats.org/officeDocument/2006/relationships/theme" Target="theme/theme1.xml"/><Relationship Id="rId37" Type="http://schemas.openxmlformats.org/officeDocument/2006/relationships/footer" Target="footer20.xml"/><Relationship Id="rId36" Type="http://schemas.openxmlformats.org/officeDocument/2006/relationships/footer" Target="footer19.xml"/><Relationship Id="rId35" Type="http://schemas.openxmlformats.org/officeDocument/2006/relationships/header" Target="header13.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header" Target="header12.xml"/><Relationship Id="rId31" Type="http://schemas.openxmlformats.org/officeDocument/2006/relationships/footer" Target="footer16.xml"/><Relationship Id="rId30" Type="http://schemas.openxmlformats.org/officeDocument/2006/relationships/header" Target="header11.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header" Target="header9.xml"/><Relationship Id="rId25" Type="http://schemas.openxmlformats.org/officeDocument/2006/relationships/footer" Target="footer13.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42"/>
    <customShpInfo spid="_x0000_s1043"/>
    <customShpInfo spid="_x0000_s1044"/>
    <customShpInfo spid="_x0000_s1049"/>
    <customShpInfo spid="_x0000_s1050"/>
    <customShpInfo spid="_x0000_s1048"/>
    <customShpInfo spid="_x0000_s1052"/>
    <customShpInfo spid="_x0000_s1053"/>
    <customShpInfo spid="_x0000_s1051"/>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82"/>
    <customShpInfo spid="_x0000_s1083"/>
    <customShpInfo spid="_x0000_s1084"/>
    <customShpInfo spid="_x0000_s109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11202</Words>
  <Characters>11841</Characters>
  <TotalTime>18</TotalTime>
  <ScaleCrop>false</ScaleCrop>
  <LinksUpToDate>false</LinksUpToDate>
  <CharactersWithSpaces>12832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2024-12-26T08:13:00Z</dcterms:created>
  <dc:creator>Administrator</dc:creator>
  <cp:lastModifiedBy>ぉ兲眼淚ぉ◕ ̯͡◕</cp:lastModifiedBy>
  <cp:lastPrinted>2025-05-07T01:17:00Z</cp:lastPrinted>
  <dcterms:modified xsi:type="dcterms:W3CDTF">2025-06-25T02:23:27Z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2025-02-27T16:37:04Z</vt:filetime>
  </property>
  <property fmtid="{D5CDD505-2E9C-101B-9397-08002B2CF9AE}" pid="4" name="KSOTemplateDocerSaveRecord">
    <vt:lpwstr>eyJoZGlkIjoiYTVjOWYyMzg2MjQwNmE5YmZiNDBjZWRmZWY0YjA2ZDUiLCJ1c2VySWQiOiIzMjc2NDk4NDkifQ==</vt:lpwstr>
  </property>
  <property fmtid="{D5CDD505-2E9C-101B-9397-08002B2CF9AE}" pid="5" name="KSOProductBuildVer">
    <vt:lpwstr>2052-12.1.0.21541</vt:lpwstr>
  </property>
  <property fmtid="{D5CDD505-2E9C-101B-9397-08002B2CF9AE}" pid="6" name="ICV">
    <vt:lpwstr>B3AB48C53EA2440F8F2EBC5761BC8D3C_13</vt:lpwstr>
  </property>
</Properties>
</file>