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2FB3E">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XJFZYCG(CS)-2025-039</w:t>
      </w:r>
      <w:r>
        <w:rPr>
          <w:rFonts w:hint="eastAsia" w:ascii="仿宋" w:hAnsi="仿宋" w:eastAsia="仿宋" w:cs="仿宋"/>
          <w:b/>
          <w:color w:val="auto"/>
          <w:sz w:val="30"/>
          <w:szCs w:val="30"/>
          <w:highlight w:val="none"/>
        </w:rPr>
        <w:t xml:space="preserve">               【采购】                                                         </w:t>
      </w:r>
      <w:r>
        <w:rPr>
          <w:rFonts w:hint="eastAsia" w:ascii="仿宋" w:hAnsi="仿宋" w:eastAsia="仿宋" w:cs="仿宋"/>
          <w:b/>
          <w:bCs/>
          <w:color w:val="auto"/>
          <w:sz w:val="32"/>
          <w:szCs w:val="32"/>
          <w:highlight w:val="none"/>
        </w:rPr>
        <w:t xml:space="preserve">      </w:t>
      </w:r>
    </w:p>
    <w:p w14:paraId="34960A9E">
      <w:pPr>
        <w:spacing w:line="240" w:lineRule="atLeast"/>
        <w:jc w:val="center"/>
        <w:rPr>
          <w:rFonts w:hint="eastAsia" w:ascii="仿宋" w:hAnsi="仿宋" w:eastAsia="仿宋" w:cs="仿宋"/>
          <w:b/>
          <w:bCs/>
          <w:color w:val="auto"/>
          <w:sz w:val="32"/>
          <w:szCs w:val="32"/>
          <w:highlight w:val="none"/>
        </w:rPr>
      </w:pPr>
    </w:p>
    <w:p w14:paraId="54B0C839">
      <w:pPr>
        <w:spacing w:line="240" w:lineRule="atLeast"/>
        <w:jc w:val="center"/>
        <w:rPr>
          <w:rFonts w:hint="eastAsia" w:ascii="宋体" w:hAnsi="宋体" w:eastAsia="宋体"/>
          <w:b/>
          <w:bCs/>
          <w:color w:val="auto"/>
          <w:sz w:val="44"/>
          <w:szCs w:val="44"/>
          <w:lang w:val="en-US" w:eastAsia="zh-CN"/>
        </w:rPr>
      </w:pPr>
      <w:r>
        <w:rPr>
          <w:rFonts w:hint="eastAsia" w:ascii="宋体" w:hAnsi="宋体"/>
          <w:b/>
          <w:bCs/>
          <w:color w:val="auto"/>
          <w:sz w:val="48"/>
          <w:szCs w:val="48"/>
          <w:lang w:eastAsia="zh-CN"/>
        </w:rPr>
        <w:t>喀什地区疾病预防控制中心（喀什地区卫生监督所）采购档案数字化服务</w:t>
      </w:r>
    </w:p>
    <w:p w14:paraId="6B82B9ED">
      <w:pPr>
        <w:autoSpaceDE w:val="0"/>
        <w:autoSpaceDN w:val="0"/>
        <w:jc w:val="center"/>
        <w:rPr>
          <w:rFonts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（综合评分</w:t>
      </w:r>
      <w:r>
        <w:rPr>
          <w:rFonts w:hint="eastAsia" w:ascii="仿宋" w:hAnsi="仿宋" w:eastAsia="仿宋" w:cs="仿宋"/>
          <w:b/>
          <w:bCs/>
          <w:color w:val="auto"/>
          <w:kern w:val="0"/>
          <w:sz w:val="30"/>
          <w:szCs w:val="30"/>
          <w:highlight w:val="none"/>
        </w:rPr>
        <w:t>法</w:t>
      </w:r>
      <w:r>
        <w:rPr>
          <w:rFonts w:hint="eastAsia" w:ascii="仿宋" w:hAnsi="仿宋" w:eastAsia="仿宋" w:cs="仿宋"/>
          <w:b/>
          <w:bCs/>
          <w:color w:val="auto"/>
          <w:sz w:val="30"/>
          <w:szCs w:val="30"/>
          <w:highlight w:val="none"/>
          <w:lang w:val="zh-CN"/>
        </w:rPr>
        <w:t>）</w:t>
      </w:r>
    </w:p>
    <w:p w14:paraId="522F21DB">
      <w:pPr>
        <w:widowControl/>
        <w:autoSpaceDE w:val="0"/>
        <w:autoSpaceDN w:val="0"/>
        <w:ind w:right="-26"/>
        <w:textAlignment w:val="bottom"/>
        <w:rPr>
          <w:rFonts w:ascii="仿宋" w:hAnsi="仿宋" w:eastAsia="仿宋" w:cs="仿宋"/>
          <w:b/>
          <w:color w:val="auto"/>
          <w:sz w:val="96"/>
          <w:szCs w:val="96"/>
          <w:highlight w:val="none"/>
        </w:rPr>
      </w:pPr>
      <w:r>
        <w:rPr>
          <w:rFonts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3360;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560E1C1E">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磋</w:t>
      </w:r>
    </w:p>
    <w:p w14:paraId="54B4B766">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商</w:t>
      </w:r>
    </w:p>
    <w:p w14:paraId="043076D2">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68F63F0F">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2C75DFA2">
      <w:pPr>
        <w:widowControl/>
        <w:autoSpaceDE w:val="0"/>
        <w:autoSpaceDN w:val="0"/>
        <w:ind w:right="-26"/>
        <w:textAlignment w:val="bottom"/>
        <w:rPr>
          <w:rFonts w:ascii="仿宋" w:hAnsi="仿宋" w:eastAsia="仿宋" w:cs="仿宋"/>
          <w:b/>
          <w:color w:val="auto"/>
          <w:sz w:val="32"/>
          <w:highlight w:val="none"/>
        </w:rPr>
      </w:pPr>
    </w:p>
    <w:p w14:paraId="7013BB8C">
      <w:pPr>
        <w:pStyle w:val="8"/>
        <w:rPr>
          <w:color w:val="auto"/>
          <w:highlight w:val="none"/>
        </w:rPr>
      </w:pPr>
    </w:p>
    <w:p w14:paraId="170885D4">
      <w:pPr>
        <w:rPr>
          <w:color w:val="auto"/>
          <w:highlight w:val="none"/>
        </w:rPr>
      </w:pPr>
    </w:p>
    <w:p w14:paraId="766A8303">
      <w:pPr>
        <w:pStyle w:val="8"/>
        <w:rPr>
          <w:color w:val="auto"/>
          <w:highlight w:val="none"/>
        </w:rPr>
      </w:pPr>
    </w:p>
    <w:p w14:paraId="3D760563">
      <w:pPr>
        <w:rPr>
          <w:color w:val="auto"/>
          <w:highlight w:val="none"/>
        </w:rPr>
      </w:pPr>
    </w:p>
    <w:p w14:paraId="5F7B8BF7">
      <w:pPr>
        <w:pStyle w:val="8"/>
        <w:rPr>
          <w:color w:val="auto"/>
          <w:highlight w:val="none"/>
        </w:rPr>
      </w:pPr>
    </w:p>
    <w:p w14:paraId="29F8AA9D">
      <w:pPr>
        <w:widowControl/>
        <w:autoSpaceDE w:val="0"/>
        <w:autoSpaceDN w:val="0"/>
        <w:ind w:right="-26"/>
        <w:textAlignment w:val="bottom"/>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 购 人：</w:t>
      </w:r>
      <w:r>
        <w:rPr>
          <w:rFonts w:hint="eastAsia" w:ascii="仿宋" w:hAnsi="仿宋" w:eastAsia="仿宋" w:cs="仿宋"/>
          <w:b/>
          <w:color w:val="auto"/>
          <w:sz w:val="32"/>
          <w:highlight w:val="none"/>
          <w:lang w:eastAsia="zh-CN"/>
        </w:rPr>
        <w:t xml:space="preserve">喀什地区疾病预防控制中心（喀什地区卫生监督所） </w:t>
      </w:r>
    </w:p>
    <w:p w14:paraId="5E721243">
      <w:pPr>
        <w:widowControl/>
        <w:autoSpaceDE w:val="0"/>
        <w:autoSpaceDN w:val="0"/>
        <w:ind w:right="-26"/>
        <w:textAlignment w:val="bottom"/>
        <w:rPr>
          <w:rFonts w:ascii="仿宋" w:hAnsi="仿宋" w:eastAsia="仿宋" w:cs="仿宋"/>
          <w:b/>
          <w:color w:val="auto"/>
          <w:sz w:val="32"/>
          <w:highlight w:val="none"/>
        </w:rPr>
      </w:pPr>
    </w:p>
    <w:p w14:paraId="67065405">
      <w:pPr>
        <w:widowControl/>
        <w:autoSpaceDE w:val="0"/>
        <w:autoSpaceDN w:val="0"/>
        <w:ind w:right="-26"/>
        <w:textAlignment w:val="bottom"/>
        <w:rPr>
          <w:rFonts w:hint="eastAsia" w:ascii="仿宋" w:hAnsi="仿宋" w:eastAsia="仿宋" w:cs="仿宋"/>
          <w:color w:val="auto"/>
          <w:sz w:val="84"/>
          <w:szCs w:val="84"/>
          <w:highlight w:val="none"/>
          <w:lang w:eastAsia="zh-CN"/>
        </w:rPr>
      </w:pPr>
      <w:r>
        <w:rPr>
          <w:rFonts w:hint="eastAsia" w:ascii="仿宋" w:hAnsi="仿宋" w:eastAsia="仿宋" w:cs="仿宋"/>
          <w:b/>
          <w:color w:val="auto"/>
          <w:sz w:val="32"/>
          <w:highlight w:val="none"/>
        </w:rPr>
        <w:t>代理机构：</w:t>
      </w:r>
      <w:r>
        <w:rPr>
          <w:rFonts w:hint="eastAsia" w:ascii="仿宋" w:hAnsi="仿宋" w:eastAsia="仿宋" w:cs="仿宋"/>
          <w:b/>
          <w:color w:val="auto"/>
          <w:sz w:val="32"/>
          <w:highlight w:val="none"/>
          <w:lang w:eastAsia="zh-CN"/>
        </w:rPr>
        <w:t>新疆方中圆工程项目管理有限公司</w:t>
      </w:r>
    </w:p>
    <w:p w14:paraId="223521C1">
      <w:pPr>
        <w:pStyle w:val="25"/>
        <w:rPr>
          <w:rFonts w:ascii="仿宋" w:hAnsi="仿宋" w:eastAsia="仿宋" w:cs="仿宋"/>
          <w:b/>
          <w:color w:val="auto"/>
          <w:sz w:val="52"/>
          <w:szCs w:val="52"/>
          <w:highlight w:val="none"/>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73C2487E">
      <w:pPr>
        <w:pStyle w:val="25"/>
        <w:rPr>
          <w:rFonts w:ascii="仿宋" w:hAnsi="仿宋" w:eastAsia="仿宋" w:cs="仿宋"/>
          <w:b/>
          <w:color w:val="auto"/>
          <w:sz w:val="52"/>
          <w:szCs w:val="52"/>
          <w:highlight w:val="none"/>
        </w:rPr>
        <w:sectPr>
          <w:footerReference r:id="rId5" w:type="default"/>
          <w:pgSz w:w="11906" w:h="16838"/>
          <w:pgMar w:top="1440" w:right="1797" w:bottom="1440" w:left="1797" w:header="851" w:footer="992" w:gutter="0"/>
          <w:pgNumType w:fmt="decimal" w:start="2"/>
          <w:cols w:space="720" w:num="1"/>
          <w:docGrid w:type="linesAndChars" w:linePitch="312" w:charSpace="0"/>
        </w:sectPr>
      </w:pPr>
    </w:p>
    <w:p w14:paraId="79AE1CDC">
      <w:pPr>
        <w:spacing w:line="240" w:lineRule="atLeast"/>
        <w:ind w:left="1080" w:leftChars="257" w:hanging="540"/>
        <w:jc w:val="center"/>
        <w:rPr>
          <w:rFonts w:hint="eastAsia" w:ascii="仿宋_GB2312" w:eastAsia="仿宋_GB2312"/>
          <w:b/>
          <w:color w:val="auto"/>
          <w:sz w:val="52"/>
          <w:szCs w:val="52"/>
          <w:highlight w:val="none"/>
        </w:rPr>
      </w:pPr>
    </w:p>
    <w:p w14:paraId="55F303E3">
      <w:pPr>
        <w:spacing w:line="240" w:lineRule="atLeast"/>
        <w:ind w:left="1080" w:leftChars="257" w:hanging="540"/>
        <w:jc w:val="center"/>
        <w:rPr>
          <w:rFonts w:hint="eastAsia" w:ascii="仿宋_GB2312" w:eastAsia="仿宋_GB2312"/>
          <w:b/>
          <w:color w:val="auto"/>
          <w:sz w:val="52"/>
          <w:szCs w:val="52"/>
          <w:highlight w:val="none"/>
        </w:rPr>
      </w:pPr>
    </w:p>
    <w:p w14:paraId="5FF20B39">
      <w:pPr>
        <w:spacing w:line="240" w:lineRule="atLeast"/>
        <w:ind w:left="1080" w:leftChars="257" w:hanging="540"/>
        <w:jc w:val="center"/>
        <w:outlineLvl w:val="0"/>
        <w:rPr>
          <w:rFonts w:hint="eastAsia" w:ascii="仿宋_GB2312" w:eastAsia="仿宋_GB2312"/>
          <w:b/>
          <w:color w:val="auto"/>
          <w:sz w:val="44"/>
          <w:szCs w:val="44"/>
          <w:highlight w:val="none"/>
          <w:lang w:eastAsia="zh-CN"/>
        </w:rPr>
      </w:pPr>
      <w:r>
        <w:rPr>
          <w:rFonts w:hint="eastAsia" w:ascii="仿宋_GB2312" w:eastAsia="仿宋_GB2312"/>
          <w:b/>
          <w:color w:val="auto"/>
          <w:sz w:val="44"/>
          <w:szCs w:val="44"/>
          <w:highlight w:val="none"/>
          <w:lang w:eastAsia="zh-CN"/>
        </w:rPr>
        <w:t>喀什地区疾病预防控制中心（喀什地区卫生监督所）采购档案数字化服务</w:t>
      </w:r>
    </w:p>
    <w:p w14:paraId="19A4C49B">
      <w:pPr>
        <w:spacing w:line="240" w:lineRule="atLeast"/>
        <w:ind w:left="1080" w:leftChars="257" w:hanging="540"/>
        <w:jc w:val="center"/>
        <w:rPr>
          <w:rFonts w:ascii="仿宋_GB2312" w:eastAsia="仿宋_GB2312"/>
          <w:b/>
          <w:color w:val="auto"/>
          <w:sz w:val="52"/>
          <w:szCs w:val="52"/>
          <w:highlight w:val="none"/>
        </w:rPr>
      </w:pPr>
    </w:p>
    <w:p w14:paraId="2316638F">
      <w:pPr>
        <w:spacing w:line="240" w:lineRule="atLeast"/>
        <w:ind w:left="1080" w:leftChars="257" w:hanging="540"/>
        <w:jc w:val="center"/>
        <w:rPr>
          <w:rFonts w:hint="eastAsia" w:ascii="华文中宋" w:hAnsi="华文中宋" w:eastAsia="华文中宋" w:cs="华文中宋"/>
          <w:b/>
          <w:bCs w:val="0"/>
          <w:color w:val="auto"/>
          <w:sz w:val="56"/>
          <w:szCs w:val="56"/>
          <w:highlight w:val="none"/>
        </w:rPr>
      </w:pPr>
      <w:r>
        <w:rPr>
          <w:rFonts w:hint="eastAsia" w:ascii="华文中宋" w:hAnsi="华文中宋" w:eastAsia="华文中宋" w:cs="华文中宋"/>
          <w:b/>
          <w:bCs w:val="0"/>
          <w:color w:val="auto"/>
          <w:sz w:val="56"/>
          <w:szCs w:val="56"/>
          <w:highlight w:val="none"/>
          <w:lang w:val="en-US" w:eastAsia="zh-CN"/>
        </w:rPr>
        <w:t>磋商</w:t>
      </w:r>
      <w:r>
        <w:rPr>
          <w:rFonts w:hint="eastAsia" w:ascii="华文中宋" w:hAnsi="华文中宋" w:eastAsia="华文中宋" w:cs="华文中宋"/>
          <w:b/>
          <w:bCs w:val="0"/>
          <w:color w:val="auto"/>
          <w:sz w:val="56"/>
          <w:szCs w:val="56"/>
          <w:highlight w:val="none"/>
        </w:rPr>
        <w:t>文件</w:t>
      </w:r>
    </w:p>
    <w:p w14:paraId="6281D6A5">
      <w:pPr>
        <w:spacing w:line="240" w:lineRule="atLeast"/>
        <w:ind w:left="1080" w:leftChars="257" w:hanging="540"/>
        <w:jc w:val="center"/>
        <w:rPr>
          <w:rFonts w:hint="eastAsia" w:ascii="仿宋_GB2312" w:eastAsia="仿宋_GB2312"/>
          <w:b/>
          <w:color w:val="auto"/>
          <w:sz w:val="28"/>
          <w:highlight w:val="none"/>
        </w:rPr>
      </w:pPr>
    </w:p>
    <w:p w14:paraId="4899ACC2">
      <w:pPr>
        <w:spacing w:line="240" w:lineRule="atLeast"/>
        <w:ind w:left="1080" w:leftChars="257" w:hanging="540"/>
        <w:jc w:val="center"/>
        <w:rPr>
          <w:rFonts w:hint="eastAsia" w:ascii="仿宋_GB2312" w:eastAsia="仿宋_GB2312"/>
          <w:b/>
          <w:color w:val="auto"/>
          <w:sz w:val="28"/>
          <w:highlight w:val="none"/>
        </w:rPr>
      </w:pPr>
      <w:bookmarkStart w:id="0" w:name="_Toc18000"/>
      <w:bookmarkStart w:id="1" w:name="_Toc31487"/>
    </w:p>
    <w:p w14:paraId="4F9496BF">
      <w:pPr>
        <w:spacing w:line="240" w:lineRule="atLeast"/>
        <w:ind w:left="1080" w:leftChars="257" w:hanging="540"/>
        <w:jc w:val="center"/>
        <w:outlineLvl w:val="0"/>
        <w:rPr>
          <w:rFonts w:hint="eastAsia" w:ascii="仿宋_GB2312" w:eastAsia="仿宋_GB2312"/>
          <w:b/>
          <w:color w:val="auto"/>
          <w:sz w:val="40"/>
          <w:szCs w:val="20"/>
          <w:highlight w:val="none"/>
          <w:lang w:eastAsia="zh-CN"/>
        </w:rPr>
      </w:pPr>
      <w:bookmarkStart w:id="2" w:name="_Toc7474"/>
      <w:r>
        <w:rPr>
          <w:rFonts w:hint="eastAsia" w:ascii="仿宋_GB2312" w:eastAsia="仿宋_GB2312"/>
          <w:b/>
          <w:color w:val="auto"/>
          <w:sz w:val="36"/>
          <w:szCs w:val="36"/>
          <w:highlight w:val="none"/>
          <w:lang w:eastAsia="zh-CN"/>
        </w:rPr>
        <w:t>（</w:t>
      </w:r>
      <w:r>
        <w:rPr>
          <w:rFonts w:hint="eastAsia" w:ascii="仿宋_GB2312" w:eastAsia="仿宋_GB2312"/>
          <w:b/>
          <w:color w:val="auto"/>
          <w:sz w:val="36"/>
          <w:szCs w:val="36"/>
          <w:highlight w:val="none"/>
          <w:lang w:val="en-US" w:eastAsia="zh-CN"/>
        </w:rPr>
        <w:t>项目编号：XJFZYCG(CS)-2025-039</w:t>
      </w:r>
      <w:r>
        <w:rPr>
          <w:rFonts w:hint="eastAsia" w:ascii="仿宋_GB2312" w:eastAsia="仿宋_GB2312"/>
          <w:b/>
          <w:color w:val="auto"/>
          <w:sz w:val="36"/>
          <w:szCs w:val="36"/>
          <w:highlight w:val="none"/>
          <w:lang w:eastAsia="zh-CN"/>
        </w:rPr>
        <w:t>）</w:t>
      </w:r>
      <w:bookmarkEnd w:id="0"/>
      <w:bookmarkEnd w:id="1"/>
      <w:bookmarkEnd w:id="2"/>
    </w:p>
    <w:p w14:paraId="5025F748">
      <w:pPr>
        <w:spacing w:line="240" w:lineRule="atLeast"/>
        <w:ind w:left="1080" w:leftChars="257" w:hanging="540"/>
        <w:jc w:val="center"/>
        <w:rPr>
          <w:rFonts w:hint="eastAsia" w:ascii="仿宋_GB2312" w:eastAsia="仿宋_GB2312"/>
          <w:b/>
          <w:color w:val="auto"/>
          <w:sz w:val="52"/>
          <w:highlight w:val="none"/>
        </w:rPr>
      </w:pPr>
    </w:p>
    <w:p w14:paraId="384C8B70">
      <w:pPr>
        <w:spacing w:line="360" w:lineRule="auto"/>
        <w:ind w:firstLine="1321" w:firstLineChars="299"/>
        <w:jc w:val="center"/>
        <w:outlineLvl w:val="0"/>
        <w:rPr>
          <w:rFonts w:hint="eastAsia" w:ascii="仿宋" w:hAnsi="仿宋" w:eastAsia="仿宋" w:cs="黑体"/>
          <w:b/>
          <w:bCs/>
          <w:color w:val="auto"/>
          <w:sz w:val="44"/>
          <w:szCs w:val="44"/>
          <w:highlight w:val="none"/>
        </w:rPr>
      </w:pPr>
      <w:bookmarkStart w:id="3" w:name="_Toc31207"/>
      <w:bookmarkStart w:id="4" w:name="_Toc5119"/>
      <w:bookmarkStart w:id="5" w:name="_Toc26984"/>
      <w:bookmarkStart w:id="6" w:name="_Toc16830"/>
      <w:bookmarkStart w:id="7" w:name="_Toc1011"/>
      <w:r>
        <w:rPr>
          <w:rFonts w:hint="eastAsia" w:ascii="仿宋" w:hAnsi="仿宋" w:eastAsia="仿宋" w:cs="黑体"/>
          <w:b/>
          <w:bCs/>
          <w:color w:val="auto"/>
          <w:sz w:val="44"/>
          <w:szCs w:val="44"/>
          <w:highlight w:val="none"/>
        </w:rPr>
        <w:t>第一册</w:t>
      </w:r>
      <w:bookmarkEnd w:id="3"/>
      <w:bookmarkEnd w:id="4"/>
      <w:bookmarkEnd w:id="5"/>
      <w:bookmarkEnd w:id="6"/>
      <w:bookmarkEnd w:id="7"/>
    </w:p>
    <w:p w14:paraId="6CFAE0CF">
      <w:pPr>
        <w:pStyle w:val="11"/>
        <w:rPr>
          <w:rFonts w:hint="eastAsia" w:ascii="仿宋" w:hAnsi="仿宋" w:eastAsia="仿宋" w:cs="仿宋"/>
          <w:b/>
          <w:color w:val="auto"/>
          <w:spacing w:val="0"/>
          <w:w w:val="100"/>
          <w:position w:val="0"/>
          <w:sz w:val="28"/>
          <w:szCs w:val="28"/>
          <w:highlight w:val="none"/>
        </w:rPr>
      </w:pPr>
    </w:p>
    <w:p w14:paraId="261769C5">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人：</w:t>
      </w:r>
      <w:r>
        <w:rPr>
          <w:rFonts w:hint="eastAsia" w:ascii="仿宋" w:hAnsi="仿宋" w:eastAsia="仿宋" w:cs="仿宋"/>
          <w:b/>
          <w:bCs/>
          <w:color w:val="auto"/>
          <w:sz w:val="30"/>
          <w:szCs w:val="30"/>
          <w:highlight w:val="none"/>
          <w:u w:val="single"/>
          <w:lang w:eastAsia="zh-CN"/>
        </w:rPr>
        <w:t xml:space="preserve">喀什地区疾病预防控制中心（喀什地区卫生监督所） </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p>
    <w:p w14:paraId="15069CFA">
      <w:pPr>
        <w:pStyle w:val="32"/>
        <w:keepNext w:val="0"/>
        <w:keepLines w:val="0"/>
        <w:pageBreakBefore w:val="0"/>
        <w:kinsoku/>
        <w:wordWrap/>
        <w:overflowPunct/>
        <w:topLinePunct w:val="0"/>
        <w:autoSpaceDE/>
        <w:autoSpaceDN/>
        <w:bidi w:val="0"/>
        <w:adjustRightInd/>
        <w:snapToGrid/>
        <w:spacing w:before="75" w:beforeAutospacing="0" w:after="75" w:afterAutospacing="0" w:line="420" w:lineRule="exact"/>
        <w:ind w:firstLine="602" w:firstLineChars="200"/>
        <w:textAlignment w:val="auto"/>
        <w:rPr>
          <w:rFonts w:ascii="仿宋" w:hAnsi="仿宋" w:eastAsia="仿宋" w:cs="仿宋"/>
          <w:b/>
          <w:bCs/>
          <w:color w:val="auto"/>
          <w:kern w:val="2"/>
          <w:sz w:val="30"/>
          <w:szCs w:val="30"/>
          <w:highlight w:val="none"/>
          <w:u w:val="single"/>
        </w:rPr>
      </w:pPr>
      <w:r>
        <w:rPr>
          <w:rFonts w:hint="eastAsia" w:ascii="仿宋" w:hAnsi="仿宋" w:eastAsia="仿宋" w:cs="仿宋"/>
          <w:b/>
          <w:bCs/>
          <w:color w:val="auto"/>
          <w:kern w:val="2"/>
          <w:sz w:val="30"/>
          <w:szCs w:val="30"/>
          <w:highlight w:val="none"/>
        </w:rPr>
        <w:t>联</w:t>
      </w:r>
      <w:r>
        <w:rPr>
          <w:rFonts w:hint="eastAsia" w:ascii="仿宋" w:hAnsi="仿宋" w:eastAsia="仿宋" w:cs="仿宋"/>
          <w:b/>
          <w:bCs/>
          <w:color w:val="auto"/>
          <w:kern w:val="2"/>
          <w:sz w:val="30"/>
          <w:szCs w:val="30"/>
          <w:highlight w:val="none"/>
          <w:lang w:val="en-US" w:eastAsia="zh-CN"/>
        </w:rPr>
        <w:t xml:space="preserve">   </w:t>
      </w:r>
      <w:r>
        <w:rPr>
          <w:rFonts w:hint="eastAsia" w:ascii="仿宋" w:hAnsi="仿宋" w:eastAsia="仿宋" w:cs="仿宋"/>
          <w:b/>
          <w:bCs/>
          <w:color w:val="auto"/>
          <w:kern w:val="2"/>
          <w:sz w:val="30"/>
          <w:szCs w:val="30"/>
          <w:highlight w:val="none"/>
        </w:rPr>
        <w:t>系</w:t>
      </w:r>
      <w:r>
        <w:rPr>
          <w:rFonts w:hint="eastAsia" w:ascii="仿宋" w:hAnsi="仿宋" w:eastAsia="仿宋" w:cs="仿宋"/>
          <w:b/>
          <w:bCs/>
          <w:color w:val="auto"/>
          <w:kern w:val="2"/>
          <w:sz w:val="30"/>
          <w:szCs w:val="30"/>
          <w:highlight w:val="none"/>
          <w:lang w:val="en-US" w:eastAsia="zh-CN"/>
        </w:rPr>
        <w:t xml:space="preserve">   </w:t>
      </w:r>
      <w:r>
        <w:rPr>
          <w:rFonts w:hint="eastAsia" w:ascii="仿宋" w:hAnsi="仿宋" w:eastAsia="仿宋" w:cs="仿宋"/>
          <w:b/>
          <w:bCs/>
          <w:color w:val="auto"/>
          <w:kern w:val="2"/>
          <w:sz w:val="30"/>
          <w:szCs w:val="30"/>
          <w:highlight w:val="none"/>
        </w:rPr>
        <w:t>人：</w:t>
      </w:r>
      <w:r>
        <w:rPr>
          <w:rFonts w:hint="eastAsia" w:ascii="仿宋" w:hAnsi="仿宋" w:eastAsia="仿宋" w:cs="仿宋"/>
          <w:b/>
          <w:bCs/>
          <w:color w:val="auto"/>
          <w:kern w:val="2"/>
          <w:sz w:val="30"/>
          <w:szCs w:val="30"/>
          <w:highlight w:val="none"/>
          <w:u w:val="single"/>
          <w:lang w:val="en-US" w:eastAsia="zh-CN"/>
        </w:rPr>
        <w:t>古丽米热·艾司都拉</w:t>
      </w:r>
      <w:r>
        <w:rPr>
          <w:rFonts w:hint="eastAsia" w:ascii="仿宋" w:hAnsi="仿宋" w:eastAsia="仿宋" w:cs="仿宋"/>
          <w:b/>
          <w:bCs/>
          <w:color w:val="auto"/>
          <w:kern w:val="2"/>
          <w:sz w:val="30"/>
          <w:szCs w:val="30"/>
          <w:highlight w:val="none"/>
          <w:u w:val="single"/>
        </w:rPr>
        <w:t xml:space="preserve">                   </w:t>
      </w:r>
      <w:r>
        <w:rPr>
          <w:rFonts w:hint="eastAsia" w:ascii="仿宋" w:hAnsi="仿宋" w:eastAsia="仿宋" w:cs="仿宋"/>
          <w:b/>
          <w:bCs/>
          <w:color w:val="auto"/>
          <w:kern w:val="2"/>
          <w:sz w:val="30"/>
          <w:szCs w:val="30"/>
          <w:highlight w:val="none"/>
          <w:u w:val="single"/>
          <w:lang w:val="en-US" w:eastAsia="zh-CN"/>
        </w:rPr>
        <w:t xml:space="preserve">                     </w:t>
      </w:r>
      <w:r>
        <w:rPr>
          <w:rFonts w:hint="eastAsia" w:ascii="仿宋" w:hAnsi="仿宋" w:eastAsia="仿宋" w:cs="仿宋"/>
          <w:b/>
          <w:bCs/>
          <w:color w:val="auto"/>
          <w:kern w:val="2"/>
          <w:sz w:val="30"/>
          <w:szCs w:val="30"/>
          <w:highlight w:val="none"/>
          <w:u w:val="single"/>
        </w:rPr>
        <w:t xml:space="preserve">              </w:t>
      </w:r>
    </w:p>
    <w:p w14:paraId="74927F31">
      <w:pPr>
        <w:pStyle w:val="32"/>
        <w:keepNext w:val="0"/>
        <w:keepLines w:val="0"/>
        <w:pageBreakBefore w:val="0"/>
        <w:kinsoku/>
        <w:wordWrap/>
        <w:overflowPunct/>
        <w:topLinePunct w:val="0"/>
        <w:autoSpaceDE/>
        <w:autoSpaceDN/>
        <w:bidi w:val="0"/>
        <w:adjustRightInd/>
        <w:snapToGrid/>
        <w:spacing w:before="75" w:beforeAutospacing="0" w:after="75" w:afterAutospacing="0" w:line="420" w:lineRule="exact"/>
        <w:ind w:firstLine="602" w:firstLineChars="200"/>
        <w:textAlignment w:val="auto"/>
        <w:rPr>
          <w:rFonts w:ascii="仿宋" w:hAnsi="仿宋" w:eastAsia="仿宋" w:cs="仿宋"/>
          <w:b/>
          <w:bCs/>
          <w:color w:val="auto"/>
          <w:kern w:val="2"/>
          <w:sz w:val="30"/>
          <w:szCs w:val="30"/>
          <w:highlight w:val="none"/>
          <w:u w:val="single"/>
        </w:rPr>
      </w:pPr>
      <w:r>
        <w:rPr>
          <w:rFonts w:hint="eastAsia" w:ascii="仿宋" w:hAnsi="仿宋" w:eastAsia="仿宋" w:cs="仿宋"/>
          <w:b/>
          <w:bCs/>
          <w:color w:val="auto"/>
          <w:kern w:val="2"/>
          <w:sz w:val="30"/>
          <w:szCs w:val="30"/>
          <w:highlight w:val="none"/>
        </w:rPr>
        <w:t>联</w:t>
      </w:r>
      <w:r>
        <w:rPr>
          <w:rFonts w:hint="eastAsia" w:ascii="仿宋" w:hAnsi="仿宋" w:eastAsia="仿宋" w:cs="仿宋"/>
          <w:b/>
          <w:bCs/>
          <w:color w:val="auto"/>
          <w:kern w:val="2"/>
          <w:sz w:val="30"/>
          <w:szCs w:val="30"/>
          <w:highlight w:val="none"/>
          <w:lang w:val="en-US" w:eastAsia="zh-CN"/>
        </w:rPr>
        <w:t xml:space="preserve"> </w:t>
      </w:r>
      <w:r>
        <w:rPr>
          <w:rFonts w:hint="eastAsia" w:ascii="仿宋" w:hAnsi="仿宋" w:eastAsia="仿宋" w:cs="仿宋"/>
          <w:b/>
          <w:bCs/>
          <w:color w:val="auto"/>
          <w:kern w:val="2"/>
          <w:sz w:val="30"/>
          <w:szCs w:val="30"/>
          <w:highlight w:val="none"/>
        </w:rPr>
        <w:t>系</w:t>
      </w:r>
      <w:r>
        <w:rPr>
          <w:rFonts w:hint="eastAsia" w:ascii="仿宋" w:hAnsi="仿宋" w:eastAsia="仿宋" w:cs="仿宋"/>
          <w:b/>
          <w:bCs/>
          <w:color w:val="auto"/>
          <w:kern w:val="2"/>
          <w:sz w:val="30"/>
          <w:szCs w:val="30"/>
          <w:highlight w:val="none"/>
          <w:lang w:val="en-US" w:eastAsia="zh-CN"/>
        </w:rPr>
        <w:t xml:space="preserve"> </w:t>
      </w:r>
      <w:r>
        <w:rPr>
          <w:rFonts w:hint="eastAsia" w:ascii="仿宋" w:hAnsi="仿宋" w:eastAsia="仿宋" w:cs="仿宋"/>
          <w:b/>
          <w:bCs/>
          <w:color w:val="auto"/>
          <w:kern w:val="2"/>
          <w:sz w:val="30"/>
          <w:szCs w:val="30"/>
          <w:highlight w:val="none"/>
        </w:rPr>
        <w:t>电</w:t>
      </w:r>
      <w:r>
        <w:rPr>
          <w:rFonts w:hint="eastAsia" w:ascii="仿宋" w:hAnsi="仿宋" w:eastAsia="仿宋" w:cs="仿宋"/>
          <w:b/>
          <w:bCs/>
          <w:color w:val="auto"/>
          <w:kern w:val="2"/>
          <w:sz w:val="30"/>
          <w:szCs w:val="30"/>
          <w:highlight w:val="none"/>
          <w:lang w:val="en-US" w:eastAsia="zh-CN"/>
        </w:rPr>
        <w:t xml:space="preserve"> </w:t>
      </w:r>
      <w:r>
        <w:rPr>
          <w:rFonts w:hint="eastAsia" w:ascii="仿宋" w:hAnsi="仿宋" w:eastAsia="仿宋" w:cs="仿宋"/>
          <w:b/>
          <w:bCs/>
          <w:color w:val="auto"/>
          <w:kern w:val="2"/>
          <w:sz w:val="30"/>
          <w:szCs w:val="30"/>
          <w:highlight w:val="none"/>
        </w:rPr>
        <w:t>话</w:t>
      </w:r>
      <w:r>
        <w:rPr>
          <w:rFonts w:hint="eastAsia" w:ascii="仿宋" w:hAnsi="仿宋" w:eastAsia="仿宋" w:cs="仿宋"/>
          <w:b/>
          <w:bCs/>
          <w:color w:val="auto"/>
          <w:kern w:val="2"/>
          <w:sz w:val="30"/>
          <w:szCs w:val="30"/>
          <w:highlight w:val="none"/>
          <w:lang w:val="en-US" w:eastAsia="zh-CN"/>
        </w:rPr>
        <w:t xml:space="preserve"> </w:t>
      </w:r>
      <w:r>
        <w:rPr>
          <w:rFonts w:hint="eastAsia" w:ascii="仿宋" w:hAnsi="仿宋" w:eastAsia="仿宋" w:cs="仿宋"/>
          <w:b/>
          <w:bCs/>
          <w:color w:val="auto"/>
          <w:kern w:val="2"/>
          <w:sz w:val="30"/>
          <w:szCs w:val="30"/>
          <w:highlight w:val="none"/>
        </w:rPr>
        <w:t>：</w:t>
      </w:r>
      <w:r>
        <w:rPr>
          <w:rFonts w:hint="eastAsia" w:ascii="仿宋" w:hAnsi="仿宋" w:eastAsia="仿宋" w:cs="仿宋"/>
          <w:b/>
          <w:bCs/>
          <w:color w:val="auto"/>
          <w:kern w:val="2"/>
          <w:sz w:val="30"/>
          <w:szCs w:val="30"/>
          <w:highlight w:val="none"/>
          <w:u w:val="single"/>
          <w:lang w:eastAsia="zh-CN"/>
        </w:rPr>
        <w:t>09982871093</w:t>
      </w:r>
      <w:r>
        <w:rPr>
          <w:rFonts w:hint="eastAsia" w:ascii="仿宋" w:hAnsi="仿宋" w:eastAsia="仿宋" w:cs="仿宋"/>
          <w:b/>
          <w:bCs/>
          <w:color w:val="auto"/>
          <w:kern w:val="2"/>
          <w:sz w:val="30"/>
          <w:szCs w:val="30"/>
          <w:highlight w:val="none"/>
          <w:u w:val="single"/>
        </w:rPr>
        <w:t xml:space="preserve">            </w:t>
      </w:r>
      <w:r>
        <w:rPr>
          <w:rFonts w:hint="eastAsia" w:ascii="仿宋" w:hAnsi="仿宋" w:eastAsia="仿宋" w:cs="仿宋"/>
          <w:b/>
          <w:bCs/>
          <w:color w:val="auto"/>
          <w:kern w:val="2"/>
          <w:sz w:val="30"/>
          <w:szCs w:val="30"/>
          <w:highlight w:val="none"/>
          <w:u w:val="single"/>
          <w:lang w:val="en-US" w:eastAsia="zh-CN"/>
        </w:rPr>
        <w:t xml:space="preserve">                        </w:t>
      </w:r>
      <w:r>
        <w:rPr>
          <w:rFonts w:hint="eastAsia" w:ascii="仿宋" w:hAnsi="仿宋" w:eastAsia="仿宋" w:cs="仿宋"/>
          <w:b/>
          <w:bCs/>
          <w:color w:val="auto"/>
          <w:kern w:val="2"/>
          <w:sz w:val="30"/>
          <w:szCs w:val="30"/>
          <w:highlight w:val="none"/>
          <w:u w:val="single"/>
        </w:rPr>
        <w:t xml:space="preserve">            </w:t>
      </w:r>
    </w:p>
    <w:p w14:paraId="40944E5E">
      <w:pPr>
        <w:pStyle w:val="32"/>
        <w:keepNext w:val="0"/>
        <w:keepLines w:val="0"/>
        <w:pageBreakBefore w:val="0"/>
        <w:kinsoku/>
        <w:wordWrap/>
        <w:overflowPunct/>
        <w:topLinePunct w:val="0"/>
        <w:autoSpaceDE/>
        <w:autoSpaceDN/>
        <w:bidi w:val="0"/>
        <w:adjustRightInd/>
        <w:snapToGrid/>
        <w:spacing w:before="75" w:beforeAutospacing="0" w:after="75" w:afterAutospacing="0" w:line="420" w:lineRule="exact"/>
        <w:ind w:firstLine="602" w:firstLineChars="200"/>
        <w:textAlignment w:val="auto"/>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采购代理机构：</w:t>
      </w:r>
      <w:r>
        <w:rPr>
          <w:rFonts w:hint="eastAsia" w:ascii="仿宋" w:hAnsi="仿宋" w:eastAsia="仿宋" w:cs="仿宋"/>
          <w:b/>
          <w:bCs/>
          <w:color w:val="auto"/>
          <w:sz w:val="30"/>
          <w:szCs w:val="30"/>
          <w:highlight w:val="none"/>
          <w:u w:val="single"/>
          <w:lang w:eastAsia="zh-CN"/>
        </w:rPr>
        <w:t>新疆方中圆工程项目管理有限公司</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p>
    <w:p w14:paraId="2E2ABD30">
      <w:pPr>
        <w:keepNext w:val="0"/>
        <w:keepLines w:val="0"/>
        <w:pageBreakBefore w:val="0"/>
        <w:kinsoku/>
        <w:wordWrap/>
        <w:overflowPunct/>
        <w:topLinePunct w:val="0"/>
        <w:autoSpaceDE/>
        <w:autoSpaceDN/>
        <w:bidi w:val="0"/>
        <w:adjustRightInd/>
        <w:snapToGrid/>
        <w:spacing w:line="500" w:lineRule="exact"/>
        <w:ind w:left="2704" w:leftChars="284" w:hanging="2108" w:hangingChars="700"/>
        <w:textAlignment w:val="auto"/>
        <w:rPr>
          <w:rFonts w:hint="default"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代理机构地址：</w:t>
      </w:r>
      <w:r>
        <w:rPr>
          <w:rFonts w:hint="eastAsia" w:ascii="仿宋" w:hAnsi="仿宋" w:eastAsia="仿宋" w:cs="仿宋"/>
          <w:b/>
          <w:bCs/>
          <w:color w:val="auto"/>
          <w:sz w:val="30"/>
          <w:szCs w:val="30"/>
          <w:highlight w:val="none"/>
          <w:u w:val="single"/>
        </w:rPr>
        <w:t>新疆喀什地区喀什经济开发区深喀大道总部经济区浙商大厦14楼1402</w:t>
      </w:r>
      <w:r>
        <w:rPr>
          <w:rFonts w:hint="eastAsia" w:ascii="仿宋" w:hAnsi="仿宋" w:eastAsia="仿宋" w:cs="仿宋"/>
          <w:b/>
          <w:bCs/>
          <w:color w:val="auto"/>
          <w:sz w:val="30"/>
          <w:szCs w:val="30"/>
          <w:highlight w:val="none"/>
          <w:u w:val="single"/>
          <w:lang w:val="en-US" w:eastAsia="zh-CN"/>
        </w:rPr>
        <w:t xml:space="preserve">                                    </w:t>
      </w:r>
    </w:p>
    <w:p w14:paraId="6D9DEAF4">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联</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系</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人：</w:t>
      </w:r>
      <w:r>
        <w:rPr>
          <w:rFonts w:hint="eastAsia" w:ascii="仿宋" w:hAnsi="仿宋" w:eastAsia="仿宋" w:cs="仿宋"/>
          <w:b/>
          <w:bCs/>
          <w:color w:val="auto"/>
          <w:sz w:val="30"/>
          <w:szCs w:val="30"/>
          <w:highlight w:val="none"/>
          <w:u w:val="single"/>
          <w:lang w:val="en-US" w:eastAsia="zh-CN"/>
        </w:rPr>
        <w:t>李静</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p>
    <w:p w14:paraId="2987446F">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联</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系</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电</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话</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u w:val="single"/>
          <w:lang w:eastAsia="zh-CN"/>
        </w:rPr>
        <w:t>18399127016</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p>
    <w:p w14:paraId="4BCAF95A">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color w:val="auto"/>
        </w:rPr>
      </w:pPr>
      <w:r>
        <w:rPr>
          <w:rFonts w:hint="eastAsia" w:ascii="仿宋" w:hAnsi="仿宋" w:eastAsia="仿宋" w:cs="仿宋"/>
          <w:b/>
          <w:bCs/>
          <w:color w:val="auto"/>
          <w:sz w:val="30"/>
          <w:szCs w:val="30"/>
          <w:highlight w:val="none"/>
        </w:rPr>
        <w:t>发</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出</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日</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期</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u w:val="single"/>
        </w:rPr>
        <w:t>202</w:t>
      </w:r>
      <w:r>
        <w:rPr>
          <w:rFonts w:hint="eastAsia" w:ascii="仿宋" w:hAnsi="仿宋" w:eastAsia="仿宋" w:cs="仿宋"/>
          <w:b/>
          <w:bCs/>
          <w:color w:val="auto"/>
          <w:sz w:val="30"/>
          <w:szCs w:val="30"/>
          <w:highlight w:val="none"/>
          <w:u w:val="single"/>
          <w:lang w:val="en-US" w:eastAsia="zh-CN"/>
        </w:rPr>
        <w:t>5</w:t>
      </w:r>
      <w:r>
        <w:rPr>
          <w:rFonts w:hint="eastAsia" w:ascii="仿宋" w:hAnsi="仿宋" w:eastAsia="仿宋" w:cs="仿宋"/>
          <w:b/>
          <w:bCs/>
          <w:color w:val="auto"/>
          <w:sz w:val="30"/>
          <w:szCs w:val="30"/>
          <w:highlight w:val="none"/>
          <w:u w:val="single"/>
        </w:rPr>
        <w:t>年</w:t>
      </w:r>
      <w:r>
        <w:rPr>
          <w:rFonts w:hint="eastAsia" w:ascii="仿宋" w:hAnsi="仿宋" w:eastAsia="仿宋" w:cs="仿宋"/>
          <w:b/>
          <w:bCs/>
          <w:color w:val="auto"/>
          <w:sz w:val="30"/>
          <w:szCs w:val="30"/>
          <w:highlight w:val="none"/>
          <w:u w:val="single"/>
          <w:lang w:val="en-US" w:eastAsia="zh-CN"/>
        </w:rPr>
        <w:t>06</w:t>
      </w:r>
      <w:r>
        <w:rPr>
          <w:rFonts w:hint="eastAsia" w:ascii="仿宋" w:hAnsi="仿宋" w:eastAsia="仿宋" w:cs="仿宋"/>
          <w:b/>
          <w:bCs/>
          <w:color w:val="auto"/>
          <w:sz w:val="30"/>
          <w:szCs w:val="30"/>
          <w:highlight w:val="none"/>
          <w:u w:val="single"/>
        </w:rPr>
        <w:t xml:space="preserve">月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p>
    <w:p w14:paraId="52902969">
      <w:pPr>
        <w:keepNext w:val="0"/>
        <w:keepLines w:val="0"/>
        <w:pageBreakBefore w:val="0"/>
        <w:widowControl w:val="0"/>
        <w:kinsoku/>
        <w:wordWrap/>
        <w:overflowPunct/>
        <w:topLinePunct w:val="0"/>
        <w:autoSpaceDE w:val="0"/>
        <w:autoSpaceDN w:val="0"/>
        <w:bidi w:val="0"/>
        <w:adjustRightInd/>
        <w:snapToGrid/>
        <w:spacing w:before="0" w:line="480" w:lineRule="auto"/>
        <w:ind w:right="0"/>
        <w:jc w:val="center"/>
        <w:textAlignment w:val="auto"/>
        <w:rPr>
          <w:rFonts w:hint="eastAsia" w:ascii="仿宋" w:hAnsi="仿宋" w:eastAsia="仿宋" w:cs="仿宋"/>
          <w:b/>
          <w:color w:val="auto"/>
          <w:spacing w:val="0"/>
          <w:w w:val="100"/>
          <w:position w:val="0"/>
          <w:sz w:val="28"/>
          <w:szCs w:val="28"/>
          <w:highlight w:val="none"/>
          <w:lang w:eastAsia="zh-CN"/>
        </w:rPr>
      </w:pPr>
    </w:p>
    <w:p w14:paraId="3B0B3485">
      <w:pPr>
        <w:spacing w:line="240" w:lineRule="atLeast"/>
        <w:ind w:left="1080" w:leftChars="257" w:hanging="540"/>
        <w:jc w:val="center"/>
        <w:rPr>
          <w:rFonts w:hint="eastAsia" w:ascii="仿宋_GB2312" w:eastAsia="仿宋_GB2312"/>
          <w:b/>
          <w:color w:val="auto"/>
          <w:sz w:val="32"/>
          <w:highlight w:val="none"/>
        </w:rPr>
        <w:sectPr>
          <w:headerReference r:id="rId6" w:type="default"/>
          <w:footerReference r:id="rId7" w:type="default"/>
          <w:pgSz w:w="11910" w:h="16840"/>
          <w:pgMar w:top="1440" w:right="1080" w:bottom="1440" w:left="1080" w:header="850" w:footer="919" w:gutter="0"/>
          <w:pgNumType w:fmt="decimal"/>
          <w:cols w:space="720" w:num="1"/>
        </w:sectPr>
      </w:pPr>
    </w:p>
    <w:p w14:paraId="41403568">
      <w:pPr>
        <w:spacing w:before="0" w:beforeLines="0" w:after="0" w:afterLines="0" w:line="240" w:lineRule="auto"/>
        <w:ind w:left="0" w:leftChars="0" w:right="0" w:rightChars="0" w:firstLine="0" w:firstLineChars="0"/>
        <w:jc w:val="center"/>
      </w:pPr>
      <w:bookmarkStart w:id="8" w:name="_Toc216582804"/>
      <w:bookmarkStart w:id="9" w:name="_Toc1949"/>
      <w:bookmarkStart w:id="10" w:name="_Toc518923059"/>
      <w:bookmarkStart w:id="11" w:name="_Toc1884"/>
      <w:bookmarkStart w:id="12" w:name="_Toc15439"/>
      <w:bookmarkStart w:id="13" w:name="_Toc20531"/>
      <w:r>
        <w:rPr>
          <w:rFonts w:ascii="宋体" w:hAnsi="宋体" w:eastAsia="宋体"/>
          <w:sz w:val="21"/>
        </w:rPr>
        <w:t>目录</w:t>
      </w:r>
    </w:p>
    <w:p w14:paraId="78CB8343">
      <w:pPr>
        <w:pStyle w:val="23"/>
        <w:tabs>
          <w:tab w:val="right" w:leader="dot" w:pos="8312"/>
        </w:tabs>
      </w:pPr>
      <w:r>
        <w:fldChar w:fldCharType="begin"/>
      </w:r>
      <w:r>
        <w:instrText xml:space="preserve">TOC \o "1-2" \h \u </w:instrText>
      </w:r>
      <w:r>
        <w:fldChar w:fldCharType="separate"/>
      </w:r>
      <w:r>
        <w:fldChar w:fldCharType="begin"/>
      </w:r>
      <w:r>
        <w:instrText xml:space="preserve"> HYPERLINK \l _Toc16830 </w:instrText>
      </w:r>
      <w:r>
        <w:fldChar w:fldCharType="separate"/>
      </w:r>
      <w:r>
        <w:rPr>
          <w:rFonts w:hint="eastAsia" w:ascii="仿宋" w:hAnsi="仿宋" w:eastAsia="仿宋" w:cs="黑体"/>
          <w:bCs/>
          <w:szCs w:val="44"/>
          <w:highlight w:val="none"/>
        </w:rPr>
        <w:t>第一册</w:t>
      </w:r>
      <w:r>
        <w:tab/>
      </w:r>
      <w:r>
        <w:fldChar w:fldCharType="begin"/>
      </w:r>
      <w:r>
        <w:instrText xml:space="preserve"> PAGEREF _Toc16830 \h </w:instrText>
      </w:r>
      <w:r>
        <w:fldChar w:fldCharType="separate"/>
      </w:r>
      <w:r>
        <w:t>3</w:t>
      </w:r>
      <w:r>
        <w:fldChar w:fldCharType="end"/>
      </w:r>
      <w:r>
        <w:fldChar w:fldCharType="end"/>
      </w:r>
    </w:p>
    <w:p w14:paraId="6F55FB41">
      <w:pPr>
        <w:pStyle w:val="23"/>
        <w:tabs>
          <w:tab w:val="right" w:leader="dot" w:pos="8312"/>
        </w:tabs>
      </w:pPr>
      <w:r>
        <w:fldChar w:fldCharType="begin"/>
      </w:r>
      <w:r>
        <w:instrText xml:space="preserve"> HYPERLINK \l _Toc13203 </w:instrText>
      </w:r>
      <w:r>
        <w:fldChar w:fldCharType="separate"/>
      </w:r>
      <w:r>
        <w:rPr>
          <w:rFonts w:hint="default" w:ascii="仿宋" w:hAnsi="仿宋" w:eastAsia="仿宋" w:cs="仿宋"/>
          <w:lang w:val="en-US"/>
        </w:rPr>
        <w:t xml:space="preserve">第1章 </w:t>
      </w:r>
      <w:r>
        <w:rPr>
          <w:rFonts w:hint="eastAsia" w:ascii="仿宋" w:hAnsi="仿宋" w:eastAsia="仿宋" w:cs="仿宋"/>
          <w:highlight w:val="none"/>
        </w:rPr>
        <w:t>供应商须知</w:t>
      </w:r>
      <w:r>
        <w:tab/>
      </w:r>
      <w:r>
        <w:fldChar w:fldCharType="begin"/>
      </w:r>
      <w:r>
        <w:instrText xml:space="preserve"> PAGEREF _Toc13203 \h </w:instrText>
      </w:r>
      <w:r>
        <w:fldChar w:fldCharType="separate"/>
      </w:r>
      <w:r>
        <w:t>5</w:t>
      </w:r>
      <w:r>
        <w:fldChar w:fldCharType="end"/>
      </w:r>
      <w:r>
        <w:fldChar w:fldCharType="end"/>
      </w:r>
    </w:p>
    <w:p w14:paraId="1B2F031D">
      <w:pPr>
        <w:pStyle w:val="29"/>
        <w:tabs>
          <w:tab w:val="right" w:leader="dot" w:pos="8312"/>
        </w:tabs>
      </w:pPr>
      <w:r>
        <w:fldChar w:fldCharType="begin"/>
      </w:r>
      <w:r>
        <w:instrText xml:space="preserve"> HYPERLINK \l _Toc4819 </w:instrText>
      </w:r>
      <w:r>
        <w:fldChar w:fldCharType="separate"/>
      </w:r>
      <w:r>
        <w:rPr>
          <w:rFonts w:hint="eastAsia" w:ascii="仿宋" w:hAnsi="仿宋" w:eastAsia="仿宋" w:cs="仿宋"/>
          <w:highlight w:val="none"/>
        </w:rPr>
        <w:t>一   总 则</w:t>
      </w:r>
      <w:r>
        <w:tab/>
      </w:r>
      <w:r>
        <w:fldChar w:fldCharType="begin"/>
      </w:r>
      <w:r>
        <w:instrText xml:space="preserve"> PAGEREF _Toc4819 \h </w:instrText>
      </w:r>
      <w:r>
        <w:fldChar w:fldCharType="separate"/>
      </w:r>
      <w:r>
        <w:t>5</w:t>
      </w:r>
      <w:r>
        <w:fldChar w:fldCharType="end"/>
      </w:r>
      <w:r>
        <w:fldChar w:fldCharType="end"/>
      </w:r>
    </w:p>
    <w:p w14:paraId="296203DB">
      <w:pPr>
        <w:pStyle w:val="29"/>
        <w:tabs>
          <w:tab w:val="right" w:leader="dot" w:pos="8312"/>
        </w:tabs>
      </w:pPr>
      <w:r>
        <w:fldChar w:fldCharType="begin"/>
      </w:r>
      <w:r>
        <w:instrText xml:space="preserve"> HYPERLINK \l _Toc7495 </w:instrText>
      </w:r>
      <w:r>
        <w:fldChar w:fldCharType="separate"/>
      </w:r>
      <w:r>
        <w:rPr>
          <w:rFonts w:hint="eastAsia" w:ascii="仿宋" w:hAnsi="仿宋" w:eastAsia="仿宋" w:cs="仿宋"/>
          <w:highlight w:val="none"/>
        </w:rPr>
        <w:t>二   磋商文件</w:t>
      </w:r>
      <w:r>
        <w:tab/>
      </w:r>
      <w:r>
        <w:fldChar w:fldCharType="begin"/>
      </w:r>
      <w:r>
        <w:instrText xml:space="preserve"> PAGEREF _Toc7495 \h </w:instrText>
      </w:r>
      <w:r>
        <w:fldChar w:fldCharType="separate"/>
      </w:r>
      <w:r>
        <w:t>6</w:t>
      </w:r>
      <w:r>
        <w:fldChar w:fldCharType="end"/>
      </w:r>
      <w:r>
        <w:fldChar w:fldCharType="end"/>
      </w:r>
    </w:p>
    <w:p w14:paraId="6EE53579">
      <w:pPr>
        <w:pStyle w:val="29"/>
        <w:tabs>
          <w:tab w:val="right" w:leader="dot" w:pos="8312"/>
        </w:tabs>
      </w:pPr>
      <w:r>
        <w:fldChar w:fldCharType="begin"/>
      </w:r>
      <w:r>
        <w:instrText xml:space="preserve"> HYPERLINK \l _Toc4484 </w:instrText>
      </w:r>
      <w:r>
        <w:fldChar w:fldCharType="separate"/>
      </w:r>
      <w:r>
        <w:rPr>
          <w:rFonts w:hint="eastAsia" w:ascii="仿宋" w:hAnsi="仿宋" w:eastAsia="仿宋" w:cs="仿宋"/>
          <w:highlight w:val="none"/>
        </w:rPr>
        <w:t>三   磋商文件的编制</w:t>
      </w:r>
      <w:r>
        <w:tab/>
      </w:r>
      <w:r>
        <w:fldChar w:fldCharType="begin"/>
      </w:r>
      <w:r>
        <w:instrText xml:space="preserve"> PAGEREF _Toc4484 \h </w:instrText>
      </w:r>
      <w:r>
        <w:fldChar w:fldCharType="separate"/>
      </w:r>
      <w:r>
        <w:t>7</w:t>
      </w:r>
      <w:r>
        <w:fldChar w:fldCharType="end"/>
      </w:r>
      <w:r>
        <w:fldChar w:fldCharType="end"/>
      </w:r>
    </w:p>
    <w:p w14:paraId="26C65FDD">
      <w:pPr>
        <w:pStyle w:val="29"/>
        <w:tabs>
          <w:tab w:val="right" w:leader="dot" w:pos="8312"/>
        </w:tabs>
      </w:pPr>
      <w:r>
        <w:fldChar w:fldCharType="begin"/>
      </w:r>
      <w:r>
        <w:instrText xml:space="preserve"> HYPERLINK \l _Toc11293 </w:instrText>
      </w:r>
      <w:r>
        <w:fldChar w:fldCharType="separate"/>
      </w:r>
      <w:r>
        <w:rPr>
          <w:rFonts w:hint="eastAsia" w:ascii="仿宋" w:hAnsi="仿宋" w:eastAsia="仿宋" w:cs="仿宋"/>
          <w:highlight w:val="none"/>
        </w:rPr>
        <w:t>四   响应文件的递交</w:t>
      </w:r>
      <w:r>
        <w:tab/>
      </w:r>
      <w:r>
        <w:fldChar w:fldCharType="begin"/>
      </w:r>
      <w:r>
        <w:instrText xml:space="preserve"> PAGEREF _Toc11293 \h </w:instrText>
      </w:r>
      <w:r>
        <w:fldChar w:fldCharType="separate"/>
      </w:r>
      <w:r>
        <w:t>9</w:t>
      </w:r>
      <w:r>
        <w:fldChar w:fldCharType="end"/>
      </w:r>
      <w:r>
        <w:fldChar w:fldCharType="end"/>
      </w:r>
    </w:p>
    <w:p w14:paraId="3764BEB4">
      <w:pPr>
        <w:pStyle w:val="29"/>
        <w:tabs>
          <w:tab w:val="right" w:leader="dot" w:pos="8312"/>
        </w:tabs>
      </w:pPr>
      <w:r>
        <w:fldChar w:fldCharType="begin"/>
      </w:r>
      <w:r>
        <w:instrText xml:space="preserve"> HYPERLINK \l _Toc13431 </w:instrText>
      </w:r>
      <w:r>
        <w:fldChar w:fldCharType="separate"/>
      </w:r>
      <w:r>
        <w:rPr>
          <w:rFonts w:hint="eastAsia" w:ascii="仿宋" w:hAnsi="仿宋" w:eastAsia="仿宋" w:cs="仿宋"/>
          <w:highlight w:val="none"/>
        </w:rPr>
        <w:t>五   开标及评标</w:t>
      </w:r>
      <w:r>
        <w:tab/>
      </w:r>
      <w:r>
        <w:fldChar w:fldCharType="begin"/>
      </w:r>
      <w:r>
        <w:instrText xml:space="preserve"> PAGEREF _Toc13431 \h </w:instrText>
      </w:r>
      <w:r>
        <w:fldChar w:fldCharType="separate"/>
      </w:r>
      <w:r>
        <w:t>10</w:t>
      </w:r>
      <w:r>
        <w:fldChar w:fldCharType="end"/>
      </w:r>
      <w:r>
        <w:fldChar w:fldCharType="end"/>
      </w:r>
    </w:p>
    <w:p w14:paraId="0BFFAF44">
      <w:pPr>
        <w:pStyle w:val="29"/>
        <w:tabs>
          <w:tab w:val="right" w:leader="dot" w:pos="8312"/>
        </w:tabs>
      </w:pPr>
      <w:r>
        <w:fldChar w:fldCharType="begin"/>
      </w:r>
      <w:r>
        <w:instrText xml:space="preserve"> HYPERLINK \l _Toc15581 </w:instrText>
      </w:r>
      <w:r>
        <w:fldChar w:fldCharType="separate"/>
      </w:r>
      <w:r>
        <w:rPr>
          <w:rFonts w:hint="eastAsia" w:ascii="仿宋" w:hAnsi="仿宋" w:eastAsia="仿宋" w:cs="仿宋"/>
          <w:highlight w:val="none"/>
        </w:rPr>
        <w:t>六   确定成交</w:t>
      </w:r>
      <w:r>
        <w:tab/>
      </w:r>
      <w:r>
        <w:fldChar w:fldCharType="begin"/>
      </w:r>
      <w:r>
        <w:instrText xml:space="preserve"> PAGEREF _Toc15581 \h </w:instrText>
      </w:r>
      <w:r>
        <w:fldChar w:fldCharType="separate"/>
      </w:r>
      <w:r>
        <w:t>14</w:t>
      </w:r>
      <w:r>
        <w:fldChar w:fldCharType="end"/>
      </w:r>
      <w:r>
        <w:fldChar w:fldCharType="end"/>
      </w:r>
    </w:p>
    <w:p w14:paraId="28ED81D0">
      <w:pPr>
        <w:pStyle w:val="23"/>
        <w:tabs>
          <w:tab w:val="right" w:leader="dot" w:pos="8312"/>
        </w:tabs>
      </w:pPr>
      <w:r>
        <w:fldChar w:fldCharType="begin"/>
      </w:r>
      <w:r>
        <w:instrText xml:space="preserve"> HYPERLINK \l _Toc27239 </w:instrText>
      </w:r>
      <w:r>
        <w:fldChar w:fldCharType="separate"/>
      </w:r>
      <w:r>
        <w:rPr>
          <w:rFonts w:hint="default" w:ascii="仿宋_GB2312" w:eastAsia="仿宋_GB2312"/>
          <w:lang w:val="en-US"/>
        </w:rPr>
        <w:t xml:space="preserve">第2章 </w:t>
      </w:r>
      <w:r>
        <w:rPr>
          <w:rFonts w:hint="eastAsia" w:ascii="仿宋_GB2312" w:eastAsia="仿宋_GB2312"/>
          <w:highlight w:val="none"/>
          <w:lang w:val="en-US" w:eastAsia="zh-CN"/>
        </w:rPr>
        <w:t>响应</w:t>
      </w:r>
      <w:r>
        <w:rPr>
          <w:rFonts w:hint="eastAsia" w:ascii="仿宋_GB2312" w:eastAsia="仿宋_GB2312"/>
          <w:highlight w:val="none"/>
        </w:rPr>
        <w:t>文件格式</w:t>
      </w:r>
      <w:r>
        <w:tab/>
      </w:r>
      <w:r>
        <w:fldChar w:fldCharType="begin"/>
      </w:r>
      <w:r>
        <w:instrText xml:space="preserve"> PAGEREF _Toc27239 \h </w:instrText>
      </w:r>
      <w:r>
        <w:fldChar w:fldCharType="separate"/>
      </w:r>
      <w:r>
        <w:t>19</w:t>
      </w:r>
      <w:r>
        <w:fldChar w:fldCharType="end"/>
      </w:r>
      <w:r>
        <w:fldChar w:fldCharType="end"/>
      </w:r>
    </w:p>
    <w:p w14:paraId="6FCA0947">
      <w:pPr>
        <w:pStyle w:val="29"/>
        <w:tabs>
          <w:tab w:val="right" w:leader="dot" w:pos="8312"/>
        </w:tabs>
      </w:pPr>
      <w:r>
        <w:fldChar w:fldCharType="begin"/>
      </w:r>
      <w:r>
        <w:instrText xml:space="preserve"> HYPERLINK \l _Toc4987 </w:instrText>
      </w:r>
      <w:r>
        <w:fldChar w:fldCharType="separate"/>
      </w:r>
      <w:r>
        <w:rPr>
          <w:rFonts w:hint="eastAsia" w:ascii="仿宋" w:hAnsi="仿宋" w:eastAsia="仿宋" w:cs="仿宋"/>
          <w:highlight w:val="none"/>
        </w:rPr>
        <w:t>第一部分 开标一览表及资格证明文件</w:t>
      </w:r>
      <w:r>
        <w:tab/>
      </w:r>
      <w:r>
        <w:fldChar w:fldCharType="begin"/>
      </w:r>
      <w:r>
        <w:instrText xml:space="preserve"> PAGEREF _Toc4987 \h </w:instrText>
      </w:r>
      <w:r>
        <w:fldChar w:fldCharType="separate"/>
      </w:r>
      <w:r>
        <w:t>19</w:t>
      </w:r>
      <w:r>
        <w:fldChar w:fldCharType="end"/>
      </w:r>
      <w:r>
        <w:fldChar w:fldCharType="end"/>
      </w:r>
    </w:p>
    <w:p w14:paraId="095BBE3E">
      <w:pPr>
        <w:pStyle w:val="29"/>
        <w:tabs>
          <w:tab w:val="right" w:leader="dot" w:pos="8312"/>
        </w:tabs>
      </w:pPr>
      <w:r>
        <w:fldChar w:fldCharType="begin"/>
      </w:r>
      <w:r>
        <w:instrText xml:space="preserve"> HYPERLINK \l _Toc16180 </w:instrText>
      </w:r>
      <w: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_GB2312" w:hAnsi="宋体" w:eastAsia="仿宋_GB2312"/>
          <w:highlight w:val="none"/>
        </w:rPr>
        <w:t xml:space="preserve">  商务及</w:t>
      </w:r>
      <w:r>
        <w:rPr>
          <w:rFonts w:ascii="仿宋_GB2312" w:hAnsi="宋体" w:eastAsia="仿宋_GB2312"/>
          <w:highlight w:val="none"/>
        </w:rPr>
        <w:t>技术</w:t>
      </w:r>
      <w:r>
        <w:rPr>
          <w:rFonts w:hint="eastAsia" w:ascii="仿宋_GB2312" w:hAnsi="宋体" w:eastAsia="仿宋_GB2312"/>
          <w:highlight w:val="none"/>
        </w:rPr>
        <w:t>文件</w:t>
      </w:r>
      <w:r>
        <w:tab/>
      </w:r>
      <w:r>
        <w:fldChar w:fldCharType="begin"/>
      </w:r>
      <w:r>
        <w:instrText xml:space="preserve"> PAGEREF _Toc16180 \h </w:instrText>
      </w:r>
      <w:r>
        <w:fldChar w:fldCharType="separate"/>
      </w:r>
      <w:r>
        <w:t>27</w:t>
      </w:r>
      <w:r>
        <w:fldChar w:fldCharType="end"/>
      </w:r>
      <w:r>
        <w:fldChar w:fldCharType="end"/>
      </w:r>
    </w:p>
    <w:p w14:paraId="702F2183">
      <w:pPr>
        <w:pStyle w:val="23"/>
        <w:tabs>
          <w:tab w:val="right" w:leader="dot" w:pos="8312"/>
        </w:tabs>
      </w:pPr>
      <w:r>
        <w:fldChar w:fldCharType="begin"/>
      </w:r>
      <w:r>
        <w:instrText xml:space="preserve"> HYPERLINK \l _Toc27516 </w:instrText>
      </w:r>
      <w:r>
        <w:fldChar w:fldCharType="separate"/>
      </w:r>
      <w:r>
        <w:rPr>
          <w:rFonts w:hint="default" w:ascii="仿宋_GB2312" w:eastAsia="仿宋_GB2312"/>
          <w:lang w:val="en-US"/>
        </w:rPr>
        <w:t xml:space="preserve">第3章 </w:t>
      </w:r>
      <w:r>
        <w:rPr>
          <w:rFonts w:hint="eastAsia" w:ascii="仿宋_GB2312" w:eastAsia="仿宋_GB2312"/>
          <w:highlight w:val="none"/>
        </w:rPr>
        <w:t>投标邀请</w:t>
      </w:r>
      <w:r>
        <w:tab/>
      </w:r>
      <w:r>
        <w:fldChar w:fldCharType="begin"/>
      </w:r>
      <w:r>
        <w:instrText xml:space="preserve"> PAGEREF _Toc27516 \h </w:instrText>
      </w:r>
      <w:r>
        <w:fldChar w:fldCharType="separate"/>
      </w:r>
      <w:r>
        <w:t>35</w:t>
      </w:r>
      <w:r>
        <w:fldChar w:fldCharType="end"/>
      </w:r>
      <w:r>
        <w:fldChar w:fldCharType="end"/>
      </w:r>
    </w:p>
    <w:p w14:paraId="3B2E310B">
      <w:pPr>
        <w:pStyle w:val="29"/>
        <w:tabs>
          <w:tab w:val="right" w:leader="dot" w:pos="8312"/>
        </w:tabs>
      </w:pPr>
      <w:r>
        <w:fldChar w:fldCharType="begin"/>
      </w:r>
      <w:r>
        <w:instrText xml:space="preserve"> HYPERLINK \l _Toc2010 </w:instrText>
      </w:r>
      <w:r>
        <w:fldChar w:fldCharType="separate"/>
      </w:r>
      <w:r>
        <w:rPr>
          <w:rFonts w:hint="eastAsia" w:ascii="仿宋" w:hAnsi="仿宋" w:eastAsia="仿宋" w:cs="仿宋"/>
          <w:bCs/>
          <w:szCs w:val="24"/>
          <w:highlight w:val="none"/>
        </w:rPr>
        <w:t>一、项目基本情况</w:t>
      </w:r>
      <w:r>
        <w:tab/>
      </w:r>
      <w:r>
        <w:fldChar w:fldCharType="begin"/>
      </w:r>
      <w:r>
        <w:instrText xml:space="preserve"> PAGEREF _Toc2010 \h </w:instrText>
      </w:r>
      <w:r>
        <w:fldChar w:fldCharType="separate"/>
      </w:r>
      <w:r>
        <w:t>35</w:t>
      </w:r>
      <w:r>
        <w:fldChar w:fldCharType="end"/>
      </w:r>
      <w:r>
        <w:fldChar w:fldCharType="end"/>
      </w:r>
    </w:p>
    <w:p w14:paraId="56AB7EC8">
      <w:pPr>
        <w:pStyle w:val="29"/>
        <w:tabs>
          <w:tab w:val="right" w:leader="dot" w:pos="8312"/>
        </w:tabs>
      </w:pPr>
      <w:r>
        <w:fldChar w:fldCharType="begin"/>
      </w:r>
      <w:r>
        <w:instrText xml:space="preserve"> HYPERLINK \l _Toc28627 </w:instrText>
      </w:r>
      <w:r>
        <w:fldChar w:fldCharType="separate"/>
      </w:r>
      <w:r>
        <w:rPr>
          <w:rFonts w:hint="eastAsia" w:ascii="仿宋" w:hAnsi="仿宋" w:eastAsia="仿宋" w:cs="仿宋"/>
          <w:bCs/>
          <w:szCs w:val="24"/>
          <w:highlight w:val="none"/>
        </w:rPr>
        <w:t>二、申请人的资格要求：</w:t>
      </w:r>
      <w:r>
        <w:tab/>
      </w:r>
      <w:r>
        <w:fldChar w:fldCharType="begin"/>
      </w:r>
      <w:r>
        <w:instrText xml:space="preserve"> PAGEREF _Toc28627 \h </w:instrText>
      </w:r>
      <w:r>
        <w:fldChar w:fldCharType="separate"/>
      </w:r>
      <w:r>
        <w:t>35</w:t>
      </w:r>
      <w:r>
        <w:fldChar w:fldCharType="end"/>
      </w:r>
      <w:r>
        <w:fldChar w:fldCharType="end"/>
      </w:r>
    </w:p>
    <w:p w14:paraId="2BD5491D">
      <w:pPr>
        <w:pStyle w:val="29"/>
        <w:tabs>
          <w:tab w:val="right" w:leader="dot" w:pos="8312"/>
        </w:tabs>
      </w:pPr>
      <w:r>
        <w:fldChar w:fldCharType="begin"/>
      </w:r>
      <w:r>
        <w:instrText xml:space="preserve"> HYPERLINK \l _Toc4333 </w:instrText>
      </w:r>
      <w:r>
        <w:fldChar w:fldCharType="separate"/>
      </w:r>
      <w:r>
        <w:rPr>
          <w:rFonts w:hint="eastAsia" w:ascii="仿宋" w:hAnsi="仿宋" w:eastAsia="仿宋" w:cs="仿宋"/>
          <w:bCs/>
          <w:szCs w:val="24"/>
        </w:rPr>
        <w:t xml:space="preserve">四、 </w:t>
      </w:r>
      <w:r>
        <w:rPr>
          <w:rFonts w:hint="eastAsia" w:ascii="仿宋" w:hAnsi="仿宋" w:eastAsia="仿宋" w:cs="仿宋"/>
          <w:szCs w:val="24"/>
          <w:highlight w:val="none"/>
        </w:rPr>
        <w:t>提交</w:t>
      </w:r>
      <w:r>
        <w:rPr>
          <w:rFonts w:hint="eastAsia" w:ascii="仿宋" w:hAnsi="仿宋" w:eastAsia="仿宋" w:cs="仿宋"/>
          <w:szCs w:val="24"/>
          <w:highlight w:val="none"/>
          <w:lang w:eastAsia="zh-CN"/>
        </w:rPr>
        <w:t>响应</w:t>
      </w:r>
      <w:r>
        <w:rPr>
          <w:rFonts w:hint="eastAsia" w:ascii="仿宋" w:hAnsi="仿宋" w:eastAsia="仿宋" w:cs="仿宋"/>
          <w:szCs w:val="24"/>
          <w:highlight w:val="none"/>
        </w:rPr>
        <w:t>文件截止时间、开标时间和地点</w:t>
      </w:r>
      <w:r>
        <w:tab/>
      </w:r>
      <w:r>
        <w:fldChar w:fldCharType="begin"/>
      </w:r>
      <w:r>
        <w:instrText xml:space="preserve"> PAGEREF _Toc4333 \h </w:instrText>
      </w:r>
      <w:r>
        <w:fldChar w:fldCharType="separate"/>
      </w:r>
      <w:r>
        <w:t>35</w:t>
      </w:r>
      <w:r>
        <w:fldChar w:fldCharType="end"/>
      </w:r>
      <w:r>
        <w:fldChar w:fldCharType="end"/>
      </w:r>
    </w:p>
    <w:p w14:paraId="0E7ED52E">
      <w:pPr>
        <w:pStyle w:val="29"/>
        <w:tabs>
          <w:tab w:val="right" w:leader="dot" w:pos="8312"/>
        </w:tabs>
      </w:pPr>
      <w:r>
        <w:fldChar w:fldCharType="begin"/>
      </w:r>
      <w:r>
        <w:instrText xml:space="preserve"> HYPERLINK \l _Toc12259 </w:instrText>
      </w:r>
      <w:r>
        <w:fldChar w:fldCharType="separate"/>
      </w:r>
      <w:r>
        <w:rPr>
          <w:rFonts w:hint="eastAsia" w:ascii="仿宋" w:hAnsi="仿宋" w:eastAsia="仿宋" w:cs="仿宋"/>
          <w:szCs w:val="24"/>
          <w:highlight w:val="none"/>
        </w:rPr>
        <w:t>五、公告期限</w:t>
      </w:r>
      <w:r>
        <w:tab/>
      </w:r>
      <w:r>
        <w:fldChar w:fldCharType="begin"/>
      </w:r>
      <w:r>
        <w:instrText xml:space="preserve"> PAGEREF _Toc12259 \h </w:instrText>
      </w:r>
      <w:r>
        <w:fldChar w:fldCharType="separate"/>
      </w:r>
      <w:r>
        <w:t>35</w:t>
      </w:r>
      <w:r>
        <w:fldChar w:fldCharType="end"/>
      </w:r>
      <w:r>
        <w:fldChar w:fldCharType="end"/>
      </w:r>
    </w:p>
    <w:p w14:paraId="07CAC315">
      <w:pPr>
        <w:pStyle w:val="29"/>
        <w:tabs>
          <w:tab w:val="right" w:leader="dot" w:pos="8312"/>
        </w:tabs>
      </w:pPr>
      <w:r>
        <w:fldChar w:fldCharType="begin"/>
      </w:r>
      <w:r>
        <w:instrText xml:space="preserve"> HYPERLINK \l _Toc7171 </w:instrText>
      </w:r>
      <w:r>
        <w:fldChar w:fldCharType="separate"/>
      </w:r>
      <w:r>
        <w:rPr>
          <w:rFonts w:hint="eastAsia" w:ascii="仿宋" w:hAnsi="仿宋" w:eastAsia="仿宋" w:cs="仿宋"/>
          <w:szCs w:val="24"/>
          <w:highlight w:val="none"/>
        </w:rPr>
        <w:t>六、其他补充事宜</w:t>
      </w:r>
      <w:r>
        <w:tab/>
      </w:r>
      <w:r>
        <w:fldChar w:fldCharType="begin"/>
      </w:r>
      <w:r>
        <w:instrText xml:space="preserve"> PAGEREF _Toc7171 \h </w:instrText>
      </w:r>
      <w:r>
        <w:fldChar w:fldCharType="separate"/>
      </w:r>
      <w:r>
        <w:t>35</w:t>
      </w:r>
      <w:r>
        <w:fldChar w:fldCharType="end"/>
      </w:r>
      <w:r>
        <w:fldChar w:fldCharType="end"/>
      </w:r>
    </w:p>
    <w:p w14:paraId="104070E6">
      <w:pPr>
        <w:pStyle w:val="23"/>
        <w:tabs>
          <w:tab w:val="right" w:leader="dot" w:pos="8312"/>
        </w:tabs>
      </w:pPr>
      <w:r>
        <w:fldChar w:fldCharType="begin"/>
      </w:r>
      <w:r>
        <w:instrText xml:space="preserve"> HYPERLINK \l _Toc5197 </w:instrText>
      </w:r>
      <w:r>
        <w:fldChar w:fldCharType="separate"/>
      </w:r>
      <w:r>
        <w:rPr>
          <w:rFonts w:hint="default" w:ascii="仿宋_GB2312" w:eastAsia="仿宋_GB2312"/>
          <w:szCs w:val="32"/>
          <w:lang w:val="en-US"/>
        </w:rPr>
        <w:t xml:space="preserve">第4章 </w:t>
      </w:r>
      <w:r>
        <w:rPr>
          <w:rFonts w:hint="eastAsia" w:ascii="仿宋_GB2312" w:eastAsia="仿宋_GB2312"/>
          <w:highlight w:val="none"/>
          <w:lang w:eastAsia="zh-CN"/>
        </w:rPr>
        <w:t>供应商</w:t>
      </w:r>
      <w:r>
        <w:rPr>
          <w:rFonts w:hint="eastAsia" w:ascii="仿宋_GB2312" w:eastAsia="仿宋_GB2312"/>
          <w:highlight w:val="none"/>
        </w:rPr>
        <w:t>须知资料表</w:t>
      </w:r>
      <w:r>
        <w:tab/>
      </w:r>
      <w:r>
        <w:fldChar w:fldCharType="begin"/>
      </w:r>
      <w:r>
        <w:instrText xml:space="preserve"> PAGEREF _Toc5197 \h </w:instrText>
      </w:r>
      <w:r>
        <w:fldChar w:fldCharType="separate"/>
      </w:r>
      <w:r>
        <w:t>37</w:t>
      </w:r>
      <w:r>
        <w:fldChar w:fldCharType="end"/>
      </w:r>
      <w:r>
        <w:fldChar w:fldCharType="end"/>
      </w:r>
    </w:p>
    <w:p w14:paraId="1B6E9510">
      <w:pPr>
        <w:pStyle w:val="23"/>
        <w:tabs>
          <w:tab w:val="right" w:leader="dot" w:pos="8312"/>
        </w:tabs>
      </w:pPr>
      <w:r>
        <w:fldChar w:fldCharType="begin"/>
      </w:r>
      <w:r>
        <w:instrText xml:space="preserve"> HYPERLINK \l _Toc28258 </w:instrText>
      </w:r>
      <w:r>
        <w:fldChar w:fldCharType="separate"/>
      </w:r>
      <w:r>
        <w:rPr>
          <w:rFonts w:hint="default"/>
          <w:lang w:val="en-US" w:eastAsia="zh-CN"/>
        </w:rPr>
        <w:t xml:space="preserve">第5章 </w:t>
      </w:r>
      <w:r>
        <w:rPr>
          <w:rFonts w:hint="eastAsia" w:ascii="仿宋_GB2312" w:eastAsia="仿宋_GB2312"/>
          <w:highlight w:val="none"/>
          <w:lang w:val="en-US" w:eastAsia="zh-CN"/>
        </w:rPr>
        <w:t>采购</w:t>
      </w:r>
      <w:r>
        <w:rPr>
          <w:rFonts w:hint="eastAsia" w:ascii="仿宋_GB2312" w:eastAsia="仿宋_GB2312"/>
          <w:highlight w:val="none"/>
        </w:rPr>
        <w:t>需求</w:t>
      </w:r>
      <w:r>
        <w:tab/>
      </w:r>
      <w:r>
        <w:fldChar w:fldCharType="begin"/>
      </w:r>
      <w:r>
        <w:instrText xml:space="preserve"> PAGEREF _Toc28258 \h </w:instrText>
      </w:r>
      <w:r>
        <w:fldChar w:fldCharType="separate"/>
      </w:r>
      <w:r>
        <w:t>42</w:t>
      </w:r>
      <w:r>
        <w:fldChar w:fldCharType="end"/>
      </w:r>
      <w:r>
        <w:fldChar w:fldCharType="end"/>
      </w:r>
    </w:p>
    <w:p w14:paraId="3C9E42AF">
      <w:pPr>
        <w:pStyle w:val="23"/>
        <w:tabs>
          <w:tab w:val="right" w:leader="dot" w:pos="8312"/>
        </w:tabs>
      </w:pPr>
      <w:r>
        <w:fldChar w:fldCharType="begin"/>
      </w:r>
      <w:r>
        <w:instrText xml:space="preserve"> HYPERLINK \l _Toc27768 </w:instrText>
      </w:r>
      <w:r>
        <w:fldChar w:fldCharType="separate"/>
      </w:r>
      <w:r>
        <w:rPr>
          <w:rFonts w:hint="eastAsia" w:ascii="仿宋" w:hAnsi="仿宋" w:eastAsia="仿宋" w:cs="仿宋"/>
          <w:highlight w:val="none"/>
        </w:rPr>
        <w:t>第</w:t>
      </w:r>
      <w:r>
        <w:rPr>
          <w:rFonts w:hint="eastAsia" w:ascii="仿宋" w:hAnsi="仿宋" w:eastAsia="仿宋" w:cs="仿宋"/>
          <w:highlight w:val="none"/>
          <w:lang w:val="en-US" w:eastAsia="zh-CN"/>
        </w:rPr>
        <w:t>6</w:t>
      </w:r>
      <w:r>
        <w:rPr>
          <w:rFonts w:hint="eastAsia" w:ascii="仿宋" w:hAnsi="仿宋" w:eastAsia="仿宋" w:cs="仿宋"/>
          <w:highlight w:val="none"/>
        </w:rPr>
        <w:t>章、评标方法和标准</w:t>
      </w:r>
      <w:r>
        <w:tab/>
      </w:r>
      <w:r>
        <w:fldChar w:fldCharType="begin"/>
      </w:r>
      <w:r>
        <w:instrText xml:space="preserve"> PAGEREF _Toc27768 \h </w:instrText>
      </w:r>
      <w:r>
        <w:fldChar w:fldCharType="separate"/>
      </w:r>
      <w:r>
        <w:t>45</w:t>
      </w:r>
      <w:r>
        <w:fldChar w:fldCharType="end"/>
      </w:r>
      <w:r>
        <w:fldChar w:fldCharType="end"/>
      </w:r>
    </w:p>
    <w:p w14:paraId="1F5313F2">
      <w:pPr>
        <w:pStyle w:val="23"/>
        <w:tabs>
          <w:tab w:val="right" w:leader="dot" w:pos="8312"/>
        </w:tabs>
      </w:pPr>
      <w:r>
        <w:fldChar w:fldCharType="begin"/>
      </w:r>
      <w:r>
        <w:instrText xml:space="preserve"> HYPERLINK \l _Toc17854 </w:instrText>
      </w:r>
      <w:r>
        <w:fldChar w:fldCharType="separate"/>
      </w:r>
      <w:r>
        <w:rPr>
          <w:rFonts w:hint="eastAsia" w:ascii="仿宋" w:hAnsi="仿宋" w:eastAsia="仿宋" w:cs="仿宋"/>
          <w:szCs w:val="30"/>
          <w:highlight w:val="none"/>
        </w:rPr>
        <w:t>第</w:t>
      </w:r>
      <w:r>
        <w:rPr>
          <w:rFonts w:hint="eastAsia" w:ascii="仿宋" w:hAnsi="仿宋" w:eastAsia="仿宋" w:cs="仿宋"/>
          <w:szCs w:val="30"/>
          <w:highlight w:val="none"/>
          <w:lang w:val="en-US" w:eastAsia="zh-CN"/>
        </w:rPr>
        <w:t>7</w:t>
      </w:r>
      <w:r>
        <w:rPr>
          <w:rFonts w:hint="eastAsia" w:ascii="仿宋" w:hAnsi="仿宋" w:eastAsia="仿宋" w:cs="仿宋"/>
          <w:szCs w:val="30"/>
          <w:highlight w:val="none"/>
        </w:rPr>
        <w:t>章、采购合同</w:t>
      </w:r>
      <w:r>
        <w:tab/>
      </w:r>
      <w:r>
        <w:fldChar w:fldCharType="begin"/>
      </w:r>
      <w:r>
        <w:instrText xml:space="preserve"> PAGEREF _Toc17854 \h </w:instrText>
      </w:r>
      <w:r>
        <w:fldChar w:fldCharType="separate"/>
      </w:r>
      <w:r>
        <w:t>56</w:t>
      </w:r>
      <w:r>
        <w:fldChar w:fldCharType="end"/>
      </w:r>
      <w:r>
        <w:fldChar w:fldCharType="end"/>
      </w:r>
    </w:p>
    <w:p w14:paraId="431CC52D">
      <w:r>
        <w:fldChar w:fldCharType="end"/>
      </w:r>
    </w:p>
    <w:p w14:paraId="582E4526">
      <w:pPr>
        <w:pStyle w:val="2"/>
        <w:numPr>
          <w:ilvl w:val="0"/>
          <w:numId w:val="1"/>
        </w:numPr>
        <w:tabs>
          <w:tab w:val="left" w:pos="0"/>
          <w:tab w:val="clear" w:pos="3134"/>
        </w:tabs>
        <w:spacing w:before="0" w:after="0" w:line="240" w:lineRule="atLeast"/>
        <w:ind w:hanging="3134"/>
        <w:rPr>
          <w:rFonts w:ascii="仿宋" w:hAnsi="仿宋" w:eastAsia="仿宋" w:cs="仿宋"/>
          <w:color w:val="auto"/>
          <w:highlight w:val="none"/>
        </w:rPr>
      </w:pPr>
      <w:r>
        <w:rPr>
          <w:rFonts w:hint="eastAsia" w:ascii="仿宋_GB2312" w:eastAsia="仿宋_GB2312"/>
          <w:color w:val="auto"/>
          <w:highlight w:val="none"/>
          <w:lang w:val="en-US" w:eastAsia="zh-CN"/>
        </w:rPr>
        <w:br w:type="page"/>
      </w:r>
      <w:bookmarkEnd w:id="8"/>
      <w:bookmarkEnd w:id="9"/>
      <w:bookmarkEnd w:id="10"/>
      <w:bookmarkEnd w:id="11"/>
      <w:bookmarkEnd w:id="12"/>
      <w:bookmarkEnd w:id="13"/>
      <w:bookmarkStart w:id="14" w:name="_Toc22782"/>
      <w:bookmarkStart w:id="15" w:name="_Toc21595"/>
      <w:bookmarkStart w:id="16" w:name="_Toc17230"/>
      <w:r>
        <w:rPr>
          <w:rFonts w:hint="eastAsia" w:ascii="仿宋" w:hAnsi="仿宋" w:eastAsia="仿宋" w:cs="仿宋"/>
          <w:color w:val="auto"/>
          <w:highlight w:val="none"/>
        </w:rPr>
        <w:t xml:space="preserve">  </w:t>
      </w:r>
      <w:bookmarkStart w:id="17" w:name="_Toc13203"/>
      <w:bookmarkStart w:id="18" w:name="_Toc515647756"/>
      <w:r>
        <w:rPr>
          <w:rFonts w:hint="eastAsia" w:ascii="仿宋" w:hAnsi="仿宋" w:eastAsia="仿宋" w:cs="仿宋"/>
          <w:color w:val="auto"/>
          <w:highlight w:val="none"/>
        </w:rPr>
        <w:t>供应商须知</w:t>
      </w:r>
      <w:bookmarkEnd w:id="14"/>
      <w:bookmarkEnd w:id="15"/>
      <w:bookmarkEnd w:id="16"/>
      <w:bookmarkEnd w:id="17"/>
      <w:bookmarkEnd w:id="18"/>
    </w:p>
    <w:p w14:paraId="645D8166">
      <w:pPr>
        <w:rPr>
          <w:rFonts w:ascii="仿宋" w:hAnsi="仿宋" w:eastAsia="仿宋" w:cs="仿宋"/>
          <w:color w:val="auto"/>
          <w:highlight w:val="none"/>
        </w:rPr>
      </w:pPr>
    </w:p>
    <w:p w14:paraId="7AECD86F">
      <w:pPr>
        <w:pStyle w:val="3"/>
        <w:spacing w:before="0" w:line="240" w:lineRule="atLeast"/>
        <w:ind w:left="1079" w:leftChars="257" w:hanging="540"/>
        <w:rPr>
          <w:rFonts w:ascii="仿宋" w:hAnsi="仿宋" w:eastAsia="仿宋" w:cs="仿宋"/>
          <w:color w:val="auto"/>
          <w:sz w:val="28"/>
          <w:highlight w:val="none"/>
        </w:rPr>
      </w:pPr>
      <w:bookmarkStart w:id="19" w:name="_Toc515647757"/>
      <w:bookmarkStart w:id="20" w:name="_Toc520356143"/>
      <w:bookmarkStart w:id="21" w:name="_Toc216582805"/>
      <w:bookmarkStart w:id="22" w:name="_Toc21215"/>
      <w:bookmarkStart w:id="23" w:name="_Toc4819"/>
      <w:bookmarkStart w:id="24" w:name="_Toc3580"/>
      <w:bookmarkStart w:id="25" w:name="_Toc21015"/>
      <w:r>
        <w:rPr>
          <w:rFonts w:hint="eastAsia" w:ascii="仿宋" w:hAnsi="仿宋" w:eastAsia="仿宋" w:cs="仿宋"/>
          <w:color w:val="auto"/>
          <w:sz w:val="28"/>
          <w:highlight w:val="none"/>
        </w:rPr>
        <w:t xml:space="preserve">一   </w:t>
      </w:r>
      <w:bookmarkEnd w:id="19"/>
      <w:bookmarkEnd w:id="20"/>
      <w:bookmarkEnd w:id="21"/>
      <w:r>
        <w:rPr>
          <w:rFonts w:hint="eastAsia" w:ascii="仿宋" w:hAnsi="仿宋" w:eastAsia="仿宋" w:cs="仿宋"/>
          <w:color w:val="auto"/>
          <w:sz w:val="28"/>
          <w:highlight w:val="none"/>
        </w:rPr>
        <w:t>总 则</w:t>
      </w:r>
      <w:bookmarkEnd w:id="22"/>
      <w:bookmarkEnd w:id="23"/>
      <w:bookmarkEnd w:id="24"/>
      <w:bookmarkEnd w:id="25"/>
    </w:p>
    <w:p w14:paraId="3D055AAA">
      <w:pPr>
        <w:pStyle w:val="8"/>
        <w:rPr>
          <w:rFonts w:ascii="仿宋" w:hAnsi="仿宋" w:eastAsia="仿宋" w:cs="仿宋"/>
          <w:color w:val="auto"/>
          <w:highlight w:val="none"/>
        </w:rPr>
      </w:pPr>
    </w:p>
    <w:p w14:paraId="2F3D62D5">
      <w:pPr>
        <w:pStyle w:val="4"/>
        <w:spacing w:before="0" w:after="0" w:line="240" w:lineRule="atLeast"/>
        <w:rPr>
          <w:rFonts w:ascii="仿宋" w:hAnsi="仿宋" w:eastAsia="仿宋" w:cs="仿宋"/>
          <w:color w:val="auto"/>
          <w:highlight w:val="none"/>
          <w:u w:val="none"/>
        </w:rPr>
      </w:pPr>
      <w:bookmarkStart w:id="26" w:name="_Toc32189"/>
      <w:bookmarkStart w:id="27" w:name="_Toc515647758"/>
      <w:bookmarkStart w:id="28" w:name="_Toc32623"/>
      <w:bookmarkStart w:id="29" w:name="_Toc520356144"/>
      <w:bookmarkStart w:id="30" w:name="_Toc27663"/>
      <w:r>
        <w:rPr>
          <w:rFonts w:hint="eastAsia" w:ascii="仿宋" w:hAnsi="仿宋" w:eastAsia="仿宋" w:cs="仿宋"/>
          <w:color w:val="auto"/>
          <w:highlight w:val="none"/>
          <w:u w:val="none"/>
        </w:rPr>
        <w:t>1.采购人、采购代理机构及</w:t>
      </w:r>
      <w:bookmarkEnd w:id="26"/>
      <w:bookmarkEnd w:id="27"/>
      <w:bookmarkEnd w:id="28"/>
      <w:bookmarkEnd w:id="29"/>
      <w:r>
        <w:rPr>
          <w:rFonts w:hint="eastAsia" w:ascii="仿宋" w:hAnsi="仿宋" w:eastAsia="仿宋" w:cs="仿宋"/>
          <w:color w:val="auto"/>
          <w:highlight w:val="none"/>
          <w:u w:val="none"/>
        </w:rPr>
        <w:t>供应商</w:t>
      </w:r>
      <w:bookmarkEnd w:id="30"/>
    </w:p>
    <w:p w14:paraId="5335D47B">
      <w:pPr>
        <w:pageBreakBefore w:val="0"/>
        <w:widowControl w:val="0"/>
        <w:numPr>
          <w:ilvl w:val="1"/>
          <w:numId w:val="0"/>
        </w:numPr>
        <w:tabs>
          <w:tab w:val="left" w:pos="0"/>
        </w:tabs>
        <w:kinsoku/>
        <w:wordWrap/>
        <w:overflowPunct/>
        <w:topLinePunct w:val="0"/>
        <w:bidi w:val="0"/>
        <w:snapToGrid/>
        <w:spacing w:line="240" w:lineRule="auto"/>
        <w:ind w:left="900" w:leftChars="0" w:hanging="898" w:firstLineChars="0"/>
        <w:textAlignment w:val="auto"/>
        <w:rPr>
          <w:rFonts w:ascii="仿宋" w:hAnsi="仿宋" w:eastAsia="仿宋" w:cs="仿宋"/>
          <w:color w:val="auto"/>
          <w:sz w:val="24"/>
          <w:highlight w:val="none"/>
        </w:rPr>
      </w:pPr>
      <w:r>
        <w:rPr>
          <w:rFonts w:hint="eastAsia" w:ascii="仿宋" w:hAnsi="仿宋" w:eastAsia="仿宋" w:cs="仿宋"/>
          <w:color w:val="auto"/>
          <w:kern w:val="2"/>
          <w:sz w:val="24"/>
          <w:szCs w:val="24"/>
          <w:lang w:val="en-US" w:eastAsia="zh-CN" w:bidi="ar-SA"/>
        </w:rPr>
        <w:t>1.1</w:t>
      </w:r>
      <w:r>
        <w:rPr>
          <w:rFonts w:hint="eastAsia" w:ascii="仿宋" w:hAnsi="仿宋" w:eastAsia="仿宋" w:cs="仿宋"/>
          <w:color w:val="auto"/>
          <w:sz w:val="24"/>
          <w:highlight w:val="none"/>
        </w:rPr>
        <w:t xml:space="preserve">    采购人：是指依法开展政府采购活动的国家机关、事业单位、团体组织。</w:t>
      </w:r>
    </w:p>
    <w:p w14:paraId="076894D6">
      <w:pPr>
        <w:pageBreakBefore w:val="0"/>
        <w:widowControl w:val="0"/>
        <w:tabs>
          <w:tab w:val="left" w:pos="0"/>
        </w:tabs>
        <w:kinsoku/>
        <w:wordWrap/>
        <w:overflowPunct/>
        <w:topLinePunct w:val="0"/>
        <w:bidi w:val="0"/>
        <w:snapToGrid/>
        <w:spacing w:line="240" w:lineRule="auto"/>
        <w:ind w:left="9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14:paraId="79A74543">
      <w:pPr>
        <w:pageBreakBefore w:val="0"/>
        <w:widowControl w:val="0"/>
        <w:numPr>
          <w:ilvl w:val="1"/>
          <w:numId w:val="0"/>
        </w:numPr>
        <w:tabs>
          <w:tab w:val="left" w:pos="0"/>
        </w:tabs>
        <w:kinsoku/>
        <w:wordWrap/>
        <w:overflowPunct/>
        <w:topLinePunct w:val="0"/>
        <w:bidi w:val="0"/>
        <w:snapToGrid/>
        <w:spacing w:line="240" w:lineRule="auto"/>
        <w:ind w:left="900" w:leftChars="0" w:hanging="898" w:firstLineChars="0"/>
        <w:textAlignment w:val="auto"/>
        <w:rPr>
          <w:rFonts w:ascii="仿宋" w:hAnsi="仿宋" w:eastAsia="仿宋" w:cs="仿宋"/>
          <w:color w:val="auto"/>
          <w:sz w:val="24"/>
          <w:highlight w:val="none"/>
        </w:rPr>
      </w:pPr>
      <w:r>
        <w:rPr>
          <w:rFonts w:hint="eastAsia" w:ascii="仿宋" w:hAnsi="仿宋" w:eastAsia="仿宋" w:cs="仿宋"/>
          <w:color w:val="auto"/>
          <w:kern w:val="2"/>
          <w:sz w:val="24"/>
          <w:szCs w:val="24"/>
          <w:lang w:val="en-US" w:eastAsia="zh-CN" w:bidi="ar-SA"/>
        </w:rPr>
        <w:t>1.2</w:t>
      </w:r>
      <w:r>
        <w:rPr>
          <w:rFonts w:hint="eastAsia" w:ascii="仿宋" w:hAnsi="仿宋" w:eastAsia="仿宋" w:cs="仿宋"/>
          <w:color w:val="auto"/>
          <w:sz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14:paraId="459AA9ED">
      <w:pPr>
        <w:pageBreakBefore w:val="0"/>
        <w:widowControl w:val="0"/>
        <w:numPr>
          <w:ilvl w:val="1"/>
          <w:numId w:val="0"/>
        </w:numPr>
        <w:kinsoku/>
        <w:wordWrap/>
        <w:overflowPunct/>
        <w:topLinePunct w:val="0"/>
        <w:bidi w:val="0"/>
        <w:snapToGrid/>
        <w:spacing w:line="240" w:lineRule="auto"/>
        <w:ind w:left="900" w:leftChars="0" w:hanging="900" w:hangingChars="375"/>
        <w:textAlignment w:val="auto"/>
        <w:rPr>
          <w:rFonts w:ascii="仿宋" w:hAnsi="仿宋" w:eastAsia="仿宋" w:cs="仿宋"/>
          <w:color w:val="auto"/>
          <w:sz w:val="24"/>
          <w:highlight w:val="none"/>
        </w:rPr>
      </w:pPr>
      <w:r>
        <w:rPr>
          <w:rFonts w:hint="eastAsia" w:ascii="仿宋" w:hAnsi="仿宋" w:eastAsia="仿宋" w:cs="仿宋"/>
          <w:color w:val="auto"/>
          <w:kern w:val="2"/>
          <w:sz w:val="24"/>
          <w:szCs w:val="24"/>
          <w:lang w:val="en-US" w:eastAsia="zh-CN" w:bidi="ar-SA"/>
        </w:rPr>
        <w:t>1.3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：是指向采购人提供</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、工程或者服务的法人、非法人组织或者自然人。本项目的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及其投标</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须满足以下条件：</w:t>
      </w:r>
    </w:p>
    <w:p w14:paraId="06C7CDCE">
      <w:pPr>
        <w:pageBreakBefore w:val="0"/>
        <w:widowControl w:val="0"/>
        <w:kinsoku/>
        <w:wordWrap/>
        <w:overflowPunct/>
        <w:topLinePunct w:val="0"/>
        <w:bidi w:val="0"/>
        <w:snapToGrid/>
        <w:spacing w:line="240" w:lineRule="auto"/>
        <w:ind w:left="850" w:hanging="849" w:hangingChars="354"/>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4B4E7D58">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条件的规定，遵守本项目采购人本级和上级财政部门政府采购的有关规定。</w:t>
      </w:r>
    </w:p>
    <w:p w14:paraId="0B2A3071">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w:t>
      </w:r>
    </w:p>
    <w:p w14:paraId="2D9553BC">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中规定的其他要求。</w:t>
      </w:r>
    </w:p>
    <w:p w14:paraId="190CFAE0">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中写明允许采购进口产品，</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应保证所投产品可履行合法报通关手续进入中国关境内。</w:t>
      </w:r>
    </w:p>
    <w:p w14:paraId="23915687">
      <w:pPr>
        <w:pageBreakBefore w:val="0"/>
        <w:widowControl w:val="0"/>
        <w:kinsoku/>
        <w:wordWrap/>
        <w:overflowPunct/>
        <w:topLinePunct w:val="0"/>
        <w:bidi w:val="0"/>
        <w:snapToGrid/>
        <w:spacing w:line="240" w:lineRule="auto"/>
        <w:ind w:left="898" w:leftChars="428"/>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中未写明允许采购进口产品，如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8A6C3CF">
      <w:pPr>
        <w:pageBreakBefore w:val="0"/>
        <w:widowControl w:val="0"/>
        <w:kinsoku/>
        <w:wordWrap/>
        <w:overflowPunct/>
        <w:topLinePunct w:val="0"/>
        <w:bidi w:val="0"/>
        <w:snapToGrid/>
        <w:spacing w:line="240" w:lineRule="auto"/>
        <w:ind w:left="840" w:hanging="840" w:hangingChars="3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1.3.6  若</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中写明专门面向中小企业采购的，如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8313170">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中允许联合体投标，对联合体规定如下：</w:t>
      </w:r>
    </w:p>
    <w:p w14:paraId="7233F2E8">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1.4.1   两个以上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可以组成一个投标联合体，以一个</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的身份投标。</w:t>
      </w:r>
    </w:p>
    <w:p w14:paraId="053A3145">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793A98D7">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的特殊要求，联合体中至少应当有一方符合相关规定。</w:t>
      </w:r>
    </w:p>
    <w:p w14:paraId="58E4D1E3">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文件第一部分的内容提交。</w:t>
      </w:r>
    </w:p>
    <w:p w14:paraId="62ED377A">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CA57608">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1.4.6  联合体中有同类资质的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按照联合体分工承担相同工作的，按照较低的资质等级确定联合体的资质等级。</w:t>
      </w:r>
    </w:p>
    <w:p w14:paraId="07DC6557">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1.4.7  以联合体形式参加政府采购活动的，联合体各方不得再单独参加或者与其他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0272D03">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14:paraId="4AC21D54">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B502C0">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D5B77E2">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0A09000">
      <w:pPr>
        <w:pStyle w:val="4"/>
        <w:pageBreakBefore w:val="0"/>
        <w:widowControl w:val="0"/>
        <w:kinsoku/>
        <w:wordWrap/>
        <w:overflowPunct/>
        <w:topLinePunct w:val="0"/>
        <w:bidi w:val="0"/>
        <w:snapToGrid/>
        <w:spacing w:before="0" w:after="0" w:line="240" w:lineRule="auto"/>
        <w:ind w:left="0" w:leftChars="0" w:firstLine="0" w:firstLineChars="0"/>
        <w:textAlignment w:val="auto"/>
        <w:rPr>
          <w:rFonts w:ascii="仿宋" w:hAnsi="仿宋" w:eastAsia="仿宋" w:cs="仿宋"/>
          <w:color w:val="auto"/>
          <w:highlight w:val="none"/>
          <w:u w:val="none"/>
        </w:rPr>
      </w:pPr>
      <w:bookmarkStart w:id="31" w:name="_Toc12139"/>
      <w:bookmarkStart w:id="32" w:name="_Toc5286"/>
      <w:bookmarkStart w:id="33" w:name="_Toc515647759"/>
      <w:bookmarkStart w:id="34" w:name="_Toc15646"/>
      <w:bookmarkStart w:id="35" w:name="_Toc5884"/>
      <w:r>
        <w:rPr>
          <w:rFonts w:hint="eastAsia" w:ascii="仿宋" w:hAnsi="仿宋" w:eastAsia="仿宋" w:cs="仿宋"/>
          <w:color w:val="auto"/>
          <w:highlight w:val="none"/>
          <w:u w:val="none"/>
        </w:rPr>
        <w:t>2.资金来源</w:t>
      </w:r>
      <w:bookmarkEnd w:id="31"/>
      <w:bookmarkEnd w:id="32"/>
      <w:bookmarkEnd w:id="33"/>
      <w:bookmarkEnd w:id="34"/>
      <w:bookmarkEnd w:id="35"/>
    </w:p>
    <w:p w14:paraId="2BBD0D6F">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本项目的采购人已获得足以支付本次招标后所签订的合同项下的资金（包括财政性资金和本项目采购中无法与财政性资金分割的非财政性资金）。</w:t>
      </w:r>
    </w:p>
    <w:p w14:paraId="75A799BB">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    项目预算金额和分项或分包最高限价</w:t>
      </w:r>
      <w:r>
        <w:rPr>
          <w:rFonts w:hint="eastAsia" w:ascii="仿宋" w:hAnsi="仿宋" w:eastAsia="仿宋" w:cs="仿宋"/>
          <w:color w:val="auto"/>
          <w:sz w:val="24"/>
          <w:highlight w:val="none"/>
          <w:u w:val="single"/>
        </w:rPr>
        <w:t>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14:paraId="5DB0F47C">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报价超过</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0A7951B">
      <w:pPr>
        <w:pStyle w:val="4"/>
        <w:pageBreakBefore w:val="0"/>
        <w:widowControl w:val="0"/>
        <w:kinsoku/>
        <w:wordWrap/>
        <w:overflowPunct/>
        <w:topLinePunct w:val="0"/>
        <w:bidi w:val="0"/>
        <w:snapToGrid/>
        <w:spacing w:before="0" w:after="0" w:line="240" w:lineRule="auto"/>
        <w:ind w:left="0" w:leftChars="0" w:firstLine="0" w:firstLineChars="0"/>
        <w:textAlignment w:val="auto"/>
        <w:rPr>
          <w:rFonts w:ascii="仿宋" w:hAnsi="仿宋" w:eastAsia="仿宋" w:cs="仿宋"/>
          <w:color w:val="auto"/>
          <w:highlight w:val="none"/>
          <w:u w:val="none"/>
        </w:rPr>
      </w:pPr>
      <w:bookmarkStart w:id="36" w:name="_Toc6461"/>
      <w:bookmarkStart w:id="37" w:name="_Toc515647760"/>
      <w:bookmarkStart w:id="38" w:name="_Toc20526"/>
      <w:bookmarkStart w:id="39" w:name="_Toc15936"/>
      <w:bookmarkStart w:id="40" w:name="_Toc520356145"/>
      <w:bookmarkStart w:id="41" w:name="_Toc24002"/>
      <w:r>
        <w:rPr>
          <w:rFonts w:hint="eastAsia" w:ascii="仿宋" w:hAnsi="仿宋" w:eastAsia="仿宋" w:cs="仿宋"/>
          <w:color w:val="auto"/>
          <w:highlight w:val="none"/>
          <w:u w:val="none"/>
        </w:rPr>
        <w:t>3.</w:t>
      </w:r>
      <w:r>
        <w:rPr>
          <w:rFonts w:hint="eastAsia" w:ascii="仿宋" w:hAnsi="仿宋" w:eastAsia="仿宋" w:cs="仿宋"/>
          <w:color w:val="auto"/>
          <w:highlight w:val="none"/>
          <w:u w:val="none"/>
          <w:lang w:eastAsia="zh-CN"/>
        </w:rPr>
        <w:t>磋商</w:t>
      </w:r>
      <w:r>
        <w:rPr>
          <w:rFonts w:hint="eastAsia" w:ascii="仿宋" w:hAnsi="仿宋" w:eastAsia="仿宋" w:cs="仿宋"/>
          <w:color w:val="auto"/>
          <w:highlight w:val="none"/>
          <w:u w:val="none"/>
        </w:rPr>
        <w:t>费用</w:t>
      </w:r>
      <w:bookmarkEnd w:id="36"/>
      <w:bookmarkEnd w:id="37"/>
      <w:bookmarkEnd w:id="38"/>
      <w:bookmarkEnd w:id="39"/>
      <w:bookmarkEnd w:id="40"/>
      <w:bookmarkEnd w:id="41"/>
    </w:p>
    <w:p w14:paraId="38A7C674">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的结果如何，</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应承担所有与准备和参加</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有关的费用。</w:t>
      </w:r>
    </w:p>
    <w:p w14:paraId="702BCDB9">
      <w:pPr>
        <w:pStyle w:val="4"/>
        <w:pageBreakBefore w:val="0"/>
        <w:widowControl w:val="0"/>
        <w:kinsoku/>
        <w:wordWrap/>
        <w:overflowPunct/>
        <w:topLinePunct w:val="0"/>
        <w:bidi w:val="0"/>
        <w:snapToGrid/>
        <w:spacing w:before="0" w:after="0" w:line="240" w:lineRule="auto"/>
        <w:ind w:left="0" w:leftChars="0" w:firstLine="0" w:firstLineChars="0"/>
        <w:textAlignment w:val="auto"/>
        <w:rPr>
          <w:rFonts w:ascii="仿宋" w:hAnsi="仿宋" w:eastAsia="仿宋" w:cs="仿宋"/>
          <w:color w:val="auto"/>
          <w:highlight w:val="none"/>
          <w:u w:val="none"/>
        </w:rPr>
      </w:pPr>
      <w:bookmarkStart w:id="42" w:name="_Toc22541"/>
      <w:bookmarkStart w:id="43" w:name="_Toc6116"/>
      <w:bookmarkStart w:id="44" w:name="_Toc22799"/>
      <w:bookmarkStart w:id="45" w:name="_Toc515647761"/>
      <w:bookmarkStart w:id="46" w:name="_Toc4463"/>
      <w:r>
        <w:rPr>
          <w:rFonts w:hint="eastAsia" w:ascii="仿宋" w:hAnsi="仿宋" w:eastAsia="仿宋" w:cs="仿宋"/>
          <w:color w:val="auto"/>
          <w:highlight w:val="none"/>
          <w:u w:val="none"/>
        </w:rPr>
        <w:t>4.适用法律</w:t>
      </w:r>
      <w:bookmarkEnd w:id="42"/>
      <w:bookmarkEnd w:id="43"/>
      <w:bookmarkEnd w:id="44"/>
      <w:bookmarkEnd w:id="45"/>
      <w:bookmarkEnd w:id="46"/>
    </w:p>
    <w:p w14:paraId="4B87D0DA">
      <w:pPr>
        <w:pageBreakBefore w:val="0"/>
        <w:widowControl w:val="0"/>
        <w:kinsoku/>
        <w:wordWrap/>
        <w:overflowPunct/>
        <w:topLinePunct w:val="0"/>
        <w:bidi w:val="0"/>
        <w:snapToGrid/>
        <w:spacing w:line="240" w:lineRule="auto"/>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本项目采购人、采购代理机构、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评标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4D740E63">
      <w:pPr>
        <w:spacing w:line="240" w:lineRule="atLeast"/>
        <w:ind w:left="900" w:hanging="900" w:hangingChars="375"/>
        <w:rPr>
          <w:rFonts w:ascii="仿宋" w:hAnsi="仿宋" w:eastAsia="仿宋" w:cs="仿宋"/>
          <w:color w:val="auto"/>
          <w:sz w:val="24"/>
          <w:highlight w:val="none"/>
        </w:rPr>
      </w:pPr>
    </w:p>
    <w:p w14:paraId="22AD5C0F">
      <w:pPr>
        <w:spacing w:line="240" w:lineRule="atLeast"/>
        <w:rPr>
          <w:rFonts w:ascii="仿宋" w:hAnsi="仿宋" w:eastAsia="仿宋" w:cs="仿宋"/>
          <w:color w:val="auto"/>
          <w:sz w:val="24"/>
          <w:highlight w:val="none"/>
        </w:rPr>
      </w:pPr>
    </w:p>
    <w:p w14:paraId="3A7F54B2">
      <w:pPr>
        <w:pStyle w:val="3"/>
        <w:spacing w:before="0" w:line="240" w:lineRule="atLeast"/>
        <w:ind w:left="1079" w:leftChars="257" w:hanging="540"/>
        <w:rPr>
          <w:rFonts w:ascii="仿宋" w:hAnsi="仿宋" w:eastAsia="仿宋" w:cs="仿宋"/>
          <w:color w:val="auto"/>
          <w:sz w:val="28"/>
          <w:highlight w:val="none"/>
        </w:rPr>
      </w:pPr>
      <w:bookmarkStart w:id="47" w:name="_Toc216582806"/>
      <w:bookmarkStart w:id="48" w:name="_Toc4365"/>
      <w:bookmarkStart w:id="49" w:name="_Toc520356146"/>
      <w:bookmarkStart w:id="50" w:name="_Toc21566"/>
      <w:bookmarkStart w:id="51" w:name="_Toc515647762"/>
      <w:bookmarkStart w:id="52" w:name="_Toc7495"/>
      <w:bookmarkStart w:id="53" w:name="_Toc19254"/>
      <w:r>
        <w:rPr>
          <w:rFonts w:hint="eastAsia" w:ascii="仿宋" w:hAnsi="仿宋" w:eastAsia="仿宋" w:cs="仿宋"/>
          <w:color w:val="auto"/>
          <w:sz w:val="28"/>
          <w:highlight w:val="none"/>
        </w:rPr>
        <w:t xml:space="preserve">二   </w:t>
      </w:r>
      <w:bookmarkEnd w:id="47"/>
      <w:bookmarkEnd w:id="48"/>
      <w:bookmarkEnd w:id="49"/>
      <w:bookmarkEnd w:id="50"/>
      <w:bookmarkEnd w:id="51"/>
      <w:r>
        <w:rPr>
          <w:rFonts w:hint="eastAsia" w:ascii="仿宋" w:hAnsi="仿宋" w:eastAsia="仿宋" w:cs="仿宋"/>
          <w:color w:val="auto"/>
          <w:sz w:val="28"/>
          <w:highlight w:val="none"/>
        </w:rPr>
        <w:t>磋商文件</w:t>
      </w:r>
      <w:bookmarkEnd w:id="52"/>
      <w:bookmarkEnd w:id="53"/>
    </w:p>
    <w:p w14:paraId="1993B033">
      <w:pPr>
        <w:pStyle w:val="8"/>
        <w:rPr>
          <w:rFonts w:ascii="仿宋" w:hAnsi="仿宋" w:eastAsia="仿宋" w:cs="仿宋"/>
          <w:color w:val="auto"/>
          <w:highlight w:val="none"/>
        </w:rPr>
      </w:pPr>
    </w:p>
    <w:p w14:paraId="79B91AA7">
      <w:pPr>
        <w:pStyle w:val="4"/>
        <w:spacing w:before="0" w:after="0" w:line="240" w:lineRule="auto"/>
        <w:rPr>
          <w:rFonts w:ascii="仿宋" w:hAnsi="仿宋" w:eastAsia="仿宋" w:cs="仿宋"/>
          <w:color w:val="auto"/>
          <w:highlight w:val="none"/>
          <w:u w:val="none"/>
        </w:rPr>
      </w:pPr>
      <w:bookmarkStart w:id="54" w:name="_Toc28765"/>
      <w:bookmarkStart w:id="55" w:name="_Toc515647763"/>
      <w:bookmarkStart w:id="56" w:name="_Toc14084"/>
      <w:bookmarkStart w:id="57" w:name="_Toc520356147"/>
      <w:bookmarkStart w:id="58" w:name="_Toc25743"/>
      <w:r>
        <w:rPr>
          <w:rFonts w:hint="eastAsia" w:ascii="仿宋" w:hAnsi="仿宋" w:eastAsia="仿宋" w:cs="仿宋"/>
          <w:color w:val="auto"/>
          <w:highlight w:val="none"/>
          <w:u w:val="none"/>
        </w:rPr>
        <w:t>5.磋商文件构成</w:t>
      </w:r>
      <w:bookmarkEnd w:id="54"/>
      <w:bookmarkEnd w:id="55"/>
      <w:bookmarkEnd w:id="56"/>
      <w:bookmarkEnd w:id="57"/>
      <w:bookmarkEnd w:id="58"/>
    </w:p>
    <w:p w14:paraId="624E9ECA">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200422B3">
      <w:pPr>
        <w:spacing w:line="240" w:lineRule="auto"/>
        <w:ind w:left="1078" w:leftChars="428" w:hanging="180" w:hangingChars="75"/>
        <w:rPr>
          <w:rFonts w:ascii="仿宋" w:hAnsi="仿宋" w:eastAsia="仿宋" w:cs="仿宋"/>
          <w:color w:val="auto"/>
          <w:sz w:val="24"/>
          <w:highlight w:val="none"/>
        </w:rPr>
      </w:pPr>
      <w:r>
        <w:rPr>
          <w:rFonts w:hint="eastAsia" w:ascii="仿宋" w:hAnsi="仿宋" w:eastAsia="仿宋" w:cs="仿宋"/>
          <w:color w:val="auto"/>
          <w:sz w:val="24"/>
          <w:highlight w:val="none"/>
        </w:rPr>
        <w:t>第一册</w:t>
      </w:r>
    </w:p>
    <w:p w14:paraId="7E1576E1">
      <w:pPr>
        <w:numPr>
          <w:ilvl w:val="0"/>
          <w:numId w:val="2"/>
        </w:numPr>
        <w:tabs>
          <w:tab w:val="left" w:pos="0"/>
        </w:tabs>
        <w:spacing w:line="240" w:lineRule="auto"/>
        <w:ind w:hanging="829"/>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18BCCEFF">
      <w:pPr>
        <w:numPr>
          <w:ilvl w:val="0"/>
          <w:numId w:val="2"/>
        </w:numPr>
        <w:spacing w:line="240" w:lineRule="auto"/>
        <w:ind w:left="1080" w:leftChars="429" w:hanging="180"/>
        <w:rPr>
          <w:rFonts w:ascii="仿宋" w:hAnsi="仿宋" w:eastAsia="仿宋" w:cs="仿宋"/>
          <w:color w:val="auto"/>
          <w:sz w:val="24"/>
          <w:highlight w:val="none"/>
        </w:rPr>
      </w:pPr>
      <w:r>
        <w:rPr>
          <w:rFonts w:hint="eastAsia" w:ascii="仿宋" w:hAnsi="仿宋" w:eastAsia="仿宋" w:cs="仿宋"/>
          <w:color w:val="auto"/>
          <w:sz w:val="24"/>
          <w:highlight w:val="none"/>
        </w:rPr>
        <w:t xml:space="preserve"> 磋商文件格式</w:t>
      </w:r>
    </w:p>
    <w:p w14:paraId="015DC97B">
      <w:pPr>
        <w:spacing w:line="240" w:lineRule="auto"/>
        <w:ind w:left="1080" w:leftChars="429" w:hanging="180"/>
        <w:rPr>
          <w:rFonts w:ascii="仿宋" w:hAnsi="仿宋" w:eastAsia="仿宋" w:cs="仿宋"/>
          <w:color w:val="auto"/>
          <w:sz w:val="24"/>
          <w:highlight w:val="none"/>
        </w:rPr>
      </w:pPr>
      <w:r>
        <w:rPr>
          <w:rFonts w:hint="eastAsia" w:ascii="仿宋" w:hAnsi="仿宋" w:eastAsia="仿宋" w:cs="仿宋"/>
          <w:color w:val="auto"/>
          <w:sz w:val="24"/>
          <w:highlight w:val="none"/>
        </w:rPr>
        <w:t>第二册</w:t>
      </w:r>
    </w:p>
    <w:p w14:paraId="0A25E6C0">
      <w:pPr>
        <w:numPr>
          <w:ilvl w:val="0"/>
          <w:numId w:val="2"/>
        </w:numPr>
        <w:spacing w:line="240" w:lineRule="auto"/>
        <w:ind w:left="1080" w:leftChars="429" w:hanging="180"/>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投标邀请</w:t>
      </w:r>
    </w:p>
    <w:p w14:paraId="50C41536">
      <w:pPr>
        <w:numPr>
          <w:ilvl w:val="0"/>
          <w:numId w:val="2"/>
        </w:numPr>
        <w:spacing w:line="240" w:lineRule="auto"/>
        <w:ind w:left="1080" w:leftChars="429" w:hanging="18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7CC6DAAF">
      <w:pPr>
        <w:numPr>
          <w:ilvl w:val="0"/>
          <w:numId w:val="2"/>
        </w:numPr>
        <w:spacing w:line="240" w:lineRule="auto"/>
        <w:ind w:left="1080" w:leftChars="429" w:hanging="18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val="0"/>
          <w:bCs w:val="0"/>
          <w:color w:val="auto"/>
          <w:sz w:val="24"/>
          <w:highlight w:val="none"/>
          <w:lang w:val="en-US" w:eastAsia="zh-CN"/>
        </w:rPr>
        <w:t>采购需求</w:t>
      </w:r>
    </w:p>
    <w:p w14:paraId="3315A4CB">
      <w:pPr>
        <w:numPr>
          <w:ilvl w:val="0"/>
          <w:numId w:val="2"/>
        </w:numPr>
        <w:spacing w:line="240" w:lineRule="auto"/>
        <w:ind w:left="1080" w:leftChars="429" w:hanging="180"/>
        <w:rPr>
          <w:rFonts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17E1C84A">
      <w:pPr>
        <w:spacing w:line="240" w:lineRule="auto"/>
        <w:ind w:left="901"/>
        <w:rPr>
          <w:rFonts w:ascii="仿宋" w:hAnsi="仿宋" w:eastAsia="仿宋" w:cs="仿宋"/>
          <w:color w:val="auto"/>
          <w:sz w:val="24"/>
          <w:highlight w:val="none"/>
        </w:rPr>
      </w:pPr>
      <w:r>
        <w:rPr>
          <w:rFonts w:hint="eastAsia" w:ascii="仿宋" w:hAnsi="仿宋" w:eastAsia="仿宋" w:cs="仿宋"/>
          <w:color w:val="auto"/>
          <w:sz w:val="24"/>
          <w:highlight w:val="none"/>
        </w:rPr>
        <w:t>第三册</w:t>
      </w:r>
    </w:p>
    <w:p w14:paraId="2C29542A">
      <w:pPr>
        <w:numPr>
          <w:ilvl w:val="0"/>
          <w:numId w:val="2"/>
        </w:numPr>
        <w:spacing w:line="240" w:lineRule="auto"/>
        <w:ind w:left="718" w:leftChars="342"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7EC1FA3E">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20996999">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响应无效</w:t>
      </w:r>
      <w:r>
        <w:rPr>
          <w:rFonts w:hint="eastAsia" w:ascii="仿宋" w:hAnsi="仿宋" w:eastAsia="仿宋" w:cs="仿宋"/>
          <w:color w:val="auto"/>
          <w:sz w:val="24"/>
          <w:highlight w:val="none"/>
        </w:rPr>
        <w:t>。</w:t>
      </w:r>
    </w:p>
    <w:p w14:paraId="2655AF2A">
      <w:pPr>
        <w:pStyle w:val="4"/>
        <w:spacing w:before="0" w:after="0" w:line="240" w:lineRule="auto"/>
        <w:rPr>
          <w:rFonts w:ascii="仿宋" w:hAnsi="仿宋" w:eastAsia="仿宋" w:cs="仿宋"/>
          <w:color w:val="auto"/>
          <w:highlight w:val="none"/>
          <w:u w:val="none"/>
        </w:rPr>
      </w:pPr>
      <w:bookmarkStart w:id="59" w:name="_Toc515904805"/>
      <w:bookmarkStart w:id="60" w:name="_Toc520356148"/>
      <w:bookmarkStart w:id="61" w:name="_Toc26044"/>
      <w:bookmarkStart w:id="62" w:name="_Toc19703"/>
      <w:bookmarkStart w:id="63" w:name="_Toc9232"/>
      <w:r>
        <w:rPr>
          <w:rFonts w:hint="eastAsia" w:ascii="仿宋" w:hAnsi="仿宋" w:eastAsia="仿宋" w:cs="仿宋"/>
          <w:color w:val="auto"/>
          <w:highlight w:val="none"/>
          <w:u w:val="none"/>
        </w:rPr>
        <w:t>6.磋商文件的澄清</w:t>
      </w:r>
      <w:bookmarkEnd w:id="59"/>
      <w:bookmarkEnd w:id="60"/>
      <w:r>
        <w:rPr>
          <w:rFonts w:hint="eastAsia" w:ascii="仿宋" w:hAnsi="仿宋" w:eastAsia="仿宋" w:cs="仿宋"/>
          <w:color w:val="auto"/>
          <w:highlight w:val="none"/>
          <w:u w:val="none"/>
        </w:rPr>
        <w:t>与修改</w:t>
      </w:r>
      <w:bookmarkEnd w:id="61"/>
      <w:bookmarkEnd w:id="62"/>
      <w:bookmarkEnd w:id="63"/>
    </w:p>
    <w:p w14:paraId="5EDB42FD">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529851E3">
      <w:pPr>
        <w:spacing w:line="240" w:lineRule="auto"/>
        <w:ind w:left="900" w:hanging="900" w:hangingChars="375"/>
        <w:rPr>
          <w:rFonts w:ascii="仿宋" w:hAnsi="仿宋" w:eastAsia="仿宋" w:cs="仿宋"/>
          <w:color w:val="auto"/>
          <w:sz w:val="24"/>
          <w:highlight w:val="none"/>
        </w:rPr>
      </w:pPr>
      <w:bookmarkStart w:id="64" w:name="_Toc515904806"/>
      <w:bookmarkStart w:id="65" w:name="_Toc520356149"/>
      <w:bookmarkStart w:id="66" w:name="_Ref467378678"/>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53C249F0">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形式通知所有购买磋商文件的潜在供应商，并对其具有约束力。供应商在收到上述通知后，应及时向采购代理机构回函确认。</w:t>
      </w:r>
    </w:p>
    <w:p w14:paraId="37D3F01D">
      <w:pPr>
        <w:spacing w:line="240" w:lineRule="auto"/>
        <w:ind w:left="904" w:hanging="900" w:hangingChars="375"/>
        <w:outlineLvl w:val="1"/>
        <w:rPr>
          <w:rFonts w:ascii="仿宋" w:hAnsi="仿宋" w:eastAsia="仿宋" w:cs="仿宋"/>
          <w:b/>
          <w:bCs/>
          <w:color w:val="auto"/>
          <w:sz w:val="24"/>
          <w:highlight w:val="none"/>
        </w:rPr>
      </w:pPr>
      <w:bookmarkStart w:id="67" w:name="_Toc14569"/>
      <w:bookmarkStart w:id="68" w:name="_Toc17277"/>
      <w:bookmarkStart w:id="69" w:name="_Toc25635"/>
      <w:bookmarkStart w:id="70" w:name="_Toc29184"/>
      <w:bookmarkStart w:id="71" w:name="_Toc26922"/>
      <w:bookmarkStart w:id="72" w:name="_Toc11692"/>
      <w:r>
        <w:rPr>
          <w:rFonts w:hint="eastAsia" w:ascii="仿宋" w:hAnsi="仿宋" w:eastAsia="仿宋" w:cs="仿宋"/>
          <w:b/>
          <w:bCs/>
          <w:color w:val="auto"/>
          <w:sz w:val="24"/>
          <w:highlight w:val="none"/>
        </w:rPr>
        <w:t>7</w:t>
      </w:r>
      <w:bookmarkEnd w:id="64"/>
      <w:bookmarkEnd w:id="65"/>
      <w:bookmarkEnd w:id="66"/>
      <w:r>
        <w:rPr>
          <w:rFonts w:hint="eastAsia" w:ascii="仿宋" w:hAnsi="仿宋" w:eastAsia="仿宋" w:cs="仿宋"/>
          <w:b/>
          <w:bCs/>
          <w:color w:val="auto"/>
          <w:sz w:val="24"/>
          <w:highlight w:val="none"/>
        </w:rPr>
        <w:t>.投标截止时间的顺延</w:t>
      </w:r>
      <w:bookmarkEnd w:id="67"/>
      <w:bookmarkEnd w:id="68"/>
      <w:bookmarkEnd w:id="69"/>
      <w:bookmarkEnd w:id="70"/>
      <w:bookmarkEnd w:id="71"/>
      <w:bookmarkEnd w:id="72"/>
    </w:p>
    <w:p w14:paraId="635E1B2B">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62741F8A">
      <w:pPr>
        <w:pStyle w:val="3"/>
        <w:tabs>
          <w:tab w:val="left" w:pos="900"/>
        </w:tabs>
        <w:spacing w:before="0" w:line="240" w:lineRule="atLeast"/>
        <w:ind w:left="1079" w:leftChars="257" w:hanging="540"/>
        <w:rPr>
          <w:rFonts w:ascii="仿宋" w:hAnsi="仿宋" w:eastAsia="仿宋" w:cs="仿宋"/>
          <w:color w:val="auto"/>
          <w:sz w:val="28"/>
          <w:highlight w:val="none"/>
        </w:rPr>
      </w:pPr>
      <w:bookmarkStart w:id="73" w:name="_Toc516367020"/>
      <w:bookmarkStart w:id="74" w:name="_Toc7636"/>
      <w:bookmarkStart w:id="75" w:name="_Toc30808"/>
      <w:bookmarkStart w:id="76" w:name="_Toc520356150"/>
      <w:bookmarkStart w:id="77" w:name="_Toc216582807"/>
      <w:bookmarkStart w:id="78" w:name="_Toc4484"/>
      <w:bookmarkStart w:id="79" w:name="_Toc31743"/>
      <w:bookmarkStart w:id="80" w:name="_Toc515647766"/>
      <w:r>
        <w:rPr>
          <w:rFonts w:hint="eastAsia" w:ascii="仿宋" w:hAnsi="仿宋" w:eastAsia="仿宋" w:cs="仿宋"/>
          <w:color w:val="auto"/>
          <w:sz w:val="28"/>
          <w:highlight w:val="none"/>
        </w:rPr>
        <w:t xml:space="preserve">三   </w:t>
      </w:r>
      <w:bookmarkEnd w:id="73"/>
      <w:r>
        <w:rPr>
          <w:rFonts w:hint="eastAsia" w:ascii="仿宋" w:hAnsi="仿宋" w:eastAsia="仿宋" w:cs="仿宋"/>
          <w:color w:val="auto"/>
          <w:sz w:val="28"/>
          <w:highlight w:val="none"/>
        </w:rPr>
        <w:t>磋商文件的编制</w:t>
      </w:r>
      <w:bookmarkEnd w:id="74"/>
      <w:bookmarkEnd w:id="75"/>
      <w:bookmarkEnd w:id="76"/>
      <w:bookmarkEnd w:id="77"/>
      <w:bookmarkEnd w:id="78"/>
      <w:bookmarkEnd w:id="79"/>
      <w:bookmarkEnd w:id="80"/>
    </w:p>
    <w:p w14:paraId="57C4E509">
      <w:pPr>
        <w:pStyle w:val="8"/>
        <w:rPr>
          <w:rFonts w:ascii="仿宋" w:hAnsi="仿宋" w:eastAsia="仿宋" w:cs="仿宋"/>
          <w:color w:val="auto"/>
          <w:highlight w:val="none"/>
        </w:rPr>
      </w:pPr>
    </w:p>
    <w:p w14:paraId="32B28B5F">
      <w:pPr>
        <w:pStyle w:val="4"/>
        <w:tabs>
          <w:tab w:val="left" w:pos="900"/>
        </w:tabs>
        <w:spacing w:before="0" w:after="0" w:line="240" w:lineRule="auto"/>
        <w:rPr>
          <w:rFonts w:ascii="仿宋" w:hAnsi="仿宋" w:eastAsia="仿宋" w:cs="仿宋"/>
          <w:color w:val="auto"/>
          <w:highlight w:val="none"/>
          <w:u w:val="none"/>
        </w:rPr>
      </w:pPr>
      <w:bookmarkStart w:id="81" w:name="_Toc516367021"/>
      <w:bookmarkStart w:id="82" w:name="_Toc520356151"/>
      <w:bookmarkStart w:id="83" w:name="_Toc3553"/>
      <w:bookmarkStart w:id="84" w:name="_Toc515647767"/>
      <w:bookmarkStart w:id="85" w:name="_Toc7786"/>
      <w:bookmarkStart w:id="86" w:name="_Toc21732"/>
      <w:r>
        <w:rPr>
          <w:rFonts w:hint="eastAsia" w:ascii="仿宋" w:hAnsi="仿宋" w:eastAsia="仿宋" w:cs="仿宋"/>
          <w:color w:val="auto"/>
          <w:highlight w:val="none"/>
          <w:u w:val="none"/>
        </w:rPr>
        <w:t>8.投标范围及磋商文件成交标准和计量单位的使用</w:t>
      </w:r>
      <w:bookmarkEnd w:id="81"/>
      <w:bookmarkEnd w:id="82"/>
      <w:bookmarkEnd w:id="83"/>
      <w:bookmarkEnd w:id="84"/>
      <w:bookmarkEnd w:id="85"/>
      <w:bookmarkEnd w:id="86"/>
    </w:p>
    <w:p w14:paraId="227292A8">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3A85823F">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响应无效</w:t>
      </w:r>
      <w:r>
        <w:rPr>
          <w:rFonts w:hint="eastAsia" w:ascii="仿宋" w:hAnsi="仿宋" w:eastAsia="仿宋" w:cs="仿宋"/>
          <w:color w:val="auto"/>
          <w:sz w:val="24"/>
          <w:highlight w:val="none"/>
        </w:rPr>
        <w:t>。</w:t>
      </w:r>
    </w:p>
    <w:p w14:paraId="4A25FF75">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8.3    无论磋商文件第5章</w:t>
      </w:r>
      <w:r>
        <w:rPr>
          <w:rFonts w:hint="eastAsia" w:ascii="仿宋" w:hAnsi="仿宋" w:eastAsia="仿宋" w:cs="仿宋"/>
          <w:color w:val="auto"/>
          <w:sz w:val="24"/>
          <w:highlight w:val="none"/>
          <w:lang w:val="en-US" w:eastAsia="zh-CN"/>
        </w:rPr>
        <w:t>服务需求一览表</w:t>
      </w:r>
      <w:r>
        <w:rPr>
          <w:rFonts w:hint="eastAsia" w:ascii="仿宋" w:hAnsi="仿宋" w:eastAsia="仿宋" w:cs="仿宋"/>
          <w:color w:val="auto"/>
          <w:sz w:val="24"/>
          <w:highlight w:val="none"/>
        </w:rPr>
        <w:t>中是否要求，供应商所投</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均应符合国家强制性标准。</w:t>
      </w:r>
    </w:p>
    <w:p w14:paraId="21BA9458">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18DEC318">
      <w:pPr>
        <w:pStyle w:val="4"/>
        <w:tabs>
          <w:tab w:val="left" w:pos="900"/>
        </w:tabs>
        <w:spacing w:before="0" w:after="0" w:line="240" w:lineRule="auto"/>
        <w:rPr>
          <w:rFonts w:ascii="仿宋" w:hAnsi="仿宋" w:eastAsia="仿宋" w:cs="仿宋"/>
          <w:color w:val="auto"/>
          <w:highlight w:val="none"/>
          <w:u w:val="none"/>
        </w:rPr>
      </w:pPr>
      <w:bookmarkStart w:id="87" w:name="_Ref467306676"/>
      <w:bookmarkStart w:id="88" w:name="_Toc516367022"/>
      <w:bookmarkStart w:id="89" w:name="_Ref467306195"/>
      <w:bookmarkStart w:id="90" w:name="_Toc515647768"/>
      <w:bookmarkStart w:id="91" w:name="_Toc520356152"/>
      <w:bookmarkStart w:id="92" w:name="_Toc28307"/>
      <w:bookmarkStart w:id="93" w:name="_Toc10364"/>
      <w:bookmarkStart w:id="94" w:name="_Toc32503"/>
      <w:r>
        <w:rPr>
          <w:rFonts w:hint="eastAsia" w:ascii="仿宋" w:hAnsi="仿宋" w:eastAsia="仿宋" w:cs="仿宋"/>
          <w:color w:val="auto"/>
          <w:highlight w:val="none"/>
          <w:u w:val="none"/>
        </w:rPr>
        <w:t>9.</w:t>
      </w:r>
      <w:bookmarkEnd w:id="87"/>
      <w:bookmarkEnd w:id="88"/>
      <w:bookmarkEnd w:id="89"/>
      <w:r>
        <w:rPr>
          <w:rFonts w:hint="eastAsia" w:ascii="仿宋" w:hAnsi="仿宋" w:eastAsia="仿宋" w:cs="仿宋"/>
          <w:color w:val="auto"/>
          <w:highlight w:val="none"/>
          <w:u w:val="none"/>
        </w:rPr>
        <w:t>磋商文件构成</w:t>
      </w:r>
      <w:bookmarkEnd w:id="90"/>
      <w:bookmarkEnd w:id="91"/>
      <w:bookmarkEnd w:id="92"/>
      <w:bookmarkEnd w:id="93"/>
      <w:r>
        <w:rPr>
          <w:rFonts w:hint="eastAsia" w:ascii="仿宋" w:hAnsi="仿宋" w:eastAsia="仿宋" w:cs="仿宋"/>
          <w:color w:val="auto"/>
          <w:highlight w:val="none"/>
          <w:u w:val="none"/>
        </w:rPr>
        <w:t>（后期纸质响应文件要求）</w:t>
      </w:r>
      <w:bookmarkEnd w:id="94"/>
    </w:p>
    <w:p w14:paraId="5B633C06">
      <w:pPr>
        <w:tabs>
          <w:tab w:val="left" w:pos="900"/>
          <w:tab w:val="left" w:pos="5580"/>
        </w:tabs>
        <w:spacing w:line="240" w:lineRule="auto"/>
        <w:ind w:left="960" w:hanging="960" w:hangingChars="400"/>
        <w:jc w:val="left"/>
        <w:rPr>
          <w:rFonts w:ascii="仿宋_GB2312" w:hAnsi="宋体" w:eastAsia="仿宋_GB2312"/>
          <w:b/>
          <w:bCs/>
          <w:iCs/>
          <w:color w:val="auto"/>
          <w:sz w:val="24"/>
          <w:highlight w:val="none"/>
          <w:u w:val="single"/>
        </w:rPr>
      </w:pPr>
      <w:bookmarkStart w:id="95"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rFonts w:hint="eastAsia" w:ascii="仿宋_GB2312" w:hAnsi="宋体" w:eastAsia="仿宋_GB2312"/>
          <w:b/>
          <w:bCs/>
          <w:iCs/>
          <w:color w:val="auto"/>
          <w:sz w:val="24"/>
          <w:highlight w:val="none"/>
          <w:u w:val="single"/>
        </w:rPr>
        <w:t>供应商应完整地按磋商文件提供的磋商文件格式及要求编写响应文件，响应文件应包括“开标一览表及资格证明文件”和“商务及技术文件”两部分。</w:t>
      </w:r>
      <w:r>
        <w:rPr>
          <w:rFonts w:hint="eastAsia" w:ascii="仿宋_GB2312" w:hAnsi="宋体" w:eastAsia="仿宋_GB2312"/>
          <w:b/>
          <w:bCs/>
          <w:iCs/>
          <w:color w:val="auto"/>
          <w:sz w:val="24"/>
          <w:highlight w:val="none"/>
          <w:u w:val="single"/>
          <w:lang w:val="en-US" w:eastAsia="zh-CN"/>
        </w:rPr>
        <w:t>响应文件后期纸版递交要求：</w:t>
      </w:r>
      <w:r>
        <w:rPr>
          <w:rFonts w:hint="eastAsia" w:ascii="仿宋_GB2312" w:hAnsi="宋体" w:eastAsia="仿宋_GB2312"/>
          <w:b/>
          <w:bCs/>
          <w:iCs/>
          <w:color w:val="auto"/>
          <w:sz w:val="24"/>
          <w:highlight w:val="none"/>
          <w:u w:val="single"/>
        </w:rPr>
        <w:t>两部分</w:t>
      </w:r>
      <w:r>
        <w:rPr>
          <w:rFonts w:hint="eastAsia" w:ascii="仿宋_GB2312" w:hAnsi="宋体" w:eastAsia="仿宋_GB2312"/>
          <w:b/>
          <w:bCs/>
          <w:iCs/>
          <w:color w:val="auto"/>
          <w:sz w:val="24"/>
          <w:highlight w:val="none"/>
          <w:u w:val="single"/>
          <w:lang w:val="en-US" w:eastAsia="zh-CN"/>
        </w:rPr>
        <w:t>按电子响应文件下载装订成册</w:t>
      </w:r>
      <w:r>
        <w:rPr>
          <w:rFonts w:hint="eastAsia" w:ascii="仿宋_GB2312" w:hAnsi="宋体" w:eastAsia="仿宋_GB2312"/>
          <w:b/>
          <w:bCs/>
          <w:iCs/>
          <w:color w:val="auto"/>
          <w:sz w:val="24"/>
          <w:highlight w:val="none"/>
          <w:u w:val="single"/>
        </w:rPr>
        <w:t>，密封递交。供应商应承担封装失误产生的任何后果。</w:t>
      </w:r>
    </w:p>
    <w:p w14:paraId="0A9D80A3">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95"/>
    <w:p w14:paraId="107433A7">
      <w:pPr>
        <w:pStyle w:val="4"/>
        <w:tabs>
          <w:tab w:val="left" w:pos="900"/>
        </w:tabs>
        <w:spacing w:before="0" w:after="0" w:line="240" w:lineRule="auto"/>
        <w:rPr>
          <w:rFonts w:ascii="仿宋" w:hAnsi="仿宋" w:eastAsia="仿宋" w:cs="仿宋"/>
          <w:color w:val="auto"/>
          <w:highlight w:val="none"/>
          <w:u w:val="none"/>
        </w:rPr>
      </w:pPr>
      <w:bookmarkStart w:id="96" w:name="_Toc515647769"/>
      <w:bookmarkStart w:id="97" w:name="_Toc26543"/>
      <w:bookmarkStart w:id="98" w:name="_Toc10379"/>
      <w:bookmarkStart w:id="99" w:name="_Toc520356153"/>
      <w:bookmarkStart w:id="100" w:name="_Toc4601"/>
      <w:bookmarkStart w:id="101" w:name="_Toc516367023"/>
      <w:r>
        <w:rPr>
          <w:rFonts w:hint="eastAsia" w:ascii="仿宋" w:hAnsi="仿宋" w:eastAsia="仿宋" w:cs="仿宋"/>
          <w:color w:val="auto"/>
          <w:highlight w:val="none"/>
          <w:u w:val="none"/>
        </w:rPr>
        <w:t>10.证明投标标的的合格性和符合磋商文件规定的技术文件</w:t>
      </w:r>
      <w:bookmarkEnd w:id="96"/>
      <w:bookmarkEnd w:id="97"/>
      <w:bookmarkEnd w:id="98"/>
      <w:bookmarkEnd w:id="99"/>
      <w:bookmarkEnd w:id="100"/>
      <w:bookmarkEnd w:id="101"/>
    </w:p>
    <w:p w14:paraId="7C806395">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3F493161">
      <w:pPr>
        <w:spacing w:line="240" w:lineRule="auto"/>
        <w:ind w:left="900" w:hanging="900" w:hangingChars="375"/>
        <w:rPr>
          <w:rFonts w:ascii="仿宋" w:hAnsi="仿宋" w:eastAsia="仿宋" w:cs="仿宋"/>
          <w:color w:val="auto"/>
          <w:sz w:val="24"/>
          <w:highlight w:val="none"/>
        </w:rPr>
      </w:pPr>
      <w:bookmarkStart w:id="102"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102"/>
      <w:r>
        <w:rPr>
          <w:rFonts w:hint="eastAsia" w:ascii="仿宋" w:hAnsi="仿宋" w:eastAsia="仿宋" w:cs="仿宋"/>
          <w:color w:val="auto"/>
          <w:sz w:val="24"/>
          <w:highlight w:val="none"/>
        </w:rPr>
        <w:t>。</w:t>
      </w:r>
    </w:p>
    <w:p w14:paraId="65E9F7EF">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服务主要技术指标和性能的详细说明</w:t>
      </w:r>
      <w:r>
        <w:rPr>
          <w:rFonts w:hint="eastAsia" w:ascii="仿宋" w:hAnsi="仿宋" w:eastAsia="仿宋" w:cs="仿宋"/>
          <w:color w:val="auto"/>
          <w:sz w:val="24"/>
          <w:highlight w:val="none"/>
        </w:rPr>
        <w:t>；</w:t>
      </w:r>
    </w:p>
    <w:p w14:paraId="2009E9A0">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w:t>
      </w:r>
      <w:r>
        <w:rPr>
          <w:rFonts w:hint="eastAsia" w:ascii="仿宋" w:hAnsi="仿宋" w:eastAsia="仿宋" w:cs="仿宋"/>
          <w:color w:val="auto"/>
          <w:sz w:val="24"/>
          <w:highlight w:val="none"/>
          <w:lang w:val="en-US" w:eastAsia="zh-CN"/>
        </w:rPr>
        <w:t>服务及伴随的设备</w:t>
      </w:r>
      <w:r>
        <w:rPr>
          <w:rFonts w:hint="eastAsia" w:ascii="仿宋" w:hAnsi="仿宋" w:eastAsia="仿宋" w:cs="仿宋"/>
          <w:color w:val="auto"/>
          <w:sz w:val="24"/>
          <w:highlight w:val="none"/>
        </w:rPr>
        <w:t>已对磋商文件的技术规格做出了实质性的响应，或申明与技术规格条文的偏差和例外。</w:t>
      </w:r>
    </w:p>
    <w:p w14:paraId="6D4FF2DA">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10.3</w:t>
      </w:r>
      <w:r>
        <w:rPr>
          <w:rFonts w:hint="eastAsia" w:ascii="仿宋" w:hAnsi="仿宋" w:eastAsia="仿宋" w:cs="仿宋"/>
          <w:color w:val="auto"/>
          <w:sz w:val="24"/>
          <w:highlight w:val="none"/>
        </w:rPr>
        <w:tab/>
      </w:r>
      <w:r>
        <w:rPr>
          <w:rFonts w:hint="eastAsia" w:ascii="仿宋" w:hAnsi="仿宋" w:eastAsia="仿宋" w:cs="仿宋"/>
          <w:b/>
          <w:bCs/>
          <w:color w:val="auto"/>
          <w:sz w:val="24"/>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43873392">
      <w:pPr>
        <w:pStyle w:val="4"/>
        <w:spacing w:before="0" w:after="0" w:line="240" w:lineRule="auto"/>
        <w:rPr>
          <w:rFonts w:ascii="仿宋" w:hAnsi="仿宋" w:eastAsia="仿宋" w:cs="仿宋"/>
          <w:color w:val="auto"/>
          <w:highlight w:val="none"/>
          <w:u w:val="none"/>
        </w:rPr>
      </w:pPr>
      <w:bookmarkStart w:id="103" w:name="_Toc23231"/>
      <w:bookmarkStart w:id="104" w:name="_Toc10530"/>
      <w:bookmarkStart w:id="105" w:name="_Toc2248"/>
      <w:bookmarkStart w:id="106" w:name="_Toc515647770"/>
      <w:bookmarkStart w:id="107" w:name="_Toc520356155"/>
      <w:r>
        <w:rPr>
          <w:rFonts w:hint="eastAsia" w:ascii="仿宋" w:hAnsi="仿宋" w:eastAsia="仿宋" w:cs="仿宋"/>
          <w:color w:val="auto"/>
          <w:highlight w:val="none"/>
          <w:u w:val="none"/>
        </w:rPr>
        <w:t>11.磋商报价</w:t>
      </w:r>
      <w:bookmarkEnd w:id="103"/>
      <w:bookmarkEnd w:id="104"/>
      <w:bookmarkEnd w:id="105"/>
      <w:bookmarkEnd w:id="106"/>
      <w:bookmarkEnd w:id="107"/>
    </w:p>
    <w:p w14:paraId="5592940F">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C870892">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供应商应在投标分项报价表上标明投标服务及相关货物的单价（如适用）和总价，并由法定代表人或其授权代表签署。</w:t>
      </w:r>
    </w:p>
    <w:p w14:paraId="0733D39D">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6CFB5860">
      <w:pPr>
        <w:spacing w:line="240" w:lineRule="auto"/>
        <w:ind w:left="900" w:hanging="900" w:hangingChars="375"/>
        <w:rPr>
          <w:rFonts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58A6D639">
      <w:pPr>
        <w:spacing w:line="240" w:lineRule="auto"/>
        <w:ind w:left="957" w:leftChars="456" w:firstLine="0" w:firstLineChars="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低到高的顺序提出成交候选人，并编写评审报告，将结果通知所有参加磋商的未成交的供应商；</w:t>
      </w:r>
    </w:p>
    <w:p w14:paraId="20031515">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只能有一个投标报价。采购人不接受具有附加条件的报价。</w:t>
      </w:r>
    </w:p>
    <w:p w14:paraId="3532B1DB">
      <w:pPr>
        <w:pStyle w:val="4"/>
        <w:spacing w:before="0" w:after="0" w:line="240" w:lineRule="auto"/>
        <w:rPr>
          <w:rFonts w:hint="eastAsia" w:ascii="仿宋" w:hAnsi="仿宋" w:eastAsia="仿宋" w:cs="仿宋"/>
          <w:color w:val="auto"/>
          <w:highlight w:val="none"/>
          <w:u w:val="none"/>
          <w:lang w:eastAsia="zh-CN"/>
        </w:rPr>
      </w:pPr>
      <w:bookmarkStart w:id="108" w:name="_Toc8358"/>
      <w:bookmarkStart w:id="109" w:name="_Toc515647771"/>
      <w:bookmarkStart w:id="110" w:name="_Ref467306513"/>
      <w:bookmarkStart w:id="111" w:name="_Toc17788"/>
      <w:bookmarkStart w:id="112" w:name="_Toc520356156"/>
      <w:bookmarkStart w:id="113" w:name="_Toc520356165"/>
      <w:bookmarkStart w:id="114" w:name="_Toc515647780"/>
      <w:bookmarkStart w:id="115" w:name="_Toc21372"/>
      <w:bookmarkStart w:id="116" w:name="_Toc19296"/>
      <w:r>
        <w:rPr>
          <w:rFonts w:hint="eastAsia" w:ascii="仿宋" w:hAnsi="仿宋" w:eastAsia="仿宋" w:cs="仿宋"/>
          <w:color w:val="auto"/>
          <w:highlight w:val="none"/>
          <w:u w:val="none"/>
        </w:rPr>
        <w:t>12.</w:t>
      </w:r>
      <w:bookmarkEnd w:id="108"/>
      <w:bookmarkEnd w:id="109"/>
      <w:bookmarkEnd w:id="110"/>
      <w:bookmarkEnd w:id="111"/>
      <w:bookmarkEnd w:id="112"/>
      <w:r>
        <w:rPr>
          <w:rFonts w:hint="eastAsia" w:ascii="仿宋" w:hAnsi="仿宋" w:eastAsia="仿宋" w:cs="仿宋"/>
          <w:color w:val="auto"/>
          <w:highlight w:val="none"/>
          <w:u w:val="none"/>
          <w:lang w:eastAsia="zh-CN"/>
        </w:rPr>
        <w:t>磋商保证金</w:t>
      </w:r>
    </w:p>
    <w:p w14:paraId="430F3E7B">
      <w:pPr>
        <w:spacing w:line="240" w:lineRule="auto"/>
        <w:ind w:left="900" w:hanging="900" w:hangingChars="375"/>
        <w:rPr>
          <w:rFonts w:ascii="仿宋" w:hAnsi="仿宋" w:eastAsia="仿宋" w:cs="仿宋"/>
          <w:color w:val="auto"/>
          <w:sz w:val="24"/>
          <w:highlight w:val="none"/>
        </w:rPr>
      </w:pPr>
      <w:bookmarkStart w:id="117"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w:t>
      </w:r>
      <w:bookmarkEnd w:id="117"/>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，并作为其投标的一部分。</w:t>
      </w:r>
    </w:p>
    <w:p w14:paraId="224EC2A7">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供应商存在下列情形的，</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不予退还：</w:t>
      </w:r>
    </w:p>
    <w:p w14:paraId="5A6960F3">
      <w:pPr>
        <w:pStyle w:val="15"/>
        <w:tabs>
          <w:tab w:val="left" w:pos="2240"/>
        </w:tabs>
        <w:spacing w:line="240" w:lineRule="auto"/>
        <w:ind w:left="1079" w:leftChars="371" w:hanging="300" w:hangingChars="125"/>
        <w:rPr>
          <w:rFonts w:ascii="仿宋" w:hAnsi="仿宋" w:eastAsia="仿宋" w:cs="仿宋"/>
          <w:color w:val="auto"/>
          <w:sz w:val="24"/>
          <w:highlight w:val="none"/>
        </w:rPr>
      </w:pPr>
      <w:r>
        <w:rPr>
          <w:rFonts w:hint="eastAsia" w:ascii="仿宋" w:hAnsi="仿宋" w:eastAsia="仿宋" w:cs="仿宋"/>
          <w:color w:val="auto"/>
          <w:sz w:val="24"/>
          <w:highlight w:val="none"/>
        </w:rPr>
        <w:t>（1）在</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有效期内，撤销投标的；</w:t>
      </w:r>
    </w:p>
    <w:p w14:paraId="470F63D3">
      <w:pPr>
        <w:pStyle w:val="15"/>
        <w:tabs>
          <w:tab w:val="left" w:pos="2240"/>
        </w:tabs>
        <w:spacing w:line="240" w:lineRule="auto"/>
        <w:ind w:left="1079" w:leftChars="371" w:hanging="300" w:hangingChars="125"/>
        <w:rPr>
          <w:rFonts w:ascii="仿宋" w:hAnsi="仿宋" w:eastAsia="仿宋" w:cs="仿宋"/>
          <w:color w:val="auto"/>
          <w:sz w:val="24"/>
          <w:highlight w:val="none"/>
        </w:rPr>
      </w:pPr>
      <w:r>
        <w:rPr>
          <w:rFonts w:hint="eastAsia" w:ascii="仿宋" w:hAnsi="仿宋" w:eastAsia="仿宋" w:cs="仿宋"/>
          <w:color w:val="auto"/>
          <w:sz w:val="24"/>
          <w:highlight w:val="none"/>
        </w:rPr>
        <w:t>（2）成交后不按本须知第30条的规定与采购人签订合同的；</w:t>
      </w:r>
    </w:p>
    <w:p w14:paraId="577D4A4F">
      <w:pPr>
        <w:pStyle w:val="15"/>
        <w:tabs>
          <w:tab w:val="left" w:pos="2240"/>
        </w:tabs>
        <w:spacing w:line="240" w:lineRule="auto"/>
        <w:ind w:left="1079" w:leftChars="371" w:hanging="300" w:hangingChars="125"/>
        <w:rPr>
          <w:rFonts w:ascii="仿宋" w:hAnsi="仿宋" w:eastAsia="仿宋" w:cs="仿宋"/>
          <w:color w:val="auto"/>
          <w:sz w:val="24"/>
          <w:highlight w:val="none"/>
        </w:rPr>
      </w:pPr>
      <w:r>
        <w:rPr>
          <w:rFonts w:hint="eastAsia" w:ascii="仿宋" w:hAnsi="仿宋" w:eastAsia="仿宋" w:cs="仿宋"/>
          <w:color w:val="auto"/>
          <w:sz w:val="24"/>
          <w:highlight w:val="none"/>
        </w:rPr>
        <w:t>（3）成交后不按本须知第31条的规定提交履约保证金的；</w:t>
      </w:r>
    </w:p>
    <w:p w14:paraId="4157159E">
      <w:pPr>
        <w:pStyle w:val="15"/>
        <w:tabs>
          <w:tab w:val="left" w:pos="2240"/>
        </w:tabs>
        <w:spacing w:line="240" w:lineRule="auto"/>
        <w:ind w:left="1079" w:leftChars="371" w:hanging="300" w:hangingChars="125"/>
        <w:rPr>
          <w:rFonts w:ascii="仿宋" w:hAnsi="仿宋" w:eastAsia="仿宋" w:cs="仿宋"/>
          <w:color w:val="auto"/>
          <w:sz w:val="24"/>
          <w:highlight w:val="none"/>
        </w:rPr>
      </w:pPr>
      <w:r>
        <w:rPr>
          <w:rFonts w:hint="eastAsia" w:ascii="仿宋" w:hAnsi="仿宋" w:eastAsia="仿宋" w:cs="仿宋"/>
          <w:color w:val="auto"/>
          <w:sz w:val="24"/>
          <w:highlight w:val="none"/>
        </w:rPr>
        <w:t>（4）成交后不按本须知第32条的规定缴纳成交服务费的；</w:t>
      </w:r>
    </w:p>
    <w:p w14:paraId="5EDF4082">
      <w:pPr>
        <w:pStyle w:val="15"/>
        <w:tabs>
          <w:tab w:val="left" w:pos="2240"/>
        </w:tabs>
        <w:spacing w:line="240" w:lineRule="auto"/>
        <w:ind w:left="1079" w:leftChars="371" w:hanging="300" w:hangingChars="125"/>
        <w:rPr>
          <w:rFonts w:ascii="仿宋" w:hAnsi="仿宋" w:eastAsia="仿宋" w:cs="仿宋"/>
          <w:color w:val="auto"/>
          <w:sz w:val="24"/>
          <w:highlight w:val="none"/>
        </w:rPr>
      </w:pPr>
      <w:r>
        <w:rPr>
          <w:rFonts w:hint="eastAsia" w:ascii="仿宋" w:hAnsi="仿宋" w:eastAsia="仿宋" w:cs="仿宋"/>
          <w:color w:val="auto"/>
          <w:sz w:val="24"/>
          <w:highlight w:val="none"/>
        </w:rPr>
        <w:t>（5）存在其他违法违规行为的。</w:t>
      </w:r>
    </w:p>
    <w:p w14:paraId="22EFB0E1">
      <w:pPr>
        <w:spacing w:line="240" w:lineRule="auto"/>
        <w:ind w:left="900" w:hanging="900" w:hangingChars="375"/>
        <w:rPr>
          <w:rFonts w:ascii="仿宋" w:hAnsi="仿宋" w:eastAsia="仿宋" w:cs="仿宋"/>
          <w:color w:val="auto"/>
          <w:sz w:val="24"/>
          <w:highlight w:val="none"/>
        </w:rPr>
      </w:pPr>
      <w:bookmarkStart w:id="118"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118"/>
      <w:r>
        <w:rPr>
          <w:rFonts w:hint="eastAsia" w:ascii="仿宋" w:hAnsi="仿宋" w:eastAsia="仿宋" w:cs="仿宋"/>
          <w:color w:val="auto"/>
          <w:sz w:val="24"/>
          <w:highlight w:val="none"/>
        </w:rPr>
        <w:t>政府采购信用担保试点范围内的项目，接受符合财政部门规定的政府采购投标担保函原件。</w:t>
      </w:r>
    </w:p>
    <w:p w14:paraId="55023A0E">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B95783E">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297C2553">
      <w:pPr>
        <w:spacing w:line="240" w:lineRule="auto"/>
        <w:ind w:left="960" w:hanging="960" w:hanging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能按时进入指定账户。根据银行信息交换和付款时间，支票从递交至实际入账一般需要4-5个工作日。如供应商未及时提交支票或支票不符合银行委托收款要求（如污损、折叠、胶装等），导致</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不能按时进入指定账户的，将按照磋商文件的第22.2条相关规定处理。</w:t>
      </w:r>
    </w:p>
    <w:p w14:paraId="78CCB213">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。以一方名义提交</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的，对联合体各方均具有约束力。</w:t>
      </w:r>
    </w:p>
    <w:p w14:paraId="3F8DB322">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的退还</w:t>
      </w:r>
    </w:p>
    <w:p w14:paraId="0FCAE248">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无息退还手续。</w:t>
      </w:r>
    </w:p>
    <w:p w14:paraId="7E029676">
      <w:pPr>
        <w:spacing w:line="24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12.6.2  未成交供应商的</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将在成交通知书发出之日暨成交结果公告公布之日起5个工作日内无息退还。供应商应及时联系保证金收受机构办理退还</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手续。</w:t>
      </w:r>
    </w:p>
    <w:p w14:paraId="2BFF0635">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40974941">
      <w:pPr>
        <w:spacing w:line="24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51CF5032">
      <w:pPr>
        <w:pStyle w:val="4"/>
        <w:spacing w:before="0" w:after="0" w:line="240" w:lineRule="auto"/>
        <w:rPr>
          <w:rFonts w:ascii="仿宋" w:hAnsi="仿宋" w:eastAsia="仿宋" w:cs="仿宋"/>
          <w:color w:val="auto"/>
          <w:highlight w:val="none"/>
          <w:u w:val="none"/>
        </w:rPr>
      </w:pPr>
      <w:bookmarkStart w:id="119" w:name="_Toc32569"/>
      <w:bookmarkStart w:id="120" w:name="_Toc14963"/>
      <w:bookmarkStart w:id="121" w:name="_Toc23590"/>
      <w:bookmarkStart w:id="122" w:name="_Toc520356157"/>
      <w:bookmarkStart w:id="123" w:name="_Toc515647772"/>
      <w:r>
        <w:rPr>
          <w:rFonts w:hint="eastAsia" w:ascii="仿宋" w:hAnsi="仿宋" w:eastAsia="仿宋" w:cs="仿宋"/>
          <w:color w:val="auto"/>
          <w:highlight w:val="none"/>
          <w:u w:val="none"/>
        </w:rPr>
        <w:t>13.磋商有效期</w:t>
      </w:r>
      <w:bookmarkEnd w:id="119"/>
      <w:bookmarkEnd w:id="120"/>
      <w:bookmarkEnd w:id="121"/>
      <w:bookmarkEnd w:id="122"/>
      <w:bookmarkEnd w:id="123"/>
    </w:p>
    <w:p w14:paraId="3ECD89F2">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565A53E">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有效期截止之前，要求供应商延长磋商文件的有效期。接受该要求的供应商将不会被要求和允许修正其投标，且本须知中有关</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的要求须在延长的有效期内继续有效。供应商可以拒绝延长</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有效期的要求，其</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将及时无息退还。上述要求和答复都应以书面形式提交。</w:t>
      </w:r>
    </w:p>
    <w:p w14:paraId="4310C5AA">
      <w:pPr>
        <w:pStyle w:val="4"/>
        <w:spacing w:before="0" w:after="0" w:line="240" w:lineRule="auto"/>
        <w:rPr>
          <w:rFonts w:ascii="仿宋" w:hAnsi="仿宋" w:eastAsia="仿宋" w:cs="仿宋"/>
          <w:color w:val="auto"/>
          <w:highlight w:val="none"/>
          <w:u w:val="none"/>
        </w:rPr>
      </w:pPr>
      <w:bookmarkStart w:id="124" w:name="_Toc520356158"/>
      <w:bookmarkStart w:id="125" w:name="_Toc4139"/>
      <w:bookmarkStart w:id="126" w:name="_Toc493"/>
      <w:bookmarkStart w:id="127" w:name="_Toc515647773"/>
      <w:bookmarkStart w:id="128" w:name="_Toc17074"/>
      <w:r>
        <w:rPr>
          <w:rFonts w:hint="eastAsia" w:ascii="仿宋" w:hAnsi="仿宋" w:eastAsia="仿宋" w:cs="仿宋"/>
          <w:color w:val="auto"/>
          <w:highlight w:val="none"/>
          <w:u w:val="none"/>
        </w:rPr>
        <w:t>14.响应文件的签署</w:t>
      </w:r>
      <w:bookmarkEnd w:id="124"/>
      <w:r>
        <w:rPr>
          <w:rFonts w:hint="eastAsia" w:ascii="仿宋" w:hAnsi="仿宋" w:eastAsia="仿宋" w:cs="仿宋"/>
          <w:color w:val="auto"/>
          <w:highlight w:val="none"/>
          <w:u w:val="none"/>
        </w:rPr>
        <w:t>及规定</w:t>
      </w:r>
      <w:bookmarkEnd w:id="125"/>
      <w:bookmarkEnd w:id="126"/>
      <w:bookmarkEnd w:id="127"/>
      <w:bookmarkEnd w:id="128"/>
    </w:p>
    <w:p w14:paraId="3AC34C18">
      <w:pPr>
        <w:spacing w:line="240" w:lineRule="auto"/>
        <w:ind w:left="900" w:hanging="900" w:hangingChars="375"/>
        <w:rPr>
          <w:rFonts w:ascii="仿宋" w:hAnsi="仿宋" w:eastAsia="仿宋" w:cs="仿宋"/>
          <w:color w:val="auto"/>
          <w:sz w:val="24"/>
          <w:highlight w:val="none"/>
        </w:rPr>
      </w:pPr>
      <w:bookmarkStart w:id="129" w:name="_Toc26137"/>
      <w:bookmarkStart w:id="130" w:name="_Toc23269"/>
      <w:bookmarkStart w:id="131" w:name="_Toc11179"/>
      <w:bookmarkStart w:id="132" w:name="_Toc25777"/>
      <w:bookmarkStart w:id="133" w:name="_Toc520356159"/>
      <w:bookmarkStart w:id="134" w:name="_Toc216582808"/>
      <w:bookmarkStart w:id="135" w:name="_Toc515647774"/>
      <w:bookmarkStart w:id="136" w:name="_Toc16865"/>
      <w:r>
        <w:rPr>
          <w:rFonts w:hint="eastAsia" w:ascii="仿宋" w:hAnsi="仿宋" w:eastAsia="仿宋" w:cs="仿宋"/>
          <w:color w:val="auto"/>
          <w:sz w:val="24"/>
          <w:highlight w:val="none"/>
        </w:rPr>
        <w:t>14.1</w:t>
      </w:r>
      <w:r>
        <w:rPr>
          <w:rFonts w:hint="eastAsia" w:ascii="宋体" w:hAnsi="宋体"/>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5F24A326">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4DFC37DD">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35C92D2B">
      <w:pPr>
        <w:pStyle w:val="3"/>
        <w:rPr>
          <w:rFonts w:ascii="仿宋" w:hAnsi="仿宋" w:eastAsia="仿宋" w:cs="仿宋"/>
          <w:color w:val="auto"/>
          <w:highlight w:val="none"/>
        </w:rPr>
      </w:pPr>
      <w:bookmarkStart w:id="137" w:name="_Toc11293"/>
      <w:bookmarkStart w:id="138" w:name="_Toc31000"/>
      <w:r>
        <w:rPr>
          <w:rFonts w:hint="eastAsia" w:ascii="仿宋" w:hAnsi="仿宋" w:eastAsia="仿宋" w:cs="仿宋"/>
          <w:color w:val="auto"/>
          <w:highlight w:val="none"/>
        </w:rPr>
        <w:t>四   响应文件的递交</w:t>
      </w:r>
      <w:bookmarkEnd w:id="129"/>
      <w:bookmarkEnd w:id="130"/>
      <w:bookmarkEnd w:id="131"/>
      <w:bookmarkEnd w:id="132"/>
      <w:bookmarkEnd w:id="133"/>
      <w:bookmarkEnd w:id="134"/>
      <w:bookmarkEnd w:id="135"/>
      <w:bookmarkEnd w:id="136"/>
      <w:bookmarkEnd w:id="137"/>
      <w:bookmarkEnd w:id="138"/>
    </w:p>
    <w:p w14:paraId="5B3A5304">
      <w:pPr>
        <w:spacing w:line="240" w:lineRule="atLeast"/>
        <w:ind w:left="900" w:hanging="900" w:hangingChars="375"/>
        <w:rPr>
          <w:rFonts w:ascii="仿宋" w:hAnsi="仿宋" w:eastAsia="仿宋" w:cs="仿宋"/>
          <w:color w:val="auto"/>
          <w:sz w:val="24"/>
          <w:highlight w:val="none"/>
        </w:rPr>
      </w:pPr>
    </w:p>
    <w:p w14:paraId="5CD5908C">
      <w:pPr>
        <w:spacing w:line="240" w:lineRule="auto"/>
        <w:ind w:left="904" w:hanging="900" w:hangingChars="375"/>
        <w:outlineLvl w:val="1"/>
        <w:rPr>
          <w:rFonts w:ascii="仿宋" w:hAnsi="仿宋" w:eastAsia="仿宋" w:cs="仿宋"/>
          <w:b/>
          <w:bCs/>
          <w:color w:val="auto"/>
          <w:sz w:val="24"/>
          <w:highlight w:val="none"/>
        </w:rPr>
      </w:pPr>
      <w:bookmarkStart w:id="139" w:name="_Toc17857"/>
      <w:bookmarkStart w:id="140" w:name="_Toc14934"/>
      <w:bookmarkStart w:id="141" w:name="_Toc8880"/>
      <w:bookmarkStart w:id="142" w:name="_Toc28054"/>
      <w:r>
        <w:rPr>
          <w:rFonts w:hint="eastAsia" w:ascii="仿宋" w:hAnsi="仿宋" w:eastAsia="仿宋" w:cs="仿宋"/>
          <w:b/>
          <w:bCs/>
          <w:color w:val="auto"/>
          <w:sz w:val="24"/>
          <w:highlight w:val="none"/>
        </w:rPr>
        <w:t>15  响应文件的密封和标记</w:t>
      </w:r>
      <w:bookmarkEnd w:id="139"/>
      <w:bookmarkEnd w:id="140"/>
      <w:bookmarkEnd w:id="141"/>
      <w:bookmarkEnd w:id="142"/>
    </w:p>
    <w:p w14:paraId="2F788437">
      <w:pPr>
        <w:spacing w:line="240" w:lineRule="auto"/>
        <w:ind w:left="900" w:hanging="900" w:hangingChars="375"/>
        <w:rPr>
          <w:rFonts w:ascii="仿宋" w:hAnsi="仿宋" w:eastAsia="仿宋" w:cs="仿宋"/>
          <w:color w:val="auto"/>
          <w:sz w:val="24"/>
          <w:highlight w:val="none"/>
        </w:rPr>
      </w:pPr>
      <w:bookmarkStart w:id="143" w:name="_Toc24698"/>
      <w:bookmarkStart w:id="144" w:name="_Toc515647776"/>
      <w:bookmarkStart w:id="145" w:name="_Toc20632"/>
      <w:bookmarkStart w:id="146" w:name="_Toc5959"/>
      <w:bookmarkStart w:id="147" w:name="_Toc12751"/>
      <w:bookmarkStart w:id="148" w:name="_Toc520356161"/>
      <w:bookmarkStart w:id="149" w:name="_Toc9840"/>
      <w:r>
        <w:rPr>
          <w:rFonts w:hint="eastAsia" w:ascii="仿宋" w:hAnsi="仿宋" w:eastAsia="仿宋" w:cs="仿宋"/>
          <w:color w:val="auto"/>
          <w:sz w:val="24"/>
          <w:highlight w:val="none"/>
        </w:rPr>
        <w:t xml:space="preserve">15.1  </w:t>
      </w:r>
      <w:r>
        <w:rPr>
          <w:rFonts w:hint="eastAsia" w:ascii="微软雅黑" w:hAnsi="微软雅黑" w:eastAsia="微软雅黑" w:cs="微软雅黑"/>
          <w:color w:val="auto"/>
          <w:sz w:val="24"/>
          <w:highlight w:val="none"/>
        </w:rPr>
        <w:t xml:space="preserve">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 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5D21FEA7">
      <w:pPr>
        <w:spacing w:line="240" w:lineRule="auto"/>
        <w:ind w:left="900" w:hanging="900" w:hangingChars="375"/>
        <w:rPr>
          <w:rFonts w:ascii="仿宋" w:hAnsi="仿宋" w:eastAsia="仿宋" w:cs="仿宋"/>
          <w:color w:val="auto"/>
          <w:sz w:val="24"/>
          <w:highlight w:val="none"/>
        </w:rPr>
      </w:pPr>
      <w:bookmarkStart w:id="150" w:name="_Toc28106"/>
      <w:r>
        <w:rPr>
          <w:rFonts w:hint="eastAsia" w:ascii="仿宋" w:hAnsi="仿宋" w:eastAsia="仿宋" w:cs="仿宋"/>
          <w:color w:val="auto"/>
          <w:sz w:val="24"/>
          <w:highlight w:val="none"/>
        </w:rPr>
        <w:t xml:space="preserve">15.2   </w:t>
      </w:r>
      <w:bookmarkEnd w:id="150"/>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44628C7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2EB93C59">
      <w:pPr>
        <w:spacing w:line="240" w:lineRule="auto"/>
        <w:ind w:left="904" w:hanging="900" w:hangingChars="375"/>
        <w:outlineLvl w:val="1"/>
        <w:rPr>
          <w:rFonts w:ascii="仿宋" w:hAnsi="仿宋" w:eastAsia="仿宋" w:cs="仿宋"/>
          <w:b/>
          <w:bCs/>
          <w:color w:val="auto"/>
          <w:sz w:val="24"/>
          <w:highlight w:val="none"/>
        </w:rPr>
      </w:pPr>
      <w:bookmarkStart w:id="151" w:name="_Toc14441"/>
      <w:bookmarkStart w:id="152" w:name="_Toc8115"/>
      <w:bookmarkStart w:id="153" w:name="_Toc22861"/>
      <w:bookmarkStart w:id="154" w:name="_Toc12232"/>
      <w:r>
        <w:rPr>
          <w:rFonts w:hint="eastAsia" w:ascii="仿宋" w:hAnsi="仿宋" w:eastAsia="仿宋" w:cs="仿宋"/>
          <w:b/>
          <w:bCs/>
          <w:color w:val="auto"/>
          <w:sz w:val="24"/>
          <w:highlight w:val="none"/>
        </w:rPr>
        <w:t>16.磋商截止</w:t>
      </w:r>
      <w:bookmarkEnd w:id="143"/>
      <w:bookmarkEnd w:id="144"/>
      <w:bookmarkEnd w:id="145"/>
      <w:bookmarkEnd w:id="146"/>
      <w:bookmarkEnd w:id="147"/>
      <w:bookmarkEnd w:id="148"/>
      <w:bookmarkEnd w:id="149"/>
      <w:bookmarkEnd w:id="151"/>
      <w:bookmarkEnd w:id="152"/>
      <w:bookmarkEnd w:id="153"/>
      <w:bookmarkEnd w:id="154"/>
    </w:p>
    <w:p w14:paraId="2B5B170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13A3F27D">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65B9FDE7">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2F2CCB84">
      <w:pPr>
        <w:pStyle w:val="4"/>
        <w:numPr>
          <w:ilvl w:val="0"/>
          <w:numId w:val="0"/>
        </w:numPr>
        <w:spacing w:before="0" w:after="0" w:line="240" w:lineRule="auto"/>
        <w:rPr>
          <w:rFonts w:ascii="仿宋" w:hAnsi="仿宋" w:eastAsia="仿宋" w:cs="仿宋"/>
          <w:color w:val="auto"/>
          <w:highlight w:val="none"/>
          <w:u w:val="none"/>
        </w:rPr>
      </w:pPr>
      <w:bookmarkStart w:id="155" w:name="_Toc520356162"/>
      <w:bookmarkStart w:id="156" w:name="_Toc24275"/>
      <w:bookmarkStart w:id="157" w:name="_Toc515647777"/>
      <w:bookmarkStart w:id="158" w:name="_Toc18537"/>
      <w:bookmarkStart w:id="159" w:name="_Toc18871"/>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55"/>
      <w:bookmarkEnd w:id="156"/>
      <w:bookmarkEnd w:id="157"/>
      <w:bookmarkEnd w:id="158"/>
      <w:bookmarkEnd w:id="159"/>
    </w:p>
    <w:p w14:paraId="17D3F1F1">
      <w:pPr>
        <w:spacing w:line="240" w:lineRule="auto"/>
        <w:ind w:left="900" w:hanging="900" w:hangingChars="375"/>
        <w:rPr>
          <w:rFonts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_GB2312" w:hAnsi="宋体" w:eastAsia="仿宋_GB2312"/>
          <w:color w:val="auto"/>
          <w:sz w:val="24"/>
          <w:highlight w:val="none"/>
        </w:rPr>
        <w:t>在响应文件截止时间后上传响应文件的，采购人和采购代理机构将</w:t>
      </w:r>
      <w:r>
        <w:rPr>
          <w:rFonts w:hint="eastAsia" w:ascii="仿宋_GB2312" w:hAnsi="宋体" w:eastAsia="仿宋_GB2312"/>
          <w:b/>
          <w:bCs/>
          <w:color w:val="auto"/>
          <w:sz w:val="24"/>
          <w:highlight w:val="none"/>
        </w:rPr>
        <w:t>拒绝接收</w:t>
      </w:r>
      <w:r>
        <w:rPr>
          <w:rFonts w:hint="eastAsia" w:ascii="仿宋_GB2312" w:hAnsi="宋体" w:eastAsia="仿宋_GB2312"/>
          <w:color w:val="auto"/>
          <w:sz w:val="24"/>
          <w:highlight w:val="none"/>
        </w:rPr>
        <w:t>。</w:t>
      </w:r>
    </w:p>
    <w:p w14:paraId="333D6925">
      <w:pPr>
        <w:spacing w:line="240" w:lineRule="auto"/>
        <w:ind w:left="840" w:hanging="840" w:hangingChars="350"/>
        <w:rPr>
          <w:rFonts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6F87451C">
      <w:pPr>
        <w:spacing w:line="240" w:lineRule="auto"/>
        <w:ind w:left="840" w:hanging="840" w:hangingChars="350"/>
        <w:rPr>
          <w:rFonts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72150F6D">
      <w:pPr>
        <w:spacing w:line="240" w:lineRule="auto"/>
        <w:ind w:left="735" w:leftChars="35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2DFE9B1E">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647C71C3">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480FC714">
      <w:pPr>
        <w:spacing w:line="240" w:lineRule="atLeast"/>
        <w:rPr>
          <w:rFonts w:ascii="仿宋" w:hAnsi="仿宋" w:eastAsia="仿宋" w:cs="仿宋"/>
          <w:color w:val="auto"/>
          <w:sz w:val="24"/>
          <w:highlight w:val="none"/>
        </w:rPr>
      </w:pPr>
    </w:p>
    <w:p w14:paraId="3F619F25">
      <w:pPr>
        <w:pStyle w:val="3"/>
        <w:spacing w:before="0" w:line="240" w:lineRule="atLeast"/>
        <w:ind w:left="1079" w:leftChars="257" w:hanging="540"/>
        <w:rPr>
          <w:rFonts w:ascii="仿宋" w:hAnsi="仿宋" w:eastAsia="仿宋" w:cs="仿宋"/>
          <w:color w:val="auto"/>
          <w:highlight w:val="none"/>
        </w:rPr>
      </w:pPr>
      <w:bookmarkStart w:id="160" w:name="_Toc28398"/>
      <w:bookmarkStart w:id="161" w:name="_Toc216582809"/>
      <w:bookmarkStart w:id="162" w:name="_Toc520356163"/>
      <w:bookmarkStart w:id="163" w:name="_Toc515647778"/>
      <w:bookmarkStart w:id="164" w:name="_Toc16490"/>
      <w:bookmarkStart w:id="165" w:name="_Toc13431"/>
      <w:bookmarkStart w:id="166" w:name="_Toc12436"/>
      <w:r>
        <w:rPr>
          <w:rFonts w:hint="eastAsia" w:ascii="仿宋" w:hAnsi="仿宋" w:eastAsia="仿宋" w:cs="仿宋"/>
          <w:color w:val="auto"/>
          <w:sz w:val="24"/>
          <w:highlight w:val="none"/>
        </w:rPr>
        <w:t>五   开标及评标</w:t>
      </w:r>
      <w:bookmarkEnd w:id="160"/>
      <w:bookmarkEnd w:id="161"/>
      <w:bookmarkEnd w:id="162"/>
      <w:bookmarkEnd w:id="163"/>
      <w:bookmarkEnd w:id="164"/>
      <w:bookmarkEnd w:id="165"/>
      <w:bookmarkEnd w:id="166"/>
    </w:p>
    <w:p w14:paraId="5D8558AF">
      <w:pPr>
        <w:pStyle w:val="4"/>
        <w:numPr>
          <w:ilvl w:val="0"/>
          <w:numId w:val="3"/>
        </w:numPr>
        <w:spacing w:line="240" w:lineRule="auto"/>
        <w:rPr>
          <w:rFonts w:ascii="仿宋" w:hAnsi="仿宋" w:eastAsia="仿宋" w:cs="仿宋"/>
          <w:color w:val="auto"/>
          <w:highlight w:val="none"/>
        </w:rPr>
      </w:pPr>
      <w:bookmarkStart w:id="167" w:name="_Toc520356164"/>
      <w:bookmarkStart w:id="168" w:name="_Toc25345"/>
      <w:bookmarkStart w:id="169" w:name="_Toc515647779"/>
      <w:bookmarkStart w:id="170" w:name="_Toc7186"/>
      <w:bookmarkStart w:id="171" w:name="_Toc26925"/>
      <w:r>
        <w:rPr>
          <w:rFonts w:hint="eastAsia" w:ascii="仿宋" w:hAnsi="仿宋" w:eastAsia="仿宋" w:cs="仿宋"/>
          <w:color w:val="auto"/>
          <w:highlight w:val="none"/>
          <w:u w:val="none"/>
        </w:rPr>
        <w:t>开标</w:t>
      </w:r>
      <w:bookmarkEnd w:id="167"/>
      <w:bookmarkEnd w:id="168"/>
      <w:bookmarkEnd w:id="169"/>
      <w:bookmarkEnd w:id="170"/>
      <w:bookmarkEnd w:id="171"/>
    </w:p>
    <w:p w14:paraId="01C03421">
      <w:pPr>
        <w:numPr>
          <w:ilvl w:val="1"/>
          <w:numId w:val="3"/>
        </w:num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7BC148D5">
      <w:pPr>
        <w:spacing w:line="240" w:lineRule="auto"/>
        <w:ind w:left="735" w:leftChars="35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1D8A88B6">
      <w:pPr>
        <w:widowControl/>
        <w:numPr>
          <w:ilvl w:val="1"/>
          <w:numId w:val="3"/>
        </w:numPr>
        <w:spacing w:line="240" w:lineRule="auto"/>
        <w:ind w:left="900" w:hanging="900" w:hangingChars="375"/>
        <w:jc w:val="left"/>
        <w:rPr>
          <w:rFonts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ascii="仿宋" w:hAnsi="仿宋" w:eastAsia="仿宋" w:cs="仿宋"/>
          <w:b/>
          <w:bCs/>
          <w:color w:val="auto"/>
          <w:kern w:val="0"/>
          <w:sz w:val="24"/>
          <w:highlight w:val="none"/>
          <w:lang w:bidi="ar"/>
        </w:rPr>
        <w:t>本项目实行电子响应文件，电子响应文件的有关要求按</w:t>
      </w:r>
      <w:r>
        <w:rPr>
          <w:rFonts w:hint="eastAsia" w:ascii="仿宋" w:hAnsi="仿宋" w:eastAsia="仿宋" w:cs="仿宋"/>
          <w:b/>
          <w:bCs/>
          <w:color w:val="auto"/>
          <w:kern w:val="0"/>
          <w:sz w:val="24"/>
          <w:highlight w:val="none"/>
          <w:lang w:bidi="ar"/>
        </w:rPr>
        <w:t>供应商</w:t>
      </w:r>
      <w:r>
        <w:rPr>
          <w:rFonts w:ascii="仿宋" w:hAnsi="仿宋" w:eastAsia="仿宋" w:cs="仿宋"/>
          <w:b/>
          <w:bCs/>
          <w:color w:val="auto"/>
          <w:kern w:val="0"/>
          <w:sz w:val="24"/>
          <w:highlight w:val="none"/>
          <w:lang w:bidi="ar"/>
        </w:rPr>
        <w:t>须知资料</w:t>
      </w:r>
      <w:r>
        <w:rPr>
          <w:rFonts w:hint="eastAsia" w:ascii="仿宋" w:hAnsi="仿宋" w:eastAsia="仿宋" w:cs="仿宋"/>
          <w:b/>
          <w:bCs/>
          <w:color w:val="auto"/>
          <w:kern w:val="0"/>
          <w:sz w:val="24"/>
          <w:highlight w:val="none"/>
          <w:lang w:bidi="ar"/>
        </w:rPr>
        <w:t>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3D7A2AA2">
      <w:pPr>
        <w:widowControl/>
        <w:numPr>
          <w:ilvl w:val="2"/>
          <w:numId w:val="3"/>
        </w:numPr>
        <w:spacing w:line="240" w:lineRule="auto"/>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6E733D69">
      <w:pPr>
        <w:widowControl/>
        <w:spacing w:line="240" w:lineRule="auto"/>
        <w:ind w:left="960" w:hanging="960" w:hangingChars="400"/>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3D3D9259">
      <w:pPr>
        <w:widowControl/>
        <w:spacing w:line="240" w:lineRule="auto"/>
        <w:jc w:val="left"/>
        <w:rPr>
          <w:color w:val="auto"/>
          <w:highlight w:val="none"/>
        </w:rPr>
      </w:pPr>
      <w:r>
        <w:rPr>
          <w:rFonts w:hint="eastAsia" w:ascii="仿宋" w:hAnsi="仿宋" w:eastAsia="仿宋" w:cs="仿宋"/>
          <w:color w:val="auto"/>
          <w:sz w:val="24"/>
          <w:highlight w:val="none"/>
        </w:rPr>
        <w:t xml:space="preserve">18.3    </w:t>
      </w:r>
      <w:r>
        <w:rPr>
          <w:rFonts w:ascii="仿宋" w:hAnsi="仿宋" w:eastAsia="仿宋" w:cs="仿宋"/>
          <w:color w:val="auto"/>
          <w:kern w:val="0"/>
          <w:sz w:val="24"/>
          <w:highlight w:val="none"/>
          <w:lang w:bidi="ar"/>
        </w:rPr>
        <w:t xml:space="preserve">采购人或采购代理机构将对开标过程进行记录，由参加开标的相关工 </w:t>
      </w:r>
    </w:p>
    <w:p w14:paraId="2CC53A08">
      <w:pPr>
        <w:widowControl/>
        <w:spacing w:line="24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582549CA">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189B5E29">
      <w:pPr>
        <w:pStyle w:val="4"/>
        <w:spacing w:before="0" w:after="0" w:line="240" w:lineRule="auto"/>
        <w:rPr>
          <w:rFonts w:ascii="仿宋" w:hAnsi="仿宋" w:eastAsia="仿宋" w:cs="仿宋"/>
          <w:color w:val="auto"/>
          <w:highlight w:val="none"/>
          <w:u w:val="none"/>
        </w:rPr>
      </w:pPr>
      <w:bookmarkStart w:id="172" w:name="_Toc25148"/>
      <w:r>
        <w:rPr>
          <w:rFonts w:hint="eastAsia" w:ascii="仿宋" w:hAnsi="仿宋" w:eastAsia="仿宋" w:cs="仿宋"/>
          <w:color w:val="auto"/>
          <w:highlight w:val="none"/>
          <w:u w:val="none"/>
        </w:rPr>
        <w:t>19.</w:t>
      </w:r>
      <w:bookmarkEnd w:id="113"/>
      <w:r>
        <w:rPr>
          <w:rFonts w:hint="eastAsia" w:ascii="仿宋" w:hAnsi="仿宋" w:eastAsia="仿宋" w:cs="仿宋"/>
          <w:color w:val="auto"/>
          <w:highlight w:val="none"/>
          <w:u w:val="none"/>
        </w:rPr>
        <w:t xml:space="preserve">    资格审查及组建评标委员会</w:t>
      </w:r>
      <w:bookmarkEnd w:id="114"/>
      <w:bookmarkEnd w:id="115"/>
      <w:bookmarkEnd w:id="116"/>
      <w:bookmarkEnd w:id="172"/>
    </w:p>
    <w:p w14:paraId="73BC6F6C">
      <w:pPr>
        <w:widowControl/>
        <w:spacing w:line="240" w:lineRule="auto"/>
        <w:ind w:left="960" w:hanging="960" w:hangingChars="400"/>
        <w:jc w:val="left"/>
        <w:rPr>
          <w:color w:val="auto"/>
          <w:highlight w:val="none"/>
        </w:rPr>
      </w:pPr>
      <w:r>
        <w:rPr>
          <w:rFonts w:hint="eastAsia" w:ascii="仿宋" w:hAnsi="仿宋" w:eastAsia="仿宋" w:cs="仿宋"/>
          <w:color w:val="auto"/>
          <w:sz w:val="24"/>
          <w:highlight w:val="none"/>
        </w:rPr>
        <w:t>19.1   采购人依据法律法规和磋商文件中规定的内容，对供应商及其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的资格进行审查，</w:t>
      </w:r>
      <w:r>
        <w:rPr>
          <w:rFonts w:ascii="仿宋" w:hAnsi="仿宋" w:eastAsia="仿宋" w:cs="仿宋"/>
          <w:b/>
          <w:bCs/>
          <w:color w:val="auto"/>
          <w:kern w:val="0"/>
          <w:sz w:val="24"/>
          <w:highlight w:val="none"/>
          <w:lang w:bidi="ar"/>
        </w:rPr>
        <w:t>响应文件未按要求提供资格审查资料的</w:t>
      </w:r>
      <w:r>
        <w:rPr>
          <w:rFonts w:hint="eastAsia" w:ascii="仿宋" w:hAnsi="仿宋" w:eastAsia="仿宋" w:cs="仿宋"/>
          <w:b/>
          <w:bCs/>
          <w:color w:val="auto"/>
          <w:kern w:val="0"/>
          <w:sz w:val="24"/>
          <w:highlight w:val="none"/>
          <w:lang w:bidi="ar"/>
        </w:rPr>
        <w:t>供应商</w:t>
      </w:r>
      <w:r>
        <w:rPr>
          <w:rFonts w:ascii="仿宋" w:hAnsi="仿宋" w:eastAsia="仿宋" w:cs="仿宋"/>
          <w:b/>
          <w:bCs/>
          <w:color w:val="auto"/>
          <w:kern w:val="0"/>
          <w:sz w:val="24"/>
          <w:highlight w:val="none"/>
          <w:lang w:bidi="ar"/>
        </w:rPr>
        <w:t>或其</w:t>
      </w:r>
      <w:r>
        <w:rPr>
          <w:rFonts w:hint="eastAsia" w:ascii="仿宋" w:hAnsi="仿宋" w:eastAsia="仿宋" w:cs="仿宋"/>
          <w:b/>
          <w:bCs/>
          <w:color w:val="auto"/>
          <w:kern w:val="0"/>
          <w:sz w:val="24"/>
          <w:highlight w:val="none"/>
          <w:lang w:bidi="ar"/>
        </w:rPr>
        <w:t xml:space="preserve">中一项未通过的供应商，将视为资格审查不合格，未能通过资格审查的供应商不进入下一轮评审。 </w:t>
      </w:r>
    </w:p>
    <w:p w14:paraId="5B403C1B">
      <w:pPr>
        <w:widowControl/>
        <w:spacing w:line="240" w:lineRule="auto"/>
        <w:ind w:firstLine="960" w:firstLineChars="400"/>
        <w:jc w:val="left"/>
        <w:rPr>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 </w:t>
      </w:r>
    </w:p>
    <w:p w14:paraId="17F1CEFA">
      <w:pPr>
        <w:widowControl/>
        <w:spacing w:line="240" w:lineRule="auto"/>
        <w:ind w:firstLine="960" w:firstLineChars="400"/>
        <w:jc w:val="left"/>
        <w:rPr>
          <w:color w:val="auto"/>
          <w:highlight w:val="none"/>
        </w:rPr>
      </w:pPr>
      <w:r>
        <w:rPr>
          <w:rFonts w:hint="eastAsia" w:ascii="仿宋" w:hAnsi="仿宋" w:eastAsia="仿宋" w:cs="仿宋"/>
          <w:b/>
          <w:bCs/>
          <w:color w:val="auto"/>
          <w:kern w:val="0"/>
          <w:sz w:val="24"/>
          <w:highlight w:val="none"/>
          <w:lang w:bidi="ar"/>
        </w:rPr>
        <w:t xml:space="preserve">评标委员会可以视同其未提供。 </w:t>
      </w:r>
    </w:p>
    <w:p w14:paraId="28B16751">
      <w:pPr>
        <w:widowControl/>
        <w:spacing w:line="240" w:lineRule="auto"/>
        <w:ind w:firstLine="960" w:firstLineChars="400"/>
        <w:jc w:val="left"/>
        <w:rPr>
          <w:rFonts w:ascii="仿宋" w:hAnsi="仿宋" w:eastAsia="仿宋" w:cs="仿宋"/>
          <w:b/>
          <w:color w:val="auto"/>
          <w:sz w:val="24"/>
          <w:highlight w:val="none"/>
        </w:rPr>
      </w:pPr>
      <w:r>
        <w:rPr>
          <w:rFonts w:hint="eastAsia" w:ascii="仿宋" w:hAnsi="仿宋" w:eastAsia="仿宋" w:cs="仿宋"/>
          <w:b/>
          <w:bCs/>
          <w:color w:val="auto"/>
          <w:kern w:val="0"/>
          <w:sz w:val="24"/>
          <w:highlight w:val="none"/>
          <w:lang w:bidi="ar"/>
        </w:rPr>
        <w:t>本项目开标必须在响应文件中提供</w:t>
      </w:r>
      <w:r>
        <w:rPr>
          <w:rFonts w:hint="eastAsia" w:ascii="仿宋" w:hAnsi="仿宋" w:eastAsia="仿宋" w:cs="仿宋"/>
          <w:b/>
          <w:bCs/>
          <w:color w:val="auto"/>
          <w:kern w:val="0"/>
          <w:sz w:val="24"/>
          <w:highlight w:val="none"/>
          <w:lang w:val="en-US" w:eastAsia="zh-CN" w:bidi="ar"/>
        </w:rPr>
        <w:t>下述内容</w:t>
      </w:r>
      <w:r>
        <w:rPr>
          <w:rFonts w:hint="eastAsia" w:ascii="仿宋" w:hAnsi="仿宋" w:eastAsia="仿宋" w:cs="仿宋"/>
          <w:b/>
          <w:bCs/>
          <w:color w:val="auto"/>
          <w:kern w:val="0"/>
          <w:sz w:val="24"/>
          <w:highlight w:val="none"/>
          <w:lang w:bidi="ar"/>
        </w:rPr>
        <w:t>:</w:t>
      </w:r>
    </w:p>
    <w:p w14:paraId="2D0B581E">
      <w:pPr>
        <w:pStyle w:val="31"/>
        <w:spacing w:line="240" w:lineRule="auto"/>
        <w:ind w:left="957" w:leftChars="456"/>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具有相应的营业执照</w:t>
      </w:r>
      <w:r>
        <w:rPr>
          <w:rFonts w:hint="eastAsia" w:ascii="仿宋" w:hAnsi="仿宋" w:eastAsia="仿宋" w:cs="仿宋"/>
          <w:b/>
          <w:color w:val="auto"/>
          <w:sz w:val="24"/>
          <w:highlight w:val="none"/>
        </w:rPr>
        <w:t>；</w:t>
      </w:r>
    </w:p>
    <w:p w14:paraId="2DB954CB">
      <w:pPr>
        <w:pStyle w:val="31"/>
        <w:spacing w:line="240" w:lineRule="auto"/>
        <w:ind w:left="957" w:leftChars="456"/>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2.法定代表人授权委托书及被委托人身份证（法定代表人投标提供法定代表人身份证明及身份证）</w:t>
      </w:r>
      <w:r>
        <w:rPr>
          <w:rFonts w:hint="eastAsia" w:ascii="仿宋" w:hAnsi="仿宋" w:eastAsia="仿宋" w:cs="仿宋"/>
          <w:b/>
          <w:color w:val="auto"/>
          <w:sz w:val="24"/>
          <w:highlight w:val="none"/>
          <w:lang w:eastAsia="zh-CN"/>
        </w:rPr>
        <w:t>；</w:t>
      </w:r>
    </w:p>
    <w:p w14:paraId="2890C024">
      <w:pPr>
        <w:pStyle w:val="31"/>
        <w:spacing w:line="240" w:lineRule="auto"/>
        <w:ind w:left="957" w:leftChars="456"/>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本单位缴纳的近</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个月中任意一个月的社保缴纳证明；</w:t>
      </w:r>
    </w:p>
    <w:p w14:paraId="78BE49AF">
      <w:pPr>
        <w:pStyle w:val="31"/>
        <w:spacing w:line="240" w:lineRule="auto"/>
        <w:ind w:left="957" w:leftChars="456"/>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具有税务局开具依法缴纳近三个月中任意一个月的税收证明的良好记录（完税证明），注：①若为零申报企业，需提供无欠税证明或国家税务总局电子税务局“申报结果查询截图”。②“税种”非社会保险</w:t>
      </w:r>
      <w:r>
        <w:rPr>
          <w:rFonts w:hint="eastAsia" w:ascii="仿宋" w:hAnsi="仿宋" w:eastAsia="仿宋" w:cs="仿宋"/>
          <w:b/>
          <w:color w:val="auto"/>
          <w:sz w:val="24"/>
          <w:highlight w:val="none"/>
        </w:rPr>
        <w:t>；</w:t>
      </w:r>
    </w:p>
    <w:p w14:paraId="111DC543">
      <w:pPr>
        <w:pStyle w:val="31"/>
        <w:spacing w:line="240" w:lineRule="auto"/>
        <w:ind w:left="957" w:leftChars="456"/>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具有2024年度的财务审计报告（新成立未满一年的公司提供有效的银行资信证明）</w:t>
      </w:r>
      <w:r>
        <w:rPr>
          <w:rFonts w:hint="eastAsia" w:ascii="仿宋" w:hAnsi="仿宋" w:eastAsia="仿宋" w:cs="仿宋"/>
          <w:b/>
          <w:color w:val="auto"/>
          <w:sz w:val="24"/>
          <w:highlight w:val="none"/>
        </w:rPr>
        <w:t>；</w:t>
      </w:r>
    </w:p>
    <w:p w14:paraId="5563F8A0">
      <w:pPr>
        <w:pStyle w:val="31"/>
        <w:spacing w:line="240" w:lineRule="auto"/>
        <w:ind w:left="957" w:leftChars="456"/>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.投标供应商参加项目领取磋商文件及投标环节期间采购活动前3年内，在经营活动中没有重大违法记录的书面承诺书（自拟）；</w:t>
      </w:r>
    </w:p>
    <w:p w14:paraId="29479206">
      <w:pPr>
        <w:pStyle w:val="31"/>
        <w:spacing w:line="240" w:lineRule="auto"/>
        <w:ind w:left="957" w:leftChars="456"/>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.针对本项目的反商业贿赂承诺书；</w:t>
      </w:r>
    </w:p>
    <w:p w14:paraId="66DB5F64">
      <w:pPr>
        <w:pStyle w:val="31"/>
        <w:spacing w:line="240" w:lineRule="auto"/>
        <w:ind w:left="957" w:leftChars="456"/>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en-US" w:eastAsia="zh-CN"/>
        </w:rPr>
        <w:t>磋商</w:t>
      </w:r>
      <w:r>
        <w:rPr>
          <w:rFonts w:hint="eastAsia" w:ascii="仿宋" w:hAnsi="仿宋" w:eastAsia="仿宋" w:cs="仿宋"/>
          <w:b/>
          <w:bCs w:val="0"/>
          <w:color w:val="auto"/>
          <w:sz w:val="24"/>
          <w:highlight w:val="none"/>
          <w:lang w:eastAsia="zh-CN"/>
        </w:rPr>
        <w:t>保证金</w:t>
      </w:r>
      <w:r>
        <w:rPr>
          <w:rFonts w:hint="eastAsia" w:ascii="仿宋" w:hAnsi="仿宋" w:eastAsia="仿宋" w:cs="仿宋"/>
          <w:b/>
          <w:bCs w:val="0"/>
          <w:color w:val="auto"/>
          <w:sz w:val="24"/>
          <w:highlight w:val="none"/>
          <w:lang w:val="en-US" w:eastAsia="zh-CN"/>
        </w:rPr>
        <w:t>有效</w:t>
      </w:r>
      <w:r>
        <w:rPr>
          <w:rFonts w:hint="eastAsia" w:ascii="仿宋" w:hAnsi="仿宋" w:eastAsia="仿宋" w:cs="仿宋"/>
          <w:b/>
          <w:bCs w:val="0"/>
          <w:color w:val="auto"/>
          <w:sz w:val="24"/>
          <w:highlight w:val="none"/>
        </w:rPr>
        <w:t>凭证；</w:t>
      </w:r>
    </w:p>
    <w:p w14:paraId="309B82ED">
      <w:pPr>
        <w:pStyle w:val="31"/>
        <w:keepNext w:val="0"/>
        <w:keepLines w:val="0"/>
        <w:pageBreakBefore w:val="0"/>
        <w:widowControl w:val="0"/>
        <w:kinsoku/>
        <w:wordWrap/>
        <w:overflowPunct/>
        <w:topLinePunct w:val="0"/>
        <w:autoSpaceDE/>
        <w:autoSpaceDN/>
        <w:bidi w:val="0"/>
        <w:adjustRightInd w:val="0"/>
        <w:snapToGrid w:val="0"/>
        <w:spacing w:line="240" w:lineRule="auto"/>
        <w:ind w:left="957" w:leftChars="45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9.根据《财政部关于在政府采购活动中查询及使用信用记录有关问题的 </w:t>
      </w:r>
      <w:r>
        <w:rPr>
          <w:rFonts w:hint="eastAsia" w:ascii="仿宋" w:hAnsi="仿宋" w:eastAsia="仿宋" w:cs="仿宋"/>
          <w:b/>
          <w:color w:val="auto"/>
          <w:sz w:val="24"/>
          <w:highlight w:val="none"/>
        </w:rPr>
        <w:t>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将拒绝其参加本次招标活动。</w:t>
      </w:r>
    </w:p>
    <w:p w14:paraId="75B2B130">
      <w:pPr>
        <w:pStyle w:val="31"/>
        <w:spacing w:line="240" w:lineRule="auto"/>
        <w:ind w:left="960" w:hanging="960" w:hangingChars="400"/>
        <w:rPr>
          <w:rFonts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13CE2700">
      <w:pPr>
        <w:spacing w:line="240" w:lineRule="auto"/>
        <w:ind w:left="857" w:leftChars="2" w:hanging="853"/>
        <w:rPr>
          <w:rFonts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w:t>
      </w:r>
      <w:r>
        <w:rPr>
          <w:rStyle w:val="40"/>
          <w:rFonts w:hint="eastAsia" w:ascii="仿宋" w:hAnsi="仿宋" w:eastAsia="仿宋" w:cs="仿宋"/>
          <w:b w:val="0"/>
          <w:bCs/>
          <w:color w:val="auto"/>
          <w:sz w:val="24"/>
          <w:highlight w:val="none"/>
        </w:rPr>
        <w:t>国家企业信用信息公示系统（http://www.gsxt.gov.cn）</w:t>
      </w:r>
      <w:r>
        <w:rPr>
          <w:rFonts w:hint="eastAsia" w:ascii="仿宋" w:hAnsi="仿宋" w:eastAsia="仿宋" w:cs="仿宋"/>
          <w:color w:val="auto"/>
          <w:sz w:val="24"/>
          <w:highlight w:val="none"/>
        </w:rPr>
        <w:t>被列入失信被执行人、重大税收违法案件当事人名单，以及存在《中华人民共和国政府采购法实施条例》第十九条规定的行政处罚记录。</w:t>
      </w:r>
    </w:p>
    <w:p w14:paraId="2C30CA0E">
      <w:pPr>
        <w:spacing w:line="240" w:lineRule="auto"/>
        <w:ind w:left="849" w:leftChars="401" w:hanging="7" w:hangingChars="3"/>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0F80E94">
      <w:pPr>
        <w:pStyle w:val="8"/>
        <w:spacing w:line="240" w:lineRule="auto"/>
        <w:ind w:left="850" w:hanging="849" w:hangingChars="354"/>
        <w:jc w:val="both"/>
        <w:rPr>
          <w:rFonts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2EF128CE">
      <w:pPr>
        <w:spacing w:line="240" w:lineRule="auto"/>
        <w:ind w:left="850" w:hanging="849" w:hangingChars="354"/>
        <w:rPr>
          <w:rFonts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b/>
          <w:bCs/>
          <w:iCs/>
          <w:color w:val="auto"/>
          <w:sz w:val="24"/>
          <w:highlight w:val="none"/>
          <w:u w:val="single"/>
        </w:rPr>
        <w:t>由</w:t>
      </w:r>
      <w:r>
        <w:rPr>
          <w:rFonts w:hint="eastAsia" w:ascii="仿宋" w:hAnsi="仿宋" w:eastAsia="仿宋" w:cs="仿宋"/>
          <w:b/>
          <w:bCs/>
          <w:iCs/>
          <w:color w:val="auto"/>
          <w:sz w:val="24"/>
          <w:highlight w:val="none"/>
          <w:u w:val="single"/>
          <w:lang w:val="en-US" w:eastAsia="zh-CN"/>
        </w:rPr>
        <w:t>3</w:t>
      </w:r>
      <w:r>
        <w:rPr>
          <w:rFonts w:hint="eastAsia" w:ascii="仿宋" w:hAnsi="仿宋" w:eastAsia="仿宋" w:cs="仿宋"/>
          <w:b/>
          <w:bCs/>
          <w:iCs/>
          <w:color w:val="auto"/>
          <w:sz w:val="24"/>
          <w:highlight w:val="none"/>
          <w:u w:val="single"/>
        </w:rPr>
        <w:t>人单数组成</w:t>
      </w:r>
      <w:r>
        <w:rPr>
          <w:rFonts w:hint="eastAsia" w:ascii="仿宋" w:hAnsi="仿宋" w:eastAsia="仿宋" w:cs="仿宋"/>
          <w:color w:val="auto"/>
          <w:sz w:val="24"/>
          <w:highlight w:val="none"/>
        </w:rPr>
        <w:t>的评标委员会，负责评标工作。</w:t>
      </w:r>
      <w:bookmarkStart w:id="173" w:name="_Toc520356166"/>
    </w:p>
    <w:p w14:paraId="34DE080D">
      <w:pPr>
        <w:pStyle w:val="4"/>
        <w:spacing w:before="0" w:after="0" w:line="240" w:lineRule="auto"/>
        <w:rPr>
          <w:rFonts w:ascii="仿宋" w:hAnsi="仿宋" w:eastAsia="仿宋" w:cs="仿宋"/>
          <w:b w:val="0"/>
          <w:bCs/>
          <w:color w:val="auto"/>
          <w:highlight w:val="none"/>
          <w:bdr w:val="single" w:color="auto" w:sz="4" w:space="0"/>
        </w:rPr>
      </w:pPr>
      <w:bookmarkStart w:id="174" w:name="_Toc28479"/>
      <w:bookmarkStart w:id="175" w:name="_Toc19949"/>
      <w:bookmarkStart w:id="176" w:name="_Toc3897"/>
      <w:bookmarkStart w:id="177" w:name="_Toc515647781"/>
      <w:r>
        <w:rPr>
          <w:rFonts w:hint="eastAsia" w:ascii="仿宋" w:hAnsi="仿宋" w:eastAsia="仿宋" w:cs="仿宋"/>
          <w:color w:val="auto"/>
          <w:highlight w:val="none"/>
          <w:u w:val="none"/>
        </w:rPr>
        <w:t>20.</w:t>
      </w:r>
      <w:bookmarkEnd w:id="173"/>
      <w:r>
        <w:rPr>
          <w:rFonts w:hint="eastAsia" w:ascii="仿宋" w:hAnsi="仿宋" w:eastAsia="仿宋" w:cs="仿宋"/>
          <w:color w:val="auto"/>
          <w:highlight w:val="none"/>
          <w:u w:val="none"/>
        </w:rPr>
        <w:t>响应文件符合性审查与澄清</w:t>
      </w:r>
      <w:bookmarkEnd w:id="174"/>
      <w:bookmarkEnd w:id="175"/>
      <w:bookmarkEnd w:id="176"/>
      <w:bookmarkEnd w:id="177"/>
    </w:p>
    <w:p w14:paraId="029F8407">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78" w:name="_Hlt522424701"/>
      <w:bookmarkEnd w:id="178"/>
      <w:bookmarkStart w:id="179" w:name="_Toc520356167"/>
    </w:p>
    <w:p w14:paraId="6B64F391">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6C1323A1">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书面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磋商文件范围或者改变磋商文件的实质性内容。</w:t>
      </w:r>
    </w:p>
    <w:p w14:paraId="20E310DD">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42022CD1">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477762AD">
      <w:pPr>
        <w:spacing w:line="240" w:lineRule="auto"/>
        <w:ind w:left="1020" w:hanging="1020" w:hangingChars="425"/>
        <w:rPr>
          <w:rFonts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03E74D2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6F813E94">
      <w:pPr>
        <w:spacing w:line="240" w:lineRule="auto"/>
        <w:ind w:left="1020" w:hanging="1020" w:hangingChars="425"/>
        <w:rPr>
          <w:rFonts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0D3059B7">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029CEF7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E42C4AA">
      <w:pPr>
        <w:spacing w:line="240" w:lineRule="auto"/>
        <w:ind w:left="735" w:leftChars="35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19D47E25">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363F5EB9">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1B492D8C">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1511094F">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37378AD3">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66F7AADD">
      <w:pPr>
        <w:pStyle w:val="4"/>
        <w:spacing w:before="0" w:after="0" w:line="240" w:lineRule="auto"/>
        <w:rPr>
          <w:rFonts w:ascii="仿宋" w:hAnsi="仿宋" w:eastAsia="仿宋" w:cs="仿宋"/>
          <w:color w:val="auto"/>
          <w:highlight w:val="none"/>
          <w:u w:val="none"/>
        </w:rPr>
      </w:pPr>
      <w:bookmarkStart w:id="180" w:name="_Toc6364"/>
      <w:bookmarkStart w:id="181" w:name="_Toc515647782"/>
      <w:bookmarkStart w:id="182" w:name="_Toc9469"/>
      <w:bookmarkStart w:id="183" w:name="_Toc10543"/>
      <w:r>
        <w:rPr>
          <w:rFonts w:hint="eastAsia" w:ascii="仿宋" w:hAnsi="仿宋" w:eastAsia="仿宋" w:cs="仿宋"/>
          <w:color w:val="auto"/>
          <w:highlight w:val="none"/>
          <w:u w:val="none"/>
        </w:rPr>
        <w:t>21.投标偏离</w:t>
      </w:r>
      <w:bookmarkEnd w:id="180"/>
      <w:bookmarkEnd w:id="181"/>
      <w:bookmarkEnd w:id="182"/>
      <w:bookmarkEnd w:id="183"/>
    </w:p>
    <w:p w14:paraId="2E5C416D">
      <w:pPr>
        <w:spacing w:line="240" w:lineRule="auto"/>
        <w:ind w:left="847" w:leftChars="99" w:hanging="640" w:hangingChars="267"/>
        <w:rPr>
          <w:rFonts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0F799935">
      <w:pPr>
        <w:pStyle w:val="4"/>
        <w:spacing w:before="0" w:after="0" w:line="240" w:lineRule="auto"/>
        <w:rPr>
          <w:rFonts w:ascii="仿宋" w:hAnsi="仿宋" w:eastAsia="仿宋" w:cs="仿宋"/>
          <w:color w:val="auto"/>
          <w:highlight w:val="none"/>
          <w:u w:val="none"/>
        </w:rPr>
      </w:pPr>
      <w:bookmarkStart w:id="184" w:name="_Toc515647783"/>
      <w:bookmarkStart w:id="185" w:name="_Toc6092"/>
      <w:bookmarkStart w:id="186" w:name="_Toc4950"/>
      <w:bookmarkStart w:id="187" w:name="_Toc31798"/>
      <w:r>
        <w:rPr>
          <w:rFonts w:hint="eastAsia" w:ascii="仿宋" w:hAnsi="仿宋" w:eastAsia="仿宋" w:cs="仿宋"/>
          <w:color w:val="auto"/>
          <w:highlight w:val="none"/>
          <w:u w:val="none"/>
        </w:rPr>
        <w:t>22.投标</w:t>
      </w:r>
      <w:bookmarkEnd w:id="184"/>
      <w:r>
        <w:rPr>
          <w:rFonts w:hint="eastAsia" w:ascii="仿宋" w:hAnsi="仿宋" w:eastAsia="仿宋" w:cs="仿宋"/>
          <w:color w:val="auto"/>
          <w:highlight w:val="none"/>
          <w:u w:val="none"/>
        </w:rPr>
        <w:t>无效</w:t>
      </w:r>
      <w:bookmarkEnd w:id="185"/>
      <w:bookmarkEnd w:id="186"/>
      <w:bookmarkEnd w:id="187"/>
    </w:p>
    <w:p w14:paraId="5A00083A">
      <w:pPr>
        <w:spacing w:line="240" w:lineRule="auto"/>
        <w:ind w:left="852" w:leftChars="-23"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0C64706F">
      <w:pPr>
        <w:spacing w:line="24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03C0CEE4">
      <w:pPr>
        <w:spacing w:line="240" w:lineRule="auto"/>
        <w:ind w:left="791" w:leftChars="377"/>
        <w:rPr>
          <w:rFonts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46BF2ED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5F8E99D2">
      <w:pPr>
        <w:numPr>
          <w:ilvl w:val="0"/>
          <w:numId w:val="4"/>
        </w:numPr>
        <w:spacing w:line="240" w:lineRule="auto"/>
        <w:ind w:left="1230" w:hanging="180"/>
        <w:rPr>
          <w:rFonts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w:t>
      </w:r>
      <w:r>
        <w:rPr>
          <w:rFonts w:hint="eastAsia" w:ascii="仿宋" w:hAnsi="仿宋" w:eastAsia="仿宋" w:cs="仿宋"/>
          <w:b/>
          <w:bCs/>
          <w:color w:val="auto"/>
          <w:sz w:val="24"/>
          <w:highlight w:val="none"/>
          <w:lang w:eastAsia="zh-CN"/>
        </w:rPr>
        <w:t>磋商保证金</w:t>
      </w:r>
      <w:r>
        <w:rPr>
          <w:rFonts w:hint="eastAsia" w:ascii="仿宋" w:hAnsi="仿宋" w:eastAsia="仿宋" w:cs="仿宋"/>
          <w:b/>
          <w:bCs/>
          <w:color w:val="auto"/>
          <w:sz w:val="24"/>
          <w:highlight w:val="none"/>
        </w:rPr>
        <w:t>的；</w:t>
      </w:r>
    </w:p>
    <w:p w14:paraId="1D7D64F1">
      <w:pPr>
        <w:numPr>
          <w:ilvl w:val="0"/>
          <w:numId w:val="4"/>
        </w:numPr>
        <w:spacing w:line="240" w:lineRule="auto"/>
        <w:ind w:left="1230" w:hanging="180"/>
        <w:rPr>
          <w:rFonts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2B755935">
      <w:pPr>
        <w:numPr>
          <w:ilvl w:val="0"/>
          <w:numId w:val="4"/>
        </w:numPr>
        <w:spacing w:line="240" w:lineRule="auto"/>
        <w:ind w:left="1230" w:hanging="180"/>
        <w:rPr>
          <w:rFonts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273D84A3">
      <w:pPr>
        <w:numPr>
          <w:ilvl w:val="0"/>
          <w:numId w:val="4"/>
        </w:numPr>
        <w:spacing w:line="240" w:lineRule="auto"/>
        <w:ind w:left="1230" w:hanging="180"/>
        <w:rPr>
          <w:rFonts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26326348">
      <w:pPr>
        <w:numPr>
          <w:ilvl w:val="0"/>
          <w:numId w:val="4"/>
        </w:numPr>
        <w:spacing w:line="240" w:lineRule="auto"/>
        <w:ind w:left="1230" w:hanging="180"/>
        <w:rPr>
          <w:rFonts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1A93E569">
      <w:pPr>
        <w:numPr>
          <w:ilvl w:val="0"/>
          <w:numId w:val="4"/>
        </w:numPr>
        <w:spacing w:line="240" w:lineRule="auto"/>
        <w:ind w:left="1230" w:hanging="180"/>
        <w:rPr>
          <w:rFonts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0438FD77">
      <w:pPr>
        <w:numPr>
          <w:ilvl w:val="0"/>
          <w:numId w:val="4"/>
        </w:numPr>
        <w:spacing w:line="240" w:lineRule="auto"/>
        <w:ind w:left="1230" w:hanging="180"/>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0F32FC43">
      <w:pPr>
        <w:numPr>
          <w:ilvl w:val="0"/>
          <w:numId w:val="4"/>
        </w:numPr>
        <w:tabs>
          <w:tab w:val="left" w:pos="0"/>
        </w:tabs>
        <w:spacing w:line="240" w:lineRule="auto"/>
        <w:ind w:left="1230" w:hanging="180"/>
        <w:rPr>
          <w:rFonts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6C58285E">
      <w:pPr>
        <w:spacing w:line="240" w:lineRule="auto"/>
        <w:outlineLvl w:val="1"/>
        <w:rPr>
          <w:rFonts w:ascii="仿宋" w:hAnsi="仿宋" w:eastAsia="仿宋" w:cs="仿宋"/>
          <w:b/>
          <w:color w:val="auto"/>
          <w:kern w:val="0"/>
          <w:sz w:val="24"/>
          <w:szCs w:val="20"/>
          <w:highlight w:val="none"/>
        </w:rPr>
      </w:pPr>
      <w:bookmarkStart w:id="188" w:name="_Toc22223"/>
      <w:bookmarkStart w:id="189" w:name="_Toc29729"/>
      <w:bookmarkStart w:id="190" w:name="_Toc515647784"/>
      <w:bookmarkStart w:id="191" w:name="_Toc22941"/>
      <w:bookmarkStart w:id="192" w:name="_Toc13652"/>
      <w:bookmarkStart w:id="193" w:name="_Toc21848"/>
      <w:bookmarkStart w:id="194" w:name="_Toc13827"/>
      <w:r>
        <w:rPr>
          <w:rFonts w:hint="eastAsia" w:ascii="仿宋" w:hAnsi="仿宋" w:eastAsia="仿宋" w:cs="仿宋"/>
          <w:b/>
          <w:color w:val="auto"/>
          <w:kern w:val="0"/>
          <w:sz w:val="24"/>
          <w:szCs w:val="20"/>
          <w:highlight w:val="none"/>
        </w:rPr>
        <w:t>23.</w:t>
      </w:r>
      <w:bookmarkEnd w:id="179"/>
      <w:r>
        <w:rPr>
          <w:rFonts w:hint="eastAsia" w:ascii="仿宋" w:hAnsi="仿宋" w:eastAsia="仿宋" w:cs="仿宋"/>
          <w:b/>
          <w:color w:val="auto"/>
          <w:kern w:val="0"/>
          <w:sz w:val="24"/>
          <w:szCs w:val="20"/>
          <w:highlight w:val="none"/>
        </w:rPr>
        <w:t>比较与评价</w:t>
      </w:r>
      <w:bookmarkEnd w:id="188"/>
      <w:bookmarkEnd w:id="189"/>
      <w:bookmarkEnd w:id="190"/>
      <w:bookmarkEnd w:id="191"/>
      <w:bookmarkEnd w:id="192"/>
      <w:bookmarkEnd w:id="193"/>
      <w:bookmarkEnd w:id="194"/>
    </w:p>
    <w:p w14:paraId="171B7340">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63E78D47">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5361FC76">
      <w:pPr>
        <w:pStyle w:val="15"/>
        <w:spacing w:line="240" w:lineRule="auto"/>
        <w:ind w:left="957" w:leftChars="4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1134FC75">
      <w:pPr>
        <w:pStyle w:val="15"/>
        <w:spacing w:line="240" w:lineRule="auto"/>
        <w:ind w:left="898" w:leftChars="342" w:hanging="18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方式：竞争性磋商，评分方法：综合评分法。</w:t>
      </w:r>
    </w:p>
    <w:p w14:paraId="7317AD5E">
      <w:pPr>
        <w:widowControl/>
        <w:spacing w:line="240" w:lineRule="auto"/>
        <w:ind w:left="840" w:hanging="840" w:hangingChars="400"/>
        <w:jc w:val="left"/>
        <w:rPr>
          <w:rFonts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b/>
          <w:bCs/>
          <w:color w:val="auto"/>
          <w:sz w:val="24"/>
          <w:highlight w:val="none"/>
          <w:u w:val="single"/>
        </w:rPr>
        <w:t xml:space="preserve"> 10% </w:t>
      </w:r>
      <w:r>
        <w:rPr>
          <w:rFonts w:hint="eastAsia" w:ascii="仿宋" w:hAnsi="仿宋" w:eastAsia="仿宋" w:cs="仿宋"/>
          <w:color w:val="auto"/>
          <w:sz w:val="24"/>
          <w:highlight w:val="none"/>
        </w:rPr>
        <w:t>价格扣除制度，用扣除后的价格参与价格因素评审。具体办法详见磋商文件第6章。</w:t>
      </w:r>
    </w:p>
    <w:p w14:paraId="4CC5241E">
      <w:pPr>
        <w:pStyle w:val="4"/>
        <w:spacing w:before="0" w:after="0" w:line="240" w:lineRule="auto"/>
        <w:rPr>
          <w:rFonts w:ascii="仿宋" w:hAnsi="仿宋" w:eastAsia="仿宋" w:cs="仿宋"/>
          <w:color w:val="auto"/>
          <w:highlight w:val="none"/>
          <w:u w:val="none"/>
        </w:rPr>
      </w:pPr>
      <w:bookmarkStart w:id="195" w:name="_Toc520356168"/>
      <w:bookmarkStart w:id="196" w:name="_Toc515647785"/>
      <w:bookmarkStart w:id="197" w:name="_Toc29825"/>
      <w:bookmarkStart w:id="198" w:name="_Toc20227"/>
      <w:bookmarkStart w:id="199" w:name="_Toc9378"/>
      <w:r>
        <w:rPr>
          <w:rFonts w:hint="eastAsia" w:ascii="仿宋" w:hAnsi="仿宋" w:eastAsia="仿宋" w:cs="仿宋"/>
          <w:color w:val="auto"/>
          <w:highlight w:val="none"/>
          <w:u w:val="none"/>
        </w:rPr>
        <w:t>24</w:t>
      </w:r>
      <w:bookmarkEnd w:id="195"/>
      <w:r>
        <w:rPr>
          <w:rFonts w:hint="eastAsia" w:ascii="仿宋" w:hAnsi="仿宋" w:eastAsia="仿宋" w:cs="仿宋"/>
          <w:color w:val="auto"/>
          <w:highlight w:val="none"/>
          <w:u w:val="none"/>
        </w:rPr>
        <w:t>.废标</w:t>
      </w:r>
      <w:bookmarkEnd w:id="196"/>
      <w:bookmarkEnd w:id="197"/>
      <w:bookmarkEnd w:id="198"/>
      <w:bookmarkEnd w:id="199"/>
    </w:p>
    <w:p w14:paraId="6FB52D0D">
      <w:pPr>
        <w:spacing w:line="240" w:lineRule="auto"/>
        <w:ind w:left="897" w:leftChars="399" w:hanging="60" w:hangingChars="25"/>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37306172">
      <w:pPr>
        <w:spacing w:line="240" w:lineRule="auto"/>
        <w:ind w:left="904" w:hanging="900" w:hangingChars="375"/>
        <w:rPr>
          <w:rFonts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535D51F7">
      <w:pPr>
        <w:spacing w:line="240" w:lineRule="auto"/>
        <w:ind w:left="904" w:hanging="900" w:hangingChars="375"/>
        <w:rPr>
          <w:rFonts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4C2A03EF">
      <w:pPr>
        <w:spacing w:line="240" w:lineRule="auto"/>
        <w:ind w:firstLine="840" w:firstLineChars="350"/>
        <w:rPr>
          <w:rFonts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1B515E48">
      <w:pPr>
        <w:spacing w:line="240" w:lineRule="auto"/>
        <w:ind w:firstLine="840" w:firstLineChars="350"/>
        <w:rPr>
          <w:rFonts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2454B25B">
      <w:pPr>
        <w:pStyle w:val="4"/>
        <w:spacing w:before="0" w:after="0" w:line="240" w:lineRule="auto"/>
        <w:rPr>
          <w:rFonts w:ascii="仿宋" w:hAnsi="仿宋" w:eastAsia="仿宋" w:cs="仿宋"/>
          <w:color w:val="auto"/>
          <w:highlight w:val="none"/>
          <w:u w:val="none"/>
        </w:rPr>
      </w:pPr>
      <w:bookmarkStart w:id="200" w:name="_Toc515647786"/>
      <w:bookmarkStart w:id="201" w:name="_Toc24972"/>
      <w:bookmarkStart w:id="202" w:name="_Toc29648"/>
      <w:bookmarkStart w:id="203" w:name="_Toc31289"/>
      <w:bookmarkStart w:id="204" w:name="_Toc520356169"/>
      <w:bookmarkStart w:id="205" w:name="_Toc216582810"/>
      <w:bookmarkStart w:id="206" w:name="_Toc12143"/>
      <w:bookmarkStart w:id="207" w:name="_Toc23904"/>
      <w:bookmarkStart w:id="208" w:name="_Toc515647787"/>
      <w:r>
        <w:rPr>
          <w:rFonts w:hint="eastAsia" w:ascii="仿宋" w:hAnsi="仿宋" w:eastAsia="仿宋" w:cs="仿宋"/>
          <w:color w:val="auto"/>
          <w:highlight w:val="none"/>
          <w:u w:val="none"/>
        </w:rPr>
        <w:t>25.保密原则</w:t>
      </w:r>
      <w:bookmarkEnd w:id="200"/>
      <w:bookmarkEnd w:id="201"/>
      <w:bookmarkEnd w:id="202"/>
      <w:bookmarkEnd w:id="203"/>
    </w:p>
    <w:p w14:paraId="5CC732BF">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0023A13E">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政府采购评审专家应当遵守评审工作纪律，不得泄露评审文件、评审情况和评审中获悉的商业秘密。投标商在评标过程中，所进行的力图影响评标结果的不符合《中华人民共和国政府采购法》及本次磋商中有关规定的活动，将被取消其成交资格。   </w:t>
      </w:r>
    </w:p>
    <w:p w14:paraId="28076C89">
      <w:pPr>
        <w:spacing w:line="240" w:lineRule="atLeast"/>
        <w:ind w:left="1079" w:leftChars="257" w:hanging="540"/>
        <w:rPr>
          <w:rFonts w:ascii="仿宋" w:hAnsi="仿宋" w:eastAsia="仿宋" w:cs="仿宋"/>
          <w:color w:val="auto"/>
          <w:sz w:val="24"/>
          <w:highlight w:val="none"/>
        </w:rPr>
      </w:pPr>
    </w:p>
    <w:p w14:paraId="4B6DF499">
      <w:pPr>
        <w:pStyle w:val="3"/>
        <w:spacing w:before="0" w:line="240" w:lineRule="atLeast"/>
        <w:ind w:left="1079" w:leftChars="257" w:hanging="540"/>
        <w:rPr>
          <w:rFonts w:ascii="仿宋" w:hAnsi="仿宋" w:eastAsia="仿宋" w:cs="仿宋"/>
          <w:color w:val="auto"/>
          <w:highlight w:val="none"/>
        </w:rPr>
      </w:pPr>
      <w:bookmarkStart w:id="209" w:name="_Toc15581"/>
      <w:bookmarkStart w:id="210" w:name="_Toc2608"/>
      <w:r>
        <w:rPr>
          <w:rFonts w:hint="eastAsia" w:ascii="仿宋" w:hAnsi="仿宋" w:eastAsia="仿宋" w:cs="仿宋"/>
          <w:color w:val="auto"/>
          <w:sz w:val="24"/>
          <w:highlight w:val="none"/>
        </w:rPr>
        <w:t>六   确定成交</w:t>
      </w:r>
      <w:bookmarkEnd w:id="209"/>
      <w:bookmarkEnd w:id="210"/>
    </w:p>
    <w:p w14:paraId="6609D004">
      <w:pPr>
        <w:pStyle w:val="4"/>
        <w:spacing w:before="0" w:after="0" w:line="240" w:lineRule="auto"/>
        <w:rPr>
          <w:rFonts w:ascii="仿宋" w:hAnsi="仿宋" w:eastAsia="仿宋" w:cs="仿宋"/>
          <w:color w:val="auto"/>
          <w:highlight w:val="none"/>
          <w:u w:val="none"/>
        </w:rPr>
      </w:pPr>
      <w:r>
        <w:rPr>
          <w:rFonts w:hint="eastAsia" w:ascii="仿宋" w:hAnsi="仿宋" w:eastAsia="仿宋" w:cs="仿宋"/>
          <w:color w:val="auto"/>
          <w:highlight w:val="none"/>
          <w:u w:val="none"/>
        </w:rPr>
        <w:t>26.成交候选人的确定原则及标准</w:t>
      </w:r>
    </w:p>
    <w:p w14:paraId="317D9E6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除第28条规定外，对实质上响应磋商文件的供应商按下列方法进行排序，确定投标候选人：</w:t>
      </w:r>
    </w:p>
    <w:p w14:paraId="4E6E4927">
      <w:pPr>
        <w:numPr>
          <w:ilvl w:val="0"/>
          <w:numId w:val="5"/>
        </w:numPr>
        <w:spacing w:line="240" w:lineRule="auto"/>
        <w:ind w:left="840"/>
        <w:rPr>
          <w:rFonts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678B8D63">
      <w:pPr>
        <w:pStyle w:val="15"/>
        <w:numPr>
          <w:ilvl w:val="0"/>
          <w:numId w:val="5"/>
        </w:numPr>
        <w:spacing w:line="240" w:lineRule="auto"/>
        <w:ind w:left="840"/>
        <w:rPr>
          <w:rFonts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59D2527D">
      <w:pPr>
        <w:pStyle w:val="15"/>
        <w:spacing w:line="240" w:lineRule="auto"/>
        <w:ind w:left="898" w:leftChars="342" w:hanging="1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方式：竞争性磋商，评分方法：综合评分法。</w:t>
      </w:r>
    </w:p>
    <w:bookmarkEnd w:id="204"/>
    <w:bookmarkEnd w:id="205"/>
    <w:bookmarkEnd w:id="206"/>
    <w:bookmarkEnd w:id="207"/>
    <w:bookmarkEnd w:id="208"/>
    <w:p w14:paraId="1075E3D1">
      <w:pPr>
        <w:pStyle w:val="4"/>
        <w:tabs>
          <w:tab w:val="left" w:pos="900"/>
        </w:tabs>
        <w:spacing w:before="0" w:after="0" w:line="240" w:lineRule="auto"/>
        <w:rPr>
          <w:rFonts w:ascii="仿宋" w:hAnsi="仿宋" w:eastAsia="仿宋" w:cs="仿宋"/>
          <w:color w:val="auto"/>
          <w:highlight w:val="none"/>
          <w:u w:val="none"/>
        </w:rPr>
      </w:pPr>
      <w:bookmarkStart w:id="211" w:name="_Toc401"/>
      <w:bookmarkStart w:id="212" w:name="_Toc9653"/>
      <w:bookmarkStart w:id="213" w:name="_Toc515647789"/>
      <w:bookmarkStart w:id="214" w:name="_Toc23951"/>
      <w:bookmarkStart w:id="215" w:name="_Toc520356171"/>
      <w:r>
        <w:rPr>
          <w:rFonts w:hint="eastAsia" w:ascii="仿宋" w:hAnsi="仿宋" w:eastAsia="仿宋" w:cs="仿宋"/>
          <w:color w:val="auto"/>
          <w:highlight w:val="none"/>
          <w:u w:val="none"/>
        </w:rPr>
        <w:t>27.确定成交候选人和成交人</w:t>
      </w:r>
      <w:bookmarkEnd w:id="211"/>
    </w:p>
    <w:p w14:paraId="77930BDE">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5869CBAF">
      <w:pPr>
        <w:pStyle w:val="4"/>
        <w:tabs>
          <w:tab w:val="left" w:pos="900"/>
        </w:tabs>
        <w:spacing w:before="0" w:after="0" w:line="240" w:lineRule="auto"/>
        <w:rPr>
          <w:rFonts w:ascii="仿宋" w:hAnsi="仿宋" w:eastAsia="仿宋" w:cs="仿宋"/>
          <w:color w:val="auto"/>
          <w:highlight w:val="none"/>
          <w:u w:val="none"/>
        </w:rPr>
      </w:pPr>
      <w:bookmarkStart w:id="216" w:name="_Toc13583"/>
      <w:r>
        <w:rPr>
          <w:rFonts w:hint="eastAsia" w:ascii="仿宋" w:hAnsi="仿宋" w:eastAsia="仿宋" w:cs="仿宋"/>
          <w:color w:val="auto"/>
          <w:highlight w:val="none"/>
          <w:u w:val="none"/>
        </w:rPr>
        <w:t>28.采购任务取消</w:t>
      </w:r>
      <w:bookmarkEnd w:id="216"/>
    </w:p>
    <w:p w14:paraId="2BCCDE46">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560D87EE">
      <w:pPr>
        <w:pStyle w:val="4"/>
        <w:spacing w:before="0" w:after="0" w:line="240" w:lineRule="auto"/>
        <w:rPr>
          <w:rFonts w:ascii="仿宋" w:hAnsi="仿宋" w:eastAsia="仿宋" w:cs="仿宋"/>
          <w:color w:val="auto"/>
          <w:highlight w:val="none"/>
          <w:u w:val="none"/>
        </w:rPr>
      </w:pPr>
      <w:bookmarkStart w:id="217" w:name="_Toc3686"/>
      <w:r>
        <w:rPr>
          <w:rFonts w:hint="eastAsia" w:ascii="仿宋" w:hAnsi="仿宋" w:eastAsia="仿宋" w:cs="仿宋"/>
          <w:color w:val="auto"/>
          <w:highlight w:val="none"/>
          <w:u w:val="none"/>
        </w:rPr>
        <w:t>29.成交通知书和结果通知书</w:t>
      </w:r>
      <w:bookmarkEnd w:id="217"/>
    </w:p>
    <w:p w14:paraId="47F23E2B">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有效期内，成交人确定后，采购人或者采购代理机构发布成交公告，同时以书面形式向成交人发出成交通知书。</w:t>
      </w:r>
    </w:p>
    <w:p w14:paraId="512D6C2A">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4AA99923">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xml:space="preserve">29.3    </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结果通知书和成交通知书同时发出。</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结果通知书中将告知未通过资格审查的供应商未通过的原因；</w:t>
      </w:r>
      <w:bookmarkEnd w:id="212"/>
      <w:bookmarkEnd w:id="213"/>
      <w:bookmarkEnd w:id="214"/>
      <w:bookmarkEnd w:id="215"/>
    </w:p>
    <w:p w14:paraId="6DA43343">
      <w:pPr>
        <w:pStyle w:val="4"/>
        <w:spacing w:before="0" w:after="0" w:line="240" w:lineRule="auto"/>
        <w:rPr>
          <w:rFonts w:ascii="仿宋" w:hAnsi="仿宋" w:eastAsia="仿宋" w:cs="仿宋"/>
          <w:color w:val="auto"/>
          <w:highlight w:val="none"/>
          <w:u w:val="none"/>
        </w:rPr>
      </w:pPr>
      <w:bookmarkStart w:id="218" w:name="_Toc25052"/>
      <w:bookmarkStart w:id="219" w:name="_Ref467306377"/>
      <w:bookmarkStart w:id="220" w:name="_Toc7779"/>
      <w:bookmarkStart w:id="221" w:name="_Ref467306978"/>
      <w:bookmarkStart w:id="222" w:name="_Toc515647792"/>
      <w:bookmarkStart w:id="223" w:name="_Toc790"/>
      <w:bookmarkStart w:id="224" w:name="_Ref467307062"/>
      <w:bookmarkStart w:id="225" w:name="_Toc520356175"/>
      <w:bookmarkStart w:id="226" w:name="_Ref467307204"/>
      <w:r>
        <w:rPr>
          <w:rFonts w:hint="eastAsia" w:ascii="仿宋" w:hAnsi="仿宋" w:eastAsia="仿宋" w:cs="仿宋"/>
          <w:color w:val="auto"/>
          <w:highlight w:val="none"/>
          <w:u w:val="none"/>
        </w:rPr>
        <w:t>30.签订合同</w:t>
      </w:r>
      <w:bookmarkEnd w:id="218"/>
      <w:bookmarkEnd w:id="219"/>
      <w:bookmarkEnd w:id="220"/>
      <w:bookmarkEnd w:id="221"/>
      <w:bookmarkEnd w:id="222"/>
      <w:bookmarkEnd w:id="223"/>
      <w:bookmarkEnd w:id="224"/>
      <w:bookmarkEnd w:id="225"/>
      <w:bookmarkEnd w:id="226"/>
    </w:p>
    <w:p w14:paraId="5055E4B8">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26D67472">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227" w:name="_Ref467306425"/>
      <w:bookmarkStart w:id="228" w:name="_Ref467307090"/>
      <w:bookmarkStart w:id="229" w:name="_Toc520356176"/>
      <w:r>
        <w:rPr>
          <w:rFonts w:hint="eastAsia" w:ascii="仿宋" w:hAnsi="仿宋" w:eastAsia="仿宋" w:cs="仿宋"/>
          <w:color w:val="auto"/>
          <w:sz w:val="24"/>
          <w:highlight w:val="none"/>
        </w:rPr>
        <w:t>磋商文件、成交人的响应文件及其澄清文件等，均为签订合同的依据。</w:t>
      </w:r>
    </w:p>
    <w:p w14:paraId="53786B71">
      <w:pPr>
        <w:pStyle w:val="10"/>
        <w:spacing w:line="240" w:lineRule="auto"/>
        <w:ind w:left="960"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0EAF117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72F7E499">
      <w:pPr>
        <w:pStyle w:val="4"/>
        <w:spacing w:before="0" w:after="0" w:line="240" w:lineRule="auto"/>
        <w:rPr>
          <w:rFonts w:hint="eastAsia" w:ascii="仿宋" w:hAnsi="仿宋" w:eastAsia="仿宋" w:cs="仿宋"/>
          <w:color w:val="auto"/>
          <w:highlight w:val="none"/>
          <w:u w:val="none"/>
          <w:lang w:eastAsia="zh-CN"/>
        </w:rPr>
      </w:pPr>
      <w:bookmarkStart w:id="230" w:name="_Toc22555"/>
      <w:bookmarkStart w:id="231" w:name="_Toc22587"/>
      <w:bookmarkStart w:id="232" w:name="_Toc14080"/>
      <w:bookmarkStart w:id="233" w:name="_Toc515647793"/>
      <w:r>
        <w:rPr>
          <w:rFonts w:hint="eastAsia" w:ascii="仿宋" w:hAnsi="仿宋" w:eastAsia="仿宋" w:cs="仿宋"/>
          <w:color w:val="auto"/>
          <w:highlight w:val="none"/>
          <w:u w:val="none"/>
        </w:rPr>
        <w:t>31.履约保证金</w:t>
      </w:r>
      <w:bookmarkEnd w:id="227"/>
      <w:bookmarkEnd w:id="228"/>
      <w:bookmarkEnd w:id="229"/>
      <w:bookmarkEnd w:id="230"/>
      <w:bookmarkEnd w:id="231"/>
      <w:bookmarkEnd w:id="232"/>
      <w:bookmarkEnd w:id="233"/>
      <w:r>
        <w:rPr>
          <w:rFonts w:hint="eastAsia" w:ascii="仿宋" w:hAnsi="仿宋" w:eastAsia="仿宋" w:cs="仿宋"/>
          <w:color w:val="auto"/>
          <w:highlight w:val="none"/>
          <w:u w:val="none"/>
          <w:lang w:eastAsia="zh-CN"/>
        </w:rPr>
        <w:t>（</w:t>
      </w:r>
      <w:r>
        <w:rPr>
          <w:rFonts w:hint="eastAsia" w:ascii="仿宋" w:hAnsi="仿宋" w:eastAsia="仿宋" w:cs="仿宋"/>
          <w:color w:val="auto"/>
          <w:highlight w:val="none"/>
          <w:u w:val="none"/>
          <w:lang w:val="en-US" w:eastAsia="zh-CN"/>
        </w:rPr>
        <w:t>本项目不适用</w:t>
      </w:r>
      <w:r>
        <w:rPr>
          <w:rFonts w:hint="eastAsia" w:ascii="仿宋" w:hAnsi="仿宋" w:eastAsia="仿宋" w:cs="仿宋"/>
          <w:color w:val="auto"/>
          <w:highlight w:val="none"/>
          <w:u w:val="none"/>
          <w:lang w:eastAsia="zh-CN"/>
        </w:rPr>
        <w:t>）</w:t>
      </w:r>
    </w:p>
    <w:p w14:paraId="2355A730">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2C1F8891">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681D31A2">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w:t>
      </w:r>
      <w:r>
        <w:rPr>
          <w:rFonts w:hint="eastAsia" w:ascii="仿宋" w:hAnsi="仿宋" w:eastAsia="仿宋" w:cs="仿宋"/>
          <w:color w:val="auto"/>
          <w:sz w:val="24"/>
          <w:highlight w:val="none"/>
          <w:lang w:eastAsia="zh-CN"/>
        </w:rPr>
        <w:t>磋商保证金</w:t>
      </w:r>
      <w:r>
        <w:rPr>
          <w:rFonts w:hint="eastAsia" w:ascii="仿宋" w:hAnsi="仿宋" w:eastAsia="仿宋" w:cs="仿宋"/>
          <w:color w:val="auto"/>
          <w:sz w:val="24"/>
          <w:highlight w:val="none"/>
        </w:rPr>
        <w:t>将不予退还。在此情况下，采购人可确定下一候选人为成交人，也可以重新开展采购活动。</w:t>
      </w:r>
      <w:bookmarkStart w:id="889" w:name="_GoBack"/>
      <w:bookmarkEnd w:id="889"/>
    </w:p>
    <w:p w14:paraId="6FE68EE3">
      <w:pPr>
        <w:pStyle w:val="4"/>
        <w:spacing w:before="0" w:after="0" w:line="240" w:lineRule="auto"/>
        <w:rPr>
          <w:rFonts w:ascii="仿宋" w:hAnsi="仿宋" w:eastAsia="仿宋" w:cs="仿宋"/>
          <w:color w:val="auto"/>
          <w:highlight w:val="none"/>
          <w:u w:val="none"/>
        </w:rPr>
      </w:pPr>
      <w:bookmarkStart w:id="234" w:name="_Toc29408"/>
      <w:bookmarkStart w:id="235" w:name="_Toc515647794"/>
      <w:bookmarkStart w:id="236" w:name="_Toc13640"/>
      <w:bookmarkStart w:id="237" w:name="_Toc3090"/>
      <w:r>
        <w:rPr>
          <w:rFonts w:hint="eastAsia" w:ascii="仿宋" w:hAnsi="仿宋" w:eastAsia="仿宋" w:cs="仿宋"/>
          <w:color w:val="auto"/>
          <w:highlight w:val="none"/>
          <w:u w:val="none"/>
        </w:rPr>
        <w:t>32.成交服务费</w:t>
      </w:r>
      <w:bookmarkEnd w:id="234"/>
      <w:bookmarkEnd w:id="235"/>
      <w:bookmarkEnd w:id="236"/>
      <w:bookmarkEnd w:id="237"/>
    </w:p>
    <w:p w14:paraId="42ED0F99">
      <w:pPr>
        <w:spacing w:line="240" w:lineRule="auto"/>
        <w:ind w:left="840" w:leftChars="200" w:hanging="420" w:hangingChars="175"/>
        <w:rPr>
          <w:rFonts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rPr>
        <w:t>投标须知资料表</w:t>
      </w:r>
      <w:r>
        <w:rPr>
          <w:rFonts w:hint="eastAsia" w:ascii="仿宋" w:hAnsi="仿宋" w:eastAsia="仿宋" w:cs="仿宋"/>
          <w:color w:val="auto"/>
          <w:sz w:val="24"/>
          <w:highlight w:val="none"/>
        </w:rPr>
        <w:t>规定，向采购代理机构支付成交服务费。</w:t>
      </w:r>
    </w:p>
    <w:p w14:paraId="43F0068D">
      <w:pPr>
        <w:pStyle w:val="4"/>
        <w:spacing w:before="0" w:after="0" w:line="240" w:lineRule="auto"/>
        <w:rPr>
          <w:rFonts w:ascii="仿宋" w:hAnsi="仿宋" w:eastAsia="仿宋" w:cs="仿宋"/>
          <w:color w:val="auto"/>
          <w:highlight w:val="none"/>
          <w:u w:val="none"/>
        </w:rPr>
      </w:pPr>
      <w:bookmarkStart w:id="238" w:name="_Toc26195"/>
      <w:bookmarkStart w:id="239" w:name="_Toc7049"/>
      <w:bookmarkStart w:id="240" w:name="_Toc515647795"/>
      <w:bookmarkStart w:id="241" w:name="_Toc6923"/>
      <w:r>
        <w:rPr>
          <w:rFonts w:hint="eastAsia" w:ascii="仿宋" w:hAnsi="仿宋" w:eastAsia="仿宋" w:cs="仿宋"/>
          <w:color w:val="auto"/>
          <w:highlight w:val="none"/>
          <w:u w:val="none"/>
        </w:rPr>
        <w:t>33.政府采购信用担保</w:t>
      </w:r>
      <w:bookmarkEnd w:id="238"/>
      <w:bookmarkEnd w:id="239"/>
      <w:bookmarkEnd w:id="240"/>
      <w:bookmarkEnd w:id="241"/>
    </w:p>
    <w:p w14:paraId="139DB9F4">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033A7537">
      <w:pPr>
        <w:spacing w:line="240" w:lineRule="auto"/>
        <w:ind w:left="850" w:hanging="849" w:hangingChars="354"/>
        <w:rPr>
          <w:rFonts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4B00FD1C">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46BC7468">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7A4A60C0">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6A82DE0A">
      <w:pPr>
        <w:pStyle w:val="4"/>
        <w:spacing w:before="0" w:after="0" w:line="240" w:lineRule="auto"/>
        <w:rPr>
          <w:rFonts w:ascii="仿宋" w:hAnsi="仿宋" w:eastAsia="仿宋" w:cs="仿宋"/>
          <w:color w:val="auto"/>
          <w:highlight w:val="none"/>
          <w:u w:val="none"/>
        </w:rPr>
      </w:pPr>
      <w:bookmarkStart w:id="242" w:name="_Toc515647796"/>
      <w:bookmarkStart w:id="243" w:name="_Toc8335"/>
      <w:bookmarkStart w:id="244" w:name="_Toc23999"/>
      <w:bookmarkStart w:id="245" w:name="_Toc2133"/>
      <w:r>
        <w:rPr>
          <w:rFonts w:hint="eastAsia" w:ascii="仿宋" w:hAnsi="仿宋" w:eastAsia="仿宋" w:cs="仿宋"/>
          <w:color w:val="auto"/>
          <w:highlight w:val="none"/>
          <w:u w:val="none"/>
        </w:rPr>
        <w:t>34.廉洁自律规定</w:t>
      </w:r>
      <w:bookmarkEnd w:id="242"/>
      <w:bookmarkEnd w:id="243"/>
      <w:bookmarkEnd w:id="244"/>
      <w:bookmarkEnd w:id="245"/>
    </w:p>
    <w:p w14:paraId="08FA6C98">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584E1540">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32F919ED">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17895EBD">
      <w:pPr>
        <w:pStyle w:val="4"/>
        <w:spacing w:before="0" w:after="0" w:line="240" w:lineRule="auto"/>
        <w:rPr>
          <w:rFonts w:ascii="仿宋" w:hAnsi="仿宋" w:eastAsia="仿宋" w:cs="仿宋"/>
          <w:color w:val="auto"/>
          <w:highlight w:val="none"/>
          <w:u w:val="none"/>
        </w:rPr>
      </w:pPr>
      <w:bookmarkStart w:id="246" w:name="_Toc11586"/>
      <w:bookmarkStart w:id="247" w:name="_Toc25480"/>
      <w:bookmarkStart w:id="248" w:name="_Toc22514"/>
      <w:bookmarkStart w:id="249" w:name="_Toc515647797"/>
      <w:r>
        <w:rPr>
          <w:rFonts w:hint="eastAsia" w:ascii="仿宋" w:hAnsi="仿宋" w:eastAsia="仿宋" w:cs="仿宋"/>
          <w:color w:val="auto"/>
          <w:highlight w:val="none"/>
          <w:u w:val="none"/>
        </w:rPr>
        <w:t>35.人员回避</w:t>
      </w:r>
      <w:bookmarkEnd w:id="246"/>
      <w:bookmarkEnd w:id="247"/>
      <w:bookmarkEnd w:id="248"/>
      <w:bookmarkEnd w:id="249"/>
    </w:p>
    <w:p w14:paraId="3D3C8D57">
      <w:pPr>
        <w:spacing w:line="240" w:lineRule="auto"/>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73D51974">
      <w:pPr>
        <w:pStyle w:val="4"/>
        <w:spacing w:before="0" w:after="0" w:line="240" w:lineRule="auto"/>
        <w:rPr>
          <w:rFonts w:ascii="仿宋" w:hAnsi="仿宋" w:eastAsia="仿宋" w:cs="仿宋"/>
          <w:color w:val="auto"/>
          <w:highlight w:val="none"/>
          <w:u w:val="none"/>
        </w:rPr>
      </w:pPr>
      <w:bookmarkStart w:id="250" w:name="_Toc11115"/>
      <w:bookmarkStart w:id="251" w:name="_Toc515647798"/>
      <w:bookmarkStart w:id="252" w:name="_Toc21750"/>
      <w:bookmarkStart w:id="253" w:name="_Toc1148"/>
      <w:r>
        <w:rPr>
          <w:rFonts w:hint="eastAsia" w:ascii="仿宋" w:hAnsi="仿宋" w:eastAsia="仿宋" w:cs="仿宋"/>
          <w:color w:val="auto"/>
          <w:highlight w:val="none"/>
          <w:u w:val="none"/>
        </w:rPr>
        <w:t>36.质疑与接收</w:t>
      </w:r>
      <w:bookmarkEnd w:id="250"/>
      <w:bookmarkEnd w:id="251"/>
      <w:bookmarkEnd w:id="252"/>
      <w:bookmarkEnd w:id="253"/>
    </w:p>
    <w:p w14:paraId="1FD9F304">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《政府采购竞争性磋商采购方式管理暂行办法》的有关规定，依法向采购人或其委托的采购代理机构提出质疑。</w:t>
      </w:r>
    </w:p>
    <w:p w14:paraId="396B5368">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31F09254">
      <w:pPr>
        <w:spacing w:line="240" w:lineRule="auto"/>
        <w:ind w:left="851" w:leftChars="405" w:hanging="1"/>
        <w:rPr>
          <w:rFonts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4404590F">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4E26E191">
      <w:pPr>
        <w:spacing w:line="24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36.4、质疑的提出</w:t>
      </w:r>
    </w:p>
    <w:p w14:paraId="101F4B4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36.5 本采购文件中所称质疑及答复，是指参加本次采购活动的供应商对政府采购活动中的采购文件、采购过程和成交结果向采购方提出质疑，采购方答复质疑的行为。</w:t>
      </w:r>
    </w:p>
    <w:p w14:paraId="603ED4F0">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276F4CB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524FF0F1">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48E59A74">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6FF38CD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36.7  对可以质疑的采购文件提出质疑的，质疑人为参与本项目的报价方或潜在报价方。可质疑的文件为磋商公告以及磋商文件（包括属于其组成部分的澄清、修改、补充文件和评审标准、合同文本等）。</w:t>
      </w:r>
    </w:p>
    <w:p w14:paraId="581BC080">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3B475033">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36.9  提出质疑应当符合下列条件：</w:t>
      </w:r>
    </w:p>
    <w:p w14:paraId="7039EB31">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1EF37B83">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48F06C8B">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4997D1A4">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1CCD9A0B">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F7A4BC1">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37.1  质疑人所提供的证明材料应当具有真实性、合法性以及与质疑事项的关联性和证明力，否则不能作为认定该质疑事项成立的依据。</w:t>
      </w:r>
    </w:p>
    <w:p w14:paraId="605C05EE">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37.2  质疑人提出质疑时应当提交质疑函。质疑函包括下列内容：</w:t>
      </w:r>
    </w:p>
    <w:p w14:paraId="71F958CF">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2DB104EB">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7D9F985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4A7509B4">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24F114F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2B40A0D1">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26360E5E">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3FB3662">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37.3  质疑人可以委托代理人进行质疑。代理人应当提交授权委托书。授权委托书应当载明委托代理的具体权限、期限和相关事项。</w:t>
      </w:r>
    </w:p>
    <w:p w14:paraId="5CFFE5D0">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37.4、质疑的审查和受理</w:t>
      </w:r>
    </w:p>
    <w:p w14:paraId="0D26B718">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采购方在收到质疑函后应当及时审查是否符合质疑受理条件，对符合质疑受理条件的，及时予以受理。</w:t>
      </w:r>
    </w:p>
    <w:p w14:paraId="6819FFF6">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37.5  对不符合质疑受理条件的，分别按照下列不同情形予以处理：</w:t>
      </w:r>
    </w:p>
    <w:p w14:paraId="4F04BD1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5C860555">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6A2DFBE2">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2086C667">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557F22B1">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（五）质疑不属于本项目采购方管辖的，告知质疑人向有管辖权的采购人提出质疑；</w:t>
      </w:r>
    </w:p>
    <w:p w14:paraId="5C5FD504">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24B88127">
      <w:pPr>
        <w:spacing w:line="240" w:lineRule="auto"/>
        <w:ind w:left="850" w:leftChars="68" w:hanging="708" w:hangingChars="295"/>
        <w:rPr>
          <w:rFonts w:ascii="仿宋" w:hAnsi="仿宋" w:eastAsia="仿宋" w:cs="仿宋"/>
          <w:b/>
          <w:bCs/>
          <w:color w:val="auto"/>
          <w:sz w:val="24"/>
          <w:highlight w:val="none"/>
        </w:rPr>
      </w:pPr>
      <w:r>
        <w:rPr>
          <w:rFonts w:hint="eastAsia" w:ascii="仿宋" w:hAnsi="仿宋" w:eastAsia="仿宋" w:cs="仿宋"/>
          <w:b/>
          <w:bCs/>
          <w:color w:val="auto"/>
          <w:sz w:val="24"/>
          <w:highlight w:val="none"/>
        </w:rPr>
        <w:t>37.6、 质疑的处理和答复</w:t>
      </w:r>
    </w:p>
    <w:p w14:paraId="3B57AA62">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37.7   采购方受理质疑后，将及时把质疑函发送给被质疑人，并要求其在一定限期内提交书面答复，同时提供有关证据、依据和相关材料。</w:t>
      </w:r>
    </w:p>
    <w:p w14:paraId="36AB742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37.8   对于质疑事项中涉及的问题较多、情况比较复杂的，为了全面查清事实、取得充分的证据，采购方认为有必要时，可以进行调查取证或者组织质证。</w:t>
      </w:r>
    </w:p>
    <w:p w14:paraId="5D32A523">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37.9  对评审过程、成交结果提出质疑的，采购方可以组织原评审委员会协助    答复质疑。</w:t>
      </w:r>
    </w:p>
    <w:p w14:paraId="76538516">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38.  质疑处理过程中，质疑人书面申请撤回质疑的，将终止质疑处理程序。</w:t>
      </w:r>
    </w:p>
    <w:p w14:paraId="2831438D">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38.1  质疑人拒绝配合采购方依法对质疑进行调查处理的，采购方将按质疑人自动撤回质疑处理；被质疑人拒绝配合采购方依法对质疑进行调查处理的，采购方将视同其认可质疑事项。</w:t>
      </w:r>
    </w:p>
    <w:p w14:paraId="273EF249">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38.2  采购方将在正式受理质疑后7个工作日内作出答复，但处理质疑需要进行调查取证、组织专家评审、质疑人及被质疑人提交或补正材料等所需时间，不计算在质疑处理期限内。</w:t>
      </w:r>
    </w:p>
    <w:p w14:paraId="552E7658">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38.3  采购方经调查、论证、核实，认定质疑不能成立的，继续开展采购活动；认定质疑成立的，按照以下情况处理：</w:t>
      </w:r>
    </w:p>
    <w:p w14:paraId="42FF1BF4">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6ECAC8B3">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39D84E39">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38.4  采购方将书面答复质疑，质疑答复包括下列内容：</w:t>
      </w:r>
    </w:p>
    <w:p w14:paraId="1463A451">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（一）质疑人名称；</w:t>
      </w:r>
    </w:p>
    <w:p w14:paraId="38479121">
      <w:pPr>
        <w:spacing w:line="240" w:lineRule="auto"/>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1E75C93E">
      <w:pPr>
        <w:spacing w:line="240" w:lineRule="auto"/>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77E273C5">
      <w:pPr>
        <w:spacing w:line="240" w:lineRule="auto"/>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33EB073A">
      <w:pPr>
        <w:spacing w:line="240" w:lineRule="auto"/>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1A7F250F">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38.5  质疑人有下列行为之一的，属于虚假、恶意质疑，将由采购方建议财政部门将其列入不良行为记录名单，禁止其1至3年内参加政府采购活动：</w:t>
      </w:r>
    </w:p>
    <w:p w14:paraId="563A505E">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1ED93FCF">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08CA0E2E">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405F0689">
      <w:pPr>
        <w:spacing w:line="240" w:lineRule="auto"/>
        <w:ind w:left="850" w:leftChars="68" w:hanging="708" w:hangingChars="295"/>
        <w:rPr>
          <w:rFonts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7D7F8499">
      <w:pPr>
        <w:pStyle w:val="2"/>
        <w:numPr>
          <w:ilvl w:val="0"/>
          <w:numId w:val="1"/>
        </w:numPr>
        <w:tabs>
          <w:tab w:val="clear" w:pos="3134"/>
        </w:tabs>
        <w:spacing w:before="0" w:after="0" w:line="240" w:lineRule="atLeast"/>
        <w:ind w:left="17" w:leftChars="0" w:hanging="17" w:firstLineChars="0"/>
        <w:jc w:val="center"/>
        <w:rPr>
          <w:rFonts w:hint="eastAsia" w:ascii="仿宋_GB2312" w:eastAsia="仿宋_GB2312"/>
          <w:color w:val="auto"/>
          <w:highlight w:val="none"/>
        </w:rPr>
      </w:pPr>
      <w:bookmarkStart w:id="254" w:name="_Toc515647799"/>
      <w:bookmarkStart w:id="255" w:name="_Toc21748"/>
      <w:bookmarkStart w:id="256" w:name="_Toc13333"/>
      <w:bookmarkStart w:id="257" w:name="_Toc16186"/>
      <w:r>
        <w:rPr>
          <w:rFonts w:hint="eastAsia" w:ascii="仿宋" w:hAnsi="仿宋" w:eastAsia="仿宋" w:cs="仿宋"/>
          <w:color w:val="auto"/>
          <w:szCs w:val="24"/>
          <w:highlight w:val="none"/>
        </w:rPr>
        <w:br w:type="page"/>
      </w:r>
      <w:bookmarkEnd w:id="254"/>
      <w:bookmarkEnd w:id="255"/>
      <w:bookmarkEnd w:id="256"/>
      <w:bookmarkEnd w:id="257"/>
      <w:bookmarkStart w:id="258" w:name="_Toc14192"/>
      <w:bookmarkStart w:id="259" w:name="_Toc1619"/>
      <w:bookmarkStart w:id="260" w:name="_Toc216582812"/>
      <w:bookmarkStart w:id="261" w:name="_Toc13706"/>
      <w:bookmarkStart w:id="262" w:name="_Toc12227"/>
      <w:bookmarkStart w:id="263" w:name="_Toc518923106"/>
      <w:bookmarkStart w:id="264" w:name="_Toc12659"/>
      <w:bookmarkStart w:id="265" w:name="_Toc27239"/>
      <w:r>
        <w:rPr>
          <w:rFonts w:hint="eastAsia" w:ascii="仿宋_GB2312" w:eastAsia="仿宋_GB2312"/>
          <w:color w:val="auto"/>
          <w:highlight w:val="none"/>
          <w:lang w:val="en-US" w:eastAsia="zh-CN"/>
        </w:rPr>
        <w:t>响应</w:t>
      </w:r>
      <w:r>
        <w:rPr>
          <w:rFonts w:hint="eastAsia" w:ascii="仿宋_GB2312" w:eastAsia="仿宋_GB2312"/>
          <w:color w:val="auto"/>
          <w:highlight w:val="none"/>
        </w:rPr>
        <w:t>文件格式</w:t>
      </w:r>
      <w:bookmarkEnd w:id="258"/>
      <w:bookmarkEnd w:id="259"/>
      <w:bookmarkEnd w:id="260"/>
      <w:bookmarkEnd w:id="261"/>
      <w:bookmarkEnd w:id="262"/>
      <w:bookmarkEnd w:id="263"/>
      <w:bookmarkEnd w:id="264"/>
      <w:bookmarkEnd w:id="265"/>
    </w:p>
    <w:p w14:paraId="4935A636">
      <w:pPr>
        <w:spacing w:line="240" w:lineRule="atLeast"/>
        <w:ind w:left="735" w:leftChars="350" w:firstLine="120" w:firstLineChars="50"/>
        <w:rPr>
          <w:rFonts w:ascii="仿宋_GB2312" w:hAnsi="宋体" w:eastAsia="仿宋_GB2312"/>
          <w:color w:val="auto"/>
          <w:sz w:val="24"/>
          <w:highlight w:val="none"/>
        </w:rPr>
      </w:pPr>
    </w:p>
    <w:p w14:paraId="463BFC13">
      <w:pPr>
        <w:pStyle w:val="3"/>
        <w:spacing w:before="0" w:line="240" w:lineRule="atLeast"/>
        <w:ind w:left="1079" w:leftChars="257" w:hanging="540"/>
        <w:rPr>
          <w:rFonts w:ascii="仿宋" w:hAnsi="仿宋" w:eastAsia="仿宋" w:cs="仿宋"/>
          <w:color w:val="auto"/>
          <w:sz w:val="24"/>
          <w:highlight w:val="none"/>
        </w:rPr>
      </w:pPr>
      <w:bookmarkStart w:id="266" w:name="_Toc18974"/>
      <w:bookmarkStart w:id="267" w:name="_Toc4987"/>
      <w:bookmarkStart w:id="268" w:name="_Toc18694"/>
      <w:bookmarkStart w:id="269" w:name="_Toc515647803"/>
      <w:bookmarkStart w:id="270" w:name="_Toc17694"/>
      <w:bookmarkStart w:id="271" w:name="_Toc518923108"/>
      <w:bookmarkStart w:id="272" w:name="_Toc5814"/>
      <w:bookmarkStart w:id="273" w:name="_Toc9660"/>
      <w:bookmarkStart w:id="274" w:name="_Toc30187"/>
      <w:bookmarkStart w:id="275" w:name="_Toc20858"/>
      <w:r>
        <w:rPr>
          <w:rFonts w:hint="eastAsia" w:ascii="仿宋" w:hAnsi="仿宋" w:eastAsia="仿宋" w:cs="仿宋"/>
          <w:color w:val="auto"/>
          <w:sz w:val="24"/>
          <w:highlight w:val="none"/>
        </w:rPr>
        <w:t>第一部分 开标一览表及资格证明文件</w:t>
      </w:r>
      <w:bookmarkEnd w:id="266"/>
      <w:bookmarkEnd w:id="267"/>
      <w:bookmarkEnd w:id="268"/>
      <w:bookmarkEnd w:id="269"/>
      <w:bookmarkEnd w:id="270"/>
    </w:p>
    <w:p w14:paraId="1EB28D8F">
      <w:pPr>
        <w:spacing w:line="240" w:lineRule="atLeast"/>
        <w:ind w:left="708" w:hanging="708" w:hangingChars="295"/>
        <w:jc w:val="center"/>
        <w:rPr>
          <w:rFonts w:ascii="仿宋" w:hAnsi="仿宋" w:eastAsia="仿宋" w:cs="仿宋"/>
          <w:color w:val="auto"/>
          <w:sz w:val="24"/>
          <w:highlight w:val="none"/>
        </w:rPr>
      </w:pPr>
    </w:p>
    <w:p w14:paraId="34364AAC">
      <w:pPr>
        <w:tabs>
          <w:tab w:val="left" w:pos="5580"/>
        </w:tabs>
        <w:spacing w:line="240" w:lineRule="auto"/>
        <w:ind w:firstLine="424" w:firstLineChars="177"/>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1、开标一览表（见磋商文件格式一）;</w:t>
      </w:r>
    </w:p>
    <w:p w14:paraId="4864D9EE">
      <w:pPr>
        <w:tabs>
          <w:tab w:val="left" w:pos="5580"/>
        </w:tabs>
        <w:spacing w:line="240" w:lineRule="auto"/>
        <w:ind w:left="1" w:firstLine="564" w:firstLineChars="235"/>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具有相应的营业执照</w:t>
      </w:r>
      <w:r>
        <w:rPr>
          <w:rFonts w:hint="eastAsia" w:ascii="仿宋" w:hAnsi="仿宋" w:eastAsia="仿宋" w:cs="仿宋"/>
          <w:color w:val="auto"/>
          <w:sz w:val="24"/>
          <w:highlight w:val="none"/>
        </w:rPr>
        <w:t>（须加盖本单位章）;</w:t>
      </w:r>
    </w:p>
    <w:p w14:paraId="69CACE4D">
      <w:pPr>
        <w:tabs>
          <w:tab w:val="left" w:pos="5580"/>
        </w:tabs>
        <w:spacing w:line="240" w:lineRule="auto"/>
        <w:ind w:left="1" w:firstLine="564" w:firstLineChars="2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3、法定代表人授权委托书及被委托人身份证（法定代表人投标提供法定代表人身份证明及身份证），自然人投标的无需提供（见磋商文件格式</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w:t>
      </w:r>
    </w:p>
    <w:p w14:paraId="6EDE81B7">
      <w:pPr>
        <w:tabs>
          <w:tab w:val="left" w:pos="5580"/>
        </w:tabs>
        <w:spacing w:line="240" w:lineRule="auto"/>
        <w:ind w:left="1" w:firstLine="564" w:firstLineChars="23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4、本单位缴纳的近三个月中任意一个月的社保缴纳证明；</w:t>
      </w:r>
    </w:p>
    <w:p w14:paraId="1F0EF1C4">
      <w:pPr>
        <w:tabs>
          <w:tab w:val="left" w:pos="5580"/>
        </w:tabs>
        <w:spacing w:line="240" w:lineRule="auto"/>
        <w:ind w:left="1" w:firstLine="564" w:firstLineChars="2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具有税务局开具依法缴纳近三个月中任意一个月的税收证明的良好记录（完税证明），注：①若为零申报企业，需提供无欠税证明或国家税务总局电子税务局“申报结果查询截图”。②“税种”非社会保险</w:t>
      </w:r>
      <w:r>
        <w:rPr>
          <w:rFonts w:hint="eastAsia" w:ascii="仿宋" w:hAnsi="仿宋" w:eastAsia="仿宋" w:cs="仿宋"/>
          <w:color w:val="auto"/>
          <w:sz w:val="24"/>
          <w:highlight w:val="none"/>
        </w:rPr>
        <w:t>；</w:t>
      </w:r>
    </w:p>
    <w:p w14:paraId="00897251">
      <w:pPr>
        <w:tabs>
          <w:tab w:val="left" w:pos="5580"/>
        </w:tabs>
        <w:spacing w:line="240" w:lineRule="auto"/>
        <w:ind w:left="1" w:firstLine="564" w:firstLineChars="2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具有2024年度的财务审计报告（新成立未满一年的公司提供有效的银行资信证明）</w:t>
      </w:r>
      <w:r>
        <w:rPr>
          <w:rFonts w:hint="eastAsia" w:ascii="仿宋" w:hAnsi="仿宋" w:eastAsia="仿宋" w:cs="仿宋"/>
          <w:color w:val="auto"/>
          <w:sz w:val="24"/>
          <w:highlight w:val="none"/>
        </w:rPr>
        <w:t>；</w:t>
      </w:r>
    </w:p>
    <w:p w14:paraId="17DCCDBB">
      <w:pPr>
        <w:tabs>
          <w:tab w:val="left" w:pos="5580"/>
        </w:tabs>
        <w:spacing w:line="240" w:lineRule="auto"/>
        <w:ind w:left="1" w:firstLine="564" w:firstLineChars="23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7、投标供应商参加项目领取磋商文件及投标环节期间采购活动前3年内，在经营活动中没有重大违法记录的书面承诺书（自拟）；</w:t>
      </w:r>
    </w:p>
    <w:p w14:paraId="492D30EB">
      <w:pPr>
        <w:tabs>
          <w:tab w:val="left" w:pos="5580"/>
        </w:tabs>
        <w:spacing w:line="240" w:lineRule="auto"/>
        <w:ind w:left="1" w:firstLine="564" w:firstLineChars="23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8、针对本项目的反商业贿赂承诺书；</w:t>
      </w:r>
    </w:p>
    <w:p w14:paraId="1898D9FE">
      <w:pPr>
        <w:tabs>
          <w:tab w:val="left" w:pos="5580"/>
        </w:tabs>
        <w:spacing w:line="240" w:lineRule="auto"/>
        <w:ind w:left="1" w:firstLine="564" w:firstLineChars="23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将拒绝其参加本次招标活动。</w:t>
      </w:r>
    </w:p>
    <w:p w14:paraId="376A1C6F">
      <w:pPr>
        <w:tabs>
          <w:tab w:val="left" w:pos="5580"/>
        </w:tabs>
        <w:spacing w:line="240" w:lineRule="auto"/>
        <w:ind w:left="1" w:firstLine="564" w:firstLineChars="235"/>
        <w:jc w:val="left"/>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10、磋商</w:t>
      </w:r>
      <w:r>
        <w:rPr>
          <w:rFonts w:hint="eastAsia" w:ascii="仿宋" w:hAnsi="仿宋" w:eastAsia="仿宋" w:cs="仿宋"/>
          <w:b w:val="0"/>
          <w:bCs w:val="0"/>
          <w:color w:val="auto"/>
          <w:sz w:val="24"/>
          <w:highlight w:val="none"/>
        </w:rPr>
        <w:t>保证金</w:t>
      </w:r>
      <w:r>
        <w:rPr>
          <w:rFonts w:hint="eastAsia" w:ascii="仿宋" w:hAnsi="仿宋" w:eastAsia="仿宋" w:cs="仿宋"/>
          <w:b w:val="0"/>
          <w:bCs w:val="0"/>
          <w:color w:val="auto"/>
          <w:sz w:val="24"/>
          <w:highlight w:val="none"/>
          <w:lang w:val="en-US" w:eastAsia="zh-CN"/>
        </w:rPr>
        <w:t>有效</w:t>
      </w:r>
      <w:r>
        <w:rPr>
          <w:rFonts w:hint="eastAsia" w:ascii="仿宋" w:hAnsi="仿宋" w:eastAsia="仿宋" w:cs="仿宋"/>
          <w:b w:val="0"/>
          <w:bCs w:val="0"/>
          <w:color w:val="auto"/>
          <w:sz w:val="24"/>
          <w:highlight w:val="none"/>
        </w:rPr>
        <w:t>凭证</w:t>
      </w:r>
      <w:r>
        <w:rPr>
          <w:rFonts w:hint="eastAsia" w:ascii="仿宋" w:hAnsi="仿宋" w:eastAsia="仿宋" w:cs="仿宋"/>
          <w:b w:val="0"/>
          <w:bCs w:val="0"/>
          <w:color w:val="auto"/>
          <w:sz w:val="24"/>
          <w:highlight w:val="none"/>
          <w:lang w:val="zh-CN" w:eastAsia="zh-CN"/>
        </w:rPr>
        <w:t>；</w:t>
      </w:r>
    </w:p>
    <w:p w14:paraId="720F20F1">
      <w:pPr>
        <w:tabs>
          <w:tab w:val="left" w:pos="5580"/>
        </w:tabs>
        <w:spacing w:line="240" w:lineRule="auto"/>
        <w:ind w:left="1" w:firstLine="564" w:firstLineChars="235"/>
        <w:jc w:val="lef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w:t>
      </w:r>
      <w:r>
        <w:rPr>
          <w:rFonts w:hint="eastAsia" w:ascii="仿宋" w:hAnsi="仿宋" w:eastAsia="仿宋" w:cs="仿宋"/>
          <w:b w:val="0"/>
          <w:bCs w:val="0"/>
          <w:color w:val="auto"/>
          <w:sz w:val="24"/>
          <w:highlight w:val="none"/>
        </w:rPr>
        <w:t>供应商须知资料表要求的其他资格证明文件;</w:t>
      </w:r>
    </w:p>
    <w:p w14:paraId="3028C3F4">
      <w:pPr>
        <w:pStyle w:val="3"/>
        <w:spacing w:before="0" w:line="240" w:lineRule="atLeast"/>
        <w:ind w:left="1079" w:leftChars="257" w:hanging="540"/>
        <w:rPr>
          <w:rFonts w:hint="eastAsia" w:ascii="仿宋" w:hAnsi="仿宋" w:eastAsia="仿宋" w:cs="仿宋"/>
          <w:color w:val="auto"/>
          <w:sz w:val="24"/>
          <w:highlight w:val="none"/>
        </w:rPr>
      </w:pPr>
      <w:bookmarkStart w:id="276" w:name="_Toc30103"/>
      <w:bookmarkStart w:id="277" w:name="_Toc515647804"/>
      <w:bookmarkStart w:id="278" w:name="_Toc16568"/>
      <w:bookmarkStart w:id="279" w:name="_Toc30524"/>
    </w:p>
    <w:p w14:paraId="051A4C56">
      <w:pPr>
        <w:pStyle w:val="3"/>
        <w:spacing w:before="0"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280" w:name="_Toc31352"/>
      <w:bookmarkStart w:id="281" w:name="_Toc29061"/>
      <w:r>
        <w:rPr>
          <w:rFonts w:hint="eastAsia" w:ascii="仿宋" w:hAnsi="仿宋" w:eastAsia="仿宋" w:cs="仿宋"/>
          <w:color w:val="auto"/>
          <w:sz w:val="24"/>
          <w:highlight w:val="none"/>
        </w:rPr>
        <w:t>1  开标一览表（磋商文件格式一）</w:t>
      </w:r>
      <w:bookmarkEnd w:id="276"/>
      <w:bookmarkEnd w:id="277"/>
      <w:bookmarkEnd w:id="278"/>
      <w:bookmarkEnd w:id="279"/>
      <w:bookmarkEnd w:id="280"/>
      <w:bookmarkEnd w:id="281"/>
    </w:p>
    <w:p w14:paraId="18B314D0">
      <w:pPr>
        <w:pStyle w:val="15"/>
        <w:tabs>
          <w:tab w:val="left" w:pos="5580"/>
        </w:tabs>
        <w:spacing w:line="240" w:lineRule="atLeast"/>
        <w:ind w:left="268" w:leftChars="128"/>
        <w:rPr>
          <w:rFonts w:ascii="仿宋" w:hAnsi="仿宋" w:eastAsia="仿宋" w:cs="仿宋"/>
          <w:color w:val="auto"/>
          <w:sz w:val="24"/>
          <w:highlight w:val="none"/>
        </w:rPr>
      </w:pPr>
    </w:p>
    <w:p w14:paraId="3B69DFFF">
      <w:pPr>
        <w:pStyle w:val="15"/>
        <w:tabs>
          <w:tab w:val="left" w:pos="5580"/>
        </w:tabs>
        <w:spacing w:line="240" w:lineRule="atLeast"/>
        <w:ind w:left="268" w:leftChars="128"/>
        <w:rPr>
          <w:rFonts w:ascii="仿宋" w:hAnsi="仿宋" w:eastAsia="仿宋" w:cs="仿宋"/>
          <w:color w:val="auto"/>
          <w:sz w:val="24"/>
          <w:szCs w:val="24"/>
          <w:highlight w:val="none"/>
        </w:rPr>
      </w:pPr>
    </w:p>
    <w:p w14:paraId="2E82980E">
      <w:pPr>
        <w:pStyle w:val="8"/>
        <w:tabs>
          <w:tab w:val="left" w:pos="5580"/>
        </w:tabs>
        <w:spacing w:line="240" w:lineRule="atLeast"/>
        <w:ind w:left="1079" w:leftChars="257" w:hanging="540"/>
        <w:jc w:val="center"/>
        <w:rPr>
          <w:rFonts w:ascii="仿宋" w:hAnsi="仿宋" w:eastAsia="仿宋" w:cs="仿宋"/>
          <w:b/>
          <w:color w:val="auto"/>
          <w:highlight w:val="none"/>
        </w:rPr>
      </w:pPr>
      <w:r>
        <w:rPr>
          <w:rFonts w:hint="eastAsia" w:ascii="仿宋" w:hAnsi="仿宋" w:eastAsia="仿宋" w:cs="仿宋"/>
          <w:b/>
          <w:color w:val="auto"/>
          <w:highlight w:val="none"/>
        </w:rPr>
        <w:t>开标一览表</w:t>
      </w:r>
      <w:r>
        <w:rPr>
          <w:rFonts w:hint="eastAsia" w:ascii="仿宋" w:hAnsi="仿宋" w:eastAsia="仿宋" w:cs="仿宋"/>
          <w:b/>
          <w:color w:val="auto"/>
          <w:highlight w:val="none"/>
        </w:rPr>
        <w:cr/>
      </w:r>
    </w:p>
    <w:p w14:paraId="7C8BE417">
      <w:pPr>
        <w:pStyle w:val="8"/>
        <w:tabs>
          <w:tab w:val="left" w:pos="5580"/>
        </w:tabs>
        <w:spacing w:line="240" w:lineRule="atLeast"/>
        <w:ind w:left="1079" w:leftChars="257" w:hanging="540"/>
        <w:rPr>
          <w:rFonts w:ascii="仿宋" w:hAnsi="仿宋" w:eastAsia="仿宋" w:cs="仿宋"/>
          <w:color w:val="auto"/>
          <w:highlight w:val="none"/>
        </w:rPr>
      </w:pPr>
    </w:p>
    <w:p w14:paraId="5BAAF0BA">
      <w:pPr>
        <w:tabs>
          <w:tab w:val="left" w:pos="1800"/>
          <w:tab w:val="left" w:pos="5580"/>
        </w:tabs>
        <w:spacing w:line="240" w:lineRule="atLeast"/>
        <w:ind w:left="1079" w:leftChars="257" w:right="-867" w:rightChars="-413"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包号：         </w:t>
      </w:r>
    </w:p>
    <w:p w14:paraId="4B4AB162">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7"/>
        <w:tblW w:w="9916" w:type="dxa"/>
        <w:tblInd w:w="-674" w:type="dxa"/>
        <w:tblLayout w:type="fixed"/>
        <w:tblCellMar>
          <w:top w:w="0" w:type="dxa"/>
          <w:left w:w="0" w:type="dxa"/>
          <w:bottom w:w="0" w:type="dxa"/>
          <w:right w:w="0" w:type="dxa"/>
        </w:tblCellMar>
      </w:tblPr>
      <w:tblGrid>
        <w:gridCol w:w="1498"/>
        <w:gridCol w:w="1509"/>
        <w:gridCol w:w="1466"/>
        <w:gridCol w:w="1960"/>
        <w:gridCol w:w="1752"/>
        <w:gridCol w:w="1731"/>
      </w:tblGrid>
      <w:tr w14:paraId="49C428E3">
        <w:tblPrEx>
          <w:tblCellMar>
            <w:top w:w="0" w:type="dxa"/>
            <w:left w:w="0" w:type="dxa"/>
            <w:bottom w:w="0" w:type="dxa"/>
            <w:right w:w="0" w:type="dxa"/>
          </w:tblCellMar>
        </w:tblPrEx>
        <w:trPr>
          <w:trHeight w:val="76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795BD7C1">
            <w:pPr>
              <w:tabs>
                <w:tab w:val="left" w:pos="5580"/>
              </w:tabs>
              <w:spacing w:line="240" w:lineRule="atLeast"/>
              <w:ind w:right="-199"/>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509" w:type="dxa"/>
            <w:tcBorders>
              <w:top w:val="single" w:color="auto" w:sz="4" w:space="0"/>
              <w:left w:val="single" w:color="auto" w:sz="8" w:space="0"/>
              <w:bottom w:val="single" w:color="auto" w:sz="4" w:space="0"/>
              <w:right w:val="single" w:color="auto" w:sz="4" w:space="0"/>
            </w:tcBorders>
            <w:noWrap w:val="0"/>
            <w:vAlign w:val="center"/>
          </w:tcPr>
          <w:p w14:paraId="35C55105">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1466" w:type="dxa"/>
            <w:tcBorders>
              <w:top w:val="single" w:color="auto" w:sz="8" w:space="0"/>
              <w:left w:val="nil"/>
              <w:bottom w:val="single" w:color="auto" w:sz="4" w:space="0"/>
              <w:right w:val="single" w:color="auto" w:sz="4" w:space="0"/>
            </w:tcBorders>
            <w:noWrap w:val="0"/>
            <w:vAlign w:val="center"/>
          </w:tcPr>
          <w:p w14:paraId="02A990DD">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1960" w:type="dxa"/>
            <w:tcBorders>
              <w:top w:val="single" w:color="auto" w:sz="8" w:space="0"/>
              <w:left w:val="nil"/>
              <w:bottom w:val="single" w:color="auto" w:sz="4" w:space="0"/>
              <w:right w:val="single" w:color="auto" w:sz="4" w:space="0"/>
            </w:tcBorders>
            <w:noWrap w:val="0"/>
            <w:vAlign w:val="center"/>
          </w:tcPr>
          <w:p w14:paraId="1348655B">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服务期限</w:t>
            </w:r>
          </w:p>
        </w:tc>
        <w:tc>
          <w:tcPr>
            <w:tcW w:w="1752" w:type="dxa"/>
            <w:tcBorders>
              <w:top w:val="single" w:color="auto" w:sz="8" w:space="0"/>
              <w:left w:val="single" w:color="auto" w:sz="4" w:space="0"/>
              <w:bottom w:val="single" w:color="auto" w:sz="4" w:space="0"/>
              <w:right w:val="single" w:color="auto" w:sz="8" w:space="0"/>
            </w:tcBorders>
            <w:noWrap w:val="0"/>
            <w:vAlign w:val="center"/>
          </w:tcPr>
          <w:p w14:paraId="58965666">
            <w:pPr>
              <w:tabs>
                <w:tab w:val="left" w:pos="5580"/>
              </w:tabs>
              <w:spacing w:line="240" w:lineRule="atLeas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服务地点</w:t>
            </w:r>
          </w:p>
        </w:tc>
        <w:tc>
          <w:tcPr>
            <w:tcW w:w="1731" w:type="dxa"/>
            <w:tcBorders>
              <w:top w:val="single" w:color="auto" w:sz="8" w:space="0"/>
              <w:left w:val="single" w:color="auto" w:sz="4" w:space="0"/>
              <w:bottom w:val="single" w:color="auto" w:sz="4" w:space="0"/>
              <w:right w:val="single" w:color="auto" w:sz="8" w:space="0"/>
            </w:tcBorders>
            <w:noWrap w:val="0"/>
            <w:vAlign w:val="center"/>
          </w:tcPr>
          <w:p w14:paraId="705ED0E3">
            <w:pPr>
              <w:tabs>
                <w:tab w:val="left" w:pos="5580"/>
              </w:tabs>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D1061FC">
        <w:tblPrEx>
          <w:tblCellMar>
            <w:top w:w="0" w:type="dxa"/>
            <w:left w:w="0" w:type="dxa"/>
            <w:bottom w:w="0" w:type="dxa"/>
            <w:right w:w="0" w:type="dxa"/>
          </w:tblCellMar>
        </w:tblPrEx>
        <w:trPr>
          <w:cantSplit/>
          <w:trHeight w:val="1682"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244B6369">
            <w:pPr>
              <w:tabs>
                <w:tab w:val="left" w:pos="5580"/>
              </w:tabs>
              <w:spacing w:line="240" w:lineRule="atLeast"/>
              <w:ind w:left="1079" w:leftChars="257" w:hanging="540"/>
              <w:jc w:val="both"/>
              <w:rPr>
                <w:color w:val="auto"/>
              </w:rPr>
            </w:pPr>
          </w:p>
          <w:p w14:paraId="64FA7A71">
            <w:pPr>
              <w:bidi w:val="0"/>
              <w:ind w:firstLine="630" w:firstLineChars="300"/>
              <w:jc w:val="both"/>
              <w:rPr>
                <w:rFonts w:ascii="Times New Roman" w:hAnsi="Times New Roman" w:eastAsia="宋体" w:cs="Times New Roman"/>
                <w:color w:val="auto"/>
                <w:kern w:val="2"/>
                <w:sz w:val="21"/>
                <w:szCs w:val="24"/>
                <w:lang w:val="en-US" w:eastAsia="zh-CN" w:bidi="ar-SA"/>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DA11F58">
            <w:pPr>
              <w:tabs>
                <w:tab w:val="left" w:pos="5580"/>
              </w:tabs>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大写：</w:t>
            </w:r>
          </w:p>
          <w:p w14:paraId="6608C7DE">
            <w:pPr>
              <w:tabs>
                <w:tab w:val="left" w:pos="5580"/>
              </w:tabs>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C80BE27">
            <w:pPr>
              <w:tabs>
                <w:tab w:val="left" w:pos="5580"/>
              </w:tabs>
              <w:spacing w:line="240" w:lineRule="atLeast"/>
              <w:ind w:left="1079" w:leftChars="257" w:hanging="540"/>
              <w:jc w:val="center"/>
              <w:rPr>
                <w:rFonts w:ascii="仿宋" w:hAnsi="仿宋" w:eastAsia="仿宋" w:cs="仿宋"/>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050D018B">
            <w:pPr>
              <w:tabs>
                <w:tab w:val="left" w:pos="5580"/>
              </w:tabs>
              <w:spacing w:line="240" w:lineRule="atLeast"/>
              <w:ind w:left="1079" w:leftChars="257" w:hanging="540"/>
              <w:jc w:val="center"/>
              <w:rPr>
                <w:rFonts w:ascii="仿宋" w:hAnsi="仿宋" w:eastAsia="仿宋" w:cs="仿宋"/>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center"/>
          </w:tcPr>
          <w:p w14:paraId="49F7AE6E">
            <w:pPr>
              <w:tabs>
                <w:tab w:val="left" w:pos="5580"/>
              </w:tabs>
              <w:spacing w:line="240" w:lineRule="atLeast"/>
              <w:ind w:left="1079" w:leftChars="257" w:hanging="540"/>
              <w:jc w:val="center"/>
              <w:rPr>
                <w:rFonts w:ascii="仿宋" w:hAnsi="仿宋" w:eastAsia="仿宋" w:cs="仿宋"/>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5FC4988">
            <w:pPr>
              <w:tabs>
                <w:tab w:val="left" w:pos="5580"/>
              </w:tabs>
              <w:spacing w:line="240" w:lineRule="atLeast"/>
              <w:ind w:left="1079" w:leftChars="257" w:hanging="540"/>
              <w:jc w:val="center"/>
              <w:rPr>
                <w:rFonts w:ascii="仿宋" w:hAnsi="仿宋" w:eastAsia="仿宋" w:cs="仿宋"/>
                <w:color w:val="auto"/>
                <w:sz w:val="24"/>
                <w:highlight w:val="none"/>
              </w:rPr>
            </w:pPr>
          </w:p>
        </w:tc>
      </w:tr>
    </w:tbl>
    <w:p w14:paraId="033CF5AC">
      <w:pPr>
        <w:pStyle w:val="15"/>
        <w:tabs>
          <w:tab w:val="left" w:pos="5580"/>
        </w:tabs>
        <w:spacing w:line="240" w:lineRule="atLeast"/>
        <w:ind w:left="1079" w:leftChars="257" w:hanging="540"/>
        <w:rPr>
          <w:rFonts w:ascii="仿宋" w:hAnsi="仿宋" w:eastAsia="仿宋" w:cs="仿宋"/>
          <w:color w:val="auto"/>
          <w:sz w:val="24"/>
          <w:highlight w:val="none"/>
        </w:rPr>
      </w:pPr>
    </w:p>
    <w:p w14:paraId="44604C5B">
      <w:pPr>
        <w:pStyle w:val="15"/>
        <w:tabs>
          <w:tab w:val="left" w:pos="5580"/>
        </w:tabs>
        <w:spacing w:line="240" w:lineRule="atLeast"/>
        <w:ind w:left="1079" w:leftChars="257" w:hanging="540"/>
        <w:rPr>
          <w:rFonts w:ascii="仿宋" w:hAnsi="仿宋" w:eastAsia="仿宋" w:cs="仿宋"/>
          <w:color w:val="auto"/>
          <w:sz w:val="24"/>
          <w:highlight w:val="none"/>
          <w:u w:val="single"/>
        </w:rPr>
      </w:pPr>
    </w:p>
    <w:p w14:paraId="7074F24C">
      <w:pPr>
        <w:pStyle w:val="15"/>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供应商名称（单位盖章）：</w:t>
      </w:r>
      <w:r>
        <w:rPr>
          <w:rFonts w:hint="eastAsia" w:ascii="仿宋" w:hAnsi="仿宋" w:eastAsia="仿宋" w:cs="仿宋"/>
          <w:color w:val="auto"/>
          <w:sz w:val="24"/>
          <w:highlight w:val="none"/>
          <w:u w:val="single"/>
        </w:rPr>
        <w:t xml:space="preserve">                       </w:t>
      </w:r>
    </w:p>
    <w:p w14:paraId="0122E724">
      <w:pPr>
        <w:pStyle w:val="15"/>
        <w:tabs>
          <w:tab w:val="left" w:pos="5580"/>
        </w:tabs>
        <w:spacing w:line="240" w:lineRule="atLeast"/>
        <w:ind w:left="1079" w:leftChars="257" w:hanging="540"/>
        <w:rPr>
          <w:rFonts w:ascii="仿宋" w:hAnsi="仿宋" w:eastAsia="仿宋" w:cs="仿宋"/>
          <w:color w:val="auto"/>
          <w:sz w:val="24"/>
          <w:highlight w:val="none"/>
        </w:rPr>
      </w:pPr>
    </w:p>
    <w:p w14:paraId="72872D82">
      <w:pPr>
        <w:pStyle w:val="15"/>
        <w:tabs>
          <w:tab w:val="left" w:pos="5580"/>
        </w:tabs>
        <w:spacing w:line="240" w:lineRule="atLeast"/>
        <w:ind w:left="1079" w:leftChars="257" w:hanging="54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1B27015E">
      <w:pPr>
        <w:pStyle w:val="15"/>
        <w:tabs>
          <w:tab w:val="left" w:pos="5580"/>
        </w:tabs>
        <w:spacing w:line="240" w:lineRule="atLeast"/>
        <w:ind w:left="1079" w:leftChars="257" w:hanging="540"/>
        <w:rPr>
          <w:rFonts w:ascii="仿宋" w:hAnsi="仿宋" w:eastAsia="仿宋" w:cs="仿宋"/>
          <w:color w:val="auto"/>
          <w:sz w:val="24"/>
          <w:highlight w:val="none"/>
        </w:rPr>
      </w:pPr>
    </w:p>
    <w:p w14:paraId="140A9B28">
      <w:pPr>
        <w:pStyle w:val="15"/>
        <w:tabs>
          <w:tab w:val="left" w:pos="5580"/>
        </w:tabs>
        <w:spacing w:line="240" w:lineRule="atLeas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一致。</w:t>
      </w:r>
    </w:p>
    <w:p w14:paraId="60E36086">
      <w:pPr>
        <w:pStyle w:val="3"/>
        <w:spacing w:before="0" w:line="240" w:lineRule="atLeast"/>
        <w:ind w:firstLine="480" w:firstLineChars="200"/>
        <w:jc w:val="center"/>
        <w:rPr>
          <w:rFonts w:hint="eastAsia" w:ascii="仿宋" w:hAnsi="仿宋" w:eastAsia="仿宋" w:cs="仿宋"/>
          <w:b/>
          <w:bCs/>
          <w:color w:val="auto"/>
          <w:sz w:val="24"/>
          <w:highlight w:val="none"/>
          <w:lang w:val="en-US" w:eastAsia="zh-CN"/>
        </w:rPr>
      </w:pPr>
      <w:bookmarkStart w:id="282" w:name="_Toc515647805"/>
      <w:bookmarkStart w:id="283" w:name="_Toc29899"/>
      <w:bookmarkStart w:id="284" w:name="_Toc17577"/>
      <w:bookmarkStart w:id="285" w:name="_Toc12065"/>
      <w:r>
        <w:rPr>
          <w:rFonts w:hint="eastAsia" w:ascii="仿宋" w:hAnsi="仿宋" w:eastAsia="仿宋" w:cs="仿宋"/>
          <w:b/>
          <w:bCs w:val="0"/>
          <w:color w:val="auto"/>
          <w:sz w:val="24"/>
          <w:highlight w:val="none"/>
        </w:rPr>
        <w:br w:type="page"/>
      </w:r>
      <w:bookmarkStart w:id="286" w:name="_Toc4419"/>
      <w:bookmarkStart w:id="287" w:name="_Toc21081"/>
      <w:r>
        <w:rPr>
          <w:rFonts w:hint="eastAsia" w:ascii="仿宋" w:hAnsi="仿宋" w:eastAsia="仿宋" w:cs="仿宋"/>
          <w:b/>
          <w:bCs w:val="0"/>
          <w:color w:val="auto"/>
          <w:sz w:val="24"/>
          <w:highlight w:val="none"/>
        </w:rPr>
        <w:t xml:space="preserve">2  </w:t>
      </w:r>
      <w:bookmarkEnd w:id="282"/>
      <w:bookmarkEnd w:id="283"/>
      <w:bookmarkEnd w:id="284"/>
      <w:r>
        <w:rPr>
          <w:rFonts w:hint="eastAsia" w:ascii="仿宋" w:hAnsi="仿宋" w:eastAsia="仿宋" w:cs="仿宋"/>
          <w:b/>
          <w:bCs/>
          <w:color w:val="auto"/>
          <w:sz w:val="24"/>
          <w:highlight w:val="none"/>
          <w:lang w:val="en-US" w:eastAsia="zh-CN"/>
        </w:rPr>
        <w:t>营业执照</w:t>
      </w:r>
      <w:bookmarkEnd w:id="285"/>
      <w:bookmarkEnd w:id="286"/>
      <w:bookmarkEnd w:id="287"/>
    </w:p>
    <w:p w14:paraId="2B93F2A5">
      <w:pPr>
        <w:rPr>
          <w:rFonts w:hint="eastAsia"/>
        </w:rPr>
      </w:pPr>
    </w:p>
    <w:p w14:paraId="5ECFDD68">
      <w:pPr>
        <w:keepNext w:val="0"/>
        <w:keepLines w:val="0"/>
        <w:pageBreakBefore w:val="0"/>
        <w:widowControl w:val="0"/>
        <w:kinsoku/>
        <w:wordWrap/>
        <w:overflowPunct/>
        <w:topLinePunct w:val="0"/>
        <w:autoSpaceDE/>
        <w:autoSpaceDN/>
        <w:bidi w:val="0"/>
        <w:adjustRightInd/>
        <w:snapToGrid/>
        <w:ind w:leftChars="4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合格有效的三证合一的营业执照（三证合一）或电子营业执照（需加盖公章）或同等法律效力的证明文件（发证机关或公证机关出具的证明材料）</w:t>
      </w:r>
    </w:p>
    <w:p w14:paraId="2E0EF886">
      <w:pPr>
        <w:pStyle w:val="15"/>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7F66F062">
      <w:pPr>
        <w:pStyle w:val="15"/>
        <w:tabs>
          <w:tab w:val="left" w:pos="5580"/>
        </w:tabs>
        <w:spacing w:line="240" w:lineRule="atLeast"/>
        <w:ind w:left="1438" w:leftChars="228"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05D238A7">
      <w:pPr>
        <w:pStyle w:val="15"/>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2.供应商为自然人的，应提供身份证明的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11CE9514">
      <w:pPr>
        <w:pStyle w:val="15"/>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3A42F49">
      <w:pPr>
        <w:pStyle w:val="3"/>
        <w:spacing w:before="0" w:line="240" w:lineRule="atLeast"/>
        <w:ind w:left="1079" w:leftChars="257" w:hanging="540"/>
        <w:rPr>
          <w:rFonts w:ascii="仿宋" w:hAnsi="仿宋" w:eastAsia="仿宋" w:cs="仿宋"/>
          <w:color w:val="auto"/>
          <w:sz w:val="24"/>
          <w:highlight w:val="none"/>
        </w:rPr>
      </w:pPr>
      <w:bookmarkStart w:id="288" w:name="_Toc515647807"/>
      <w:bookmarkStart w:id="289" w:name="_Toc23503"/>
      <w:bookmarkStart w:id="290" w:name="_Toc22472"/>
      <w:bookmarkStart w:id="291" w:name="_Toc19734"/>
      <w:bookmarkStart w:id="292" w:name="_Toc1083"/>
      <w:bookmarkStart w:id="293" w:name="_Toc7039"/>
      <w:bookmarkStart w:id="294" w:name="_Toc515647808"/>
      <w:bookmarkStart w:id="295" w:name="_Toc32520"/>
      <w:r>
        <w:rPr>
          <w:rFonts w:hint="eastAsia" w:ascii="仿宋" w:hAnsi="仿宋" w:eastAsia="仿宋" w:cs="仿宋"/>
          <w:color w:val="auto"/>
          <w:sz w:val="24"/>
          <w:highlight w:val="none"/>
        </w:rPr>
        <w:br w:type="page"/>
      </w:r>
      <w:bookmarkStart w:id="296" w:name="_Toc21068"/>
      <w:bookmarkStart w:id="297" w:name="_Toc24550"/>
      <w:r>
        <w:rPr>
          <w:rFonts w:hint="eastAsia" w:ascii="仿宋" w:hAnsi="仿宋" w:eastAsia="仿宋" w:cs="仿宋"/>
          <w:color w:val="auto"/>
          <w:sz w:val="24"/>
          <w:highlight w:val="none"/>
        </w:rPr>
        <w:t>3  法定代表人授权委托书</w:t>
      </w:r>
      <w:bookmarkEnd w:id="288"/>
      <w:bookmarkEnd w:id="289"/>
      <w:bookmarkEnd w:id="290"/>
      <w:bookmarkEnd w:id="291"/>
      <w:bookmarkEnd w:id="292"/>
      <w:bookmarkEnd w:id="296"/>
      <w:bookmarkEnd w:id="297"/>
      <w:r>
        <w:rPr>
          <w:rFonts w:hint="eastAsia" w:ascii="仿宋" w:hAnsi="仿宋" w:eastAsia="仿宋" w:cs="仿宋"/>
          <w:color w:val="auto"/>
          <w:sz w:val="24"/>
          <w:highlight w:val="none"/>
        </w:rPr>
        <w:t>（磋商文件格式</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w:t>
      </w:r>
    </w:p>
    <w:p w14:paraId="766003A1">
      <w:pPr>
        <w:pStyle w:val="15"/>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E9B2B10">
      <w:pPr>
        <w:pStyle w:val="15"/>
        <w:tabs>
          <w:tab w:val="left" w:pos="558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_GB2312" w:hAnsi="宋体" w:eastAsia="仿宋_GB2312"/>
          <w:b/>
          <w:bCs/>
          <w:color w:val="auto"/>
          <w:sz w:val="24"/>
          <w:highlight w:val="none"/>
        </w:rPr>
        <w:t>法人身份证复印件正反面（授权委托人身份证复印件正反面）</w:t>
      </w:r>
    </w:p>
    <w:p w14:paraId="545E11EB">
      <w:pPr>
        <w:pStyle w:val="15"/>
        <w:tabs>
          <w:tab w:val="left" w:pos="5580"/>
        </w:tabs>
        <w:spacing w:line="240" w:lineRule="atLeast"/>
        <w:ind w:left="-539" w:leftChars="-257" w:firstLine="900" w:firstLineChars="375"/>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EAF9887">
                            <w:pPr>
                              <w:rPr>
                                <w:rFonts w:hAnsi="宋体"/>
                              </w:rPr>
                            </w:pPr>
                          </w:p>
                          <w:p w14:paraId="5F59A11D">
                            <w:pPr>
                              <w:rPr>
                                <w:rFonts w:hAnsi="宋体"/>
                              </w:rPr>
                            </w:pPr>
                          </w:p>
                          <w:p w14:paraId="5D09874A">
                            <w:pPr>
                              <w:rPr>
                                <w:rFonts w:hAnsi="宋体"/>
                              </w:rPr>
                            </w:pPr>
                          </w:p>
                          <w:p w14:paraId="28994A7E"/>
                        </w:txbxContent>
                      </wps:txbx>
                      <wps:bodyPr wrap="square"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aFySLbAAAACgEAAA8AAAAAAAAAAQAgAAAAIgAAAGRycy9kb3du&#10;cmV2LnhtbFBLAQIUABQAAAAIAIdO4kAgoDXkNQIAAHQEAAAOAAAAAAAAAAEAIAAAACoBAABkcnMv&#10;ZTJvRG9jLnhtbFBLBQYAAAAABgAGAFkBAADRBQAAAAA=&#10;">
                <v:fill on="t" focussize="0,0"/>
                <v:stroke weight="1.25pt" color="#808080" joinstyle="round"/>
                <v:imagedata o:title=""/>
                <o:lock v:ext="edit" aspectratio="f"/>
                <v:textbox>
                  <w:txbxContent>
                    <w:p w14:paraId="3EAF9887">
                      <w:pPr>
                        <w:rPr>
                          <w:rFonts w:hAnsi="宋体"/>
                        </w:rPr>
                      </w:pPr>
                    </w:p>
                    <w:p w14:paraId="5F59A11D">
                      <w:pPr>
                        <w:rPr>
                          <w:rFonts w:hAnsi="宋体"/>
                        </w:rPr>
                      </w:pPr>
                    </w:p>
                    <w:p w14:paraId="5D09874A">
                      <w:pPr>
                        <w:rPr>
                          <w:rFonts w:hAnsi="宋体"/>
                        </w:rPr>
                      </w:pPr>
                    </w:p>
                    <w:p w14:paraId="28994A7E"/>
                  </w:txbxContent>
                </v:textbox>
              </v:roundrect>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C3AD7C">
                            <w:pPr>
                              <w:jc w:val="center"/>
                              <w:rPr>
                                <w:rFonts w:hAnsi="宋体"/>
                              </w:rPr>
                            </w:pPr>
                          </w:p>
                          <w:p w14:paraId="651D2D22">
                            <w:pPr>
                              <w:jc w:val="center"/>
                              <w:rPr>
                                <w:rFonts w:hAnsi="宋体"/>
                              </w:rPr>
                            </w:pPr>
                          </w:p>
                          <w:p w14:paraId="654C21B9">
                            <w:pPr>
                              <w:jc w:val="center"/>
                              <w:rPr>
                                <w:rFonts w:hAnsi="宋体"/>
                              </w:rPr>
                            </w:pPr>
                          </w:p>
                          <w:p w14:paraId="1FEF82FC">
                            <w:pPr>
                              <w:jc w:val="center"/>
                            </w:pPr>
                          </w:p>
                        </w:txbxContent>
                      </wps:txbx>
                      <wps:bodyPr wrap="square"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YEjIw1gAAAAgBAAAPAAAAAAAAAAEAIAAAACIAAABkcnMvZG93&#10;bnJldi54bWxQSwECFAAUAAAACACHTuJAeahyfDsCAABsBAAADgAAAAAAAAABACAAAAAlAQAAZHJz&#10;L2Uyb0RvYy54bWxQSwUGAAAAAAYABgBZAQAA0gUAAAAA&#10;">
                <v:fill on="t" focussize="0,0"/>
                <v:stroke color="#000000" joinstyle="miter"/>
                <v:imagedata o:title=""/>
                <o:lock v:ext="edit" aspectratio="f"/>
                <v:textbox>
                  <w:txbxContent>
                    <w:p w14:paraId="5EC3AD7C">
                      <w:pPr>
                        <w:jc w:val="center"/>
                        <w:rPr>
                          <w:rFonts w:hAnsi="宋体"/>
                        </w:rPr>
                      </w:pPr>
                    </w:p>
                    <w:p w14:paraId="651D2D22">
                      <w:pPr>
                        <w:jc w:val="center"/>
                        <w:rPr>
                          <w:rFonts w:hAnsi="宋体"/>
                        </w:rPr>
                      </w:pPr>
                    </w:p>
                    <w:p w14:paraId="654C21B9">
                      <w:pPr>
                        <w:jc w:val="center"/>
                        <w:rPr>
                          <w:rFonts w:hAnsi="宋体"/>
                        </w:rPr>
                      </w:pPr>
                    </w:p>
                    <w:p w14:paraId="1FEF82FC">
                      <w:pPr>
                        <w:jc w:val="center"/>
                      </w:pPr>
                    </w:p>
                  </w:txbxContent>
                </v:textbox>
              </v:shape>
            </w:pict>
          </mc:Fallback>
        </mc:AlternateContent>
      </w:r>
    </w:p>
    <w:p w14:paraId="10FA84E5">
      <w:pPr>
        <w:spacing w:line="360" w:lineRule="auto"/>
        <w:ind w:firstLine="240" w:firstLineChars="100"/>
        <w:rPr>
          <w:rFonts w:ascii="仿宋" w:hAnsi="仿宋" w:eastAsia="仿宋" w:cs="仿宋"/>
          <w:color w:val="auto"/>
          <w:sz w:val="24"/>
          <w:highlight w:val="none"/>
        </w:rPr>
      </w:pPr>
    </w:p>
    <w:p w14:paraId="4AE2C8A3">
      <w:pPr>
        <w:spacing w:line="360" w:lineRule="auto"/>
        <w:ind w:firstLine="240" w:firstLineChars="100"/>
        <w:rPr>
          <w:rFonts w:ascii="仿宋" w:hAnsi="仿宋" w:eastAsia="仿宋" w:cs="仿宋"/>
          <w:color w:val="auto"/>
          <w:sz w:val="24"/>
          <w:highlight w:val="none"/>
        </w:rPr>
      </w:pPr>
    </w:p>
    <w:p w14:paraId="452109E5">
      <w:pPr>
        <w:spacing w:line="360" w:lineRule="auto"/>
        <w:ind w:firstLine="240" w:firstLineChars="100"/>
        <w:rPr>
          <w:rFonts w:ascii="仿宋" w:hAnsi="仿宋" w:eastAsia="仿宋" w:cs="仿宋"/>
          <w:color w:val="auto"/>
          <w:sz w:val="24"/>
          <w:highlight w:val="none"/>
        </w:rPr>
      </w:pPr>
    </w:p>
    <w:p w14:paraId="3B801F2D">
      <w:pPr>
        <w:spacing w:line="360" w:lineRule="auto"/>
        <w:ind w:firstLine="240" w:firstLineChars="100"/>
        <w:rPr>
          <w:rFonts w:ascii="仿宋" w:hAnsi="仿宋" w:eastAsia="仿宋" w:cs="仿宋"/>
          <w:color w:val="auto"/>
          <w:sz w:val="24"/>
          <w:highlight w:val="none"/>
        </w:rPr>
      </w:pPr>
    </w:p>
    <w:p w14:paraId="5C8C0661">
      <w:pPr>
        <w:spacing w:line="360" w:lineRule="auto"/>
        <w:ind w:firstLine="240" w:firstLineChars="100"/>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C9DE54E">
                            <w:pPr>
                              <w:jc w:val="center"/>
                              <w:rPr>
                                <w:rFonts w:hAnsi="宋体"/>
                              </w:rPr>
                            </w:pPr>
                            <w:r>
                              <w:rPr>
                                <w:rFonts w:hint="eastAsia" w:hAnsi="宋体"/>
                              </w:rPr>
                              <w:t xml:space="preserve">  </w:t>
                            </w:r>
                          </w:p>
                          <w:p w14:paraId="16351425">
                            <w:pPr>
                              <w:jc w:val="center"/>
                              <w:rPr>
                                <w:rFonts w:hAnsi="宋体"/>
                              </w:rPr>
                            </w:pPr>
                          </w:p>
                          <w:p w14:paraId="42107605">
                            <w:pPr>
                              <w:jc w:val="center"/>
                              <w:rPr>
                                <w:rFonts w:hAnsi="宋体"/>
                              </w:rPr>
                            </w:pPr>
                          </w:p>
                          <w:p w14:paraId="2A475D56"/>
                        </w:txbxContent>
                      </wps:txbx>
                      <wps:bodyPr wrap="square"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HNIL2gAAAAkBAAAPAAAAAAAAAAEAIAAAACIAAABkcnMvZG93bnJl&#10;di54bWxQSwECFAAUAAAACACHTuJAoDR6FTQCAAB0BAAADgAAAAAAAAABACAAAAApAQAAZHJzL2Uy&#10;b0RvYy54bWxQSwUGAAAAAAYABgBZAQAAzwUAAAAA&#10;">
                <v:fill on="t" focussize="0,0"/>
                <v:stroke weight="1.25pt" color="#808080" joinstyle="round"/>
                <v:imagedata o:title=""/>
                <o:lock v:ext="edit" aspectratio="f"/>
                <v:textbox>
                  <w:txbxContent>
                    <w:p w14:paraId="4C9DE54E">
                      <w:pPr>
                        <w:jc w:val="center"/>
                        <w:rPr>
                          <w:rFonts w:hAnsi="宋体"/>
                        </w:rPr>
                      </w:pPr>
                      <w:r>
                        <w:rPr>
                          <w:rFonts w:hint="eastAsia" w:hAnsi="宋体"/>
                        </w:rPr>
                        <w:t xml:space="preserve">  </w:t>
                      </w:r>
                    </w:p>
                    <w:p w14:paraId="16351425">
                      <w:pPr>
                        <w:jc w:val="center"/>
                        <w:rPr>
                          <w:rFonts w:hAnsi="宋体"/>
                        </w:rPr>
                      </w:pPr>
                    </w:p>
                    <w:p w14:paraId="42107605">
                      <w:pPr>
                        <w:jc w:val="center"/>
                        <w:rPr>
                          <w:rFonts w:hAnsi="宋体"/>
                        </w:rPr>
                      </w:pPr>
                    </w:p>
                    <w:p w14:paraId="2A475D56"/>
                  </w:txbxContent>
                </v:textbox>
              </v:roundrect>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7D39002">
                            <w:pPr>
                              <w:jc w:val="center"/>
                              <w:rPr>
                                <w:rFonts w:hAnsi="宋体"/>
                              </w:rPr>
                            </w:pPr>
                          </w:p>
                          <w:p w14:paraId="2523E50A">
                            <w:pPr>
                              <w:jc w:val="center"/>
                              <w:rPr>
                                <w:rFonts w:hAnsi="宋体"/>
                              </w:rPr>
                            </w:pPr>
                          </w:p>
                          <w:p w14:paraId="109186F5">
                            <w:pPr>
                              <w:jc w:val="center"/>
                              <w:rPr>
                                <w:rFonts w:hAnsi="宋体"/>
                              </w:rPr>
                            </w:pPr>
                          </w:p>
                          <w:p w14:paraId="13F000E9"/>
                        </w:txbxContent>
                      </wps:txbx>
                      <wps:bodyPr wrap="square"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IuywrY3AgAAdAQAAA4AAAAAAAAAAQAgAAAAJwEAAGRycy9l&#10;Mm9Eb2MueG1sUEsFBgAAAAAGAAYAWQEAANAFAAAAAA==&#10;">
                <v:fill on="t" focussize="0,0"/>
                <v:stroke weight="1.25pt" color="#808080" joinstyle="round"/>
                <v:imagedata o:title=""/>
                <o:lock v:ext="edit" aspectratio="f"/>
                <v:textbox>
                  <w:txbxContent>
                    <w:p w14:paraId="07D39002">
                      <w:pPr>
                        <w:jc w:val="center"/>
                        <w:rPr>
                          <w:rFonts w:hAnsi="宋体"/>
                        </w:rPr>
                      </w:pPr>
                    </w:p>
                    <w:p w14:paraId="2523E50A">
                      <w:pPr>
                        <w:jc w:val="center"/>
                        <w:rPr>
                          <w:rFonts w:hAnsi="宋体"/>
                        </w:rPr>
                      </w:pPr>
                    </w:p>
                    <w:p w14:paraId="109186F5">
                      <w:pPr>
                        <w:jc w:val="center"/>
                        <w:rPr>
                          <w:rFonts w:hAnsi="宋体"/>
                        </w:rPr>
                      </w:pPr>
                    </w:p>
                    <w:p w14:paraId="13F000E9"/>
                  </w:txbxContent>
                </v:textbox>
              </v:roundrect>
            </w:pict>
          </mc:Fallback>
        </mc:AlternateContent>
      </w:r>
    </w:p>
    <w:p w14:paraId="061DB5C4">
      <w:pPr>
        <w:spacing w:line="360" w:lineRule="auto"/>
        <w:ind w:firstLine="240" w:firstLineChars="100"/>
        <w:rPr>
          <w:rFonts w:ascii="仿宋" w:hAnsi="仿宋" w:eastAsia="仿宋" w:cs="仿宋"/>
          <w:color w:val="auto"/>
          <w:sz w:val="24"/>
          <w:highlight w:val="none"/>
        </w:rPr>
      </w:pPr>
    </w:p>
    <w:p w14:paraId="780EB6CF">
      <w:pPr>
        <w:spacing w:line="360" w:lineRule="auto"/>
        <w:ind w:firstLine="240" w:firstLineChars="100"/>
        <w:rPr>
          <w:rFonts w:ascii="仿宋" w:hAnsi="仿宋" w:eastAsia="仿宋" w:cs="仿宋"/>
          <w:color w:val="auto"/>
          <w:sz w:val="24"/>
          <w:highlight w:val="none"/>
        </w:rPr>
      </w:pPr>
    </w:p>
    <w:p w14:paraId="328E82D4">
      <w:pPr>
        <w:pStyle w:val="15"/>
        <w:tabs>
          <w:tab w:val="left" w:pos="5580"/>
        </w:tabs>
        <w:spacing w:line="240" w:lineRule="atLeast"/>
        <w:rPr>
          <w:rFonts w:ascii="仿宋" w:hAnsi="仿宋" w:eastAsia="仿宋" w:cs="仿宋"/>
          <w:color w:val="auto"/>
          <w:sz w:val="24"/>
          <w:highlight w:val="none"/>
        </w:rPr>
      </w:pPr>
    </w:p>
    <w:p w14:paraId="7E398934">
      <w:pPr>
        <w:pStyle w:val="15"/>
        <w:tabs>
          <w:tab w:val="left" w:pos="5580"/>
        </w:tabs>
        <w:spacing w:line="240" w:lineRule="atLeast"/>
        <w:ind w:left="-539" w:leftChars="-257" w:firstLine="900" w:firstLineChars="375"/>
        <w:rPr>
          <w:rFonts w:ascii="仿宋" w:hAnsi="仿宋" w:eastAsia="仿宋" w:cs="仿宋"/>
          <w:color w:val="auto"/>
          <w:sz w:val="24"/>
          <w:highlight w:val="none"/>
        </w:rPr>
      </w:pPr>
    </w:p>
    <w:p w14:paraId="5C7C6697">
      <w:pPr>
        <w:pStyle w:val="15"/>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 xml:space="preserve">                           </w:t>
      </w:r>
    </w:p>
    <w:p w14:paraId="0D8E292D">
      <w:pPr>
        <w:pStyle w:val="15"/>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0AB19026">
      <w:pPr>
        <w:pStyle w:val="15"/>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0D2D415A">
      <w:pPr>
        <w:pStyle w:val="15"/>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委托代理人（签字或签章）：</w:t>
      </w:r>
      <w:r>
        <w:rPr>
          <w:rFonts w:hint="eastAsia" w:ascii="仿宋" w:hAnsi="仿宋" w:eastAsia="仿宋" w:cs="仿宋"/>
          <w:color w:val="auto"/>
          <w:sz w:val="24"/>
          <w:highlight w:val="none"/>
          <w:u w:val="single"/>
        </w:rPr>
        <w:t xml:space="preserve">                     </w:t>
      </w:r>
    </w:p>
    <w:p w14:paraId="69DA3693">
      <w:pPr>
        <w:pStyle w:val="15"/>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EAFA985">
      <w:pPr>
        <w:pStyle w:val="15"/>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0CC87BDC">
      <w:pPr>
        <w:pStyle w:val="15"/>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5937263F">
      <w:pPr>
        <w:pStyle w:val="15"/>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2F6317AA">
      <w:pPr>
        <w:pStyle w:val="15"/>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22265339">
      <w:pPr>
        <w:spacing w:line="360" w:lineRule="auto"/>
        <w:ind w:firstLine="420" w:firstLineChars="200"/>
        <w:jc w:val="right"/>
        <w:rPr>
          <w:rFonts w:ascii="仿宋" w:hAnsi="仿宋" w:eastAsia="仿宋" w:cs="仿宋"/>
          <w:color w:val="auto"/>
          <w:szCs w:val="21"/>
          <w:highlight w:val="none"/>
        </w:rPr>
      </w:pPr>
    </w:p>
    <w:p w14:paraId="0344AE2F">
      <w:pPr>
        <w:spacing w:line="360" w:lineRule="auto"/>
        <w:ind w:firstLine="420" w:firstLineChars="200"/>
        <w:jc w:val="right"/>
        <w:rPr>
          <w:rFonts w:ascii="仿宋" w:hAnsi="仿宋" w:eastAsia="仿宋" w:cs="仿宋"/>
          <w:color w:val="auto"/>
          <w:szCs w:val="21"/>
          <w:highlight w:val="none"/>
        </w:rPr>
      </w:pPr>
    </w:p>
    <w:p w14:paraId="16EE21A4">
      <w:pPr>
        <w:spacing w:line="360" w:lineRule="auto"/>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2E7DB1E8">
      <w:pPr>
        <w:pStyle w:val="3"/>
        <w:spacing w:before="0"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B7362C3">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298" w:name="_Toc20781"/>
      <w:bookmarkStart w:id="299" w:name="_Toc24272"/>
      <w:bookmarkStart w:id="300" w:name="_Toc1254"/>
      <w:r>
        <w:rPr>
          <w:rFonts w:hint="eastAsia" w:ascii="仿宋" w:hAnsi="仿宋" w:eastAsia="仿宋" w:cs="仿宋"/>
          <w:color w:val="auto"/>
          <w:sz w:val="24"/>
          <w:highlight w:val="none"/>
          <w:lang w:val="en-US" w:eastAsia="zh-CN"/>
        </w:rPr>
        <w:t>4  本单位缴纳的近三个月中任意一个月的社保缴纳证明；</w:t>
      </w:r>
      <w:bookmarkEnd w:id="298"/>
      <w:bookmarkEnd w:id="299"/>
      <w:bookmarkEnd w:id="300"/>
    </w:p>
    <w:p w14:paraId="0A46C09B">
      <w:pPr>
        <w:pStyle w:val="3"/>
        <w:spacing w:before="0" w:line="240" w:lineRule="atLeast"/>
        <w:ind w:left="1079" w:leftChars="257" w:hanging="540"/>
        <w:rPr>
          <w:rFonts w:hint="eastAsia" w:ascii="仿宋" w:hAnsi="仿宋" w:eastAsia="仿宋" w:cs="仿宋"/>
          <w:color w:val="auto"/>
          <w:sz w:val="24"/>
          <w:highlight w:val="none"/>
        </w:rPr>
      </w:pPr>
    </w:p>
    <w:p w14:paraId="44CAED92">
      <w:pPr>
        <w:ind w:firstLine="480" w:firstLineChars="200"/>
        <w:jc w:val="center"/>
        <w:outlineLvl w:val="1"/>
        <w:rPr>
          <w:rFonts w:hint="eastAsia" w:ascii="仿宋" w:hAnsi="仿宋" w:eastAsia="仿宋" w:cs="仿宋"/>
          <w:b/>
          <w:bCs/>
          <w:color w:val="auto"/>
          <w:sz w:val="24"/>
          <w:highlight w:val="none"/>
          <w:lang w:val="en-US" w:eastAsia="zh-CN"/>
        </w:rPr>
      </w:pPr>
      <w:bookmarkStart w:id="301" w:name="_Toc12792"/>
    </w:p>
    <w:p w14:paraId="60F88829">
      <w:pPr>
        <w:ind w:firstLine="480" w:firstLineChars="200"/>
        <w:jc w:val="center"/>
        <w:outlineLvl w:val="1"/>
        <w:rPr>
          <w:rFonts w:hint="eastAsia" w:ascii="仿宋" w:hAnsi="仿宋" w:eastAsia="仿宋" w:cs="仿宋"/>
          <w:b/>
          <w:bCs/>
          <w:color w:val="auto"/>
          <w:sz w:val="24"/>
          <w:highlight w:val="none"/>
          <w:lang w:val="en-US" w:eastAsia="zh-CN"/>
        </w:rPr>
      </w:pPr>
    </w:p>
    <w:p w14:paraId="459529A8">
      <w:pPr>
        <w:ind w:firstLine="480" w:firstLineChars="200"/>
        <w:jc w:val="center"/>
        <w:outlineLvl w:val="1"/>
        <w:rPr>
          <w:rFonts w:hint="eastAsia" w:eastAsia="仿宋"/>
          <w:b/>
          <w:bCs/>
          <w:color w:val="auto"/>
          <w:lang w:val="en-US" w:eastAsia="zh-CN"/>
        </w:rPr>
      </w:pPr>
      <w:bookmarkStart w:id="302" w:name="_Toc1103"/>
      <w:bookmarkStart w:id="303" w:name="_Toc14888"/>
      <w:r>
        <w:rPr>
          <w:rFonts w:hint="eastAsia" w:ascii="仿宋" w:hAnsi="仿宋" w:eastAsia="仿宋" w:cs="仿宋"/>
          <w:b/>
          <w:bCs/>
          <w:color w:val="auto"/>
          <w:sz w:val="24"/>
          <w:highlight w:val="none"/>
          <w:lang w:val="en-US" w:eastAsia="zh-CN"/>
        </w:rPr>
        <w:t xml:space="preserve">5  </w:t>
      </w:r>
      <w:r>
        <w:rPr>
          <w:rFonts w:hint="eastAsia" w:ascii="仿宋" w:hAnsi="仿宋" w:eastAsia="仿宋" w:cs="仿宋"/>
          <w:b/>
          <w:bCs/>
          <w:color w:val="auto"/>
          <w:sz w:val="24"/>
          <w:highlight w:val="none"/>
          <w:lang w:eastAsia="zh-CN"/>
        </w:rPr>
        <w:t>具有税务局开具依法缴纳近三个月中任意一个月的税收证明的良好记录（完税证明），注：①若为零申报企业，需提供无欠税证明或国家税务总局电子税务局“申报结果查询截图”。②“税种”非社会保险</w:t>
      </w:r>
      <w:r>
        <w:rPr>
          <w:rFonts w:hint="eastAsia" w:ascii="仿宋" w:hAnsi="仿宋" w:eastAsia="仿宋" w:cs="仿宋"/>
          <w:b/>
          <w:bCs/>
          <w:color w:val="auto"/>
          <w:sz w:val="24"/>
          <w:highlight w:val="none"/>
        </w:rPr>
        <w:t>；</w:t>
      </w:r>
      <w:bookmarkEnd w:id="301"/>
      <w:bookmarkEnd w:id="302"/>
      <w:bookmarkEnd w:id="303"/>
    </w:p>
    <w:p w14:paraId="4CDC346C">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304" w:name="_Toc29586"/>
    </w:p>
    <w:p w14:paraId="53427B12">
      <w:pPr>
        <w:pStyle w:val="3"/>
        <w:spacing w:before="0" w:line="240" w:lineRule="atLeast"/>
        <w:ind w:left="1079" w:leftChars="257" w:hanging="540"/>
        <w:rPr>
          <w:rFonts w:hint="eastAsia" w:ascii="仿宋" w:hAnsi="仿宋" w:eastAsia="仿宋" w:cs="仿宋"/>
          <w:color w:val="auto"/>
          <w:sz w:val="24"/>
          <w:highlight w:val="none"/>
          <w:lang w:val="en-US" w:eastAsia="zh-CN"/>
        </w:rPr>
      </w:pPr>
    </w:p>
    <w:p w14:paraId="3A281851">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305" w:name="_Toc8782"/>
      <w:bookmarkStart w:id="306" w:name="_Toc26789"/>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lang w:eastAsia="zh-CN"/>
        </w:rPr>
        <w:t>具有2024年度的财务审计报告（新成立未满一年的公司提供有效的银行资信证明）</w:t>
      </w:r>
      <w:r>
        <w:rPr>
          <w:rFonts w:hint="eastAsia" w:ascii="仿宋" w:hAnsi="仿宋" w:eastAsia="仿宋" w:cs="仿宋"/>
          <w:color w:val="auto"/>
          <w:sz w:val="24"/>
          <w:highlight w:val="none"/>
        </w:rPr>
        <w:t>；</w:t>
      </w:r>
      <w:bookmarkEnd w:id="304"/>
      <w:bookmarkEnd w:id="305"/>
      <w:bookmarkEnd w:id="306"/>
    </w:p>
    <w:p w14:paraId="5C22FA5B">
      <w:pPr>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4FB7F682">
      <w:pPr>
        <w:tabs>
          <w:tab w:val="left" w:pos="5580"/>
        </w:tabs>
        <w:spacing w:line="240" w:lineRule="atLeast"/>
        <w:ind w:left="540"/>
        <w:rPr>
          <w:rFonts w:ascii="仿宋" w:hAnsi="仿宋" w:eastAsia="仿宋" w:cs="仿宋"/>
          <w:bCs/>
          <w:color w:val="auto"/>
          <w:sz w:val="24"/>
          <w:highlight w:val="none"/>
        </w:rPr>
      </w:pPr>
      <w:r>
        <w:rPr>
          <w:rFonts w:hint="eastAsia" w:ascii="仿宋" w:hAnsi="仿宋" w:eastAsia="仿宋" w:cs="仿宋"/>
          <w:color w:val="auto"/>
          <w:sz w:val="24"/>
          <w:highlight w:val="none"/>
        </w:rPr>
        <w:t>1、如提供本单位上年度经会计师事务所出具的审计报告</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w:t>
      </w:r>
      <w:r>
        <w:rPr>
          <w:rFonts w:hint="eastAsia" w:ascii="仿宋" w:hAnsi="仿宋" w:eastAsia="仿宋" w:cs="仿宋"/>
          <w:bCs/>
          <w:color w:val="auto"/>
          <w:sz w:val="24"/>
          <w:highlight w:val="none"/>
        </w:rPr>
        <w:t>本单位章。</w:t>
      </w:r>
    </w:p>
    <w:p w14:paraId="69DAFC54">
      <w:pPr>
        <w:tabs>
          <w:tab w:val="left" w:pos="5580"/>
        </w:tabs>
        <w:spacing w:line="240" w:lineRule="atLeast"/>
        <w:ind w:left="540"/>
        <w:rPr>
          <w:rFonts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2、如提供银行出具的证明文件。银行证明文件可提供原件，也可提供银行在开标日前三个月内开具证明文件的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。若提供的是</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，招标采购单位保留审核原件的权利。银行出具的证明文件应能说明该供应商与银行之间业务往来正常，企业信誉良好等。</w:t>
      </w:r>
    </w:p>
    <w:p w14:paraId="5D40A0A4">
      <w:pPr>
        <w:pStyle w:val="3"/>
        <w:spacing w:before="0" w:line="240" w:lineRule="atLeast"/>
        <w:ind w:left="1079" w:leftChars="257" w:hanging="540"/>
        <w:rPr>
          <w:rFonts w:hint="eastAsia" w:ascii="仿宋" w:hAnsi="仿宋" w:eastAsia="仿宋" w:cs="仿宋"/>
          <w:color w:val="auto"/>
          <w:sz w:val="24"/>
          <w:highlight w:val="none"/>
        </w:rPr>
      </w:pPr>
    </w:p>
    <w:p w14:paraId="101A2260">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307" w:name="_Toc16703"/>
    </w:p>
    <w:p w14:paraId="3BFE8047">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308" w:name="_Toc32073"/>
      <w:bookmarkStart w:id="309" w:name="_Toc4627"/>
      <w:r>
        <w:rPr>
          <w:rFonts w:hint="eastAsia" w:ascii="仿宋" w:hAnsi="仿宋" w:eastAsia="仿宋" w:cs="仿宋"/>
          <w:b/>
          <w:bCs/>
          <w:color w:val="auto"/>
          <w:sz w:val="24"/>
          <w:highlight w:val="none"/>
          <w:lang w:val="en-US" w:eastAsia="zh-CN"/>
        </w:rPr>
        <w:t>7</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val="en-US" w:eastAsia="zh-CN"/>
        </w:rPr>
        <w:t>投标供应商参加项目领取磋商文件及投标环节期间采购活动前3年内，在经营活动中没有重大违法记录的书面承诺书（自拟）；</w:t>
      </w:r>
      <w:bookmarkEnd w:id="307"/>
      <w:bookmarkEnd w:id="308"/>
      <w:bookmarkEnd w:id="309"/>
    </w:p>
    <w:p w14:paraId="5A44FD8C">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310" w:name="_Toc9596"/>
    </w:p>
    <w:p w14:paraId="3B867631">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p>
    <w:p w14:paraId="2E5F1025">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311" w:name="_Toc22542"/>
      <w:bookmarkStart w:id="312" w:name="_Toc27682"/>
      <w:r>
        <w:rPr>
          <w:rFonts w:hint="eastAsia" w:ascii="仿宋" w:hAnsi="仿宋" w:eastAsia="仿宋" w:cs="仿宋"/>
          <w:b/>
          <w:bCs/>
          <w:color w:val="auto"/>
          <w:sz w:val="24"/>
          <w:highlight w:val="none"/>
          <w:lang w:val="en-US" w:eastAsia="zh-CN"/>
        </w:rPr>
        <w:t>8</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val="en-US" w:eastAsia="zh-CN"/>
        </w:rPr>
        <w:t>针对本项目的反商业贿赂承诺书；</w:t>
      </w:r>
      <w:bookmarkEnd w:id="310"/>
      <w:bookmarkEnd w:id="311"/>
      <w:bookmarkEnd w:id="312"/>
    </w:p>
    <w:bookmarkEnd w:id="293"/>
    <w:bookmarkEnd w:id="294"/>
    <w:bookmarkEnd w:id="295"/>
    <w:p w14:paraId="3A9792DF">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313" w:name="_Toc17128"/>
    </w:p>
    <w:p w14:paraId="3E2B3833">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p>
    <w:p w14:paraId="2555D9A0">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314" w:name="_Toc23674"/>
      <w:bookmarkStart w:id="315" w:name="_Toc1071"/>
      <w:r>
        <w:rPr>
          <w:rFonts w:hint="eastAsia" w:ascii="仿宋" w:hAnsi="仿宋" w:eastAsia="仿宋" w:cs="仿宋"/>
          <w:b/>
          <w:bCs/>
          <w:color w:val="auto"/>
          <w:sz w:val="24"/>
          <w:highlight w:val="none"/>
          <w:lang w:val="en-US" w:eastAsia="zh-CN"/>
        </w:rPr>
        <w:t>9  根据《财政部关于在政府采购活动中查询及使用信用记录有关问题的通知》（财库﹝2016﹞125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将拒绝其参加本次招标活动。</w:t>
      </w:r>
      <w:bookmarkEnd w:id="313"/>
      <w:bookmarkEnd w:id="314"/>
      <w:bookmarkEnd w:id="315"/>
    </w:p>
    <w:p w14:paraId="655AC361">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p>
    <w:p w14:paraId="74915BD9">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p>
    <w:p w14:paraId="08FE1FB4">
      <w:pPr>
        <w:pStyle w:val="3"/>
        <w:spacing w:before="0" w:line="240" w:lineRule="atLeast"/>
        <w:ind w:left="1079" w:leftChars="257" w:hanging="540"/>
        <w:jc w:val="both"/>
        <w:rPr>
          <w:rFonts w:ascii="仿宋" w:hAnsi="仿宋" w:eastAsia="仿宋" w:cs="仿宋"/>
          <w:color w:val="auto"/>
          <w:sz w:val="24"/>
          <w:highlight w:val="none"/>
        </w:rPr>
      </w:pPr>
      <w:bookmarkStart w:id="316" w:name="_Toc11047"/>
      <w:bookmarkStart w:id="317" w:name="_Toc515647809"/>
      <w:bookmarkStart w:id="318" w:name="_Toc13927"/>
      <w:bookmarkStart w:id="319" w:name="_Toc28445"/>
      <w:r>
        <w:rPr>
          <w:rFonts w:hint="eastAsia" w:ascii="仿宋" w:hAnsi="仿宋" w:eastAsia="仿宋" w:cs="仿宋"/>
          <w:color w:val="auto"/>
          <w:sz w:val="24"/>
          <w:highlight w:val="none"/>
          <w:lang w:val="en-US" w:eastAsia="zh-CN"/>
        </w:rPr>
        <w:br w:type="page"/>
      </w:r>
      <w:bookmarkStart w:id="320" w:name="_Toc8818"/>
      <w:bookmarkStart w:id="321" w:name="_Toc13449"/>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w:t>
      </w:r>
      <w:r>
        <w:rPr>
          <w:rFonts w:hint="eastAsia" w:ascii="仿宋" w:hAnsi="仿宋" w:eastAsia="仿宋" w:cs="仿宋"/>
          <w:color w:val="auto"/>
          <w:sz w:val="24"/>
          <w:highlight w:val="none"/>
          <w:lang w:val="en-US" w:eastAsia="zh-CN"/>
        </w:rPr>
        <w:t>有效</w:t>
      </w:r>
      <w:r>
        <w:rPr>
          <w:rFonts w:hint="eastAsia" w:ascii="仿宋" w:hAnsi="仿宋" w:eastAsia="仿宋" w:cs="仿宋"/>
          <w:color w:val="auto"/>
          <w:sz w:val="24"/>
          <w:highlight w:val="none"/>
        </w:rPr>
        <w:t>凭证</w:t>
      </w:r>
      <w:bookmarkEnd w:id="316"/>
      <w:bookmarkEnd w:id="317"/>
      <w:bookmarkEnd w:id="318"/>
      <w:bookmarkEnd w:id="319"/>
      <w:bookmarkEnd w:id="320"/>
      <w:bookmarkEnd w:id="321"/>
    </w:p>
    <w:p w14:paraId="4AC49A1C">
      <w:pPr>
        <w:ind w:firstLine="480" w:firstLineChars="200"/>
        <w:rPr>
          <w:rFonts w:hint="eastAsia" w:ascii="仿宋" w:hAnsi="仿宋" w:eastAsia="仿宋" w:cs="仿宋"/>
          <w:color w:val="auto"/>
          <w:sz w:val="24"/>
          <w:highlight w:val="none"/>
          <w:lang w:eastAsia="zh-CN"/>
        </w:rPr>
      </w:pPr>
      <w:bookmarkStart w:id="322" w:name="_Toc494296991"/>
      <w:bookmarkStart w:id="323" w:name="_Toc494296665"/>
      <w:r>
        <w:rPr>
          <w:rFonts w:hint="eastAsia" w:ascii="仿宋" w:hAnsi="仿宋" w:eastAsia="仿宋" w:cs="仿宋"/>
          <w:color w:val="auto"/>
          <w:sz w:val="24"/>
          <w:highlight w:val="none"/>
        </w:rPr>
        <w:t>供应商可将本项目</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保证金支付的电汇、转账、支票、汇票、本票的原件扫描件作为</w:t>
      </w:r>
      <w:r>
        <w:rPr>
          <w:rFonts w:hint="eastAsia" w:ascii="仿宋" w:hAnsi="仿宋" w:eastAsia="仿宋" w:cs="仿宋"/>
          <w:b/>
          <w:bCs/>
          <w:color w:val="auto"/>
          <w:sz w:val="24"/>
          <w:highlight w:val="none"/>
        </w:rPr>
        <w:t>缴纳凭证</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磋商保证金收据</w:t>
      </w:r>
      <w:r>
        <w:rPr>
          <w:rFonts w:hint="eastAsia" w:ascii="仿宋" w:hAnsi="仿宋" w:eastAsia="仿宋" w:cs="仿宋"/>
          <w:color w:val="auto"/>
          <w:sz w:val="24"/>
          <w:highlight w:val="none"/>
        </w:rPr>
        <w:t>装订在本部分，原件扫描件上应加盖本单位章；使用银行保函等其他投标担保函的，应将担保函正本，装订在本部分正本中；如采用政府采购信用担保形式的，应使用（</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文件格式三）,将原件装订在本部分正本中</w:t>
      </w:r>
      <w:r>
        <w:rPr>
          <w:rFonts w:hint="eastAsia" w:ascii="仿宋" w:hAnsi="仿宋" w:eastAsia="仿宋" w:cs="仿宋"/>
          <w:color w:val="auto"/>
          <w:sz w:val="24"/>
          <w:highlight w:val="none"/>
          <w:lang w:eastAsia="zh-CN"/>
        </w:rPr>
        <w:t>。</w:t>
      </w:r>
    </w:p>
    <w:bookmarkEnd w:id="322"/>
    <w:bookmarkEnd w:id="323"/>
    <w:p w14:paraId="5F02E8CE">
      <w:pPr>
        <w:pStyle w:val="8"/>
        <w:rPr>
          <w:rFonts w:ascii="仿宋" w:hAnsi="仿宋" w:eastAsia="仿宋" w:cs="仿宋"/>
          <w:color w:val="auto"/>
          <w:highlight w:val="none"/>
        </w:rPr>
      </w:pPr>
    </w:p>
    <w:tbl>
      <w:tblPr>
        <w:tblStyle w:val="3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953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2C464C56">
            <w:pPr>
              <w:rPr>
                <w:rFonts w:ascii="仿宋" w:hAnsi="仿宋" w:eastAsia="仿宋" w:cs="仿宋"/>
                <w:b/>
                <w:bCs/>
                <w:color w:val="auto"/>
                <w:sz w:val="30"/>
                <w:szCs w:val="30"/>
                <w:highlight w:val="none"/>
              </w:rPr>
            </w:pPr>
          </w:p>
          <w:p w14:paraId="06964F36">
            <w:pPr>
              <w:jc w:val="center"/>
              <w:rPr>
                <w:rFonts w:ascii="仿宋" w:hAnsi="仿宋" w:eastAsia="仿宋" w:cs="仿宋"/>
                <w:b/>
                <w:bCs/>
                <w:color w:val="auto"/>
                <w:sz w:val="30"/>
                <w:szCs w:val="30"/>
                <w:highlight w:val="none"/>
              </w:rPr>
            </w:pPr>
          </w:p>
          <w:p w14:paraId="23EB27AE">
            <w:pPr>
              <w:jc w:val="center"/>
              <w:rPr>
                <w:rFonts w:ascii="仿宋" w:hAnsi="仿宋" w:eastAsia="仿宋" w:cs="仿宋"/>
                <w:b/>
                <w:bCs/>
                <w:color w:val="auto"/>
                <w:sz w:val="30"/>
                <w:szCs w:val="30"/>
                <w:highlight w:val="none"/>
              </w:rPr>
            </w:pPr>
          </w:p>
          <w:p w14:paraId="67DA0727">
            <w:pPr>
              <w:jc w:val="center"/>
              <w:rPr>
                <w:rFonts w:ascii="仿宋" w:hAnsi="仿宋" w:eastAsia="仿宋" w:cs="仿宋"/>
                <w:b/>
                <w:bCs/>
                <w:color w:val="auto"/>
                <w:sz w:val="30"/>
                <w:szCs w:val="30"/>
                <w:highlight w:val="none"/>
              </w:rPr>
            </w:pPr>
          </w:p>
          <w:p w14:paraId="6B148AB1">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磋商保证金收据复印件</w:t>
            </w:r>
          </w:p>
        </w:tc>
      </w:tr>
    </w:tbl>
    <w:p w14:paraId="12817AE1">
      <w:pPr>
        <w:spacing w:line="240" w:lineRule="atLeast"/>
        <w:ind w:left="1079" w:leftChars="257" w:hanging="540"/>
        <w:jc w:val="both"/>
        <w:rPr>
          <w:rFonts w:ascii="仿宋" w:hAnsi="仿宋" w:eastAsia="仿宋" w:cs="仿宋"/>
          <w:color w:val="auto"/>
          <w:sz w:val="24"/>
          <w:highlight w:val="none"/>
        </w:rPr>
      </w:pPr>
    </w:p>
    <w:p w14:paraId="63C004A4">
      <w:pPr>
        <w:rPr>
          <w:rFonts w:ascii="仿宋" w:hAnsi="仿宋" w:eastAsia="仿宋" w:cs="仿宋"/>
          <w:color w:val="auto"/>
          <w:sz w:val="28"/>
          <w:szCs w:val="28"/>
          <w:highlight w:val="none"/>
        </w:rPr>
      </w:pPr>
    </w:p>
    <w:tbl>
      <w:tblPr>
        <w:tblStyle w:val="37"/>
        <w:tblpPr w:leftFromText="180" w:rightFromText="180" w:vertAnchor="text" w:horzAnchor="page" w:tblpX="2113" w:tblpY="91"/>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A64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0586F701">
            <w:pPr>
              <w:rPr>
                <w:rFonts w:ascii="仿宋" w:hAnsi="仿宋" w:eastAsia="仿宋" w:cs="仿宋"/>
                <w:b/>
                <w:bCs/>
                <w:color w:val="auto"/>
                <w:sz w:val="30"/>
                <w:szCs w:val="30"/>
                <w:highlight w:val="none"/>
              </w:rPr>
            </w:pPr>
          </w:p>
          <w:p w14:paraId="5802D336">
            <w:pPr>
              <w:jc w:val="center"/>
              <w:rPr>
                <w:rFonts w:ascii="仿宋" w:hAnsi="仿宋" w:eastAsia="仿宋" w:cs="仿宋"/>
                <w:b/>
                <w:bCs/>
                <w:color w:val="auto"/>
                <w:sz w:val="30"/>
                <w:szCs w:val="30"/>
                <w:highlight w:val="none"/>
              </w:rPr>
            </w:pPr>
          </w:p>
          <w:p w14:paraId="7628CD23">
            <w:pPr>
              <w:jc w:val="center"/>
              <w:rPr>
                <w:rFonts w:ascii="仿宋" w:hAnsi="仿宋" w:eastAsia="仿宋" w:cs="仿宋"/>
                <w:b/>
                <w:bCs/>
                <w:color w:val="auto"/>
                <w:sz w:val="30"/>
                <w:szCs w:val="30"/>
                <w:highlight w:val="none"/>
              </w:rPr>
            </w:pPr>
          </w:p>
          <w:p w14:paraId="1E016FD2">
            <w:pPr>
              <w:jc w:val="center"/>
              <w:rPr>
                <w:rFonts w:ascii="仿宋" w:hAnsi="仿宋" w:eastAsia="仿宋" w:cs="仿宋"/>
                <w:b/>
                <w:bCs/>
                <w:color w:val="auto"/>
                <w:sz w:val="30"/>
                <w:szCs w:val="30"/>
                <w:highlight w:val="none"/>
              </w:rPr>
            </w:pPr>
          </w:p>
          <w:p w14:paraId="02F1E02D">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银行打款凭证复印件</w:t>
            </w:r>
          </w:p>
        </w:tc>
      </w:tr>
    </w:tbl>
    <w:p w14:paraId="18BCDC20">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（项目用）（磋商文件格式三）</w:t>
      </w:r>
    </w:p>
    <w:p w14:paraId="23B62EB3">
      <w:pPr>
        <w:ind w:firstLine="6720" w:firstLineChars="3200"/>
        <w:rPr>
          <w:rFonts w:ascii="仿宋" w:hAnsi="仿宋" w:eastAsia="仿宋" w:cs="仿宋"/>
          <w:color w:val="auto"/>
          <w:highlight w:val="none"/>
        </w:rPr>
      </w:pPr>
      <w:r>
        <w:rPr>
          <w:rFonts w:hint="eastAsia" w:ascii="仿宋" w:hAnsi="仿宋" w:eastAsia="仿宋" w:cs="仿宋"/>
          <w:color w:val="auto"/>
          <w:highlight w:val="none"/>
        </w:rPr>
        <w:t>编号：</w:t>
      </w:r>
    </w:p>
    <w:p w14:paraId="30D7B68C">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07B75184">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74F9A86">
      <w:pPr>
        <w:rPr>
          <w:rFonts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，且可以投标担保函的形式交纳</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。应供应商的申请，我方以保证的方式向你方提供如下</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担保：</w:t>
      </w:r>
    </w:p>
    <w:p w14:paraId="450A89E6">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3178C12D">
      <w:pPr>
        <w:ind w:firstLine="210" w:firstLineChars="100"/>
        <w:rPr>
          <w:rFonts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3B4121C8">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0DA85EB0">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6D62AC82">
      <w:pPr>
        <w:ind w:firstLine="210" w:firstLineChars="100"/>
        <w:rPr>
          <w:rFonts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金额。</w:t>
      </w:r>
    </w:p>
    <w:p w14:paraId="38F60970">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二、保证的方式及保证期间</w:t>
      </w:r>
    </w:p>
    <w:p w14:paraId="347F079C">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135986DD">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1849303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三、承担保证责任的程序</w:t>
      </w:r>
    </w:p>
    <w:p w14:paraId="1EB463C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B9A0E56">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w:t>
      </w:r>
    </w:p>
    <w:p w14:paraId="10BE8703">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四、保证责任的终止</w:t>
      </w:r>
    </w:p>
    <w:p w14:paraId="674CD2F4">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1B6379B0">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02595463">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255B8BA2">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五、免责条款</w:t>
      </w:r>
    </w:p>
    <w:p w14:paraId="10CD547B">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rPr>
        <w:t>义务时，我方亦免除相应的保证责任。</w:t>
      </w:r>
    </w:p>
    <w:p w14:paraId="381EB590">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7CD840D5">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6859031A">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09637C9B">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六、争议的解决</w:t>
      </w:r>
    </w:p>
    <w:p w14:paraId="0686C7DD">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505B1D2A">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七、保函的生效</w:t>
      </w:r>
    </w:p>
    <w:p w14:paraId="571F14E9">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626CD713">
      <w:pPr>
        <w:ind w:firstLine="420" w:firstLineChars="200"/>
        <w:rPr>
          <w:rFonts w:ascii="仿宋" w:hAnsi="仿宋" w:eastAsia="仿宋" w:cs="仿宋"/>
          <w:color w:val="auto"/>
          <w:highlight w:val="none"/>
        </w:rPr>
        <w:sectPr>
          <w:footerReference r:id="rId8" w:type="default"/>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color w:val="auto"/>
          <w:highlight w:val="none"/>
        </w:rPr>
        <w:t>保证人：（公章）                                   年      月      日</w:t>
      </w:r>
    </w:p>
    <w:p w14:paraId="4194D880">
      <w:pPr>
        <w:ind w:firstLine="1200" w:firstLineChars="500"/>
        <w:outlineLvl w:val="1"/>
        <w:rPr>
          <w:rFonts w:hint="eastAsia" w:ascii="仿宋" w:hAnsi="仿宋" w:eastAsia="仿宋" w:cs="仿宋"/>
          <w:b/>
          <w:color w:val="auto"/>
          <w:kern w:val="2"/>
          <w:sz w:val="24"/>
          <w:szCs w:val="20"/>
          <w:highlight w:val="none"/>
          <w:lang w:val="en-US" w:eastAsia="zh-CN" w:bidi="ar-SA"/>
        </w:rPr>
      </w:pPr>
      <w:bookmarkStart w:id="324" w:name="_Toc515647813"/>
      <w:bookmarkStart w:id="325" w:name="_Toc29703"/>
      <w:bookmarkStart w:id="326" w:name="_Toc6106"/>
      <w:bookmarkStart w:id="327" w:name="_Toc789"/>
      <w:bookmarkStart w:id="328" w:name="_Toc17207"/>
      <w:r>
        <w:rPr>
          <w:rFonts w:hint="eastAsia" w:ascii="仿宋" w:hAnsi="仿宋" w:eastAsia="仿宋" w:cs="仿宋"/>
          <w:b/>
          <w:color w:val="auto"/>
          <w:kern w:val="2"/>
          <w:sz w:val="24"/>
          <w:szCs w:val="20"/>
          <w:lang w:val="en-US" w:eastAsia="zh-CN" w:bidi="ar-SA"/>
        </w:rPr>
        <w:t>11、</w:t>
      </w:r>
      <w:r>
        <w:rPr>
          <w:rFonts w:hint="eastAsia" w:ascii="仿宋" w:hAnsi="仿宋" w:eastAsia="仿宋" w:cs="仿宋"/>
          <w:color w:val="auto"/>
          <w:sz w:val="24"/>
          <w:highlight w:val="none"/>
        </w:rPr>
        <w:t xml:space="preserve"> </w:t>
      </w:r>
      <w:bookmarkStart w:id="329" w:name="_Toc14123"/>
      <w:r>
        <w:rPr>
          <w:rFonts w:hint="eastAsia" w:ascii="仿宋" w:hAnsi="仿宋" w:eastAsia="仿宋" w:cs="仿宋"/>
          <w:b/>
          <w:color w:val="auto"/>
          <w:kern w:val="2"/>
          <w:sz w:val="24"/>
          <w:szCs w:val="20"/>
          <w:highlight w:val="none"/>
          <w:lang w:val="en-US" w:eastAsia="zh-CN" w:bidi="ar-SA"/>
        </w:rPr>
        <w:t>供应商须知资料表要求的其他资格证明文件</w:t>
      </w:r>
      <w:bookmarkEnd w:id="324"/>
      <w:bookmarkEnd w:id="325"/>
      <w:bookmarkEnd w:id="326"/>
      <w:bookmarkEnd w:id="327"/>
      <w:bookmarkEnd w:id="328"/>
      <w:bookmarkEnd w:id="329"/>
    </w:p>
    <w:p w14:paraId="35E675F0">
      <w:pPr>
        <w:spacing w:line="240" w:lineRule="atLeast"/>
        <w:ind w:left="1079" w:leftChars="257" w:hanging="540"/>
        <w:jc w:val="center"/>
        <w:rPr>
          <w:rFonts w:ascii="仿宋" w:hAnsi="仿宋" w:eastAsia="仿宋" w:cs="仿宋"/>
          <w:b/>
          <w:bCs/>
          <w:color w:val="auto"/>
          <w:sz w:val="24"/>
          <w:highlight w:val="none"/>
        </w:rPr>
      </w:pPr>
    </w:p>
    <w:p w14:paraId="718D35DD">
      <w:pPr>
        <w:spacing w:line="240" w:lineRule="atLeast"/>
        <w:ind w:left="1079" w:leftChars="257" w:hanging="540"/>
        <w:jc w:val="center"/>
        <w:rPr>
          <w:rFonts w:ascii="仿宋" w:hAnsi="仿宋" w:eastAsia="仿宋" w:cs="仿宋"/>
          <w:b/>
          <w:bCs/>
          <w:color w:val="auto"/>
          <w:sz w:val="24"/>
          <w:highlight w:val="none"/>
        </w:rPr>
      </w:pPr>
    </w:p>
    <w:p w14:paraId="4B5977C0">
      <w:pPr>
        <w:spacing w:line="240" w:lineRule="atLeast"/>
        <w:ind w:left="1079" w:leftChars="257" w:hanging="540"/>
        <w:jc w:val="center"/>
        <w:rPr>
          <w:rFonts w:ascii="仿宋" w:hAnsi="仿宋" w:eastAsia="仿宋" w:cs="仿宋"/>
          <w:b/>
          <w:bCs/>
          <w:color w:val="auto"/>
          <w:sz w:val="24"/>
          <w:highlight w:val="none"/>
        </w:rPr>
      </w:pPr>
    </w:p>
    <w:p w14:paraId="60A28152">
      <w:pPr>
        <w:pStyle w:val="15"/>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7B3822E2">
      <w:pPr>
        <w:pStyle w:val="15"/>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上应加盖本单位章（自然人投标的无需盖章，需要签字）。</w:t>
      </w:r>
    </w:p>
    <w:p w14:paraId="5699ECBD">
      <w:pPr>
        <w:pStyle w:val="15"/>
        <w:tabs>
          <w:tab w:val="left" w:pos="5580"/>
        </w:tabs>
        <w:spacing w:line="240" w:lineRule="atLeast"/>
        <w:ind w:left="1260" w:leftChars="344" w:hanging="538"/>
        <w:rPr>
          <w:rFonts w:ascii="仿宋" w:hAnsi="仿宋" w:eastAsia="仿宋" w:cs="仿宋"/>
          <w:color w:val="auto"/>
          <w:sz w:val="24"/>
          <w:highlight w:val="none"/>
        </w:rPr>
      </w:pPr>
      <w:r>
        <w:rPr>
          <w:rFonts w:hint="eastAsia" w:ascii="仿宋" w:hAnsi="仿宋" w:eastAsia="仿宋" w:cs="仿宋"/>
          <w:color w:val="auto"/>
          <w:sz w:val="24"/>
          <w:highlight w:val="none"/>
        </w:rPr>
        <w:t xml:space="preserve">     3.（本项目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接受联合体）如果是联合体投标，联合体各方需提供的满足磋商文件要求的其他资格证明文件。</w:t>
      </w:r>
    </w:p>
    <w:p w14:paraId="52D73100">
      <w:pPr>
        <w:pStyle w:val="15"/>
        <w:tabs>
          <w:tab w:val="left" w:pos="5580"/>
        </w:tabs>
        <w:spacing w:line="240" w:lineRule="atLeast"/>
        <w:ind w:left="1079" w:leftChars="257" w:hanging="540"/>
        <w:rPr>
          <w:rFonts w:ascii="仿宋" w:hAnsi="仿宋" w:eastAsia="仿宋" w:cs="仿宋"/>
          <w:color w:val="auto"/>
          <w:sz w:val="24"/>
          <w:highlight w:val="none"/>
        </w:rPr>
      </w:pPr>
    </w:p>
    <w:p w14:paraId="636454B5">
      <w:pPr>
        <w:pStyle w:val="15"/>
        <w:tabs>
          <w:tab w:val="left" w:pos="5580"/>
        </w:tabs>
        <w:spacing w:line="240" w:lineRule="atLeast"/>
        <w:ind w:left="1079" w:leftChars="257" w:hanging="540"/>
        <w:rPr>
          <w:rFonts w:ascii="仿宋" w:hAnsi="仿宋" w:eastAsia="仿宋" w:cs="仿宋"/>
          <w:color w:val="auto"/>
          <w:sz w:val="24"/>
          <w:highlight w:val="none"/>
        </w:rPr>
      </w:pPr>
    </w:p>
    <w:bookmarkEnd w:id="271"/>
    <w:bookmarkEnd w:id="272"/>
    <w:bookmarkEnd w:id="273"/>
    <w:bookmarkEnd w:id="274"/>
    <w:bookmarkEnd w:id="275"/>
    <w:p w14:paraId="7A650551">
      <w:pPr>
        <w:rPr>
          <w:rFonts w:ascii="仿宋" w:hAnsi="仿宋" w:eastAsia="仿宋"/>
          <w:color w:val="auto"/>
          <w:highlight w:val="none"/>
        </w:rPr>
        <w:sectPr>
          <w:footerReference r:id="rId9" w:type="default"/>
          <w:pgSz w:w="11906" w:h="16838"/>
          <w:pgMar w:top="1440" w:right="1080" w:bottom="1440" w:left="1080" w:header="851" w:footer="992" w:gutter="0"/>
          <w:pgNumType w:fmt="decimal"/>
          <w:cols w:space="720" w:num="1"/>
          <w:docGrid w:type="linesAndChars" w:linePitch="312" w:charSpace="0"/>
        </w:sectPr>
      </w:pPr>
      <w:bookmarkStart w:id="330" w:name="_Ref467988698"/>
      <w:bookmarkStart w:id="331" w:name="_Toc520356217"/>
      <w:bookmarkStart w:id="332" w:name="_Toc480942349"/>
      <w:bookmarkStart w:id="333" w:name="_Toc216582813"/>
    </w:p>
    <w:bookmarkEnd w:id="330"/>
    <w:bookmarkEnd w:id="331"/>
    <w:bookmarkEnd w:id="332"/>
    <w:bookmarkEnd w:id="333"/>
    <w:p w14:paraId="690530B1">
      <w:pPr>
        <w:pStyle w:val="15"/>
        <w:tabs>
          <w:tab w:val="left" w:pos="5580"/>
        </w:tabs>
        <w:spacing w:line="240" w:lineRule="atLeast"/>
        <w:ind w:left="1080" w:leftChars="257" w:hanging="540"/>
        <w:rPr>
          <w:rFonts w:ascii="仿宋" w:hAnsi="仿宋" w:eastAsia="仿宋" w:cs="仿宋"/>
          <w:color w:val="auto"/>
          <w:sz w:val="24"/>
          <w:highlight w:val="none"/>
        </w:rPr>
      </w:pPr>
    </w:p>
    <w:p w14:paraId="0604239D">
      <w:pPr>
        <w:pStyle w:val="3"/>
        <w:spacing w:before="0" w:line="240" w:lineRule="atLeast"/>
        <w:ind w:left="1080" w:leftChars="257" w:hanging="540"/>
        <w:rPr>
          <w:rFonts w:ascii="仿宋_GB2312" w:hAnsi="宋体" w:eastAsia="仿宋_GB2312"/>
          <w:color w:val="auto"/>
          <w:sz w:val="24"/>
          <w:highlight w:val="none"/>
        </w:rPr>
      </w:pPr>
      <w:bookmarkStart w:id="334" w:name="_Toc515647816"/>
      <w:bookmarkStart w:id="335" w:name="_Toc22967"/>
      <w:bookmarkStart w:id="336" w:name="_Toc16180"/>
      <w:bookmarkStart w:id="337" w:name="_Toc11180"/>
      <w:bookmarkStart w:id="338" w:name="_Toc7593"/>
      <w:bookmarkStart w:id="339" w:name="_Toc8031"/>
      <w:r>
        <w:rPr>
          <w:rFonts w:ascii="仿宋_GB2312" w:hAnsi="宋体" w:eastAsia="仿宋_GB2312"/>
          <w:color w:val="auto"/>
          <w:sz w:val="24"/>
          <w:highlight w:val="none"/>
        </w:rPr>
        <w:t>第</w:t>
      </w:r>
      <w:r>
        <w:rPr>
          <w:rFonts w:hint="eastAsia" w:ascii="仿宋_GB2312" w:hAnsi="宋体" w:eastAsia="仿宋_GB2312"/>
          <w:color w:val="auto"/>
          <w:sz w:val="24"/>
          <w:highlight w:val="none"/>
        </w:rPr>
        <w:t>二</w:t>
      </w:r>
      <w:r>
        <w:rPr>
          <w:rFonts w:ascii="仿宋_GB2312" w:hAnsi="宋体" w:eastAsia="仿宋_GB2312"/>
          <w:color w:val="auto"/>
          <w:sz w:val="24"/>
          <w:highlight w:val="none"/>
        </w:rPr>
        <w:t>部分</w:t>
      </w:r>
      <w:r>
        <w:rPr>
          <w:rFonts w:hint="eastAsia" w:ascii="仿宋_GB2312" w:hAnsi="宋体" w:eastAsia="仿宋_GB2312"/>
          <w:color w:val="auto"/>
          <w:sz w:val="24"/>
          <w:highlight w:val="none"/>
        </w:rPr>
        <w:t xml:space="preserve">  商务及</w:t>
      </w:r>
      <w:r>
        <w:rPr>
          <w:rFonts w:ascii="仿宋_GB2312" w:hAnsi="宋体" w:eastAsia="仿宋_GB2312"/>
          <w:color w:val="auto"/>
          <w:sz w:val="24"/>
          <w:highlight w:val="none"/>
        </w:rPr>
        <w:t>技术</w:t>
      </w:r>
      <w:r>
        <w:rPr>
          <w:rFonts w:hint="eastAsia" w:ascii="仿宋_GB2312" w:hAnsi="宋体" w:eastAsia="仿宋_GB2312"/>
          <w:color w:val="auto"/>
          <w:sz w:val="24"/>
          <w:highlight w:val="none"/>
        </w:rPr>
        <w:t>文件</w:t>
      </w:r>
      <w:bookmarkEnd w:id="334"/>
      <w:bookmarkEnd w:id="335"/>
      <w:bookmarkEnd w:id="336"/>
      <w:bookmarkEnd w:id="337"/>
      <w:bookmarkEnd w:id="338"/>
      <w:bookmarkEnd w:id="339"/>
    </w:p>
    <w:p w14:paraId="40C36F30">
      <w:pPr>
        <w:pStyle w:val="15"/>
        <w:ind w:left="1080" w:leftChars="257" w:hanging="540"/>
        <w:rPr>
          <w:rFonts w:ascii="仿宋_GB2312" w:hAnsi="宋体" w:eastAsia="仿宋_GB2312"/>
          <w:color w:val="auto"/>
          <w:sz w:val="24"/>
          <w:highlight w:val="none"/>
        </w:rPr>
      </w:pPr>
    </w:p>
    <w:p w14:paraId="2FB8B4D5">
      <w:pPr>
        <w:pStyle w:val="15"/>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1、磋商响应函（</w:t>
      </w:r>
      <w:r>
        <w:rPr>
          <w:rFonts w:hint="eastAsia" w:ascii="仿宋_GB2312" w:hAnsi="宋体" w:eastAsia="仿宋_GB2312"/>
          <w:color w:val="auto"/>
          <w:sz w:val="24"/>
          <w:highlight w:val="none"/>
          <w:lang w:eastAsia="zh-CN"/>
        </w:rPr>
        <w:t>磋商</w:t>
      </w:r>
      <w:r>
        <w:rPr>
          <w:rFonts w:hint="eastAsia" w:ascii="仿宋_GB2312" w:hAnsi="宋体" w:eastAsia="仿宋_GB2312"/>
          <w:color w:val="auto"/>
          <w:sz w:val="24"/>
          <w:highlight w:val="none"/>
        </w:rPr>
        <w:t>文件格式四）</w:t>
      </w:r>
    </w:p>
    <w:p w14:paraId="3A15043E">
      <w:pPr>
        <w:pStyle w:val="15"/>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2、投标分项报价表（</w:t>
      </w:r>
      <w:r>
        <w:rPr>
          <w:rFonts w:hint="eastAsia" w:ascii="仿宋_GB2312" w:hAnsi="宋体" w:eastAsia="仿宋_GB2312"/>
          <w:color w:val="auto"/>
          <w:sz w:val="24"/>
          <w:highlight w:val="none"/>
          <w:lang w:eastAsia="zh-CN"/>
        </w:rPr>
        <w:t>磋商</w:t>
      </w:r>
      <w:r>
        <w:rPr>
          <w:rFonts w:hint="eastAsia" w:ascii="仿宋_GB2312" w:hAnsi="宋体" w:eastAsia="仿宋_GB2312"/>
          <w:color w:val="auto"/>
          <w:sz w:val="24"/>
          <w:highlight w:val="none"/>
        </w:rPr>
        <w:t>文件格式五）</w:t>
      </w:r>
    </w:p>
    <w:p w14:paraId="089CA8CC">
      <w:pPr>
        <w:pStyle w:val="15"/>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说明一览表</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eastAsia="zh-CN"/>
        </w:rPr>
        <w:t>磋商</w:t>
      </w:r>
      <w:r>
        <w:rPr>
          <w:rFonts w:hint="eastAsia" w:ascii="仿宋_GB2312" w:hAnsi="宋体" w:eastAsia="仿宋_GB2312"/>
          <w:color w:val="auto"/>
          <w:sz w:val="24"/>
          <w:highlight w:val="none"/>
        </w:rPr>
        <w:t>文件格式六）</w:t>
      </w:r>
    </w:p>
    <w:p w14:paraId="624FDDD7">
      <w:pPr>
        <w:pStyle w:val="15"/>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须提交）</w:t>
      </w:r>
    </w:p>
    <w:p w14:paraId="4BA18432">
      <w:pPr>
        <w:pStyle w:val="15"/>
        <w:ind w:left="311" w:leftChars="148" w:firstLine="228"/>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-1中小企业声明函(（工程、服务)）（</w:t>
      </w:r>
      <w:r>
        <w:rPr>
          <w:rFonts w:hint="eastAsia" w:ascii="仿宋_GB2312" w:hAnsi="宋体" w:eastAsia="仿宋_GB2312"/>
          <w:color w:val="auto"/>
          <w:sz w:val="24"/>
          <w:highlight w:val="none"/>
          <w:lang w:val="en-US" w:eastAsia="zh-CN"/>
        </w:rPr>
        <w:t>磋商</w:t>
      </w:r>
      <w:r>
        <w:rPr>
          <w:rFonts w:hint="eastAsia" w:ascii="仿宋" w:hAnsi="仿宋" w:eastAsia="仿宋" w:cs="仿宋"/>
          <w:color w:val="auto"/>
          <w:sz w:val="24"/>
          <w:highlight w:val="none"/>
        </w:rPr>
        <w:t>文件格式</w:t>
      </w:r>
      <w:r>
        <w:rPr>
          <w:rFonts w:hint="eastAsia" w:ascii="仿宋" w:hAnsi="仿宋" w:eastAsia="仿宋" w:cs="仿宋"/>
          <w:color w:val="auto"/>
          <w:sz w:val="24"/>
          <w:highlight w:val="none"/>
          <w:lang w:eastAsia="zh-CN"/>
        </w:rPr>
        <w:t>九</w:t>
      </w:r>
      <w:r>
        <w:rPr>
          <w:rFonts w:hint="eastAsia" w:ascii="仿宋" w:hAnsi="仿宋" w:eastAsia="仿宋" w:cs="仿宋"/>
          <w:color w:val="auto"/>
          <w:sz w:val="24"/>
          <w:highlight w:val="none"/>
        </w:rPr>
        <w:t>）</w:t>
      </w:r>
    </w:p>
    <w:p w14:paraId="3D19FDB0">
      <w:pPr>
        <w:pStyle w:val="15"/>
        <w:ind w:left="311" w:leftChars="148" w:firstLine="228"/>
        <w:rPr>
          <w:rFonts w:hint="eastAsia" w:ascii="仿宋_GB2312" w:hAnsi="宋体" w:eastAsia="仿宋_GB2312"/>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《残疾人福利性单位声明函》（</w:t>
      </w:r>
      <w:r>
        <w:rPr>
          <w:rFonts w:hint="eastAsia" w:ascii="仿宋_GB2312" w:hAnsi="宋体" w:eastAsia="仿宋_GB2312"/>
          <w:color w:val="auto"/>
          <w:sz w:val="24"/>
          <w:highlight w:val="none"/>
          <w:lang w:val="en-US" w:eastAsia="zh-CN"/>
        </w:rPr>
        <w:t>磋商</w:t>
      </w:r>
      <w:r>
        <w:rPr>
          <w:rFonts w:hint="eastAsia" w:ascii="仿宋" w:hAnsi="仿宋" w:eastAsia="仿宋" w:cs="仿宋"/>
          <w:color w:val="auto"/>
          <w:sz w:val="24"/>
          <w:highlight w:val="none"/>
        </w:rPr>
        <w:t>文件格式十）</w:t>
      </w:r>
    </w:p>
    <w:p w14:paraId="27F7A9A7">
      <w:pPr>
        <w:pStyle w:val="15"/>
        <w:numPr>
          <w:ilvl w:val="0"/>
          <w:numId w:val="0"/>
        </w:numPr>
        <w:ind w:left="311" w:leftChars="148" w:firstLine="228" w:firstLineChars="0"/>
        <w:rPr>
          <w:rFonts w:hint="eastAsia" w:ascii="仿宋_GB2312" w:hAnsi="宋体" w:eastAsia="仿宋_GB2312"/>
          <w:color w:val="auto"/>
          <w:sz w:val="24"/>
          <w:highlight w:val="none"/>
          <w:lang w:val="en-US" w:eastAsia="zh-CN"/>
        </w:rPr>
      </w:pPr>
      <w:r>
        <w:rPr>
          <w:rFonts w:hint="eastAsia" w:ascii="仿宋_GB2312" w:hAnsi="宋体" w:eastAsia="仿宋_GB2312"/>
          <w:color w:val="auto"/>
          <w:kern w:val="2"/>
          <w:sz w:val="24"/>
          <w:szCs w:val="20"/>
          <w:lang w:val="en-US" w:eastAsia="zh-CN" w:bidi="ar-SA"/>
        </w:rPr>
        <w:t>5、</w:t>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关联单位的说明（格式</w:t>
      </w:r>
      <w:r>
        <w:rPr>
          <w:rFonts w:hint="eastAsia" w:ascii="仿宋_GB2312" w:hAnsi="宋体" w:eastAsia="仿宋_GB2312"/>
          <w:color w:val="auto"/>
          <w:sz w:val="24"/>
          <w:highlight w:val="none"/>
        </w:rPr>
        <w:t>自拟</w:t>
      </w:r>
      <w:r>
        <w:rPr>
          <w:rFonts w:ascii="仿宋_GB2312" w:hAnsi="宋体" w:eastAsia="仿宋_GB2312"/>
          <w:color w:val="auto"/>
          <w:sz w:val="24"/>
          <w:highlight w:val="none"/>
        </w:rPr>
        <w:t>）</w:t>
      </w:r>
    </w:p>
    <w:p w14:paraId="76AD511C">
      <w:pPr>
        <w:pStyle w:val="15"/>
        <w:numPr>
          <w:ilvl w:val="0"/>
          <w:numId w:val="0"/>
        </w:numPr>
        <w:ind w:left="311" w:leftChars="148" w:firstLine="228" w:firstLineChars="0"/>
        <w:rPr>
          <w:rFonts w:hint="eastAsia" w:ascii="仿宋_GB2312" w:hAnsi="宋体" w:eastAsia="仿宋_GB2312"/>
          <w:color w:val="auto"/>
          <w:kern w:val="2"/>
          <w:sz w:val="24"/>
          <w:szCs w:val="20"/>
          <w:lang w:val="en-US" w:eastAsia="zh-CN" w:bidi="ar-SA"/>
        </w:rPr>
      </w:pPr>
      <w:r>
        <w:rPr>
          <w:rFonts w:hint="eastAsia" w:ascii="仿宋_GB2312" w:hAnsi="宋体" w:eastAsia="仿宋_GB2312"/>
          <w:color w:val="auto"/>
          <w:kern w:val="2"/>
          <w:sz w:val="24"/>
          <w:szCs w:val="20"/>
          <w:lang w:val="en-US" w:eastAsia="zh-CN" w:bidi="ar-SA"/>
        </w:rPr>
        <w:t>6、磋商文件规定的其他文件</w:t>
      </w:r>
    </w:p>
    <w:p w14:paraId="76E4F086">
      <w:pPr>
        <w:pStyle w:val="15"/>
        <w:numPr>
          <w:ilvl w:val="0"/>
          <w:numId w:val="0"/>
        </w:numPr>
        <w:ind w:left="311" w:leftChars="148" w:firstLine="228" w:firstLineChars="0"/>
        <w:rPr>
          <w:rFonts w:ascii="宋体" w:hAnsi="宋体" w:eastAsia="宋体" w:cs="宋体"/>
          <w:color w:val="000000"/>
          <w:sz w:val="23"/>
          <w:szCs w:val="23"/>
        </w:rPr>
      </w:pPr>
      <w:r>
        <w:rPr>
          <w:rFonts w:hint="eastAsia" w:ascii="仿宋_GB2312" w:hAnsi="宋体" w:eastAsia="仿宋_GB2312"/>
          <w:color w:val="auto"/>
          <w:kern w:val="2"/>
          <w:sz w:val="24"/>
          <w:szCs w:val="20"/>
          <w:lang w:val="en-US" w:eastAsia="zh-CN" w:bidi="ar-SA"/>
        </w:rPr>
        <w:t>7、</w:t>
      </w:r>
      <w:r>
        <w:rPr>
          <w:rFonts w:hint="eastAsia" w:ascii="仿宋_GB2312" w:hAnsi="宋体" w:eastAsia="仿宋_GB2312"/>
          <w:color w:val="auto"/>
          <w:sz w:val="24"/>
          <w:highlight w:val="none"/>
        </w:rPr>
        <w:t>响应文件还应包括供应商须知第10条的所有技术文件</w:t>
      </w:r>
    </w:p>
    <w:p w14:paraId="71F262FA">
      <w:pPr>
        <w:spacing w:before="216" w:line="232" w:lineRule="auto"/>
        <w:outlineLvl w:val="1"/>
        <w:rPr>
          <w:rFonts w:ascii="宋体" w:hAnsi="宋体" w:eastAsia="宋体" w:cs="宋体"/>
          <w:color w:val="000000"/>
          <w:sz w:val="23"/>
          <w:szCs w:val="23"/>
        </w:rPr>
      </w:pPr>
    </w:p>
    <w:p w14:paraId="33ECE8DC">
      <w:pPr>
        <w:pStyle w:val="16"/>
        <w:rPr>
          <w:rFonts w:hint="eastAsia"/>
          <w:lang w:val="en-US" w:eastAsia="zh-CN"/>
        </w:rPr>
        <w:sectPr>
          <w:pgSz w:w="11906" w:h="16839"/>
          <w:pgMar w:top="400" w:right="1162" w:bottom="1157" w:left="1088" w:header="0" w:footer="994" w:gutter="0"/>
          <w:pgNumType w:fmt="decimal"/>
          <w:cols w:space="720" w:num="1"/>
        </w:sectPr>
      </w:pPr>
    </w:p>
    <w:p w14:paraId="5A0A60DC">
      <w:pPr>
        <w:pStyle w:val="15"/>
        <w:rPr>
          <w:rFonts w:ascii="仿宋_GB2312" w:hAnsi="宋体" w:eastAsia="仿宋_GB2312"/>
          <w:color w:val="auto"/>
          <w:sz w:val="24"/>
          <w:highlight w:val="none"/>
        </w:rPr>
      </w:pPr>
    </w:p>
    <w:p w14:paraId="384E675E">
      <w:pPr>
        <w:pStyle w:val="3"/>
        <w:spacing w:before="0" w:line="240" w:lineRule="atLeast"/>
        <w:ind w:left="1080" w:leftChars="257" w:hanging="540"/>
        <w:rPr>
          <w:rFonts w:ascii="仿宋_GB2312" w:hAnsi="宋体" w:eastAsia="仿宋_GB2312"/>
          <w:color w:val="auto"/>
          <w:sz w:val="24"/>
          <w:highlight w:val="none"/>
        </w:rPr>
      </w:pPr>
      <w:bookmarkStart w:id="340" w:name="_Toc2041"/>
      <w:bookmarkStart w:id="341" w:name="_Toc515647817"/>
      <w:bookmarkStart w:id="342" w:name="_Toc1067"/>
      <w:bookmarkStart w:id="343" w:name="_Toc14915"/>
      <w:bookmarkStart w:id="344" w:name="_Toc7604"/>
      <w:bookmarkStart w:id="345" w:name="_Toc20420"/>
      <w:bookmarkStart w:id="346" w:name="_Toc19761"/>
      <w:r>
        <w:rPr>
          <w:rFonts w:hint="eastAsia" w:ascii="仿宋_GB2312" w:hAnsi="宋体" w:eastAsia="仿宋_GB2312"/>
          <w:color w:val="auto"/>
          <w:sz w:val="24"/>
          <w:highlight w:val="none"/>
        </w:rPr>
        <w:t>1  磋商响应函（</w:t>
      </w:r>
      <w:r>
        <w:rPr>
          <w:rFonts w:hint="eastAsia" w:ascii="仿宋_GB2312" w:hAnsi="宋体" w:eastAsia="仿宋_GB2312"/>
          <w:color w:val="auto"/>
          <w:sz w:val="24"/>
          <w:highlight w:val="none"/>
          <w:lang w:eastAsia="zh-CN"/>
        </w:rPr>
        <w:t>磋商</w:t>
      </w:r>
      <w:r>
        <w:rPr>
          <w:rFonts w:hint="eastAsia" w:ascii="仿宋_GB2312" w:hAnsi="宋体" w:eastAsia="仿宋_GB2312"/>
          <w:color w:val="auto"/>
          <w:sz w:val="24"/>
          <w:highlight w:val="none"/>
        </w:rPr>
        <w:t>文件格式四）</w:t>
      </w:r>
      <w:bookmarkEnd w:id="340"/>
      <w:bookmarkEnd w:id="341"/>
      <w:bookmarkEnd w:id="342"/>
      <w:bookmarkEnd w:id="343"/>
      <w:bookmarkEnd w:id="344"/>
      <w:bookmarkEnd w:id="345"/>
      <w:bookmarkEnd w:id="346"/>
    </w:p>
    <w:p w14:paraId="780A8A3A">
      <w:pPr>
        <w:tabs>
          <w:tab w:val="left" w:pos="5580"/>
        </w:tabs>
        <w:spacing w:line="240" w:lineRule="atLeast"/>
        <w:ind w:left="1080" w:leftChars="257" w:hanging="540"/>
        <w:rPr>
          <w:rFonts w:ascii="仿宋_GB2312" w:hAnsi="宋体" w:eastAsia="仿宋_GB2312"/>
          <w:color w:val="auto"/>
          <w:sz w:val="24"/>
          <w:highlight w:val="none"/>
        </w:rPr>
      </w:pPr>
    </w:p>
    <w:p w14:paraId="13A3FF64">
      <w:pPr>
        <w:tabs>
          <w:tab w:val="left" w:pos="5580"/>
        </w:tabs>
        <w:spacing w:line="240" w:lineRule="atLeast"/>
        <w:ind w:left="1080" w:hanging="1080"/>
        <w:rPr>
          <w:rFonts w:ascii="仿宋_GB2312" w:hAnsi="宋体" w:eastAsia="仿宋_GB2312"/>
          <w:color w:val="auto"/>
          <w:sz w:val="24"/>
          <w:highlight w:val="none"/>
        </w:rPr>
      </w:pPr>
      <w:r>
        <w:rPr>
          <w:rFonts w:hint="eastAsia" w:ascii="仿宋_GB2312" w:hAnsi="宋体" w:eastAsia="仿宋_GB2312"/>
          <w:color w:val="auto"/>
          <w:sz w:val="24"/>
          <w:highlight w:val="none"/>
        </w:rPr>
        <w:t>致：</w:t>
      </w:r>
      <w:r>
        <w:rPr>
          <w:rFonts w:hint="eastAsia" w:ascii="仿宋_GB2312" w:hAnsi="宋体" w:eastAsia="仿宋_GB2312"/>
          <w:color w:val="auto"/>
          <w:sz w:val="24"/>
          <w:highlight w:val="none"/>
          <w:u w:val="single"/>
        </w:rPr>
        <w:t>采购代理机构</w:t>
      </w:r>
    </w:p>
    <w:p w14:paraId="68EBEF5C">
      <w:pPr>
        <w:pStyle w:val="15"/>
        <w:tabs>
          <w:tab w:val="left" w:pos="5580"/>
        </w:tabs>
        <w:spacing w:line="240" w:lineRule="atLeast"/>
        <w:ind w:left="1080" w:leftChars="257" w:hanging="540"/>
        <w:rPr>
          <w:rFonts w:ascii="仿宋_GB2312" w:hAnsi="宋体" w:eastAsia="仿宋_GB2312"/>
          <w:color w:val="auto"/>
          <w:sz w:val="24"/>
          <w:highlight w:val="none"/>
        </w:rPr>
      </w:pPr>
    </w:p>
    <w:p w14:paraId="0EE5B350">
      <w:pPr>
        <w:pStyle w:val="15"/>
        <w:tabs>
          <w:tab w:val="left" w:pos="5580"/>
        </w:tabs>
        <w:spacing w:line="240" w:lineRule="atLeast"/>
        <w:ind w:left="2" w:leftChars="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根据贵方（采购项目名称)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项目的投标邀请(</w:t>
      </w:r>
      <w:r>
        <w:rPr>
          <w:rFonts w:hint="eastAsia" w:ascii="仿宋_GB2312" w:hAnsi="宋体" w:eastAsia="仿宋_GB2312"/>
          <w:color w:val="auto"/>
          <w:sz w:val="24"/>
          <w:highlight w:val="none"/>
          <w:u w:val="single"/>
        </w:rPr>
        <w:t>招标编号</w:t>
      </w:r>
      <w:r>
        <w:rPr>
          <w:rFonts w:hint="eastAsia" w:ascii="仿宋_GB2312" w:hAnsi="宋体" w:eastAsia="仿宋_GB2312"/>
          <w:color w:val="auto"/>
          <w:sz w:val="24"/>
          <w:highlight w:val="none"/>
        </w:rPr>
        <w:t>),签字代表(</w:t>
      </w:r>
      <w:r>
        <w:rPr>
          <w:rFonts w:hint="eastAsia" w:ascii="仿宋_GB2312" w:hAnsi="宋体" w:eastAsia="仿宋_GB2312"/>
          <w:color w:val="auto"/>
          <w:sz w:val="24"/>
          <w:highlight w:val="none"/>
          <w:u w:val="single"/>
        </w:rPr>
        <w:t>姓名、职务)</w:t>
      </w:r>
      <w:r>
        <w:rPr>
          <w:rFonts w:hint="eastAsia" w:ascii="仿宋_GB2312" w:hAnsi="宋体" w:eastAsia="仿宋_GB2312"/>
          <w:color w:val="auto"/>
          <w:sz w:val="24"/>
          <w:highlight w:val="none"/>
        </w:rPr>
        <w:t>经正式授权并代表供应商（</w:t>
      </w:r>
      <w:r>
        <w:rPr>
          <w:rFonts w:hint="eastAsia" w:ascii="仿宋_GB2312" w:hAnsi="宋体" w:eastAsia="仿宋_GB2312"/>
          <w:color w:val="auto"/>
          <w:sz w:val="24"/>
          <w:highlight w:val="none"/>
          <w:u w:val="single"/>
        </w:rPr>
        <w:t>名称、地址</w:t>
      </w:r>
      <w:r>
        <w:rPr>
          <w:rFonts w:hint="eastAsia" w:ascii="仿宋_GB2312" w:hAnsi="宋体" w:eastAsia="仿宋_GB2312"/>
          <w:color w:val="auto"/>
          <w:sz w:val="24"/>
          <w:highlight w:val="none"/>
        </w:rPr>
        <w:t>）电子文档</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份，并出具的金额为人民币</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元的</w:t>
      </w:r>
      <w:r>
        <w:rPr>
          <w:rFonts w:hint="eastAsia" w:ascii="仿宋_GB2312" w:hAnsi="宋体" w:eastAsia="仿宋_GB2312"/>
          <w:color w:val="auto"/>
          <w:sz w:val="24"/>
          <w:highlight w:val="none"/>
          <w:lang w:eastAsia="zh-CN"/>
        </w:rPr>
        <w:t>磋商保证金</w:t>
      </w:r>
      <w:r>
        <w:rPr>
          <w:rFonts w:hint="eastAsia" w:ascii="仿宋_GB2312" w:hAnsi="宋体" w:eastAsia="仿宋_GB2312"/>
          <w:color w:val="auto"/>
          <w:sz w:val="24"/>
          <w:highlight w:val="none"/>
        </w:rPr>
        <w:t>。</w:t>
      </w:r>
    </w:p>
    <w:p w14:paraId="57D718A8">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据此，签字代表宣布如下：</w:t>
      </w:r>
    </w:p>
    <w:p w14:paraId="50CFCF9B">
      <w:pPr>
        <w:pStyle w:val="15"/>
        <w:tabs>
          <w:tab w:val="left" w:pos="720"/>
          <w:tab w:val="left" w:pos="900"/>
        </w:tabs>
        <w:spacing w:line="240" w:lineRule="atLeast"/>
        <w:ind w:left="769" w:leftChars="257" w:hanging="229"/>
        <w:rPr>
          <w:rFonts w:ascii="仿宋_GB2312" w:hAnsi="宋体" w:eastAsia="仿宋_GB2312"/>
          <w:color w:val="auto"/>
          <w:sz w:val="24"/>
          <w:highlight w:val="none"/>
        </w:rPr>
      </w:pPr>
      <w:r>
        <w:rPr>
          <w:rFonts w:hint="eastAsia" w:ascii="仿宋_GB2312" w:hAnsi="宋体" w:eastAsia="仿宋_GB2312"/>
          <w:color w:val="auto"/>
          <w:sz w:val="24"/>
          <w:highlight w:val="none"/>
        </w:rPr>
        <w:t>（1）附投标书报价中规定的投标总价详见开标一</w:t>
      </w:r>
      <w:r>
        <w:rPr>
          <w:rFonts w:ascii="仿宋_GB2312" w:hAnsi="宋体" w:eastAsia="仿宋_GB2312"/>
          <w:color w:val="auto"/>
          <w:sz w:val="24"/>
          <w:highlight w:val="none"/>
        </w:rPr>
        <w:t>览表，</w:t>
      </w:r>
      <w:r>
        <w:rPr>
          <w:rFonts w:hint="eastAsia" w:ascii="仿宋_GB2312" w:hAnsi="宋体" w:eastAsia="仿宋_GB2312"/>
          <w:color w:val="auto"/>
          <w:sz w:val="24"/>
          <w:highlight w:val="none"/>
          <w:u w:val="single"/>
        </w:rPr>
        <w:t>其中由</w:t>
      </w:r>
      <w:r>
        <w:rPr>
          <w:rFonts w:ascii="仿宋_GB2312" w:hAnsi="宋体" w:eastAsia="仿宋_GB2312"/>
          <w:color w:val="auto"/>
          <w:sz w:val="24"/>
          <w:highlight w:val="none"/>
          <w:u w:val="single"/>
        </w:rPr>
        <w:t>小型和</w:t>
      </w:r>
      <w:r>
        <w:rPr>
          <w:rFonts w:ascii="仿宋_GB2312" w:hAnsi="宋体" w:eastAsia="仿宋_GB2312"/>
          <w:color w:val="auto"/>
          <w:sz w:val="24"/>
          <w:highlight w:val="none"/>
        </w:rPr>
        <w:t>微型企业</w:t>
      </w:r>
      <w:r>
        <w:rPr>
          <w:rFonts w:hint="eastAsia" w:ascii="仿宋_GB2312" w:hAnsi="宋体" w:eastAsia="仿宋_GB2312"/>
          <w:color w:val="auto"/>
          <w:sz w:val="24"/>
          <w:highlight w:val="none"/>
          <w:lang w:val="en-US" w:eastAsia="zh-CN"/>
        </w:rPr>
        <w:t>服务的</w:t>
      </w:r>
      <w:r>
        <w:rPr>
          <w:rFonts w:ascii="仿宋_GB2312" w:hAnsi="宋体" w:eastAsia="仿宋_GB2312"/>
          <w:color w:val="auto"/>
          <w:sz w:val="24"/>
          <w:highlight w:val="none"/>
        </w:rPr>
        <w:t>价格</w:t>
      </w:r>
      <w:r>
        <w:rPr>
          <w:rFonts w:hint="eastAsia" w:ascii="仿宋_GB2312" w:hAnsi="宋体" w:eastAsia="仿宋_GB2312"/>
          <w:color w:val="auto"/>
          <w:sz w:val="24"/>
          <w:highlight w:val="none"/>
        </w:rPr>
        <w:t>为</w:t>
      </w:r>
      <w:r>
        <w:rPr>
          <w:rFonts w:hint="eastAsia" w:ascii="仿宋_GB2312" w:hAnsi="宋体" w:eastAsia="仿宋_GB2312"/>
          <w:color w:val="auto"/>
          <w:sz w:val="24"/>
          <w:highlight w:val="none"/>
          <w:u w:val="single"/>
        </w:rPr>
        <w:t>　　  （用文字和数字表示）</w:t>
      </w:r>
    </w:p>
    <w:p w14:paraId="758A8078">
      <w:pPr>
        <w:pStyle w:val="15"/>
        <w:tabs>
          <w:tab w:val="left" w:pos="720"/>
          <w:tab w:val="left" w:pos="900"/>
        </w:tabs>
        <w:spacing w:line="240" w:lineRule="atLeast"/>
        <w:ind w:left="769" w:leftChars="257" w:hanging="229"/>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（2）本</w:t>
      </w:r>
      <w:r>
        <w:rPr>
          <w:rFonts w:hint="eastAsia" w:ascii="仿宋_GB2312" w:hAnsi="宋体" w:eastAsia="仿宋_GB2312"/>
          <w:color w:val="auto"/>
          <w:sz w:val="24"/>
          <w:highlight w:val="none"/>
          <w:lang w:eastAsia="zh-CN"/>
        </w:rPr>
        <w:t>磋商</w:t>
      </w:r>
      <w:r>
        <w:rPr>
          <w:rFonts w:hint="eastAsia" w:ascii="仿宋_GB2312" w:hAnsi="宋体" w:eastAsia="仿宋_GB2312"/>
          <w:color w:val="auto"/>
          <w:sz w:val="24"/>
          <w:highlight w:val="none"/>
        </w:rPr>
        <w:t>有效期为投标标截止之日起</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个日历日。</w:t>
      </w:r>
    </w:p>
    <w:p w14:paraId="283A041B">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联</w:t>
      </w:r>
      <w:r>
        <w:rPr>
          <w:rFonts w:hint="eastAsia" w:ascii="仿宋_GB2312" w:hAnsi="宋体" w:eastAsia="仿宋_GB2312"/>
          <w:color w:val="auto"/>
          <w:sz w:val="24"/>
          <w:highlight w:val="none"/>
        </w:rPr>
        <w:t>合体中</w:t>
      </w:r>
      <w:r>
        <w:rPr>
          <w:rFonts w:ascii="仿宋_GB2312" w:hAnsi="宋体" w:eastAsia="仿宋_GB2312"/>
          <w:color w:val="auto"/>
          <w:sz w:val="24"/>
          <w:highlight w:val="none"/>
        </w:rPr>
        <w:t>的大中</w:t>
      </w:r>
      <w:r>
        <w:rPr>
          <w:rFonts w:hint="eastAsia" w:ascii="仿宋_GB2312" w:hAnsi="宋体" w:eastAsia="仿宋_GB2312"/>
          <w:color w:val="auto"/>
          <w:sz w:val="24"/>
          <w:highlight w:val="none"/>
        </w:rPr>
        <w:t>型</w:t>
      </w:r>
      <w:r>
        <w:rPr>
          <w:rFonts w:ascii="仿宋_GB2312" w:hAnsi="宋体" w:eastAsia="仿宋_GB2312"/>
          <w:color w:val="auto"/>
          <w:sz w:val="24"/>
          <w:highlight w:val="none"/>
        </w:rPr>
        <w:t>企</w:t>
      </w:r>
      <w:r>
        <w:rPr>
          <w:rFonts w:hint="eastAsia" w:ascii="仿宋_GB2312" w:hAnsi="宋体" w:eastAsia="仿宋_GB2312"/>
          <w:color w:val="auto"/>
          <w:sz w:val="24"/>
          <w:highlight w:val="none"/>
        </w:rPr>
        <w:t>业</w:t>
      </w:r>
      <w:r>
        <w:rPr>
          <w:rFonts w:ascii="仿宋_GB2312" w:hAnsi="宋体" w:eastAsia="仿宋_GB2312"/>
          <w:color w:val="auto"/>
          <w:sz w:val="24"/>
          <w:highlight w:val="none"/>
        </w:rPr>
        <w:t>、法人或者</w:t>
      </w:r>
      <w:r>
        <w:rPr>
          <w:rFonts w:hint="eastAsia" w:ascii="仿宋_GB2312" w:hAnsi="宋体" w:eastAsia="仿宋_GB2312"/>
          <w:color w:val="auto"/>
          <w:sz w:val="24"/>
          <w:highlight w:val="none"/>
        </w:rPr>
        <w:t>非法人组织</w:t>
      </w:r>
      <w:r>
        <w:rPr>
          <w:rFonts w:ascii="仿宋_GB2312" w:hAnsi="宋体" w:eastAsia="仿宋_GB2312"/>
          <w:color w:val="auto"/>
          <w:sz w:val="24"/>
          <w:highlight w:val="none"/>
        </w:rPr>
        <w:t>，与</w:t>
      </w:r>
      <w:r>
        <w:rPr>
          <w:rFonts w:hint="eastAsia" w:ascii="仿宋_GB2312" w:hAnsi="宋体" w:eastAsia="仿宋_GB2312"/>
          <w:color w:val="auto"/>
          <w:sz w:val="24"/>
          <w:highlight w:val="none"/>
        </w:rPr>
        <w:t>联合体中的</w:t>
      </w:r>
      <w:r>
        <w:rPr>
          <w:rFonts w:ascii="仿宋_GB2312" w:hAnsi="宋体" w:eastAsia="仿宋_GB2312"/>
          <w:color w:val="auto"/>
          <w:sz w:val="24"/>
          <w:highlight w:val="none"/>
        </w:rPr>
        <w:t>小型、微型企业之间</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rPr>
        <w:t>存在</w:t>
      </w:r>
      <w:r>
        <w:rPr>
          <w:rFonts w:hint="eastAsia" w:ascii="仿宋_GB2312" w:hAnsi="宋体" w:eastAsia="仿宋_GB2312"/>
          <w:color w:val="auto"/>
          <w:sz w:val="24"/>
          <w:highlight w:val="none"/>
        </w:rPr>
        <w:t>、不存在）</w:t>
      </w:r>
      <w:r>
        <w:rPr>
          <w:rFonts w:ascii="仿宋_GB2312" w:hAnsi="宋体" w:eastAsia="仿宋_GB2312"/>
          <w:color w:val="auto"/>
          <w:sz w:val="24"/>
          <w:highlight w:val="none"/>
        </w:rPr>
        <w:t>投资关系</w:t>
      </w:r>
      <w:r>
        <w:rPr>
          <w:rFonts w:hint="eastAsia" w:ascii="仿宋_GB2312" w:hAnsi="宋体" w:eastAsia="仿宋_GB2312"/>
          <w:color w:val="auto"/>
          <w:sz w:val="24"/>
          <w:highlight w:val="none"/>
        </w:rPr>
        <w:t>（如果是联合体的话）。</w:t>
      </w:r>
    </w:p>
    <w:p w14:paraId="51BC253F">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（4）已详细审查全部磋商文件，包括所有补充通知（如果有的话），完全理解并同意放弃对这方面有不明、误解和质疑的权力。</w:t>
      </w:r>
    </w:p>
    <w:p w14:paraId="6164E54D">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（5）在规定的开标时间后，遵守磋商文件中有关保证金的规定。</w:t>
      </w:r>
    </w:p>
    <w:p w14:paraId="68976E91">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（6）我方不是</w:t>
      </w:r>
      <w:r>
        <w:rPr>
          <w:rFonts w:ascii="仿宋_GB2312" w:hAnsi="宋体" w:eastAsia="仿宋_GB2312"/>
          <w:color w:val="auto"/>
          <w:sz w:val="24"/>
          <w:highlight w:val="none"/>
        </w:rPr>
        <w:t>为</w:t>
      </w:r>
      <w:r>
        <w:rPr>
          <w:rFonts w:hint="eastAsia" w:ascii="仿宋_GB2312" w:hAnsi="宋体" w:eastAsia="仿宋_GB2312"/>
          <w:color w:val="auto"/>
          <w:sz w:val="24"/>
          <w:highlight w:val="none"/>
        </w:rPr>
        <w:t>本</w:t>
      </w:r>
      <w:r>
        <w:rPr>
          <w:rFonts w:ascii="仿宋_GB2312" w:hAnsi="宋体" w:eastAsia="仿宋_GB2312"/>
          <w:color w:val="auto"/>
          <w:sz w:val="24"/>
          <w:highlight w:val="none"/>
        </w:rPr>
        <w:t>项目提供整体</w:t>
      </w:r>
      <w:r>
        <w:rPr>
          <w:rFonts w:hint="eastAsia" w:ascii="仿宋_GB2312" w:hAnsi="宋体" w:eastAsia="仿宋_GB2312"/>
          <w:color w:val="auto"/>
          <w:sz w:val="24"/>
          <w:highlight w:val="none"/>
        </w:rPr>
        <w:t>设计</w:t>
      </w:r>
      <w:r>
        <w:rPr>
          <w:rFonts w:ascii="仿宋_GB2312" w:hAnsi="宋体" w:eastAsia="仿宋_GB2312"/>
          <w:color w:val="auto"/>
          <w:sz w:val="24"/>
          <w:highlight w:val="none"/>
        </w:rPr>
        <w:t>、规范编制或者项目管理、监理、检测等服务的供应商</w:t>
      </w:r>
      <w:r>
        <w:rPr>
          <w:rFonts w:hint="eastAsia" w:ascii="仿宋_GB2312" w:hAnsi="宋体" w:eastAsia="仿宋_GB2312"/>
          <w:color w:val="auto"/>
          <w:sz w:val="24"/>
          <w:highlight w:val="none"/>
        </w:rPr>
        <w:t>，我方不是采购代理</w:t>
      </w:r>
      <w:r>
        <w:rPr>
          <w:rFonts w:ascii="仿宋_GB2312" w:hAnsi="宋体" w:eastAsia="仿宋_GB2312"/>
          <w:color w:val="auto"/>
          <w:sz w:val="24"/>
          <w:highlight w:val="none"/>
        </w:rPr>
        <w:t>机构</w:t>
      </w:r>
      <w:r>
        <w:rPr>
          <w:rFonts w:hint="eastAsia" w:ascii="仿宋_GB2312" w:hAnsi="宋体" w:eastAsia="仿宋_GB2312"/>
          <w:color w:val="auto"/>
          <w:sz w:val="24"/>
          <w:highlight w:val="none"/>
        </w:rPr>
        <w:t>的附属机构。</w:t>
      </w:r>
    </w:p>
    <w:p w14:paraId="009D6167">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（7）在领取成交通知书的</w:t>
      </w:r>
      <w:r>
        <w:rPr>
          <w:rFonts w:ascii="仿宋_GB2312" w:hAnsi="宋体" w:eastAsia="仿宋_GB2312"/>
          <w:color w:val="auto"/>
          <w:sz w:val="24"/>
          <w:highlight w:val="none"/>
        </w:rPr>
        <w:t>同</w:t>
      </w:r>
      <w:r>
        <w:rPr>
          <w:rFonts w:hint="eastAsia" w:ascii="仿宋_GB2312" w:hAnsi="宋体" w:eastAsia="仿宋_GB2312"/>
          <w:color w:val="auto"/>
          <w:sz w:val="24"/>
          <w:highlight w:val="none"/>
        </w:rPr>
        <w:t>时按磋商文件规定的</w:t>
      </w:r>
      <w:r>
        <w:rPr>
          <w:rFonts w:ascii="仿宋_GB2312" w:hAnsi="宋体" w:eastAsia="仿宋_GB2312"/>
          <w:color w:val="auto"/>
          <w:sz w:val="24"/>
          <w:highlight w:val="none"/>
        </w:rPr>
        <w:t>形式</w:t>
      </w:r>
      <w:r>
        <w:rPr>
          <w:rFonts w:hint="eastAsia" w:ascii="仿宋_GB2312" w:hAnsi="宋体" w:eastAsia="仿宋_GB2312"/>
          <w:color w:val="auto"/>
          <w:sz w:val="24"/>
          <w:highlight w:val="none"/>
        </w:rPr>
        <w:t>，向贵方一次性支付成交服务费。</w:t>
      </w:r>
    </w:p>
    <w:p w14:paraId="293FD053">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（8）按照贵方可能要求，提供与其投标有关的一切数据或资料，完全理解贵方不一定接受最低价的投标或收到的任何投标。</w:t>
      </w:r>
    </w:p>
    <w:p w14:paraId="4E29FBC5">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（9）按照磋商文件的规定履行合同责任和义务。</w:t>
      </w:r>
    </w:p>
    <w:p w14:paraId="009C9A2C">
      <w:pPr>
        <w:pStyle w:val="15"/>
        <w:tabs>
          <w:tab w:val="left" w:pos="5580"/>
        </w:tabs>
        <w:spacing w:line="240" w:lineRule="atLeast"/>
        <w:ind w:left="359" w:leftChars="68" w:hanging="216" w:hangingChars="9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与本投标有关的一切正式往来信函请寄：</w:t>
      </w:r>
    </w:p>
    <w:p w14:paraId="07F5F4B6">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地址</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传真</w:t>
      </w:r>
      <w:r>
        <w:rPr>
          <w:rFonts w:hint="eastAsia" w:ascii="仿宋_GB2312" w:hAnsi="宋体" w:eastAsia="仿宋_GB2312"/>
          <w:color w:val="auto"/>
          <w:sz w:val="24"/>
          <w:highlight w:val="none"/>
          <w:u w:val="single"/>
        </w:rPr>
        <w:t xml:space="preserve">                             </w:t>
      </w:r>
    </w:p>
    <w:p w14:paraId="61142915">
      <w:pPr>
        <w:pStyle w:val="15"/>
        <w:tabs>
          <w:tab w:val="left" w:pos="5580"/>
        </w:tabs>
        <w:spacing w:line="240" w:lineRule="atLeast"/>
        <w:ind w:left="1080" w:leftChars="257" w:hanging="540"/>
        <w:rPr>
          <w:rFonts w:ascii="仿宋_GB2312" w:hAnsi="宋体" w:eastAsia="仿宋_GB2312"/>
          <w:b/>
          <w:color w:val="auto"/>
          <w:sz w:val="24"/>
          <w:highlight w:val="none"/>
        </w:rPr>
      </w:pPr>
      <w:r>
        <w:rPr>
          <w:rFonts w:hint="eastAsia" w:ascii="仿宋_GB2312" w:hAnsi="宋体" w:eastAsia="仿宋_GB2312"/>
          <w:color w:val="auto"/>
          <w:sz w:val="24"/>
          <w:highlight w:val="none"/>
        </w:rPr>
        <w:t>电话</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电子函件</w:t>
      </w:r>
      <w:r>
        <w:rPr>
          <w:rFonts w:hint="eastAsia" w:ascii="仿宋_GB2312" w:hAnsi="宋体" w:eastAsia="仿宋_GB2312"/>
          <w:color w:val="auto"/>
          <w:sz w:val="24"/>
          <w:highlight w:val="none"/>
          <w:u w:val="single"/>
        </w:rPr>
        <w:t xml:space="preserve">                         </w:t>
      </w:r>
    </w:p>
    <w:p w14:paraId="438C0489">
      <w:pPr>
        <w:pStyle w:val="15"/>
        <w:tabs>
          <w:tab w:val="left" w:pos="5580"/>
        </w:tabs>
        <w:spacing w:line="240" w:lineRule="atLeast"/>
        <w:ind w:left="1080" w:leftChars="257" w:hanging="540"/>
        <w:rPr>
          <w:rFonts w:ascii="仿宋_GB2312" w:hAnsi="宋体" w:eastAsia="仿宋_GB2312"/>
          <w:color w:val="auto"/>
          <w:sz w:val="24"/>
          <w:highlight w:val="none"/>
        </w:rPr>
      </w:pPr>
    </w:p>
    <w:p w14:paraId="4DF36477">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法定代表人或其委托代理人签字</w:t>
      </w:r>
      <w:r>
        <w:rPr>
          <w:rFonts w:hint="eastAsia" w:ascii="仿宋_GB2312" w:hAnsi="宋体" w:eastAsia="仿宋_GB2312"/>
          <w:color w:val="auto"/>
          <w:sz w:val="24"/>
          <w:highlight w:val="none"/>
          <w:lang w:val="en-US" w:eastAsia="zh-CN"/>
        </w:rPr>
        <w:t>或盖章</w:t>
      </w:r>
      <w:r>
        <w:rPr>
          <w:rFonts w:hint="eastAsia" w:ascii="仿宋_GB2312" w:hAnsi="宋体" w:eastAsia="仿宋_GB2312"/>
          <w:color w:val="auto"/>
          <w:sz w:val="24"/>
          <w:highlight w:val="none"/>
        </w:rPr>
        <w:t>-----------------</w:t>
      </w:r>
    </w:p>
    <w:p w14:paraId="120BB39D">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供应商名称（全称）-----------------</w:t>
      </w:r>
    </w:p>
    <w:p w14:paraId="7DB279BA">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供应商开户银行（全称）</w:t>
      </w:r>
      <w:r>
        <w:rPr>
          <w:rFonts w:hint="eastAsia" w:ascii="仿宋_GB2312" w:hAnsi="宋体" w:eastAsia="仿宋_GB2312"/>
          <w:color w:val="auto"/>
          <w:sz w:val="24"/>
          <w:highlight w:val="none"/>
          <w:u w:val="single"/>
        </w:rPr>
        <w:t xml:space="preserve">　　　　　　 </w:t>
      </w:r>
    </w:p>
    <w:p w14:paraId="56E116C0">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供应商银行帐号</w:t>
      </w:r>
      <w:r>
        <w:rPr>
          <w:rFonts w:hint="eastAsia" w:ascii="仿宋_GB2312" w:hAnsi="宋体" w:eastAsia="仿宋_GB2312"/>
          <w:color w:val="auto"/>
          <w:sz w:val="24"/>
          <w:highlight w:val="none"/>
          <w:u w:val="single"/>
        </w:rPr>
        <w:t>　　　　　　　　 　　</w:t>
      </w:r>
    </w:p>
    <w:p w14:paraId="70589ACA">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供应商单位章-------------------------</w:t>
      </w:r>
    </w:p>
    <w:p w14:paraId="77B96999">
      <w:pPr>
        <w:pStyle w:val="15"/>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14:paraId="57D63FED">
      <w:pPr>
        <w:pStyle w:val="84"/>
        <w:ind w:firstLine="480"/>
        <w:rPr>
          <w:color w:val="auto"/>
          <w:highlight w:val="none"/>
        </w:rPr>
        <w:sectPr>
          <w:headerReference r:id="rId10" w:type="default"/>
          <w:footerReference r:id="rId11" w:type="default"/>
          <w:pgSz w:w="11906" w:h="16838"/>
          <w:pgMar w:top="1440" w:right="1797" w:bottom="1440" w:left="1797" w:header="851" w:footer="992" w:gutter="0"/>
          <w:pgNumType w:fmt="decimal"/>
          <w:cols w:space="720" w:num="1"/>
          <w:docGrid w:linePitch="312" w:charSpace="0"/>
        </w:sectPr>
      </w:pPr>
    </w:p>
    <w:p w14:paraId="0195E4D8">
      <w:pPr>
        <w:pStyle w:val="3"/>
        <w:spacing w:before="0" w:line="240" w:lineRule="atLeast"/>
        <w:ind w:left="1080" w:leftChars="257" w:hanging="540"/>
        <w:rPr>
          <w:rFonts w:ascii="仿宋_GB2312" w:eastAsia="仿宋_GB2312"/>
          <w:color w:val="auto"/>
          <w:sz w:val="24"/>
          <w:highlight w:val="none"/>
        </w:rPr>
      </w:pPr>
      <w:bookmarkStart w:id="347" w:name="_Toc216582815"/>
      <w:bookmarkStart w:id="348" w:name="_Toc515647818"/>
      <w:bookmarkStart w:id="349" w:name="_Toc1881"/>
      <w:bookmarkStart w:id="350" w:name="_Toc8254"/>
      <w:bookmarkStart w:id="351" w:name="_Toc8569"/>
      <w:bookmarkStart w:id="352" w:name="_Toc24469"/>
      <w:bookmarkStart w:id="353" w:name="_Toc12063"/>
      <w:bookmarkStart w:id="354" w:name="_Toc20897"/>
      <w:bookmarkStart w:id="355" w:name="_Toc515647820"/>
      <w:bookmarkStart w:id="356" w:name="_Toc216582817"/>
      <w:bookmarkStart w:id="357" w:name="_Toc22563"/>
      <w:r>
        <w:rPr>
          <w:rFonts w:hint="eastAsia" w:ascii="仿宋_GB2312" w:hAnsi="宋体" w:eastAsia="仿宋_GB2312"/>
          <w:color w:val="auto"/>
          <w:sz w:val="24"/>
          <w:highlight w:val="none"/>
        </w:rPr>
        <w:t xml:space="preserve">2   </w:t>
      </w:r>
      <w:r>
        <w:rPr>
          <w:rFonts w:hint="eastAsia" w:ascii="仿宋_GB2312" w:eastAsia="仿宋_GB2312"/>
          <w:color w:val="auto"/>
          <w:sz w:val="24"/>
          <w:highlight w:val="none"/>
        </w:rPr>
        <w:t>投标分项报价表</w:t>
      </w:r>
      <w:bookmarkEnd w:id="347"/>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磋商</w:t>
      </w:r>
      <w:r>
        <w:rPr>
          <w:rFonts w:hint="eastAsia" w:ascii="仿宋_GB2312" w:eastAsia="仿宋_GB2312"/>
          <w:color w:val="auto"/>
          <w:sz w:val="24"/>
          <w:highlight w:val="none"/>
        </w:rPr>
        <w:t>文件格式五）</w:t>
      </w:r>
      <w:bookmarkEnd w:id="348"/>
      <w:bookmarkEnd w:id="349"/>
      <w:bookmarkEnd w:id="350"/>
      <w:bookmarkEnd w:id="351"/>
      <w:bookmarkEnd w:id="352"/>
      <w:bookmarkEnd w:id="353"/>
      <w:bookmarkEnd w:id="354"/>
    </w:p>
    <w:p w14:paraId="00AEAB56">
      <w:pPr>
        <w:pStyle w:val="15"/>
        <w:spacing w:line="240" w:lineRule="atLeast"/>
        <w:ind w:left="1080" w:leftChars="257" w:hanging="540"/>
        <w:rPr>
          <w:rFonts w:ascii="仿宋_GB2312" w:eastAsia="仿宋_GB2312"/>
          <w:color w:val="auto"/>
          <w:sz w:val="24"/>
          <w:highlight w:val="none"/>
        </w:rPr>
      </w:pPr>
    </w:p>
    <w:p w14:paraId="12B6A588">
      <w:pPr>
        <w:pStyle w:val="15"/>
        <w:spacing w:line="240" w:lineRule="atLeast"/>
        <w:ind w:left="1155" w:leftChars="371" w:hanging="376" w:hangingChars="157"/>
        <w:rPr>
          <w:rFonts w:ascii="仿宋_GB2312" w:eastAsia="仿宋_GB2312"/>
          <w:color w:val="auto"/>
          <w:sz w:val="24"/>
          <w:highlight w:val="none"/>
        </w:rPr>
      </w:pPr>
      <w:r>
        <w:rPr>
          <w:rFonts w:hint="eastAsia" w:ascii="仿宋_GB2312" w:eastAsia="仿宋_GB2312"/>
          <w:color w:val="auto"/>
          <w:sz w:val="24"/>
          <w:highlight w:val="none"/>
        </w:rPr>
        <w:t>项目名称:                      项目编号:                         　 　报价单位：人民币元</w:t>
      </w:r>
    </w:p>
    <w:tbl>
      <w:tblPr>
        <w:tblStyle w:val="37"/>
        <w:tblW w:w="13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842"/>
        <w:gridCol w:w="2438"/>
        <w:gridCol w:w="2025"/>
        <w:gridCol w:w="1937"/>
        <w:gridCol w:w="1538"/>
        <w:gridCol w:w="1750"/>
      </w:tblGrid>
      <w:tr w14:paraId="0000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512" w:type="dxa"/>
            <w:noWrap w:val="0"/>
            <w:vAlign w:val="center"/>
          </w:tcPr>
          <w:p w14:paraId="7E1786EA">
            <w:pPr>
              <w:pStyle w:val="15"/>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842" w:type="dxa"/>
            <w:noWrap w:val="0"/>
            <w:vAlign w:val="center"/>
          </w:tcPr>
          <w:p w14:paraId="085352E5">
            <w:pPr>
              <w:pStyle w:val="15"/>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名称</w:t>
            </w:r>
          </w:p>
        </w:tc>
        <w:tc>
          <w:tcPr>
            <w:tcW w:w="2438" w:type="dxa"/>
            <w:noWrap w:val="0"/>
            <w:vAlign w:val="center"/>
          </w:tcPr>
          <w:p w14:paraId="7025318C">
            <w:pPr>
              <w:pStyle w:val="15"/>
              <w:spacing w:line="240" w:lineRule="atLeas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服务内容</w:t>
            </w:r>
          </w:p>
        </w:tc>
        <w:tc>
          <w:tcPr>
            <w:tcW w:w="2025" w:type="dxa"/>
            <w:noWrap w:val="0"/>
            <w:vAlign w:val="center"/>
          </w:tcPr>
          <w:p w14:paraId="466648B5">
            <w:pPr>
              <w:pStyle w:val="15"/>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服务期限</w:t>
            </w:r>
          </w:p>
        </w:tc>
        <w:tc>
          <w:tcPr>
            <w:tcW w:w="1937" w:type="dxa"/>
            <w:noWrap w:val="0"/>
            <w:vAlign w:val="center"/>
          </w:tcPr>
          <w:p w14:paraId="33477BC8">
            <w:pPr>
              <w:pStyle w:val="15"/>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单价</w:t>
            </w:r>
          </w:p>
        </w:tc>
        <w:tc>
          <w:tcPr>
            <w:tcW w:w="1538" w:type="dxa"/>
            <w:noWrap w:val="0"/>
            <w:vAlign w:val="center"/>
          </w:tcPr>
          <w:p w14:paraId="225250A6">
            <w:pPr>
              <w:pStyle w:val="15"/>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总价</w:t>
            </w:r>
          </w:p>
        </w:tc>
        <w:tc>
          <w:tcPr>
            <w:tcW w:w="1750" w:type="dxa"/>
            <w:noWrap w:val="0"/>
            <w:vAlign w:val="center"/>
          </w:tcPr>
          <w:p w14:paraId="79A3730F">
            <w:pPr>
              <w:pStyle w:val="15"/>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14:paraId="0395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512" w:type="dxa"/>
            <w:noWrap w:val="0"/>
            <w:vAlign w:val="center"/>
          </w:tcPr>
          <w:p w14:paraId="6C0A0DA1">
            <w:pPr>
              <w:pStyle w:val="15"/>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842" w:type="dxa"/>
            <w:noWrap w:val="0"/>
            <w:vAlign w:val="center"/>
          </w:tcPr>
          <w:p w14:paraId="69ED2759">
            <w:pPr>
              <w:pStyle w:val="15"/>
              <w:spacing w:line="240" w:lineRule="atLeast"/>
              <w:jc w:val="center"/>
              <w:rPr>
                <w:rFonts w:ascii="仿宋_GB2312" w:eastAsia="仿宋_GB2312"/>
                <w:color w:val="auto"/>
                <w:sz w:val="24"/>
                <w:highlight w:val="none"/>
              </w:rPr>
            </w:pPr>
          </w:p>
        </w:tc>
        <w:tc>
          <w:tcPr>
            <w:tcW w:w="2438" w:type="dxa"/>
            <w:noWrap w:val="0"/>
            <w:vAlign w:val="center"/>
          </w:tcPr>
          <w:p w14:paraId="32DD1035">
            <w:pPr>
              <w:pStyle w:val="15"/>
              <w:spacing w:line="240" w:lineRule="atLeast"/>
              <w:ind w:left="1080" w:leftChars="257" w:hanging="540"/>
              <w:jc w:val="center"/>
              <w:rPr>
                <w:rFonts w:ascii="仿宋_GB2312" w:eastAsia="仿宋_GB2312"/>
                <w:color w:val="auto"/>
                <w:sz w:val="24"/>
                <w:highlight w:val="none"/>
              </w:rPr>
            </w:pPr>
          </w:p>
        </w:tc>
        <w:tc>
          <w:tcPr>
            <w:tcW w:w="2025" w:type="dxa"/>
            <w:noWrap w:val="0"/>
            <w:vAlign w:val="center"/>
          </w:tcPr>
          <w:p w14:paraId="6A9EDCF3">
            <w:pPr>
              <w:pStyle w:val="15"/>
              <w:spacing w:line="240" w:lineRule="atLeast"/>
              <w:ind w:left="1080" w:leftChars="257" w:hanging="540"/>
              <w:jc w:val="center"/>
              <w:rPr>
                <w:rFonts w:ascii="仿宋_GB2312" w:eastAsia="仿宋_GB2312"/>
                <w:color w:val="auto"/>
                <w:sz w:val="24"/>
                <w:highlight w:val="none"/>
              </w:rPr>
            </w:pPr>
          </w:p>
        </w:tc>
        <w:tc>
          <w:tcPr>
            <w:tcW w:w="1937" w:type="dxa"/>
            <w:noWrap w:val="0"/>
            <w:vAlign w:val="center"/>
          </w:tcPr>
          <w:p w14:paraId="1953AB3F">
            <w:pPr>
              <w:pStyle w:val="15"/>
              <w:spacing w:line="240" w:lineRule="atLeast"/>
              <w:ind w:left="1080" w:leftChars="257" w:hanging="540"/>
              <w:jc w:val="center"/>
              <w:rPr>
                <w:rFonts w:ascii="仿宋_GB2312" w:eastAsia="仿宋_GB2312"/>
                <w:color w:val="auto"/>
                <w:sz w:val="24"/>
                <w:highlight w:val="none"/>
              </w:rPr>
            </w:pPr>
          </w:p>
        </w:tc>
        <w:tc>
          <w:tcPr>
            <w:tcW w:w="1538" w:type="dxa"/>
            <w:noWrap w:val="0"/>
            <w:vAlign w:val="center"/>
          </w:tcPr>
          <w:p w14:paraId="5A133689">
            <w:pPr>
              <w:pStyle w:val="15"/>
              <w:spacing w:line="240" w:lineRule="atLeast"/>
              <w:ind w:left="1080" w:leftChars="257" w:hanging="540"/>
              <w:jc w:val="center"/>
              <w:rPr>
                <w:rFonts w:ascii="仿宋_GB2312" w:eastAsia="仿宋_GB2312"/>
                <w:color w:val="auto"/>
                <w:sz w:val="24"/>
                <w:highlight w:val="none"/>
              </w:rPr>
            </w:pPr>
          </w:p>
        </w:tc>
        <w:tc>
          <w:tcPr>
            <w:tcW w:w="1750" w:type="dxa"/>
            <w:noWrap w:val="0"/>
            <w:vAlign w:val="center"/>
          </w:tcPr>
          <w:p w14:paraId="7A02ABDE">
            <w:pPr>
              <w:pStyle w:val="15"/>
              <w:spacing w:line="240" w:lineRule="atLeast"/>
              <w:ind w:left="1080" w:leftChars="257" w:hanging="540"/>
              <w:jc w:val="center"/>
              <w:rPr>
                <w:rFonts w:ascii="仿宋_GB2312" w:eastAsia="仿宋_GB2312"/>
                <w:color w:val="auto"/>
                <w:sz w:val="24"/>
                <w:highlight w:val="none"/>
              </w:rPr>
            </w:pPr>
          </w:p>
        </w:tc>
      </w:tr>
      <w:tr w14:paraId="5E12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12" w:type="dxa"/>
            <w:noWrap w:val="0"/>
            <w:vAlign w:val="center"/>
          </w:tcPr>
          <w:p w14:paraId="4DCE31FD">
            <w:pPr>
              <w:pStyle w:val="15"/>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2.</w:t>
            </w:r>
          </w:p>
        </w:tc>
        <w:tc>
          <w:tcPr>
            <w:tcW w:w="1842" w:type="dxa"/>
            <w:noWrap w:val="0"/>
            <w:vAlign w:val="center"/>
          </w:tcPr>
          <w:p w14:paraId="23EDA97B">
            <w:pPr>
              <w:pStyle w:val="15"/>
              <w:spacing w:line="240" w:lineRule="atLeast"/>
              <w:jc w:val="center"/>
              <w:rPr>
                <w:rFonts w:ascii="仿宋_GB2312" w:eastAsia="仿宋_GB2312"/>
                <w:color w:val="auto"/>
                <w:sz w:val="24"/>
                <w:highlight w:val="none"/>
              </w:rPr>
            </w:pPr>
          </w:p>
        </w:tc>
        <w:tc>
          <w:tcPr>
            <w:tcW w:w="2438" w:type="dxa"/>
            <w:noWrap w:val="0"/>
            <w:vAlign w:val="center"/>
          </w:tcPr>
          <w:p w14:paraId="49D3AFF0">
            <w:pPr>
              <w:pStyle w:val="15"/>
              <w:spacing w:line="240" w:lineRule="atLeast"/>
              <w:ind w:left="1080" w:leftChars="257" w:hanging="540"/>
              <w:jc w:val="center"/>
              <w:rPr>
                <w:rFonts w:ascii="仿宋_GB2312" w:eastAsia="仿宋_GB2312"/>
                <w:color w:val="auto"/>
                <w:sz w:val="24"/>
                <w:highlight w:val="none"/>
              </w:rPr>
            </w:pPr>
          </w:p>
        </w:tc>
        <w:tc>
          <w:tcPr>
            <w:tcW w:w="2025" w:type="dxa"/>
            <w:noWrap w:val="0"/>
            <w:vAlign w:val="center"/>
          </w:tcPr>
          <w:p w14:paraId="7D02310C">
            <w:pPr>
              <w:pStyle w:val="15"/>
              <w:spacing w:line="240" w:lineRule="atLeast"/>
              <w:ind w:left="1080" w:leftChars="257" w:hanging="540"/>
              <w:jc w:val="center"/>
              <w:rPr>
                <w:rFonts w:ascii="仿宋_GB2312" w:eastAsia="仿宋_GB2312"/>
                <w:color w:val="auto"/>
                <w:sz w:val="24"/>
                <w:highlight w:val="none"/>
              </w:rPr>
            </w:pPr>
          </w:p>
        </w:tc>
        <w:tc>
          <w:tcPr>
            <w:tcW w:w="1937" w:type="dxa"/>
            <w:noWrap w:val="0"/>
            <w:vAlign w:val="center"/>
          </w:tcPr>
          <w:p w14:paraId="650BE3A4">
            <w:pPr>
              <w:pStyle w:val="15"/>
              <w:spacing w:line="240" w:lineRule="atLeast"/>
              <w:ind w:left="1080" w:leftChars="257" w:hanging="540"/>
              <w:jc w:val="center"/>
              <w:rPr>
                <w:rFonts w:ascii="仿宋_GB2312" w:eastAsia="仿宋_GB2312"/>
                <w:color w:val="auto"/>
                <w:sz w:val="24"/>
                <w:highlight w:val="none"/>
              </w:rPr>
            </w:pPr>
          </w:p>
        </w:tc>
        <w:tc>
          <w:tcPr>
            <w:tcW w:w="1538" w:type="dxa"/>
            <w:noWrap w:val="0"/>
            <w:vAlign w:val="center"/>
          </w:tcPr>
          <w:p w14:paraId="413F3A21">
            <w:pPr>
              <w:pStyle w:val="15"/>
              <w:spacing w:line="240" w:lineRule="atLeast"/>
              <w:ind w:left="1080" w:leftChars="257" w:hanging="540"/>
              <w:jc w:val="center"/>
              <w:rPr>
                <w:rFonts w:ascii="仿宋_GB2312" w:eastAsia="仿宋_GB2312"/>
                <w:color w:val="auto"/>
                <w:sz w:val="24"/>
                <w:highlight w:val="none"/>
              </w:rPr>
            </w:pPr>
          </w:p>
        </w:tc>
        <w:tc>
          <w:tcPr>
            <w:tcW w:w="1750" w:type="dxa"/>
            <w:noWrap w:val="0"/>
            <w:vAlign w:val="center"/>
          </w:tcPr>
          <w:p w14:paraId="4DDB615E">
            <w:pPr>
              <w:pStyle w:val="15"/>
              <w:spacing w:line="240" w:lineRule="atLeast"/>
              <w:ind w:left="1080" w:leftChars="257" w:hanging="540"/>
              <w:jc w:val="center"/>
              <w:rPr>
                <w:rFonts w:ascii="仿宋_GB2312" w:eastAsia="仿宋_GB2312"/>
                <w:color w:val="auto"/>
                <w:sz w:val="24"/>
                <w:highlight w:val="none"/>
              </w:rPr>
            </w:pPr>
          </w:p>
        </w:tc>
      </w:tr>
      <w:tr w14:paraId="0B4B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12" w:type="dxa"/>
            <w:noWrap w:val="0"/>
            <w:vAlign w:val="center"/>
          </w:tcPr>
          <w:p w14:paraId="6F5E095C">
            <w:pPr>
              <w:pStyle w:val="15"/>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3.</w:t>
            </w:r>
          </w:p>
        </w:tc>
        <w:tc>
          <w:tcPr>
            <w:tcW w:w="1842" w:type="dxa"/>
            <w:noWrap w:val="0"/>
            <w:vAlign w:val="center"/>
          </w:tcPr>
          <w:p w14:paraId="6069D2F8">
            <w:pPr>
              <w:pStyle w:val="15"/>
              <w:spacing w:line="240" w:lineRule="atLeast"/>
              <w:jc w:val="center"/>
              <w:rPr>
                <w:rFonts w:ascii="仿宋_GB2312" w:eastAsia="仿宋_GB2312"/>
                <w:color w:val="auto"/>
                <w:sz w:val="24"/>
                <w:highlight w:val="none"/>
              </w:rPr>
            </w:pPr>
          </w:p>
        </w:tc>
        <w:tc>
          <w:tcPr>
            <w:tcW w:w="2438" w:type="dxa"/>
            <w:noWrap w:val="0"/>
            <w:vAlign w:val="center"/>
          </w:tcPr>
          <w:p w14:paraId="0781FA60">
            <w:pPr>
              <w:pStyle w:val="15"/>
              <w:spacing w:line="240" w:lineRule="atLeast"/>
              <w:ind w:left="1080" w:leftChars="257" w:hanging="540"/>
              <w:jc w:val="center"/>
              <w:rPr>
                <w:rFonts w:ascii="仿宋_GB2312" w:eastAsia="仿宋_GB2312"/>
                <w:color w:val="auto"/>
                <w:sz w:val="24"/>
                <w:highlight w:val="none"/>
              </w:rPr>
            </w:pPr>
          </w:p>
        </w:tc>
        <w:tc>
          <w:tcPr>
            <w:tcW w:w="2025" w:type="dxa"/>
            <w:noWrap w:val="0"/>
            <w:vAlign w:val="center"/>
          </w:tcPr>
          <w:p w14:paraId="4FA7BE11">
            <w:pPr>
              <w:pStyle w:val="15"/>
              <w:spacing w:line="240" w:lineRule="atLeast"/>
              <w:ind w:left="1080" w:leftChars="257" w:hanging="540"/>
              <w:jc w:val="center"/>
              <w:rPr>
                <w:rFonts w:ascii="仿宋_GB2312" w:eastAsia="仿宋_GB2312"/>
                <w:color w:val="auto"/>
                <w:sz w:val="24"/>
                <w:highlight w:val="none"/>
              </w:rPr>
            </w:pPr>
          </w:p>
        </w:tc>
        <w:tc>
          <w:tcPr>
            <w:tcW w:w="1937" w:type="dxa"/>
            <w:noWrap w:val="0"/>
            <w:vAlign w:val="center"/>
          </w:tcPr>
          <w:p w14:paraId="0080BE40">
            <w:pPr>
              <w:pStyle w:val="15"/>
              <w:spacing w:line="240" w:lineRule="atLeast"/>
              <w:ind w:left="1080" w:leftChars="257" w:hanging="540"/>
              <w:jc w:val="center"/>
              <w:rPr>
                <w:rFonts w:ascii="仿宋_GB2312" w:eastAsia="仿宋_GB2312"/>
                <w:color w:val="auto"/>
                <w:sz w:val="24"/>
                <w:highlight w:val="none"/>
              </w:rPr>
            </w:pPr>
          </w:p>
        </w:tc>
        <w:tc>
          <w:tcPr>
            <w:tcW w:w="1538" w:type="dxa"/>
            <w:noWrap w:val="0"/>
            <w:vAlign w:val="center"/>
          </w:tcPr>
          <w:p w14:paraId="3C5ECA16">
            <w:pPr>
              <w:pStyle w:val="15"/>
              <w:spacing w:line="240" w:lineRule="atLeast"/>
              <w:ind w:left="1080" w:leftChars="257" w:hanging="540"/>
              <w:jc w:val="center"/>
              <w:rPr>
                <w:rFonts w:ascii="仿宋_GB2312" w:eastAsia="仿宋_GB2312"/>
                <w:color w:val="auto"/>
                <w:sz w:val="24"/>
                <w:highlight w:val="none"/>
              </w:rPr>
            </w:pPr>
          </w:p>
        </w:tc>
        <w:tc>
          <w:tcPr>
            <w:tcW w:w="1750" w:type="dxa"/>
            <w:noWrap w:val="0"/>
            <w:vAlign w:val="center"/>
          </w:tcPr>
          <w:p w14:paraId="46A9CD3E">
            <w:pPr>
              <w:pStyle w:val="15"/>
              <w:spacing w:line="240" w:lineRule="atLeast"/>
              <w:ind w:left="1080" w:leftChars="257" w:hanging="540"/>
              <w:jc w:val="center"/>
              <w:rPr>
                <w:rFonts w:ascii="仿宋_GB2312" w:eastAsia="仿宋_GB2312"/>
                <w:color w:val="auto"/>
                <w:sz w:val="24"/>
                <w:highlight w:val="none"/>
              </w:rPr>
            </w:pPr>
          </w:p>
        </w:tc>
      </w:tr>
      <w:tr w14:paraId="39D5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12" w:type="dxa"/>
            <w:noWrap w:val="0"/>
            <w:vAlign w:val="center"/>
          </w:tcPr>
          <w:p w14:paraId="3D82A804">
            <w:pPr>
              <w:pStyle w:val="15"/>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1842" w:type="dxa"/>
            <w:noWrap w:val="0"/>
            <w:vAlign w:val="center"/>
          </w:tcPr>
          <w:p w14:paraId="0969A084">
            <w:pPr>
              <w:pStyle w:val="15"/>
              <w:spacing w:line="240" w:lineRule="atLeast"/>
              <w:jc w:val="center"/>
              <w:rPr>
                <w:rFonts w:ascii="仿宋_GB2312" w:eastAsia="仿宋_GB2312"/>
                <w:color w:val="auto"/>
                <w:sz w:val="24"/>
                <w:highlight w:val="none"/>
              </w:rPr>
            </w:pPr>
          </w:p>
        </w:tc>
        <w:tc>
          <w:tcPr>
            <w:tcW w:w="2438" w:type="dxa"/>
            <w:noWrap w:val="0"/>
            <w:vAlign w:val="center"/>
          </w:tcPr>
          <w:p w14:paraId="78A1DDC3">
            <w:pPr>
              <w:pStyle w:val="15"/>
              <w:spacing w:line="240" w:lineRule="atLeast"/>
              <w:ind w:left="1080" w:leftChars="257" w:hanging="540"/>
              <w:jc w:val="center"/>
              <w:rPr>
                <w:rFonts w:ascii="仿宋_GB2312" w:eastAsia="仿宋_GB2312"/>
                <w:color w:val="auto"/>
                <w:sz w:val="24"/>
                <w:highlight w:val="none"/>
              </w:rPr>
            </w:pPr>
          </w:p>
        </w:tc>
        <w:tc>
          <w:tcPr>
            <w:tcW w:w="2025" w:type="dxa"/>
            <w:noWrap w:val="0"/>
            <w:vAlign w:val="center"/>
          </w:tcPr>
          <w:p w14:paraId="41DCAC58">
            <w:pPr>
              <w:pStyle w:val="15"/>
              <w:spacing w:line="240" w:lineRule="atLeast"/>
              <w:ind w:left="1080" w:leftChars="257" w:hanging="540"/>
              <w:jc w:val="center"/>
              <w:rPr>
                <w:rFonts w:ascii="仿宋_GB2312" w:eastAsia="仿宋_GB2312"/>
                <w:color w:val="auto"/>
                <w:sz w:val="24"/>
                <w:highlight w:val="none"/>
              </w:rPr>
            </w:pPr>
          </w:p>
        </w:tc>
        <w:tc>
          <w:tcPr>
            <w:tcW w:w="1937" w:type="dxa"/>
            <w:noWrap w:val="0"/>
            <w:vAlign w:val="center"/>
          </w:tcPr>
          <w:p w14:paraId="05D0AF53">
            <w:pPr>
              <w:pStyle w:val="15"/>
              <w:spacing w:line="240" w:lineRule="atLeast"/>
              <w:ind w:left="1080" w:leftChars="257" w:hanging="540"/>
              <w:jc w:val="center"/>
              <w:rPr>
                <w:rFonts w:ascii="仿宋_GB2312" w:eastAsia="仿宋_GB2312"/>
                <w:color w:val="auto"/>
                <w:sz w:val="24"/>
                <w:highlight w:val="none"/>
              </w:rPr>
            </w:pPr>
          </w:p>
        </w:tc>
        <w:tc>
          <w:tcPr>
            <w:tcW w:w="1538" w:type="dxa"/>
            <w:noWrap w:val="0"/>
            <w:vAlign w:val="center"/>
          </w:tcPr>
          <w:p w14:paraId="48D4EEC1">
            <w:pPr>
              <w:pStyle w:val="15"/>
              <w:spacing w:line="240" w:lineRule="atLeast"/>
              <w:ind w:left="1080" w:leftChars="257" w:hanging="540"/>
              <w:jc w:val="center"/>
              <w:rPr>
                <w:rFonts w:ascii="仿宋_GB2312" w:eastAsia="仿宋_GB2312"/>
                <w:color w:val="auto"/>
                <w:sz w:val="24"/>
                <w:highlight w:val="none"/>
              </w:rPr>
            </w:pPr>
          </w:p>
        </w:tc>
        <w:tc>
          <w:tcPr>
            <w:tcW w:w="1750" w:type="dxa"/>
            <w:noWrap w:val="0"/>
            <w:vAlign w:val="center"/>
          </w:tcPr>
          <w:p w14:paraId="3904C63E">
            <w:pPr>
              <w:pStyle w:val="15"/>
              <w:spacing w:line="240" w:lineRule="atLeast"/>
              <w:ind w:left="1080" w:leftChars="257" w:hanging="540"/>
              <w:jc w:val="center"/>
              <w:rPr>
                <w:rFonts w:ascii="仿宋_GB2312" w:eastAsia="仿宋_GB2312"/>
                <w:color w:val="auto"/>
                <w:sz w:val="24"/>
                <w:highlight w:val="none"/>
              </w:rPr>
            </w:pPr>
          </w:p>
        </w:tc>
      </w:tr>
      <w:tr w14:paraId="691C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12" w:type="dxa"/>
            <w:noWrap w:val="0"/>
            <w:vAlign w:val="center"/>
          </w:tcPr>
          <w:p w14:paraId="213DA8C0">
            <w:pPr>
              <w:pStyle w:val="15"/>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1842" w:type="dxa"/>
            <w:noWrap w:val="0"/>
            <w:vAlign w:val="center"/>
          </w:tcPr>
          <w:p w14:paraId="4E747A1B">
            <w:pPr>
              <w:pStyle w:val="15"/>
              <w:spacing w:line="240" w:lineRule="atLeast"/>
              <w:jc w:val="center"/>
              <w:rPr>
                <w:rFonts w:ascii="仿宋_GB2312" w:eastAsia="仿宋_GB2312"/>
                <w:color w:val="auto"/>
                <w:sz w:val="24"/>
                <w:highlight w:val="none"/>
              </w:rPr>
            </w:pPr>
          </w:p>
        </w:tc>
        <w:tc>
          <w:tcPr>
            <w:tcW w:w="2438" w:type="dxa"/>
            <w:noWrap w:val="0"/>
            <w:vAlign w:val="center"/>
          </w:tcPr>
          <w:p w14:paraId="3730084E">
            <w:pPr>
              <w:pStyle w:val="15"/>
              <w:spacing w:line="240" w:lineRule="atLeast"/>
              <w:ind w:left="1080" w:leftChars="257" w:hanging="540"/>
              <w:jc w:val="center"/>
              <w:rPr>
                <w:rFonts w:ascii="仿宋_GB2312" w:eastAsia="仿宋_GB2312"/>
                <w:color w:val="auto"/>
                <w:sz w:val="24"/>
                <w:highlight w:val="none"/>
              </w:rPr>
            </w:pPr>
          </w:p>
        </w:tc>
        <w:tc>
          <w:tcPr>
            <w:tcW w:w="2025" w:type="dxa"/>
            <w:noWrap w:val="0"/>
            <w:vAlign w:val="center"/>
          </w:tcPr>
          <w:p w14:paraId="10335C34">
            <w:pPr>
              <w:pStyle w:val="15"/>
              <w:spacing w:line="240" w:lineRule="atLeast"/>
              <w:ind w:left="1080" w:leftChars="257" w:hanging="540"/>
              <w:jc w:val="center"/>
              <w:rPr>
                <w:rFonts w:ascii="仿宋_GB2312" w:eastAsia="仿宋_GB2312"/>
                <w:color w:val="auto"/>
                <w:sz w:val="24"/>
                <w:highlight w:val="none"/>
              </w:rPr>
            </w:pPr>
          </w:p>
        </w:tc>
        <w:tc>
          <w:tcPr>
            <w:tcW w:w="1937" w:type="dxa"/>
            <w:noWrap w:val="0"/>
            <w:vAlign w:val="center"/>
          </w:tcPr>
          <w:p w14:paraId="68965CD4">
            <w:pPr>
              <w:pStyle w:val="15"/>
              <w:spacing w:line="240" w:lineRule="atLeast"/>
              <w:ind w:left="1080" w:leftChars="257" w:hanging="540"/>
              <w:jc w:val="center"/>
              <w:rPr>
                <w:rFonts w:ascii="仿宋_GB2312" w:eastAsia="仿宋_GB2312"/>
                <w:color w:val="auto"/>
                <w:sz w:val="24"/>
                <w:highlight w:val="none"/>
              </w:rPr>
            </w:pPr>
          </w:p>
        </w:tc>
        <w:tc>
          <w:tcPr>
            <w:tcW w:w="1538" w:type="dxa"/>
            <w:noWrap w:val="0"/>
            <w:vAlign w:val="center"/>
          </w:tcPr>
          <w:p w14:paraId="0B7A919F">
            <w:pPr>
              <w:pStyle w:val="15"/>
              <w:spacing w:line="240" w:lineRule="atLeast"/>
              <w:ind w:left="1080" w:leftChars="257" w:hanging="540"/>
              <w:jc w:val="center"/>
              <w:rPr>
                <w:rFonts w:ascii="仿宋_GB2312" w:eastAsia="仿宋_GB2312"/>
                <w:color w:val="auto"/>
                <w:sz w:val="24"/>
                <w:highlight w:val="none"/>
              </w:rPr>
            </w:pPr>
          </w:p>
        </w:tc>
        <w:tc>
          <w:tcPr>
            <w:tcW w:w="1750" w:type="dxa"/>
            <w:noWrap w:val="0"/>
            <w:vAlign w:val="center"/>
          </w:tcPr>
          <w:p w14:paraId="0F62437D">
            <w:pPr>
              <w:pStyle w:val="15"/>
              <w:spacing w:line="240" w:lineRule="atLeast"/>
              <w:ind w:left="1080" w:leftChars="257" w:hanging="540"/>
              <w:jc w:val="center"/>
              <w:rPr>
                <w:rFonts w:ascii="仿宋_GB2312" w:eastAsia="仿宋_GB2312"/>
                <w:color w:val="auto"/>
                <w:sz w:val="24"/>
                <w:highlight w:val="none"/>
              </w:rPr>
            </w:pPr>
          </w:p>
        </w:tc>
      </w:tr>
      <w:tr w14:paraId="17F5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512" w:type="dxa"/>
            <w:noWrap w:val="0"/>
            <w:vAlign w:val="center"/>
          </w:tcPr>
          <w:p w14:paraId="3726B55F">
            <w:pPr>
              <w:pStyle w:val="15"/>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1842" w:type="dxa"/>
            <w:noWrap w:val="0"/>
            <w:vAlign w:val="center"/>
          </w:tcPr>
          <w:p w14:paraId="479C164A">
            <w:pPr>
              <w:pStyle w:val="15"/>
              <w:spacing w:line="240" w:lineRule="atLeast"/>
              <w:jc w:val="center"/>
              <w:rPr>
                <w:rFonts w:ascii="仿宋_GB2312" w:eastAsia="仿宋_GB2312"/>
                <w:color w:val="auto"/>
                <w:sz w:val="24"/>
                <w:highlight w:val="none"/>
              </w:rPr>
            </w:pPr>
          </w:p>
        </w:tc>
        <w:tc>
          <w:tcPr>
            <w:tcW w:w="2438" w:type="dxa"/>
            <w:noWrap w:val="0"/>
            <w:vAlign w:val="center"/>
          </w:tcPr>
          <w:p w14:paraId="33921F5F">
            <w:pPr>
              <w:pStyle w:val="15"/>
              <w:spacing w:line="240" w:lineRule="atLeast"/>
              <w:ind w:left="1080" w:leftChars="257" w:hanging="540"/>
              <w:jc w:val="center"/>
              <w:rPr>
                <w:rFonts w:ascii="仿宋_GB2312" w:eastAsia="仿宋_GB2312"/>
                <w:color w:val="auto"/>
                <w:sz w:val="24"/>
                <w:highlight w:val="none"/>
              </w:rPr>
            </w:pPr>
          </w:p>
        </w:tc>
        <w:tc>
          <w:tcPr>
            <w:tcW w:w="2025" w:type="dxa"/>
            <w:noWrap w:val="0"/>
            <w:vAlign w:val="center"/>
          </w:tcPr>
          <w:p w14:paraId="2080FEDF">
            <w:pPr>
              <w:pStyle w:val="15"/>
              <w:spacing w:line="240" w:lineRule="atLeast"/>
              <w:ind w:left="1080" w:leftChars="257" w:hanging="540"/>
              <w:jc w:val="center"/>
              <w:rPr>
                <w:rFonts w:ascii="仿宋_GB2312" w:eastAsia="仿宋_GB2312"/>
                <w:color w:val="auto"/>
                <w:sz w:val="24"/>
                <w:highlight w:val="none"/>
              </w:rPr>
            </w:pPr>
          </w:p>
        </w:tc>
        <w:tc>
          <w:tcPr>
            <w:tcW w:w="1937" w:type="dxa"/>
            <w:noWrap w:val="0"/>
            <w:vAlign w:val="center"/>
          </w:tcPr>
          <w:p w14:paraId="53B68EA6">
            <w:pPr>
              <w:pStyle w:val="15"/>
              <w:spacing w:line="240" w:lineRule="atLeast"/>
              <w:ind w:left="1080" w:leftChars="257" w:hanging="540"/>
              <w:jc w:val="center"/>
              <w:rPr>
                <w:rFonts w:ascii="仿宋_GB2312" w:eastAsia="仿宋_GB2312"/>
                <w:color w:val="auto"/>
                <w:sz w:val="24"/>
                <w:highlight w:val="none"/>
              </w:rPr>
            </w:pPr>
          </w:p>
        </w:tc>
        <w:tc>
          <w:tcPr>
            <w:tcW w:w="1538" w:type="dxa"/>
            <w:noWrap w:val="0"/>
            <w:vAlign w:val="center"/>
          </w:tcPr>
          <w:p w14:paraId="7E80F50F">
            <w:pPr>
              <w:pStyle w:val="15"/>
              <w:spacing w:line="240" w:lineRule="atLeast"/>
              <w:ind w:left="1080" w:leftChars="257" w:hanging="540"/>
              <w:jc w:val="center"/>
              <w:rPr>
                <w:rFonts w:ascii="仿宋_GB2312" w:eastAsia="仿宋_GB2312"/>
                <w:color w:val="auto"/>
                <w:sz w:val="24"/>
                <w:highlight w:val="none"/>
              </w:rPr>
            </w:pPr>
          </w:p>
        </w:tc>
        <w:tc>
          <w:tcPr>
            <w:tcW w:w="1750" w:type="dxa"/>
            <w:noWrap w:val="0"/>
            <w:vAlign w:val="center"/>
          </w:tcPr>
          <w:p w14:paraId="1416BBEB">
            <w:pPr>
              <w:pStyle w:val="15"/>
              <w:spacing w:line="240" w:lineRule="atLeast"/>
              <w:ind w:left="1080" w:leftChars="257" w:hanging="540"/>
              <w:jc w:val="center"/>
              <w:rPr>
                <w:rFonts w:ascii="仿宋_GB2312" w:eastAsia="仿宋_GB2312"/>
                <w:color w:val="auto"/>
                <w:sz w:val="24"/>
                <w:highlight w:val="none"/>
              </w:rPr>
            </w:pPr>
          </w:p>
        </w:tc>
      </w:tr>
      <w:tr w14:paraId="4C77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12" w:type="dxa"/>
            <w:noWrap w:val="0"/>
            <w:vAlign w:val="center"/>
          </w:tcPr>
          <w:p w14:paraId="790DB43A">
            <w:pPr>
              <w:pStyle w:val="15"/>
              <w:spacing w:line="240" w:lineRule="atLeast"/>
              <w:rPr>
                <w:rFonts w:ascii="仿宋_GB2312" w:eastAsia="仿宋_GB2312"/>
                <w:color w:val="auto"/>
                <w:sz w:val="24"/>
                <w:highlight w:val="none"/>
              </w:rPr>
            </w:pPr>
            <w:r>
              <w:rPr>
                <w:rFonts w:hint="eastAsia" w:ascii="仿宋_GB2312" w:eastAsia="仿宋_GB2312"/>
                <w:color w:val="auto"/>
                <w:sz w:val="24"/>
                <w:highlight w:val="none"/>
              </w:rPr>
              <w:t>...</w:t>
            </w:r>
          </w:p>
        </w:tc>
        <w:tc>
          <w:tcPr>
            <w:tcW w:w="1842" w:type="dxa"/>
            <w:noWrap w:val="0"/>
            <w:vAlign w:val="center"/>
          </w:tcPr>
          <w:p w14:paraId="01ECFE6F">
            <w:pPr>
              <w:pStyle w:val="15"/>
              <w:spacing w:line="240" w:lineRule="atLeast"/>
              <w:jc w:val="center"/>
              <w:rPr>
                <w:rFonts w:ascii="仿宋_GB2312" w:eastAsia="仿宋_GB2312"/>
                <w:color w:val="auto"/>
                <w:sz w:val="24"/>
                <w:highlight w:val="none"/>
              </w:rPr>
            </w:pPr>
          </w:p>
        </w:tc>
        <w:tc>
          <w:tcPr>
            <w:tcW w:w="2438" w:type="dxa"/>
            <w:noWrap w:val="0"/>
            <w:vAlign w:val="center"/>
          </w:tcPr>
          <w:p w14:paraId="2AD0EA48">
            <w:pPr>
              <w:pStyle w:val="15"/>
              <w:spacing w:line="240" w:lineRule="atLeast"/>
              <w:ind w:left="1080" w:leftChars="257" w:hanging="540"/>
              <w:jc w:val="center"/>
              <w:rPr>
                <w:rFonts w:ascii="仿宋_GB2312" w:eastAsia="仿宋_GB2312"/>
                <w:color w:val="auto"/>
                <w:sz w:val="24"/>
                <w:highlight w:val="none"/>
              </w:rPr>
            </w:pPr>
          </w:p>
        </w:tc>
        <w:tc>
          <w:tcPr>
            <w:tcW w:w="2025" w:type="dxa"/>
            <w:noWrap w:val="0"/>
            <w:vAlign w:val="center"/>
          </w:tcPr>
          <w:p w14:paraId="44FFBB20">
            <w:pPr>
              <w:pStyle w:val="15"/>
              <w:spacing w:line="240" w:lineRule="atLeast"/>
              <w:ind w:left="1080" w:leftChars="257" w:hanging="540"/>
              <w:jc w:val="center"/>
              <w:rPr>
                <w:rFonts w:ascii="仿宋_GB2312" w:eastAsia="仿宋_GB2312"/>
                <w:color w:val="auto"/>
                <w:sz w:val="24"/>
                <w:highlight w:val="none"/>
              </w:rPr>
            </w:pPr>
          </w:p>
        </w:tc>
        <w:tc>
          <w:tcPr>
            <w:tcW w:w="1937" w:type="dxa"/>
            <w:noWrap w:val="0"/>
            <w:vAlign w:val="center"/>
          </w:tcPr>
          <w:p w14:paraId="116832E9">
            <w:pPr>
              <w:pStyle w:val="15"/>
              <w:spacing w:line="240" w:lineRule="atLeast"/>
              <w:ind w:left="1080" w:leftChars="257" w:hanging="540"/>
              <w:jc w:val="center"/>
              <w:rPr>
                <w:rFonts w:ascii="仿宋_GB2312" w:eastAsia="仿宋_GB2312"/>
                <w:color w:val="auto"/>
                <w:sz w:val="24"/>
                <w:highlight w:val="none"/>
              </w:rPr>
            </w:pPr>
          </w:p>
        </w:tc>
        <w:tc>
          <w:tcPr>
            <w:tcW w:w="1538" w:type="dxa"/>
            <w:noWrap w:val="0"/>
            <w:vAlign w:val="center"/>
          </w:tcPr>
          <w:p w14:paraId="0048CD6A">
            <w:pPr>
              <w:pStyle w:val="15"/>
              <w:spacing w:line="240" w:lineRule="atLeast"/>
              <w:ind w:left="1080" w:leftChars="257" w:hanging="540"/>
              <w:jc w:val="center"/>
              <w:rPr>
                <w:rFonts w:ascii="仿宋_GB2312" w:eastAsia="仿宋_GB2312"/>
                <w:color w:val="auto"/>
                <w:sz w:val="24"/>
                <w:highlight w:val="none"/>
              </w:rPr>
            </w:pPr>
          </w:p>
        </w:tc>
        <w:tc>
          <w:tcPr>
            <w:tcW w:w="1750" w:type="dxa"/>
            <w:noWrap w:val="0"/>
            <w:vAlign w:val="center"/>
          </w:tcPr>
          <w:p w14:paraId="6951805B">
            <w:pPr>
              <w:pStyle w:val="15"/>
              <w:spacing w:line="240" w:lineRule="atLeast"/>
              <w:ind w:left="1080" w:leftChars="257" w:hanging="540"/>
              <w:jc w:val="center"/>
              <w:rPr>
                <w:rFonts w:ascii="仿宋_GB2312" w:eastAsia="仿宋_GB2312"/>
                <w:color w:val="auto"/>
                <w:sz w:val="24"/>
                <w:highlight w:val="none"/>
              </w:rPr>
            </w:pPr>
          </w:p>
        </w:tc>
      </w:tr>
    </w:tbl>
    <w:p w14:paraId="1712E3AE">
      <w:pPr>
        <w:pStyle w:val="15"/>
        <w:spacing w:line="240" w:lineRule="atLeast"/>
        <w:ind w:left="1080" w:leftChars="257" w:hanging="540"/>
        <w:rPr>
          <w:rFonts w:hint="eastAsia" w:ascii="仿宋_GB2312" w:eastAsia="仿宋_GB2312"/>
          <w:color w:val="auto"/>
          <w:sz w:val="24"/>
          <w:highlight w:val="none"/>
        </w:rPr>
      </w:pPr>
    </w:p>
    <w:p w14:paraId="6AEE0BA7">
      <w:pPr>
        <w:pStyle w:val="15"/>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eastAsia="仿宋_GB2312"/>
          <w:color w:val="auto"/>
          <w:sz w:val="24"/>
          <w:highlight w:val="none"/>
          <w:lang w:val="en-US" w:eastAsia="zh-CN"/>
        </w:rPr>
        <w:t>或盖章</w:t>
      </w:r>
      <w:r>
        <w:rPr>
          <w:rFonts w:hint="eastAsia" w:ascii="仿宋_GB2312"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1B69A379">
      <w:pPr>
        <w:pStyle w:val="15"/>
        <w:tabs>
          <w:tab w:val="left" w:pos="5370"/>
        </w:tabs>
        <w:spacing w:line="240" w:lineRule="atLeast"/>
        <w:ind w:left="1080" w:leftChars="257" w:hanging="540"/>
        <w:rPr>
          <w:rFonts w:hint="eastAsia" w:ascii="仿宋_GB2312" w:hAnsi="宋体" w:eastAsia="仿宋_GB2312"/>
          <w:color w:val="auto"/>
          <w:sz w:val="24"/>
          <w:highlight w:val="none"/>
        </w:rPr>
      </w:pPr>
    </w:p>
    <w:p w14:paraId="0BB7BFAF">
      <w:pPr>
        <w:pStyle w:val="15"/>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供应商(盖单位章):</w:t>
      </w:r>
      <w:r>
        <w:rPr>
          <w:rFonts w:ascii="仿宋_GB2312" w:hAnsi="宋体" w:eastAsia="仿宋_GB2312"/>
          <w:color w:val="auto"/>
          <w:sz w:val="24"/>
          <w:highlight w:val="none"/>
          <w:u w:val="single"/>
        </w:rPr>
        <w:tab/>
      </w:r>
    </w:p>
    <w:p w14:paraId="3F7D76DB">
      <w:pPr>
        <w:pStyle w:val="15"/>
        <w:spacing w:line="240" w:lineRule="atLeast"/>
        <w:ind w:left="1080" w:leftChars="257" w:hanging="540"/>
        <w:rPr>
          <w:rFonts w:ascii="仿宋_GB2312" w:eastAsia="仿宋_GB2312"/>
          <w:color w:val="auto"/>
          <w:sz w:val="24"/>
          <w:highlight w:val="none"/>
        </w:rPr>
      </w:pPr>
    </w:p>
    <w:p w14:paraId="5CB6B561">
      <w:pPr>
        <w:pStyle w:val="15"/>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注:1.如果供应商认为需要，每种</w:t>
      </w: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填写一份该表。</w:t>
      </w:r>
    </w:p>
    <w:p w14:paraId="18FE9CD1">
      <w:pPr>
        <w:pStyle w:val="15"/>
        <w:spacing w:line="240" w:lineRule="atLeast"/>
        <w:ind w:left="1079" w:leftChars="428" w:hanging="180" w:hangingChars="75"/>
        <w:rPr>
          <w:rFonts w:ascii="仿宋_GB2312" w:eastAsia="仿宋_GB2312"/>
          <w:color w:val="auto"/>
          <w:sz w:val="24"/>
          <w:highlight w:val="none"/>
        </w:rPr>
      </w:pPr>
      <w:r>
        <w:rPr>
          <w:rFonts w:hint="eastAsia" w:ascii="仿宋_GB2312" w:eastAsia="仿宋_GB2312"/>
          <w:color w:val="auto"/>
          <w:sz w:val="24"/>
          <w:highlight w:val="none"/>
        </w:rPr>
        <w:t>2.如果按单价计算的结果与总价不一致,以单价为准修正总价。</w:t>
      </w:r>
    </w:p>
    <w:p w14:paraId="6D4A37E3">
      <w:pPr>
        <w:pStyle w:val="15"/>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3.如果不提供详细分项报价将视为没有实质性响应磋商文件。</w:t>
      </w:r>
    </w:p>
    <w:p w14:paraId="0A189D29">
      <w:pPr>
        <w:pStyle w:val="15"/>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.如果开标一览表（报价表）内容与响应文件中明细表内容不一致的，以开标一览表（报价表）内容为准。</w:t>
      </w:r>
    </w:p>
    <w:p w14:paraId="6BDE764A">
      <w:pPr>
        <w:pStyle w:val="3"/>
        <w:spacing w:before="0" w:line="240" w:lineRule="atLeast"/>
        <w:ind w:left="1080" w:leftChars="257" w:hanging="540"/>
        <w:rPr>
          <w:rFonts w:ascii="仿宋_GB2312" w:eastAsia="仿宋_GB2312"/>
          <w:color w:val="auto"/>
          <w:sz w:val="24"/>
          <w:highlight w:val="none"/>
        </w:rPr>
        <w:sectPr>
          <w:footerReference r:id="rId12" w:type="default"/>
          <w:pgSz w:w="16838" w:h="11906" w:orient="landscape"/>
          <w:pgMar w:top="1797" w:right="1440" w:bottom="1797" w:left="1440" w:header="851" w:footer="992" w:gutter="0"/>
          <w:pgNumType w:fmt="decimal"/>
          <w:cols w:space="720" w:num="1"/>
          <w:docGrid w:linePitch="312" w:charSpace="0"/>
        </w:sectPr>
      </w:pPr>
      <w:bookmarkStart w:id="358" w:name="_Toc216582816"/>
      <w:bookmarkStart w:id="359" w:name="_Toc17699"/>
      <w:bookmarkStart w:id="360" w:name="_Toc14037"/>
      <w:bookmarkStart w:id="361" w:name="_Toc515647819"/>
      <w:bookmarkStart w:id="362" w:name="_Toc18267"/>
    </w:p>
    <w:p w14:paraId="59A96E54">
      <w:pPr>
        <w:pStyle w:val="3"/>
        <w:spacing w:before="0" w:line="240" w:lineRule="atLeast"/>
        <w:ind w:left="1080" w:leftChars="257" w:hanging="540"/>
        <w:rPr>
          <w:rFonts w:ascii="仿宋_GB2312" w:eastAsia="仿宋_GB2312"/>
          <w:color w:val="auto"/>
          <w:sz w:val="24"/>
          <w:highlight w:val="none"/>
        </w:rPr>
      </w:pPr>
      <w:bookmarkStart w:id="363" w:name="_Toc13397"/>
      <w:bookmarkStart w:id="364" w:name="_Toc17556"/>
      <w:bookmarkStart w:id="365" w:name="_Toc32053"/>
      <w:r>
        <w:rPr>
          <w:rFonts w:hint="eastAsia" w:ascii="仿宋_GB2312" w:eastAsia="仿宋_GB2312"/>
          <w:color w:val="auto"/>
          <w:sz w:val="24"/>
          <w:highlight w:val="none"/>
        </w:rPr>
        <w:t>3</w:t>
      </w:r>
      <w:r>
        <w:rPr>
          <w:rFonts w:ascii="仿宋_GB2312" w:eastAsia="仿宋_GB2312"/>
          <w:color w:val="auto"/>
          <w:sz w:val="24"/>
          <w:highlight w:val="none"/>
        </w:rPr>
        <w:t xml:space="preserve">   </w:t>
      </w: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说明一览表</w:t>
      </w:r>
      <w:bookmarkEnd w:id="358"/>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磋商</w:t>
      </w:r>
      <w:r>
        <w:rPr>
          <w:rFonts w:hint="eastAsia" w:ascii="仿宋_GB2312" w:eastAsia="仿宋_GB2312"/>
          <w:color w:val="auto"/>
          <w:sz w:val="24"/>
          <w:highlight w:val="none"/>
        </w:rPr>
        <w:t>文件格式六）</w:t>
      </w:r>
      <w:bookmarkEnd w:id="359"/>
      <w:bookmarkEnd w:id="360"/>
      <w:bookmarkEnd w:id="361"/>
      <w:bookmarkEnd w:id="362"/>
      <w:bookmarkEnd w:id="363"/>
      <w:bookmarkEnd w:id="364"/>
      <w:bookmarkEnd w:id="365"/>
    </w:p>
    <w:p w14:paraId="27B91C64">
      <w:pPr>
        <w:pStyle w:val="15"/>
        <w:spacing w:line="240" w:lineRule="atLeast"/>
        <w:ind w:left="1080" w:leftChars="257" w:hanging="540"/>
        <w:rPr>
          <w:rFonts w:ascii="仿宋_GB2312" w:eastAsia="仿宋_GB2312"/>
          <w:color w:val="auto"/>
          <w:sz w:val="24"/>
          <w:highlight w:val="none"/>
        </w:rPr>
      </w:pPr>
    </w:p>
    <w:p w14:paraId="6BEC02F9">
      <w:pPr>
        <w:pStyle w:val="15"/>
        <w:spacing w:line="240" w:lineRule="atLeast"/>
        <w:ind w:left="1258" w:leftChars="599" w:firstLine="1540" w:firstLineChars="642"/>
        <w:rPr>
          <w:rFonts w:ascii="仿宋_GB2312" w:eastAsia="仿宋_GB2312"/>
          <w:color w:val="auto"/>
          <w:sz w:val="24"/>
          <w:highlight w:val="none"/>
        </w:rPr>
      </w:pPr>
      <w:r>
        <w:rPr>
          <w:rFonts w:hint="eastAsia" w:ascii="仿宋_GB2312" w:eastAsia="仿宋_GB2312"/>
          <w:color w:val="auto"/>
          <w:sz w:val="24"/>
          <w:highlight w:val="none"/>
        </w:rPr>
        <w:t xml:space="preserve">项目名称:                                    项目编号:                                             </w:t>
      </w:r>
    </w:p>
    <w:tbl>
      <w:tblPr>
        <w:tblStyle w:val="37"/>
        <w:tblW w:w="13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2671"/>
        <w:gridCol w:w="2671"/>
        <w:gridCol w:w="2672"/>
        <w:gridCol w:w="2672"/>
      </w:tblGrid>
      <w:tr w14:paraId="0339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7" w:type="dxa"/>
            <w:noWrap w:val="0"/>
            <w:vAlign w:val="center"/>
          </w:tcPr>
          <w:p w14:paraId="07BAAE91">
            <w:pPr>
              <w:pStyle w:val="15"/>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07" w:type="dxa"/>
            <w:noWrap w:val="0"/>
            <w:vAlign w:val="center"/>
          </w:tcPr>
          <w:p w14:paraId="2FE4D295">
            <w:pPr>
              <w:pStyle w:val="15"/>
              <w:spacing w:line="240" w:lineRule="atLeast"/>
              <w:jc w:val="center"/>
              <w:rPr>
                <w:rFonts w:ascii="仿宋" w:hAnsi="仿宋" w:eastAsia="仿宋" w:cs="仿宋"/>
                <w:color w:val="auto"/>
                <w:sz w:val="24"/>
                <w:highlight w:val="none"/>
              </w:rPr>
            </w:pPr>
            <w:r>
              <w:rPr>
                <w:rFonts w:hint="eastAsia" w:ascii="仿宋_GB2312" w:eastAsia="仿宋_GB2312"/>
                <w:color w:val="auto"/>
                <w:sz w:val="24"/>
                <w:lang w:val="en-US" w:eastAsia="zh-CN"/>
              </w:rPr>
              <w:t>服务项目</w:t>
            </w:r>
          </w:p>
        </w:tc>
        <w:tc>
          <w:tcPr>
            <w:tcW w:w="907" w:type="dxa"/>
            <w:noWrap w:val="0"/>
            <w:vAlign w:val="center"/>
          </w:tcPr>
          <w:p w14:paraId="43D63535">
            <w:pPr>
              <w:pStyle w:val="15"/>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履行期限</w:t>
            </w:r>
          </w:p>
        </w:tc>
        <w:tc>
          <w:tcPr>
            <w:tcW w:w="907" w:type="dxa"/>
            <w:noWrap w:val="0"/>
            <w:vAlign w:val="center"/>
          </w:tcPr>
          <w:p w14:paraId="59C61CBB">
            <w:pPr>
              <w:pStyle w:val="15"/>
              <w:spacing w:line="240" w:lineRule="atLeast"/>
              <w:ind w:left="420" w:leftChars="-57" w:hanging="54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服务地点</w:t>
            </w:r>
          </w:p>
        </w:tc>
        <w:tc>
          <w:tcPr>
            <w:tcW w:w="907" w:type="dxa"/>
            <w:noWrap w:val="0"/>
            <w:vAlign w:val="center"/>
          </w:tcPr>
          <w:p w14:paraId="7D950B97">
            <w:pPr>
              <w:pStyle w:val="15"/>
              <w:spacing w:line="240" w:lineRule="atLeast"/>
              <w:ind w:left="1080" w:leftChars="257" w:hanging="540"/>
              <w:jc w:val="center"/>
              <w:rPr>
                <w:rFonts w:ascii="仿宋" w:hAnsi="仿宋" w:eastAsia="仿宋" w:cs="仿宋"/>
                <w:color w:val="auto"/>
                <w:sz w:val="24"/>
                <w:highlight w:val="none"/>
              </w:rPr>
            </w:pPr>
            <w:r>
              <w:rPr>
                <w:rFonts w:hint="eastAsia" w:ascii="仿宋" w:hAnsi="仿宋" w:eastAsia="仿宋" w:cs="仿宋"/>
                <w:color w:val="auto"/>
                <w:sz w:val="24"/>
                <w:highlight w:val="none"/>
              </w:rPr>
              <w:t>其它</w:t>
            </w:r>
          </w:p>
        </w:tc>
      </w:tr>
      <w:tr w14:paraId="6889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07" w:type="dxa"/>
            <w:noWrap w:val="0"/>
            <w:vAlign w:val="center"/>
          </w:tcPr>
          <w:p w14:paraId="19FABA27">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7E5D190F">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734D467A">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1EAC8805">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4CC192F6">
            <w:pPr>
              <w:pStyle w:val="15"/>
              <w:spacing w:line="240" w:lineRule="atLeast"/>
              <w:ind w:left="1080" w:leftChars="257" w:hanging="540"/>
              <w:rPr>
                <w:rFonts w:ascii="仿宋" w:hAnsi="仿宋" w:eastAsia="仿宋" w:cs="仿宋"/>
                <w:color w:val="auto"/>
                <w:sz w:val="24"/>
                <w:highlight w:val="none"/>
              </w:rPr>
            </w:pPr>
          </w:p>
        </w:tc>
      </w:tr>
      <w:tr w14:paraId="532E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7" w:type="dxa"/>
            <w:noWrap w:val="0"/>
            <w:vAlign w:val="center"/>
          </w:tcPr>
          <w:p w14:paraId="5C5CA4C3">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60100D9A">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5FF630C0">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50ADE436">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48EE7A4C">
            <w:pPr>
              <w:pStyle w:val="15"/>
              <w:spacing w:line="240" w:lineRule="atLeast"/>
              <w:ind w:left="1080" w:leftChars="257" w:hanging="540"/>
              <w:rPr>
                <w:rFonts w:ascii="仿宋" w:hAnsi="仿宋" w:eastAsia="仿宋" w:cs="仿宋"/>
                <w:color w:val="auto"/>
                <w:sz w:val="24"/>
                <w:highlight w:val="none"/>
              </w:rPr>
            </w:pPr>
          </w:p>
        </w:tc>
      </w:tr>
      <w:tr w14:paraId="37B1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7" w:type="dxa"/>
            <w:noWrap w:val="0"/>
            <w:vAlign w:val="center"/>
          </w:tcPr>
          <w:p w14:paraId="65796B67">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638EA229">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0A7652C2">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5B54C01E">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2149AE57">
            <w:pPr>
              <w:pStyle w:val="15"/>
              <w:spacing w:line="240" w:lineRule="atLeast"/>
              <w:ind w:left="1080" w:leftChars="257" w:hanging="540"/>
              <w:rPr>
                <w:rFonts w:ascii="仿宋" w:hAnsi="仿宋" w:eastAsia="仿宋" w:cs="仿宋"/>
                <w:color w:val="auto"/>
                <w:sz w:val="24"/>
                <w:highlight w:val="none"/>
              </w:rPr>
            </w:pPr>
          </w:p>
        </w:tc>
      </w:tr>
      <w:tr w14:paraId="5800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7" w:type="dxa"/>
            <w:noWrap w:val="0"/>
            <w:vAlign w:val="center"/>
          </w:tcPr>
          <w:p w14:paraId="701A7D00">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6D86D326">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79A96605">
            <w:pPr>
              <w:pStyle w:val="15"/>
              <w:spacing w:line="240" w:lineRule="atLeast"/>
              <w:jc w:val="center"/>
              <w:rPr>
                <w:rFonts w:ascii="仿宋" w:hAnsi="仿宋" w:eastAsia="仿宋" w:cs="仿宋"/>
                <w:color w:val="auto"/>
                <w:sz w:val="24"/>
                <w:highlight w:val="none"/>
              </w:rPr>
            </w:pPr>
          </w:p>
        </w:tc>
        <w:tc>
          <w:tcPr>
            <w:tcW w:w="907" w:type="dxa"/>
            <w:noWrap w:val="0"/>
            <w:vAlign w:val="center"/>
          </w:tcPr>
          <w:p w14:paraId="0DABA6C4">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244AEC0C">
            <w:pPr>
              <w:pStyle w:val="15"/>
              <w:spacing w:line="240" w:lineRule="atLeast"/>
              <w:ind w:left="1080" w:leftChars="257" w:hanging="540"/>
              <w:rPr>
                <w:rFonts w:ascii="仿宋" w:hAnsi="仿宋" w:eastAsia="仿宋" w:cs="仿宋"/>
                <w:color w:val="auto"/>
                <w:sz w:val="24"/>
                <w:highlight w:val="none"/>
              </w:rPr>
            </w:pPr>
          </w:p>
        </w:tc>
      </w:tr>
      <w:tr w14:paraId="555F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7" w:type="dxa"/>
            <w:noWrap w:val="0"/>
            <w:vAlign w:val="center"/>
          </w:tcPr>
          <w:p w14:paraId="1F4AABDE">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69607806">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1B283E64">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031112EA">
            <w:pPr>
              <w:pStyle w:val="15"/>
              <w:spacing w:line="240" w:lineRule="atLeast"/>
              <w:ind w:left="1080" w:leftChars="257" w:hanging="540"/>
              <w:rPr>
                <w:rFonts w:ascii="仿宋" w:hAnsi="仿宋" w:eastAsia="仿宋" w:cs="仿宋"/>
                <w:color w:val="auto"/>
                <w:sz w:val="24"/>
                <w:highlight w:val="none"/>
              </w:rPr>
            </w:pPr>
          </w:p>
        </w:tc>
        <w:tc>
          <w:tcPr>
            <w:tcW w:w="907" w:type="dxa"/>
            <w:noWrap w:val="0"/>
            <w:vAlign w:val="center"/>
          </w:tcPr>
          <w:p w14:paraId="23545D02">
            <w:pPr>
              <w:pStyle w:val="15"/>
              <w:spacing w:line="240" w:lineRule="atLeast"/>
              <w:ind w:left="1080" w:leftChars="257" w:hanging="540"/>
              <w:rPr>
                <w:rFonts w:ascii="仿宋" w:hAnsi="仿宋" w:eastAsia="仿宋" w:cs="仿宋"/>
                <w:color w:val="auto"/>
                <w:sz w:val="24"/>
                <w:highlight w:val="none"/>
              </w:rPr>
            </w:pPr>
          </w:p>
        </w:tc>
      </w:tr>
    </w:tbl>
    <w:p w14:paraId="1F7905F0">
      <w:pPr>
        <w:pStyle w:val="15"/>
        <w:spacing w:line="240" w:lineRule="atLeast"/>
        <w:ind w:left="1080" w:leftChars="257" w:hanging="540"/>
        <w:rPr>
          <w:rFonts w:ascii="仿宋_GB2312" w:eastAsia="仿宋_GB2312"/>
          <w:color w:val="auto"/>
          <w:sz w:val="24"/>
          <w:highlight w:val="none"/>
        </w:rPr>
      </w:pPr>
    </w:p>
    <w:p w14:paraId="1F90F62D">
      <w:pPr>
        <w:pStyle w:val="15"/>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eastAsia="仿宋_GB2312"/>
          <w:color w:val="auto"/>
          <w:sz w:val="24"/>
          <w:highlight w:val="none"/>
          <w:lang w:val="en-US" w:eastAsia="zh-CN"/>
        </w:rPr>
        <w:t>或盖章</w:t>
      </w:r>
      <w:r>
        <w:rPr>
          <w:rFonts w:hint="eastAsia" w:ascii="仿宋_GB2312"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78DF1C89">
      <w:pPr>
        <w:pStyle w:val="15"/>
        <w:tabs>
          <w:tab w:val="left" w:pos="5370"/>
        </w:tabs>
        <w:spacing w:line="240" w:lineRule="atLeast"/>
        <w:ind w:left="1080" w:leftChars="257" w:hanging="540"/>
        <w:rPr>
          <w:rFonts w:hint="eastAsia" w:ascii="仿宋_GB2312" w:hAnsi="宋体" w:eastAsia="仿宋_GB2312"/>
          <w:color w:val="auto"/>
          <w:sz w:val="24"/>
          <w:highlight w:val="none"/>
        </w:rPr>
      </w:pPr>
    </w:p>
    <w:p w14:paraId="0699B437">
      <w:pPr>
        <w:pStyle w:val="15"/>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供应商(盖单位章):</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59D8CAF5">
      <w:pPr>
        <w:pStyle w:val="15"/>
        <w:spacing w:line="240" w:lineRule="atLeast"/>
        <w:ind w:left="1080" w:leftChars="257" w:hanging="540"/>
        <w:rPr>
          <w:rFonts w:ascii="仿宋_GB2312" w:eastAsia="仿宋_GB2312"/>
          <w:color w:val="auto"/>
          <w:sz w:val="24"/>
          <w:highlight w:val="none"/>
        </w:rPr>
      </w:pPr>
    </w:p>
    <w:p w14:paraId="36E22BCD">
      <w:pPr>
        <w:pStyle w:val="15"/>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 各项</w:t>
      </w: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内容明细</w:t>
      </w:r>
      <w:r>
        <w:rPr>
          <w:rFonts w:hint="eastAsia" w:ascii="仿宋_GB2312" w:eastAsia="仿宋_GB2312"/>
          <w:color w:val="auto"/>
          <w:sz w:val="24"/>
          <w:highlight w:val="none"/>
          <w:lang w:val="en-US" w:eastAsia="zh-CN"/>
        </w:rPr>
        <w:t>如果供应商认为需要</w:t>
      </w:r>
      <w:r>
        <w:rPr>
          <w:rFonts w:hint="eastAsia" w:ascii="仿宋_GB2312" w:eastAsia="仿宋_GB2312"/>
          <w:color w:val="auto"/>
          <w:sz w:val="24"/>
          <w:highlight w:val="none"/>
        </w:rPr>
        <w:t>应另页描述。</w:t>
      </w:r>
    </w:p>
    <w:p w14:paraId="06AE1CCD">
      <w:pPr>
        <w:pStyle w:val="15"/>
        <w:spacing w:line="240" w:lineRule="atLeast"/>
        <w:ind w:left="1080" w:leftChars="257" w:hanging="540"/>
        <w:jc w:val="center"/>
        <w:rPr>
          <w:rFonts w:ascii="仿宋_GB2312" w:eastAsia="仿宋_GB2312"/>
          <w:color w:val="auto"/>
          <w:sz w:val="24"/>
          <w:highlight w:val="none"/>
        </w:rPr>
      </w:pPr>
    </w:p>
    <w:p w14:paraId="01D6B984">
      <w:pPr>
        <w:pStyle w:val="15"/>
        <w:spacing w:line="240" w:lineRule="atLeast"/>
        <w:ind w:left="1080" w:leftChars="257" w:hanging="540"/>
        <w:jc w:val="center"/>
        <w:rPr>
          <w:rFonts w:ascii="仿宋_GB2312" w:eastAsia="仿宋_GB2312"/>
          <w:color w:val="auto"/>
          <w:sz w:val="24"/>
          <w:highlight w:val="none"/>
        </w:rPr>
        <w:sectPr>
          <w:footerReference r:id="rId13" w:type="default"/>
          <w:pgSz w:w="16838" w:h="11906" w:orient="landscape"/>
          <w:pgMar w:top="1797" w:right="1440" w:bottom="1797" w:left="1440" w:header="851" w:footer="992" w:gutter="0"/>
          <w:pgNumType w:fmt="decimal"/>
          <w:cols w:space="720" w:num="1"/>
          <w:docGrid w:linePitch="312" w:charSpace="0"/>
        </w:sectPr>
      </w:pPr>
    </w:p>
    <w:bookmarkEnd w:id="355"/>
    <w:bookmarkEnd w:id="356"/>
    <w:bookmarkEnd w:id="357"/>
    <w:p w14:paraId="2D1BC86E">
      <w:pPr>
        <w:pStyle w:val="15"/>
        <w:tabs>
          <w:tab w:val="left" w:pos="5580"/>
        </w:tabs>
        <w:spacing w:line="240" w:lineRule="atLeast"/>
        <w:rPr>
          <w:rFonts w:ascii="仿宋_GB2312" w:eastAsia="仿宋_GB2312"/>
          <w:color w:val="auto"/>
          <w:sz w:val="24"/>
          <w:highlight w:val="none"/>
        </w:rPr>
      </w:pPr>
      <w:bookmarkStart w:id="366" w:name="_Toc515647821"/>
      <w:bookmarkStart w:id="367" w:name="_Toc23"/>
      <w:bookmarkStart w:id="368" w:name="_Toc216582818"/>
      <w:bookmarkStart w:id="369" w:name="_Toc1980"/>
    </w:p>
    <w:bookmarkEnd w:id="366"/>
    <w:bookmarkEnd w:id="367"/>
    <w:bookmarkEnd w:id="368"/>
    <w:bookmarkEnd w:id="369"/>
    <w:p w14:paraId="757C04A6">
      <w:pPr>
        <w:pStyle w:val="32"/>
        <w:spacing w:line="420" w:lineRule="atLeast"/>
        <w:ind w:firstLine="420"/>
        <w:jc w:val="center"/>
        <w:outlineLvl w:val="1"/>
        <w:rPr>
          <w:rFonts w:ascii="仿宋" w:hAnsi="仿宋" w:eastAsia="仿宋" w:cs="仿宋"/>
          <w:b/>
          <w:bCs/>
          <w:color w:val="auto"/>
          <w:highlight w:val="none"/>
        </w:rPr>
      </w:pPr>
      <w:bookmarkStart w:id="370" w:name="_Toc21312"/>
      <w:bookmarkStart w:id="371" w:name="_Toc10725"/>
      <w:bookmarkStart w:id="372" w:name="_Toc515647823"/>
      <w:bookmarkStart w:id="373" w:name="_Toc25608"/>
      <w:bookmarkStart w:id="374" w:name="_Toc3315"/>
      <w:bookmarkStart w:id="375" w:name="_Toc32069"/>
      <w:bookmarkStart w:id="376" w:name="_Toc24419"/>
      <w:bookmarkStart w:id="377" w:name="_Toc30795"/>
      <w:bookmarkStart w:id="378" w:name="_Toc515647827"/>
      <w:bookmarkStart w:id="379" w:name="_Toc3569"/>
      <w:bookmarkStart w:id="380" w:name="_Toc28099"/>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 xml:space="preserve">-1 </w:t>
      </w:r>
      <w:bookmarkEnd w:id="370"/>
      <w:bookmarkEnd w:id="371"/>
      <w:bookmarkEnd w:id="372"/>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b/>
          <w:bCs/>
          <w:color w:val="auto"/>
          <w:highlight w:val="none"/>
        </w:rPr>
        <w:t>中小微企业证明文件（如有）</w:t>
      </w:r>
      <w:bookmarkEnd w:id="373"/>
      <w:bookmarkEnd w:id="374"/>
      <w:bookmarkEnd w:id="375"/>
      <w:bookmarkEnd w:id="376"/>
    </w:p>
    <w:p w14:paraId="4B16D71D">
      <w:pPr>
        <w:pStyle w:val="32"/>
        <w:spacing w:line="420" w:lineRule="atLeast"/>
        <w:ind w:firstLine="420"/>
        <w:jc w:val="center"/>
        <w:rPr>
          <w:rFonts w:ascii="仿宋" w:hAnsi="仿宋" w:eastAsia="仿宋" w:cs="仿宋"/>
          <w:color w:val="auto"/>
          <w:highlight w:val="none"/>
        </w:rPr>
      </w:pPr>
      <w:r>
        <w:rPr>
          <w:rStyle w:val="40"/>
          <w:rFonts w:hint="eastAsia" w:ascii="仿宋" w:hAnsi="仿宋" w:eastAsia="仿宋" w:cs="仿宋"/>
          <w:color w:val="auto"/>
          <w:highlight w:val="none"/>
        </w:rPr>
        <w:t>中小企业声明函（服务)（</w:t>
      </w:r>
      <w:r>
        <w:rPr>
          <w:rStyle w:val="40"/>
          <w:rFonts w:hint="eastAsia" w:ascii="仿宋" w:hAnsi="仿宋" w:eastAsia="仿宋" w:cs="仿宋"/>
          <w:color w:val="auto"/>
          <w:highlight w:val="none"/>
          <w:lang w:eastAsia="zh-CN"/>
        </w:rPr>
        <w:t>磋商</w:t>
      </w:r>
      <w:r>
        <w:rPr>
          <w:rStyle w:val="40"/>
          <w:rFonts w:hint="eastAsia" w:ascii="仿宋" w:hAnsi="仿宋" w:eastAsia="仿宋" w:cs="仿宋"/>
          <w:color w:val="auto"/>
          <w:highlight w:val="none"/>
        </w:rPr>
        <w:t>文件格式</w:t>
      </w:r>
      <w:r>
        <w:rPr>
          <w:rStyle w:val="40"/>
          <w:rFonts w:hint="eastAsia" w:ascii="仿宋" w:hAnsi="仿宋" w:eastAsia="仿宋" w:cs="仿宋"/>
          <w:color w:val="auto"/>
          <w:highlight w:val="none"/>
          <w:lang w:eastAsia="zh-CN"/>
        </w:rPr>
        <w:t>九</w:t>
      </w:r>
      <w:r>
        <w:rPr>
          <w:rStyle w:val="40"/>
          <w:rFonts w:hint="eastAsia" w:ascii="仿宋" w:hAnsi="仿宋" w:eastAsia="仿宋" w:cs="仿宋"/>
          <w:color w:val="auto"/>
          <w:highlight w:val="none"/>
        </w:rPr>
        <w:t>）</w:t>
      </w:r>
    </w:p>
    <w:p w14:paraId="43590572">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D3F80E6">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089A5C1E">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359F1AFC">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w:t>
      </w:r>
    </w:p>
    <w:p w14:paraId="317BF3EC">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72A5562C">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2386B851">
      <w:pPr>
        <w:pStyle w:val="32"/>
        <w:spacing w:line="420" w:lineRule="atLeast"/>
        <w:ind w:firstLine="420"/>
        <w:jc w:val="right"/>
        <w:rPr>
          <w:rFonts w:ascii="仿宋" w:hAnsi="仿宋" w:eastAsia="仿宋" w:cs="仿宋"/>
          <w:color w:val="auto"/>
          <w:highlight w:val="none"/>
        </w:rPr>
      </w:pPr>
      <w:r>
        <w:rPr>
          <w:rFonts w:hint="eastAsia" w:ascii="仿宋" w:hAnsi="仿宋" w:eastAsia="仿宋" w:cs="仿宋"/>
          <w:color w:val="auto"/>
          <w:highlight w:val="none"/>
        </w:rPr>
        <w:t>                      企业名称（盖章）：</w:t>
      </w:r>
    </w:p>
    <w:p w14:paraId="3CE0BB3A">
      <w:pPr>
        <w:pStyle w:val="32"/>
        <w:spacing w:line="420" w:lineRule="atLeast"/>
        <w:ind w:firstLine="420"/>
        <w:jc w:val="right"/>
        <w:rPr>
          <w:rFonts w:ascii="微软雅黑" w:hAnsi="微软雅黑" w:eastAsia="微软雅黑" w:cs="微软雅黑"/>
          <w:color w:val="auto"/>
          <w:sz w:val="27"/>
          <w:szCs w:val="27"/>
          <w:highlight w:val="none"/>
        </w:rPr>
      </w:pPr>
      <w:r>
        <w:rPr>
          <w:rFonts w:hint="eastAsia" w:ascii="仿宋" w:hAnsi="仿宋" w:eastAsia="仿宋" w:cs="仿宋"/>
          <w:color w:val="auto"/>
          <w:highlight w:val="none"/>
        </w:rPr>
        <w:t>                      日期：</w:t>
      </w:r>
      <w:r>
        <w:rPr>
          <w:rFonts w:hint="eastAsia" w:ascii="微软雅黑" w:hAnsi="微软雅黑" w:eastAsia="微软雅黑" w:cs="微软雅黑"/>
          <w:color w:val="auto"/>
          <w:sz w:val="27"/>
          <w:szCs w:val="27"/>
          <w:highlight w:val="none"/>
        </w:rPr>
        <w:t> </w:t>
      </w:r>
    </w:p>
    <w:p w14:paraId="5CD9CD08">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注：小型和微型企业适用价格扣除办法时应同时提供的相关资料：</w:t>
      </w:r>
    </w:p>
    <w:p w14:paraId="5E22777E">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1.小型、微型企业提供中型（或大型）企业</w:t>
      </w:r>
      <w:r>
        <w:rPr>
          <w:rFonts w:hint="eastAsia" w:ascii="仿宋" w:hAnsi="仿宋" w:eastAsia="仿宋" w:cs="仿宋"/>
          <w:color w:val="auto"/>
          <w:kern w:val="0"/>
          <w:sz w:val="24"/>
          <w:highlight w:val="none"/>
          <w:lang w:val="en-US" w:eastAsia="zh-CN"/>
        </w:rPr>
        <w:t>提供</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的，视同为中型（或大型）企业，不享受本项优惠。</w:t>
      </w:r>
    </w:p>
    <w:p w14:paraId="5475AF39">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2.其他相关的证明材料（如：上一年度（或近期）的审计报告等，须能反映出企业的应纳税所得额、从业人员、资产总额、营业收入等相关内容）。</w:t>
      </w:r>
    </w:p>
    <w:p w14:paraId="42BE2D0A">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3.进口产品不享受中小企业评审优惠。</w:t>
      </w:r>
    </w:p>
    <w:p w14:paraId="1ACE3949">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未按上述要求填写并提供证明材料的，评审时不予以考虑。</w:t>
      </w:r>
    </w:p>
    <w:p w14:paraId="2A3627B8">
      <w:pPr>
        <w:widowControl/>
        <w:spacing w:before="100" w:beforeAutospacing="1" w:after="100" w:afterAutospacing="1" w:line="330" w:lineRule="atLeast"/>
        <w:jc w:val="left"/>
        <w:rPr>
          <w:rFonts w:hint="eastAsia" w:ascii="仿宋" w:hAnsi="仿宋" w:eastAsia="仿宋" w:cs="仿宋"/>
          <w:b/>
          <w:bCs/>
          <w:color w:val="auto"/>
          <w:sz w:val="24"/>
          <w:highlight w:val="none"/>
          <w:lang w:val="en-US" w:eastAsia="zh-CN"/>
        </w:rPr>
      </w:pPr>
      <w:bookmarkStart w:id="381" w:name="_Toc11803"/>
      <w:bookmarkStart w:id="382" w:name="_Toc515647824"/>
      <w:bookmarkStart w:id="383" w:name="_Toc10977"/>
      <w:r>
        <w:rPr>
          <w:rFonts w:hint="eastAsia" w:ascii="仿宋" w:hAnsi="仿宋" w:eastAsia="仿宋" w:cs="仿宋"/>
          <w:b w:val="0"/>
          <w:color w:val="auto"/>
          <w:sz w:val="24"/>
          <w:highlight w:val="none"/>
          <w:lang w:val="en-US" w:eastAsia="zh-CN"/>
        </w:rPr>
        <w:t xml:space="preserve"> </w:t>
      </w:r>
      <w:r>
        <w:rPr>
          <w:rFonts w:hint="eastAsia" w:ascii="仿宋" w:hAnsi="仿宋" w:eastAsia="仿宋" w:cs="仿宋"/>
          <w:b/>
          <w:bCs/>
          <w:color w:val="auto"/>
          <w:sz w:val="24"/>
          <w:highlight w:val="none"/>
          <w:lang w:val="en-US" w:eastAsia="zh-CN"/>
        </w:rPr>
        <w:t xml:space="preserve"> 本项目所属行业：</w:t>
      </w:r>
      <w:r>
        <w:rPr>
          <w:rFonts w:hint="eastAsia" w:ascii="仿宋" w:hAnsi="仿宋" w:eastAsia="仿宋" w:cs="仿宋"/>
          <w:b/>
          <w:bCs/>
          <w:color w:val="auto"/>
          <w:sz w:val="24"/>
          <w:highlight w:val="none"/>
          <w:u w:val="single"/>
          <w:lang w:val="en-US" w:eastAsia="zh-CN"/>
        </w:rPr>
        <w:t>其他未列明行业</w:t>
      </w:r>
      <w:r>
        <w:rPr>
          <w:rFonts w:hint="eastAsia" w:ascii="仿宋" w:hAnsi="仿宋" w:eastAsia="仿宋" w:cs="仿宋"/>
          <w:b/>
          <w:bCs/>
          <w:color w:val="auto"/>
          <w:sz w:val="24"/>
          <w:highlight w:val="none"/>
          <w:lang w:val="en-US" w:eastAsia="zh-CN"/>
        </w:rPr>
        <w:t xml:space="preserve">   </w:t>
      </w:r>
      <w:bookmarkEnd w:id="381"/>
      <w:bookmarkEnd w:id="382"/>
      <w:bookmarkEnd w:id="383"/>
    </w:p>
    <w:p w14:paraId="5E0119A1">
      <w:pPr>
        <w:pStyle w:val="8"/>
        <w:rPr>
          <w:rFonts w:hint="eastAsia" w:ascii="仿宋" w:hAnsi="仿宋" w:eastAsia="仿宋" w:cs="仿宋"/>
          <w:b w:val="0"/>
          <w:color w:val="auto"/>
          <w:sz w:val="24"/>
          <w:highlight w:val="none"/>
          <w:lang w:val="en-US" w:eastAsia="zh-CN"/>
        </w:rPr>
      </w:pPr>
    </w:p>
    <w:p w14:paraId="39071693">
      <w:pPr>
        <w:rPr>
          <w:rFonts w:hint="eastAsia" w:ascii="仿宋" w:hAnsi="仿宋" w:eastAsia="仿宋" w:cs="仿宋"/>
          <w:b w:val="0"/>
          <w:color w:val="auto"/>
          <w:sz w:val="24"/>
          <w:highlight w:val="none"/>
          <w:lang w:val="en-US" w:eastAsia="zh-CN"/>
        </w:rPr>
      </w:pPr>
    </w:p>
    <w:p w14:paraId="614B742C">
      <w:pPr>
        <w:pStyle w:val="8"/>
        <w:rPr>
          <w:rFonts w:hint="eastAsia" w:ascii="仿宋" w:hAnsi="仿宋" w:eastAsia="仿宋" w:cs="仿宋"/>
          <w:b w:val="0"/>
          <w:color w:val="auto"/>
          <w:sz w:val="24"/>
          <w:highlight w:val="none"/>
          <w:lang w:val="en-US" w:eastAsia="zh-CN"/>
        </w:rPr>
      </w:pPr>
    </w:p>
    <w:p w14:paraId="32855F9F">
      <w:pPr>
        <w:rPr>
          <w:rFonts w:hint="eastAsia" w:ascii="仿宋" w:hAnsi="仿宋" w:eastAsia="仿宋" w:cs="仿宋"/>
          <w:b w:val="0"/>
          <w:color w:val="auto"/>
          <w:sz w:val="24"/>
          <w:highlight w:val="none"/>
          <w:lang w:val="en-US" w:eastAsia="zh-CN"/>
        </w:rPr>
      </w:pPr>
    </w:p>
    <w:p w14:paraId="6F773667">
      <w:pPr>
        <w:pStyle w:val="8"/>
        <w:rPr>
          <w:rFonts w:hint="eastAsia" w:ascii="仿宋" w:hAnsi="仿宋" w:eastAsia="仿宋" w:cs="仿宋"/>
          <w:b w:val="0"/>
          <w:color w:val="auto"/>
          <w:sz w:val="24"/>
          <w:highlight w:val="none"/>
          <w:lang w:val="en-US" w:eastAsia="zh-CN"/>
        </w:rPr>
      </w:pPr>
    </w:p>
    <w:p w14:paraId="4C9A4BE5">
      <w:pPr>
        <w:rPr>
          <w:rFonts w:hint="eastAsia" w:ascii="仿宋" w:hAnsi="仿宋" w:eastAsia="仿宋" w:cs="仿宋"/>
          <w:b w:val="0"/>
          <w:color w:val="auto"/>
          <w:sz w:val="24"/>
          <w:highlight w:val="none"/>
          <w:lang w:val="en-US" w:eastAsia="zh-CN"/>
        </w:rPr>
      </w:pPr>
    </w:p>
    <w:p w14:paraId="4B76A542">
      <w:pPr>
        <w:pStyle w:val="8"/>
        <w:rPr>
          <w:rFonts w:hint="eastAsia" w:ascii="仿宋" w:hAnsi="仿宋" w:eastAsia="仿宋" w:cs="仿宋"/>
          <w:b w:val="0"/>
          <w:color w:val="auto"/>
          <w:sz w:val="24"/>
          <w:highlight w:val="none"/>
          <w:lang w:val="en-US" w:eastAsia="zh-CN"/>
        </w:rPr>
      </w:pPr>
    </w:p>
    <w:p w14:paraId="6AD78363">
      <w:pPr>
        <w:rPr>
          <w:rFonts w:hint="eastAsia" w:ascii="仿宋" w:hAnsi="仿宋" w:eastAsia="仿宋" w:cs="仿宋"/>
          <w:b w:val="0"/>
          <w:color w:val="auto"/>
          <w:sz w:val="24"/>
          <w:highlight w:val="none"/>
          <w:lang w:val="en-US" w:eastAsia="zh-CN"/>
        </w:rPr>
      </w:pPr>
    </w:p>
    <w:p w14:paraId="0759A6F6">
      <w:pPr>
        <w:pStyle w:val="8"/>
        <w:rPr>
          <w:rFonts w:hint="eastAsia" w:ascii="仿宋" w:hAnsi="仿宋" w:eastAsia="仿宋" w:cs="仿宋"/>
          <w:b w:val="0"/>
          <w:color w:val="auto"/>
          <w:sz w:val="24"/>
          <w:highlight w:val="none"/>
          <w:lang w:val="en-US" w:eastAsia="zh-CN"/>
        </w:rPr>
      </w:pPr>
    </w:p>
    <w:p w14:paraId="66D370B8">
      <w:pPr>
        <w:rPr>
          <w:rFonts w:hint="eastAsia" w:ascii="仿宋" w:hAnsi="仿宋" w:eastAsia="仿宋" w:cs="仿宋"/>
          <w:b w:val="0"/>
          <w:color w:val="auto"/>
          <w:sz w:val="24"/>
          <w:highlight w:val="none"/>
          <w:lang w:val="en-US" w:eastAsia="zh-CN"/>
        </w:rPr>
      </w:pPr>
    </w:p>
    <w:p w14:paraId="7CA38207">
      <w:pPr>
        <w:pStyle w:val="8"/>
        <w:rPr>
          <w:rFonts w:hint="eastAsia" w:ascii="仿宋" w:hAnsi="仿宋" w:eastAsia="仿宋" w:cs="仿宋"/>
          <w:b w:val="0"/>
          <w:color w:val="auto"/>
          <w:sz w:val="24"/>
          <w:highlight w:val="none"/>
          <w:lang w:val="en-US" w:eastAsia="zh-CN"/>
        </w:rPr>
      </w:pPr>
    </w:p>
    <w:p w14:paraId="4436B46A">
      <w:pPr>
        <w:rPr>
          <w:rFonts w:hint="eastAsia" w:ascii="仿宋" w:hAnsi="仿宋" w:eastAsia="仿宋" w:cs="仿宋"/>
          <w:b w:val="0"/>
          <w:color w:val="auto"/>
          <w:sz w:val="24"/>
          <w:highlight w:val="none"/>
          <w:lang w:val="en-US" w:eastAsia="zh-CN"/>
        </w:rPr>
      </w:pPr>
    </w:p>
    <w:p w14:paraId="736971E2"/>
    <w:p w14:paraId="3384D7D5">
      <w:pPr>
        <w:pStyle w:val="3"/>
        <w:spacing w:before="0" w:line="240" w:lineRule="atLeast"/>
        <w:ind w:firstLine="2168" w:firstLineChars="900"/>
        <w:jc w:val="both"/>
        <w:rPr>
          <w:rFonts w:ascii="仿宋" w:hAnsi="仿宋" w:eastAsia="仿宋" w:cs="仿宋"/>
          <w:color w:val="auto"/>
          <w:sz w:val="24"/>
          <w:highlight w:val="none"/>
        </w:rPr>
      </w:pPr>
      <w:bookmarkStart w:id="384" w:name="_Toc19284"/>
      <w:bookmarkStart w:id="385" w:name="_Toc23068"/>
      <w:bookmarkStart w:id="386" w:name="_Toc515647825"/>
      <w:bookmarkStart w:id="387" w:name="_Toc5334"/>
      <w:bookmarkStart w:id="388" w:name="_Toc27057"/>
      <w:bookmarkStart w:id="389" w:name="_Toc24616"/>
      <w:bookmarkStart w:id="390" w:name="_Toc15350"/>
      <w:bookmarkStart w:id="391" w:name="OLE_LINK13"/>
      <w:bookmarkStart w:id="392" w:name="OLE_LINK14"/>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残疾人福利性单位声明函（</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文件格式</w:t>
      </w:r>
      <w:r>
        <w:rPr>
          <w:rFonts w:hint="eastAsia" w:ascii="仿宋" w:hAnsi="仿宋" w:eastAsia="仿宋" w:cs="仿宋"/>
          <w:color w:val="auto"/>
          <w:sz w:val="24"/>
          <w:highlight w:val="none"/>
          <w:lang w:eastAsia="zh-CN"/>
        </w:rPr>
        <w:t>十</w:t>
      </w:r>
      <w:r>
        <w:rPr>
          <w:rFonts w:hint="eastAsia" w:ascii="仿宋" w:hAnsi="仿宋" w:eastAsia="仿宋" w:cs="仿宋"/>
          <w:color w:val="auto"/>
          <w:sz w:val="24"/>
          <w:highlight w:val="none"/>
        </w:rPr>
        <w:t>）</w:t>
      </w:r>
      <w:bookmarkEnd w:id="384"/>
      <w:bookmarkEnd w:id="385"/>
      <w:bookmarkEnd w:id="386"/>
      <w:bookmarkEnd w:id="387"/>
      <w:bookmarkEnd w:id="388"/>
      <w:bookmarkEnd w:id="389"/>
      <w:bookmarkEnd w:id="390"/>
    </w:p>
    <w:bookmarkEnd w:id="391"/>
    <w:bookmarkEnd w:id="392"/>
    <w:p w14:paraId="632EEBD9">
      <w:pPr>
        <w:spacing w:line="240" w:lineRule="atLeast"/>
        <w:ind w:left="1080" w:leftChars="257" w:hanging="540"/>
        <w:jc w:val="center"/>
        <w:rPr>
          <w:rFonts w:ascii="仿宋" w:hAnsi="仿宋" w:eastAsia="仿宋" w:cs="仿宋"/>
          <w:color w:val="auto"/>
          <w:kern w:val="0"/>
          <w:sz w:val="24"/>
          <w:szCs w:val="20"/>
          <w:highlight w:val="none"/>
        </w:rPr>
      </w:pPr>
    </w:p>
    <w:p w14:paraId="6FB542FA">
      <w:pPr>
        <w:spacing w:line="240" w:lineRule="atLeast"/>
        <w:ind w:firstLine="567"/>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39A95D44">
      <w:pPr>
        <w:spacing w:line="240" w:lineRule="atLeast"/>
        <w:ind w:left="1080" w:leftChars="257" w:hanging="540"/>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2F0BB2E">
      <w:pPr>
        <w:spacing w:line="240" w:lineRule="atLeast"/>
        <w:ind w:left="1080" w:leftChars="257" w:hanging="540"/>
        <w:jc w:val="center"/>
        <w:rPr>
          <w:rFonts w:ascii="仿宋" w:hAnsi="仿宋" w:eastAsia="仿宋" w:cs="仿宋"/>
          <w:color w:val="auto"/>
          <w:kern w:val="0"/>
          <w:sz w:val="24"/>
          <w:szCs w:val="20"/>
          <w:highlight w:val="none"/>
        </w:rPr>
      </w:pPr>
    </w:p>
    <w:p w14:paraId="63C7310D">
      <w:pPr>
        <w:spacing w:line="240" w:lineRule="atLeast"/>
        <w:ind w:left="1080" w:leftChars="257" w:hanging="540"/>
        <w:jc w:val="center"/>
        <w:rPr>
          <w:rFonts w:ascii="仿宋" w:hAnsi="仿宋" w:eastAsia="仿宋" w:cs="仿宋"/>
          <w:color w:val="auto"/>
          <w:kern w:val="0"/>
          <w:sz w:val="24"/>
          <w:szCs w:val="20"/>
          <w:highlight w:val="none"/>
        </w:rPr>
      </w:pPr>
    </w:p>
    <w:p w14:paraId="45BE460B">
      <w:pPr>
        <w:spacing w:line="240" w:lineRule="atLeast"/>
        <w:ind w:left="1080" w:leftChars="257" w:hanging="540"/>
        <w:jc w:val="center"/>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59AE02B6">
      <w:pPr>
        <w:spacing w:line="240" w:lineRule="atLeast"/>
        <w:ind w:left="1080" w:leftChars="257" w:hanging="540"/>
        <w:jc w:val="center"/>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日  期：_____________________________________________</w:t>
      </w:r>
    </w:p>
    <w:p w14:paraId="7B343E42">
      <w:pPr>
        <w:spacing w:line="240" w:lineRule="atLeast"/>
        <w:ind w:left="1080" w:leftChars="257" w:hanging="540"/>
        <w:jc w:val="center"/>
        <w:rPr>
          <w:rFonts w:ascii="仿宋" w:hAnsi="仿宋" w:eastAsia="仿宋" w:cs="仿宋"/>
          <w:b/>
          <w:color w:val="auto"/>
          <w:kern w:val="0"/>
          <w:sz w:val="24"/>
          <w:szCs w:val="20"/>
          <w:highlight w:val="none"/>
        </w:rPr>
      </w:pPr>
    </w:p>
    <w:p w14:paraId="3FECFEF9">
      <w:pPr>
        <w:pStyle w:val="3"/>
        <w:spacing w:before="0" w:line="240" w:lineRule="atLeast"/>
        <w:ind w:left="1080" w:leftChars="257" w:hanging="540"/>
        <w:rPr>
          <w:rFonts w:hint="eastAsia" w:ascii="仿宋_GB2312" w:hAnsi="宋体" w:eastAsia="仿宋_GB2312"/>
          <w:color w:val="auto"/>
          <w:sz w:val="24"/>
          <w:highlight w:val="none"/>
          <w:lang w:val="en-US" w:eastAsia="zh-CN"/>
        </w:rPr>
      </w:pPr>
    </w:p>
    <w:p w14:paraId="6C487C6C">
      <w:pPr>
        <w:pStyle w:val="3"/>
        <w:spacing w:before="0" w:line="240" w:lineRule="atLeast"/>
        <w:ind w:left="1080" w:leftChars="257" w:hanging="540"/>
        <w:rPr>
          <w:rFonts w:hint="eastAsia" w:ascii="仿宋_GB2312" w:hAnsi="宋体" w:eastAsia="仿宋_GB2312"/>
          <w:color w:val="auto"/>
          <w:sz w:val="24"/>
          <w:highlight w:val="none"/>
          <w:lang w:val="en-US" w:eastAsia="zh-CN"/>
        </w:rPr>
      </w:pPr>
    </w:p>
    <w:p w14:paraId="58464AC6">
      <w:pPr>
        <w:pStyle w:val="3"/>
        <w:spacing w:before="0" w:line="240" w:lineRule="atLeast"/>
        <w:ind w:left="1080" w:leftChars="257" w:hanging="540"/>
        <w:rPr>
          <w:rFonts w:hint="eastAsia" w:ascii="仿宋_GB2312" w:hAnsi="宋体" w:eastAsia="仿宋_GB2312"/>
          <w:color w:val="auto"/>
          <w:sz w:val="24"/>
          <w:highlight w:val="none"/>
          <w:lang w:val="en-US" w:eastAsia="zh-CN"/>
        </w:rPr>
      </w:pPr>
    </w:p>
    <w:p w14:paraId="325FE44D">
      <w:pPr>
        <w:pStyle w:val="3"/>
        <w:spacing w:before="0" w:line="240" w:lineRule="atLeast"/>
        <w:ind w:left="1080" w:leftChars="257" w:hanging="540"/>
        <w:rPr>
          <w:rFonts w:hint="eastAsia" w:ascii="仿宋_GB2312" w:hAnsi="宋体" w:eastAsia="仿宋_GB2312"/>
          <w:color w:val="auto"/>
          <w:sz w:val="24"/>
          <w:highlight w:val="none"/>
          <w:lang w:val="en-US" w:eastAsia="zh-CN"/>
        </w:rPr>
      </w:pPr>
    </w:p>
    <w:p w14:paraId="770E96B9">
      <w:pPr>
        <w:pStyle w:val="3"/>
        <w:spacing w:before="0" w:line="240" w:lineRule="atLeast"/>
        <w:ind w:left="1080" w:leftChars="257" w:hanging="540"/>
        <w:rPr>
          <w:rFonts w:hint="eastAsia" w:ascii="仿宋_GB2312" w:hAnsi="宋体" w:eastAsia="仿宋_GB2312"/>
          <w:color w:val="auto"/>
          <w:sz w:val="24"/>
          <w:highlight w:val="none"/>
          <w:lang w:val="en-US" w:eastAsia="zh-CN"/>
        </w:rPr>
      </w:pPr>
    </w:p>
    <w:p w14:paraId="603A90EF">
      <w:pPr>
        <w:pStyle w:val="3"/>
        <w:spacing w:before="0" w:line="240" w:lineRule="atLeast"/>
        <w:ind w:left="1080" w:leftChars="257" w:hanging="540"/>
        <w:rPr>
          <w:rFonts w:hint="eastAsia" w:ascii="仿宋_GB2312" w:hAnsi="宋体" w:eastAsia="仿宋_GB2312"/>
          <w:color w:val="auto"/>
          <w:sz w:val="24"/>
          <w:highlight w:val="none"/>
          <w:lang w:val="en-US" w:eastAsia="zh-CN"/>
        </w:rPr>
      </w:pPr>
    </w:p>
    <w:p w14:paraId="6FAC0BF7">
      <w:pPr>
        <w:pStyle w:val="3"/>
        <w:spacing w:before="0" w:line="240" w:lineRule="atLeast"/>
        <w:ind w:left="1080" w:leftChars="257" w:hanging="540"/>
        <w:rPr>
          <w:rFonts w:ascii="仿宋_GB2312" w:hAnsi="宋体" w:eastAsia="仿宋_GB2312"/>
          <w:color w:val="auto"/>
          <w:sz w:val="24"/>
          <w:highlight w:val="none"/>
        </w:rPr>
      </w:pPr>
      <w:bookmarkStart w:id="393" w:name="_Toc24312"/>
      <w:bookmarkStart w:id="394" w:name="_Toc22912"/>
      <w:bookmarkStart w:id="395" w:name="_Toc4309"/>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关联单位的说明</w:t>
      </w:r>
      <w:bookmarkEnd w:id="377"/>
      <w:bookmarkEnd w:id="378"/>
      <w:bookmarkEnd w:id="379"/>
      <w:bookmarkEnd w:id="380"/>
      <w:bookmarkEnd w:id="393"/>
      <w:bookmarkEnd w:id="394"/>
      <w:bookmarkEnd w:id="395"/>
    </w:p>
    <w:p w14:paraId="67028378">
      <w:pPr>
        <w:pStyle w:val="8"/>
        <w:jc w:val="center"/>
        <w:rPr>
          <w:color w:val="auto"/>
          <w:highlight w:val="none"/>
        </w:rPr>
      </w:pPr>
    </w:p>
    <w:p w14:paraId="212CDECA">
      <w:pPr>
        <w:pStyle w:val="8"/>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说明</w:t>
      </w:r>
      <w:r>
        <w:rPr>
          <w:rFonts w:ascii="仿宋_GB2312" w:hAnsi="宋体" w:eastAsia="仿宋_GB2312"/>
          <w:color w:val="auto"/>
          <w:highlight w:val="none"/>
        </w:rPr>
        <w:t>：</w:t>
      </w:r>
      <w:r>
        <w:rPr>
          <w:rFonts w:hint="eastAsia" w:ascii="仿宋_GB2312" w:hAnsi="宋体" w:eastAsia="仿宋_GB2312"/>
          <w:color w:val="auto"/>
          <w:highlight w:val="none"/>
        </w:rPr>
        <w:t>供应商</w:t>
      </w:r>
      <w:r>
        <w:rPr>
          <w:rFonts w:ascii="仿宋_GB2312" w:hAnsi="宋体" w:eastAsia="仿宋_GB2312"/>
          <w:color w:val="auto"/>
          <w:highlight w:val="none"/>
        </w:rPr>
        <w:t>应当如实披露与本单位存在下列关联关系的单位名称</w:t>
      </w:r>
      <w:r>
        <w:rPr>
          <w:rFonts w:hint="eastAsia" w:ascii="仿宋_GB2312" w:hAnsi="宋体" w:eastAsia="仿宋_GB2312"/>
          <w:color w:val="auto"/>
          <w:highlight w:val="none"/>
        </w:rPr>
        <w:t>：</w:t>
      </w:r>
    </w:p>
    <w:p w14:paraId="5D69C257">
      <w:pPr>
        <w:pStyle w:val="8"/>
        <w:ind w:firstLine="480" w:firstLineChars="200"/>
        <w:rPr>
          <w:rFonts w:hint="eastAsia" w:ascii="仿宋_GB2312" w:hAnsi="宋体" w:eastAsia="仿宋_GB2312"/>
          <w:color w:val="auto"/>
          <w:highlight w:val="none"/>
          <w:lang w:eastAsia="zh-CN"/>
        </w:rPr>
      </w:pPr>
      <w:r>
        <w:rPr>
          <w:rFonts w:ascii="仿宋_GB2312" w:hAnsi="宋体" w:eastAsia="仿宋_GB2312"/>
          <w:color w:val="auto"/>
          <w:highlight w:val="none"/>
        </w:rPr>
        <w:t>（1）与</w:t>
      </w:r>
      <w:r>
        <w:rPr>
          <w:rFonts w:hint="eastAsia" w:ascii="仿宋_GB2312" w:hAnsi="宋体" w:eastAsia="仿宋_GB2312"/>
          <w:color w:val="auto"/>
          <w:highlight w:val="none"/>
        </w:rPr>
        <w:t>供应商</w:t>
      </w:r>
      <w:r>
        <w:rPr>
          <w:rFonts w:ascii="仿宋_GB2312" w:hAnsi="宋体" w:eastAsia="仿宋_GB2312"/>
          <w:color w:val="auto"/>
          <w:highlight w:val="none"/>
        </w:rPr>
        <w:t>单位负责人为同一人的其他</w:t>
      </w:r>
      <w:r>
        <w:rPr>
          <w:rFonts w:hint="eastAsia" w:ascii="仿宋_GB2312" w:hAnsi="宋体" w:eastAsia="仿宋_GB2312"/>
          <w:color w:val="auto"/>
          <w:highlight w:val="none"/>
        </w:rPr>
        <w:t>单位</w:t>
      </w:r>
      <w:r>
        <w:rPr>
          <w:rFonts w:ascii="仿宋_GB2312" w:hAnsi="宋体" w:eastAsia="仿宋_GB2312"/>
          <w:color w:val="auto"/>
          <w:highlight w:val="none"/>
        </w:rPr>
        <w:t>；</w:t>
      </w:r>
    </w:p>
    <w:p w14:paraId="2D6A9E0D">
      <w:pPr>
        <w:pStyle w:val="8"/>
        <w:ind w:firstLine="480" w:firstLineChars="200"/>
        <w:rPr>
          <w:color w:val="auto"/>
          <w:highlight w:val="none"/>
        </w:rPr>
      </w:pPr>
      <w:r>
        <w:rPr>
          <w:rFonts w:ascii="仿宋_GB2312" w:hAnsi="宋体" w:eastAsia="仿宋_GB2312"/>
          <w:color w:val="auto"/>
          <w:highlight w:val="none"/>
        </w:rPr>
        <w:t xml:space="preserve">    （2）与</w:t>
      </w:r>
      <w:r>
        <w:rPr>
          <w:rFonts w:hint="eastAsia" w:ascii="仿宋_GB2312" w:hAnsi="宋体" w:eastAsia="仿宋_GB2312"/>
          <w:color w:val="auto"/>
          <w:highlight w:val="none"/>
        </w:rPr>
        <w:t>供应商</w:t>
      </w:r>
      <w:r>
        <w:rPr>
          <w:rFonts w:ascii="仿宋_GB2312" w:hAnsi="宋体" w:eastAsia="仿宋_GB2312"/>
          <w:color w:val="auto"/>
          <w:highlight w:val="none"/>
        </w:rPr>
        <w:t>存在直接控股、管理关系的其他单位</w:t>
      </w:r>
      <w:r>
        <w:rPr>
          <w:rFonts w:hint="eastAsia" w:ascii="仿宋_GB2312" w:hAnsi="宋体" w:eastAsia="仿宋_GB2312"/>
          <w:color w:val="auto"/>
          <w:highlight w:val="none"/>
        </w:rPr>
        <w:t>。</w:t>
      </w:r>
    </w:p>
    <w:p w14:paraId="24933067">
      <w:pPr>
        <w:pStyle w:val="16"/>
        <w:rPr>
          <w:rFonts w:hint="eastAsia" w:ascii="仿宋" w:hAnsi="仿宋" w:eastAsia="仿宋" w:cs="仿宋"/>
          <w:lang w:val="en-US" w:eastAsia="zh-CN"/>
        </w:rPr>
      </w:pPr>
      <w:r>
        <w:rPr>
          <w:rFonts w:hint="eastAsia" w:ascii="仿宋_GB2312" w:hAnsi="宋体" w:eastAsia="仿宋_GB2312" w:cs="Times New Roman"/>
          <w:b/>
          <w:bCs/>
          <w:color w:val="auto"/>
          <w:sz w:val="24"/>
          <w:highlight w:val="none"/>
          <w:lang w:val="en-US" w:eastAsia="zh-CN"/>
        </w:rPr>
        <w:br w:type="page"/>
      </w:r>
    </w:p>
    <w:p w14:paraId="79CE3D2B">
      <w:pPr>
        <w:pStyle w:val="15"/>
        <w:numPr>
          <w:ilvl w:val="0"/>
          <w:numId w:val="0"/>
        </w:numPr>
        <w:jc w:val="center"/>
        <w:outlineLvl w:val="1"/>
        <w:rPr>
          <w:rFonts w:hint="eastAsia" w:ascii="仿宋" w:hAnsi="仿宋" w:eastAsia="仿宋" w:cs="仿宋"/>
          <w:b/>
          <w:bCs/>
          <w:color w:val="auto"/>
          <w:sz w:val="24"/>
          <w:highlight w:val="none"/>
          <w:lang w:val="en-US" w:eastAsia="zh-CN"/>
        </w:rPr>
      </w:pPr>
      <w:bookmarkStart w:id="396" w:name="_Toc15532"/>
      <w:bookmarkStart w:id="397" w:name="_Toc2428"/>
      <w:r>
        <w:rPr>
          <w:rFonts w:hint="eastAsia" w:ascii="仿宋" w:hAnsi="仿宋" w:eastAsia="仿宋" w:cs="仿宋"/>
          <w:b/>
          <w:bCs/>
          <w:color w:val="auto"/>
          <w:sz w:val="24"/>
          <w:highlight w:val="none"/>
          <w:lang w:val="en-US" w:eastAsia="zh-CN"/>
        </w:rPr>
        <w:t>6、响应文件还应包括供应商须知第10条的所有技术文件</w:t>
      </w:r>
      <w:bookmarkEnd w:id="396"/>
      <w:bookmarkEnd w:id="397"/>
    </w:p>
    <w:tbl>
      <w:tblPr>
        <w:tblStyle w:val="3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85F4160">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842" w:hRule="atLeast"/>
        </w:trPr>
        <w:tc>
          <w:tcPr>
            <w:tcW w:w="9120" w:type="dxa"/>
            <w:shd w:val="clear" w:color="auto" w:fill="FCFEEA"/>
            <w:noWrap w:val="0"/>
            <w:vAlign w:val="top"/>
          </w:tcPr>
          <w:p w14:paraId="048866B3">
            <w:pPr>
              <w:pStyle w:val="15"/>
              <w:numPr>
                <w:ilvl w:val="0"/>
                <w:numId w:val="0"/>
              </w:numPr>
              <w:ind w:firstLine="1928" w:firstLineChars="800"/>
              <w:jc w:val="both"/>
              <w:outlineLvl w:val="1"/>
              <w:rPr>
                <w:rFonts w:cs="宋体"/>
                <w:b/>
                <w:bCs/>
                <w:color w:val="auto"/>
                <w:sz w:val="28"/>
                <w:szCs w:val="28"/>
                <w:highlight w:val="none"/>
              </w:rPr>
            </w:pPr>
            <w:r>
              <w:rPr>
                <w:rFonts w:hint="eastAsia" w:ascii="仿宋_GB2312" w:hAnsi="宋体" w:eastAsia="仿宋_GB2312" w:cs="Times New Roman"/>
                <w:b/>
                <w:bCs/>
                <w:color w:val="auto"/>
                <w:sz w:val="24"/>
                <w:highlight w:val="none"/>
                <w:lang w:val="en-US" w:eastAsia="zh-CN"/>
              </w:rPr>
              <w:br w:type="page"/>
            </w:r>
            <w:bookmarkStart w:id="398" w:name="_Toc7446"/>
            <w:r>
              <w:rPr>
                <w:rFonts w:hint="eastAsia" w:cs="宋体"/>
                <w:b/>
                <w:bCs/>
                <w:color w:val="auto"/>
                <w:sz w:val="28"/>
                <w:szCs w:val="28"/>
                <w:highlight w:val="none"/>
              </w:rPr>
              <w:t xml:space="preserve">                                                </w:t>
            </w:r>
          </w:p>
          <w:p w14:paraId="1B949D33">
            <w:pPr>
              <w:pStyle w:val="11"/>
              <w:ind w:firstLine="2530" w:firstLineChars="900"/>
              <w:rPr>
                <w:rFonts w:ascii="隶书" w:eastAsia="隶书"/>
                <w:b/>
                <w:bCs/>
                <w:color w:val="auto"/>
                <w:sz w:val="28"/>
                <w:szCs w:val="28"/>
                <w:highlight w:val="none"/>
              </w:rPr>
            </w:pPr>
            <w:r>
              <w:rPr>
                <w:rFonts w:hint="eastAsia" w:cs="宋体"/>
                <w:b/>
                <w:bCs/>
                <w:color w:val="auto"/>
                <w:sz w:val="28"/>
                <w:szCs w:val="28"/>
                <w:highlight w:val="none"/>
              </w:rPr>
              <w:t>***** *** *** *** ***   项目</w:t>
            </w:r>
          </w:p>
          <w:p w14:paraId="2982C198">
            <w:pPr>
              <w:pStyle w:val="11"/>
              <w:jc w:val="center"/>
              <w:rPr>
                <w:rFonts w:ascii="隶书" w:eastAsia="隶书"/>
                <w:b/>
                <w:bCs/>
                <w:color w:val="auto"/>
                <w:sz w:val="21"/>
                <w:szCs w:val="21"/>
                <w:highlight w:val="none"/>
              </w:rPr>
            </w:pPr>
          </w:p>
          <w:p w14:paraId="6194181C">
            <w:pPr>
              <w:pStyle w:val="11"/>
              <w:ind w:firstLine="3152" w:firstLineChars="1500"/>
              <w:rPr>
                <w:rFonts w:ascii="隶书" w:eastAsia="隶书"/>
                <w:b/>
                <w:bCs/>
                <w:color w:val="auto"/>
                <w:sz w:val="21"/>
                <w:szCs w:val="21"/>
                <w:highlight w:val="none"/>
              </w:rPr>
            </w:pPr>
            <w:r>
              <w:rPr>
                <w:rFonts w:hint="eastAsia" w:ascii="隶书" w:eastAsia="隶书"/>
                <w:b/>
                <w:bCs/>
                <w:color w:val="auto"/>
                <w:sz w:val="21"/>
                <w:szCs w:val="21"/>
                <w:highlight w:val="none"/>
              </w:rPr>
              <w:t xml:space="preserve">项目编号 </w:t>
            </w:r>
            <w:r>
              <w:rPr>
                <w:rFonts w:hint="eastAsia" w:cs="宋体"/>
                <w:b/>
                <w:bCs/>
                <w:color w:val="auto"/>
                <w:sz w:val="21"/>
                <w:szCs w:val="21"/>
                <w:highlight w:val="none"/>
              </w:rPr>
              <w:t>＊＊＊</w:t>
            </w:r>
          </w:p>
          <w:p w14:paraId="6E580665">
            <w:pPr>
              <w:pStyle w:val="11"/>
              <w:jc w:val="center"/>
              <w:rPr>
                <w:rFonts w:ascii="隶书" w:eastAsia="隶书"/>
                <w:b/>
                <w:bCs/>
                <w:color w:val="auto"/>
                <w:sz w:val="48"/>
                <w:highlight w:val="none"/>
              </w:rPr>
            </w:pPr>
            <w:r>
              <w:rPr>
                <w:rFonts w:hint="eastAsia" w:ascii="隶书" w:eastAsia="隶书"/>
                <w:b/>
                <w:bCs/>
                <w:color w:val="auto"/>
                <w:sz w:val="48"/>
                <w:highlight w:val="none"/>
              </w:rPr>
              <w:t>响 应 文 件</w:t>
            </w:r>
          </w:p>
          <w:p w14:paraId="20BD0AFB">
            <w:pPr>
              <w:jc w:val="center"/>
              <w:rPr>
                <w:rFonts w:ascii="宋体" w:hAnsi="宋体"/>
                <w:b/>
                <w:color w:val="auto"/>
                <w:sz w:val="32"/>
                <w:highlight w:val="none"/>
              </w:rPr>
            </w:pPr>
          </w:p>
          <w:p w14:paraId="4F586971">
            <w:pPr>
              <w:pStyle w:val="8"/>
              <w:ind w:firstLine="0"/>
              <w:rPr>
                <w:rFonts w:hAnsi="宋体"/>
                <w:b/>
                <w:color w:val="auto"/>
                <w:sz w:val="32"/>
                <w:highlight w:val="none"/>
              </w:rPr>
            </w:pPr>
          </w:p>
          <w:p w14:paraId="19D4C96A">
            <w:pPr>
              <w:rPr>
                <w:rFonts w:hAnsi="宋体"/>
                <w:b/>
                <w:color w:val="auto"/>
                <w:sz w:val="32"/>
                <w:highlight w:val="none"/>
              </w:rPr>
            </w:pPr>
          </w:p>
          <w:p w14:paraId="29F8800D">
            <w:pPr>
              <w:pStyle w:val="8"/>
              <w:rPr>
                <w:rFonts w:hAnsi="宋体"/>
                <w:b/>
                <w:color w:val="auto"/>
                <w:sz w:val="32"/>
                <w:highlight w:val="none"/>
              </w:rPr>
            </w:pPr>
          </w:p>
          <w:p w14:paraId="013E6434">
            <w:pPr>
              <w:rPr>
                <w:color w:val="auto"/>
                <w:highlight w:val="none"/>
              </w:rPr>
            </w:pPr>
          </w:p>
          <w:p w14:paraId="45B77336">
            <w:pPr>
              <w:spacing w:line="360" w:lineRule="auto"/>
              <w:ind w:left="176" w:leftChars="84" w:firstLine="1470" w:firstLineChars="700"/>
              <w:rPr>
                <w:rFonts w:ascii="宋体" w:hAnsi="宋体"/>
                <w:color w:val="auto"/>
                <w:szCs w:val="21"/>
                <w:highlight w:val="none"/>
              </w:rPr>
            </w:pPr>
            <w:r>
              <w:rPr>
                <w:rFonts w:ascii="宋体" w:hAnsi="宋体"/>
                <w:color w:val="auto"/>
                <w:szCs w:val="21"/>
                <w:highlight w:val="none"/>
              </w:rPr>
              <w:t>投标</w:t>
            </w:r>
            <w:r>
              <w:rPr>
                <w:rFonts w:hint="eastAsia" w:ascii="宋体" w:hAnsi="宋体"/>
                <w:color w:val="auto"/>
                <w:szCs w:val="21"/>
                <w:highlight w:val="none"/>
              </w:rPr>
              <w:t>单位</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（公章）</w:t>
            </w:r>
          </w:p>
          <w:p w14:paraId="42B84F3C">
            <w:pPr>
              <w:spacing w:line="360" w:lineRule="auto"/>
              <w:ind w:left="176" w:leftChars="84" w:firstLine="1470" w:firstLineChars="700"/>
              <w:rPr>
                <w:rFonts w:ascii="宋体" w:hAnsi="宋体"/>
                <w:color w:val="auto"/>
                <w:szCs w:val="21"/>
                <w:highlight w:val="none"/>
                <w:u w:val="single"/>
              </w:rPr>
            </w:pPr>
            <w:r>
              <w:rPr>
                <w:rFonts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131D5E7">
            <w:pPr>
              <w:spacing w:line="360" w:lineRule="auto"/>
              <w:ind w:left="176" w:leftChars="84" w:firstLine="1470" w:firstLineChars="700"/>
              <w:rPr>
                <w:rFonts w:ascii="宋体" w:hAnsi="宋体"/>
                <w:color w:val="auto"/>
                <w:szCs w:val="21"/>
                <w:highlight w:val="none"/>
                <w:u w:val="single"/>
              </w:rPr>
            </w:pPr>
            <w:r>
              <w:rPr>
                <w:rFonts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107493E">
            <w:pPr>
              <w:spacing w:line="360" w:lineRule="auto"/>
              <w:ind w:left="176" w:leftChars="84" w:firstLine="1470" w:firstLineChars="700"/>
              <w:rPr>
                <w:rFonts w:ascii="宋体" w:hAnsi="宋体"/>
                <w:color w:val="auto"/>
                <w:szCs w:val="21"/>
                <w:highlight w:val="none"/>
                <w:u w:val="single"/>
              </w:rPr>
            </w:pPr>
            <w:r>
              <w:rPr>
                <w:rFonts w:hint="eastAsia"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DCE144F">
            <w:pPr>
              <w:spacing w:line="360" w:lineRule="auto"/>
              <w:ind w:left="176" w:leftChars="84" w:firstLine="1470" w:firstLineChars="700"/>
              <w:rPr>
                <w:rFonts w:ascii="宋体" w:hAnsi="宋体"/>
                <w:color w:val="auto"/>
                <w:szCs w:val="21"/>
                <w:highlight w:val="none"/>
              </w:rPr>
            </w:pPr>
            <w:r>
              <w:rPr>
                <w:rFonts w:hint="eastAsia"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7F47CA25">
            <w:pPr>
              <w:spacing w:line="360" w:lineRule="auto"/>
              <w:ind w:left="176" w:leftChars="84" w:firstLine="1470" w:firstLineChars="70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78139D65">
            <w:pPr>
              <w:spacing w:line="360" w:lineRule="auto"/>
              <w:ind w:left="176" w:leftChars="84" w:firstLine="960" w:firstLineChars="400"/>
              <w:rPr>
                <w:rFonts w:ascii="宋体" w:hAnsi="宋体"/>
                <w:color w:val="auto"/>
                <w:sz w:val="24"/>
                <w:highlight w:val="none"/>
              </w:rPr>
            </w:pPr>
          </w:p>
          <w:p w14:paraId="05B605AE">
            <w:pPr>
              <w:jc w:val="center"/>
              <w:rPr>
                <w:rFonts w:ascii="宋体" w:hAnsi="宋体"/>
                <w:b/>
                <w:bCs/>
                <w:color w:val="auto"/>
                <w:highlight w:val="none"/>
              </w:rPr>
            </w:pPr>
          </w:p>
          <w:p w14:paraId="14D8BB62">
            <w:pPr>
              <w:jc w:val="center"/>
              <w:rPr>
                <w:rFonts w:ascii="宋体" w:hAnsi="宋体"/>
                <w:b/>
                <w:bCs/>
                <w:color w:val="auto"/>
                <w:highlight w:val="none"/>
              </w:rPr>
            </w:pPr>
          </w:p>
          <w:p w14:paraId="229FEF2E">
            <w:pPr>
              <w:jc w:val="center"/>
              <w:rPr>
                <w:rFonts w:ascii="宋体" w:hAnsi="宋体"/>
                <w:b/>
                <w:bCs/>
                <w:color w:val="auto"/>
                <w:highlight w:val="none"/>
              </w:rPr>
            </w:pPr>
          </w:p>
          <w:p w14:paraId="07A5FB03">
            <w:pPr>
              <w:jc w:val="center"/>
              <w:rPr>
                <w:rFonts w:ascii="宋体" w:hAnsi="宋体"/>
                <w:b/>
                <w:bCs/>
                <w:color w:val="auto"/>
                <w:highlight w:val="none"/>
              </w:rPr>
            </w:pPr>
            <w:r>
              <w:rPr>
                <w:rFonts w:hint="eastAsia" w:ascii="宋体" w:hAnsi="宋体"/>
                <w:b/>
                <w:bCs/>
                <w:color w:val="auto"/>
                <w:highlight w:val="none"/>
              </w:rPr>
              <w:t xml:space="preserve">注：   </w:t>
            </w:r>
            <w:r>
              <w:rPr>
                <w:rFonts w:ascii="宋体" w:hAnsi="宋体"/>
                <w:b/>
                <w:bCs/>
                <w:color w:val="auto"/>
                <w:highlight w:val="none"/>
              </w:rPr>
              <w:t>在</w:t>
            </w:r>
            <w:r>
              <w:rPr>
                <w:rFonts w:hint="eastAsia" w:ascii="宋体" w:hAnsi="宋体"/>
                <w:b/>
                <w:bCs/>
                <w:color w:val="auto"/>
                <w:highlight w:val="none"/>
              </w:rPr>
              <w:t>202X</w:t>
            </w:r>
            <w:r>
              <w:rPr>
                <w:rFonts w:ascii="宋体" w:hAnsi="宋体"/>
                <w:b/>
                <w:bCs/>
                <w:color w:val="auto"/>
                <w:highlight w:val="none"/>
              </w:rPr>
              <w:t>年</w:t>
            </w:r>
            <w:r>
              <w:rPr>
                <w:rFonts w:hint="eastAsia" w:ascii="宋体" w:hAnsi="宋体"/>
                <w:b/>
                <w:bCs/>
                <w:color w:val="auto"/>
                <w:highlight w:val="none"/>
              </w:rPr>
              <w:t xml:space="preserve">   月  日 上午</w:t>
            </w:r>
            <w:r>
              <w:rPr>
                <w:rFonts w:hint="eastAsia" w:ascii="宋体" w:hAnsi="宋体" w:cs="宋体"/>
                <w:color w:val="auto"/>
                <w:kern w:val="0"/>
                <w:szCs w:val="21"/>
                <w:highlight w:val="none"/>
              </w:rPr>
              <w:t>XX</w:t>
            </w:r>
            <w:r>
              <w:rPr>
                <w:rFonts w:ascii="宋体" w:hAnsi="宋体"/>
                <w:b/>
                <w:bCs/>
                <w:color w:val="auto"/>
                <w:highlight w:val="none"/>
              </w:rPr>
              <w:t>之前不得启封</w:t>
            </w:r>
          </w:p>
          <w:p w14:paraId="1536FD16">
            <w:pPr>
              <w:jc w:val="center"/>
              <w:rPr>
                <w:rFonts w:ascii="宋体" w:hAnsi="宋体"/>
                <w:b/>
                <w:bCs/>
                <w:color w:val="auto"/>
                <w:highlight w:val="none"/>
              </w:rPr>
            </w:pPr>
          </w:p>
        </w:tc>
      </w:tr>
      <w:bookmarkEnd w:id="398"/>
    </w:tbl>
    <w:p w14:paraId="71D93F11">
      <w:pPr>
        <w:spacing w:line="240" w:lineRule="atLeast"/>
        <w:ind w:left="1080" w:leftChars="257" w:hanging="540"/>
        <w:jc w:val="center"/>
        <w:outlineLvl w:val="0"/>
        <w:rPr>
          <w:rFonts w:hint="eastAsia" w:ascii="仿宋_GB2312" w:eastAsia="仿宋_GB2312"/>
          <w:b/>
          <w:color w:val="auto"/>
          <w:sz w:val="44"/>
          <w:szCs w:val="44"/>
          <w:highlight w:val="none"/>
          <w:lang w:eastAsia="zh-CN"/>
        </w:rPr>
      </w:pPr>
    </w:p>
    <w:p w14:paraId="386B1DDE">
      <w:pPr>
        <w:spacing w:line="240" w:lineRule="atLeast"/>
        <w:ind w:left="1080" w:leftChars="257" w:hanging="540"/>
        <w:jc w:val="center"/>
        <w:outlineLvl w:val="0"/>
        <w:rPr>
          <w:rFonts w:hint="eastAsia" w:ascii="仿宋_GB2312" w:eastAsia="仿宋_GB2312"/>
          <w:b/>
          <w:color w:val="auto"/>
          <w:sz w:val="44"/>
          <w:szCs w:val="44"/>
          <w:highlight w:val="none"/>
          <w:lang w:eastAsia="zh-CN"/>
        </w:rPr>
      </w:pPr>
      <w:r>
        <w:rPr>
          <w:rFonts w:hint="eastAsia" w:ascii="仿宋_GB2312" w:eastAsia="仿宋_GB2312"/>
          <w:b/>
          <w:color w:val="auto"/>
          <w:sz w:val="44"/>
          <w:szCs w:val="44"/>
          <w:highlight w:val="none"/>
          <w:lang w:eastAsia="zh-CN"/>
        </w:rPr>
        <w:t>喀什地区疾病预防控制中心（喀什地区卫生监督所）采购档案数字化服务</w:t>
      </w:r>
    </w:p>
    <w:p w14:paraId="19AFFD78">
      <w:pPr>
        <w:spacing w:line="240" w:lineRule="atLeast"/>
        <w:ind w:left="1080" w:leftChars="257" w:hanging="540"/>
        <w:jc w:val="center"/>
        <w:rPr>
          <w:rFonts w:ascii="仿宋_GB2312" w:eastAsia="仿宋_GB2312"/>
          <w:b/>
          <w:color w:val="auto"/>
          <w:sz w:val="52"/>
          <w:szCs w:val="52"/>
          <w:highlight w:val="none"/>
        </w:rPr>
      </w:pPr>
    </w:p>
    <w:p w14:paraId="5083D94B">
      <w:pPr>
        <w:spacing w:line="240" w:lineRule="atLeast"/>
        <w:ind w:left="1080" w:leftChars="257" w:hanging="540"/>
        <w:jc w:val="center"/>
        <w:rPr>
          <w:rFonts w:hint="eastAsia" w:ascii="华文中宋" w:hAnsi="华文中宋" w:eastAsia="华文中宋" w:cs="华文中宋"/>
          <w:b/>
          <w:bCs w:val="0"/>
          <w:color w:val="auto"/>
          <w:sz w:val="56"/>
          <w:szCs w:val="56"/>
          <w:highlight w:val="none"/>
        </w:rPr>
      </w:pPr>
      <w:r>
        <w:rPr>
          <w:rFonts w:hint="eastAsia" w:ascii="华文中宋" w:hAnsi="华文中宋" w:eastAsia="华文中宋" w:cs="华文中宋"/>
          <w:b/>
          <w:bCs w:val="0"/>
          <w:color w:val="auto"/>
          <w:sz w:val="56"/>
          <w:szCs w:val="56"/>
          <w:highlight w:val="none"/>
          <w:lang w:val="en-US" w:eastAsia="zh-CN"/>
        </w:rPr>
        <w:t>磋商</w:t>
      </w:r>
      <w:r>
        <w:rPr>
          <w:rFonts w:hint="eastAsia" w:ascii="华文中宋" w:hAnsi="华文中宋" w:eastAsia="华文中宋" w:cs="华文中宋"/>
          <w:b/>
          <w:bCs w:val="0"/>
          <w:color w:val="auto"/>
          <w:sz w:val="56"/>
          <w:szCs w:val="56"/>
          <w:highlight w:val="none"/>
        </w:rPr>
        <w:t>文件</w:t>
      </w:r>
    </w:p>
    <w:p w14:paraId="1F10B8AE">
      <w:pPr>
        <w:spacing w:line="240" w:lineRule="atLeast"/>
        <w:ind w:left="1080" w:leftChars="257" w:hanging="540"/>
        <w:jc w:val="center"/>
        <w:rPr>
          <w:rFonts w:hint="eastAsia" w:ascii="仿宋_GB2312" w:eastAsia="仿宋_GB2312"/>
          <w:b/>
          <w:color w:val="auto"/>
          <w:sz w:val="28"/>
          <w:highlight w:val="none"/>
        </w:rPr>
      </w:pPr>
    </w:p>
    <w:p w14:paraId="48192E55">
      <w:pPr>
        <w:spacing w:line="240" w:lineRule="atLeast"/>
        <w:ind w:left="1080" w:leftChars="257" w:hanging="540"/>
        <w:jc w:val="center"/>
        <w:rPr>
          <w:rFonts w:hint="eastAsia" w:ascii="仿宋_GB2312" w:eastAsia="仿宋_GB2312"/>
          <w:b/>
          <w:color w:val="auto"/>
          <w:sz w:val="28"/>
          <w:highlight w:val="none"/>
        </w:rPr>
      </w:pPr>
    </w:p>
    <w:p w14:paraId="25D23F8F">
      <w:pPr>
        <w:spacing w:line="240" w:lineRule="atLeast"/>
        <w:ind w:left="1080" w:leftChars="257" w:hanging="540"/>
        <w:jc w:val="center"/>
        <w:outlineLvl w:val="0"/>
        <w:rPr>
          <w:rFonts w:hint="eastAsia" w:ascii="仿宋_GB2312" w:eastAsia="仿宋_GB2312"/>
          <w:b/>
          <w:color w:val="auto"/>
          <w:sz w:val="40"/>
          <w:szCs w:val="20"/>
          <w:highlight w:val="none"/>
          <w:lang w:eastAsia="zh-CN"/>
        </w:rPr>
      </w:pPr>
      <w:r>
        <w:rPr>
          <w:rFonts w:hint="eastAsia" w:ascii="仿宋_GB2312" w:eastAsia="仿宋_GB2312"/>
          <w:b/>
          <w:color w:val="auto"/>
          <w:sz w:val="36"/>
          <w:szCs w:val="36"/>
          <w:highlight w:val="none"/>
          <w:lang w:eastAsia="zh-CN"/>
        </w:rPr>
        <w:t>（</w:t>
      </w:r>
      <w:r>
        <w:rPr>
          <w:rFonts w:hint="eastAsia" w:ascii="仿宋_GB2312" w:eastAsia="仿宋_GB2312"/>
          <w:b/>
          <w:color w:val="auto"/>
          <w:sz w:val="36"/>
          <w:szCs w:val="36"/>
          <w:highlight w:val="none"/>
          <w:lang w:val="en-US" w:eastAsia="zh-CN"/>
        </w:rPr>
        <w:t>项目编号：XJFZYCG(CS)-2025-039</w:t>
      </w:r>
      <w:r>
        <w:rPr>
          <w:rFonts w:hint="eastAsia" w:ascii="仿宋_GB2312" w:eastAsia="仿宋_GB2312"/>
          <w:b/>
          <w:color w:val="auto"/>
          <w:sz w:val="36"/>
          <w:szCs w:val="36"/>
          <w:highlight w:val="none"/>
          <w:lang w:eastAsia="zh-CN"/>
        </w:rPr>
        <w:t>）</w:t>
      </w:r>
    </w:p>
    <w:p w14:paraId="7F5E1513">
      <w:pPr>
        <w:spacing w:line="240" w:lineRule="atLeast"/>
        <w:ind w:left="1080" w:leftChars="257" w:hanging="540"/>
        <w:rPr>
          <w:rFonts w:hint="eastAsia" w:ascii="仿宋_GB2312" w:eastAsia="仿宋_GB2312"/>
          <w:b/>
          <w:color w:val="auto"/>
          <w:sz w:val="28"/>
          <w:highlight w:val="none"/>
        </w:rPr>
      </w:pPr>
    </w:p>
    <w:p w14:paraId="086B87C2">
      <w:pPr>
        <w:spacing w:line="240" w:lineRule="atLeast"/>
        <w:ind w:left="1080" w:leftChars="257" w:hanging="540"/>
        <w:rPr>
          <w:rFonts w:hint="eastAsia" w:ascii="仿宋_GB2312" w:eastAsia="仿宋_GB2312"/>
          <w:b/>
          <w:color w:val="auto"/>
          <w:sz w:val="28"/>
          <w:highlight w:val="none"/>
        </w:rPr>
      </w:pPr>
    </w:p>
    <w:p w14:paraId="3EB20D66">
      <w:pPr>
        <w:spacing w:line="360" w:lineRule="auto"/>
        <w:ind w:firstLine="840" w:firstLineChars="299"/>
        <w:jc w:val="both"/>
        <w:outlineLvl w:val="0"/>
        <w:rPr>
          <w:rFonts w:hint="eastAsia" w:ascii="仿宋" w:hAnsi="仿宋" w:eastAsia="仿宋" w:cs="黑体"/>
          <w:b/>
          <w:bCs/>
          <w:color w:val="auto"/>
          <w:sz w:val="44"/>
          <w:szCs w:val="44"/>
          <w:highlight w:val="none"/>
        </w:rPr>
      </w:pPr>
      <w:r>
        <w:rPr>
          <w:rFonts w:hint="eastAsia" w:ascii="仿宋_GB2312" w:eastAsia="仿宋_GB2312"/>
          <w:b/>
          <w:color w:val="auto"/>
          <w:sz w:val="28"/>
          <w:highlight w:val="none"/>
          <w:lang w:val="en-US" w:eastAsia="zh-CN"/>
        </w:rPr>
        <w:t xml:space="preserve">                           </w:t>
      </w:r>
      <w:r>
        <w:rPr>
          <w:rFonts w:hint="eastAsia" w:ascii="仿宋" w:hAnsi="仿宋" w:eastAsia="仿宋" w:cs="黑体"/>
          <w:b/>
          <w:bCs/>
          <w:color w:val="auto"/>
          <w:sz w:val="44"/>
          <w:szCs w:val="44"/>
          <w:highlight w:val="none"/>
        </w:rPr>
        <w:t>第</w:t>
      </w:r>
      <w:r>
        <w:rPr>
          <w:rFonts w:hint="eastAsia" w:ascii="仿宋" w:hAnsi="仿宋" w:eastAsia="仿宋" w:cs="黑体"/>
          <w:b/>
          <w:bCs/>
          <w:color w:val="auto"/>
          <w:sz w:val="44"/>
          <w:szCs w:val="44"/>
          <w:highlight w:val="none"/>
          <w:lang w:val="en-US" w:eastAsia="zh-CN"/>
        </w:rPr>
        <w:t>二</w:t>
      </w:r>
      <w:r>
        <w:rPr>
          <w:rFonts w:hint="eastAsia" w:ascii="仿宋" w:hAnsi="仿宋" w:eastAsia="仿宋" w:cs="黑体"/>
          <w:b/>
          <w:bCs/>
          <w:color w:val="auto"/>
          <w:sz w:val="44"/>
          <w:szCs w:val="44"/>
          <w:highlight w:val="none"/>
        </w:rPr>
        <w:t>册</w:t>
      </w:r>
    </w:p>
    <w:p w14:paraId="277E664F">
      <w:pPr>
        <w:spacing w:line="240" w:lineRule="atLeast"/>
        <w:ind w:left="1080" w:leftChars="257" w:hanging="540"/>
        <w:rPr>
          <w:rFonts w:hint="default" w:ascii="仿宋_GB2312" w:eastAsia="仿宋_GB2312"/>
          <w:b/>
          <w:color w:val="auto"/>
          <w:sz w:val="28"/>
          <w:highlight w:val="none"/>
          <w:lang w:val="en-US" w:eastAsia="zh-CN"/>
        </w:rPr>
      </w:pPr>
    </w:p>
    <w:p w14:paraId="48F2A794">
      <w:pPr>
        <w:spacing w:line="240" w:lineRule="atLeast"/>
        <w:ind w:left="1080" w:leftChars="257" w:hanging="540"/>
        <w:jc w:val="center"/>
        <w:rPr>
          <w:rFonts w:hint="eastAsia" w:ascii="仿宋_GB2312" w:eastAsia="仿宋_GB2312"/>
          <w:b/>
          <w:color w:val="auto"/>
          <w:sz w:val="52"/>
          <w:highlight w:val="none"/>
        </w:rPr>
      </w:pPr>
    </w:p>
    <w:p w14:paraId="4EEE69F1">
      <w:pPr>
        <w:spacing w:line="240" w:lineRule="atLeast"/>
        <w:ind w:left="1080" w:leftChars="257" w:hanging="540"/>
        <w:jc w:val="center"/>
        <w:rPr>
          <w:rFonts w:hint="eastAsia" w:ascii="仿宋_GB2312" w:eastAsia="仿宋_GB2312"/>
          <w:b/>
          <w:color w:val="auto"/>
          <w:sz w:val="52"/>
          <w:highlight w:val="none"/>
        </w:rPr>
      </w:pPr>
    </w:p>
    <w:p w14:paraId="416312A3">
      <w:pPr>
        <w:spacing w:line="240" w:lineRule="atLeast"/>
        <w:ind w:left="1080" w:leftChars="257" w:hanging="540"/>
        <w:jc w:val="center"/>
        <w:rPr>
          <w:rFonts w:hint="eastAsia" w:ascii="仿宋_GB2312" w:eastAsia="仿宋_GB2312"/>
          <w:b/>
          <w:color w:val="auto"/>
          <w:sz w:val="52"/>
          <w:highlight w:val="none"/>
        </w:rPr>
      </w:pPr>
    </w:p>
    <w:p w14:paraId="55685F0E">
      <w:pPr>
        <w:spacing w:line="240" w:lineRule="atLeast"/>
        <w:ind w:left="1080" w:leftChars="257" w:hanging="540"/>
        <w:jc w:val="center"/>
        <w:rPr>
          <w:rFonts w:hint="eastAsia" w:ascii="仿宋_GB2312" w:eastAsia="仿宋_GB2312"/>
          <w:b/>
          <w:color w:val="auto"/>
          <w:sz w:val="52"/>
          <w:highlight w:val="none"/>
        </w:rPr>
      </w:pPr>
    </w:p>
    <w:p w14:paraId="1995CDE3">
      <w:pPr>
        <w:pStyle w:val="2"/>
        <w:numPr>
          <w:ilvl w:val="0"/>
          <w:numId w:val="0"/>
        </w:numPr>
        <w:tabs>
          <w:tab w:val="left" w:pos="0"/>
        </w:tabs>
        <w:spacing w:before="0" w:after="0" w:line="240" w:lineRule="atLeast"/>
        <w:ind w:leftChars="0"/>
        <w:jc w:val="center"/>
        <w:rPr>
          <w:rFonts w:hint="eastAsia" w:ascii="仿宋_GB2312" w:eastAsia="仿宋_GB2312"/>
          <w:color w:val="auto"/>
          <w:highlight w:val="none"/>
          <w:lang w:eastAsia="zh-CN"/>
        </w:rPr>
      </w:pPr>
      <w:r>
        <w:rPr>
          <w:rFonts w:ascii="仿宋_GB2312" w:eastAsia="仿宋_GB2312"/>
          <w:b w:val="0"/>
          <w:color w:val="auto"/>
          <w:sz w:val="52"/>
          <w:highlight w:val="none"/>
        </w:rPr>
        <w:br w:type="page"/>
      </w:r>
      <w:bookmarkStart w:id="399" w:name="_Toc27516"/>
      <w:bookmarkStart w:id="400" w:name="_Toc31720"/>
      <w:bookmarkStart w:id="401" w:name="_Toc216582822"/>
      <w:bookmarkStart w:id="402" w:name="_Toc507399902"/>
      <w:bookmarkStart w:id="403" w:name="_Toc518923124"/>
      <w:bookmarkStart w:id="404" w:name="_Toc17644"/>
      <w:bookmarkStart w:id="405" w:name="_Toc219175634"/>
      <w:bookmarkStart w:id="406" w:name="_Toc2411"/>
      <w:bookmarkStart w:id="407" w:name="_Toc7962"/>
      <w:bookmarkStart w:id="408" w:name="_Toc218935350"/>
      <w:bookmarkStart w:id="409" w:name="_Toc31523"/>
      <w:r>
        <w:rPr>
          <w:rFonts w:hint="eastAsia" w:ascii="仿宋_GB2312" w:eastAsia="仿宋_GB2312"/>
          <w:color w:val="auto"/>
          <w:highlight w:val="none"/>
          <w:lang w:val="en-US" w:eastAsia="zh-CN"/>
        </w:rPr>
        <w:t>第三章</w:t>
      </w:r>
      <w:bookmarkEnd w:id="399"/>
      <w:bookmarkEnd w:id="400"/>
      <w:bookmarkEnd w:id="401"/>
      <w:bookmarkEnd w:id="402"/>
      <w:bookmarkEnd w:id="403"/>
      <w:bookmarkEnd w:id="404"/>
      <w:bookmarkEnd w:id="405"/>
      <w:bookmarkEnd w:id="406"/>
      <w:bookmarkEnd w:id="407"/>
      <w:bookmarkEnd w:id="408"/>
      <w:bookmarkEnd w:id="409"/>
      <w:r>
        <w:rPr>
          <w:rFonts w:hint="eastAsia" w:ascii="仿宋_GB2312" w:eastAsia="仿宋_GB2312"/>
          <w:color w:val="auto"/>
          <w:highlight w:val="none"/>
          <w:lang w:val="en-US" w:eastAsia="zh-CN"/>
        </w:rPr>
        <w:t>公告</w:t>
      </w:r>
    </w:p>
    <w:p w14:paraId="7E3AF633">
      <w:pPr>
        <w:rPr>
          <w:rFonts w:hint="eastAsia"/>
          <w:color w:val="auto"/>
          <w:highlight w:val="none"/>
        </w:rPr>
      </w:pPr>
    </w:p>
    <w:p w14:paraId="3F071F9D">
      <w:pPr>
        <w:ind w:firstLine="480"/>
        <w:jc w:val="center"/>
        <w:outlineLvl w:val="1"/>
        <w:rPr>
          <w:rFonts w:hint="default" w:eastAsia="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喀什地区疾病预防控制中心（喀什地区卫生监督所）采购档案数字化服务</w:t>
      </w:r>
      <w:r>
        <w:rPr>
          <w:rFonts w:hint="eastAsia" w:ascii="仿宋" w:hAnsi="仿宋" w:eastAsia="仿宋" w:cs="仿宋"/>
          <w:b/>
          <w:bCs/>
          <w:color w:val="auto"/>
          <w:sz w:val="32"/>
          <w:szCs w:val="32"/>
          <w:highlight w:val="none"/>
          <w:lang w:val="en-US" w:eastAsia="zh-CN"/>
        </w:rPr>
        <w:t>磋商公告</w:t>
      </w:r>
    </w:p>
    <w:p w14:paraId="3F458B2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left="0" w:leftChars="0" w:firstLine="0" w:firstLineChars="0"/>
        <w:textAlignment w:val="auto"/>
        <w:outlineLvl w:val="9"/>
        <w:rPr>
          <w:rFonts w:ascii="仿宋" w:hAnsi="仿宋" w:eastAsia="仿宋"/>
          <w:color w:val="auto"/>
          <w:sz w:val="24"/>
          <w:szCs w:val="24"/>
          <w:highlight w:val="none"/>
        </w:rPr>
      </w:pPr>
      <w:bookmarkStart w:id="410" w:name="_Toc19310"/>
      <w:bookmarkStart w:id="411" w:name="_Toc2010"/>
      <w:r>
        <w:rPr>
          <w:rFonts w:hint="eastAsia" w:ascii="仿宋" w:hAnsi="仿宋" w:eastAsia="仿宋"/>
          <w:color w:val="auto"/>
          <w:sz w:val="24"/>
          <w:szCs w:val="24"/>
          <w:highlight w:val="none"/>
        </w:rPr>
        <w:t>项目概况</w:t>
      </w:r>
    </w:p>
    <w:p w14:paraId="5A3354C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outlineLvl w:val="9"/>
        <w:rPr>
          <w:rFonts w:ascii="仿宋" w:hAnsi="仿宋" w:eastAsia="仿宋"/>
          <w:color w:val="000000"/>
          <w:sz w:val="28"/>
          <w:szCs w:val="28"/>
          <w:highlight w:val="none"/>
          <w:u w:val="none"/>
        </w:rPr>
      </w:pPr>
      <w:r>
        <w:rPr>
          <w:rFonts w:hint="eastAsia" w:ascii="仿宋" w:hAnsi="仿宋" w:eastAsia="仿宋"/>
          <w:color w:val="auto"/>
          <w:sz w:val="24"/>
          <w:szCs w:val="24"/>
          <w:highlight w:val="none"/>
          <w:u w:val="none"/>
          <w:lang w:eastAsia="zh-CN"/>
        </w:rPr>
        <w:t>喀什地区疾病预防控制中心（喀什地区卫生监督所）采购档案数字化服务采购项目的潜在供应商应在政采云平台线上获取采购文件，并于</w:t>
      </w:r>
      <w:r>
        <w:rPr>
          <w:rFonts w:hint="eastAsia" w:ascii="仿宋" w:hAnsi="仿宋" w:eastAsia="仿宋"/>
          <w:color w:val="auto"/>
          <w:sz w:val="24"/>
          <w:szCs w:val="24"/>
          <w:highlight w:val="none"/>
          <w:u w:val="none"/>
          <w:lang w:val="en-US" w:eastAsia="zh-CN"/>
        </w:rPr>
        <w:t>2025</w:t>
      </w:r>
      <w:r>
        <w:rPr>
          <w:rFonts w:hint="eastAsia" w:ascii="仿宋" w:hAnsi="仿宋" w:eastAsia="仿宋"/>
          <w:color w:val="auto"/>
          <w:sz w:val="24"/>
          <w:szCs w:val="24"/>
          <w:highlight w:val="none"/>
          <w:u w:val="none"/>
          <w:lang w:eastAsia="zh-CN"/>
        </w:rPr>
        <w:t>年</w:t>
      </w:r>
      <w:r>
        <w:rPr>
          <w:rFonts w:hint="eastAsia" w:ascii="仿宋" w:hAnsi="仿宋" w:eastAsia="仿宋"/>
          <w:color w:val="auto"/>
          <w:sz w:val="24"/>
          <w:szCs w:val="24"/>
          <w:highlight w:val="none"/>
          <w:u w:val="none"/>
          <w:lang w:val="en-US" w:eastAsia="zh-CN"/>
        </w:rPr>
        <w:t>07</w:t>
      </w:r>
      <w:r>
        <w:rPr>
          <w:rFonts w:hint="eastAsia" w:ascii="仿宋" w:hAnsi="仿宋" w:eastAsia="仿宋"/>
          <w:color w:val="auto"/>
          <w:sz w:val="24"/>
          <w:szCs w:val="24"/>
          <w:highlight w:val="none"/>
          <w:u w:val="none"/>
          <w:lang w:eastAsia="zh-CN"/>
        </w:rPr>
        <w:t>月</w:t>
      </w:r>
      <w:r>
        <w:rPr>
          <w:rFonts w:hint="eastAsia" w:ascii="仿宋" w:hAnsi="仿宋" w:eastAsia="仿宋"/>
          <w:color w:val="auto"/>
          <w:sz w:val="24"/>
          <w:szCs w:val="24"/>
          <w:highlight w:val="none"/>
          <w:u w:val="none"/>
          <w:lang w:val="en-US" w:eastAsia="zh-CN"/>
        </w:rPr>
        <w:t>15</w:t>
      </w:r>
      <w:r>
        <w:rPr>
          <w:rFonts w:hint="eastAsia" w:ascii="仿宋" w:hAnsi="仿宋" w:eastAsia="仿宋"/>
          <w:color w:val="auto"/>
          <w:sz w:val="24"/>
          <w:szCs w:val="24"/>
          <w:highlight w:val="none"/>
          <w:u w:val="none"/>
          <w:lang w:eastAsia="zh-CN"/>
        </w:rPr>
        <w:t>日 11:00（北京时间）前提交响应文件。</w:t>
      </w:r>
    </w:p>
    <w:p w14:paraId="1CBA2815">
      <w:pPr>
        <w:keepNext w:val="0"/>
        <w:keepLines w:val="0"/>
        <w:pageBreakBefore w:val="0"/>
        <w:kinsoku/>
        <w:wordWrap/>
        <w:overflowPunct/>
        <w:topLinePunct w:val="0"/>
        <w:autoSpaceDE/>
        <w:autoSpaceDN/>
        <w:bidi w:val="0"/>
        <w:adjustRightInd/>
        <w:snapToGrid/>
        <w:spacing w:line="380" w:lineRule="exact"/>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一、项目基本情况</w:t>
      </w:r>
      <w:bookmarkEnd w:id="410"/>
      <w:bookmarkEnd w:id="411"/>
    </w:p>
    <w:p w14:paraId="48F3A487">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XJFZYCG(CS)-2025-039</w:t>
      </w:r>
    </w:p>
    <w:p w14:paraId="5B3537D3">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喀什地区疾病预防控制中心（喀什地区卫生监督所）采购档案数字化服务</w:t>
      </w:r>
      <w:r>
        <w:rPr>
          <w:rFonts w:hint="eastAsia" w:ascii="仿宋" w:hAnsi="仿宋" w:eastAsia="仿宋" w:cs="仿宋"/>
          <w:color w:val="000000"/>
          <w:sz w:val="24"/>
          <w:szCs w:val="24"/>
          <w:highlight w:val="none"/>
        </w:rPr>
        <w:t> </w:t>
      </w:r>
    </w:p>
    <w:p w14:paraId="1A5D0276">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采购方式：</w:t>
      </w:r>
      <w:r>
        <w:rPr>
          <w:rFonts w:hint="eastAsia" w:ascii="仿宋" w:hAnsi="仿宋" w:eastAsia="仿宋" w:cs="仿宋"/>
          <w:color w:val="000000"/>
          <w:sz w:val="24"/>
          <w:szCs w:val="24"/>
          <w:highlight w:val="none"/>
          <w:lang w:val="en-US" w:eastAsia="zh-CN"/>
        </w:rPr>
        <w:t>竞争性磋商</w:t>
      </w:r>
    </w:p>
    <w:p w14:paraId="6EA716FF">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200000.00</w:t>
      </w:r>
    </w:p>
    <w:p w14:paraId="3154917C">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最高限价（元）：</w:t>
      </w:r>
      <w:r>
        <w:rPr>
          <w:rFonts w:hint="eastAsia" w:ascii="仿宋" w:hAnsi="仿宋" w:eastAsia="仿宋" w:cs="仿宋"/>
          <w:color w:val="auto"/>
          <w:sz w:val="24"/>
          <w:szCs w:val="24"/>
          <w:highlight w:val="none"/>
          <w:lang w:val="en-US" w:eastAsia="zh-CN"/>
        </w:rPr>
        <w:t>200000.00</w:t>
      </w:r>
    </w:p>
    <w:p w14:paraId="46FED44F">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采购需求：</w:t>
      </w:r>
      <w:r>
        <w:rPr>
          <w:rFonts w:hint="eastAsia" w:ascii="仿宋" w:hAnsi="仿宋" w:eastAsia="仿宋" w:cs="仿宋"/>
          <w:color w:val="000000"/>
          <w:sz w:val="24"/>
          <w:szCs w:val="24"/>
          <w:highlight w:val="none"/>
          <w:lang w:eastAsia="zh-CN"/>
        </w:rPr>
        <w:t>喀什地区疾病预防控制中心（喀什地区卫生监督所）</w:t>
      </w:r>
      <w:r>
        <w:rPr>
          <w:rFonts w:hint="eastAsia" w:ascii="仿宋" w:hAnsi="仿宋" w:eastAsia="仿宋" w:cs="仿宋"/>
          <w:color w:val="000000"/>
          <w:sz w:val="24"/>
          <w:szCs w:val="24"/>
          <w:highlight w:val="none"/>
          <w:lang w:val="en-US" w:eastAsia="zh-CN"/>
        </w:rPr>
        <w:t>数字化建设服务。</w:t>
      </w:r>
    </w:p>
    <w:p w14:paraId="15B303F3">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jc w:val="left"/>
        <w:textAlignment w:val="auto"/>
        <w:outlineLvl w:val="9"/>
        <w:rPr>
          <w:rFonts w:hint="default" w:ascii="仿宋" w:hAnsi="仿宋" w:eastAsia="仿宋" w:cs="仿宋"/>
          <w:b/>
          <w:bCs/>
          <w:color w:val="000000"/>
          <w:sz w:val="24"/>
          <w:szCs w:val="24"/>
          <w:highlight w:val="none"/>
          <w:lang w:val="en-US"/>
        </w:rPr>
      </w:pPr>
      <w:r>
        <w:rPr>
          <w:rFonts w:hint="eastAsia" w:ascii="仿宋" w:hAnsi="仿宋" w:eastAsia="仿宋" w:cs="仿宋"/>
          <w:b/>
          <w:bCs/>
          <w:color w:val="000000"/>
          <w:sz w:val="24"/>
          <w:szCs w:val="24"/>
          <w:highlight w:val="none"/>
        </w:rPr>
        <w:t>合同履行期限：</w:t>
      </w:r>
      <w:r>
        <w:rPr>
          <w:rFonts w:hint="eastAsia" w:ascii="仿宋" w:hAnsi="仿宋" w:eastAsia="仿宋" w:cs="仿宋"/>
          <w:b/>
          <w:bCs/>
          <w:color w:val="000000"/>
          <w:sz w:val="24"/>
          <w:szCs w:val="24"/>
          <w:highlight w:val="none"/>
          <w:lang w:val="en-US" w:eastAsia="zh-CN"/>
        </w:rPr>
        <w:t>具体以双方签订合同为准</w:t>
      </w:r>
    </w:p>
    <w:p w14:paraId="39AEB6DD">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jc w:val="left"/>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本项目</w:t>
      </w:r>
      <w:r>
        <w:rPr>
          <w:rFonts w:hint="eastAsia" w:ascii="仿宋" w:hAnsi="仿宋" w:eastAsia="仿宋" w:cs="仿宋"/>
          <w:b/>
          <w:bCs/>
          <w:color w:val="000000"/>
          <w:sz w:val="24"/>
          <w:szCs w:val="24"/>
          <w:highlight w:val="none"/>
          <w:lang w:val="en-US" w:eastAsia="zh-CN"/>
        </w:rPr>
        <w:t>不</w:t>
      </w:r>
      <w:r>
        <w:rPr>
          <w:rFonts w:hint="eastAsia" w:ascii="仿宋" w:hAnsi="仿宋" w:eastAsia="仿宋" w:cs="仿宋"/>
          <w:b/>
          <w:bCs/>
          <w:color w:val="000000"/>
          <w:sz w:val="24"/>
          <w:szCs w:val="24"/>
          <w:highlight w:val="none"/>
        </w:rPr>
        <w:t>接受联合体投标。</w:t>
      </w:r>
    </w:p>
    <w:p w14:paraId="54FBB574">
      <w:pPr>
        <w:keepNext w:val="0"/>
        <w:keepLines w:val="0"/>
        <w:pageBreakBefore w:val="0"/>
        <w:kinsoku/>
        <w:wordWrap/>
        <w:overflowPunct/>
        <w:topLinePunct w:val="0"/>
        <w:autoSpaceDE/>
        <w:autoSpaceDN/>
        <w:bidi w:val="0"/>
        <w:adjustRightInd/>
        <w:snapToGrid/>
        <w:spacing w:line="380" w:lineRule="exact"/>
        <w:jc w:val="left"/>
        <w:textAlignment w:val="auto"/>
        <w:outlineLvl w:val="1"/>
        <w:rPr>
          <w:rFonts w:hint="eastAsia" w:ascii="仿宋" w:hAnsi="仿宋" w:eastAsia="仿宋" w:cs="仿宋"/>
          <w:b/>
          <w:bCs/>
          <w:color w:val="000000"/>
          <w:sz w:val="24"/>
          <w:szCs w:val="24"/>
          <w:highlight w:val="none"/>
        </w:rPr>
      </w:pPr>
      <w:bookmarkStart w:id="412" w:name="_Toc4622"/>
      <w:bookmarkStart w:id="413" w:name="_Toc28627"/>
      <w:r>
        <w:rPr>
          <w:rFonts w:hint="eastAsia" w:ascii="仿宋" w:hAnsi="仿宋" w:eastAsia="仿宋" w:cs="仿宋"/>
          <w:b/>
          <w:bCs/>
          <w:color w:val="000000"/>
          <w:sz w:val="24"/>
          <w:szCs w:val="24"/>
          <w:highlight w:val="none"/>
        </w:rPr>
        <w:t>二、申请人的资格要求：</w:t>
      </w:r>
      <w:bookmarkEnd w:id="412"/>
      <w:bookmarkEnd w:id="413"/>
    </w:p>
    <w:p w14:paraId="553AE12E">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1"/>
        <w:rPr>
          <w:rFonts w:hint="eastAsia" w:ascii="仿宋" w:hAnsi="仿宋" w:eastAsia="仿宋" w:cs="仿宋"/>
          <w:color w:val="000000"/>
          <w:kern w:val="2"/>
          <w:sz w:val="24"/>
          <w:szCs w:val="24"/>
          <w:highlight w:val="none"/>
          <w:lang w:val="en-US" w:eastAsia="zh-CN" w:bidi="ar-SA"/>
        </w:rPr>
      </w:pPr>
      <w:bookmarkStart w:id="414" w:name="_Toc2601"/>
      <w:bookmarkStart w:id="415" w:name="_Toc2100"/>
      <w:r>
        <w:rPr>
          <w:rFonts w:hint="eastAsia" w:ascii="仿宋" w:hAnsi="仿宋" w:eastAsia="仿宋" w:cs="仿宋"/>
          <w:color w:val="000000"/>
          <w:kern w:val="2"/>
          <w:sz w:val="24"/>
          <w:szCs w:val="24"/>
          <w:highlight w:val="none"/>
          <w:lang w:val="en-US" w:eastAsia="zh-CN" w:bidi="ar-SA"/>
        </w:rPr>
        <w:t>1.满足《中华人民共和国政府采购法》第二十二条规定；</w:t>
      </w:r>
      <w:bookmarkEnd w:id="414"/>
      <w:bookmarkEnd w:id="415"/>
    </w:p>
    <w:p w14:paraId="23454552">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1"/>
        <w:rPr>
          <w:rFonts w:hint="eastAsia" w:ascii="仿宋" w:hAnsi="仿宋" w:eastAsia="仿宋" w:cs="仿宋"/>
          <w:color w:val="000000"/>
          <w:kern w:val="2"/>
          <w:sz w:val="24"/>
          <w:szCs w:val="24"/>
          <w:highlight w:val="none"/>
          <w:lang w:val="en-US" w:eastAsia="zh-CN" w:bidi="ar-SA"/>
        </w:rPr>
      </w:pPr>
      <w:bookmarkStart w:id="416" w:name="_Toc27542"/>
      <w:bookmarkStart w:id="417" w:name="_Toc16479"/>
      <w:r>
        <w:rPr>
          <w:rFonts w:hint="eastAsia" w:ascii="仿宋" w:hAnsi="仿宋" w:eastAsia="仿宋" w:cs="仿宋"/>
          <w:color w:val="000000"/>
          <w:kern w:val="2"/>
          <w:sz w:val="24"/>
          <w:szCs w:val="24"/>
          <w:highlight w:val="none"/>
          <w:lang w:val="en-US" w:eastAsia="zh-CN" w:bidi="ar-SA"/>
        </w:rPr>
        <w:t>2.落实政府采购政策需满足的资格要求：</w:t>
      </w:r>
      <w:r>
        <w:rPr>
          <w:rFonts w:hint="eastAsia" w:ascii="仿宋" w:hAnsi="仿宋" w:eastAsia="仿宋" w:cs="宋体"/>
          <w:color w:val="auto"/>
          <w:kern w:val="0"/>
          <w:sz w:val="24"/>
          <w:szCs w:val="24"/>
          <w:lang w:val="en-US" w:eastAsia="zh-CN" w:bidi="ar-SA"/>
        </w:rPr>
        <w:t>本项目专门面向中小企业</w:t>
      </w:r>
      <w:r>
        <w:rPr>
          <w:rFonts w:hint="eastAsia" w:ascii="仿宋" w:hAnsi="仿宋" w:eastAsia="仿宋" w:cs="仿宋"/>
          <w:color w:val="000000"/>
          <w:kern w:val="2"/>
          <w:sz w:val="24"/>
          <w:szCs w:val="24"/>
          <w:highlight w:val="none"/>
          <w:lang w:val="en-US" w:eastAsia="zh-CN" w:bidi="ar-SA"/>
        </w:rPr>
        <w:t>；</w:t>
      </w:r>
      <w:bookmarkEnd w:id="416"/>
      <w:bookmarkEnd w:id="417"/>
    </w:p>
    <w:p w14:paraId="6347C018">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1"/>
        <w:rPr>
          <w:rFonts w:hint="default"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bookmarkStart w:id="418" w:name="_Toc7674"/>
      <w:bookmarkStart w:id="419" w:name="_Toc111"/>
      <w:r>
        <w:rPr>
          <w:rFonts w:hint="eastAsia" w:ascii="仿宋" w:hAnsi="仿宋" w:eastAsia="仿宋" w:cs="仿宋"/>
          <w:color w:val="000000"/>
          <w:kern w:val="2"/>
          <w:sz w:val="24"/>
          <w:szCs w:val="24"/>
          <w:highlight w:val="none"/>
          <w:lang w:val="en-US" w:eastAsia="zh-CN" w:bidi="ar-SA"/>
        </w:rPr>
        <w:t>3.本</w:t>
      </w:r>
      <w:r>
        <w:rPr>
          <w:rFonts w:hint="eastAsia" w:ascii="仿宋" w:hAnsi="仿宋" w:eastAsia="仿宋" w:cs="仿宋"/>
          <w:b w:val="0"/>
          <w:bCs w:val="0"/>
          <w:color w:val="000000"/>
          <w:kern w:val="2"/>
          <w:sz w:val="24"/>
          <w:szCs w:val="24"/>
          <w:highlight w:val="none"/>
          <w:lang w:val="en-US" w:eastAsia="zh-CN" w:bidi="ar-SA"/>
        </w:rPr>
        <w:t>项目的特定资</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格要求：</w:t>
      </w:r>
      <w:bookmarkEnd w:id="418"/>
      <w:bookmarkEnd w:id="419"/>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无</w:t>
      </w:r>
    </w:p>
    <w:p w14:paraId="5CAAFEB8">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center"/>
        <w:outlineLvl w:val="9"/>
        <w:rPr>
          <w:rFonts w:hint="eastAsia" w:ascii="仿宋" w:hAnsi="仿宋" w:eastAsia="仿宋" w:cs="仿宋"/>
          <w:b w:val="0"/>
          <w:bCs w:val="0"/>
          <w:color w:val="000000"/>
          <w:sz w:val="24"/>
          <w:szCs w:val="24"/>
          <w:highlight w:val="none"/>
        </w:rPr>
      </w:pPr>
      <w:bookmarkStart w:id="420" w:name="_Toc4333"/>
      <w:bookmarkStart w:id="421" w:name="_Toc31134"/>
      <w:r>
        <w:rPr>
          <w:rFonts w:hint="eastAsia" w:ascii="仿宋" w:hAnsi="仿宋" w:eastAsia="仿宋" w:cs="仿宋"/>
          <w:b w:val="0"/>
          <w:bCs w:val="0"/>
          <w:color w:val="000000"/>
          <w:sz w:val="24"/>
          <w:szCs w:val="24"/>
          <w:highlight w:val="none"/>
        </w:rPr>
        <w:t>时间：202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07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04</w:t>
      </w:r>
      <w:r>
        <w:rPr>
          <w:rFonts w:hint="eastAsia" w:ascii="仿宋" w:hAnsi="仿宋" w:eastAsia="仿宋" w:cs="仿宋"/>
          <w:b w:val="0"/>
          <w:bCs w:val="0"/>
          <w:color w:val="000000"/>
          <w:sz w:val="24"/>
          <w:szCs w:val="24"/>
          <w:highlight w:val="none"/>
        </w:rPr>
        <w:t>日至202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07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14</w:t>
      </w:r>
      <w:r>
        <w:rPr>
          <w:rFonts w:hint="eastAsia" w:ascii="仿宋" w:hAnsi="仿宋" w:eastAsia="仿宋" w:cs="仿宋"/>
          <w:b w:val="0"/>
          <w:bCs w:val="0"/>
          <w:color w:val="000000"/>
          <w:sz w:val="24"/>
          <w:szCs w:val="24"/>
          <w:highlight w:val="none"/>
        </w:rPr>
        <w:t>日，每天上午00:00至1</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:00，下午1</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:00至23:59（北京时间，法定节假日除外）</w:t>
      </w:r>
    </w:p>
    <w:p w14:paraId="0CE00940">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center"/>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 xml:space="preserve"> 地点：政采云平台线上</w:t>
      </w:r>
    </w:p>
    <w:p w14:paraId="3A951FFE">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9EB9819">
      <w:pPr>
        <w:keepNext w:val="0"/>
        <w:keepLines w:val="0"/>
        <w:pageBreakBefore w:val="0"/>
        <w:kinsoku/>
        <w:wordWrap/>
        <w:overflowPunct/>
        <w:topLinePunct w:val="0"/>
        <w:autoSpaceDE/>
        <w:autoSpaceDN/>
        <w:bidi w:val="0"/>
        <w:snapToGrid/>
        <w:spacing w:line="380" w:lineRule="exact"/>
        <w:ind w:left="0" w:leftChars="0" w:firstLine="547" w:firstLineChars="228"/>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 xml:space="preserve"> 售价（元）： </w:t>
      </w:r>
      <w:r>
        <w:rPr>
          <w:rFonts w:hint="eastAsia" w:ascii="仿宋" w:hAnsi="仿宋" w:eastAsia="仿宋" w:cs="仿宋"/>
          <w:color w:val="000000"/>
          <w:sz w:val="24"/>
          <w:szCs w:val="24"/>
          <w:highlight w:val="none"/>
          <w:lang w:val="en-US" w:eastAsia="zh-CN"/>
        </w:rPr>
        <w:t>0</w:t>
      </w:r>
    </w:p>
    <w:p w14:paraId="0B55BB42">
      <w:pPr>
        <w:keepNext w:val="0"/>
        <w:keepLines w:val="0"/>
        <w:pageBreakBefore w:val="0"/>
        <w:numPr>
          <w:ilvl w:val="0"/>
          <w:numId w:val="6"/>
        </w:numPr>
        <w:kinsoku/>
        <w:wordWrap/>
        <w:overflowPunct/>
        <w:topLinePunct w:val="0"/>
        <w:autoSpaceDE/>
        <w:autoSpaceDN/>
        <w:bidi w:val="0"/>
        <w:spacing w:line="380" w:lineRule="exact"/>
        <w:jc w:val="left"/>
        <w:textAlignment w:val="auto"/>
        <w:outlineLvl w:val="1"/>
        <w:rPr>
          <w:rFonts w:hint="eastAsia" w:ascii="仿宋" w:hAnsi="仿宋" w:eastAsia="仿宋" w:cs="仿宋"/>
          <w:b/>
          <w:bCs/>
          <w:color w:val="000000"/>
          <w:sz w:val="24"/>
          <w:szCs w:val="24"/>
          <w:highlight w:val="none"/>
          <w:u w:val="single"/>
        </w:rPr>
      </w:pPr>
      <w:r>
        <w:rPr>
          <w:rFonts w:hint="eastAsia" w:ascii="仿宋" w:hAnsi="仿宋" w:eastAsia="仿宋" w:cs="仿宋"/>
          <w:b/>
          <w:bCs/>
          <w:color w:val="000000"/>
          <w:sz w:val="24"/>
          <w:szCs w:val="24"/>
          <w:highlight w:val="none"/>
        </w:rPr>
        <w:t>提交</w:t>
      </w:r>
      <w:r>
        <w:rPr>
          <w:rFonts w:hint="eastAsia" w:ascii="仿宋" w:hAnsi="仿宋" w:eastAsia="仿宋" w:cs="仿宋"/>
          <w:b/>
          <w:bCs/>
          <w:color w:val="000000"/>
          <w:sz w:val="24"/>
          <w:szCs w:val="24"/>
          <w:highlight w:val="none"/>
          <w:lang w:eastAsia="zh-CN"/>
        </w:rPr>
        <w:t>响应</w:t>
      </w:r>
      <w:r>
        <w:rPr>
          <w:rFonts w:hint="eastAsia" w:ascii="仿宋" w:hAnsi="仿宋" w:eastAsia="仿宋" w:cs="仿宋"/>
          <w:b/>
          <w:bCs/>
          <w:color w:val="000000"/>
          <w:sz w:val="24"/>
          <w:szCs w:val="24"/>
          <w:highlight w:val="none"/>
        </w:rPr>
        <w:t>文件截止时间、开标时间和地点</w:t>
      </w:r>
      <w:bookmarkEnd w:id="420"/>
      <w:bookmarkEnd w:id="421"/>
    </w:p>
    <w:p w14:paraId="106DCBE3">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bCs/>
          <w:color w:val="000000"/>
          <w:sz w:val="24"/>
          <w:szCs w:val="24"/>
          <w:highlight w:val="none"/>
          <w:u w:val="single"/>
        </w:rPr>
      </w:pPr>
      <w:r>
        <w:rPr>
          <w:rFonts w:hint="eastAsia" w:ascii="仿宋" w:hAnsi="仿宋" w:eastAsia="仿宋" w:cs="仿宋"/>
          <w:bCs/>
          <w:color w:val="000000"/>
          <w:sz w:val="24"/>
          <w:szCs w:val="24"/>
          <w:highlight w:val="none"/>
          <w:u w:val="none"/>
          <w:lang w:val="en-US" w:eastAsia="zh-CN"/>
        </w:rPr>
        <w:t>时间：</w:t>
      </w:r>
      <w:r>
        <w:rPr>
          <w:rFonts w:hint="eastAsia" w:ascii="仿宋" w:hAnsi="仿宋" w:eastAsia="仿宋" w:cs="仿宋"/>
          <w:bCs/>
          <w:color w:val="000000"/>
          <w:sz w:val="24"/>
          <w:szCs w:val="24"/>
          <w:highlight w:val="none"/>
          <w:u w:val="single"/>
          <w:lang w:val="en-US" w:eastAsia="zh-CN"/>
        </w:rPr>
        <w:t>2025年</w:t>
      </w:r>
      <w:r>
        <w:rPr>
          <w:rFonts w:hint="eastAsia" w:ascii="仿宋" w:hAnsi="仿宋" w:eastAsia="仿宋" w:cs="仿宋"/>
          <w:color w:val="000000"/>
          <w:sz w:val="24"/>
          <w:szCs w:val="24"/>
          <w:highlight w:val="none"/>
          <w:u w:val="single"/>
          <w:lang w:val="en-US" w:eastAsia="zh-CN"/>
        </w:rPr>
        <w:t>07</w:t>
      </w:r>
      <w:r>
        <w:rPr>
          <w:rFonts w:hint="eastAsia" w:ascii="仿宋" w:hAnsi="仿宋" w:eastAsia="仿宋" w:cs="仿宋"/>
          <w:bCs/>
          <w:color w:val="000000"/>
          <w:sz w:val="24"/>
          <w:szCs w:val="24"/>
          <w:highlight w:val="none"/>
          <w:u w:val="single"/>
          <w:lang w:val="en-US" w:eastAsia="zh-CN"/>
        </w:rPr>
        <w:t>月15日</w:t>
      </w:r>
      <w:r>
        <w:rPr>
          <w:rFonts w:hint="eastAsia" w:ascii="仿宋" w:hAnsi="仿宋" w:eastAsia="仿宋" w:cs="仿宋"/>
          <w:bCs/>
          <w:color w:val="C9091E"/>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000000"/>
          <w:sz w:val="24"/>
          <w:szCs w:val="24"/>
          <w:highlight w:val="none"/>
        </w:rPr>
        <w:t>（北京时间）</w:t>
      </w:r>
    </w:p>
    <w:p w14:paraId="3F9BB2C9">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地点：（https://www.zcygov.cn在线投标）</w:t>
      </w:r>
    </w:p>
    <w:p w14:paraId="4F23B09E">
      <w:pPr>
        <w:keepNext w:val="0"/>
        <w:keepLines w:val="0"/>
        <w:pageBreakBefore w:val="0"/>
        <w:kinsoku/>
        <w:wordWrap/>
        <w:overflowPunct/>
        <w:topLinePunct w:val="0"/>
        <w:autoSpaceDE/>
        <w:autoSpaceDN/>
        <w:bidi w:val="0"/>
        <w:spacing w:line="380" w:lineRule="exact"/>
        <w:jc w:val="left"/>
        <w:textAlignment w:val="auto"/>
        <w:outlineLvl w:val="1"/>
        <w:rPr>
          <w:rFonts w:hint="eastAsia" w:ascii="仿宋" w:hAnsi="仿宋" w:eastAsia="仿宋" w:cs="仿宋"/>
          <w:b/>
          <w:bCs/>
          <w:color w:val="auto"/>
          <w:sz w:val="24"/>
          <w:szCs w:val="24"/>
          <w:highlight w:val="none"/>
        </w:rPr>
      </w:pPr>
      <w:bookmarkStart w:id="422" w:name="_Toc12259"/>
      <w:bookmarkStart w:id="423" w:name="_Toc19004"/>
      <w:r>
        <w:rPr>
          <w:rFonts w:hint="eastAsia" w:ascii="仿宋" w:hAnsi="仿宋" w:eastAsia="仿宋" w:cs="仿宋"/>
          <w:b/>
          <w:bCs/>
          <w:color w:val="auto"/>
          <w:sz w:val="24"/>
          <w:szCs w:val="24"/>
          <w:highlight w:val="none"/>
        </w:rPr>
        <w:t>五、公告期限</w:t>
      </w:r>
      <w:bookmarkEnd w:id="422"/>
      <w:bookmarkEnd w:id="423"/>
    </w:p>
    <w:p w14:paraId="6C8ED702">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自本公告发布之日起5个工作日。</w:t>
      </w:r>
    </w:p>
    <w:p w14:paraId="7C5A9EA0">
      <w:pPr>
        <w:keepNext w:val="0"/>
        <w:keepLines w:val="0"/>
        <w:pageBreakBefore w:val="0"/>
        <w:kinsoku/>
        <w:wordWrap/>
        <w:overflowPunct/>
        <w:topLinePunct w:val="0"/>
        <w:autoSpaceDE/>
        <w:autoSpaceDN/>
        <w:bidi w:val="0"/>
        <w:spacing w:line="380" w:lineRule="exact"/>
        <w:jc w:val="left"/>
        <w:textAlignment w:val="auto"/>
        <w:outlineLvl w:val="1"/>
        <w:rPr>
          <w:rFonts w:hint="eastAsia" w:ascii="仿宋" w:hAnsi="仿宋" w:eastAsia="仿宋" w:cs="仿宋"/>
          <w:b/>
          <w:bCs/>
          <w:color w:val="auto"/>
          <w:sz w:val="24"/>
          <w:szCs w:val="24"/>
          <w:highlight w:val="none"/>
        </w:rPr>
      </w:pPr>
      <w:bookmarkStart w:id="424" w:name="_Toc2637"/>
      <w:bookmarkStart w:id="425" w:name="_Toc7171"/>
      <w:r>
        <w:rPr>
          <w:rFonts w:hint="eastAsia" w:ascii="仿宋" w:hAnsi="仿宋" w:eastAsia="仿宋" w:cs="仿宋"/>
          <w:b/>
          <w:bCs/>
          <w:color w:val="auto"/>
          <w:sz w:val="24"/>
          <w:szCs w:val="24"/>
          <w:highlight w:val="none"/>
        </w:rPr>
        <w:t>六、其他补充事宜</w:t>
      </w:r>
      <w:bookmarkEnd w:id="424"/>
      <w:bookmarkEnd w:id="425"/>
    </w:p>
    <w:p w14:paraId="1CDC9F89">
      <w:pPr>
        <w:keepNext w:val="0"/>
        <w:keepLines w:val="0"/>
        <w:pageBreakBefore w:val="0"/>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0ABBC41F">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七、对本次招标提出询问，请按以下方式联系。　　　　　　　　　　　　</w:t>
      </w:r>
    </w:p>
    <w:p w14:paraId="6B2ADAF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18B2744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w:t>
      </w:r>
      <w:r>
        <w:rPr>
          <w:rFonts w:hint="eastAsia" w:ascii="仿宋" w:hAnsi="仿宋" w:eastAsia="仿宋" w:cs="仿宋"/>
          <w:b w:val="0"/>
          <w:bCs w:val="0"/>
          <w:color w:val="auto"/>
          <w:sz w:val="24"/>
          <w:szCs w:val="24"/>
          <w:highlight w:val="none"/>
          <w:lang w:val="en-US" w:eastAsia="zh-CN"/>
        </w:rPr>
        <w:t>喀什地区疾病预防控制中心（喀什地区卫生监督所）</w:t>
      </w:r>
    </w:p>
    <w:p w14:paraId="18ADC3D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址：喀什地区疏附县花城大道北侧81号 </w:t>
      </w:r>
    </w:p>
    <w:p w14:paraId="29008B4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联</w:t>
      </w:r>
      <w:r>
        <w:rPr>
          <w:rFonts w:hint="eastAsia" w:ascii="仿宋" w:hAnsi="仿宋" w:eastAsia="仿宋" w:cs="仿宋"/>
          <w:color w:val="000000"/>
          <w:sz w:val="24"/>
          <w:szCs w:val="24"/>
          <w:highlight w:val="none"/>
          <w:lang w:val="en-US" w:eastAsia="zh-CN"/>
        </w:rPr>
        <w:t>系</w:t>
      </w:r>
      <w:r>
        <w:rPr>
          <w:rFonts w:hint="eastAsia" w:ascii="仿宋" w:hAnsi="仿宋" w:eastAsia="仿宋" w:cs="仿宋"/>
          <w:b w:val="0"/>
          <w:bCs w:val="0"/>
          <w:color w:val="000000"/>
          <w:sz w:val="24"/>
          <w:szCs w:val="24"/>
          <w:highlight w:val="none"/>
          <w:lang w:val="en-US" w:eastAsia="zh-CN"/>
        </w:rPr>
        <w:t>人：古丽米热·艾司都拉  09982871093</w:t>
      </w:r>
    </w:p>
    <w:p w14:paraId="055D7ED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45AFBDF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称：新疆方中圆工程项目管理有限公司</w:t>
      </w:r>
    </w:p>
    <w:p w14:paraId="79252F9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仿宋" w:hAnsi="仿宋" w:eastAsia="仿宋" w:cs="仿宋"/>
          <w:color w:val="auto"/>
          <w:spacing w:val="0"/>
          <w:w w:val="100"/>
          <w:kern w:val="0"/>
          <w:position w:val="0"/>
          <w:sz w:val="24"/>
          <w:szCs w:val="24"/>
          <w:highlight w:val="none"/>
          <w:lang w:val="en-US" w:eastAsia="zh-CN" w:bidi="ar"/>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color w:val="auto"/>
          <w:spacing w:val="0"/>
          <w:w w:val="100"/>
          <w:kern w:val="0"/>
          <w:position w:val="0"/>
          <w:sz w:val="24"/>
          <w:szCs w:val="24"/>
          <w:highlight w:val="none"/>
          <w:lang w:val="en-US" w:eastAsia="zh-CN" w:bidi="ar"/>
        </w:rPr>
        <w:t xml:space="preserve">新疆喀什地区喀什经济开发区深喀大道总部经济区浙商大厦14楼1402号 </w:t>
      </w:r>
    </w:p>
    <w:p w14:paraId="012AE14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default" w:ascii="仿宋_GB2312" w:eastAsia="仿宋_GB2312"/>
          <w:color w:val="auto"/>
          <w:sz w:val="24"/>
          <w:highlight w:val="none"/>
          <w:lang w:val="en-US" w:eastAsia="zh-CN"/>
        </w:rPr>
      </w:pPr>
      <w:r>
        <w:rPr>
          <w:rFonts w:hint="eastAsia" w:ascii="仿宋" w:hAnsi="仿宋" w:eastAsia="仿宋" w:cs="仿宋"/>
          <w:color w:val="auto"/>
          <w:sz w:val="24"/>
          <w:szCs w:val="24"/>
          <w:highlight w:val="none"/>
          <w:lang w:val="en-US" w:eastAsia="zh-CN"/>
        </w:rPr>
        <w:t>联系方式：</w:t>
      </w:r>
      <w:r>
        <w:rPr>
          <w:rFonts w:hint="eastAsia" w:ascii="仿宋_GB2312" w:eastAsia="仿宋_GB2312"/>
          <w:color w:val="auto"/>
          <w:sz w:val="24"/>
          <w:highlight w:val="none"/>
          <w:lang w:val="en-US" w:eastAsia="zh-CN"/>
        </w:rPr>
        <w:t>李静    18399127016</w:t>
      </w:r>
    </w:p>
    <w:p w14:paraId="1B0DB09A">
      <w:pPr>
        <w:pStyle w:val="2"/>
        <w:numPr>
          <w:ilvl w:val="0"/>
          <w:numId w:val="0"/>
        </w:numPr>
        <w:tabs>
          <w:tab w:val="left" w:pos="0"/>
        </w:tabs>
        <w:spacing w:before="0" w:after="0" w:line="240" w:lineRule="atLeast"/>
        <w:ind w:leftChars="0"/>
        <w:jc w:val="center"/>
        <w:rPr>
          <w:rFonts w:hint="eastAsia" w:ascii="仿宋_GB2312" w:eastAsia="仿宋_GB2312"/>
          <w:b w:val="0"/>
          <w:color w:val="auto"/>
          <w:szCs w:val="32"/>
          <w:highlight w:val="none"/>
        </w:rPr>
      </w:pPr>
      <w:bookmarkStart w:id="426" w:name="_Toc3010"/>
      <w:bookmarkStart w:id="427" w:name="_Toc216582823"/>
      <w:bookmarkStart w:id="428" w:name="_Toc507399903"/>
      <w:bookmarkStart w:id="429" w:name="_Toc518923125"/>
      <w:bookmarkStart w:id="430" w:name="_Toc512937850"/>
      <w:r>
        <w:rPr>
          <w:rFonts w:hint="eastAsia" w:ascii="仿宋_GB2312" w:eastAsia="仿宋_GB2312"/>
          <w:color w:val="auto"/>
          <w:highlight w:val="none"/>
        </w:rPr>
        <w:br w:type="page"/>
      </w:r>
      <w:bookmarkStart w:id="431" w:name="_Toc26554"/>
      <w:bookmarkStart w:id="432" w:name="_Toc24606"/>
      <w:bookmarkStart w:id="433" w:name="_Toc16269"/>
      <w:bookmarkStart w:id="434" w:name="_Toc23325"/>
      <w:bookmarkStart w:id="435" w:name="_Toc5197"/>
      <w:r>
        <w:rPr>
          <w:rFonts w:hint="eastAsia" w:ascii="仿宋_GB2312" w:eastAsia="仿宋_GB2312"/>
          <w:color w:val="auto"/>
          <w:highlight w:val="none"/>
          <w:lang w:val="en-US" w:eastAsia="zh-CN"/>
        </w:rPr>
        <w:t>第3章</w:t>
      </w:r>
      <w:r>
        <w:rPr>
          <w:rFonts w:hint="eastAsia" w:ascii="仿宋_GB2312" w:eastAsia="仿宋_GB2312"/>
          <w:color w:val="auto"/>
          <w:highlight w:val="none"/>
          <w:lang w:eastAsia="zh-CN"/>
        </w:rPr>
        <w:t>供应商</w:t>
      </w:r>
      <w:r>
        <w:rPr>
          <w:rFonts w:hint="eastAsia" w:ascii="仿宋_GB2312" w:eastAsia="仿宋_GB2312"/>
          <w:color w:val="auto"/>
          <w:highlight w:val="none"/>
        </w:rPr>
        <w:t>须知资料表</w:t>
      </w:r>
      <w:bookmarkEnd w:id="426"/>
      <w:bookmarkEnd w:id="427"/>
      <w:bookmarkEnd w:id="428"/>
      <w:bookmarkEnd w:id="429"/>
      <w:bookmarkEnd w:id="431"/>
      <w:bookmarkEnd w:id="432"/>
      <w:bookmarkEnd w:id="433"/>
      <w:bookmarkEnd w:id="434"/>
      <w:bookmarkEnd w:id="435"/>
    </w:p>
    <w:bookmarkEnd w:id="430"/>
    <w:p w14:paraId="2447CDD2">
      <w:pPr>
        <w:spacing w:line="240" w:lineRule="atLeast"/>
        <w:ind w:left="1080" w:leftChars="257" w:hanging="540"/>
        <w:rPr>
          <w:rFonts w:hint="eastAsia" w:ascii="仿宋_GB2312" w:eastAsia="仿宋_GB2312"/>
          <w:color w:val="auto"/>
          <w:sz w:val="24"/>
          <w:highlight w:val="none"/>
        </w:rPr>
      </w:pPr>
    </w:p>
    <w:p w14:paraId="67EB1DE7">
      <w:pPr>
        <w:spacing w:line="240" w:lineRule="atLeast"/>
        <w:ind w:firstLine="360" w:firstLineChars="150"/>
        <w:rPr>
          <w:rFonts w:ascii="仿宋_GB2312" w:eastAsia="仿宋_GB2312"/>
          <w:b/>
          <w:bCs/>
          <w:color w:val="auto"/>
          <w:sz w:val="24"/>
          <w:highlight w:val="none"/>
        </w:rPr>
      </w:pPr>
      <w:r>
        <w:rPr>
          <w:rFonts w:ascii="仿宋_GB2312" w:eastAsia="仿宋_GB2312"/>
          <w:color w:val="auto"/>
          <w:sz w:val="24"/>
          <w:highlight w:val="none"/>
        </w:rPr>
        <w:t xml:space="preserve"> </w:t>
      </w:r>
      <w:r>
        <w:rPr>
          <w:rFonts w:hint="eastAsia" w:ascii="仿宋_GB2312" w:eastAsia="仿宋_GB2312"/>
          <w:b/>
          <w:bCs/>
          <w:color w:val="auto"/>
          <w:sz w:val="24"/>
          <w:highlight w:val="none"/>
        </w:rPr>
        <w:t>本表是本</w:t>
      </w:r>
      <w:r>
        <w:rPr>
          <w:rFonts w:ascii="仿宋_GB2312" w:eastAsia="仿宋_GB2312"/>
          <w:b/>
          <w:bCs/>
          <w:color w:val="auto"/>
          <w:sz w:val="24"/>
          <w:highlight w:val="none"/>
        </w:rPr>
        <w:t>招标项目</w:t>
      </w:r>
      <w:r>
        <w:rPr>
          <w:rFonts w:hint="eastAsia" w:ascii="仿宋_GB2312" w:eastAsia="仿宋_GB2312"/>
          <w:b/>
          <w:bCs/>
          <w:color w:val="auto"/>
          <w:sz w:val="24"/>
          <w:highlight w:val="none"/>
        </w:rPr>
        <w:t>的具体资料，是对</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须知的具体补充和修改，如有</w:t>
      </w:r>
      <w:r>
        <w:rPr>
          <w:rFonts w:hint="eastAsia" w:ascii="仿宋_GB2312" w:eastAsia="仿宋_GB2312"/>
          <w:b/>
          <w:bCs/>
          <w:color w:val="auto"/>
          <w:sz w:val="24"/>
          <w:highlight w:val="none"/>
          <w:lang w:val="en-US" w:eastAsia="zh-CN"/>
        </w:rPr>
        <w:t>前后不一致</w:t>
      </w:r>
      <w:r>
        <w:rPr>
          <w:rFonts w:hint="eastAsia" w:ascii="仿宋_GB2312" w:eastAsia="仿宋_GB2312"/>
          <w:b/>
          <w:bCs/>
          <w:color w:val="auto"/>
          <w:sz w:val="24"/>
          <w:highlight w:val="none"/>
        </w:rPr>
        <w:t>，应以本资料表为准。</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31"/>
        <w:gridCol w:w="8375"/>
      </w:tblGrid>
      <w:tr w14:paraId="0697B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jc w:val="center"/>
        </w:trPr>
        <w:tc>
          <w:tcPr>
            <w:tcW w:w="1331" w:type="dxa"/>
            <w:noWrap w:val="0"/>
            <w:vAlign w:val="center"/>
          </w:tcPr>
          <w:p w14:paraId="7C959579">
            <w:pPr>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条款号</w:t>
            </w:r>
          </w:p>
        </w:tc>
        <w:tc>
          <w:tcPr>
            <w:tcW w:w="8375" w:type="dxa"/>
            <w:noWrap w:val="0"/>
            <w:vAlign w:val="center"/>
          </w:tcPr>
          <w:p w14:paraId="7079CA2D">
            <w:pPr>
              <w:spacing w:line="240" w:lineRule="atLeast"/>
              <w:jc w:val="center"/>
              <w:rPr>
                <w:rFonts w:ascii="仿宋_GB2312" w:eastAsia="仿宋_GB2312"/>
                <w:b/>
                <w:color w:val="auto"/>
                <w:sz w:val="24"/>
                <w:highlight w:val="none"/>
              </w:rPr>
            </w:pPr>
            <w:r>
              <w:rPr>
                <w:rFonts w:hint="eastAsia" w:ascii="仿宋_GB2312" w:eastAsia="仿宋_GB2312"/>
                <w:b/>
                <w:color w:val="auto"/>
                <w:sz w:val="24"/>
                <w:highlight w:val="none"/>
              </w:rPr>
              <w:t>内</w:t>
            </w:r>
            <w:r>
              <w:rPr>
                <w:rFonts w:ascii="仿宋_GB2312" w:eastAsia="仿宋_GB2312"/>
                <w:b/>
                <w:color w:val="auto"/>
                <w:sz w:val="24"/>
                <w:highlight w:val="none"/>
              </w:rPr>
              <w:t xml:space="preserve">      </w:t>
            </w:r>
            <w:r>
              <w:rPr>
                <w:rFonts w:hint="eastAsia" w:ascii="仿宋_GB2312" w:eastAsia="仿宋_GB2312"/>
                <w:b/>
                <w:color w:val="auto"/>
                <w:sz w:val="24"/>
                <w:highlight w:val="none"/>
              </w:rPr>
              <w:t>容</w:t>
            </w:r>
          </w:p>
        </w:tc>
      </w:tr>
      <w:tr w14:paraId="0FA15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331" w:type="dxa"/>
            <w:noWrap w:val="0"/>
            <w:vAlign w:val="center"/>
          </w:tcPr>
          <w:p w14:paraId="7017F0B4">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ascii="仿宋_GB2312" w:eastAsia="仿宋_GB2312"/>
                <w:color w:val="auto"/>
                <w:sz w:val="24"/>
                <w:highlight w:val="none"/>
              </w:rPr>
            </w:pPr>
            <w:r>
              <w:rPr>
                <w:rFonts w:ascii="仿宋_GB2312" w:eastAsia="仿宋_GB2312"/>
                <w:color w:val="auto"/>
                <w:sz w:val="24"/>
                <w:highlight w:val="none"/>
              </w:rPr>
              <w:t>1.1</w:t>
            </w:r>
          </w:p>
        </w:tc>
        <w:tc>
          <w:tcPr>
            <w:tcW w:w="8375" w:type="dxa"/>
            <w:noWrap w:val="0"/>
            <w:vAlign w:val="center"/>
          </w:tcPr>
          <w:p w14:paraId="2BD790A4">
            <w:pPr>
              <w:spacing w:line="240" w:lineRule="atLeast"/>
              <w:rPr>
                <w:rFonts w:hint="eastAsia" w:ascii="仿宋_GB2312" w:hAnsi="Times New Roman" w:eastAsia="仿宋_GB2312" w:cs="Times New Roman"/>
                <w:b w:val="0"/>
                <w:bCs w:val="0"/>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名 称：</w:t>
            </w:r>
            <w:r>
              <w:rPr>
                <w:rFonts w:hint="eastAsia" w:ascii="仿宋_GB2312" w:eastAsia="仿宋_GB2312" w:cs="Times New Roman"/>
                <w:b w:val="0"/>
                <w:bCs w:val="0"/>
                <w:color w:val="auto"/>
                <w:sz w:val="24"/>
                <w:highlight w:val="none"/>
                <w:lang w:val="en-US" w:eastAsia="zh-CN"/>
              </w:rPr>
              <w:t>喀什地区疾病预防控制中心（喀什地区卫生监督所）</w:t>
            </w:r>
          </w:p>
          <w:p w14:paraId="4508D8DD">
            <w:pPr>
              <w:spacing w:line="240" w:lineRule="atLeast"/>
              <w:rPr>
                <w:rFonts w:hint="default" w:ascii="仿宋_GB2312" w:hAnsi="Times New Roman" w:eastAsia="仿宋_GB2312" w:cs="Times New Roman"/>
                <w:b w:val="0"/>
                <w:bCs w:val="0"/>
                <w:color w:val="auto"/>
                <w:sz w:val="24"/>
                <w:highlight w:val="none"/>
                <w:lang w:val="en-US" w:eastAsia="zh-CN"/>
              </w:rPr>
            </w:pPr>
            <w:r>
              <w:rPr>
                <w:rFonts w:hint="eastAsia" w:ascii="仿宋_GB2312" w:hAnsi="Times New Roman" w:eastAsia="仿宋_GB2312" w:cs="Times New Roman"/>
                <w:b w:val="0"/>
                <w:bCs w:val="0"/>
                <w:color w:val="auto"/>
                <w:sz w:val="24"/>
                <w:highlight w:val="none"/>
                <w:lang w:val="en-US" w:eastAsia="zh-CN"/>
              </w:rPr>
              <w:t>地 址：</w:t>
            </w:r>
            <w:r>
              <w:rPr>
                <w:rFonts w:hint="eastAsia" w:ascii="仿宋_GB2312" w:eastAsia="仿宋_GB2312" w:cs="Times New Roman"/>
                <w:b w:val="0"/>
                <w:bCs w:val="0"/>
                <w:color w:val="auto"/>
                <w:sz w:val="24"/>
                <w:highlight w:val="none"/>
                <w:lang w:val="en-US" w:eastAsia="zh-CN"/>
              </w:rPr>
              <w:t>喀什地区疏附县花城大道北侧81号</w:t>
            </w:r>
            <w:r>
              <w:rPr>
                <w:rFonts w:hint="eastAsia" w:ascii="仿宋_GB2312" w:hAnsi="Times New Roman" w:eastAsia="仿宋_GB2312" w:cs="Times New Roman"/>
                <w:b w:val="0"/>
                <w:bCs w:val="0"/>
                <w:color w:val="auto"/>
                <w:sz w:val="24"/>
                <w:highlight w:val="none"/>
                <w:lang w:val="en-US" w:eastAsia="zh-CN"/>
              </w:rPr>
              <w:t> </w:t>
            </w:r>
          </w:p>
          <w:p w14:paraId="5D0C2F3C">
            <w:pPr>
              <w:spacing w:line="240" w:lineRule="atLeast"/>
              <w:rPr>
                <w:rFonts w:hint="default" w:ascii="仿宋_GB2312" w:eastAsia="仿宋_GB2312"/>
                <w:color w:val="auto"/>
                <w:sz w:val="24"/>
                <w:highlight w:val="none"/>
                <w:lang w:val="en-US"/>
              </w:rPr>
            </w:pPr>
            <w:r>
              <w:rPr>
                <w:rFonts w:hint="eastAsia" w:ascii="仿宋_GB2312" w:hAnsi="Times New Roman" w:eastAsia="仿宋_GB2312" w:cs="Times New Roman"/>
                <w:b w:val="0"/>
                <w:bCs w:val="0"/>
                <w:color w:val="auto"/>
                <w:sz w:val="24"/>
                <w:highlight w:val="none"/>
                <w:lang w:val="en-US" w:eastAsia="zh-CN"/>
              </w:rPr>
              <w:t>联系人</w:t>
            </w:r>
            <w:r>
              <w:rPr>
                <w:rFonts w:hint="eastAsia" w:ascii="仿宋_GB2312" w:hAnsi="Times New Roman" w:eastAsia="仿宋_GB2312" w:cs="Times New Roman"/>
                <w:b w:val="0"/>
                <w:bCs w:val="0"/>
                <w:color w:val="000000"/>
                <w:sz w:val="24"/>
                <w:highlight w:val="none"/>
                <w:lang w:val="en-US" w:eastAsia="zh-CN"/>
              </w:rPr>
              <w:t>：</w:t>
            </w:r>
            <w:r>
              <w:rPr>
                <w:rFonts w:hint="eastAsia" w:ascii="仿宋_GB2312" w:eastAsia="仿宋_GB2312" w:cs="Times New Roman"/>
                <w:b w:val="0"/>
                <w:bCs w:val="0"/>
                <w:color w:val="000000"/>
                <w:sz w:val="24"/>
                <w:highlight w:val="none"/>
                <w:lang w:val="en-US" w:eastAsia="zh-CN"/>
              </w:rPr>
              <w:t>古丽米热·艾司都拉</w:t>
            </w:r>
            <w:r>
              <w:rPr>
                <w:rFonts w:hint="eastAsia" w:ascii="仿宋_GB2312" w:hAnsi="Times New Roman" w:eastAsia="仿宋_GB2312" w:cs="Times New Roman"/>
                <w:b w:val="0"/>
                <w:bCs w:val="0"/>
                <w:color w:val="000000"/>
                <w:sz w:val="24"/>
                <w:highlight w:val="none"/>
                <w:lang w:val="en-US" w:eastAsia="zh-CN"/>
              </w:rPr>
              <w:t xml:space="preserve">  </w:t>
            </w:r>
            <w:r>
              <w:rPr>
                <w:rFonts w:hint="eastAsia" w:ascii="仿宋_GB2312" w:eastAsia="仿宋_GB2312" w:cs="Times New Roman"/>
                <w:b w:val="0"/>
                <w:bCs w:val="0"/>
                <w:color w:val="000000"/>
                <w:sz w:val="24"/>
                <w:highlight w:val="none"/>
                <w:lang w:val="en-US" w:eastAsia="zh-CN"/>
              </w:rPr>
              <w:t>09982871093</w:t>
            </w:r>
          </w:p>
        </w:tc>
      </w:tr>
      <w:tr w14:paraId="5AFC4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31" w:type="dxa"/>
            <w:noWrap w:val="0"/>
            <w:vAlign w:val="center"/>
          </w:tcPr>
          <w:p w14:paraId="03F60753">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ascii="仿宋_GB2312" w:eastAsia="仿宋_GB2312"/>
                <w:color w:val="auto"/>
                <w:sz w:val="24"/>
                <w:highlight w:val="none"/>
              </w:rPr>
              <w:t>1.2</w:t>
            </w:r>
          </w:p>
        </w:tc>
        <w:tc>
          <w:tcPr>
            <w:tcW w:w="8375" w:type="dxa"/>
            <w:noWrap w:val="0"/>
            <w:vAlign w:val="center"/>
          </w:tcPr>
          <w:p w14:paraId="07281834">
            <w:pPr>
              <w:spacing w:line="240" w:lineRule="atLeast"/>
              <w:rPr>
                <w:rFonts w:hint="eastAsia" w:ascii="仿宋_GB2312" w:eastAsia="仿宋_GB2312"/>
                <w:color w:val="auto"/>
                <w:sz w:val="24"/>
                <w:highlight w:val="none"/>
                <w:u w:val="single"/>
              </w:rPr>
            </w:pPr>
            <w:r>
              <w:rPr>
                <w:rFonts w:hint="eastAsia" w:ascii="仿宋_GB2312" w:eastAsia="仿宋_GB2312"/>
                <w:color w:val="auto"/>
                <w:sz w:val="24"/>
                <w:highlight w:val="none"/>
              </w:rPr>
              <w:t>采购代理机构：</w:t>
            </w:r>
            <w:r>
              <w:rPr>
                <w:rFonts w:hint="eastAsia" w:ascii="仿宋" w:hAnsi="仿宋" w:eastAsia="仿宋" w:cs="仿宋"/>
                <w:color w:val="auto"/>
                <w:spacing w:val="0"/>
                <w:w w:val="100"/>
                <w:kern w:val="0"/>
                <w:position w:val="0"/>
                <w:sz w:val="24"/>
                <w:szCs w:val="24"/>
                <w:highlight w:val="none"/>
                <w:lang w:val="en-US" w:eastAsia="zh-CN" w:bidi="ar"/>
              </w:rPr>
              <w:t>新疆方中圆工程项目管理有限公司</w:t>
            </w:r>
          </w:p>
          <w:p w14:paraId="29CC4EAF">
            <w:pPr>
              <w:spacing w:line="240" w:lineRule="atLeast"/>
              <w:rPr>
                <w:rFonts w:hint="eastAsia" w:ascii="仿宋_GB2312" w:eastAsia="仿宋_GB2312"/>
                <w:color w:val="auto"/>
                <w:sz w:val="24"/>
                <w:highlight w:val="none"/>
                <w:u w:val="single"/>
                <w:lang w:val="en-US"/>
              </w:rPr>
            </w:pPr>
            <w:r>
              <w:rPr>
                <w:rFonts w:hint="eastAsia" w:ascii="仿宋_GB2312" w:eastAsia="仿宋_GB2312"/>
                <w:color w:val="auto"/>
                <w:sz w:val="24"/>
                <w:highlight w:val="none"/>
              </w:rPr>
              <w:t>地址：</w:t>
            </w:r>
            <w:r>
              <w:rPr>
                <w:rFonts w:hint="eastAsia" w:ascii="仿宋" w:hAnsi="仿宋" w:eastAsia="仿宋" w:cs="仿宋"/>
                <w:color w:val="auto"/>
                <w:spacing w:val="0"/>
                <w:w w:val="100"/>
                <w:kern w:val="0"/>
                <w:position w:val="0"/>
                <w:sz w:val="24"/>
                <w:szCs w:val="24"/>
                <w:highlight w:val="none"/>
                <w:lang w:val="en-US" w:eastAsia="zh-CN" w:bidi="ar"/>
              </w:rPr>
              <w:t xml:space="preserve">新疆喀什地区喀什经济开发区深喀大道总部经济区浙商大厦14楼1402号 </w:t>
            </w:r>
          </w:p>
          <w:p w14:paraId="1D65B48F">
            <w:pPr>
              <w:spacing w:line="240" w:lineRule="atLeast"/>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电话：</w:t>
            </w:r>
            <w:r>
              <w:rPr>
                <w:rFonts w:hint="eastAsia" w:ascii="仿宋_GB2312" w:eastAsia="仿宋_GB2312"/>
                <w:color w:val="auto"/>
                <w:sz w:val="24"/>
                <w:highlight w:val="none"/>
                <w:lang w:val="en-US" w:eastAsia="zh-CN"/>
              </w:rPr>
              <w:t>李静   18399127016</w:t>
            </w:r>
          </w:p>
        </w:tc>
      </w:tr>
      <w:tr w14:paraId="579D3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31" w:type="dxa"/>
            <w:noWrap w:val="0"/>
            <w:vAlign w:val="center"/>
          </w:tcPr>
          <w:p w14:paraId="138F451F">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1.3.4</w:t>
            </w:r>
          </w:p>
        </w:tc>
        <w:tc>
          <w:tcPr>
            <w:tcW w:w="8375" w:type="dxa"/>
            <w:noWrap w:val="0"/>
            <w:vAlign w:val="center"/>
          </w:tcPr>
          <w:p w14:paraId="2EB9E50B">
            <w:pPr>
              <w:keepNext w:val="0"/>
              <w:keepLines w:val="0"/>
              <w:widowControl/>
              <w:suppressLineNumbers w:val="0"/>
              <w:jc w:val="left"/>
              <w:rPr>
                <w:rFonts w:hint="eastAsia" w:ascii="仿宋" w:hAnsi="仿宋" w:eastAsia="仿宋" w:cs="仿宋"/>
                <w:color w:val="auto"/>
                <w:spacing w:val="0"/>
                <w:w w:val="100"/>
                <w:position w:val="0"/>
                <w:sz w:val="24"/>
                <w:szCs w:val="24"/>
                <w:highlight w:val="none"/>
              </w:rPr>
            </w:pPr>
            <w:r>
              <w:rPr>
                <w:rFonts w:hint="eastAsia" w:ascii="仿宋_GB2312" w:eastAsia="仿宋_GB2312"/>
                <w:color w:val="auto"/>
                <w:sz w:val="24"/>
                <w:highlight w:val="none"/>
              </w:rPr>
              <w:t>合格</w:t>
            </w:r>
            <w:r>
              <w:rPr>
                <w:rFonts w:hint="eastAsia" w:ascii="仿宋_GB2312" w:eastAsia="仿宋_GB2312"/>
                <w:color w:val="auto"/>
                <w:sz w:val="24"/>
                <w:highlight w:val="none"/>
                <w:lang w:eastAsia="zh-CN"/>
              </w:rPr>
              <w:t>供应商</w:t>
            </w:r>
            <w:r>
              <w:rPr>
                <w:rFonts w:hint="eastAsia" w:ascii="仿宋_GB2312" w:eastAsia="仿宋_GB2312"/>
                <w:color w:val="auto"/>
                <w:sz w:val="24"/>
                <w:highlight w:val="none"/>
              </w:rPr>
              <w:t>的其他资格要求：</w:t>
            </w:r>
            <w:r>
              <w:rPr>
                <w:rFonts w:hint="eastAsia" w:ascii="仿宋" w:hAnsi="仿宋" w:eastAsia="仿宋" w:cs="仿宋"/>
                <w:color w:val="auto"/>
                <w:spacing w:val="0"/>
                <w:w w:val="100"/>
                <w:kern w:val="0"/>
                <w:position w:val="0"/>
                <w:sz w:val="24"/>
                <w:szCs w:val="24"/>
                <w:highlight w:val="none"/>
                <w:lang w:val="en-US" w:eastAsia="zh-CN" w:bidi="ar"/>
              </w:rPr>
              <w:t xml:space="preserve"> </w:t>
            </w:r>
          </w:p>
          <w:p w14:paraId="18598CA5">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1.具有相应的营业执照；</w:t>
            </w:r>
          </w:p>
          <w:p w14:paraId="157AD096">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2.法定代表人授权委托书及被委托人身份证（法定代表人投标提供法定代表人身份证明及身份证）；</w:t>
            </w:r>
          </w:p>
          <w:p w14:paraId="5A0FC6D9">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3.本单位缴纳的近三个月中任意一个月的社保缴纳证明；</w:t>
            </w:r>
          </w:p>
          <w:p w14:paraId="56C92C69">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4.具有税务局开具依法缴纳近三个月中任意一个月的税收证明的良好记录（完税证明），注：①若为零申报企业，需提供无欠税证明或国家税务总局电子税务局“申报结果查询截图”。②“税种”非社会保险；</w:t>
            </w:r>
          </w:p>
          <w:p w14:paraId="6CA148B7">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5.具有2024年度的财务审计报告（新成立未满一年的公司提供有效的银行资信证明）；</w:t>
            </w:r>
          </w:p>
          <w:p w14:paraId="5133FC5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6.投标供应商参加项目领取磋商文件及投标环节期间采购活动前3年内，在经营活动中没有重大违法记录的书面承诺书（自拟）；</w:t>
            </w:r>
          </w:p>
          <w:p w14:paraId="099C808D">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7.针对本项目的反商业贿赂承诺书；</w:t>
            </w:r>
          </w:p>
          <w:p w14:paraId="00535A2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根据《财政部关于在政府采购活动中查询及使用信用记录有关问题的通知》（财库﹝2016﹞125号）的要求，凡拟参加本次招标项目的供应商，如在“信用中国”网站（www.creditchina.gov.cn）被列入失信被执行人、重大税收违法案件当事人名单(信用服务-失信惩戒对象查询-搜索栏输入单位全称-截图)、中国政府采购网（http://www.ccgp.gov.cn/search/cr/）严重违法失信行为记录名单的（尚在处罚期内的）；将拒绝其参加本次招标活动。</w:t>
            </w:r>
          </w:p>
          <w:p w14:paraId="5771BF27">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9.提供《中小企业声明函》</w:t>
            </w:r>
          </w:p>
          <w:p w14:paraId="2D9759B6">
            <w:pPr>
              <w:spacing w:line="240" w:lineRule="atLeast"/>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10.磋商保证缴纳有效凭证</w:t>
            </w:r>
          </w:p>
        </w:tc>
      </w:tr>
      <w:tr w14:paraId="16F71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331" w:type="dxa"/>
            <w:noWrap w:val="0"/>
            <w:vAlign w:val="center"/>
          </w:tcPr>
          <w:p w14:paraId="2332EBFF">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hint="eastAsia" w:ascii="仿宋_GB2312" w:hAnsi="宋体" w:eastAsia="仿宋_GB2312"/>
                <w:color w:val="auto"/>
                <w:sz w:val="24"/>
                <w:highlight w:val="none"/>
              </w:rPr>
              <w:t>.</w:t>
            </w:r>
            <w:r>
              <w:rPr>
                <w:rFonts w:ascii="仿宋_GB2312" w:hAnsi="宋体" w:eastAsia="仿宋_GB2312"/>
                <w:color w:val="auto"/>
                <w:sz w:val="24"/>
                <w:highlight w:val="none"/>
              </w:rPr>
              <w:t>5</w:t>
            </w:r>
          </w:p>
        </w:tc>
        <w:tc>
          <w:tcPr>
            <w:tcW w:w="8375" w:type="dxa"/>
            <w:noWrap w:val="0"/>
            <w:vAlign w:val="center"/>
          </w:tcPr>
          <w:p w14:paraId="79BC5F65">
            <w:pPr>
              <w:spacing w:line="240" w:lineRule="atLeast"/>
              <w:rPr>
                <w:rFonts w:hint="eastAsia" w:ascii="仿宋_GB2312" w:eastAsia="仿宋_GB2312"/>
                <w:color w:val="auto"/>
                <w:sz w:val="24"/>
                <w:highlight w:val="none"/>
              </w:rPr>
            </w:pPr>
            <w:r>
              <w:rPr>
                <w:rFonts w:hint="eastAsia" w:ascii="仿宋_GB2312" w:eastAsia="仿宋_GB2312"/>
                <w:color w:val="auto"/>
                <w:sz w:val="24"/>
                <w:highlight w:val="none"/>
              </w:rPr>
              <w:t>是否</w:t>
            </w:r>
            <w:r>
              <w:rPr>
                <w:rFonts w:hint="eastAsia" w:ascii="仿宋_GB2312" w:hAnsi="宋体" w:eastAsia="仿宋_GB2312"/>
                <w:color w:val="auto"/>
                <w:sz w:val="24"/>
                <w:highlight w:val="none"/>
              </w:rPr>
              <w:t>允许采购进口产品：</w:t>
            </w:r>
            <w:r>
              <w:rPr>
                <w:rFonts w:hint="eastAsia" w:ascii="仿宋_GB2312" w:hAnsi="宋体" w:eastAsia="仿宋_GB2312"/>
                <w:color w:val="auto"/>
                <w:sz w:val="24"/>
                <w:highlight w:val="none"/>
                <w:lang w:val="en-US" w:eastAsia="zh-CN"/>
              </w:rPr>
              <w:t>否</w:t>
            </w:r>
            <w:r>
              <w:rPr>
                <w:rFonts w:hint="eastAsia" w:ascii="仿宋_GB2312" w:hAnsi="宋体" w:eastAsia="仿宋_GB2312"/>
                <w:i/>
                <w:color w:val="auto"/>
                <w:sz w:val="24"/>
                <w:highlight w:val="none"/>
              </w:rPr>
              <w:t>（是、否）</w:t>
            </w:r>
          </w:p>
        </w:tc>
      </w:tr>
      <w:tr w14:paraId="3CD80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331" w:type="dxa"/>
            <w:noWrap w:val="0"/>
            <w:vAlign w:val="center"/>
          </w:tcPr>
          <w:p w14:paraId="0E7CDC83">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1.3.6</w:t>
            </w:r>
          </w:p>
        </w:tc>
        <w:tc>
          <w:tcPr>
            <w:tcW w:w="8375" w:type="dxa"/>
            <w:noWrap w:val="0"/>
            <w:vAlign w:val="center"/>
          </w:tcPr>
          <w:p w14:paraId="75DACE27">
            <w:pPr>
              <w:spacing w:line="240" w:lineRule="atLeast"/>
              <w:rPr>
                <w:rFonts w:hint="eastAsia" w:ascii="宋体" w:hAnsi="Times New Roman" w:eastAsia="仿宋_GB2312" w:cs="Times New Roman"/>
                <w:kern w:val="0"/>
                <w:sz w:val="24"/>
                <w:szCs w:val="20"/>
                <w:lang w:val="en-US" w:eastAsia="zh-CN" w:bidi="ar-SA"/>
              </w:rPr>
            </w:pPr>
            <w:r>
              <w:rPr>
                <w:rFonts w:hint="eastAsia" w:ascii="宋体" w:hAnsi="Times New Roman" w:eastAsia="仿宋_GB2312" w:cs="Times New Roman"/>
                <w:kern w:val="0"/>
                <w:sz w:val="24"/>
                <w:szCs w:val="20"/>
                <w:lang w:val="en-US" w:eastAsia="zh-CN" w:bidi="ar-SA"/>
              </w:rPr>
              <w:t>是否为专门面向中小企业采购：是（是、否）</w:t>
            </w:r>
          </w:p>
          <w:p w14:paraId="747AB51A">
            <w:pPr>
              <w:pStyle w:val="25"/>
              <w:rPr>
                <w:rFonts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503F7B33">
            <w:pPr>
              <w:pStyle w:val="8"/>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属于中小微企业的，请在响应文件中提供“中小企业声明函”，如果未提供或提供虛假的“中小企业声明函”，</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将承担由此造成的一切不利后果。</w:t>
            </w:r>
          </w:p>
          <w:p w14:paraId="148F9BA0">
            <w:pPr>
              <w:pStyle w:val="8"/>
              <w:ind w:left="0" w:leftChars="0" w:firstLine="0" w:firstLineChars="0"/>
              <w:rPr>
                <w:rFonts w:hint="default" w:eastAsia="仿宋_GB2312"/>
                <w:lang w:val="en-US" w:eastAsia="zh-CN"/>
              </w:rPr>
            </w:pPr>
            <w:r>
              <w:rPr>
                <w:rFonts w:hint="eastAsia" w:ascii="仿宋" w:hAnsi="仿宋" w:eastAsia="仿宋" w:cs="仿宋"/>
                <w:b/>
                <w:bCs/>
                <w:color w:val="auto"/>
                <w:sz w:val="24"/>
                <w:highlight w:val="none"/>
                <w:u w:val="single"/>
                <w:lang w:val="en-US" w:eastAsia="zh-CN"/>
              </w:rPr>
              <w:t>本项目所属</w:t>
            </w:r>
            <w:r>
              <w:rPr>
                <w:rFonts w:hint="eastAsia" w:ascii="楷体" w:hAnsi="楷体" w:eastAsia="楷体" w:cs="楷体"/>
                <w:b/>
                <w:bCs/>
                <w:color w:val="auto"/>
                <w:sz w:val="24"/>
                <w:highlight w:val="none"/>
                <w:u w:val="single"/>
                <w:lang w:eastAsia="zh-CN"/>
              </w:rPr>
              <w:t>行业类型：</w:t>
            </w:r>
            <w:r>
              <w:rPr>
                <w:rFonts w:hint="eastAsia" w:ascii="楷体" w:hAnsi="楷体" w:eastAsia="楷体" w:cs="楷体"/>
                <w:b/>
                <w:bCs/>
                <w:color w:val="auto"/>
                <w:sz w:val="24"/>
                <w:highlight w:val="none"/>
                <w:u w:val="single"/>
                <w:lang w:val="en-US" w:eastAsia="zh-CN"/>
              </w:rPr>
              <w:t>其他未列明行业</w:t>
            </w:r>
          </w:p>
        </w:tc>
      </w:tr>
      <w:tr w14:paraId="1562F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331" w:type="dxa"/>
            <w:noWrap w:val="0"/>
            <w:vAlign w:val="center"/>
          </w:tcPr>
          <w:p w14:paraId="1FF0E162">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4</w:t>
            </w:r>
          </w:p>
        </w:tc>
        <w:tc>
          <w:tcPr>
            <w:tcW w:w="8375" w:type="dxa"/>
            <w:noWrap w:val="0"/>
            <w:vAlign w:val="center"/>
          </w:tcPr>
          <w:p w14:paraId="7016C478">
            <w:pPr>
              <w:spacing w:line="240" w:lineRule="atLeast"/>
              <w:rPr>
                <w:rFonts w:hint="eastAsia" w:ascii="仿宋_GB2312" w:eastAsia="仿宋_GB2312"/>
                <w:color w:val="auto"/>
                <w:sz w:val="24"/>
                <w:highlight w:val="none"/>
              </w:rPr>
            </w:pPr>
            <w:r>
              <w:rPr>
                <w:rFonts w:hint="eastAsia" w:ascii="仿宋_GB2312" w:eastAsia="仿宋_GB2312"/>
                <w:color w:val="auto"/>
                <w:sz w:val="24"/>
                <w:highlight w:val="none"/>
              </w:rPr>
              <w:t>是否允许联合体投标：</w:t>
            </w:r>
            <w:r>
              <w:rPr>
                <w:rFonts w:hint="eastAsia" w:ascii="仿宋_GB2312" w:eastAsia="仿宋_GB2312"/>
                <w:color w:val="auto"/>
                <w:sz w:val="24"/>
                <w:highlight w:val="none"/>
                <w:lang w:val="en-US" w:eastAsia="zh-CN"/>
              </w:rPr>
              <w:t>否</w:t>
            </w:r>
            <w:r>
              <w:rPr>
                <w:rFonts w:hint="eastAsia" w:ascii="仿宋_GB2312" w:hAnsi="宋体" w:eastAsia="仿宋_GB2312"/>
                <w:i/>
                <w:color w:val="auto"/>
                <w:sz w:val="24"/>
                <w:highlight w:val="none"/>
              </w:rPr>
              <w:t>（是、否）</w:t>
            </w:r>
          </w:p>
        </w:tc>
      </w:tr>
      <w:tr w14:paraId="53B8F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1331" w:type="dxa"/>
            <w:noWrap w:val="0"/>
            <w:vAlign w:val="center"/>
          </w:tcPr>
          <w:p w14:paraId="5E3CD384">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4</w:t>
            </w:r>
            <w:r>
              <w:rPr>
                <w:rFonts w:hint="eastAsia" w:ascii="仿宋_GB2312" w:eastAsia="仿宋_GB2312"/>
                <w:color w:val="auto"/>
                <w:sz w:val="24"/>
                <w:highlight w:val="none"/>
              </w:rPr>
              <w:t>.8</w:t>
            </w:r>
          </w:p>
        </w:tc>
        <w:tc>
          <w:tcPr>
            <w:tcW w:w="8375" w:type="dxa"/>
            <w:noWrap w:val="0"/>
            <w:vAlign w:val="center"/>
          </w:tcPr>
          <w:p w14:paraId="79E8F130">
            <w:pPr>
              <w:spacing w:line="240" w:lineRule="atLeast"/>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联合体的其他资格要求：</w:t>
            </w:r>
            <w:r>
              <w:rPr>
                <w:rFonts w:hint="eastAsia" w:ascii="仿宋_GB2312" w:eastAsia="仿宋_GB2312"/>
                <w:color w:val="auto"/>
                <w:sz w:val="24"/>
                <w:highlight w:val="none"/>
                <w:lang w:val="en-US" w:eastAsia="zh-CN"/>
              </w:rPr>
              <w:t>无</w:t>
            </w:r>
          </w:p>
        </w:tc>
      </w:tr>
      <w:tr w14:paraId="0BA52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1331" w:type="dxa"/>
            <w:noWrap w:val="0"/>
            <w:vAlign w:val="center"/>
          </w:tcPr>
          <w:p w14:paraId="0B1DA182">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2.2</w:t>
            </w:r>
          </w:p>
        </w:tc>
        <w:tc>
          <w:tcPr>
            <w:tcW w:w="8375" w:type="dxa"/>
            <w:noWrap w:val="0"/>
            <w:vAlign w:val="center"/>
          </w:tcPr>
          <w:p w14:paraId="6F810F8B">
            <w:pPr>
              <w:spacing w:line="240" w:lineRule="atLeast"/>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项目预算金额：</w:t>
            </w:r>
            <w:r>
              <w:rPr>
                <w:rFonts w:hint="eastAsia" w:ascii="仿宋_GB2312" w:eastAsia="仿宋_GB2312" w:cs="Times New Roman"/>
                <w:color w:val="auto"/>
                <w:sz w:val="24"/>
                <w:highlight w:val="none"/>
                <w:lang w:val="en-US" w:eastAsia="zh-CN"/>
              </w:rPr>
              <w:t>200000</w:t>
            </w:r>
            <w:r>
              <w:rPr>
                <w:rFonts w:hint="eastAsia" w:ascii="仿宋_GB2312" w:hAnsi="Times New Roman" w:eastAsia="仿宋_GB2312" w:cs="Times New Roman"/>
                <w:color w:val="auto"/>
                <w:sz w:val="24"/>
                <w:highlight w:val="none"/>
                <w:lang w:val="en-US" w:eastAsia="zh-CN"/>
              </w:rPr>
              <w:t>.00元；</w:t>
            </w:r>
          </w:p>
          <w:p w14:paraId="63BAD5A5">
            <w:pPr>
              <w:spacing w:line="240" w:lineRule="atLeast"/>
              <w:rPr>
                <w:rFonts w:hint="default" w:eastAsia="宋体"/>
                <w:lang w:val="en-US" w:eastAsia="zh-CN"/>
              </w:rPr>
            </w:pPr>
            <w:r>
              <w:rPr>
                <w:rFonts w:hint="eastAsia" w:ascii="仿宋_GB2312" w:hAnsi="Times New Roman" w:eastAsia="仿宋_GB2312" w:cs="Times New Roman"/>
                <w:color w:val="auto"/>
                <w:sz w:val="24"/>
                <w:highlight w:val="none"/>
              </w:rPr>
              <w:t>项目</w:t>
            </w:r>
            <w:r>
              <w:rPr>
                <w:rFonts w:hint="eastAsia" w:ascii="仿宋_GB2312" w:hAnsi="Times New Roman" w:eastAsia="仿宋_GB2312" w:cs="Times New Roman"/>
                <w:color w:val="auto"/>
                <w:sz w:val="24"/>
                <w:highlight w:val="none"/>
                <w:lang w:val="en-US" w:eastAsia="zh-CN"/>
              </w:rPr>
              <w:t>最高限价：</w:t>
            </w:r>
            <w:r>
              <w:rPr>
                <w:rFonts w:hint="eastAsia" w:ascii="仿宋_GB2312" w:eastAsia="仿宋_GB2312" w:cs="Times New Roman"/>
                <w:color w:val="auto"/>
                <w:sz w:val="24"/>
                <w:highlight w:val="none"/>
                <w:lang w:val="en-US" w:eastAsia="zh-CN"/>
              </w:rPr>
              <w:t>200000</w:t>
            </w:r>
            <w:r>
              <w:rPr>
                <w:rFonts w:hint="eastAsia" w:ascii="仿宋_GB2312" w:hAnsi="Times New Roman" w:eastAsia="仿宋_GB2312" w:cs="Times New Roman"/>
                <w:color w:val="auto"/>
                <w:sz w:val="24"/>
                <w:highlight w:val="none"/>
                <w:lang w:val="en-US" w:eastAsia="zh-CN"/>
              </w:rPr>
              <w:t>.00元；</w:t>
            </w:r>
          </w:p>
        </w:tc>
      </w:tr>
      <w:tr w14:paraId="47FBC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1331" w:type="dxa"/>
            <w:noWrap w:val="0"/>
            <w:vAlign w:val="center"/>
          </w:tcPr>
          <w:p w14:paraId="59444392">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8.1</w:t>
            </w:r>
          </w:p>
        </w:tc>
        <w:tc>
          <w:tcPr>
            <w:tcW w:w="8375" w:type="dxa"/>
            <w:noWrap w:val="0"/>
            <w:vAlign w:val="center"/>
          </w:tcPr>
          <w:p w14:paraId="1EE211B3">
            <w:pPr>
              <w:spacing w:line="240" w:lineRule="atLeast"/>
              <w:rPr>
                <w:rFonts w:hint="eastAsia"/>
                <w:color w:val="auto"/>
                <w:highlight w:val="none"/>
              </w:rPr>
            </w:pPr>
            <w:r>
              <w:rPr>
                <w:rFonts w:hint="eastAsia" w:ascii="仿宋_GB2312" w:hAnsi="Times New Roman" w:eastAsia="仿宋_GB2312" w:cs="Times New Roman"/>
                <w:color w:val="auto"/>
                <w:sz w:val="24"/>
                <w:highlight w:val="none"/>
              </w:rPr>
              <w:t>如投标商对多个分包进行投标，可以</w:t>
            </w:r>
            <w:r>
              <w:rPr>
                <w:rFonts w:hint="eastAsia" w:ascii="仿宋_GB2312" w:hAnsi="Times New Roman" w:eastAsia="仿宋_GB2312" w:cs="Times New Roman"/>
                <w:color w:val="auto"/>
                <w:sz w:val="24"/>
                <w:highlight w:val="none"/>
                <w:lang w:eastAsia="zh-CN"/>
              </w:rPr>
              <w:t>成交</w:t>
            </w:r>
            <w:r>
              <w:rPr>
                <w:rFonts w:hint="eastAsia" w:ascii="仿宋_GB2312" w:hAnsi="Times New Roman" w:eastAsia="仿宋_GB2312" w:cs="Times New Roman"/>
                <w:color w:val="auto"/>
                <w:sz w:val="24"/>
                <w:highlight w:val="none"/>
                <w:lang w:val="en-US" w:eastAsia="zh-CN"/>
              </w:rPr>
              <w:t>/</w:t>
            </w:r>
            <w:r>
              <w:rPr>
                <w:rFonts w:hint="eastAsia" w:ascii="仿宋_GB2312" w:hAnsi="Times New Roman" w:eastAsia="仿宋_GB2312" w:cs="Times New Roman"/>
                <w:color w:val="auto"/>
                <w:sz w:val="24"/>
                <w:highlight w:val="none"/>
              </w:rPr>
              <w:t>包</w:t>
            </w:r>
            <w:r>
              <w:rPr>
                <w:rFonts w:hint="eastAsia" w:ascii="仿宋_GB2312" w:hAnsi="Times New Roman" w:eastAsia="仿宋_GB2312" w:cs="Times New Roman"/>
                <w:color w:val="auto"/>
                <w:sz w:val="24"/>
                <w:highlight w:val="none"/>
                <w:lang w:eastAsia="zh-CN"/>
              </w:rPr>
              <w:t>。</w:t>
            </w:r>
          </w:p>
        </w:tc>
      </w:tr>
      <w:tr w14:paraId="177DB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0" w:hRule="atLeast"/>
          <w:jc w:val="center"/>
        </w:trPr>
        <w:tc>
          <w:tcPr>
            <w:tcW w:w="1331" w:type="dxa"/>
            <w:noWrap w:val="0"/>
            <w:vAlign w:val="center"/>
          </w:tcPr>
          <w:p w14:paraId="57BB2343">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12</w:t>
            </w:r>
          </w:p>
        </w:tc>
        <w:tc>
          <w:tcPr>
            <w:tcW w:w="8375" w:type="dxa"/>
            <w:noWrap w:val="0"/>
            <w:vAlign w:val="center"/>
          </w:tcPr>
          <w:p w14:paraId="322FC4F9">
            <w:pPr>
              <w:spacing w:line="240" w:lineRule="atLeast"/>
              <w:jc w:val="left"/>
              <w:rPr>
                <w:rFonts w:hint="eastAsia" w:ascii="仿宋" w:hAnsi="仿宋" w:eastAsia="仿宋" w:cs="仿宋"/>
                <w:b w:val="0"/>
                <w:bCs w:val="0"/>
                <w:sz w:val="24"/>
              </w:rPr>
            </w:pPr>
            <w:r>
              <w:rPr>
                <w:rFonts w:hint="eastAsia" w:ascii="仿宋" w:hAnsi="仿宋" w:eastAsia="仿宋" w:cs="仿宋"/>
                <w:b w:val="0"/>
                <w:bCs w:val="0"/>
                <w:sz w:val="24"/>
                <w:lang w:eastAsia="zh-CN"/>
              </w:rPr>
              <w:t>磋商保证金</w:t>
            </w:r>
            <w:r>
              <w:rPr>
                <w:rFonts w:hint="eastAsia" w:ascii="仿宋" w:hAnsi="仿宋" w:eastAsia="仿宋" w:cs="仿宋"/>
                <w:b w:val="0"/>
                <w:bCs w:val="0"/>
                <w:sz w:val="24"/>
              </w:rPr>
              <w:t>不允许以个人名义缴纳，收款单位相关信息如下：</w:t>
            </w:r>
          </w:p>
          <w:p w14:paraId="4C1AB8C2">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磋商</w:t>
            </w:r>
            <w:r>
              <w:rPr>
                <w:rFonts w:hint="eastAsia" w:ascii="仿宋" w:hAnsi="仿宋" w:eastAsia="仿宋" w:cs="仿宋"/>
                <w:b w:val="0"/>
                <w:bCs w:val="0"/>
                <w:sz w:val="24"/>
              </w:rPr>
              <w:t>保证金的形式：电汇、转账、银行保函、电子保函、支票、汇票、本票或者金融机构、担保机构出具的保函等非现金形式提交</w:t>
            </w:r>
          </w:p>
          <w:p w14:paraId="71BB1854">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磋商</w:t>
            </w:r>
            <w:r>
              <w:rPr>
                <w:rFonts w:hint="eastAsia" w:ascii="仿宋" w:hAnsi="仿宋" w:eastAsia="仿宋" w:cs="仿宋"/>
                <w:b w:val="0"/>
                <w:bCs w:val="0"/>
                <w:sz w:val="24"/>
              </w:rPr>
              <w:t>保证金金额（人民币）：</w:t>
            </w:r>
            <w:r>
              <w:rPr>
                <w:rFonts w:hint="eastAsia" w:ascii="仿宋" w:hAnsi="仿宋" w:eastAsia="仿宋" w:cs="仿宋"/>
                <w:b w:val="0"/>
                <w:bCs w:val="0"/>
                <w:sz w:val="24"/>
                <w:lang w:val="en-US" w:eastAsia="zh-CN"/>
              </w:rPr>
              <w:t>4000</w:t>
            </w:r>
            <w:r>
              <w:rPr>
                <w:rFonts w:hint="eastAsia" w:ascii="仿宋" w:hAnsi="仿宋" w:eastAsia="仿宋" w:cs="仿宋"/>
                <w:b w:val="0"/>
                <w:bCs w:val="0"/>
                <w:sz w:val="24"/>
              </w:rPr>
              <w:t>.00元（</w:t>
            </w:r>
            <w:r>
              <w:rPr>
                <w:rFonts w:hint="eastAsia" w:ascii="仿宋" w:hAnsi="仿宋" w:eastAsia="仿宋" w:cs="仿宋"/>
                <w:b w:val="0"/>
                <w:bCs w:val="0"/>
                <w:sz w:val="24"/>
                <w:lang w:val="en-US" w:eastAsia="zh-CN"/>
              </w:rPr>
              <w:t>肆仟元整</w:t>
            </w:r>
            <w:r>
              <w:rPr>
                <w:rFonts w:hint="eastAsia" w:ascii="仿宋" w:hAnsi="仿宋" w:eastAsia="仿宋" w:cs="仿宋"/>
                <w:b w:val="0"/>
                <w:bCs w:val="0"/>
                <w:sz w:val="24"/>
              </w:rPr>
              <w:t>）</w:t>
            </w:r>
          </w:p>
          <w:p w14:paraId="13B94A5A">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1.采用基本户转账或电汇形式：</w:t>
            </w:r>
          </w:p>
          <w:p w14:paraId="38122DAE">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单位名称：新疆方中圆工程项目管理有限公司</w:t>
            </w:r>
          </w:p>
          <w:p w14:paraId="7CF233C9">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账号：30476101040005796</w:t>
            </w:r>
          </w:p>
          <w:p w14:paraId="162E705D">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开户行：中国农业银行股份有限公司喀什经济开发区支行</w:t>
            </w:r>
          </w:p>
          <w:p w14:paraId="06EB60F6">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行号：103894047615</w:t>
            </w:r>
          </w:p>
          <w:p w14:paraId="425ADF21">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 xml:space="preserve">财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务：潘</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 xml:space="preserve">玲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联系人电话：19199509869</w:t>
            </w:r>
          </w:p>
          <w:p w14:paraId="4D119991">
            <w:pPr>
              <w:keepNext w:val="0"/>
              <w:keepLines w:val="0"/>
              <w:widowControl/>
              <w:numPr>
                <w:ilvl w:val="0"/>
                <w:numId w:val="0"/>
              </w:numPr>
              <w:suppressLineNumbers w:val="0"/>
              <w:jc w:val="left"/>
              <w:rPr>
                <w:rFonts w:hint="eastAsia" w:ascii="仿宋" w:hAnsi="仿宋" w:eastAsia="仿宋" w:cs="仿宋"/>
                <w:b w:val="0"/>
                <w:bCs w:val="0"/>
                <w:sz w:val="24"/>
                <w:lang w:eastAsia="zh-CN"/>
              </w:rPr>
            </w:pPr>
            <w:r>
              <w:rPr>
                <w:rFonts w:hint="eastAsia" w:ascii="仿宋" w:hAnsi="仿宋" w:eastAsia="仿宋" w:cs="仿宋"/>
                <w:b w:val="0"/>
                <w:bCs w:val="0"/>
                <w:sz w:val="24"/>
              </w:rPr>
              <w:t>联系人：程</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 xml:space="preserve">壮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联系人电话：</w:t>
            </w:r>
            <w:r>
              <w:rPr>
                <w:rFonts w:hint="eastAsia" w:ascii="仿宋" w:hAnsi="仿宋" w:eastAsia="仿宋" w:cs="仿宋"/>
                <w:b w:val="0"/>
                <w:bCs w:val="0"/>
                <w:sz w:val="24"/>
                <w:lang w:eastAsia="zh-CN"/>
              </w:rPr>
              <w:t>18399127016</w:t>
            </w:r>
          </w:p>
          <w:p w14:paraId="4E620CDE">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2.采用保函形式：</w:t>
            </w:r>
          </w:p>
          <w:p w14:paraId="10E0E089">
            <w:pPr>
              <w:keepNext w:val="0"/>
              <w:keepLines w:val="0"/>
              <w:widowControl/>
              <w:numPr>
                <w:ilvl w:val="0"/>
                <w:numId w:val="0"/>
              </w:numPr>
              <w:suppressLineNumbers w:val="0"/>
              <w:jc w:val="left"/>
              <w:rPr>
                <w:rFonts w:hint="eastAsia" w:ascii="仿宋" w:hAnsi="仿宋" w:eastAsia="仿宋" w:cs="仿宋"/>
                <w:b w:val="0"/>
                <w:bCs w:val="0"/>
                <w:sz w:val="24"/>
              </w:rPr>
            </w:pPr>
            <w:r>
              <w:rPr>
                <w:rFonts w:hint="eastAsia" w:ascii="仿宋" w:hAnsi="仿宋" w:eastAsia="仿宋" w:cs="仿宋"/>
                <w:b w:val="0"/>
                <w:bCs w:val="0"/>
                <w:sz w:val="24"/>
              </w:rPr>
              <w:t>采用银行保函或其他响应担保函</w:t>
            </w:r>
          </w:p>
          <w:p w14:paraId="62CD594B">
            <w:pPr>
              <w:keepNext w:val="0"/>
              <w:keepLines w:val="0"/>
              <w:widowControl/>
              <w:numPr>
                <w:ilvl w:val="0"/>
                <w:numId w:val="0"/>
              </w:numPr>
              <w:suppressLineNumbers w:val="0"/>
              <w:jc w:val="left"/>
              <w:rPr>
                <w:rFonts w:hint="default" w:ascii="仿宋" w:hAnsi="仿宋" w:eastAsia="仿宋" w:cs="仿宋"/>
                <w:b w:val="0"/>
                <w:bCs w:val="0"/>
                <w:sz w:val="24"/>
                <w:lang w:val="en-US" w:eastAsia="zh-CN"/>
              </w:rPr>
            </w:pPr>
            <w:r>
              <w:rPr>
                <w:rFonts w:hint="eastAsia" w:ascii="仿宋" w:hAnsi="仿宋" w:eastAsia="仿宋" w:cs="仿宋"/>
                <w:b/>
                <w:bCs/>
                <w:sz w:val="24"/>
              </w:rPr>
              <w:t>注：</w:t>
            </w:r>
            <w:r>
              <w:rPr>
                <w:rFonts w:hint="eastAsia" w:ascii="仿宋" w:hAnsi="仿宋" w:eastAsia="仿宋" w:cs="仿宋"/>
                <w:b/>
                <w:bCs/>
                <w:sz w:val="24"/>
                <w:lang w:val="en-US" w:eastAsia="zh-CN"/>
              </w:rPr>
              <w:t>1、</w:t>
            </w:r>
            <w:r>
              <w:rPr>
                <w:rFonts w:hint="eastAsia" w:ascii="仿宋" w:hAnsi="仿宋" w:eastAsia="仿宋" w:cs="仿宋"/>
                <w:b/>
                <w:bCs/>
                <w:sz w:val="24"/>
              </w:rPr>
              <w:t>保函复印件或</w:t>
            </w:r>
            <w:r>
              <w:rPr>
                <w:rFonts w:hint="eastAsia" w:ascii="仿宋" w:hAnsi="仿宋" w:eastAsia="仿宋" w:cs="仿宋"/>
                <w:b/>
                <w:bCs/>
                <w:sz w:val="24"/>
                <w:lang w:val="en-US" w:eastAsia="zh-CN"/>
              </w:rPr>
              <w:t>磋商</w:t>
            </w:r>
            <w:r>
              <w:rPr>
                <w:rFonts w:hint="eastAsia" w:ascii="仿宋" w:hAnsi="仿宋" w:eastAsia="仿宋" w:cs="仿宋"/>
                <w:b/>
                <w:bCs/>
                <w:sz w:val="24"/>
              </w:rPr>
              <w:t>保证金</w:t>
            </w:r>
            <w:r>
              <w:rPr>
                <w:rFonts w:hint="eastAsia" w:ascii="仿宋" w:hAnsi="仿宋" w:eastAsia="仿宋" w:cs="仿宋"/>
                <w:b/>
                <w:bCs/>
                <w:sz w:val="24"/>
                <w:lang w:val="en-US" w:eastAsia="zh-CN"/>
              </w:rPr>
              <w:t>打款凭证</w:t>
            </w:r>
            <w:r>
              <w:rPr>
                <w:rFonts w:hint="eastAsia" w:ascii="仿宋" w:hAnsi="仿宋" w:eastAsia="仿宋" w:cs="仿宋"/>
                <w:b/>
                <w:bCs/>
                <w:sz w:val="24"/>
              </w:rPr>
              <w:t>应放入响应文件中，若响应文件中不放保函复印件或</w:t>
            </w:r>
            <w:r>
              <w:rPr>
                <w:rFonts w:hint="eastAsia" w:ascii="仿宋" w:hAnsi="仿宋" w:eastAsia="仿宋" w:cs="仿宋"/>
                <w:b/>
                <w:bCs/>
                <w:sz w:val="24"/>
                <w:lang w:val="en-US" w:eastAsia="zh-CN"/>
              </w:rPr>
              <w:t>磋商</w:t>
            </w:r>
            <w:r>
              <w:rPr>
                <w:rFonts w:hint="eastAsia" w:ascii="仿宋" w:hAnsi="仿宋" w:eastAsia="仿宋" w:cs="仿宋"/>
                <w:b/>
                <w:bCs/>
                <w:sz w:val="24"/>
              </w:rPr>
              <w:t>保证金</w:t>
            </w:r>
            <w:r>
              <w:rPr>
                <w:rFonts w:hint="eastAsia" w:ascii="仿宋" w:hAnsi="仿宋" w:eastAsia="仿宋" w:cs="仿宋"/>
                <w:b/>
                <w:bCs/>
                <w:sz w:val="24"/>
                <w:lang w:val="en-US" w:eastAsia="zh-CN"/>
              </w:rPr>
              <w:t>打款凭证</w:t>
            </w:r>
            <w:r>
              <w:rPr>
                <w:rFonts w:hint="eastAsia" w:ascii="仿宋" w:hAnsi="仿宋" w:eastAsia="仿宋" w:cs="仿宋"/>
                <w:b/>
                <w:bCs/>
                <w:sz w:val="24"/>
              </w:rPr>
              <w:t>，作废标处理。</w:t>
            </w:r>
            <w:r>
              <w:rPr>
                <w:rFonts w:hint="eastAsia" w:ascii="仿宋" w:hAnsi="仿宋" w:eastAsia="仿宋" w:cs="仿宋"/>
                <w:b/>
                <w:bCs/>
                <w:sz w:val="24"/>
                <w:lang w:eastAsia="zh-CN"/>
              </w:rPr>
              <w:t>（</w:t>
            </w:r>
            <w:r>
              <w:rPr>
                <w:rFonts w:hint="eastAsia" w:ascii="仿宋" w:hAnsi="仿宋" w:eastAsia="仿宋" w:cs="仿宋"/>
                <w:b/>
                <w:bCs/>
                <w:sz w:val="24"/>
                <w:lang w:val="en-US" w:eastAsia="zh-CN"/>
              </w:rPr>
              <w:t>供应商打款时应确认收款账号正确无误，因供应商原因导致保证金未到账其结果由供应商自行承担</w:t>
            </w:r>
            <w:r>
              <w:rPr>
                <w:rFonts w:hint="eastAsia" w:ascii="仿宋" w:hAnsi="仿宋" w:eastAsia="仿宋" w:cs="仿宋"/>
                <w:b/>
                <w:bCs/>
                <w:sz w:val="24"/>
                <w:lang w:eastAsia="zh-CN"/>
              </w:rPr>
              <w:t>）磋商</w:t>
            </w:r>
            <w:r>
              <w:rPr>
                <w:rFonts w:hint="eastAsia" w:ascii="仿宋" w:hAnsi="仿宋" w:eastAsia="仿宋" w:cs="仿宋"/>
                <w:b/>
                <w:bCs/>
                <w:sz w:val="24"/>
                <w:lang w:val="en-US" w:eastAsia="zh-CN"/>
              </w:rPr>
              <w:t>保证金或</w:t>
            </w:r>
            <w:r>
              <w:rPr>
                <w:rFonts w:hint="eastAsia" w:ascii="仿宋" w:hAnsi="仿宋" w:eastAsia="仿宋" w:cs="仿宋"/>
                <w:b/>
                <w:bCs/>
                <w:sz w:val="24"/>
              </w:rPr>
              <w:t>保函需写明所投项目名称</w:t>
            </w:r>
            <w:r>
              <w:rPr>
                <w:rFonts w:hint="eastAsia" w:ascii="仿宋" w:hAnsi="仿宋" w:eastAsia="仿宋" w:cs="仿宋"/>
                <w:b/>
                <w:bCs/>
                <w:sz w:val="24"/>
                <w:lang w:eastAsia="zh-CN"/>
              </w:rPr>
              <w:t>（</w:t>
            </w:r>
            <w:r>
              <w:rPr>
                <w:rFonts w:hint="eastAsia" w:ascii="仿宋" w:hAnsi="仿宋" w:eastAsia="仿宋" w:cs="仿宋"/>
                <w:b/>
                <w:bCs/>
                <w:sz w:val="24"/>
                <w:lang w:val="en-US" w:eastAsia="zh-CN"/>
              </w:rPr>
              <w:t>字符超过可简写</w:t>
            </w:r>
            <w:r>
              <w:rPr>
                <w:rFonts w:hint="eastAsia" w:ascii="仿宋" w:hAnsi="仿宋" w:eastAsia="仿宋" w:cs="仿宋"/>
                <w:b/>
                <w:bCs/>
                <w:sz w:val="24"/>
                <w:lang w:eastAsia="zh-CN"/>
              </w:rPr>
              <w:t>）</w:t>
            </w:r>
            <w:r>
              <w:rPr>
                <w:rFonts w:hint="eastAsia" w:ascii="仿宋" w:hAnsi="仿宋" w:eastAsia="仿宋" w:cs="仿宋"/>
                <w:b/>
                <w:bCs/>
                <w:sz w:val="24"/>
              </w:rPr>
              <w:t>，保函有效期不得低于90日，否则视为无效。</w:t>
            </w:r>
          </w:p>
        </w:tc>
      </w:tr>
      <w:tr w14:paraId="08B9D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1331" w:type="dxa"/>
            <w:noWrap w:val="0"/>
            <w:vAlign w:val="center"/>
          </w:tcPr>
          <w:p w14:paraId="0500473C">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13.1</w:t>
            </w:r>
          </w:p>
        </w:tc>
        <w:tc>
          <w:tcPr>
            <w:tcW w:w="8375" w:type="dxa"/>
            <w:noWrap w:val="0"/>
            <w:vAlign w:val="center"/>
          </w:tcPr>
          <w:p w14:paraId="4FE27738">
            <w:pPr>
              <w:spacing w:line="240" w:lineRule="atLeast"/>
              <w:rPr>
                <w:rFonts w:ascii="仿宋_GB2312" w:eastAsia="仿宋_GB2312"/>
                <w:color w:val="auto"/>
                <w:sz w:val="24"/>
                <w:highlight w:val="none"/>
                <w:u w:val="single"/>
              </w:rPr>
            </w:pPr>
            <w:r>
              <w:rPr>
                <w:rFonts w:hint="eastAsia" w:ascii="仿宋_GB2312" w:eastAsia="仿宋_GB2312"/>
                <w:color w:val="auto"/>
                <w:sz w:val="24"/>
                <w:highlight w:val="none"/>
                <w:lang w:eastAsia="zh-CN"/>
              </w:rPr>
              <w:t>磋商</w:t>
            </w:r>
            <w:r>
              <w:rPr>
                <w:rFonts w:hint="eastAsia" w:ascii="仿宋_GB2312" w:eastAsia="仿宋_GB2312"/>
                <w:color w:val="auto"/>
                <w:sz w:val="24"/>
                <w:highlight w:val="none"/>
              </w:rPr>
              <w:t>有效期：</w:t>
            </w:r>
            <w:r>
              <w:rPr>
                <w:rFonts w:hint="eastAsia" w:ascii="仿宋_GB2312" w:eastAsia="仿宋_GB2312"/>
                <w:color w:val="auto"/>
                <w:sz w:val="24"/>
                <w:highlight w:val="none"/>
                <w:u w:val="single"/>
                <w:lang w:val="en-US" w:eastAsia="zh-CN"/>
              </w:rPr>
              <w:t>90</w:t>
            </w:r>
            <w:r>
              <w:rPr>
                <w:rFonts w:hint="eastAsia" w:ascii="仿宋_GB2312" w:eastAsia="仿宋_GB2312"/>
                <w:color w:val="auto"/>
                <w:sz w:val="24"/>
                <w:highlight w:val="none"/>
              </w:rPr>
              <w:t>日历日</w:t>
            </w:r>
          </w:p>
        </w:tc>
      </w:tr>
      <w:tr w14:paraId="4C875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90" w:hRule="atLeast"/>
          <w:jc w:val="center"/>
        </w:trPr>
        <w:tc>
          <w:tcPr>
            <w:tcW w:w="1331" w:type="dxa"/>
            <w:noWrap w:val="0"/>
            <w:vAlign w:val="center"/>
          </w:tcPr>
          <w:p w14:paraId="470A8C4B">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14.1</w:t>
            </w:r>
          </w:p>
        </w:tc>
        <w:tc>
          <w:tcPr>
            <w:tcW w:w="8375" w:type="dxa"/>
            <w:noWrap w:val="0"/>
            <w:vAlign w:val="center"/>
          </w:tcPr>
          <w:p w14:paraId="0B4C434D">
            <w:pPr>
              <w:spacing w:line="38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0796A8A">
            <w:pPr>
              <w:spacing w:line="38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2.本项目实行网上投标，采用电子</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文件(供应商须使用CA加密设备通过政采云电子投标客户端制作</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文件)。若供应商参与投标，自行承担投标一切费用。</w:t>
            </w:r>
          </w:p>
          <w:p w14:paraId="571BCA33">
            <w:pPr>
              <w:spacing w:line="38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104DCAF1">
            <w:pPr>
              <w:spacing w:line="38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4.供应商将政采云电子交易客户端下载、安装完成后，可通过账号密码或CA登录客户端进行</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文件制作。在使用政采云投标客户端时，建议使用WIN7及以上操作系统。客户端请至新疆政府采购网（http://www.ccgp-xinjiang.gov.cn/）下载专区查看，如有问题可拨打政采云客户服务热线95763进行咨询。</w:t>
            </w:r>
          </w:p>
          <w:p w14:paraId="2C49689D">
            <w:pPr>
              <w:spacing w:line="38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5.供应商在开标时须使用制作加密电子</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文件所使用的CA锁及电脑，电脑须提前配置好浏览器（建议使用谷歌浏览器），以便开标时解锁。</w:t>
            </w:r>
          </w:p>
          <w:p w14:paraId="1DD5C3D2">
            <w:pPr>
              <w:spacing w:line="38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保证金缴纳及确认时间：凡拟参加本次招标项目的供应商，必须在开标前将</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保证金汇入指定账户。</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保证金汇款凭证上用途栏应注明:招标项目名称+标项号+</w:t>
            </w:r>
            <w:r>
              <w:rPr>
                <w:rFonts w:hint="eastAsia" w:ascii="仿宋" w:hAnsi="仿宋" w:eastAsia="仿宋" w:cs="仿宋"/>
                <w:color w:val="auto"/>
                <w:kern w:val="0"/>
                <w:sz w:val="24"/>
                <w:highlight w:val="none"/>
                <w:lang w:eastAsia="zh-CN"/>
              </w:rPr>
              <w:t>磋商</w:t>
            </w:r>
            <w:r>
              <w:rPr>
                <w:rFonts w:hint="eastAsia" w:ascii="仿宋" w:hAnsi="仿宋" w:eastAsia="仿宋" w:cs="仿宋"/>
                <w:color w:val="auto"/>
                <w:kern w:val="0"/>
                <w:sz w:val="24"/>
                <w:highlight w:val="none"/>
              </w:rPr>
              <w:t>保证金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内容较多时可简写</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。否则，届时其投标将被拒绝。</w:t>
            </w:r>
          </w:p>
          <w:p w14:paraId="297A24E2">
            <w:pPr>
              <w:spacing w:line="38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 </w:t>
            </w:r>
          </w:p>
          <w:p w14:paraId="7F4392BA">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各供应商须在投标截止时间前完成在系统上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73626BA6">
            <w:pPr>
              <w:spacing w:line="240" w:lineRule="atLeast"/>
              <w:rPr>
                <w:rFonts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b/>
                <w:bCs/>
                <w:color w:val="auto"/>
                <w:sz w:val="24"/>
                <w:highlight w:val="none"/>
              </w:rPr>
              <w:t>各供应商在投标截止时间前将“响应文件”上传至政采云平台。响应文件包括“报价一览表及资格证明文件”与“商务及技术文件”两部分合并成一册。响应文件应按照</w:t>
            </w: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文件规定的格式填写、签署和盖章，并以.jmbs格式上传至政采云开评标平台。</w:t>
            </w:r>
          </w:p>
          <w:p w14:paraId="137C9D11">
            <w:pPr>
              <w:spacing w:line="240" w:lineRule="atLeast"/>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解密时长为30分钟。</w:t>
            </w:r>
          </w:p>
          <w:p w14:paraId="2407A395">
            <w:pPr>
              <w:keepNext w:val="0"/>
              <w:keepLines w:val="0"/>
              <w:widowControl/>
              <w:numPr>
                <w:ilvl w:val="0"/>
                <w:numId w:val="0"/>
              </w:numPr>
              <w:suppressLineNumbers w:val="0"/>
              <w:ind w:leftChars="0" w:right="0" w:rightChars="0"/>
              <w:jc w:val="left"/>
              <w:rPr>
                <w:rFonts w:hint="default"/>
                <w:color w:val="auto"/>
                <w:highlight w:val="none"/>
                <w:lang w:val="en-US"/>
              </w:rPr>
            </w:pP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须供应商提供备份的响应文件。</w:t>
            </w:r>
          </w:p>
        </w:tc>
      </w:tr>
      <w:tr w14:paraId="7F1B1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31" w:type="dxa"/>
            <w:noWrap w:val="0"/>
            <w:vAlign w:val="center"/>
          </w:tcPr>
          <w:p w14:paraId="76C84F5C">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ascii="仿宋_GB2312" w:eastAsia="仿宋_GB2312"/>
                <w:color w:val="auto"/>
                <w:sz w:val="24"/>
                <w:highlight w:val="none"/>
              </w:rPr>
              <w:t>16</w:t>
            </w:r>
            <w:r>
              <w:rPr>
                <w:rFonts w:hint="eastAsia" w:ascii="仿宋_GB2312" w:eastAsia="仿宋_GB2312"/>
                <w:color w:val="auto"/>
                <w:sz w:val="24"/>
                <w:highlight w:val="none"/>
              </w:rPr>
              <w:t>．1</w:t>
            </w:r>
          </w:p>
        </w:tc>
        <w:tc>
          <w:tcPr>
            <w:tcW w:w="8375" w:type="dxa"/>
            <w:noWrap w:val="0"/>
            <w:vAlign w:val="center"/>
          </w:tcPr>
          <w:p w14:paraId="09E0C5D6">
            <w:pPr>
              <w:spacing w:line="240" w:lineRule="atLeast"/>
              <w:rPr>
                <w:rFonts w:hint="eastAsia" w:ascii="仿宋_GB2312" w:eastAsia="仿宋_GB2312"/>
                <w:color w:val="FF0000"/>
                <w:sz w:val="24"/>
                <w:highlight w:val="none"/>
              </w:rPr>
            </w:pPr>
            <w:r>
              <w:rPr>
                <w:rFonts w:hint="eastAsia" w:ascii="仿宋_GB2312" w:eastAsia="仿宋_GB2312"/>
                <w:color w:val="000000"/>
                <w:sz w:val="24"/>
                <w:highlight w:val="none"/>
              </w:rPr>
              <w:t>投标截止时间：</w:t>
            </w:r>
            <w:r>
              <w:rPr>
                <w:rFonts w:hint="eastAsia" w:ascii="仿宋" w:hAnsi="仿宋" w:eastAsia="仿宋" w:cs="仿宋"/>
                <w:color w:val="000000"/>
                <w:sz w:val="24"/>
                <w:szCs w:val="24"/>
                <w:highlight w:val="none"/>
                <w:lang w:val="en-US" w:eastAsia="zh-CN"/>
              </w:rPr>
              <w:t>2025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07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 xml:space="preserve">日 </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00</w:t>
            </w:r>
            <w:r>
              <w:rPr>
                <w:rFonts w:hint="eastAsia" w:ascii="仿宋" w:hAnsi="仿宋" w:eastAsia="仿宋" w:cs="仿宋"/>
                <w:color w:val="000000"/>
                <w:sz w:val="24"/>
                <w:szCs w:val="24"/>
                <w:highlight w:val="none"/>
              </w:rPr>
              <w:t>（北京时间）</w:t>
            </w:r>
          </w:p>
        </w:tc>
      </w:tr>
      <w:tr w14:paraId="7B648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331" w:type="dxa"/>
            <w:noWrap w:val="0"/>
            <w:vAlign w:val="center"/>
          </w:tcPr>
          <w:p w14:paraId="64B6EDB9">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ascii="仿宋_GB2312" w:eastAsia="仿宋_GB2312"/>
                <w:color w:val="auto"/>
                <w:sz w:val="24"/>
                <w:highlight w:val="none"/>
              </w:rPr>
            </w:pPr>
            <w:r>
              <w:rPr>
                <w:rFonts w:hint="eastAsia" w:ascii="仿宋_GB2312" w:eastAsia="仿宋_GB2312"/>
                <w:color w:val="auto"/>
                <w:sz w:val="24"/>
                <w:highlight w:val="none"/>
              </w:rPr>
              <w:t>18</w:t>
            </w:r>
            <w:r>
              <w:rPr>
                <w:rFonts w:ascii="仿宋_GB2312" w:eastAsia="仿宋_GB2312"/>
                <w:color w:val="auto"/>
                <w:sz w:val="24"/>
                <w:highlight w:val="none"/>
              </w:rPr>
              <w:t>.1</w:t>
            </w:r>
          </w:p>
        </w:tc>
        <w:tc>
          <w:tcPr>
            <w:tcW w:w="8375" w:type="dxa"/>
            <w:noWrap w:val="0"/>
            <w:vAlign w:val="center"/>
          </w:tcPr>
          <w:p w14:paraId="3E3BEF8A">
            <w:pPr>
              <w:spacing w:line="240" w:lineRule="atLeast"/>
              <w:rPr>
                <w:rFonts w:hint="eastAsia" w:ascii="仿宋_GB2312" w:eastAsia="仿宋_GB2312"/>
                <w:color w:val="auto"/>
                <w:sz w:val="24"/>
                <w:highlight w:val="none"/>
                <w:u w:val="single"/>
                <w:lang w:val="en-US" w:eastAsia="zh-CN"/>
              </w:rPr>
            </w:pPr>
            <w:r>
              <w:rPr>
                <w:rFonts w:hint="eastAsia" w:ascii="仿宋_GB2312" w:eastAsia="仿宋_GB2312"/>
                <w:color w:val="auto"/>
                <w:sz w:val="24"/>
                <w:highlight w:val="none"/>
              </w:rPr>
              <w:t>开标时间：</w:t>
            </w:r>
            <w:r>
              <w:rPr>
                <w:rFonts w:hint="eastAsia" w:ascii="仿宋" w:hAnsi="仿宋" w:eastAsia="仿宋" w:cs="仿宋"/>
                <w:color w:val="auto"/>
                <w:sz w:val="24"/>
                <w:szCs w:val="24"/>
                <w:highlight w:val="none"/>
                <w:lang w:val="en-US" w:eastAsia="zh-CN"/>
              </w:rPr>
              <w:t>同投标截止时间</w:t>
            </w:r>
          </w:p>
          <w:p w14:paraId="449528CB">
            <w:pPr>
              <w:spacing w:line="240" w:lineRule="atLeast"/>
              <w:rPr>
                <w:rFonts w:ascii="仿宋_GB2312" w:eastAsia="仿宋_GB2312"/>
                <w:color w:val="auto"/>
                <w:sz w:val="24"/>
                <w:highlight w:val="none"/>
              </w:rPr>
            </w:pPr>
            <w:r>
              <w:rPr>
                <w:rFonts w:hint="eastAsia" w:ascii="仿宋_GB2312" w:eastAsia="仿宋_GB2312"/>
                <w:color w:val="auto"/>
                <w:sz w:val="24"/>
                <w:highlight w:val="none"/>
              </w:rPr>
              <w:t>开标地点：</w:t>
            </w:r>
            <w:r>
              <w:rPr>
                <w:rFonts w:hint="eastAsia" w:ascii="仿宋_GB2312" w:eastAsia="仿宋_GB2312"/>
                <w:color w:val="auto"/>
                <w:sz w:val="24"/>
                <w:highlight w:val="none"/>
                <w:lang w:val="en-US" w:eastAsia="zh-CN"/>
              </w:rPr>
              <w:t>（https://www.zcygov.cn在线投标）</w:t>
            </w:r>
          </w:p>
        </w:tc>
      </w:tr>
      <w:tr w14:paraId="258E1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31" w:type="dxa"/>
            <w:noWrap w:val="0"/>
            <w:vAlign w:val="center"/>
          </w:tcPr>
          <w:p w14:paraId="4082703D">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3</w:t>
            </w:r>
            <w:r>
              <w:rPr>
                <w:rFonts w:hint="eastAsia" w:ascii="仿宋_GB2312" w:eastAsia="仿宋_GB2312"/>
                <w:color w:val="auto"/>
                <w:sz w:val="24"/>
                <w:highlight w:val="none"/>
              </w:rPr>
              <w:t>.2</w:t>
            </w:r>
          </w:p>
        </w:tc>
        <w:tc>
          <w:tcPr>
            <w:tcW w:w="8375" w:type="dxa"/>
            <w:noWrap w:val="0"/>
            <w:vAlign w:val="center"/>
          </w:tcPr>
          <w:p w14:paraId="692F525F">
            <w:pPr>
              <w:spacing w:line="240" w:lineRule="atLeast"/>
              <w:rPr>
                <w:rFonts w:hint="eastAsia" w:ascii="仿宋_GB2312" w:eastAsia="仿宋_GB2312"/>
                <w:i/>
                <w:color w:val="auto"/>
                <w:sz w:val="24"/>
                <w:highlight w:val="none"/>
              </w:rPr>
            </w:pPr>
            <w:r>
              <w:rPr>
                <w:rFonts w:hint="eastAsia" w:ascii="仿宋_GB2312" w:eastAsia="仿宋_GB2312"/>
                <w:color w:val="auto"/>
                <w:sz w:val="24"/>
                <w:highlight w:val="none"/>
              </w:rPr>
              <w:t>评标方法：</w:t>
            </w:r>
            <w:r>
              <w:rPr>
                <w:rFonts w:hint="eastAsia" w:ascii="仿宋_GB2312" w:eastAsia="仿宋_GB2312"/>
                <w:b/>
                <w:bCs/>
                <w:color w:val="auto"/>
                <w:sz w:val="24"/>
                <w:highlight w:val="none"/>
              </w:rPr>
              <w:t>竞争性磋商</w:t>
            </w:r>
            <w:r>
              <w:rPr>
                <w:rFonts w:hint="eastAsia" w:ascii="仿宋_GB2312" w:eastAsia="仿宋_GB2312"/>
                <w:b/>
                <w:bCs/>
                <w:color w:val="auto"/>
                <w:sz w:val="24"/>
                <w:highlight w:val="none"/>
                <w:lang w:eastAsia="zh-CN"/>
              </w:rPr>
              <w:t>：综合评分法</w:t>
            </w:r>
            <w:r>
              <w:rPr>
                <w:rFonts w:hint="eastAsia" w:ascii="仿宋_GB2312" w:eastAsia="仿宋_GB2312"/>
                <w:color w:val="auto"/>
                <w:sz w:val="24"/>
                <w:highlight w:val="none"/>
              </w:rPr>
              <w:t>（本项目采用两轮报价，</w:t>
            </w:r>
            <w:r>
              <w:rPr>
                <w:rFonts w:hint="eastAsia" w:ascii="仿宋_GB2312" w:eastAsia="仿宋_GB2312"/>
                <w:color w:val="auto"/>
                <w:sz w:val="24"/>
                <w:highlight w:val="none"/>
                <w:lang w:eastAsia="zh-CN"/>
              </w:rPr>
              <w:t>供应商</w:t>
            </w:r>
            <w:r>
              <w:rPr>
                <w:rFonts w:hint="eastAsia" w:ascii="仿宋_GB2312" w:eastAsia="仿宋_GB2312"/>
                <w:color w:val="auto"/>
                <w:sz w:val="24"/>
                <w:highlight w:val="none"/>
              </w:rPr>
              <w:t>提交</w:t>
            </w:r>
            <w:r>
              <w:rPr>
                <w:rFonts w:hint="eastAsia" w:ascii="仿宋_GB2312" w:eastAsia="仿宋_GB2312"/>
                <w:color w:val="auto"/>
                <w:sz w:val="24"/>
                <w:highlight w:val="none"/>
                <w:lang w:val="en-US" w:eastAsia="zh-CN"/>
              </w:rPr>
              <w:t>最后的</w:t>
            </w:r>
            <w:r>
              <w:rPr>
                <w:rFonts w:hint="eastAsia" w:ascii="仿宋_GB2312" w:eastAsia="仿宋_GB2312"/>
                <w:color w:val="auto"/>
                <w:sz w:val="24"/>
                <w:highlight w:val="none"/>
              </w:rPr>
              <w:t>报价后，磋商小组对所有满足实质性要求</w:t>
            </w:r>
            <w:r>
              <w:rPr>
                <w:rFonts w:hint="eastAsia" w:ascii="仿宋_GB2312" w:eastAsia="仿宋_GB2312"/>
                <w:color w:val="auto"/>
                <w:sz w:val="24"/>
                <w:highlight w:val="none"/>
                <w:lang w:val="en-US" w:eastAsia="zh-CN"/>
              </w:rPr>
              <w:t>且</w:t>
            </w:r>
            <w:r>
              <w:rPr>
                <w:rFonts w:hint="eastAsia" w:ascii="仿宋_GB2312" w:eastAsia="仿宋_GB2312"/>
                <w:color w:val="auto"/>
                <w:sz w:val="24"/>
                <w:highlight w:val="none"/>
              </w:rPr>
              <w:t>提交最后报价的</w:t>
            </w:r>
            <w:r>
              <w:rPr>
                <w:rFonts w:hint="eastAsia" w:ascii="仿宋_GB2312" w:eastAsia="仿宋_GB2312"/>
                <w:color w:val="auto"/>
                <w:sz w:val="24"/>
                <w:highlight w:val="none"/>
                <w:lang w:eastAsia="zh-CN"/>
              </w:rPr>
              <w:t>供应商</w:t>
            </w:r>
            <w:r>
              <w:rPr>
                <w:rFonts w:hint="eastAsia" w:ascii="仿宋_GB2312" w:eastAsia="仿宋_GB2312"/>
                <w:color w:val="auto"/>
                <w:sz w:val="24"/>
                <w:highlight w:val="none"/>
              </w:rPr>
              <w:t>的响应文件按评审因素评审得分，最终汇总得分由高到低排序推荐第一、第二、第三</w:t>
            </w:r>
            <w:r>
              <w:rPr>
                <w:rFonts w:hint="eastAsia" w:ascii="仿宋_GB2312" w:eastAsia="仿宋_GB2312"/>
                <w:color w:val="auto"/>
                <w:sz w:val="24"/>
                <w:highlight w:val="none"/>
                <w:lang w:eastAsia="zh-CN"/>
              </w:rPr>
              <w:t>成交</w:t>
            </w:r>
            <w:r>
              <w:rPr>
                <w:rFonts w:hint="eastAsia" w:ascii="仿宋_GB2312" w:eastAsia="仿宋_GB2312"/>
                <w:color w:val="auto"/>
                <w:sz w:val="24"/>
                <w:highlight w:val="none"/>
              </w:rPr>
              <w:t>候选人）</w:t>
            </w:r>
          </w:p>
        </w:tc>
      </w:tr>
      <w:tr w14:paraId="48288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31" w:type="dxa"/>
            <w:noWrap w:val="0"/>
            <w:vAlign w:val="center"/>
          </w:tcPr>
          <w:p w14:paraId="00E60586">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ascii="仿宋_GB2312" w:eastAsia="仿宋_GB2312"/>
                <w:color w:val="auto"/>
                <w:sz w:val="24"/>
                <w:highlight w:val="none"/>
              </w:rPr>
              <w:t>27</w:t>
            </w:r>
          </w:p>
        </w:tc>
        <w:tc>
          <w:tcPr>
            <w:tcW w:w="8375" w:type="dxa"/>
            <w:noWrap w:val="0"/>
            <w:vAlign w:val="center"/>
          </w:tcPr>
          <w:p w14:paraId="61F2694D">
            <w:pPr>
              <w:spacing w:line="240" w:lineRule="atLeast"/>
              <w:rPr>
                <w:rFonts w:hint="eastAsia" w:ascii="仿宋_GB2312" w:eastAsia="仿宋_GB2312"/>
                <w:color w:val="auto"/>
                <w:sz w:val="24"/>
                <w:highlight w:val="none"/>
              </w:rPr>
            </w:pPr>
            <w:r>
              <w:rPr>
                <w:rFonts w:hint="eastAsia" w:ascii="仿宋_GB2312" w:eastAsia="仿宋_GB2312"/>
                <w:color w:val="auto"/>
                <w:sz w:val="24"/>
                <w:highlight w:val="none"/>
              </w:rPr>
              <w:t>推荐</w:t>
            </w:r>
            <w:r>
              <w:rPr>
                <w:rFonts w:hint="eastAsia" w:ascii="仿宋_GB2312" w:eastAsia="仿宋_GB2312"/>
                <w:color w:val="auto"/>
                <w:sz w:val="24"/>
                <w:highlight w:val="none"/>
                <w:lang w:eastAsia="zh-CN"/>
              </w:rPr>
              <w:t>成交</w:t>
            </w:r>
            <w:r>
              <w:rPr>
                <w:rFonts w:ascii="仿宋_GB2312" w:eastAsia="仿宋_GB2312"/>
                <w:color w:val="auto"/>
                <w:sz w:val="24"/>
                <w:highlight w:val="none"/>
              </w:rPr>
              <w:t>候选供应商的数量：</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名</w:t>
            </w:r>
          </w:p>
        </w:tc>
      </w:tr>
      <w:tr w14:paraId="496B8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31" w:type="dxa"/>
            <w:noWrap w:val="0"/>
            <w:vAlign w:val="center"/>
          </w:tcPr>
          <w:p w14:paraId="07FB0391">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7</w:t>
            </w:r>
          </w:p>
        </w:tc>
        <w:tc>
          <w:tcPr>
            <w:tcW w:w="8375" w:type="dxa"/>
            <w:noWrap w:val="0"/>
            <w:vAlign w:val="center"/>
          </w:tcPr>
          <w:p w14:paraId="528E3E6B">
            <w:pPr>
              <w:spacing w:line="240" w:lineRule="atLeast"/>
              <w:rPr>
                <w:rFonts w:hint="eastAsia" w:ascii="仿宋_GB2312" w:eastAsia="仿宋_GB2312"/>
                <w:color w:val="auto"/>
                <w:sz w:val="24"/>
                <w:highlight w:val="none"/>
              </w:rPr>
            </w:pPr>
            <w:r>
              <w:rPr>
                <w:rFonts w:hint="eastAsia" w:ascii="仿宋_GB2312" w:eastAsia="仿宋_GB2312"/>
                <w:color w:val="auto"/>
                <w:sz w:val="24"/>
                <w:highlight w:val="none"/>
                <w:lang w:eastAsia="zh-CN"/>
              </w:rPr>
              <w:t>采购</w:t>
            </w:r>
            <w:r>
              <w:rPr>
                <w:rFonts w:hint="eastAsia" w:ascii="仿宋_GB2312" w:eastAsia="仿宋_GB2312"/>
                <w:color w:val="auto"/>
                <w:sz w:val="24"/>
                <w:highlight w:val="none"/>
              </w:rPr>
              <w:t>人是否委托磋商小组直接确定</w:t>
            </w:r>
            <w:r>
              <w:rPr>
                <w:rFonts w:hint="eastAsia" w:ascii="仿宋_GB2312" w:eastAsia="仿宋_GB2312"/>
                <w:color w:val="auto"/>
                <w:sz w:val="24"/>
                <w:highlight w:val="none"/>
                <w:lang w:eastAsia="zh-CN"/>
              </w:rPr>
              <w:t>成交</w:t>
            </w:r>
            <w:r>
              <w:rPr>
                <w:rFonts w:hint="eastAsia" w:ascii="仿宋_GB2312" w:eastAsia="仿宋_GB2312"/>
                <w:color w:val="auto"/>
                <w:sz w:val="24"/>
                <w:highlight w:val="none"/>
              </w:rPr>
              <w:t>人：</w:t>
            </w:r>
            <w:r>
              <w:rPr>
                <w:rFonts w:hint="eastAsia" w:ascii="仿宋_GB2312" w:eastAsia="仿宋_GB2312"/>
                <w:color w:val="auto"/>
                <w:sz w:val="24"/>
                <w:highlight w:val="none"/>
                <w:lang w:val="en-US" w:eastAsia="zh-CN"/>
              </w:rPr>
              <w:t>否</w:t>
            </w:r>
            <w:r>
              <w:rPr>
                <w:rFonts w:hint="eastAsia" w:ascii="仿宋_GB2312" w:eastAsia="仿宋_GB2312"/>
                <w:color w:val="auto"/>
                <w:sz w:val="24"/>
                <w:highlight w:val="none"/>
              </w:rPr>
              <w:t xml:space="preserve"> </w:t>
            </w:r>
            <w:r>
              <w:rPr>
                <w:rFonts w:hint="eastAsia" w:ascii="仿宋_GB2312" w:hAnsi="宋体" w:eastAsia="仿宋_GB2312"/>
                <w:i/>
                <w:color w:val="auto"/>
                <w:sz w:val="24"/>
                <w:highlight w:val="none"/>
              </w:rPr>
              <w:t>（是、否）</w:t>
            </w:r>
          </w:p>
        </w:tc>
      </w:tr>
      <w:tr w14:paraId="23BB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noWrap w:val="0"/>
            <w:vAlign w:val="center"/>
          </w:tcPr>
          <w:p w14:paraId="3EECB5F1">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w:t>
            </w:r>
            <w:r>
              <w:rPr>
                <w:rFonts w:ascii="仿宋_GB2312" w:eastAsia="仿宋_GB2312"/>
                <w:color w:val="auto"/>
                <w:sz w:val="24"/>
                <w:highlight w:val="none"/>
              </w:rPr>
              <w:t>1</w:t>
            </w:r>
          </w:p>
        </w:tc>
        <w:tc>
          <w:tcPr>
            <w:tcW w:w="8375" w:type="dxa"/>
            <w:noWrap w:val="0"/>
            <w:vAlign w:val="center"/>
          </w:tcPr>
          <w:p w14:paraId="04C843FB">
            <w:pPr>
              <w:spacing w:line="240" w:lineRule="atLeast"/>
              <w:rPr>
                <w:rFonts w:hint="eastAsia" w:ascii="仿宋_GB2312" w:eastAsia="仿宋_GB2312"/>
                <w:color w:val="auto"/>
                <w:sz w:val="24"/>
                <w:highlight w:val="none"/>
              </w:rPr>
            </w:pPr>
            <w:r>
              <w:rPr>
                <w:rFonts w:hint="eastAsia" w:ascii="仿宋_GB2312" w:eastAsia="仿宋_GB2312"/>
                <w:color w:val="auto"/>
                <w:sz w:val="24"/>
                <w:highlight w:val="none"/>
              </w:rPr>
              <w:t>本项目是否</w:t>
            </w:r>
            <w:r>
              <w:rPr>
                <w:rFonts w:ascii="仿宋_GB2312" w:eastAsia="仿宋_GB2312"/>
                <w:color w:val="auto"/>
                <w:sz w:val="24"/>
                <w:highlight w:val="none"/>
              </w:rPr>
              <w:t>属于</w:t>
            </w:r>
            <w:r>
              <w:rPr>
                <w:rFonts w:ascii="仿宋_GB2312" w:hAnsi="宋体" w:eastAsia="仿宋_GB2312"/>
                <w:color w:val="auto"/>
                <w:sz w:val="24"/>
                <w:highlight w:val="none"/>
              </w:rPr>
              <w:t>信用担保试点范围</w:t>
            </w:r>
            <w:r>
              <w:rPr>
                <w:rFonts w:hint="eastAsia" w:ascii="仿宋_GB2312" w:hAnsi="宋体" w:eastAsia="仿宋_GB2312"/>
                <w:color w:val="auto"/>
                <w:sz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是</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r>
              <w:rPr>
                <w:rFonts w:hint="eastAsia" w:ascii="仿宋_GB2312" w:hAnsi="宋体" w:eastAsia="仿宋_GB2312"/>
                <w:i/>
                <w:color w:val="auto"/>
                <w:sz w:val="24"/>
                <w:highlight w:val="none"/>
              </w:rPr>
              <w:t>（是、否）</w:t>
            </w:r>
          </w:p>
        </w:tc>
      </w:tr>
      <w:tr w14:paraId="15638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9" w:hRule="atLeast"/>
          <w:jc w:val="center"/>
        </w:trPr>
        <w:tc>
          <w:tcPr>
            <w:tcW w:w="1331" w:type="dxa"/>
            <w:noWrap w:val="0"/>
            <w:vAlign w:val="center"/>
          </w:tcPr>
          <w:p w14:paraId="083B7722">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34</w:t>
            </w:r>
          </w:p>
        </w:tc>
        <w:tc>
          <w:tcPr>
            <w:tcW w:w="8375" w:type="dxa"/>
            <w:noWrap w:val="0"/>
            <w:vAlign w:val="center"/>
          </w:tcPr>
          <w:p w14:paraId="490BFBD6">
            <w:pPr>
              <w:spacing w:line="240" w:lineRule="atLeast"/>
              <w:rPr>
                <w:rFonts w:hint="eastAsia" w:ascii="仿宋" w:hAnsi="仿宋" w:eastAsia="仿宋" w:cs="仿宋"/>
                <w:b/>
                <w:bCs/>
                <w:color w:val="auto"/>
                <w:sz w:val="24"/>
                <w:lang w:val="en-US" w:eastAsia="zh-CN"/>
              </w:rPr>
            </w:pPr>
            <w:r>
              <w:rPr>
                <w:rFonts w:hint="eastAsia" w:ascii="仿宋" w:hAnsi="仿宋" w:eastAsia="仿宋" w:cs="仿宋"/>
                <w:color w:val="auto"/>
                <w:sz w:val="24"/>
                <w:highlight w:val="none"/>
              </w:rPr>
              <w:t>成交服务费：</w:t>
            </w:r>
            <w:r>
              <w:rPr>
                <w:rFonts w:hint="eastAsia" w:ascii="仿宋" w:hAnsi="仿宋" w:eastAsia="仿宋" w:cs="仿宋"/>
                <w:b/>
                <w:bCs/>
                <w:color w:val="auto"/>
                <w:sz w:val="24"/>
                <w:highlight w:val="none"/>
              </w:rPr>
              <w:t>根据（发改价格[2015]299号文件），根据国家计委关于印发《招标代理服务收费管理暂行办法》的通知-计价格[2002]1980号文件为参考，按差额定率累进法计算</w:t>
            </w:r>
            <w:r>
              <w:rPr>
                <w:rFonts w:hint="eastAsia" w:ascii="仿宋" w:hAnsi="仿宋" w:eastAsia="仿宋" w:cs="仿宋"/>
                <w:b/>
                <w:bCs/>
                <w:color w:val="auto"/>
                <w:sz w:val="24"/>
                <w:highlight w:val="none"/>
                <w:lang w:eastAsia="zh-CN"/>
              </w:rPr>
              <w:t>，100万元内</w:t>
            </w:r>
            <w:r>
              <w:rPr>
                <w:rFonts w:hint="eastAsia" w:ascii="仿宋" w:hAnsi="仿宋" w:eastAsia="仿宋" w:cs="仿宋"/>
                <w:b/>
                <w:bCs/>
                <w:color w:val="auto"/>
                <w:sz w:val="24"/>
                <w:highlight w:val="none"/>
                <w:lang w:val="en-US" w:eastAsia="zh-CN"/>
              </w:rPr>
              <w:t>1.5</w:t>
            </w:r>
            <w:r>
              <w:rPr>
                <w:rFonts w:hint="eastAsia" w:ascii="仿宋" w:hAnsi="仿宋" w:eastAsia="仿宋" w:cs="仿宋"/>
                <w:b/>
                <w:bCs/>
                <w:color w:val="auto"/>
                <w:sz w:val="24"/>
                <w:highlight w:val="none"/>
                <w:lang w:eastAsia="zh-CN"/>
              </w:rPr>
              <w:t>%，100-200万元</w:t>
            </w:r>
            <w:r>
              <w:rPr>
                <w:rFonts w:hint="eastAsia" w:ascii="仿宋" w:hAnsi="仿宋" w:eastAsia="仿宋" w:cs="仿宋"/>
                <w:b/>
                <w:bCs/>
                <w:color w:val="auto"/>
                <w:sz w:val="24"/>
                <w:highlight w:val="none"/>
                <w:lang w:val="en-US" w:eastAsia="zh-CN"/>
              </w:rPr>
              <w:t>0.8</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由中标人在领取</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通知书时一次性支付</w:t>
            </w:r>
            <w:r>
              <w:rPr>
                <w:rFonts w:hint="eastAsia" w:ascii="仿宋" w:hAnsi="仿宋" w:eastAsia="仿宋" w:cs="仿宋"/>
                <w:b/>
                <w:bCs/>
                <w:color w:val="auto"/>
                <w:sz w:val="24"/>
                <w:highlight w:val="none"/>
                <w:lang w:eastAsia="zh-CN"/>
              </w:rPr>
              <w:t>。</w:t>
            </w:r>
          </w:p>
          <w:p w14:paraId="574954A4">
            <w:pPr>
              <w:rPr>
                <w:rFonts w:ascii="仿宋" w:hAnsi="仿宋" w:eastAsia="仿宋" w:cs="仿宋"/>
                <w:color w:val="auto"/>
                <w:sz w:val="24"/>
                <w:highlight w:val="none"/>
              </w:rPr>
            </w:pPr>
            <w:r>
              <w:rPr>
                <w:rFonts w:hint="eastAsia" w:ascii="仿宋" w:hAnsi="仿宋" w:eastAsia="仿宋" w:cs="仿宋"/>
                <w:color w:val="auto"/>
                <w:sz w:val="24"/>
                <w:highlight w:val="none"/>
              </w:rPr>
              <w:t>支付形式：电汇、网银</w:t>
            </w:r>
          </w:p>
          <w:p w14:paraId="3D7542F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支付时间：成交公示后3个工作日内</w:t>
            </w:r>
          </w:p>
          <w:p w14:paraId="712DE5FC">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代理费收款账户：</w:t>
            </w:r>
          </w:p>
          <w:p w14:paraId="364A5B04">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新疆方中圆工程项目管理有限公司</w:t>
            </w:r>
          </w:p>
          <w:p w14:paraId="2330D5C7">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税号：91653100096571376P</w:t>
            </w:r>
          </w:p>
          <w:p w14:paraId="016E6258">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地址：新疆喀什地区喀什经济开发区深喀大道总部经济区浙商大厦14楼1402号</w:t>
            </w:r>
          </w:p>
          <w:p w14:paraId="22A30159">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账号：860010012010107522022</w:t>
            </w:r>
          </w:p>
          <w:p w14:paraId="22006221">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新疆喀什农村商业银行股份有限公司</w:t>
            </w:r>
          </w:p>
          <w:p w14:paraId="48E82E00">
            <w:pPr>
              <w:rPr>
                <w:rFonts w:hint="eastAsia"/>
                <w:lang w:val="en-US" w:eastAsia="zh-CN"/>
              </w:rPr>
            </w:pPr>
            <w:r>
              <w:rPr>
                <w:rFonts w:hint="eastAsia" w:ascii="仿宋" w:hAnsi="仿宋" w:eastAsia="仿宋" w:cs="仿宋"/>
                <w:b/>
                <w:bCs/>
                <w:color w:val="auto"/>
                <w:sz w:val="24"/>
                <w:highlight w:val="none"/>
                <w:lang w:val="en-US" w:eastAsia="zh-CN"/>
              </w:rPr>
              <w:t>行号：402894000010</w:t>
            </w:r>
          </w:p>
        </w:tc>
      </w:tr>
      <w:tr w14:paraId="65B0B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9706" w:type="dxa"/>
            <w:gridSpan w:val="2"/>
            <w:tcBorders>
              <w:top w:val="single" w:color="auto" w:sz="12" w:space="0"/>
              <w:left w:val="single" w:color="auto" w:sz="12" w:space="0"/>
              <w:bottom w:val="single" w:color="auto" w:sz="12" w:space="0"/>
              <w:right w:val="single" w:color="auto" w:sz="12" w:space="0"/>
            </w:tcBorders>
            <w:noWrap w:val="0"/>
            <w:vAlign w:val="center"/>
          </w:tcPr>
          <w:p w14:paraId="44F9F4BA">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适用于本</w:t>
            </w:r>
            <w:r>
              <w:rPr>
                <w:rFonts w:hint="eastAsia" w:ascii="仿宋_GB2312" w:hAnsi="Times New Roman" w:eastAsia="仿宋_GB2312" w:cs="Times New Roman"/>
                <w:color w:val="auto"/>
                <w:sz w:val="24"/>
                <w:highlight w:val="none"/>
                <w:lang w:eastAsia="zh-CN"/>
              </w:rPr>
              <w:t>供应商</w:t>
            </w:r>
            <w:r>
              <w:rPr>
                <w:rFonts w:hint="eastAsia" w:ascii="仿宋_GB2312" w:hAnsi="Times New Roman" w:eastAsia="仿宋_GB2312" w:cs="Times New Roman"/>
                <w:color w:val="auto"/>
                <w:sz w:val="24"/>
                <w:highlight w:val="none"/>
              </w:rPr>
              <w:t>须知的额外增加的变动：</w:t>
            </w:r>
          </w:p>
        </w:tc>
      </w:tr>
      <w:tr w14:paraId="1A577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1331" w:type="dxa"/>
            <w:vMerge w:val="restart"/>
            <w:noWrap w:val="0"/>
            <w:vAlign w:val="center"/>
          </w:tcPr>
          <w:p w14:paraId="5CEF48B6">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p>
        </w:tc>
        <w:tc>
          <w:tcPr>
            <w:tcW w:w="8375" w:type="dxa"/>
            <w:noWrap w:val="0"/>
            <w:vAlign w:val="center"/>
          </w:tcPr>
          <w:p w14:paraId="02377BC4">
            <w:pPr>
              <w:spacing w:line="240" w:lineRule="atLeast"/>
              <w:rPr>
                <w:rFonts w:hint="eastAsia" w:ascii="仿宋" w:hAnsi="仿宋" w:eastAsia="仿宋" w:cs="仿宋"/>
                <w:b/>
                <w:color w:val="auto"/>
                <w:spacing w:val="0"/>
                <w:w w:val="100"/>
                <w:kern w:val="0"/>
                <w:position w:val="0"/>
                <w:sz w:val="24"/>
                <w:szCs w:val="24"/>
                <w:highlight w:val="none"/>
                <w:lang w:val="en-US" w:eastAsia="zh-CN" w:bidi="ar"/>
              </w:rPr>
            </w:pPr>
            <w:r>
              <w:rPr>
                <w:rFonts w:hint="eastAsia" w:ascii="仿宋" w:hAnsi="仿宋" w:eastAsia="仿宋" w:cs="仿宋"/>
                <w:b/>
                <w:bCs/>
                <w:color w:val="auto"/>
                <w:spacing w:val="0"/>
                <w:w w:val="100"/>
                <w:position w:val="0"/>
                <w:sz w:val="24"/>
                <w:szCs w:val="24"/>
                <w:highlight w:val="none"/>
              </w:rPr>
              <w:t>本</w:t>
            </w:r>
            <w:r>
              <w:rPr>
                <w:rFonts w:hint="eastAsia" w:ascii="仿宋" w:hAnsi="仿宋" w:eastAsia="仿宋" w:cs="仿宋"/>
                <w:b/>
                <w:bCs/>
                <w:color w:val="auto"/>
                <w:spacing w:val="0"/>
                <w:w w:val="100"/>
                <w:position w:val="0"/>
                <w:sz w:val="24"/>
                <w:szCs w:val="24"/>
                <w:highlight w:val="none"/>
                <w:lang w:val="en-US" w:eastAsia="zh-CN"/>
              </w:rPr>
              <w:t>磋商</w:t>
            </w:r>
            <w:r>
              <w:rPr>
                <w:rFonts w:hint="eastAsia" w:ascii="仿宋" w:hAnsi="仿宋" w:eastAsia="仿宋" w:cs="仿宋"/>
                <w:b/>
                <w:bCs/>
                <w:color w:val="auto"/>
                <w:spacing w:val="0"/>
                <w:w w:val="100"/>
                <w:position w:val="0"/>
                <w:sz w:val="24"/>
                <w:szCs w:val="24"/>
                <w:highlight w:val="none"/>
              </w:rPr>
              <w:t>文件的解释权属于采购人。</w:t>
            </w:r>
          </w:p>
        </w:tc>
      </w:tr>
      <w:tr w14:paraId="33B35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2" w:hRule="atLeast"/>
          <w:jc w:val="center"/>
        </w:trPr>
        <w:tc>
          <w:tcPr>
            <w:tcW w:w="1331" w:type="dxa"/>
            <w:vMerge w:val="continue"/>
            <w:noWrap w:val="0"/>
            <w:vAlign w:val="center"/>
          </w:tcPr>
          <w:p w14:paraId="770913D8">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p>
        </w:tc>
        <w:tc>
          <w:tcPr>
            <w:tcW w:w="8375" w:type="dxa"/>
            <w:noWrap w:val="0"/>
            <w:vAlign w:val="center"/>
          </w:tcPr>
          <w:p w14:paraId="298C1C55">
            <w:pPr>
              <w:spacing w:line="240" w:lineRule="atLeas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bCs/>
                <w:color w:val="auto"/>
                <w:sz w:val="24"/>
                <w:szCs w:val="24"/>
                <w:highlight w:val="none"/>
                <w:lang w:val="en-US" w:eastAsia="zh-CN"/>
              </w:rPr>
              <w:t>项目执行过程中，所运用到的规范性文件均以国家或自治区颁布的最新文件为准。</w:t>
            </w:r>
          </w:p>
        </w:tc>
      </w:tr>
      <w:tr w14:paraId="17BB4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3" w:hRule="atLeast"/>
          <w:jc w:val="center"/>
        </w:trPr>
        <w:tc>
          <w:tcPr>
            <w:tcW w:w="1331" w:type="dxa"/>
            <w:vMerge w:val="continue"/>
            <w:noWrap w:val="0"/>
            <w:vAlign w:val="center"/>
          </w:tcPr>
          <w:p w14:paraId="02E994EF">
            <w:pPr>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_GB2312" w:eastAsia="仿宋_GB2312"/>
                <w:color w:val="auto"/>
                <w:sz w:val="24"/>
                <w:highlight w:val="none"/>
              </w:rPr>
            </w:pPr>
          </w:p>
        </w:tc>
        <w:tc>
          <w:tcPr>
            <w:tcW w:w="8375" w:type="dxa"/>
            <w:noWrap w:val="0"/>
            <w:vAlign w:val="center"/>
          </w:tcPr>
          <w:p w14:paraId="1BE374BA">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auto"/>
                <w:spacing w:val="0"/>
                <w:w w:val="100"/>
                <w:position w:val="0"/>
                <w:sz w:val="24"/>
                <w:szCs w:val="24"/>
                <w:highlight w:val="none"/>
                <w:lang w:eastAsia="zh-CN"/>
              </w:rPr>
            </w:pPr>
            <w:r>
              <w:rPr>
                <w:rFonts w:hint="eastAsia" w:ascii="仿宋" w:hAnsi="仿宋" w:eastAsia="仿宋" w:cs="仿宋"/>
                <w:b w:val="0"/>
                <w:bCs w:val="0"/>
                <w:color w:val="auto"/>
                <w:spacing w:val="0"/>
                <w:w w:val="100"/>
                <w:position w:val="0"/>
                <w:sz w:val="24"/>
                <w:szCs w:val="24"/>
                <w:highlight w:val="none"/>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7FC25E8">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auto"/>
                <w:spacing w:val="0"/>
                <w:w w:val="100"/>
                <w:position w:val="0"/>
                <w:sz w:val="24"/>
                <w:szCs w:val="24"/>
                <w:highlight w:val="none"/>
                <w:lang w:eastAsia="zh-CN"/>
              </w:rPr>
            </w:pPr>
            <w:r>
              <w:rPr>
                <w:rFonts w:hint="eastAsia" w:ascii="仿宋" w:hAnsi="仿宋" w:eastAsia="仿宋" w:cs="仿宋"/>
                <w:b w:val="0"/>
                <w:bCs w:val="0"/>
                <w:color w:val="auto"/>
                <w:spacing w:val="0"/>
                <w:w w:val="100"/>
                <w:position w:val="0"/>
                <w:sz w:val="24"/>
                <w:szCs w:val="24"/>
                <w:highlight w:val="none"/>
              </w:rPr>
              <w:t>2.本项目实行网上投标，采用电子</w:t>
            </w:r>
            <w:r>
              <w:rPr>
                <w:rFonts w:hint="eastAsia" w:ascii="仿宋" w:hAnsi="仿宋" w:eastAsia="仿宋" w:cs="仿宋"/>
                <w:b w:val="0"/>
                <w:bCs w:val="0"/>
                <w:color w:val="auto"/>
                <w:spacing w:val="0"/>
                <w:w w:val="100"/>
                <w:position w:val="0"/>
                <w:sz w:val="24"/>
                <w:szCs w:val="24"/>
                <w:highlight w:val="none"/>
                <w:lang w:eastAsia="zh-CN"/>
              </w:rPr>
              <w:t>响应</w:t>
            </w:r>
            <w:r>
              <w:rPr>
                <w:rFonts w:hint="eastAsia" w:ascii="仿宋" w:hAnsi="仿宋" w:eastAsia="仿宋" w:cs="仿宋"/>
                <w:b w:val="0"/>
                <w:bCs w:val="0"/>
                <w:color w:val="auto"/>
                <w:spacing w:val="0"/>
                <w:w w:val="100"/>
                <w:position w:val="0"/>
                <w:sz w:val="24"/>
                <w:szCs w:val="24"/>
                <w:highlight w:val="none"/>
              </w:rPr>
              <w:t>文件(供应商须使用CA加密设备通过政采云电子投标客户端制作</w:t>
            </w:r>
            <w:r>
              <w:rPr>
                <w:rFonts w:hint="eastAsia" w:ascii="仿宋" w:hAnsi="仿宋" w:eastAsia="仿宋" w:cs="仿宋"/>
                <w:b w:val="0"/>
                <w:bCs w:val="0"/>
                <w:color w:val="auto"/>
                <w:spacing w:val="0"/>
                <w:w w:val="100"/>
                <w:position w:val="0"/>
                <w:sz w:val="24"/>
                <w:szCs w:val="24"/>
                <w:highlight w:val="none"/>
                <w:lang w:eastAsia="zh-CN"/>
              </w:rPr>
              <w:t>响应</w:t>
            </w:r>
            <w:r>
              <w:rPr>
                <w:rFonts w:hint="eastAsia" w:ascii="仿宋" w:hAnsi="仿宋" w:eastAsia="仿宋" w:cs="仿宋"/>
                <w:b w:val="0"/>
                <w:bCs w:val="0"/>
                <w:color w:val="auto"/>
                <w:spacing w:val="0"/>
                <w:w w:val="100"/>
                <w:position w:val="0"/>
                <w:sz w:val="24"/>
                <w:szCs w:val="24"/>
                <w:highlight w:val="none"/>
              </w:rPr>
              <w:t>文件)。若供应商参与投标，自行承担投标一切费用。</w:t>
            </w:r>
          </w:p>
          <w:p w14:paraId="679F26E1">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auto"/>
                <w:spacing w:val="0"/>
                <w:w w:val="100"/>
                <w:position w:val="0"/>
                <w:sz w:val="24"/>
                <w:szCs w:val="24"/>
                <w:highlight w:val="none"/>
                <w:lang w:eastAsia="zh-CN"/>
              </w:rPr>
            </w:pPr>
            <w:r>
              <w:rPr>
                <w:rFonts w:hint="eastAsia" w:ascii="仿宋" w:hAnsi="仿宋" w:eastAsia="仿宋" w:cs="仿宋"/>
                <w:b w:val="0"/>
                <w:bCs w:val="0"/>
                <w:color w:val="auto"/>
                <w:spacing w:val="0"/>
                <w:w w:val="100"/>
                <w:position w:val="0"/>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565D8377">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auto"/>
                <w:spacing w:val="0"/>
                <w:w w:val="100"/>
                <w:position w:val="0"/>
                <w:sz w:val="24"/>
                <w:szCs w:val="24"/>
                <w:highlight w:val="none"/>
                <w:lang w:eastAsia="zh-CN"/>
              </w:rPr>
            </w:pPr>
            <w:r>
              <w:rPr>
                <w:rFonts w:hint="eastAsia" w:ascii="仿宋" w:hAnsi="仿宋" w:eastAsia="仿宋" w:cs="仿宋"/>
                <w:b w:val="0"/>
                <w:bCs w:val="0"/>
                <w:color w:val="auto"/>
                <w:spacing w:val="0"/>
                <w:w w:val="100"/>
                <w:position w:val="0"/>
                <w:sz w:val="24"/>
                <w:szCs w:val="24"/>
                <w:highlight w:val="none"/>
              </w:rPr>
              <w:t>4.供应商将政采云电子交易客户端下载、安装完成后，可通过账号密码或CA登录客户端进行</w:t>
            </w:r>
            <w:r>
              <w:rPr>
                <w:rFonts w:hint="eastAsia" w:ascii="仿宋" w:hAnsi="仿宋" w:eastAsia="仿宋" w:cs="仿宋"/>
                <w:b w:val="0"/>
                <w:bCs w:val="0"/>
                <w:color w:val="auto"/>
                <w:spacing w:val="0"/>
                <w:w w:val="100"/>
                <w:position w:val="0"/>
                <w:sz w:val="24"/>
                <w:szCs w:val="24"/>
                <w:highlight w:val="none"/>
                <w:lang w:eastAsia="zh-CN"/>
              </w:rPr>
              <w:t>响应</w:t>
            </w:r>
            <w:r>
              <w:rPr>
                <w:rFonts w:hint="eastAsia" w:ascii="仿宋" w:hAnsi="仿宋" w:eastAsia="仿宋" w:cs="仿宋"/>
                <w:b w:val="0"/>
                <w:bCs w:val="0"/>
                <w:color w:val="auto"/>
                <w:spacing w:val="0"/>
                <w:w w:val="100"/>
                <w:position w:val="0"/>
                <w:sz w:val="24"/>
                <w:szCs w:val="24"/>
                <w:highlight w:val="none"/>
              </w:rPr>
              <w:t>文件制作。在使用政采云投标客户端时，建议使用WIN7及以上操作系统。客户端请至新疆政府采购网（http://www.ccgp-xinjiang.gov.cn/）下载专区查看，如有问题可拨打政采云客户服务热线95763进行咨询。</w:t>
            </w:r>
          </w:p>
          <w:p w14:paraId="05971D36">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auto"/>
                <w:spacing w:val="0"/>
                <w:w w:val="100"/>
                <w:position w:val="0"/>
                <w:sz w:val="24"/>
                <w:szCs w:val="24"/>
                <w:highlight w:val="none"/>
                <w:lang w:eastAsia="zh-CN"/>
              </w:rPr>
            </w:pPr>
            <w:r>
              <w:rPr>
                <w:rFonts w:hint="eastAsia" w:ascii="仿宋" w:hAnsi="仿宋" w:eastAsia="仿宋" w:cs="仿宋"/>
                <w:b w:val="0"/>
                <w:bCs w:val="0"/>
                <w:color w:val="auto"/>
                <w:spacing w:val="0"/>
                <w:w w:val="100"/>
                <w:position w:val="0"/>
                <w:sz w:val="24"/>
                <w:szCs w:val="24"/>
                <w:highlight w:val="none"/>
              </w:rPr>
              <w:t>5.供应商在开标时须使用制作加密电子</w:t>
            </w:r>
            <w:r>
              <w:rPr>
                <w:rFonts w:hint="eastAsia" w:ascii="仿宋" w:hAnsi="仿宋" w:eastAsia="仿宋" w:cs="仿宋"/>
                <w:b w:val="0"/>
                <w:bCs w:val="0"/>
                <w:color w:val="auto"/>
                <w:spacing w:val="0"/>
                <w:w w:val="100"/>
                <w:position w:val="0"/>
                <w:sz w:val="24"/>
                <w:szCs w:val="24"/>
                <w:highlight w:val="none"/>
                <w:lang w:eastAsia="zh-CN"/>
              </w:rPr>
              <w:t>响应</w:t>
            </w:r>
            <w:r>
              <w:rPr>
                <w:rFonts w:hint="eastAsia" w:ascii="仿宋" w:hAnsi="仿宋" w:eastAsia="仿宋" w:cs="仿宋"/>
                <w:b w:val="0"/>
                <w:bCs w:val="0"/>
                <w:color w:val="auto"/>
                <w:spacing w:val="0"/>
                <w:w w:val="100"/>
                <w:position w:val="0"/>
                <w:sz w:val="24"/>
                <w:szCs w:val="24"/>
                <w:highlight w:val="none"/>
              </w:rPr>
              <w:t>文件所使用的CA锁及电脑，电脑须提前配置好浏览器（建议使用谷歌浏览器），以便开标时解锁。</w:t>
            </w:r>
          </w:p>
          <w:p w14:paraId="1D106FCF">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auto"/>
                <w:spacing w:val="0"/>
                <w:w w:val="100"/>
                <w:position w:val="0"/>
                <w:sz w:val="24"/>
                <w:szCs w:val="24"/>
                <w:highlight w:val="none"/>
                <w:lang w:eastAsia="zh-CN"/>
              </w:rPr>
            </w:pPr>
            <w:r>
              <w:rPr>
                <w:rFonts w:hint="eastAsia" w:ascii="仿宋" w:hAnsi="仿宋" w:eastAsia="仿宋" w:cs="仿宋"/>
                <w:b w:val="0"/>
                <w:bCs w:val="0"/>
                <w:color w:val="auto"/>
                <w:spacing w:val="0"/>
                <w:w w:val="100"/>
                <w:position w:val="0"/>
                <w:sz w:val="24"/>
                <w:szCs w:val="24"/>
                <w:highlight w:val="none"/>
              </w:rPr>
              <w:t>6.</w:t>
            </w:r>
            <w:r>
              <w:rPr>
                <w:rFonts w:hint="eastAsia" w:ascii="仿宋" w:hAnsi="仿宋" w:eastAsia="仿宋" w:cs="仿宋"/>
                <w:b w:val="0"/>
                <w:bCs w:val="0"/>
                <w:color w:val="auto"/>
                <w:spacing w:val="0"/>
                <w:w w:val="100"/>
                <w:position w:val="0"/>
                <w:sz w:val="24"/>
                <w:szCs w:val="24"/>
                <w:highlight w:val="none"/>
                <w:lang w:eastAsia="zh-CN"/>
              </w:rPr>
              <w:t>磋商保证金</w:t>
            </w:r>
            <w:r>
              <w:rPr>
                <w:rFonts w:hint="eastAsia" w:ascii="仿宋" w:hAnsi="仿宋" w:eastAsia="仿宋" w:cs="仿宋"/>
                <w:b w:val="0"/>
                <w:bCs w:val="0"/>
                <w:color w:val="auto"/>
                <w:spacing w:val="0"/>
                <w:w w:val="100"/>
                <w:position w:val="0"/>
                <w:sz w:val="24"/>
                <w:szCs w:val="24"/>
                <w:highlight w:val="none"/>
              </w:rPr>
              <w:t>缴纳及确认时间：凡拟参加本次招标项目的供应商，必须在开标前将</w:t>
            </w:r>
            <w:r>
              <w:rPr>
                <w:rFonts w:hint="eastAsia" w:ascii="仿宋" w:hAnsi="仿宋" w:eastAsia="仿宋" w:cs="仿宋"/>
                <w:b w:val="0"/>
                <w:bCs w:val="0"/>
                <w:color w:val="auto"/>
                <w:spacing w:val="0"/>
                <w:w w:val="100"/>
                <w:position w:val="0"/>
                <w:sz w:val="24"/>
                <w:szCs w:val="24"/>
                <w:highlight w:val="none"/>
                <w:lang w:eastAsia="zh-CN"/>
              </w:rPr>
              <w:t>磋商保证金</w:t>
            </w:r>
            <w:r>
              <w:rPr>
                <w:rFonts w:hint="eastAsia" w:ascii="仿宋" w:hAnsi="仿宋" w:eastAsia="仿宋" w:cs="仿宋"/>
                <w:b w:val="0"/>
                <w:bCs w:val="0"/>
                <w:color w:val="auto"/>
                <w:spacing w:val="0"/>
                <w:w w:val="100"/>
                <w:position w:val="0"/>
                <w:sz w:val="24"/>
                <w:szCs w:val="24"/>
                <w:highlight w:val="none"/>
              </w:rPr>
              <w:t>汇入指定账户。</w:t>
            </w:r>
            <w:r>
              <w:rPr>
                <w:rFonts w:hint="eastAsia" w:ascii="仿宋" w:hAnsi="仿宋" w:eastAsia="仿宋" w:cs="仿宋"/>
                <w:b w:val="0"/>
                <w:bCs w:val="0"/>
                <w:color w:val="auto"/>
                <w:spacing w:val="0"/>
                <w:w w:val="100"/>
                <w:position w:val="0"/>
                <w:sz w:val="24"/>
                <w:szCs w:val="24"/>
                <w:highlight w:val="none"/>
                <w:lang w:eastAsia="zh-CN"/>
              </w:rPr>
              <w:t>磋商保证金</w:t>
            </w:r>
            <w:r>
              <w:rPr>
                <w:rFonts w:hint="eastAsia" w:ascii="仿宋" w:hAnsi="仿宋" w:eastAsia="仿宋" w:cs="仿宋"/>
                <w:b w:val="0"/>
                <w:bCs w:val="0"/>
                <w:color w:val="auto"/>
                <w:spacing w:val="0"/>
                <w:w w:val="100"/>
                <w:position w:val="0"/>
                <w:sz w:val="24"/>
                <w:szCs w:val="24"/>
                <w:highlight w:val="none"/>
              </w:rPr>
              <w:t>汇款凭证上用途栏应注明:招标项目名称+标项号+</w:t>
            </w:r>
            <w:r>
              <w:rPr>
                <w:rFonts w:hint="eastAsia" w:ascii="仿宋" w:hAnsi="仿宋" w:eastAsia="仿宋" w:cs="仿宋"/>
                <w:b w:val="0"/>
                <w:bCs w:val="0"/>
                <w:color w:val="auto"/>
                <w:spacing w:val="0"/>
                <w:w w:val="100"/>
                <w:position w:val="0"/>
                <w:sz w:val="24"/>
                <w:szCs w:val="24"/>
                <w:highlight w:val="none"/>
                <w:lang w:eastAsia="zh-CN"/>
              </w:rPr>
              <w:t>磋商保证金</w:t>
            </w:r>
            <w:r>
              <w:rPr>
                <w:rFonts w:hint="eastAsia" w:ascii="仿宋" w:hAnsi="仿宋" w:eastAsia="仿宋" w:cs="仿宋"/>
                <w:b w:val="0"/>
                <w:bCs w:val="0"/>
                <w:color w:val="auto"/>
                <w:spacing w:val="0"/>
                <w:w w:val="100"/>
                <w:position w:val="0"/>
                <w:sz w:val="24"/>
                <w:szCs w:val="24"/>
                <w:highlight w:val="none"/>
              </w:rPr>
              <w:t>。否则，届时其投标将被拒绝。</w:t>
            </w:r>
          </w:p>
          <w:p w14:paraId="32B2B14F">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tc>
      </w:tr>
    </w:tbl>
    <w:p w14:paraId="5612C423">
      <w:pPr>
        <w:pStyle w:val="2"/>
        <w:bidi w:val="0"/>
        <w:outlineLvl w:val="9"/>
        <w:sectPr>
          <w:footerReference r:id="rId15" w:type="default"/>
          <w:headerReference r:id="rId14" w:type="even"/>
          <w:footerReference r:id="rId16" w:type="even"/>
          <w:pgSz w:w="11906" w:h="16838"/>
          <w:pgMar w:top="1440" w:right="1080" w:bottom="1440" w:left="1080" w:header="851" w:footer="992" w:gutter="0"/>
          <w:pgNumType w:fmt="decimal"/>
          <w:cols w:space="720" w:num="1"/>
          <w:docGrid w:linePitch="312" w:charSpace="0"/>
        </w:sectPr>
      </w:pPr>
    </w:p>
    <w:p w14:paraId="77D0359B">
      <w:pPr>
        <w:pStyle w:val="2"/>
        <w:numPr>
          <w:ilvl w:val="0"/>
          <w:numId w:val="0"/>
        </w:numPr>
        <w:tabs>
          <w:tab w:val="left" w:pos="0"/>
        </w:tabs>
        <w:spacing w:before="0" w:after="0" w:line="240" w:lineRule="atLeast"/>
        <w:ind w:leftChars="0"/>
        <w:jc w:val="center"/>
        <w:rPr>
          <w:rFonts w:hint="eastAsia"/>
          <w:color w:val="auto"/>
          <w:sz w:val="36"/>
          <w:szCs w:val="21"/>
          <w:highlight w:val="none"/>
          <w:lang w:val="en-US" w:eastAsia="zh-CN"/>
        </w:rPr>
      </w:pPr>
      <w:bookmarkStart w:id="436" w:name="_Toc28258"/>
      <w:bookmarkStart w:id="437" w:name="_Toc218935354"/>
      <w:bookmarkStart w:id="438" w:name="_Toc10695"/>
      <w:bookmarkStart w:id="439" w:name="_Toc512937852"/>
      <w:bookmarkStart w:id="440" w:name="_Toc518923126"/>
      <w:bookmarkStart w:id="441" w:name="_Toc31550"/>
      <w:bookmarkStart w:id="442" w:name="_Toc219175638"/>
      <w:bookmarkStart w:id="443" w:name="_Toc4879"/>
      <w:bookmarkStart w:id="444" w:name="_Toc216582825"/>
      <w:bookmarkStart w:id="445" w:name="_Toc16938"/>
      <w:bookmarkStart w:id="446" w:name="_Toc507399906"/>
      <w:bookmarkStart w:id="447" w:name="_Toc25666"/>
      <w:r>
        <w:rPr>
          <w:rFonts w:hint="eastAsia" w:ascii="仿宋_GB2312" w:eastAsia="仿宋_GB2312"/>
          <w:color w:val="auto"/>
          <w:sz w:val="36"/>
          <w:szCs w:val="21"/>
          <w:highlight w:val="none"/>
          <w:lang w:val="en-US" w:eastAsia="zh-CN"/>
        </w:rPr>
        <w:t>第五章、采购</w:t>
      </w:r>
      <w:r>
        <w:rPr>
          <w:rFonts w:hint="eastAsia" w:ascii="仿宋_GB2312" w:eastAsia="仿宋_GB2312"/>
          <w:color w:val="auto"/>
          <w:sz w:val="36"/>
          <w:szCs w:val="21"/>
          <w:highlight w:val="none"/>
        </w:rPr>
        <w:t>需求</w:t>
      </w:r>
      <w:bookmarkEnd w:id="436"/>
      <w:bookmarkEnd w:id="437"/>
      <w:bookmarkEnd w:id="438"/>
      <w:bookmarkEnd w:id="439"/>
      <w:bookmarkEnd w:id="440"/>
      <w:bookmarkEnd w:id="441"/>
      <w:bookmarkEnd w:id="442"/>
      <w:bookmarkEnd w:id="443"/>
      <w:bookmarkEnd w:id="444"/>
      <w:bookmarkEnd w:id="445"/>
      <w:bookmarkEnd w:id="446"/>
      <w:bookmarkEnd w:id="447"/>
    </w:p>
    <w:p w14:paraId="3CE6C752">
      <w:pPr>
        <w:pStyle w:val="58"/>
        <w:keepNext w:val="0"/>
        <w:keepLines w:val="0"/>
        <w:pageBreakBefore w:val="0"/>
        <w:widowControl w:val="0"/>
        <w:kinsoku/>
        <w:wordWrap/>
        <w:overflowPunct/>
        <w:topLinePunct w:val="0"/>
        <w:bidi w:val="0"/>
        <w:snapToGrid/>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一、档案整理的需求</w:t>
      </w:r>
    </w:p>
    <w:p w14:paraId="3E318DD3">
      <w:pPr>
        <w:pStyle w:val="58"/>
        <w:keepNext w:val="0"/>
        <w:keepLines w:val="0"/>
        <w:pageBreakBefore w:val="0"/>
        <w:widowControl w:val="0"/>
        <w:kinsoku/>
        <w:wordWrap/>
        <w:overflowPunct/>
        <w:topLinePunct w:val="0"/>
        <w:bidi w:val="0"/>
        <w:snapToGrid/>
        <w:ind w:firstLine="560" w:firstLineChars="200"/>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1、将2004年-2025年的文书档案、专业档案等通过档案收集、整理、分类、鉴定，完善建立档案门类并进行数字化扫描。</w:t>
      </w:r>
    </w:p>
    <w:p w14:paraId="0D174E97">
      <w:pPr>
        <w:pStyle w:val="58"/>
        <w:keepNext w:val="0"/>
        <w:keepLines w:val="0"/>
        <w:pageBreakBefore w:val="0"/>
        <w:widowControl w:val="0"/>
        <w:kinsoku/>
        <w:wordWrap/>
        <w:overflowPunct/>
        <w:topLinePunct w:val="0"/>
        <w:bidi w:val="0"/>
        <w:snapToGrid/>
        <w:ind w:firstLine="560" w:firstLineChars="200"/>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2、将2004年-2025年业务案卷档案拆卷、标页、扫描、编目、打印、装卷等工作，将纸介质文件进行整理。</w:t>
      </w:r>
    </w:p>
    <w:p w14:paraId="5F624A60">
      <w:pPr>
        <w:pStyle w:val="58"/>
        <w:keepNext w:val="0"/>
        <w:keepLines w:val="0"/>
        <w:pageBreakBefore w:val="0"/>
        <w:widowControl w:val="0"/>
        <w:kinsoku/>
        <w:wordWrap/>
        <w:overflowPunct/>
        <w:topLinePunct w:val="0"/>
        <w:bidi w:val="0"/>
        <w:snapToGrid/>
        <w:ind w:firstLine="560" w:firstLineChars="200"/>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3、将2004-2025年档案通过档案数字化，数据挂接至档案管理软件实现档案电子化利用；</w:t>
      </w:r>
    </w:p>
    <w:p w14:paraId="09D5DABC">
      <w:pPr>
        <w:pStyle w:val="58"/>
        <w:keepNext w:val="0"/>
        <w:keepLines w:val="0"/>
        <w:pageBreakBefore w:val="0"/>
        <w:widowControl w:val="0"/>
        <w:kinsoku/>
        <w:wordWrap/>
        <w:overflowPunct/>
        <w:topLinePunct w:val="0"/>
        <w:bidi w:val="0"/>
        <w:snapToGrid/>
        <w:ind w:firstLine="560" w:firstLineChars="200"/>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4、将专业档案进行科学、有效地收集、鉴定、分类、归档等，建立符合卫生监督所实际情况的业务档案。</w:t>
      </w:r>
    </w:p>
    <w:p w14:paraId="1761FF23">
      <w:pPr>
        <w:pStyle w:val="58"/>
        <w:keepNext w:val="0"/>
        <w:keepLines w:val="0"/>
        <w:pageBreakBefore w:val="0"/>
        <w:widowControl w:val="0"/>
        <w:kinsoku/>
        <w:wordWrap/>
        <w:overflowPunct/>
        <w:topLinePunct w:val="0"/>
        <w:bidi w:val="0"/>
        <w:snapToGrid/>
        <w:ind w:firstLine="560" w:firstLineChars="200"/>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5、建立档案整理及数字化流程，规范档案室建设。</w:t>
      </w:r>
    </w:p>
    <w:p w14:paraId="09AC8437">
      <w:pPr>
        <w:pStyle w:val="58"/>
        <w:keepNext w:val="0"/>
        <w:keepLines w:val="0"/>
        <w:pageBreakBefore w:val="0"/>
        <w:widowControl w:val="0"/>
        <w:kinsoku/>
        <w:wordWrap/>
        <w:overflowPunct/>
        <w:topLinePunct w:val="0"/>
        <w:bidi w:val="0"/>
        <w:snapToGrid/>
        <w:ind w:firstLine="560" w:firstLineChars="200"/>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6、保证档案著录及数据整合的高准确率。</w:t>
      </w:r>
    </w:p>
    <w:tbl>
      <w:tblPr>
        <w:tblStyle w:val="37"/>
        <w:tblpPr w:leftFromText="180" w:rightFromText="180" w:vertAnchor="text" w:horzAnchor="page" w:tblpXSpec="center" w:tblpY="388"/>
        <w:tblOverlap w:val="never"/>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5355"/>
        <w:gridCol w:w="3029"/>
      </w:tblGrid>
      <w:tr w14:paraId="1BA77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3DE72401">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1、文书档案整理</w:t>
            </w:r>
          </w:p>
        </w:tc>
        <w:tc>
          <w:tcPr>
            <w:tcW w:w="5355" w:type="dxa"/>
            <w:tcBorders>
              <w:top w:val="single" w:color="000000" w:sz="4" w:space="0"/>
              <w:left w:val="single" w:color="000000" w:sz="4" w:space="0"/>
              <w:bottom w:val="single" w:color="000000" w:sz="4" w:space="0"/>
              <w:right w:val="single" w:color="000000" w:sz="4" w:space="0"/>
            </w:tcBorders>
            <w:vAlign w:val="center"/>
          </w:tcPr>
          <w:p w14:paraId="299DA45F">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 将严格按照《国家档案局第13号令》、《文书档案归档整理规范》、依照《档案归档范围》、《档案保管期限表》等分类方案对各门类、各载体的档案进行整理规范</w:t>
            </w:r>
          </w:p>
        </w:tc>
        <w:tc>
          <w:tcPr>
            <w:tcW w:w="3029" w:type="dxa"/>
            <w:tcBorders>
              <w:top w:val="single" w:color="000000" w:sz="4" w:space="0"/>
              <w:left w:val="single" w:color="000000" w:sz="4" w:space="0"/>
              <w:bottom w:val="single" w:color="000000" w:sz="4" w:space="0"/>
              <w:right w:val="single" w:color="000000" w:sz="4" w:space="0"/>
            </w:tcBorders>
            <w:vAlign w:val="center"/>
          </w:tcPr>
          <w:p w14:paraId="31F639B0">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2004年-2025年文书档案约520个盒子，业务档案约540卷业务档案</w:t>
            </w:r>
          </w:p>
        </w:tc>
      </w:tr>
      <w:tr w14:paraId="374C9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78DE061F">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2、业务档案整理</w:t>
            </w:r>
          </w:p>
        </w:tc>
        <w:tc>
          <w:tcPr>
            <w:tcW w:w="5355" w:type="dxa"/>
            <w:tcBorders>
              <w:top w:val="single" w:color="000000" w:sz="4" w:space="0"/>
              <w:left w:val="single" w:color="000000" w:sz="4" w:space="0"/>
              <w:bottom w:val="single" w:color="000000" w:sz="4" w:space="0"/>
              <w:right w:val="single" w:color="000000" w:sz="4" w:space="0"/>
            </w:tcBorders>
            <w:vAlign w:val="center"/>
          </w:tcPr>
          <w:p w14:paraId="2166C343">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根据档案著录规则（DAT/18-1999）将档案重要信息著录进相应Excel表格中，重要信息包含:文件题名、责任者、文件编号、文件日期、档号等.将以上档案信息著录进相应Excel表格中；</w:t>
            </w:r>
          </w:p>
        </w:tc>
        <w:tc>
          <w:tcPr>
            <w:tcW w:w="3029" w:type="dxa"/>
            <w:tcBorders>
              <w:top w:val="single" w:color="000000" w:sz="4" w:space="0"/>
              <w:left w:val="single" w:color="000000" w:sz="4" w:space="0"/>
              <w:bottom w:val="single" w:color="000000" w:sz="4" w:space="0"/>
              <w:right w:val="single" w:color="000000" w:sz="4" w:space="0"/>
            </w:tcBorders>
            <w:vAlign w:val="center"/>
          </w:tcPr>
          <w:p w14:paraId="742E07B9">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2004年-2025年业务档案约540卷业务档案</w:t>
            </w:r>
          </w:p>
        </w:tc>
      </w:tr>
      <w:tr w14:paraId="21D7E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0DF78386">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3.档案数字化</w:t>
            </w:r>
          </w:p>
        </w:tc>
        <w:tc>
          <w:tcPr>
            <w:tcW w:w="5355" w:type="dxa"/>
            <w:tcBorders>
              <w:top w:val="single" w:color="000000" w:sz="4" w:space="0"/>
              <w:left w:val="single" w:color="000000" w:sz="4" w:space="0"/>
              <w:bottom w:val="single" w:color="000000" w:sz="4" w:space="0"/>
              <w:right w:val="single" w:color="000000" w:sz="4" w:space="0"/>
            </w:tcBorders>
            <w:vAlign w:val="center"/>
          </w:tcPr>
          <w:p w14:paraId="761D7EDC">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1.纸质档案的预处理（去除金属异物，纸张修复等）。</w:t>
            </w:r>
          </w:p>
          <w:p w14:paraId="777110C8">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2.档案编目。</w:t>
            </w:r>
          </w:p>
          <w:p w14:paraId="32F32C2A">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3.档案校对。</w:t>
            </w:r>
            <w:r>
              <w:rPr>
                <w:rFonts w:hint="eastAsia" w:ascii="仿宋" w:hAnsi="仿宋" w:eastAsia="仿宋" w:cs="仿宋"/>
                <w:b w:val="0"/>
                <w:bCs w:val="0"/>
                <w:color w:val="auto"/>
                <w:spacing w:val="0"/>
                <w:w w:val="100"/>
                <w:position w:val="0"/>
                <w:sz w:val="28"/>
                <w:szCs w:val="28"/>
                <w:highlight w:val="none"/>
                <w:lang w:val="en-US" w:eastAsia="zh-CN"/>
              </w:rPr>
              <w:br w:type="textWrapping"/>
            </w:r>
            <w:r>
              <w:rPr>
                <w:rFonts w:hint="eastAsia" w:ascii="仿宋" w:hAnsi="仿宋" w:eastAsia="仿宋" w:cs="仿宋"/>
                <w:b w:val="0"/>
                <w:bCs w:val="0"/>
                <w:color w:val="auto"/>
                <w:spacing w:val="0"/>
                <w:w w:val="100"/>
                <w:position w:val="0"/>
                <w:sz w:val="28"/>
                <w:szCs w:val="28"/>
                <w:highlight w:val="none"/>
                <w:lang w:val="en-US" w:eastAsia="zh-CN"/>
              </w:rPr>
              <w:t xml:space="preserve">4.图像扫描（图像质量按照档案局数字化要求进行扫描） 。                   </w:t>
            </w:r>
            <w:r>
              <w:rPr>
                <w:rFonts w:hint="eastAsia" w:ascii="仿宋" w:hAnsi="仿宋" w:eastAsia="仿宋" w:cs="仿宋"/>
                <w:b w:val="0"/>
                <w:bCs w:val="0"/>
                <w:color w:val="auto"/>
                <w:spacing w:val="0"/>
                <w:w w:val="100"/>
                <w:position w:val="0"/>
                <w:sz w:val="28"/>
                <w:szCs w:val="28"/>
                <w:highlight w:val="none"/>
                <w:lang w:val="en-US" w:eastAsia="zh-CN"/>
              </w:rPr>
              <w:br w:type="textWrapping"/>
            </w:r>
            <w:r>
              <w:rPr>
                <w:rFonts w:hint="eastAsia" w:ascii="仿宋" w:hAnsi="仿宋" w:eastAsia="仿宋" w:cs="仿宋"/>
                <w:b w:val="0"/>
                <w:bCs w:val="0"/>
                <w:color w:val="auto"/>
                <w:spacing w:val="0"/>
                <w:w w:val="100"/>
                <w:position w:val="0"/>
                <w:sz w:val="28"/>
                <w:szCs w:val="28"/>
                <w:highlight w:val="none"/>
                <w:lang w:val="en-US" w:eastAsia="zh-CN"/>
              </w:rPr>
              <w:t>5.图像处理（修复内容仅针对本次数字化工作期间产生的图像黑边、变色等问题进行修复，对档案本身就存在的如原装订孔等问题，根据档案局最新要求不对其进行修复工作）。</w:t>
            </w:r>
          </w:p>
          <w:p w14:paraId="0BC3055F">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6.图像校对，优化处理。</w:t>
            </w:r>
            <w:r>
              <w:rPr>
                <w:rFonts w:hint="eastAsia" w:ascii="仿宋" w:hAnsi="仿宋" w:eastAsia="仿宋" w:cs="仿宋"/>
                <w:b w:val="0"/>
                <w:bCs w:val="0"/>
                <w:color w:val="auto"/>
                <w:spacing w:val="0"/>
                <w:w w:val="100"/>
                <w:position w:val="0"/>
                <w:sz w:val="28"/>
                <w:szCs w:val="28"/>
                <w:highlight w:val="none"/>
                <w:lang w:val="en-US" w:eastAsia="zh-CN"/>
              </w:rPr>
              <w:br w:type="textWrapping"/>
            </w:r>
            <w:r>
              <w:rPr>
                <w:rFonts w:hint="eastAsia" w:ascii="仿宋" w:hAnsi="仿宋" w:eastAsia="仿宋" w:cs="仿宋"/>
                <w:b w:val="0"/>
                <w:bCs w:val="0"/>
                <w:color w:val="auto"/>
                <w:spacing w:val="0"/>
                <w:w w:val="100"/>
                <w:position w:val="0"/>
                <w:sz w:val="28"/>
                <w:szCs w:val="28"/>
                <w:highlight w:val="none"/>
                <w:lang w:val="en-US" w:eastAsia="zh-CN"/>
              </w:rPr>
              <w:t>7.档案的装订</w:t>
            </w:r>
          </w:p>
        </w:tc>
        <w:tc>
          <w:tcPr>
            <w:tcW w:w="3029" w:type="dxa"/>
            <w:tcBorders>
              <w:top w:val="single" w:color="000000" w:sz="4" w:space="0"/>
              <w:left w:val="single" w:color="000000" w:sz="4" w:space="0"/>
              <w:bottom w:val="single" w:color="000000" w:sz="4" w:space="0"/>
              <w:right w:val="single" w:color="000000" w:sz="4" w:space="0"/>
            </w:tcBorders>
            <w:vAlign w:val="center"/>
          </w:tcPr>
          <w:p w14:paraId="75C4F1B9">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2004年-2025年文书档案约520个盒子，业务档案约540卷业务档案</w:t>
            </w:r>
          </w:p>
        </w:tc>
      </w:tr>
      <w:tr w14:paraId="46788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49CEA193">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4.档案著录</w:t>
            </w:r>
          </w:p>
        </w:tc>
        <w:tc>
          <w:tcPr>
            <w:tcW w:w="5355" w:type="dxa"/>
            <w:tcBorders>
              <w:top w:val="single" w:color="000000" w:sz="4" w:space="0"/>
              <w:left w:val="single" w:color="000000" w:sz="4" w:space="0"/>
              <w:bottom w:val="single" w:color="000000" w:sz="4" w:space="0"/>
              <w:right w:val="single" w:color="000000" w:sz="4" w:space="0"/>
            </w:tcBorders>
            <w:vAlign w:val="center"/>
          </w:tcPr>
          <w:p w14:paraId="78B127CE">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根据档案著录规则（DAT/18-1999）将档案重要信息著录进相应Excel表格中，重要信息包含:文件题名、责任者、文件编号、文件日期、档号等.将以上档案信息著录进相应Excel表格中；</w:t>
            </w:r>
          </w:p>
        </w:tc>
        <w:tc>
          <w:tcPr>
            <w:tcW w:w="3029" w:type="dxa"/>
            <w:tcBorders>
              <w:top w:val="single" w:color="000000" w:sz="4" w:space="0"/>
              <w:left w:val="single" w:color="000000" w:sz="4" w:space="0"/>
              <w:bottom w:val="single" w:color="000000" w:sz="4" w:space="0"/>
              <w:right w:val="single" w:color="000000" w:sz="4" w:space="0"/>
            </w:tcBorders>
            <w:vAlign w:val="center"/>
          </w:tcPr>
          <w:p w14:paraId="277F9B05">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2004年-2025年文书档案约520个盒子</w:t>
            </w:r>
          </w:p>
        </w:tc>
      </w:tr>
      <w:tr w14:paraId="06472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2B8D0264">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5.打印目录</w:t>
            </w:r>
          </w:p>
        </w:tc>
        <w:tc>
          <w:tcPr>
            <w:tcW w:w="5355" w:type="dxa"/>
            <w:tcBorders>
              <w:top w:val="single" w:color="000000" w:sz="4" w:space="0"/>
              <w:left w:val="single" w:color="000000" w:sz="4" w:space="0"/>
              <w:bottom w:val="single" w:color="000000" w:sz="4" w:space="0"/>
              <w:right w:val="single" w:color="000000" w:sz="4" w:space="0"/>
            </w:tcBorders>
            <w:vAlign w:val="center"/>
          </w:tcPr>
          <w:p w14:paraId="143F6040">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1、将编目完成的目录按照档案局格式要求调成统一模板、统一格式。</w:t>
            </w:r>
          </w:p>
          <w:p w14:paraId="0A530E93">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2、每类目录之后，留有适量的空格，供补充档案材料时使用。</w:t>
            </w:r>
          </w:p>
          <w:p w14:paraId="4A9B3E3D">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3、将打印完成档案目录置于卷首，并确保卷内材料排列顺序与目录相符。</w:t>
            </w:r>
          </w:p>
        </w:tc>
        <w:tc>
          <w:tcPr>
            <w:tcW w:w="3029" w:type="dxa"/>
            <w:tcBorders>
              <w:top w:val="single" w:color="000000" w:sz="4" w:space="0"/>
              <w:left w:val="single" w:color="000000" w:sz="4" w:space="0"/>
              <w:bottom w:val="single" w:color="000000" w:sz="4" w:space="0"/>
              <w:right w:val="single" w:color="000000" w:sz="4" w:space="0"/>
            </w:tcBorders>
            <w:vAlign w:val="center"/>
          </w:tcPr>
          <w:p w14:paraId="0A36D1AE">
            <w:pPr>
              <w:pStyle w:val="58"/>
              <w:keepNext w:val="0"/>
              <w:keepLines w:val="0"/>
              <w:pageBreakBefore w:val="0"/>
              <w:widowControl w:val="0"/>
              <w:kinsoku/>
              <w:wordWrap/>
              <w:overflowPunct/>
              <w:topLinePunct w:val="0"/>
              <w:bidi w:val="0"/>
              <w:snapToGrid/>
              <w:ind w:firstLine="560" w:firstLineChars="200"/>
              <w:jc w:val="both"/>
              <w:textAlignment w:val="auto"/>
              <w:rPr>
                <w:rFonts w:hint="eastAsia" w:ascii="仿宋" w:hAnsi="仿宋" w:eastAsia="仿宋" w:cs="仿宋"/>
                <w:b w:val="0"/>
                <w:bCs w:val="0"/>
                <w:color w:val="auto"/>
                <w:spacing w:val="0"/>
                <w:w w:val="100"/>
                <w:position w:val="0"/>
                <w:sz w:val="28"/>
                <w:szCs w:val="28"/>
                <w:highlight w:val="none"/>
                <w:lang w:val="en-US" w:eastAsia="zh-CN"/>
              </w:rPr>
            </w:pPr>
          </w:p>
        </w:tc>
      </w:tr>
      <w:tr w14:paraId="7B9A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580544A9">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6.电子数据整合</w:t>
            </w:r>
          </w:p>
        </w:tc>
        <w:tc>
          <w:tcPr>
            <w:tcW w:w="5355" w:type="dxa"/>
            <w:tcBorders>
              <w:top w:val="single" w:color="000000" w:sz="4" w:space="0"/>
              <w:left w:val="single" w:color="000000" w:sz="4" w:space="0"/>
              <w:bottom w:val="single" w:color="000000" w:sz="4" w:space="0"/>
              <w:right w:val="single" w:color="000000" w:sz="4" w:space="0"/>
            </w:tcBorders>
            <w:vAlign w:val="center"/>
          </w:tcPr>
          <w:p w14:paraId="25663CEF">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1.将所有分散的档案电子数据进行收集、归类、排序。</w:t>
            </w:r>
            <w:r>
              <w:rPr>
                <w:rFonts w:hint="eastAsia" w:ascii="仿宋" w:hAnsi="仿宋" w:eastAsia="仿宋" w:cs="仿宋"/>
                <w:b w:val="0"/>
                <w:bCs w:val="0"/>
                <w:color w:val="auto"/>
                <w:spacing w:val="0"/>
                <w:w w:val="100"/>
                <w:position w:val="0"/>
                <w:sz w:val="28"/>
                <w:szCs w:val="28"/>
                <w:highlight w:val="none"/>
                <w:lang w:val="en-US" w:eastAsia="zh-CN"/>
              </w:rPr>
              <w:br w:type="textWrapping"/>
            </w:r>
            <w:r>
              <w:rPr>
                <w:rFonts w:hint="eastAsia" w:ascii="仿宋" w:hAnsi="仿宋" w:eastAsia="仿宋" w:cs="仿宋"/>
                <w:b w:val="0"/>
                <w:bCs w:val="0"/>
                <w:color w:val="auto"/>
                <w:spacing w:val="0"/>
                <w:w w:val="100"/>
                <w:position w:val="0"/>
                <w:sz w:val="28"/>
                <w:szCs w:val="28"/>
                <w:highlight w:val="none"/>
                <w:lang w:val="en-US" w:eastAsia="zh-CN"/>
              </w:rPr>
              <w:t>2.数据校验：将已整合好的数据进行逐条校验，做到实体文件与电子目录、电子图像能够一一对应。</w:t>
            </w:r>
            <w:r>
              <w:rPr>
                <w:rFonts w:hint="eastAsia" w:ascii="仿宋" w:hAnsi="仿宋" w:eastAsia="仿宋" w:cs="仿宋"/>
                <w:b w:val="0"/>
                <w:bCs w:val="0"/>
                <w:color w:val="auto"/>
                <w:spacing w:val="0"/>
                <w:w w:val="100"/>
                <w:position w:val="0"/>
                <w:sz w:val="28"/>
                <w:szCs w:val="28"/>
                <w:highlight w:val="none"/>
                <w:lang w:val="en-US" w:eastAsia="zh-CN"/>
              </w:rPr>
              <w:br w:type="textWrapping"/>
            </w:r>
            <w:r>
              <w:rPr>
                <w:rFonts w:hint="eastAsia" w:ascii="仿宋" w:hAnsi="仿宋" w:eastAsia="仿宋" w:cs="仿宋"/>
                <w:b w:val="0"/>
                <w:bCs w:val="0"/>
                <w:color w:val="auto"/>
                <w:spacing w:val="0"/>
                <w:w w:val="100"/>
                <w:position w:val="0"/>
                <w:sz w:val="28"/>
                <w:szCs w:val="28"/>
                <w:highlight w:val="none"/>
                <w:lang w:val="en-US" w:eastAsia="zh-CN"/>
              </w:rPr>
              <w:t>3.数据命名方式根据档案局统一要求标准，确保图像命名的唯一性。</w:t>
            </w:r>
          </w:p>
        </w:tc>
        <w:tc>
          <w:tcPr>
            <w:tcW w:w="3029" w:type="dxa"/>
            <w:tcBorders>
              <w:top w:val="single" w:color="000000" w:sz="4" w:space="0"/>
              <w:left w:val="single" w:color="000000" w:sz="4" w:space="0"/>
              <w:bottom w:val="single" w:color="000000" w:sz="4" w:space="0"/>
              <w:right w:val="single" w:color="000000" w:sz="4" w:space="0"/>
            </w:tcBorders>
            <w:vAlign w:val="center"/>
          </w:tcPr>
          <w:p w14:paraId="7BD191B4">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至少整合两遍，一次由项目主管数据汇总整合；一次由技术人员数据挂接时再次整合，确保数据与录入内容唯一关联性，确保档案数据挂接质量。</w:t>
            </w:r>
          </w:p>
        </w:tc>
      </w:tr>
      <w:tr w14:paraId="0127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3AB19BB2">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7、不归  档文件的著录</w:t>
            </w:r>
          </w:p>
        </w:tc>
        <w:tc>
          <w:tcPr>
            <w:tcW w:w="5355" w:type="dxa"/>
            <w:tcBorders>
              <w:top w:val="single" w:color="000000" w:sz="4" w:space="0"/>
              <w:left w:val="single" w:color="000000" w:sz="4" w:space="0"/>
              <w:bottom w:val="single" w:color="000000" w:sz="4" w:space="0"/>
              <w:right w:val="single" w:color="000000" w:sz="4" w:space="0"/>
            </w:tcBorders>
            <w:vAlign w:val="center"/>
          </w:tcPr>
          <w:p w14:paraId="3DE1EE79">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将不归档文件整理，制作成销毁清册，并打出相应的电子目录，</w:t>
            </w:r>
          </w:p>
        </w:tc>
        <w:tc>
          <w:tcPr>
            <w:tcW w:w="3029" w:type="dxa"/>
            <w:tcBorders>
              <w:top w:val="single" w:color="000000" w:sz="4" w:space="0"/>
              <w:left w:val="single" w:color="000000" w:sz="4" w:space="0"/>
              <w:bottom w:val="single" w:color="000000" w:sz="4" w:space="0"/>
              <w:right w:val="single" w:color="000000" w:sz="4" w:space="0"/>
            </w:tcBorders>
            <w:vAlign w:val="center"/>
          </w:tcPr>
          <w:p w14:paraId="4D4A566D">
            <w:pPr>
              <w:pStyle w:val="58"/>
              <w:keepNext w:val="0"/>
              <w:keepLines w:val="0"/>
              <w:pageBreakBefore w:val="0"/>
              <w:widowControl w:val="0"/>
              <w:kinsoku/>
              <w:wordWrap/>
              <w:overflowPunct/>
              <w:topLinePunct w:val="0"/>
              <w:bidi w:val="0"/>
              <w:snapToGrid/>
              <w:ind w:firstLine="560" w:firstLineChars="200"/>
              <w:jc w:val="both"/>
              <w:textAlignment w:val="auto"/>
              <w:rPr>
                <w:rFonts w:hint="eastAsia" w:ascii="仿宋" w:hAnsi="仿宋" w:eastAsia="仿宋" w:cs="仿宋"/>
                <w:b w:val="0"/>
                <w:bCs w:val="0"/>
                <w:color w:val="auto"/>
                <w:spacing w:val="0"/>
                <w:w w:val="100"/>
                <w:position w:val="0"/>
                <w:sz w:val="28"/>
                <w:szCs w:val="28"/>
                <w:highlight w:val="none"/>
                <w:lang w:val="en-US" w:eastAsia="zh-CN"/>
              </w:rPr>
            </w:pPr>
          </w:p>
        </w:tc>
      </w:tr>
      <w:tr w14:paraId="2300F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5AA9839A">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8.档案管理软件</w:t>
            </w:r>
          </w:p>
        </w:tc>
        <w:tc>
          <w:tcPr>
            <w:tcW w:w="5355" w:type="dxa"/>
            <w:tcBorders>
              <w:top w:val="single" w:color="000000" w:sz="4" w:space="0"/>
              <w:left w:val="single" w:color="000000" w:sz="4" w:space="0"/>
              <w:bottom w:val="single" w:color="000000" w:sz="4" w:space="0"/>
              <w:right w:val="single" w:color="000000" w:sz="4" w:space="0"/>
            </w:tcBorders>
            <w:vAlign w:val="center"/>
          </w:tcPr>
          <w:p w14:paraId="72E5BD2C">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综合档案管理系统单机版（含软件操作培训，1年内免费维护）</w:t>
            </w:r>
          </w:p>
          <w:p w14:paraId="7690D310">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可依据单位档案情况定制档案模块，操作简单，系统稳定。</w:t>
            </w:r>
          </w:p>
        </w:tc>
        <w:tc>
          <w:tcPr>
            <w:tcW w:w="3029" w:type="dxa"/>
            <w:tcBorders>
              <w:top w:val="single" w:color="000000" w:sz="4" w:space="0"/>
              <w:left w:val="single" w:color="000000" w:sz="4" w:space="0"/>
              <w:bottom w:val="single" w:color="000000" w:sz="4" w:space="0"/>
              <w:right w:val="single" w:color="000000" w:sz="4" w:space="0"/>
            </w:tcBorders>
            <w:vAlign w:val="center"/>
          </w:tcPr>
          <w:p w14:paraId="15E6036D">
            <w:pPr>
              <w:pStyle w:val="58"/>
              <w:keepNext w:val="0"/>
              <w:keepLines w:val="0"/>
              <w:pageBreakBefore w:val="0"/>
              <w:widowControl w:val="0"/>
              <w:kinsoku/>
              <w:wordWrap/>
              <w:overflowPunct/>
              <w:topLinePunct w:val="0"/>
              <w:bidi w:val="0"/>
              <w:snapToGrid/>
              <w:ind w:firstLine="560" w:firstLineChars="200"/>
              <w:jc w:val="both"/>
              <w:textAlignment w:val="auto"/>
              <w:rPr>
                <w:rFonts w:hint="eastAsia" w:ascii="仿宋" w:hAnsi="仿宋" w:eastAsia="仿宋" w:cs="仿宋"/>
                <w:b w:val="0"/>
                <w:bCs w:val="0"/>
                <w:color w:val="auto"/>
                <w:spacing w:val="0"/>
                <w:w w:val="100"/>
                <w:position w:val="0"/>
                <w:sz w:val="28"/>
                <w:szCs w:val="28"/>
                <w:highlight w:val="none"/>
                <w:lang w:val="en-US" w:eastAsia="zh-CN"/>
              </w:rPr>
            </w:pPr>
          </w:p>
        </w:tc>
      </w:tr>
      <w:tr w14:paraId="1B9C9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13BB38B8">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9.数据备份</w:t>
            </w:r>
          </w:p>
        </w:tc>
        <w:tc>
          <w:tcPr>
            <w:tcW w:w="5355" w:type="dxa"/>
            <w:tcBorders>
              <w:top w:val="single" w:color="000000" w:sz="4" w:space="0"/>
              <w:left w:val="single" w:color="000000" w:sz="4" w:space="0"/>
              <w:bottom w:val="single" w:color="000000" w:sz="4" w:space="0"/>
              <w:right w:val="single" w:color="000000" w:sz="4" w:space="0"/>
            </w:tcBorders>
            <w:vAlign w:val="center"/>
          </w:tcPr>
          <w:p w14:paraId="3782F376">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可提供不同格式（JPG/PDF）和不同载体（光盘/移动硬盘等）备份方式供甲方选择。</w:t>
            </w:r>
          </w:p>
        </w:tc>
        <w:tc>
          <w:tcPr>
            <w:tcW w:w="3029" w:type="dxa"/>
            <w:tcBorders>
              <w:top w:val="single" w:color="000000" w:sz="4" w:space="0"/>
              <w:left w:val="single" w:color="000000" w:sz="4" w:space="0"/>
              <w:bottom w:val="single" w:color="000000" w:sz="4" w:space="0"/>
              <w:right w:val="single" w:color="000000" w:sz="4" w:space="0"/>
            </w:tcBorders>
            <w:vAlign w:val="center"/>
          </w:tcPr>
          <w:p w14:paraId="7637DB88">
            <w:pPr>
              <w:pStyle w:val="58"/>
              <w:keepNext w:val="0"/>
              <w:keepLines w:val="0"/>
              <w:pageBreakBefore w:val="0"/>
              <w:widowControl w:val="0"/>
              <w:kinsoku/>
              <w:wordWrap/>
              <w:overflowPunct/>
              <w:topLinePunct w:val="0"/>
              <w:bidi w:val="0"/>
              <w:snapToGrid/>
              <w:ind w:firstLine="560" w:firstLineChars="200"/>
              <w:jc w:val="both"/>
              <w:textAlignment w:val="auto"/>
              <w:rPr>
                <w:rFonts w:hint="eastAsia" w:ascii="仿宋" w:hAnsi="仿宋" w:eastAsia="仿宋" w:cs="仿宋"/>
                <w:b w:val="0"/>
                <w:bCs w:val="0"/>
                <w:color w:val="auto"/>
                <w:spacing w:val="0"/>
                <w:w w:val="100"/>
                <w:position w:val="0"/>
                <w:sz w:val="28"/>
                <w:szCs w:val="28"/>
                <w:highlight w:val="none"/>
                <w:lang w:val="en-US" w:eastAsia="zh-CN"/>
              </w:rPr>
            </w:pPr>
          </w:p>
        </w:tc>
      </w:tr>
      <w:tr w14:paraId="71B0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14:paraId="20BCCB1A">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10.档案整理所需耗材</w:t>
            </w:r>
          </w:p>
        </w:tc>
        <w:tc>
          <w:tcPr>
            <w:tcW w:w="5355" w:type="dxa"/>
            <w:tcBorders>
              <w:top w:val="single" w:color="000000" w:sz="4" w:space="0"/>
              <w:left w:val="single" w:color="000000" w:sz="4" w:space="0"/>
              <w:bottom w:val="single" w:color="000000" w:sz="4" w:space="0"/>
              <w:right w:val="single" w:color="000000" w:sz="4" w:space="0"/>
            </w:tcBorders>
            <w:vAlign w:val="center"/>
          </w:tcPr>
          <w:p w14:paraId="348C9C4F">
            <w:pPr>
              <w:pStyle w:val="58"/>
              <w:keepNext w:val="0"/>
              <w:keepLines w:val="0"/>
              <w:pageBreakBefore w:val="0"/>
              <w:widowControl w:val="0"/>
              <w:kinsoku/>
              <w:wordWrap/>
              <w:overflowPunct/>
              <w:topLinePunct w:val="0"/>
              <w:bidi w:val="0"/>
              <w:snapToGrid/>
              <w:jc w:val="both"/>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电脑，打印机，档案盒，A4白纸、牛皮纸、针、线等耗材。</w:t>
            </w:r>
          </w:p>
        </w:tc>
        <w:tc>
          <w:tcPr>
            <w:tcW w:w="3029" w:type="dxa"/>
            <w:tcBorders>
              <w:top w:val="single" w:color="000000" w:sz="4" w:space="0"/>
              <w:left w:val="single" w:color="000000" w:sz="4" w:space="0"/>
              <w:bottom w:val="single" w:color="000000" w:sz="4" w:space="0"/>
              <w:right w:val="single" w:color="000000" w:sz="4" w:space="0"/>
            </w:tcBorders>
            <w:vAlign w:val="center"/>
          </w:tcPr>
          <w:p w14:paraId="2A543656">
            <w:pPr>
              <w:pStyle w:val="58"/>
              <w:keepNext w:val="0"/>
              <w:keepLines w:val="0"/>
              <w:pageBreakBefore w:val="0"/>
              <w:widowControl w:val="0"/>
              <w:kinsoku/>
              <w:wordWrap/>
              <w:overflowPunct/>
              <w:topLinePunct w:val="0"/>
              <w:bidi w:val="0"/>
              <w:snapToGrid/>
              <w:ind w:firstLine="560" w:firstLineChars="200"/>
              <w:jc w:val="both"/>
              <w:textAlignment w:val="auto"/>
              <w:rPr>
                <w:rFonts w:hint="eastAsia" w:ascii="仿宋" w:hAnsi="仿宋" w:eastAsia="仿宋" w:cs="仿宋"/>
                <w:b w:val="0"/>
                <w:bCs w:val="0"/>
                <w:color w:val="auto"/>
                <w:spacing w:val="0"/>
                <w:w w:val="100"/>
                <w:position w:val="0"/>
                <w:sz w:val="28"/>
                <w:szCs w:val="28"/>
                <w:highlight w:val="none"/>
                <w:lang w:val="en-US" w:eastAsia="zh-CN"/>
              </w:rPr>
            </w:pPr>
          </w:p>
        </w:tc>
      </w:tr>
    </w:tbl>
    <w:p w14:paraId="5C802CFC">
      <w:pPr>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br w:type="page"/>
      </w:r>
    </w:p>
    <w:p w14:paraId="26F512BE">
      <w:pPr>
        <w:pStyle w:val="58"/>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b/>
          <w:bCs/>
          <w:color w:val="auto"/>
          <w:spacing w:val="0"/>
          <w:w w:val="100"/>
          <w:position w:val="0"/>
          <w:sz w:val="28"/>
          <w:szCs w:val="28"/>
          <w:highlight w:val="none"/>
          <w:lang w:val="en-US" w:eastAsia="zh-CN"/>
        </w:rPr>
      </w:pPr>
      <w:r>
        <w:rPr>
          <w:rFonts w:hint="eastAsia" w:ascii="仿宋" w:hAnsi="仿宋" w:eastAsia="仿宋" w:cs="仿宋"/>
          <w:b/>
          <w:bCs/>
          <w:color w:val="auto"/>
          <w:spacing w:val="0"/>
          <w:w w:val="100"/>
          <w:position w:val="0"/>
          <w:sz w:val="28"/>
          <w:szCs w:val="28"/>
          <w:highlight w:val="none"/>
          <w:lang w:val="en-US" w:eastAsia="zh-CN"/>
        </w:rPr>
        <w:t>二、办公室需求</w:t>
      </w:r>
    </w:p>
    <w:p w14:paraId="0870D714">
      <w:pPr>
        <w:pStyle w:val="58"/>
        <w:keepNext w:val="0"/>
        <w:keepLines w:val="0"/>
        <w:pageBreakBefore w:val="0"/>
        <w:widowControl w:val="0"/>
        <w:kinsoku/>
        <w:wordWrap/>
        <w:overflowPunct/>
        <w:topLinePunct w:val="0"/>
        <w:autoSpaceDE w:val="0"/>
        <w:autoSpaceDN w:val="0"/>
        <w:bidi w:val="0"/>
        <w:adjustRightInd w:val="0"/>
        <w:snapToGrid/>
        <w:spacing w:line="380" w:lineRule="exact"/>
        <w:ind w:firstLine="560" w:firstLineChars="200"/>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1976年-2010年、2024年、2025年文书档案</w:t>
      </w:r>
    </w:p>
    <w:p w14:paraId="56AEA2CE">
      <w:pPr>
        <w:pStyle w:val="58"/>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bCs/>
          <w:color w:val="auto"/>
          <w:spacing w:val="0"/>
          <w:w w:val="100"/>
          <w:position w:val="0"/>
          <w:sz w:val="28"/>
          <w:szCs w:val="28"/>
          <w:highlight w:val="none"/>
          <w:lang w:val="en-US" w:eastAsia="zh-CN"/>
        </w:rPr>
        <w:t>三、基建办需求</w:t>
      </w:r>
    </w:p>
    <w:p w14:paraId="3B6C4F02">
      <w:pPr>
        <w:pStyle w:val="28"/>
        <w:keepNext w:val="0"/>
        <w:keepLines w:val="0"/>
        <w:pageBreakBefore w:val="0"/>
        <w:widowControl w:val="0"/>
        <w:kinsoku/>
        <w:wordWrap/>
        <w:overflowPunct/>
        <w:topLinePunct w:val="0"/>
        <w:autoSpaceDE/>
        <w:autoSpaceDN/>
        <w:bidi w:val="0"/>
        <w:adjustRightInd w:val="0"/>
        <w:snapToGrid/>
        <w:ind w:left="0" w:leftChars="0" w:firstLine="560" w:firstLineChars="200"/>
        <w:jc w:val="left"/>
        <w:textAlignment w:val="baseline"/>
        <w:rPr>
          <w:rFonts w:hint="eastAsia"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 xml:space="preserve"> 7个工程项目档案（包括有关项目所有文件）</w:t>
      </w:r>
    </w:p>
    <w:p w14:paraId="2E9459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pacing w:val="0"/>
          <w:w w:val="100"/>
          <w:kern w:val="0"/>
          <w:position w:val="0"/>
          <w:sz w:val="28"/>
          <w:szCs w:val="28"/>
          <w:highlight w:val="none"/>
          <w:lang w:val="en-US" w:eastAsia="zh-CN" w:bidi="ar-SA"/>
        </w:rPr>
      </w:pPr>
      <w:r>
        <w:rPr>
          <w:rFonts w:hint="eastAsia" w:ascii="仿宋" w:hAnsi="仿宋" w:eastAsia="仿宋" w:cs="仿宋"/>
          <w:b w:val="0"/>
          <w:bCs w:val="0"/>
          <w:color w:val="auto"/>
          <w:spacing w:val="0"/>
          <w:w w:val="100"/>
          <w:kern w:val="0"/>
          <w:position w:val="0"/>
          <w:sz w:val="28"/>
          <w:szCs w:val="28"/>
          <w:highlight w:val="none"/>
          <w:lang w:val="en-US" w:eastAsia="zh-CN" w:bidi="ar-SA"/>
        </w:rPr>
        <w:t>1、喀什地区医疗应急物资储备设施建设项目</w:t>
      </w:r>
    </w:p>
    <w:p w14:paraId="350AFE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pacing w:val="0"/>
          <w:w w:val="100"/>
          <w:kern w:val="0"/>
          <w:position w:val="0"/>
          <w:sz w:val="28"/>
          <w:szCs w:val="28"/>
          <w:highlight w:val="none"/>
          <w:lang w:val="en-US" w:eastAsia="zh-CN" w:bidi="ar-SA"/>
        </w:rPr>
      </w:pPr>
      <w:r>
        <w:rPr>
          <w:rFonts w:hint="eastAsia" w:ascii="仿宋" w:hAnsi="仿宋" w:eastAsia="仿宋" w:cs="仿宋"/>
          <w:b w:val="0"/>
          <w:bCs w:val="0"/>
          <w:color w:val="auto"/>
          <w:spacing w:val="0"/>
          <w:w w:val="100"/>
          <w:kern w:val="0"/>
          <w:position w:val="0"/>
          <w:sz w:val="28"/>
          <w:szCs w:val="28"/>
          <w:highlight w:val="none"/>
          <w:lang w:val="en-US" w:eastAsia="zh-CN" w:bidi="ar-SA"/>
        </w:rPr>
        <w:t>2、喀什地区公共卫生医师规范化实训和疾控青干人才实训基地建设项目</w:t>
      </w:r>
    </w:p>
    <w:p w14:paraId="62C630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pacing w:val="0"/>
          <w:w w:val="100"/>
          <w:kern w:val="0"/>
          <w:position w:val="0"/>
          <w:sz w:val="28"/>
          <w:szCs w:val="28"/>
          <w:highlight w:val="none"/>
          <w:lang w:val="en-US" w:eastAsia="zh-CN" w:bidi="ar-SA"/>
        </w:rPr>
      </w:pPr>
      <w:r>
        <w:rPr>
          <w:rFonts w:hint="eastAsia" w:ascii="仿宋" w:hAnsi="仿宋" w:eastAsia="仿宋" w:cs="仿宋"/>
          <w:b w:val="0"/>
          <w:bCs w:val="0"/>
          <w:color w:val="auto"/>
          <w:spacing w:val="0"/>
          <w:w w:val="100"/>
          <w:kern w:val="0"/>
          <w:position w:val="0"/>
          <w:sz w:val="28"/>
          <w:szCs w:val="28"/>
          <w:highlight w:val="none"/>
          <w:lang w:val="en-US" w:eastAsia="zh-CN" w:bidi="ar-SA"/>
        </w:rPr>
        <w:t>3、中国疾病预防控制中心南疆工作站建设项目</w:t>
      </w:r>
    </w:p>
    <w:p w14:paraId="4F3D41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pacing w:val="0"/>
          <w:w w:val="100"/>
          <w:kern w:val="0"/>
          <w:position w:val="0"/>
          <w:sz w:val="28"/>
          <w:szCs w:val="28"/>
          <w:highlight w:val="none"/>
          <w:lang w:val="en-US" w:eastAsia="zh-CN" w:bidi="ar-SA"/>
        </w:rPr>
      </w:pPr>
      <w:r>
        <w:rPr>
          <w:rFonts w:hint="eastAsia" w:ascii="仿宋" w:hAnsi="仿宋" w:eastAsia="仿宋" w:cs="仿宋"/>
          <w:b w:val="0"/>
          <w:bCs w:val="0"/>
          <w:color w:val="auto"/>
          <w:spacing w:val="0"/>
          <w:w w:val="100"/>
          <w:kern w:val="0"/>
          <w:position w:val="0"/>
          <w:sz w:val="28"/>
          <w:szCs w:val="28"/>
          <w:highlight w:val="none"/>
          <w:lang w:val="en-US" w:eastAsia="zh-CN" w:bidi="ar-SA"/>
        </w:rPr>
        <w:t>4、喀什地区疾病预防控制中心实验室建设项目</w:t>
      </w:r>
    </w:p>
    <w:p w14:paraId="0BC1CC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pacing w:val="0"/>
          <w:w w:val="100"/>
          <w:kern w:val="0"/>
          <w:position w:val="0"/>
          <w:sz w:val="28"/>
          <w:szCs w:val="28"/>
          <w:highlight w:val="none"/>
          <w:lang w:val="en-US" w:eastAsia="zh-CN" w:bidi="ar-SA"/>
        </w:rPr>
      </w:pPr>
      <w:r>
        <w:rPr>
          <w:rFonts w:hint="eastAsia" w:ascii="仿宋" w:hAnsi="仿宋" w:eastAsia="仿宋" w:cs="仿宋"/>
          <w:b w:val="0"/>
          <w:bCs w:val="0"/>
          <w:color w:val="auto"/>
          <w:spacing w:val="0"/>
          <w:w w:val="100"/>
          <w:kern w:val="0"/>
          <w:position w:val="0"/>
          <w:sz w:val="28"/>
          <w:szCs w:val="28"/>
          <w:highlight w:val="none"/>
          <w:lang w:val="en-US" w:eastAsia="zh-CN" w:bidi="ar-SA"/>
        </w:rPr>
        <w:t>5、喀什地区疾病预防控制中心人防地下室(二等人员掩蔽部)项目</w:t>
      </w:r>
    </w:p>
    <w:p w14:paraId="4D6252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pacing w:val="0"/>
          <w:w w:val="100"/>
          <w:kern w:val="0"/>
          <w:position w:val="0"/>
          <w:sz w:val="28"/>
          <w:szCs w:val="28"/>
          <w:highlight w:val="none"/>
          <w:lang w:val="en-US" w:eastAsia="zh-CN" w:bidi="ar-SA"/>
        </w:rPr>
      </w:pPr>
      <w:r>
        <w:rPr>
          <w:rFonts w:hint="eastAsia" w:ascii="仿宋" w:hAnsi="仿宋" w:eastAsia="仿宋" w:cs="仿宋"/>
          <w:b w:val="0"/>
          <w:bCs w:val="0"/>
          <w:color w:val="auto"/>
          <w:spacing w:val="0"/>
          <w:w w:val="100"/>
          <w:kern w:val="0"/>
          <w:position w:val="0"/>
          <w:sz w:val="28"/>
          <w:szCs w:val="28"/>
          <w:highlight w:val="none"/>
          <w:lang w:val="en-US" w:eastAsia="zh-CN" w:bidi="ar-SA"/>
        </w:rPr>
        <w:t>6、喀什地区疾病预防控制中心室外综合配套附属工程建设项目</w:t>
      </w:r>
    </w:p>
    <w:p w14:paraId="45E2C6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pacing w:val="0"/>
          <w:w w:val="100"/>
          <w:kern w:val="0"/>
          <w:position w:val="0"/>
          <w:sz w:val="28"/>
          <w:szCs w:val="28"/>
          <w:highlight w:val="none"/>
          <w:lang w:val="en-US" w:eastAsia="zh-CN" w:bidi="ar-SA"/>
        </w:rPr>
      </w:pPr>
      <w:r>
        <w:rPr>
          <w:rFonts w:hint="eastAsia" w:ascii="仿宋" w:hAnsi="仿宋" w:eastAsia="仿宋" w:cs="仿宋"/>
          <w:b w:val="0"/>
          <w:bCs w:val="0"/>
          <w:color w:val="auto"/>
          <w:spacing w:val="0"/>
          <w:w w:val="100"/>
          <w:kern w:val="0"/>
          <w:position w:val="0"/>
          <w:sz w:val="28"/>
          <w:szCs w:val="28"/>
          <w:highlight w:val="none"/>
          <w:lang w:val="en-US" w:eastAsia="zh-CN" w:bidi="ar-SA"/>
        </w:rPr>
        <w:t>7、喀什地区疾控中心新冠肺炎核酸检测能力提升项目</w:t>
      </w:r>
    </w:p>
    <w:p w14:paraId="292DA66D">
      <w:pPr>
        <w:pStyle w:val="28"/>
        <w:keepNext w:val="0"/>
        <w:keepLines w:val="0"/>
        <w:pageBreakBefore w:val="0"/>
        <w:widowControl w:val="0"/>
        <w:kinsoku/>
        <w:wordWrap/>
        <w:overflowPunct/>
        <w:topLinePunct w:val="0"/>
        <w:autoSpaceDE/>
        <w:autoSpaceDN/>
        <w:bidi w:val="0"/>
        <w:adjustRightInd w:val="0"/>
        <w:snapToGrid/>
        <w:ind w:left="0" w:leftChars="0" w:firstLine="0" w:firstLineChars="0"/>
        <w:jc w:val="left"/>
        <w:textAlignment w:val="baseline"/>
        <w:rPr>
          <w:rFonts w:hint="eastAsia" w:ascii="仿宋" w:hAnsi="仿宋" w:eastAsia="仿宋" w:cs="仿宋"/>
          <w:b/>
          <w:bCs/>
          <w:color w:val="auto"/>
          <w:spacing w:val="0"/>
          <w:w w:val="100"/>
          <w:position w:val="0"/>
          <w:sz w:val="28"/>
          <w:szCs w:val="28"/>
          <w:highlight w:val="none"/>
          <w:lang w:val="en-US" w:eastAsia="zh-CN"/>
        </w:rPr>
      </w:pPr>
      <w:r>
        <w:rPr>
          <w:rFonts w:hint="eastAsia" w:ascii="仿宋" w:hAnsi="仿宋" w:eastAsia="仿宋" w:cs="仿宋"/>
          <w:b/>
          <w:bCs/>
          <w:color w:val="auto"/>
          <w:spacing w:val="0"/>
          <w:w w:val="100"/>
          <w:position w:val="0"/>
          <w:sz w:val="28"/>
          <w:szCs w:val="28"/>
          <w:highlight w:val="none"/>
          <w:lang w:val="en-US" w:eastAsia="zh-CN"/>
        </w:rPr>
        <w:t>四、其他要求</w:t>
      </w:r>
    </w:p>
    <w:p w14:paraId="1D731B41">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auto"/>
          <w:spacing w:val="0"/>
          <w:w w:val="100"/>
          <w:position w:val="0"/>
          <w:sz w:val="28"/>
          <w:szCs w:val="28"/>
          <w:highlight w:val="none"/>
        </w:rPr>
      </w:pPr>
      <w:r>
        <w:rPr>
          <w:rFonts w:hint="eastAsia" w:ascii="仿宋" w:hAnsi="仿宋" w:eastAsia="仿宋" w:cs="仿宋"/>
          <w:b w:val="0"/>
          <w:bCs w:val="0"/>
          <w:color w:val="auto"/>
          <w:spacing w:val="0"/>
          <w:w w:val="100"/>
          <w:position w:val="0"/>
          <w:sz w:val="28"/>
          <w:szCs w:val="28"/>
          <w:highlight w:val="none"/>
        </w:rPr>
        <w:t>1、</w:t>
      </w:r>
      <w:r>
        <w:rPr>
          <w:rFonts w:hint="eastAsia" w:ascii="仿宋" w:hAnsi="仿宋" w:eastAsia="仿宋" w:cs="仿宋"/>
          <w:b w:val="0"/>
          <w:bCs w:val="0"/>
          <w:color w:val="auto"/>
          <w:spacing w:val="0"/>
          <w:w w:val="100"/>
          <w:position w:val="0"/>
          <w:sz w:val="28"/>
          <w:szCs w:val="28"/>
          <w:highlight w:val="none"/>
          <w:lang w:val="en-US" w:eastAsia="zh-CN"/>
        </w:rPr>
        <w:t>服务</w:t>
      </w:r>
      <w:r>
        <w:rPr>
          <w:rFonts w:hint="eastAsia" w:ascii="仿宋" w:hAnsi="仿宋" w:eastAsia="仿宋" w:cs="仿宋"/>
          <w:b w:val="0"/>
          <w:bCs w:val="0"/>
          <w:color w:val="auto"/>
          <w:spacing w:val="0"/>
          <w:w w:val="100"/>
          <w:position w:val="0"/>
          <w:sz w:val="28"/>
          <w:szCs w:val="28"/>
          <w:highlight w:val="none"/>
        </w:rPr>
        <w:t xml:space="preserve">地点：采购人指定地点。                                   </w:t>
      </w:r>
    </w:p>
    <w:p w14:paraId="03886317">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pPr>
      <w:r>
        <w:rPr>
          <w:rFonts w:hint="eastAsia" w:ascii="仿宋" w:hAnsi="仿宋" w:eastAsia="仿宋" w:cs="仿宋"/>
          <w:b w:val="0"/>
          <w:bCs w:val="0"/>
          <w:color w:val="auto"/>
          <w:spacing w:val="0"/>
          <w:w w:val="100"/>
          <w:position w:val="0"/>
          <w:sz w:val="28"/>
          <w:szCs w:val="28"/>
          <w:highlight w:val="none"/>
        </w:rPr>
        <w:t>2</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w:t>
      </w: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通知书发出后在3</w:t>
      </w: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0</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日内签订政府采购合同，若第一</w:t>
      </w: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人拒绝签订政府采购合同，将取消中标资格，应当承担相应的法律责任。确定下一候选人为</w:t>
      </w: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成交</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人，也可以重新开展政府采购活动。</w:t>
      </w:r>
    </w:p>
    <w:p w14:paraId="6761F8C0">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pP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3、服务期：</w:t>
      </w: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具体以双方签订合同为准</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w:t>
      </w:r>
    </w:p>
    <w:p w14:paraId="1698732E">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pP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4、</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付款方式：具体按双方合同约定执行</w:t>
      </w:r>
    </w:p>
    <w:p w14:paraId="6D1E15AC">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5、投标价格含：履行期限内产生的所有人的出差费（路费、餐费、住宿费、保险费）、税费等所有费用。（</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中标单位必须向</w:t>
      </w:r>
      <w:r>
        <w:rPr>
          <w:rFonts w:hint="eastAsia" w:ascii="仿宋" w:hAnsi="仿宋" w:eastAsia="仿宋" w:cs="仿宋"/>
          <w:b w:val="0"/>
          <w:bCs w:val="0"/>
          <w:color w:val="000000" w:themeColor="text1"/>
          <w:spacing w:val="0"/>
          <w:w w:val="100"/>
          <w:position w:val="0"/>
          <w:sz w:val="28"/>
          <w:szCs w:val="28"/>
          <w:highlight w:val="none"/>
          <w:lang w:eastAsia="zh-CN"/>
          <w14:textFill>
            <w14:solidFill>
              <w14:schemeClr w14:val="tx1"/>
            </w14:solidFill>
          </w14:textFill>
        </w:rPr>
        <w:t>甲方提供合同金额等额</w:t>
      </w:r>
      <w:r>
        <w:rPr>
          <w:rFonts w:hint="eastAsia" w:ascii="仿宋" w:hAnsi="仿宋" w:eastAsia="仿宋" w:cs="仿宋"/>
          <w:b w:val="0"/>
          <w:bCs w:val="0"/>
          <w:color w:val="000000" w:themeColor="text1"/>
          <w:spacing w:val="0"/>
          <w:w w:val="100"/>
          <w:position w:val="0"/>
          <w:sz w:val="28"/>
          <w:szCs w:val="28"/>
          <w:highlight w:val="none"/>
          <w14:textFill>
            <w14:solidFill>
              <w14:schemeClr w14:val="tx1"/>
            </w14:solidFill>
          </w14:textFill>
        </w:rPr>
        <w:t>发票</w:t>
      </w:r>
      <w:r>
        <w:rPr>
          <w:rFonts w:hint="eastAsia" w:ascii="仿宋" w:hAnsi="仿宋" w:eastAsia="仿宋" w:cs="仿宋"/>
          <w:b w:val="0"/>
          <w:bCs w:val="0"/>
          <w:color w:val="000000" w:themeColor="text1"/>
          <w:spacing w:val="0"/>
          <w:w w:val="100"/>
          <w:position w:val="0"/>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w:t>
      </w:r>
    </w:p>
    <w:p w14:paraId="3E736BFA">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w w:val="100"/>
          <w:position w:val="0"/>
          <w:sz w:val="28"/>
          <w:szCs w:val="28"/>
          <w:highlight w:val="none"/>
          <w:lang w:val="en-US" w:eastAsia="zh-CN"/>
          <w14:textFill>
            <w14:solidFill>
              <w14:schemeClr w14:val="tx1"/>
            </w14:solidFill>
          </w14:textFill>
        </w:rPr>
        <w:t>免责说明：过程中发生的任何人员伤亡、设备丢失等所产生的费用均由投标人自行承担。</w:t>
      </w:r>
    </w:p>
    <w:p w14:paraId="0A211BBE">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auto"/>
          <w:spacing w:val="0"/>
          <w:w w:val="100"/>
          <w:position w:val="0"/>
          <w:sz w:val="28"/>
          <w:szCs w:val="28"/>
          <w:highlight w:val="none"/>
        </w:rPr>
      </w:pPr>
      <w:r>
        <w:rPr>
          <w:rFonts w:hint="eastAsia" w:ascii="仿宋" w:hAnsi="仿宋" w:eastAsia="仿宋" w:cs="仿宋"/>
          <w:b w:val="0"/>
          <w:bCs w:val="0"/>
          <w:color w:val="auto"/>
          <w:spacing w:val="0"/>
          <w:w w:val="100"/>
          <w:position w:val="0"/>
          <w:sz w:val="28"/>
          <w:szCs w:val="28"/>
          <w:highlight w:val="none"/>
          <w:lang w:val="en-US" w:eastAsia="zh-CN"/>
        </w:rPr>
        <w:t>6</w:t>
      </w:r>
      <w:r>
        <w:rPr>
          <w:rFonts w:hint="eastAsia" w:ascii="仿宋" w:hAnsi="仿宋" w:eastAsia="仿宋" w:cs="仿宋"/>
          <w:b w:val="0"/>
          <w:bCs w:val="0"/>
          <w:color w:val="auto"/>
          <w:spacing w:val="0"/>
          <w:w w:val="100"/>
          <w:position w:val="0"/>
          <w:sz w:val="28"/>
          <w:szCs w:val="28"/>
          <w:highlight w:val="none"/>
        </w:rPr>
        <w:t>、验收单位：</w:t>
      </w:r>
      <w:r>
        <w:rPr>
          <w:rFonts w:hint="eastAsia" w:ascii="仿宋" w:hAnsi="仿宋" w:eastAsia="仿宋" w:cs="仿宋"/>
          <w:b w:val="0"/>
          <w:bCs w:val="0"/>
          <w:color w:val="auto"/>
          <w:spacing w:val="0"/>
          <w:w w:val="100"/>
          <w:position w:val="0"/>
          <w:sz w:val="28"/>
          <w:szCs w:val="28"/>
          <w:highlight w:val="none"/>
          <w:lang w:val="en-US" w:eastAsia="zh-CN"/>
        </w:rPr>
        <w:t>喀什地区疾病预防控制中心（喀什地区卫生监督所）及其他相关部门</w:t>
      </w:r>
      <w:r>
        <w:rPr>
          <w:rFonts w:hint="eastAsia" w:ascii="仿宋" w:hAnsi="仿宋" w:eastAsia="仿宋" w:cs="仿宋"/>
          <w:b w:val="0"/>
          <w:bCs w:val="0"/>
          <w:color w:val="auto"/>
          <w:spacing w:val="0"/>
          <w:w w:val="100"/>
          <w:position w:val="0"/>
          <w:sz w:val="28"/>
          <w:szCs w:val="28"/>
          <w:highlight w:val="none"/>
        </w:rPr>
        <w:t>。</w:t>
      </w:r>
    </w:p>
    <w:p w14:paraId="5A78E8E7">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eastAsia" w:ascii="仿宋" w:hAnsi="仿宋" w:eastAsia="仿宋" w:cs="仿宋"/>
          <w:b w:val="0"/>
          <w:bCs w:val="0"/>
          <w:color w:val="auto"/>
          <w:spacing w:val="0"/>
          <w:w w:val="100"/>
          <w:position w:val="0"/>
          <w:sz w:val="28"/>
          <w:szCs w:val="28"/>
          <w:highlight w:val="none"/>
        </w:rPr>
      </w:pPr>
      <w:r>
        <w:rPr>
          <w:rFonts w:hint="eastAsia" w:ascii="仿宋" w:hAnsi="仿宋" w:eastAsia="仿宋" w:cs="仿宋"/>
          <w:b w:val="0"/>
          <w:bCs w:val="0"/>
          <w:color w:val="auto"/>
          <w:spacing w:val="0"/>
          <w:w w:val="100"/>
          <w:position w:val="0"/>
          <w:sz w:val="28"/>
          <w:szCs w:val="28"/>
          <w:highlight w:val="none"/>
          <w:lang w:val="en-US" w:eastAsia="zh-CN"/>
        </w:rPr>
        <w:t>7</w:t>
      </w:r>
      <w:r>
        <w:rPr>
          <w:rFonts w:hint="eastAsia" w:ascii="仿宋" w:hAnsi="仿宋" w:eastAsia="仿宋" w:cs="仿宋"/>
          <w:b w:val="0"/>
          <w:bCs w:val="0"/>
          <w:color w:val="auto"/>
          <w:spacing w:val="0"/>
          <w:w w:val="100"/>
          <w:position w:val="0"/>
          <w:sz w:val="28"/>
          <w:szCs w:val="28"/>
          <w:highlight w:val="none"/>
        </w:rPr>
        <w:t>、验收标准：按采购人要求进行验收。</w:t>
      </w:r>
    </w:p>
    <w:p w14:paraId="3EBB7D99">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outlineLvl w:val="9"/>
        <w:rPr>
          <w:rFonts w:hint="default" w:ascii="仿宋" w:hAnsi="仿宋" w:eastAsia="仿宋" w:cs="仿宋"/>
          <w:b w:val="0"/>
          <w:bCs w:val="0"/>
          <w:color w:val="auto"/>
          <w:spacing w:val="0"/>
          <w:w w:val="100"/>
          <w:position w:val="0"/>
          <w:sz w:val="28"/>
          <w:szCs w:val="28"/>
          <w:highlight w:val="none"/>
          <w:lang w:val="en-US" w:eastAsia="zh-CN"/>
        </w:rPr>
      </w:pPr>
      <w:r>
        <w:rPr>
          <w:rFonts w:hint="eastAsia" w:ascii="仿宋" w:hAnsi="仿宋" w:eastAsia="仿宋" w:cs="仿宋"/>
          <w:b w:val="0"/>
          <w:bCs w:val="0"/>
          <w:color w:val="auto"/>
          <w:spacing w:val="0"/>
          <w:w w:val="100"/>
          <w:position w:val="0"/>
          <w:sz w:val="28"/>
          <w:szCs w:val="28"/>
          <w:highlight w:val="none"/>
          <w:lang w:val="en-US" w:eastAsia="zh-CN"/>
        </w:rPr>
        <w:t>8</w:t>
      </w:r>
      <w:r>
        <w:rPr>
          <w:rFonts w:hint="eastAsia" w:ascii="仿宋" w:hAnsi="仿宋" w:eastAsia="仿宋" w:cs="仿宋"/>
          <w:b w:val="0"/>
          <w:bCs w:val="0"/>
          <w:color w:val="auto"/>
          <w:spacing w:val="0"/>
          <w:w w:val="100"/>
          <w:position w:val="0"/>
          <w:sz w:val="28"/>
          <w:szCs w:val="28"/>
          <w:highlight w:val="none"/>
        </w:rPr>
        <w:t>、联系人：</w:t>
      </w:r>
      <w:r>
        <w:rPr>
          <w:rFonts w:hint="eastAsia" w:ascii="仿宋" w:hAnsi="仿宋" w:eastAsia="仿宋" w:cs="仿宋"/>
          <w:b w:val="0"/>
          <w:bCs w:val="0"/>
          <w:color w:val="auto"/>
          <w:spacing w:val="0"/>
          <w:w w:val="100"/>
          <w:position w:val="0"/>
          <w:sz w:val="28"/>
          <w:szCs w:val="28"/>
          <w:highlight w:val="none"/>
          <w:lang w:val="en-US" w:eastAsia="zh-CN"/>
        </w:rPr>
        <w:t xml:space="preserve">古丽米热·艾司都拉   </w:t>
      </w:r>
      <w:r>
        <w:rPr>
          <w:rFonts w:hint="eastAsia" w:ascii="仿宋" w:hAnsi="仿宋" w:eastAsia="仿宋" w:cs="仿宋"/>
          <w:b w:val="0"/>
          <w:bCs w:val="0"/>
          <w:color w:val="auto"/>
          <w:spacing w:val="0"/>
          <w:w w:val="100"/>
          <w:position w:val="0"/>
          <w:sz w:val="28"/>
          <w:szCs w:val="28"/>
          <w:highlight w:val="none"/>
        </w:rPr>
        <w:t>联系电话：</w:t>
      </w:r>
      <w:r>
        <w:rPr>
          <w:rFonts w:hint="eastAsia" w:ascii="仿宋" w:hAnsi="仿宋" w:eastAsia="仿宋" w:cs="仿宋"/>
          <w:b w:val="0"/>
          <w:bCs w:val="0"/>
          <w:color w:val="auto"/>
          <w:spacing w:val="0"/>
          <w:w w:val="100"/>
          <w:position w:val="0"/>
          <w:sz w:val="28"/>
          <w:szCs w:val="28"/>
          <w:highlight w:val="none"/>
          <w:lang w:val="en-US" w:eastAsia="zh-CN"/>
        </w:rPr>
        <w:t>09982871093</w:t>
      </w:r>
    </w:p>
    <w:p w14:paraId="26A7D71F">
      <w:pPr>
        <w:pStyle w:val="58"/>
        <w:rPr>
          <w:rFonts w:hint="eastAsia" w:eastAsia="仿宋"/>
          <w:color w:val="auto"/>
          <w:highlight w:val="none"/>
          <w:lang w:val="en-US" w:eastAsia="zh-CN"/>
        </w:rPr>
      </w:pPr>
      <w:r>
        <w:rPr>
          <w:rFonts w:hint="eastAsia" w:ascii="仿宋" w:hAnsi="仿宋" w:eastAsia="仿宋" w:cs="仿宋"/>
          <w:b w:val="0"/>
          <w:bCs w:val="0"/>
          <w:color w:val="auto"/>
          <w:spacing w:val="0"/>
          <w:w w:val="100"/>
          <w:position w:val="0"/>
          <w:sz w:val="24"/>
          <w:szCs w:val="24"/>
          <w:highlight w:val="none"/>
        </w:rPr>
        <w:br w:type="page"/>
      </w:r>
    </w:p>
    <w:p w14:paraId="729C795A">
      <w:pPr>
        <w:pStyle w:val="2"/>
        <w:tabs>
          <w:tab w:val="left" w:pos="0"/>
        </w:tabs>
        <w:spacing w:before="0" w:after="0" w:line="240" w:lineRule="atLeast"/>
        <w:rPr>
          <w:rFonts w:ascii="仿宋" w:hAnsi="仿宋" w:eastAsia="仿宋" w:cs="仿宋"/>
          <w:color w:val="auto"/>
          <w:highlight w:val="none"/>
        </w:rPr>
      </w:pPr>
      <w:r>
        <w:rPr>
          <w:rFonts w:hint="eastAsia" w:ascii="仿宋_GB2312" w:hAnsi="Times New Roman" w:eastAsia="仿宋_GB2312" w:cs="Times New Roman"/>
          <w:b/>
          <w:color w:val="auto"/>
          <w:highlight w:val="none"/>
        </w:rPr>
        <w:t xml:space="preserve"> </w:t>
      </w:r>
      <w:bookmarkStart w:id="448" w:name="_Toc27895"/>
      <w:bookmarkStart w:id="449" w:name="_Toc27768"/>
      <w:bookmarkStart w:id="450" w:name="_Toc3095"/>
      <w:bookmarkStart w:id="451" w:name="_Toc1425"/>
      <w:bookmarkStart w:id="452" w:name="_Toc25223"/>
      <w:bookmarkStart w:id="453" w:name="_Toc580"/>
      <w:bookmarkStart w:id="454" w:name="_Toc963"/>
      <w:bookmarkStart w:id="455" w:name="_Toc1051"/>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章、评标方法和标准</w:t>
      </w:r>
      <w:bookmarkEnd w:id="448"/>
      <w:bookmarkEnd w:id="449"/>
    </w:p>
    <w:p w14:paraId="512D6D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本项目将按照磋商文件第一章供应商须知中“五磋商开启及评审”、“六确定成交”及本章的规定评标。</w:t>
      </w:r>
    </w:p>
    <w:p w14:paraId="7527B1F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一、响应文件的符合性审查与澄清</w:t>
      </w:r>
    </w:p>
    <w:p w14:paraId="670267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(1)符合性审查是指依据磋商文件的规定，从响应文件的有效性和完整性对磋商文件的响应程度进行审查，以确定是否对磋商文件的实质性要求做出响应。</w:t>
      </w:r>
    </w:p>
    <w:p w14:paraId="056334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(2)响应文件的澄清</w:t>
      </w:r>
    </w:p>
    <w:p w14:paraId="28FE23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4A7A91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85A6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(4)供应商的澄清、说明或补正将作为响应文件的一部分。</w:t>
      </w:r>
    </w:p>
    <w:p w14:paraId="646417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(5)响应文件报价出现前后不一致的，按照下列规定修正：</w:t>
      </w:r>
    </w:p>
    <w:p w14:paraId="2B1BA1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(一)响应文件中磋商开启报价一览表(报价表)内容与响应文件中相应内容不一致的，以磋商开启报价一览表(报价表)为准；</w:t>
      </w:r>
    </w:p>
    <w:p w14:paraId="5710CE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(二)大写金额和小写金额不一致的，以大写金额为准；</w:t>
      </w:r>
    </w:p>
    <w:p w14:paraId="3917F6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(三)单价金额小数点或者百分比有明显错位的，以磋商开启报价一览表的总价为准，并修改单价；</w:t>
      </w:r>
    </w:p>
    <w:p w14:paraId="7E74A1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总价金额与按单价汇总金额不一致的，以单价金额计算结果为准。同时出现两种以上不一致的，按照前款规定的顺序修正。修正后的报价按照第20.2条的规定经供应商确认后产生约束力，供应商不确认的，将被认定为磋商无效。对不同文字文本响应文件的解释发生异议的，以中文文本为准。</w:t>
      </w:r>
    </w:p>
    <w:p w14:paraId="68671F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(五)供应商为提供服务所伴随磋商的产品如被列入财政部与国家主管部门颁发的节能产品目录或环境标志产品目录或无线局域网产品目录，应提供相关证明，在评审时予以优先采</w:t>
      </w:r>
    </w:p>
    <w:p w14:paraId="4F83A6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购，具体优先采购办法见第6章评审方法和标准。</w:t>
      </w:r>
    </w:p>
    <w:p w14:paraId="54EBA05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二、响应偏离</w:t>
      </w:r>
    </w:p>
    <w:p w14:paraId="38C352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评审委员会可以接受响应文件中不构成实质性偏离的不正规或不一致。</w:t>
      </w:r>
    </w:p>
    <w:p w14:paraId="44A5073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三、响应无效</w:t>
      </w:r>
    </w:p>
    <w:p w14:paraId="6B5C7F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磋商成为实质上响应。</w:t>
      </w:r>
    </w:p>
    <w:p w14:paraId="75505E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磋商小组决定磋商的响应性只根据磋商文件要求、响应文件内容及财政主管部门指定相关信息发布媒体。</w:t>
      </w:r>
    </w:p>
    <w:p w14:paraId="67567A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（2）如发现下列情况之一的，其磋商将被认定为无效：（以下情形应当在磋商文件中规定，并以醒目的方式标明）</w:t>
      </w:r>
    </w:p>
    <w:p w14:paraId="5034DD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①未按磋商文件规定的形式和金额提交磋商保证金的；</w:t>
      </w:r>
    </w:p>
    <w:p w14:paraId="52E681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②未按照磋商文件规定要求签署、盖章的；</w:t>
      </w:r>
    </w:p>
    <w:p w14:paraId="1673DEF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③未满足磋商文件中技术条款的实质性要求；</w:t>
      </w:r>
    </w:p>
    <w:p w14:paraId="20BF34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④与其他供应商串通参加磋商，或者与采购人串通参加磋商；</w:t>
      </w:r>
    </w:p>
    <w:p w14:paraId="2C3241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⑤属于磋商文件规定的其他磋商无效情形；</w:t>
      </w:r>
    </w:p>
    <w:p w14:paraId="5C2364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⑥评审委员会认为供应商的报价明显低于其他通过符合性检查供应商的报价，有可能影响履约的，且供应商未按照规定证明其报价合理性的；</w:t>
      </w:r>
    </w:p>
    <w:p w14:paraId="29DCFB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⑦响应文件含有采购人不能接受的附加条件的；</w:t>
      </w:r>
    </w:p>
    <w:p w14:paraId="4C97ED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⑧不符合法规和磋商文件中规定的其他实质性要求的。</w:t>
      </w:r>
    </w:p>
    <w:p w14:paraId="528DD94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四、比较与评价</w:t>
      </w:r>
    </w:p>
    <w:p w14:paraId="5E08D8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（1）经符合性审查合格的响应文件，评审委员会将根据磋商文件确定的评审方法和标准，对其技术部分和商务部分作进一步的比较和评价。</w:t>
      </w:r>
    </w:p>
    <w:p w14:paraId="4CD26E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报价之后由代理公司进行唱标，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结果通知所有参加磋商的未成交的供应商；评分标准：</w:t>
      </w:r>
    </w:p>
    <w:p w14:paraId="51FACE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对实质性响应的响应文件进行评估和比较，采用综合评分法进行打分评比。</w:t>
      </w:r>
    </w:p>
    <w:p w14:paraId="18A943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将每位供应商的价格得分、技术得分、商务得分相加即为该供应商的总得分。</w:t>
      </w:r>
    </w:p>
    <w:p w14:paraId="5BDB92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（2）评审严格按照磋商文件的要求和条件进行。本项目采用采购方式：竞争性磋商，评分方法：综合评分法</w:t>
      </w:r>
    </w:p>
    <w:p w14:paraId="5162F14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五、响应无效的情形</w:t>
      </w:r>
    </w:p>
    <w:p w14:paraId="74E06A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1.采购人或采购代理机构将在磋商截止后1小时的期间内查询供应商的信用记录。供应商存在不良信用记录的，其磋商资格将被认定为无效。</w:t>
      </w:r>
    </w:p>
    <w:p w14:paraId="070D06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2.如采购人所采购产品为政府强制采购的节能产品，供应商所投产品的品牌及型号必须为清单中有效期内产品并提供证明文件，否则其磋商资格将被认定为无效。</w:t>
      </w:r>
    </w:p>
    <w:p w14:paraId="793F380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5C1555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4.未按磋商文件规定的形式和金额提交磋商保证金的；</w:t>
      </w:r>
    </w:p>
    <w:p w14:paraId="749125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5.未按照磋商文件规定要求签署、盖章的；</w:t>
      </w:r>
    </w:p>
    <w:p w14:paraId="17B501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6.未满足磋商文件中技术条款的实质性要求；</w:t>
      </w:r>
    </w:p>
    <w:p w14:paraId="1A5962D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7.与其他供应商串通参加磋商，或者与采购人串通参加磋商；</w:t>
      </w:r>
    </w:p>
    <w:p w14:paraId="7FF2EA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8.属于磋商文件规定的其他无效情形；</w:t>
      </w:r>
    </w:p>
    <w:p w14:paraId="54FF6C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9.磋商小组认为供应商的报价明显低于其他通过符合性检查供应商的报价，有可能影响履约的，且供应商未按照规定证明其报价合理性的；</w:t>
      </w:r>
    </w:p>
    <w:p w14:paraId="427EC5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10.响应文件含有采购人不能接受的附加条件的；</w:t>
      </w:r>
    </w:p>
    <w:p w14:paraId="6BD7685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11.不符合法规和磋商文件中规定的其他实质性要求的。</w:t>
      </w:r>
    </w:p>
    <w:p w14:paraId="27841A7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六、磋商开启</w:t>
      </w:r>
    </w:p>
    <w:p w14:paraId="1945D0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（1）开标准备：本项目开标的准备工作由采购组织机构负责落实，开标过程由采购组织机构负责记录；</w:t>
      </w:r>
    </w:p>
    <w:p w14:paraId="4D64BAF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（2）开标主持：本项目开标由采购人或者采购代理机构主持；</w:t>
      </w:r>
    </w:p>
    <w:p w14:paraId="4C8CE0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（3）开标邀请：本项目采用电子交易，采购组织机构将按照采购文件规定的时间通过“新疆政府采购云平台，网址：www.zcygov.cn”组织开标、开启投标响应文件，所有供应商均应当准时在线参加。</w:t>
      </w:r>
    </w:p>
    <w:p w14:paraId="01C62A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67E506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（5）开标程序</w:t>
      </w:r>
    </w:p>
    <w:p w14:paraId="2254D0B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①开标时间到后，主持人宣布开标会议开始。</w:t>
      </w:r>
    </w:p>
    <w:p w14:paraId="557CBB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②响应文件解密（解密规定见《供应商须知资料表》）。</w:t>
      </w:r>
    </w:p>
    <w:p w14:paraId="713684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③响应文件解密异常情况处理（处理办法见《供应商须知资料表》）。</w:t>
      </w:r>
    </w:p>
    <w:p w14:paraId="1F09D2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④公布响应文件解密情况（响应文件成功解密的供应商名单等信息）</w:t>
      </w:r>
    </w:p>
    <w:p w14:paraId="37E751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⑤开启供应商的报价，公布供应商的名称、服务总报价、磋商保证金、服务期限、服务地点。各投标单位对投标报价有无疑异，如果没有疑异，请签章确认。</w:t>
      </w:r>
    </w:p>
    <w:p w14:paraId="63786A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开启标书信息（资格证明文件、商务技术文件）。标书信息开启后，首先由采购人依法对投标供应商的资格证明文件进行审查，审查结束公布投标供应商的资格符合情况。资格审查未获通过的供应商，其商务技术文件及报价文件不再进入评审。</w:t>
      </w:r>
    </w:p>
    <w:p w14:paraId="0D619A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⑦由磋商小组依法对投标供应商的资格和符合性进行审查，审查结束公布投标供应商的资格符合情况。未获通过的供应商，其商务技术文件及报价文件不再进入评审。</w:t>
      </w:r>
    </w:p>
    <w:p w14:paraId="43D51B4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⑧磋商小组所有成员应当集中与单一供应商分别进行磋商，并给予所有参加磋商的供应商平等的磋商机会。</w:t>
      </w:r>
    </w:p>
    <w:p w14:paraId="04DC04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⑨商务技术评审结束后，主持人公布商务技术评审得分情况，价格得分情况。</w:t>
      </w:r>
    </w:p>
    <w:p w14:paraId="567BF5D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⑩评审结束后，采购代理机构在系统上公布评审结果。</w:t>
      </w:r>
    </w:p>
    <w:p w14:paraId="410F87A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（6）按照《中华人民共和国政府采购法》、《中华人民共和国政府采购法实施条例》及本项目本级和上级财政部门的有关规定依法组建的评审委员会，负责本项目评审工作（专家从政采云采购专家库中抽取）。</w:t>
      </w:r>
    </w:p>
    <w:p w14:paraId="3E2881C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七、磋商小组</w:t>
      </w:r>
    </w:p>
    <w:p w14:paraId="6999D7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rPr>
        <w:t>按照《中华人民共和国政府采购法》、《中华人民共和国政府采购法实施条例》、《政府采购竞争性磋商采购方式管理暂行办法》及本项目本级和上级财政部门的有关规定依法组建的评审小组，负责评审工作；本项目评审专家由</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人组成。</w:t>
      </w:r>
    </w:p>
    <w:p w14:paraId="304992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评审专家要求：</w:t>
      </w:r>
    </w:p>
    <w:p w14:paraId="63EAFD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1.组织评标委员会推选评标组长，采购人代表不得担任组长；</w:t>
      </w:r>
    </w:p>
    <w:p w14:paraId="517A1F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2.在评标期间采取必要的通讯管理措施，保证评标活动不受外界干扰，将手机关闭或调成静音交友现场项目监督人员统一保管；</w:t>
      </w:r>
    </w:p>
    <w:p w14:paraId="5F9E56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3.审查、评价响应文件是否符合</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文件的商务、技术等实质性要求；</w:t>
      </w:r>
    </w:p>
    <w:p w14:paraId="7F8882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4.要求供应商对响应文件有关事项作出澄清或者说明；</w:t>
      </w:r>
    </w:p>
    <w:p w14:paraId="1545B3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5.对响应文件进行比较和评价；</w:t>
      </w:r>
    </w:p>
    <w:p w14:paraId="081E24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6.确定成交候选人名单，以及根据采购人委托直接确定成交人；</w:t>
      </w:r>
    </w:p>
    <w:p w14:paraId="7183EC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7.向采购人、采购代理机构或者有关部门报告评标中发现的违法行为。</w:t>
      </w:r>
    </w:p>
    <w:p w14:paraId="0638DD0B">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八、定标</w:t>
      </w:r>
    </w:p>
    <w:p w14:paraId="22DA37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（1）采购单位将依据本项目根据磋商小组推荐的成交候选人名单，按顺序确定中标人。</w:t>
      </w:r>
    </w:p>
    <w:p w14:paraId="153FAE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（2）程序：</w:t>
      </w:r>
    </w:p>
    <w:p w14:paraId="0C3A021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①采购代理机构在评审结束后2个工作日内将评审报告送采购人确认。</w:t>
      </w:r>
    </w:p>
    <w:p w14:paraId="536ECA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采购人与成交供应商应当在成交通知书发出之日起30日内，按照磋商文件确定的合同文本以及采购标的、规格型号、采购金额、采购数量、技术和服务要求等事项签订政府采购合同。</w:t>
      </w:r>
    </w:p>
    <w:p w14:paraId="07E1C000">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eastAsia="仿宋" w:cs="仿宋"/>
          <w:b/>
          <w:bCs/>
          <w:color w:val="auto"/>
          <w:highlight w:val="none"/>
        </w:rPr>
      </w:pPr>
      <w:r>
        <w:rPr>
          <w:rFonts w:hint="eastAsia" w:ascii="仿宋" w:hAnsi="仿宋" w:eastAsia="仿宋" w:cs="仿宋"/>
          <w:color w:val="auto"/>
          <w:sz w:val="24"/>
          <w:szCs w:val="24"/>
          <w:highlight w:val="none"/>
        </w:rPr>
        <w:t>③采购人依据评审小组推荐的中标候选人确定中标人。采购人根据评审小组的评标报告，应以排名第一的中标候选人为中标人。排名第一的中标候选人放弃中标或因不可抗力提出不能履行合同，或者</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07FCD7AC">
      <w:pPr>
        <w:spacing w:line="300" w:lineRule="auto"/>
        <w:jc w:val="center"/>
        <w:rPr>
          <w:rFonts w:ascii="仿宋" w:hAnsi="仿宋" w:eastAsia="仿宋" w:cs="仿宋"/>
          <w:b/>
          <w:bCs/>
          <w:color w:val="auto"/>
          <w:highlight w:val="none"/>
        </w:rPr>
      </w:pPr>
      <w:r>
        <w:rPr>
          <w:rFonts w:hint="eastAsia" w:ascii="仿宋" w:hAnsi="仿宋" w:eastAsia="仿宋" w:cs="仿宋"/>
          <w:b/>
          <w:bCs/>
          <w:color w:val="auto"/>
          <w:sz w:val="28"/>
          <w:szCs w:val="32"/>
          <w:highlight w:val="none"/>
        </w:rPr>
        <w:br w:type="page"/>
      </w:r>
      <w:r>
        <w:rPr>
          <w:rFonts w:hint="eastAsia" w:ascii="仿宋" w:hAnsi="仿宋" w:eastAsia="仿宋" w:cs="仿宋"/>
          <w:b/>
          <w:bCs/>
          <w:color w:val="auto"/>
          <w:sz w:val="28"/>
          <w:szCs w:val="32"/>
          <w:highlight w:val="none"/>
        </w:rPr>
        <w:t>初步评审—资格性审查表</w:t>
      </w:r>
    </w:p>
    <w:tbl>
      <w:tblPr>
        <w:tblStyle w:val="37"/>
        <w:tblpPr w:leftFromText="180" w:rightFromText="180" w:vertAnchor="text" w:horzAnchor="page" w:tblpXSpec="center" w:tblpY="316"/>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41"/>
        <w:gridCol w:w="720"/>
        <w:gridCol w:w="714"/>
        <w:gridCol w:w="818"/>
      </w:tblGrid>
      <w:tr w14:paraId="2B9D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4" w:type="dxa"/>
            <w:vMerge w:val="restart"/>
            <w:noWrap w:val="0"/>
            <w:vAlign w:val="center"/>
          </w:tcPr>
          <w:p w14:paraId="0E8CFA0E">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041" w:type="dxa"/>
            <w:vMerge w:val="restart"/>
            <w:noWrap w:val="0"/>
            <w:vAlign w:val="center"/>
          </w:tcPr>
          <w:p w14:paraId="2E939051">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2252" w:type="dxa"/>
            <w:gridSpan w:val="3"/>
            <w:noWrap w:val="0"/>
            <w:vAlign w:val="center"/>
          </w:tcPr>
          <w:p w14:paraId="654E3436">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w:t>
            </w:r>
          </w:p>
        </w:tc>
      </w:tr>
      <w:tr w14:paraId="41EC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4" w:type="dxa"/>
            <w:vMerge w:val="continue"/>
            <w:noWrap w:val="0"/>
            <w:vAlign w:val="center"/>
          </w:tcPr>
          <w:p w14:paraId="64B583DA">
            <w:pPr>
              <w:spacing w:line="300" w:lineRule="auto"/>
              <w:jc w:val="center"/>
              <w:rPr>
                <w:rFonts w:ascii="仿宋" w:hAnsi="仿宋" w:eastAsia="仿宋" w:cs="仿宋"/>
                <w:b/>
                <w:color w:val="auto"/>
                <w:sz w:val="24"/>
                <w:highlight w:val="none"/>
              </w:rPr>
            </w:pPr>
          </w:p>
        </w:tc>
        <w:tc>
          <w:tcPr>
            <w:tcW w:w="7041" w:type="dxa"/>
            <w:vMerge w:val="continue"/>
            <w:noWrap w:val="0"/>
            <w:vAlign w:val="center"/>
          </w:tcPr>
          <w:p w14:paraId="7A26B111">
            <w:pPr>
              <w:spacing w:line="300" w:lineRule="auto"/>
              <w:jc w:val="center"/>
              <w:rPr>
                <w:rFonts w:ascii="仿宋" w:hAnsi="仿宋" w:eastAsia="仿宋" w:cs="仿宋"/>
                <w:b/>
                <w:color w:val="auto"/>
                <w:sz w:val="24"/>
                <w:highlight w:val="none"/>
              </w:rPr>
            </w:pPr>
          </w:p>
        </w:tc>
        <w:tc>
          <w:tcPr>
            <w:tcW w:w="720" w:type="dxa"/>
            <w:noWrap w:val="0"/>
            <w:vAlign w:val="center"/>
          </w:tcPr>
          <w:p w14:paraId="0975EF5C">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714" w:type="dxa"/>
            <w:noWrap w:val="0"/>
            <w:vAlign w:val="center"/>
          </w:tcPr>
          <w:p w14:paraId="174616B7">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818" w:type="dxa"/>
            <w:noWrap w:val="0"/>
            <w:vAlign w:val="center"/>
          </w:tcPr>
          <w:p w14:paraId="2850DBD2">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r>
      <w:tr w14:paraId="2E85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4" w:type="dxa"/>
            <w:noWrap w:val="0"/>
            <w:vAlign w:val="center"/>
          </w:tcPr>
          <w:p w14:paraId="5A6D6F8F">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041" w:type="dxa"/>
            <w:noWrap w:val="0"/>
            <w:vAlign w:val="center"/>
          </w:tcPr>
          <w:p w14:paraId="3F2BDB5E">
            <w:pPr>
              <w:spacing w:line="30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具有相应的营业执照</w:t>
            </w:r>
            <w:r>
              <w:rPr>
                <w:rFonts w:hint="eastAsia" w:ascii="仿宋" w:hAnsi="仿宋" w:eastAsia="仿宋" w:cs="仿宋"/>
                <w:color w:val="auto"/>
                <w:sz w:val="21"/>
                <w:szCs w:val="21"/>
                <w:highlight w:val="none"/>
              </w:rPr>
              <w:t>；</w:t>
            </w:r>
          </w:p>
        </w:tc>
        <w:tc>
          <w:tcPr>
            <w:tcW w:w="720" w:type="dxa"/>
            <w:noWrap w:val="0"/>
            <w:vAlign w:val="top"/>
          </w:tcPr>
          <w:p w14:paraId="291E0E26">
            <w:pPr>
              <w:spacing w:line="300" w:lineRule="auto"/>
              <w:rPr>
                <w:rFonts w:ascii="仿宋" w:hAnsi="仿宋" w:eastAsia="仿宋" w:cs="仿宋"/>
                <w:color w:val="auto"/>
                <w:sz w:val="24"/>
                <w:highlight w:val="none"/>
              </w:rPr>
            </w:pPr>
          </w:p>
        </w:tc>
        <w:tc>
          <w:tcPr>
            <w:tcW w:w="714" w:type="dxa"/>
            <w:noWrap w:val="0"/>
            <w:vAlign w:val="top"/>
          </w:tcPr>
          <w:p w14:paraId="53E81030">
            <w:pPr>
              <w:spacing w:line="300" w:lineRule="auto"/>
              <w:rPr>
                <w:rFonts w:ascii="仿宋" w:hAnsi="仿宋" w:eastAsia="仿宋" w:cs="仿宋"/>
                <w:color w:val="auto"/>
                <w:sz w:val="24"/>
                <w:highlight w:val="none"/>
              </w:rPr>
            </w:pPr>
          </w:p>
        </w:tc>
        <w:tc>
          <w:tcPr>
            <w:tcW w:w="818" w:type="dxa"/>
            <w:noWrap w:val="0"/>
            <w:vAlign w:val="top"/>
          </w:tcPr>
          <w:p w14:paraId="2F7487B0">
            <w:pPr>
              <w:spacing w:line="300" w:lineRule="auto"/>
              <w:rPr>
                <w:rFonts w:ascii="仿宋" w:hAnsi="仿宋" w:eastAsia="仿宋" w:cs="仿宋"/>
                <w:color w:val="auto"/>
                <w:sz w:val="24"/>
                <w:highlight w:val="none"/>
              </w:rPr>
            </w:pPr>
          </w:p>
        </w:tc>
      </w:tr>
      <w:tr w14:paraId="6E06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4" w:type="dxa"/>
            <w:noWrap w:val="0"/>
            <w:vAlign w:val="center"/>
          </w:tcPr>
          <w:p w14:paraId="0316653A">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041" w:type="dxa"/>
            <w:noWrap w:val="0"/>
            <w:vAlign w:val="center"/>
          </w:tcPr>
          <w:p w14:paraId="79C4BDDB">
            <w:pPr>
              <w:spacing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法定代表人授权委托书及被委托人身份证（法定代表人投标提供法定代表人身份证明及身份证）</w:t>
            </w:r>
            <w:r>
              <w:rPr>
                <w:rFonts w:hint="eastAsia" w:ascii="仿宋" w:hAnsi="仿宋" w:eastAsia="仿宋" w:cs="仿宋"/>
                <w:color w:val="auto"/>
                <w:sz w:val="21"/>
                <w:szCs w:val="21"/>
                <w:highlight w:val="none"/>
                <w:lang w:eastAsia="zh-CN"/>
              </w:rPr>
              <w:t>；</w:t>
            </w:r>
          </w:p>
        </w:tc>
        <w:tc>
          <w:tcPr>
            <w:tcW w:w="720" w:type="dxa"/>
            <w:noWrap w:val="0"/>
            <w:vAlign w:val="top"/>
          </w:tcPr>
          <w:p w14:paraId="13C81037">
            <w:pPr>
              <w:spacing w:line="300" w:lineRule="auto"/>
              <w:rPr>
                <w:rFonts w:ascii="仿宋" w:hAnsi="仿宋" w:eastAsia="仿宋" w:cs="仿宋"/>
                <w:color w:val="auto"/>
                <w:sz w:val="24"/>
                <w:highlight w:val="none"/>
              </w:rPr>
            </w:pPr>
          </w:p>
        </w:tc>
        <w:tc>
          <w:tcPr>
            <w:tcW w:w="714" w:type="dxa"/>
            <w:noWrap w:val="0"/>
            <w:vAlign w:val="top"/>
          </w:tcPr>
          <w:p w14:paraId="6DE3EF21">
            <w:pPr>
              <w:spacing w:line="300" w:lineRule="auto"/>
              <w:rPr>
                <w:rFonts w:ascii="仿宋" w:hAnsi="仿宋" w:eastAsia="仿宋" w:cs="仿宋"/>
                <w:color w:val="auto"/>
                <w:sz w:val="24"/>
                <w:highlight w:val="none"/>
              </w:rPr>
            </w:pPr>
          </w:p>
        </w:tc>
        <w:tc>
          <w:tcPr>
            <w:tcW w:w="818" w:type="dxa"/>
            <w:noWrap w:val="0"/>
            <w:vAlign w:val="top"/>
          </w:tcPr>
          <w:p w14:paraId="6DA88A5D">
            <w:pPr>
              <w:spacing w:line="300" w:lineRule="auto"/>
              <w:rPr>
                <w:rFonts w:ascii="仿宋" w:hAnsi="仿宋" w:eastAsia="仿宋" w:cs="仿宋"/>
                <w:color w:val="auto"/>
                <w:sz w:val="24"/>
                <w:highlight w:val="none"/>
              </w:rPr>
            </w:pPr>
          </w:p>
        </w:tc>
      </w:tr>
      <w:tr w14:paraId="6077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4" w:type="dxa"/>
            <w:noWrap w:val="0"/>
            <w:vAlign w:val="center"/>
          </w:tcPr>
          <w:p w14:paraId="7A229230">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041" w:type="dxa"/>
            <w:noWrap w:val="0"/>
            <w:vAlign w:val="center"/>
          </w:tcPr>
          <w:p w14:paraId="027345B2">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本单位缴纳的近</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个月中任意一个月的社保缴纳证明</w:t>
            </w:r>
            <w:r>
              <w:rPr>
                <w:rFonts w:hint="eastAsia" w:ascii="仿宋" w:hAnsi="仿宋" w:eastAsia="仿宋" w:cs="仿宋"/>
                <w:strike w:val="0"/>
                <w:dstrike w:val="0"/>
                <w:color w:val="auto"/>
                <w:sz w:val="21"/>
                <w:szCs w:val="21"/>
                <w:highlight w:val="none"/>
              </w:rPr>
              <w:t>；</w:t>
            </w:r>
          </w:p>
        </w:tc>
        <w:tc>
          <w:tcPr>
            <w:tcW w:w="720" w:type="dxa"/>
            <w:noWrap w:val="0"/>
            <w:vAlign w:val="top"/>
          </w:tcPr>
          <w:p w14:paraId="2F4E028C">
            <w:pPr>
              <w:spacing w:line="300" w:lineRule="auto"/>
              <w:rPr>
                <w:rFonts w:ascii="仿宋" w:hAnsi="仿宋" w:eastAsia="仿宋" w:cs="仿宋"/>
                <w:color w:val="auto"/>
                <w:sz w:val="24"/>
                <w:highlight w:val="none"/>
              </w:rPr>
            </w:pPr>
          </w:p>
        </w:tc>
        <w:tc>
          <w:tcPr>
            <w:tcW w:w="714" w:type="dxa"/>
            <w:noWrap w:val="0"/>
            <w:vAlign w:val="top"/>
          </w:tcPr>
          <w:p w14:paraId="0D1B4921">
            <w:pPr>
              <w:spacing w:line="300" w:lineRule="auto"/>
              <w:rPr>
                <w:rFonts w:ascii="仿宋" w:hAnsi="仿宋" w:eastAsia="仿宋" w:cs="仿宋"/>
                <w:color w:val="auto"/>
                <w:sz w:val="24"/>
                <w:highlight w:val="none"/>
              </w:rPr>
            </w:pPr>
          </w:p>
        </w:tc>
        <w:tc>
          <w:tcPr>
            <w:tcW w:w="818" w:type="dxa"/>
            <w:noWrap w:val="0"/>
            <w:vAlign w:val="top"/>
          </w:tcPr>
          <w:p w14:paraId="78AE0189">
            <w:pPr>
              <w:spacing w:line="300" w:lineRule="auto"/>
              <w:rPr>
                <w:rFonts w:ascii="仿宋" w:hAnsi="仿宋" w:eastAsia="仿宋" w:cs="仿宋"/>
                <w:color w:val="auto"/>
                <w:sz w:val="24"/>
                <w:highlight w:val="none"/>
              </w:rPr>
            </w:pPr>
          </w:p>
        </w:tc>
      </w:tr>
      <w:tr w14:paraId="1696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4" w:type="dxa"/>
            <w:noWrap w:val="0"/>
            <w:vAlign w:val="center"/>
          </w:tcPr>
          <w:p w14:paraId="7CA9B05B">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041" w:type="dxa"/>
            <w:noWrap w:val="0"/>
            <w:vAlign w:val="center"/>
          </w:tcPr>
          <w:p w14:paraId="35E68A2B">
            <w:pPr>
              <w:spacing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具有税务局开具依法缴纳近三个月中任意一个月的税收证明的良好记录（完税证明），注：①若为零申报企业，需提供无欠税证明或国家税务总局电子税务局“申报结果查询截图”。②“税种”非社会保险</w:t>
            </w:r>
            <w:r>
              <w:rPr>
                <w:rFonts w:hint="eastAsia" w:ascii="仿宋" w:hAnsi="仿宋" w:eastAsia="仿宋" w:cs="仿宋"/>
                <w:color w:val="auto"/>
                <w:sz w:val="21"/>
                <w:szCs w:val="21"/>
                <w:highlight w:val="none"/>
              </w:rPr>
              <w:t>；</w:t>
            </w:r>
          </w:p>
        </w:tc>
        <w:tc>
          <w:tcPr>
            <w:tcW w:w="720" w:type="dxa"/>
            <w:noWrap w:val="0"/>
            <w:vAlign w:val="top"/>
          </w:tcPr>
          <w:p w14:paraId="5E7A255D">
            <w:pPr>
              <w:spacing w:line="300" w:lineRule="auto"/>
              <w:rPr>
                <w:rFonts w:ascii="仿宋" w:hAnsi="仿宋" w:eastAsia="仿宋" w:cs="仿宋"/>
                <w:color w:val="auto"/>
                <w:sz w:val="24"/>
                <w:highlight w:val="none"/>
              </w:rPr>
            </w:pPr>
          </w:p>
        </w:tc>
        <w:tc>
          <w:tcPr>
            <w:tcW w:w="714" w:type="dxa"/>
            <w:noWrap w:val="0"/>
            <w:vAlign w:val="top"/>
          </w:tcPr>
          <w:p w14:paraId="784326A1">
            <w:pPr>
              <w:spacing w:line="300" w:lineRule="auto"/>
              <w:rPr>
                <w:rFonts w:ascii="仿宋" w:hAnsi="仿宋" w:eastAsia="仿宋" w:cs="仿宋"/>
                <w:color w:val="auto"/>
                <w:sz w:val="24"/>
                <w:highlight w:val="none"/>
              </w:rPr>
            </w:pPr>
          </w:p>
        </w:tc>
        <w:tc>
          <w:tcPr>
            <w:tcW w:w="818" w:type="dxa"/>
            <w:noWrap w:val="0"/>
            <w:vAlign w:val="top"/>
          </w:tcPr>
          <w:p w14:paraId="12590942">
            <w:pPr>
              <w:spacing w:line="300" w:lineRule="auto"/>
              <w:rPr>
                <w:rFonts w:ascii="仿宋" w:hAnsi="仿宋" w:eastAsia="仿宋" w:cs="仿宋"/>
                <w:color w:val="auto"/>
                <w:sz w:val="24"/>
                <w:highlight w:val="none"/>
              </w:rPr>
            </w:pPr>
          </w:p>
        </w:tc>
      </w:tr>
      <w:tr w14:paraId="1566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4" w:type="dxa"/>
            <w:noWrap w:val="0"/>
            <w:vAlign w:val="center"/>
          </w:tcPr>
          <w:p w14:paraId="7D54F017">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041" w:type="dxa"/>
            <w:noWrap w:val="0"/>
            <w:vAlign w:val="center"/>
          </w:tcPr>
          <w:p w14:paraId="35A178D2">
            <w:pPr>
              <w:spacing w:line="38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具有2024年度的财务审计报告（新成立未满一年的公司提供有效的银行资信证明）</w:t>
            </w:r>
            <w:r>
              <w:rPr>
                <w:rFonts w:hint="eastAsia" w:ascii="仿宋" w:hAnsi="仿宋" w:eastAsia="仿宋" w:cs="仿宋"/>
                <w:color w:val="auto"/>
                <w:sz w:val="21"/>
                <w:szCs w:val="21"/>
                <w:highlight w:val="none"/>
              </w:rPr>
              <w:t xml:space="preserve">；   </w:t>
            </w:r>
          </w:p>
        </w:tc>
        <w:tc>
          <w:tcPr>
            <w:tcW w:w="720" w:type="dxa"/>
            <w:noWrap w:val="0"/>
            <w:vAlign w:val="top"/>
          </w:tcPr>
          <w:p w14:paraId="5BEBBA0A">
            <w:pPr>
              <w:spacing w:line="300" w:lineRule="auto"/>
              <w:rPr>
                <w:rFonts w:ascii="仿宋" w:hAnsi="仿宋" w:eastAsia="仿宋" w:cs="仿宋"/>
                <w:color w:val="auto"/>
                <w:sz w:val="24"/>
                <w:highlight w:val="none"/>
              </w:rPr>
            </w:pPr>
          </w:p>
        </w:tc>
        <w:tc>
          <w:tcPr>
            <w:tcW w:w="714" w:type="dxa"/>
            <w:noWrap w:val="0"/>
            <w:vAlign w:val="top"/>
          </w:tcPr>
          <w:p w14:paraId="568DD323">
            <w:pPr>
              <w:spacing w:line="300" w:lineRule="auto"/>
              <w:rPr>
                <w:rFonts w:ascii="仿宋" w:hAnsi="仿宋" w:eastAsia="仿宋" w:cs="仿宋"/>
                <w:color w:val="auto"/>
                <w:sz w:val="24"/>
                <w:highlight w:val="none"/>
              </w:rPr>
            </w:pPr>
          </w:p>
        </w:tc>
        <w:tc>
          <w:tcPr>
            <w:tcW w:w="818" w:type="dxa"/>
            <w:noWrap w:val="0"/>
            <w:vAlign w:val="top"/>
          </w:tcPr>
          <w:p w14:paraId="47962021">
            <w:pPr>
              <w:spacing w:line="300" w:lineRule="auto"/>
              <w:rPr>
                <w:rFonts w:ascii="仿宋" w:hAnsi="仿宋" w:eastAsia="仿宋" w:cs="仿宋"/>
                <w:color w:val="auto"/>
                <w:sz w:val="24"/>
                <w:highlight w:val="none"/>
              </w:rPr>
            </w:pPr>
          </w:p>
        </w:tc>
      </w:tr>
      <w:tr w14:paraId="5D52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4" w:type="dxa"/>
            <w:noWrap w:val="0"/>
            <w:vAlign w:val="center"/>
          </w:tcPr>
          <w:p w14:paraId="5E9C886A">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041" w:type="dxa"/>
            <w:noWrap w:val="0"/>
            <w:vAlign w:val="center"/>
          </w:tcPr>
          <w:p w14:paraId="31FD55D2">
            <w:pPr>
              <w:spacing w:line="30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投标供应商参加项目领取磋商文件及投标环节期间采购活动前3年内，在经营活动中没有重大违法记录的书面承诺书（自拟）</w:t>
            </w:r>
          </w:p>
        </w:tc>
        <w:tc>
          <w:tcPr>
            <w:tcW w:w="720" w:type="dxa"/>
            <w:noWrap w:val="0"/>
            <w:vAlign w:val="top"/>
          </w:tcPr>
          <w:p w14:paraId="5642919F">
            <w:pPr>
              <w:spacing w:line="300" w:lineRule="auto"/>
              <w:rPr>
                <w:rFonts w:ascii="仿宋" w:hAnsi="仿宋" w:eastAsia="仿宋" w:cs="仿宋"/>
                <w:color w:val="auto"/>
                <w:sz w:val="24"/>
                <w:highlight w:val="none"/>
              </w:rPr>
            </w:pPr>
          </w:p>
        </w:tc>
        <w:tc>
          <w:tcPr>
            <w:tcW w:w="714" w:type="dxa"/>
            <w:noWrap w:val="0"/>
            <w:vAlign w:val="top"/>
          </w:tcPr>
          <w:p w14:paraId="339E1C10">
            <w:pPr>
              <w:spacing w:line="300" w:lineRule="auto"/>
              <w:rPr>
                <w:rFonts w:ascii="仿宋" w:hAnsi="仿宋" w:eastAsia="仿宋" w:cs="仿宋"/>
                <w:color w:val="auto"/>
                <w:sz w:val="24"/>
                <w:highlight w:val="none"/>
              </w:rPr>
            </w:pPr>
          </w:p>
        </w:tc>
        <w:tc>
          <w:tcPr>
            <w:tcW w:w="818" w:type="dxa"/>
            <w:noWrap w:val="0"/>
            <w:vAlign w:val="top"/>
          </w:tcPr>
          <w:p w14:paraId="58F024CB">
            <w:pPr>
              <w:spacing w:line="300" w:lineRule="auto"/>
              <w:rPr>
                <w:rFonts w:ascii="仿宋" w:hAnsi="仿宋" w:eastAsia="仿宋" w:cs="仿宋"/>
                <w:color w:val="auto"/>
                <w:sz w:val="24"/>
                <w:highlight w:val="none"/>
              </w:rPr>
            </w:pPr>
          </w:p>
        </w:tc>
      </w:tr>
      <w:tr w14:paraId="56A6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14" w:type="dxa"/>
            <w:noWrap w:val="0"/>
            <w:vAlign w:val="center"/>
          </w:tcPr>
          <w:p w14:paraId="7F1A3F11">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041" w:type="dxa"/>
            <w:noWrap w:val="0"/>
            <w:vAlign w:val="center"/>
          </w:tcPr>
          <w:p w14:paraId="626C731B">
            <w:pPr>
              <w:spacing w:line="30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针对本项目的反商业贿赂承诺书；</w:t>
            </w:r>
          </w:p>
        </w:tc>
        <w:tc>
          <w:tcPr>
            <w:tcW w:w="720" w:type="dxa"/>
            <w:noWrap w:val="0"/>
            <w:vAlign w:val="top"/>
          </w:tcPr>
          <w:p w14:paraId="20C9D1D5">
            <w:pPr>
              <w:spacing w:line="300" w:lineRule="auto"/>
              <w:rPr>
                <w:rFonts w:ascii="仿宋" w:hAnsi="仿宋" w:eastAsia="仿宋" w:cs="仿宋"/>
                <w:color w:val="auto"/>
                <w:sz w:val="24"/>
                <w:highlight w:val="none"/>
              </w:rPr>
            </w:pPr>
          </w:p>
        </w:tc>
        <w:tc>
          <w:tcPr>
            <w:tcW w:w="714" w:type="dxa"/>
            <w:noWrap w:val="0"/>
            <w:vAlign w:val="top"/>
          </w:tcPr>
          <w:p w14:paraId="1DAB8EBA">
            <w:pPr>
              <w:spacing w:line="300" w:lineRule="auto"/>
              <w:rPr>
                <w:rFonts w:ascii="仿宋" w:hAnsi="仿宋" w:eastAsia="仿宋" w:cs="仿宋"/>
                <w:color w:val="auto"/>
                <w:sz w:val="24"/>
                <w:highlight w:val="none"/>
              </w:rPr>
            </w:pPr>
          </w:p>
        </w:tc>
        <w:tc>
          <w:tcPr>
            <w:tcW w:w="818" w:type="dxa"/>
            <w:noWrap w:val="0"/>
            <w:vAlign w:val="top"/>
          </w:tcPr>
          <w:p w14:paraId="1881823A">
            <w:pPr>
              <w:spacing w:line="300" w:lineRule="auto"/>
              <w:rPr>
                <w:rFonts w:ascii="仿宋" w:hAnsi="仿宋" w:eastAsia="仿宋" w:cs="仿宋"/>
                <w:color w:val="auto"/>
                <w:sz w:val="24"/>
                <w:highlight w:val="none"/>
              </w:rPr>
            </w:pPr>
          </w:p>
        </w:tc>
      </w:tr>
      <w:tr w14:paraId="42D1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4" w:type="dxa"/>
            <w:noWrap w:val="0"/>
            <w:vAlign w:val="center"/>
          </w:tcPr>
          <w:p w14:paraId="5F165C1E">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041" w:type="dxa"/>
            <w:noWrap w:val="0"/>
            <w:vAlign w:val="center"/>
          </w:tcPr>
          <w:p w14:paraId="3C60455D">
            <w:pPr>
              <w:spacing w:line="380" w:lineRule="exact"/>
              <w:rPr>
                <w:rFonts w:ascii="仿宋" w:hAnsi="仿宋" w:eastAsia="仿宋" w:cs="仿宋"/>
                <w:color w:val="auto"/>
                <w:sz w:val="21"/>
                <w:szCs w:val="21"/>
                <w:highlight w:val="none"/>
              </w:rPr>
            </w:pPr>
            <w:r>
              <w:rPr>
                <w:rStyle w:val="40"/>
                <w:rFonts w:hint="eastAsia" w:ascii="仿宋" w:hAnsi="仿宋" w:eastAsia="仿宋" w:cs="仿宋"/>
                <w:b w:val="0"/>
                <w:bCs/>
                <w:color w:val="auto"/>
                <w:sz w:val="21"/>
                <w:szCs w:val="21"/>
                <w:highlight w:val="none"/>
              </w:rPr>
              <w:t>根据《财政部关于在政府采购活动中查询及使用信用记录有关问题的通知》（财库﹝2016﹞125 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 失信行为记录名单的（尚在处罚期内的），“国家企业信用信息公示系统 （http://www.gsxt.gov.cn）”列入严重违法失信企业名单（黑名单）信息及企业信用信息公示报告；将拒绝其参加本次招标活动。</w:t>
            </w:r>
          </w:p>
        </w:tc>
        <w:tc>
          <w:tcPr>
            <w:tcW w:w="720" w:type="dxa"/>
            <w:noWrap w:val="0"/>
            <w:vAlign w:val="top"/>
          </w:tcPr>
          <w:p w14:paraId="26FDD932">
            <w:pPr>
              <w:spacing w:line="300" w:lineRule="auto"/>
              <w:rPr>
                <w:rFonts w:ascii="仿宋" w:hAnsi="仿宋" w:eastAsia="仿宋" w:cs="仿宋"/>
                <w:color w:val="auto"/>
                <w:sz w:val="24"/>
                <w:highlight w:val="none"/>
              </w:rPr>
            </w:pPr>
          </w:p>
        </w:tc>
        <w:tc>
          <w:tcPr>
            <w:tcW w:w="714" w:type="dxa"/>
            <w:noWrap w:val="0"/>
            <w:vAlign w:val="top"/>
          </w:tcPr>
          <w:p w14:paraId="62844E0B">
            <w:pPr>
              <w:spacing w:line="300" w:lineRule="auto"/>
              <w:rPr>
                <w:rFonts w:ascii="仿宋" w:hAnsi="仿宋" w:eastAsia="仿宋" w:cs="仿宋"/>
                <w:color w:val="auto"/>
                <w:sz w:val="24"/>
                <w:highlight w:val="none"/>
              </w:rPr>
            </w:pPr>
          </w:p>
        </w:tc>
        <w:tc>
          <w:tcPr>
            <w:tcW w:w="818" w:type="dxa"/>
            <w:noWrap w:val="0"/>
            <w:vAlign w:val="top"/>
          </w:tcPr>
          <w:p w14:paraId="424F6DE2">
            <w:pPr>
              <w:spacing w:line="300" w:lineRule="auto"/>
              <w:rPr>
                <w:rFonts w:ascii="仿宋" w:hAnsi="仿宋" w:eastAsia="仿宋" w:cs="仿宋"/>
                <w:color w:val="auto"/>
                <w:sz w:val="24"/>
                <w:highlight w:val="none"/>
              </w:rPr>
            </w:pPr>
          </w:p>
        </w:tc>
      </w:tr>
      <w:tr w14:paraId="094D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noWrap w:val="0"/>
            <w:vAlign w:val="center"/>
          </w:tcPr>
          <w:p w14:paraId="0209C242">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7041" w:type="dxa"/>
            <w:noWrap w:val="0"/>
            <w:vAlign w:val="center"/>
          </w:tcPr>
          <w:p w14:paraId="4BE7D4CF">
            <w:pPr>
              <w:spacing w:line="30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提供《中小企业声明函》</w:t>
            </w:r>
          </w:p>
        </w:tc>
        <w:tc>
          <w:tcPr>
            <w:tcW w:w="720" w:type="dxa"/>
            <w:noWrap w:val="0"/>
            <w:vAlign w:val="top"/>
          </w:tcPr>
          <w:p w14:paraId="7F858A9F">
            <w:pPr>
              <w:spacing w:line="300" w:lineRule="auto"/>
              <w:rPr>
                <w:rFonts w:ascii="仿宋" w:hAnsi="仿宋" w:eastAsia="仿宋" w:cs="仿宋"/>
                <w:color w:val="auto"/>
                <w:sz w:val="24"/>
                <w:highlight w:val="none"/>
              </w:rPr>
            </w:pPr>
          </w:p>
        </w:tc>
        <w:tc>
          <w:tcPr>
            <w:tcW w:w="714" w:type="dxa"/>
            <w:noWrap w:val="0"/>
            <w:vAlign w:val="top"/>
          </w:tcPr>
          <w:p w14:paraId="1F93F7EC">
            <w:pPr>
              <w:spacing w:line="300" w:lineRule="auto"/>
              <w:rPr>
                <w:rFonts w:ascii="仿宋" w:hAnsi="仿宋" w:eastAsia="仿宋" w:cs="仿宋"/>
                <w:color w:val="auto"/>
                <w:sz w:val="24"/>
                <w:highlight w:val="none"/>
              </w:rPr>
            </w:pPr>
          </w:p>
        </w:tc>
        <w:tc>
          <w:tcPr>
            <w:tcW w:w="818" w:type="dxa"/>
            <w:noWrap w:val="0"/>
            <w:vAlign w:val="top"/>
          </w:tcPr>
          <w:p w14:paraId="63B7549F">
            <w:pPr>
              <w:spacing w:line="300" w:lineRule="auto"/>
              <w:rPr>
                <w:rFonts w:ascii="仿宋" w:hAnsi="仿宋" w:eastAsia="仿宋" w:cs="仿宋"/>
                <w:color w:val="auto"/>
                <w:sz w:val="24"/>
                <w:highlight w:val="none"/>
              </w:rPr>
            </w:pPr>
          </w:p>
        </w:tc>
      </w:tr>
      <w:tr w14:paraId="5B57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noWrap w:val="0"/>
            <w:vAlign w:val="center"/>
          </w:tcPr>
          <w:p w14:paraId="3E0DE013">
            <w:pPr>
              <w:spacing w:line="30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041" w:type="dxa"/>
            <w:noWrap w:val="0"/>
            <w:vAlign w:val="center"/>
          </w:tcPr>
          <w:p w14:paraId="5FAFEC70">
            <w:pPr>
              <w:spacing w:line="30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磋商保证缴纳有效凭证</w:t>
            </w:r>
          </w:p>
        </w:tc>
        <w:tc>
          <w:tcPr>
            <w:tcW w:w="720" w:type="dxa"/>
            <w:noWrap w:val="0"/>
            <w:vAlign w:val="top"/>
          </w:tcPr>
          <w:p w14:paraId="38945D48">
            <w:pPr>
              <w:spacing w:line="300" w:lineRule="auto"/>
              <w:rPr>
                <w:rFonts w:ascii="仿宋" w:hAnsi="仿宋" w:eastAsia="仿宋" w:cs="仿宋"/>
                <w:color w:val="auto"/>
                <w:sz w:val="24"/>
                <w:highlight w:val="none"/>
              </w:rPr>
            </w:pPr>
          </w:p>
        </w:tc>
        <w:tc>
          <w:tcPr>
            <w:tcW w:w="714" w:type="dxa"/>
            <w:noWrap w:val="0"/>
            <w:vAlign w:val="top"/>
          </w:tcPr>
          <w:p w14:paraId="2807D0DE">
            <w:pPr>
              <w:spacing w:line="300" w:lineRule="auto"/>
              <w:rPr>
                <w:rFonts w:ascii="仿宋" w:hAnsi="仿宋" w:eastAsia="仿宋" w:cs="仿宋"/>
                <w:color w:val="auto"/>
                <w:sz w:val="24"/>
                <w:highlight w:val="none"/>
              </w:rPr>
            </w:pPr>
          </w:p>
        </w:tc>
        <w:tc>
          <w:tcPr>
            <w:tcW w:w="818" w:type="dxa"/>
            <w:noWrap w:val="0"/>
            <w:vAlign w:val="top"/>
          </w:tcPr>
          <w:p w14:paraId="2E37FA5E">
            <w:pPr>
              <w:spacing w:line="300" w:lineRule="auto"/>
              <w:rPr>
                <w:rFonts w:ascii="仿宋" w:hAnsi="仿宋" w:eastAsia="仿宋" w:cs="仿宋"/>
                <w:color w:val="auto"/>
                <w:sz w:val="24"/>
                <w:highlight w:val="none"/>
              </w:rPr>
            </w:pPr>
          </w:p>
        </w:tc>
      </w:tr>
      <w:tr w14:paraId="6766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noWrap w:val="0"/>
            <w:vAlign w:val="center"/>
          </w:tcPr>
          <w:p w14:paraId="1882844D">
            <w:pPr>
              <w:spacing w:line="300" w:lineRule="auto"/>
              <w:rPr>
                <w:rFonts w:ascii="仿宋" w:hAnsi="仿宋" w:eastAsia="仿宋" w:cs="仿宋"/>
                <w:color w:val="auto"/>
                <w:sz w:val="24"/>
                <w:highlight w:val="none"/>
              </w:rPr>
            </w:pPr>
          </w:p>
        </w:tc>
        <w:tc>
          <w:tcPr>
            <w:tcW w:w="7041" w:type="dxa"/>
            <w:noWrap w:val="0"/>
            <w:vAlign w:val="center"/>
          </w:tcPr>
          <w:p w14:paraId="67E9B86B">
            <w:pPr>
              <w:spacing w:line="30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结论：</w:t>
            </w:r>
            <w:r>
              <w:rPr>
                <w:rFonts w:hint="eastAsia" w:ascii="仿宋" w:hAnsi="仿宋" w:eastAsia="仿宋" w:cs="仿宋"/>
                <w:color w:val="auto"/>
                <w:spacing w:val="-2"/>
                <w:sz w:val="21"/>
                <w:szCs w:val="21"/>
                <w:highlight w:val="none"/>
              </w:rPr>
              <w:t>通过评审打“√”，未通过评审打“×”</w:t>
            </w:r>
          </w:p>
        </w:tc>
        <w:tc>
          <w:tcPr>
            <w:tcW w:w="720" w:type="dxa"/>
            <w:noWrap w:val="0"/>
            <w:vAlign w:val="top"/>
          </w:tcPr>
          <w:p w14:paraId="40623E8F">
            <w:pPr>
              <w:spacing w:line="300" w:lineRule="auto"/>
              <w:rPr>
                <w:rFonts w:ascii="仿宋" w:hAnsi="仿宋" w:eastAsia="仿宋" w:cs="仿宋"/>
                <w:color w:val="auto"/>
                <w:sz w:val="24"/>
                <w:highlight w:val="none"/>
              </w:rPr>
            </w:pPr>
          </w:p>
        </w:tc>
        <w:tc>
          <w:tcPr>
            <w:tcW w:w="714" w:type="dxa"/>
            <w:noWrap w:val="0"/>
            <w:vAlign w:val="top"/>
          </w:tcPr>
          <w:p w14:paraId="31B42A67">
            <w:pPr>
              <w:spacing w:line="300" w:lineRule="auto"/>
              <w:rPr>
                <w:rFonts w:ascii="仿宋" w:hAnsi="仿宋" w:eastAsia="仿宋" w:cs="仿宋"/>
                <w:color w:val="auto"/>
                <w:sz w:val="24"/>
                <w:highlight w:val="none"/>
              </w:rPr>
            </w:pPr>
          </w:p>
        </w:tc>
        <w:tc>
          <w:tcPr>
            <w:tcW w:w="818" w:type="dxa"/>
            <w:noWrap w:val="0"/>
            <w:vAlign w:val="top"/>
          </w:tcPr>
          <w:p w14:paraId="6B73FC41">
            <w:pPr>
              <w:spacing w:line="300" w:lineRule="auto"/>
              <w:rPr>
                <w:rFonts w:ascii="仿宋" w:hAnsi="仿宋" w:eastAsia="仿宋" w:cs="仿宋"/>
                <w:color w:val="auto"/>
                <w:sz w:val="24"/>
                <w:highlight w:val="none"/>
              </w:rPr>
            </w:pPr>
          </w:p>
        </w:tc>
      </w:tr>
    </w:tbl>
    <w:p w14:paraId="32A7D989">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3813D8D9">
      <w:pPr>
        <w:numPr>
          <w:ilvl w:val="0"/>
          <w:numId w:val="7"/>
        </w:num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《中华人民共和国政府采购法》</w:t>
      </w:r>
    </w:p>
    <w:p w14:paraId="680466F4">
      <w:pPr>
        <w:numPr>
          <w:ilvl w:val="0"/>
          <w:numId w:val="7"/>
        </w:numPr>
        <w:spacing w:line="360" w:lineRule="auto"/>
        <w:ind w:left="0" w:leftChars="0" w:firstLine="0" w:firstLineChars="0"/>
        <w:rPr>
          <w:rFonts w:ascii="仿宋" w:hAnsi="仿宋" w:eastAsia="仿宋" w:cs="仿宋"/>
          <w:color w:val="auto"/>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《政府采购竞争性磋商采购方式管理暂行办法》</w:t>
      </w:r>
      <w:r>
        <w:rPr>
          <w:rFonts w:hint="eastAsia" w:ascii="仿宋" w:hAnsi="仿宋" w:eastAsia="仿宋" w:cs="仿宋"/>
          <w:color w:val="auto"/>
          <w:highlight w:val="none"/>
        </w:rPr>
        <w:br w:type="page"/>
      </w:r>
    </w:p>
    <w:p w14:paraId="2733885A">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7"/>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7DB1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0"/>
            <w:vAlign w:val="center"/>
          </w:tcPr>
          <w:p w14:paraId="66E8DCAB">
            <w:pPr>
              <w:spacing w:line="300" w:lineRule="auto"/>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noWrap w:val="0"/>
            <w:vAlign w:val="center"/>
          </w:tcPr>
          <w:p w14:paraId="3359AA80">
            <w:pPr>
              <w:spacing w:line="300" w:lineRule="auto"/>
              <w:jc w:val="center"/>
              <w:rPr>
                <w:rFonts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572D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0"/>
            <w:vAlign w:val="center"/>
          </w:tcPr>
          <w:p w14:paraId="3D271D8A">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noWrap w:val="0"/>
            <w:vAlign w:val="center"/>
          </w:tcPr>
          <w:p w14:paraId="2C8DE3DE">
            <w:pPr>
              <w:spacing w:line="300" w:lineRule="auto"/>
              <w:rPr>
                <w:rFonts w:ascii="仿宋" w:hAnsi="仿宋" w:eastAsia="仿宋" w:cs="仿宋"/>
                <w:color w:val="auto"/>
                <w:spacing w:val="-2"/>
                <w:sz w:val="24"/>
                <w:highlight w:val="none"/>
              </w:rPr>
            </w:pPr>
          </w:p>
        </w:tc>
        <w:tc>
          <w:tcPr>
            <w:tcW w:w="1276" w:type="dxa"/>
            <w:noWrap w:val="0"/>
            <w:vAlign w:val="center"/>
          </w:tcPr>
          <w:p w14:paraId="5108F976">
            <w:pPr>
              <w:spacing w:line="300" w:lineRule="auto"/>
              <w:jc w:val="center"/>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6BA5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4BFE667C">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noWrap w:val="0"/>
            <w:vAlign w:val="center"/>
          </w:tcPr>
          <w:p w14:paraId="6337AA9C">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投标报价高于预算金额；</w:t>
            </w:r>
          </w:p>
        </w:tc>
        <w:tc>
          <w:tcPr>
            <w:tcW w:w="1276" w:type="dxa"/>
            <w:noWrap w:val="0"/>
            <w:vAlign w:val="center"/>
          </w:tcPr>
          <w:p w14:paraId="3A102275">
            <w:pPr>
              <w:spacing w:line="300" w:lineRule="auto"/>
              <w:rPr>
                <w:rFonts w:ascii="仿宋" w:hAnsi="仿宋" w:eastAsia="仿宋" w:cs="仿宋"/>
                <w:color w:val="auto"/>
                <w:spacing w:val="-2"/>
                <w:sz w:val="24"/>
                <w:highlight w:val="none"/>
              </w:rPr>
            </w:pPr>
          </w:p>
        </w:tc>
      </w:tr>
      <w:tr w14:paraId="336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0"/>
            <w:vAlign w:val="center"/>
          </w:tcPr>
          <w:p w14:paraId="4447FE3F">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noWrap w:val="0"/>
            <w:vAlign w:val="center"/>
          </w:tcPr>
          <w:p w14:paraId="7086668A">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供应商之间或者供应商与采购人串通投标的；</w:t>
            </w:r>
          </w:p>
        </w:tc>
        <w:tc>
          <w:tcPr>
            <w:tcW w:w="1276" w:type="dxa"/>
            <w:noWrap w:val="0"/>
            <w:vAlign w:val="center"/>
          </w:tcPr>
          <w:p w14:paraId="558AE463">
            <w:pPr>
              <w:spacing w:line="300" w:lineRule="auto"/>
              <w:rPr>
                <w:rFonts w:ascii="仿宋" w:hAnsi="仿宋" w:eastAsia="仿宋" w:cs="仿宋"/>
                <w:color w:val="auto"/>
                <w:spacing w:val="-2"/>
                <w:sz w:val="24"/>
                <w:highlight w:val="none"/>
              </w:rPr>
            </w:pPr>
          </w:p>
        </w:tc>
      </w:tr>
      <w:tr w14:paraId="1A50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14:paraId="4D87F24C">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noWrap w:val="0"/>
            <w:vAlign w:val="center"/>
          </w:tcPr>
          <w:p w14:paraId="526CBDF6">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以行贿手段谋取成交或者以其他弄虚作假方式投标的；</w:t>
            </w:r>
          </w:p>
        </w:tc>
        <w:tc>
          <w:tcPr>
            <w:tcW w:w="1276" w:type="dxa"/>
            <w:noWrap w:val="0"/>
            <w:vAlign w:val="center"/>
          </w:tcPr>
          <w:p w14:paraId="625EDD5D">
            <w:pPr>
              <w:spacing w:line="300" w:lineRule="auto"/>
              <w:rPr>
                <w:rFonts w:ascii="仿宋" w:hAnsi="仿宋" w:eastAsia="仿宋" w:cs="仿宋"/>
                <w:color w:val="auto"/>
                <w:sz w:val="24"/>
                <w:highlight w:val="none"/>
              </w:rPr>
            </w:pPr>
          </w:p>
        </w:tc>
      </w:tr>
      <w:tr w14:paraId="510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7DBC6565">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noWrap w:val="0"/>
            <w:vAlign w:val="center"/>
          </w:tcPr>
          <w:p w14:paraId="03A42F56">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评标委员会共同确定有实质上不响应磋商文件要求的；</w:t>
            </w:r>
          </w:p>
        </w:tc>
        <w:tc>
          <w:tcPr>
            <w:tcW w:w="1276" w:type="dxa"/>
            <w:noWrap w:val="0"/>
            <w:vAlign w:val="center"/>
          </w:tcPr>
          <w:p w14:paraId="4DD383B4">
            <w:pPr>
              <w:spacing w:line="300" w:lineRule="auto"/>
              <w:rPr>
                <w:rFonts w:ascii="仿宋" w:hAnsi="仿宋" w:eastAsia="仿宋" w:cs="仿宋"/>
                <w:color w:val="auto"/>
                <w:spacing w:val="-2"/>
                <w:sz w:val="24"/>
                <w:highlight w:val="none"/>
              </w:rPr>
            </w:pPr>
          </w:p>
        </w:tc>
      </w:tr>
      <w:tr w14:paraId="5F4B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0"/>
            <w:vAlign w:val="center"/>
          </w:tcPr>
          <w:p w14:paraId="464D65E1">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6915" w:type="dxa"/>
            <w:noWrap w:val="0"/>
            <w:vAlign w:val="center"/>
          </w:tcPr>
          <w:p w14:paraId="71079A80">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响应文件没有</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法定代表人或其授权代表签字（章）和加盖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公章的；</w:t>
            </w:r>
          </w:p>
        </w:tc>
        <w:tc>
          <w:tcPr>
            <w:tcW w:w="1276" w:type="dxa"/>
            <w:noWrap w:val="0"/>
            <w:vAlign w:val="center"/>
          </w:tcPr>
          <w:p w14:paraId="71878105">
            <w:pPr>
              <w:spacing w:line="300" w:lineRule="auto"/>
              <w:rPr>
                <w:rFonts w:ascii="仿宋" w:hAnsi="仿宋" w:eastAsia="仿宋" w:cs="仿宋"/>
                <w:color w:val="auto"/>
                <w:spacing w:val="-2"/>
                <w:sz w:val="24"/>
                <w:highlight w:val="none"/>
              </w:rPr>
            </w:pPr>
          </w:p>
        </w:tc>
      </w:tr>
      <w:tr w14:paraId="60A0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62F38FE7">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noWrap w:val="0"/>
            <w:vAlign w:val="center"/>
          </w:tcPr>
          <w:p w14:paraId="332A1878">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投标的政府采购项目完成期限超过磋商文件规定期限的；</w:t>
            </w:r>
          </w:p>
        </w:tc>
        <w:tc>
          <w:tcPr>
            <w:tcW w:w="1276" w:type="dxa"/>
            <w:noWrap w:val="0"/>
            <w:vAlign w:val="center"/>
          </w:tcPr>
          <w:p w14:paraId="0280F55A">
            <w:pPr>
              <w:spacing w:line="300" w:lineRule="auto"/>
              <w:rPr>
                <w:rFonts w:ascii="仿宋" w:hAnsi="仿宋" w:eastAsia="仿宋" w:cs="仿宋"/>
                <w:color w:val="auto"/>
                <w:spacing w:val="-2"/>
                <w:sz w:val="24"/>
                <w:highlight w:val="none"/>
              </w:rPr>
            </w:pPr>
          </w:p>
        </w:tc>
      </w:tr>
      <w:tr w14:paraId="2D03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0"/>
            <w:vAlign w:val="center"/>
          </w:tcPr>
          <w:p w14:paraId="28882809">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noWrap w:val="0"/>
            <w:vAlign w:val="center"/>
          </w:tcPr>
          <w:p w14:paraId="12B3C149">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文件载明的技术规格、技术标准、货物包装方式、检验标准和方法等，不符合磋商文件要求的；</w:t>
            </w:r>
          </w:p>
        </w:tc>
        <w:tc>
          <w:tcPr>
            <w:tcW w:w="1276" w:type="dxa"/>
            <w:noWrap w:val="0"/>
            <w:vAlign w:val="center"/>
          </w:tcPr>
          <w:p w14:paraId="6FCD6C66">
            <w:pPr>
              <w:spacing w:line="300" w:lineRule="auto"/>
              <w:rPr>
                <w:rFonts w:ascii="仿宋" w:hAnsi="仿宋" w:eastAsia="仿宋" w:cs="仿宋"/>
                <w:color w:val="auto"/>
                <w:spacing w:val="-2"/>
                <w:sz w:val="24"/>
                <w:highlight w:val="none"/>
              </w:rPr>
            </w:pPr>
          </w:p>
        </w:tc>
      </w:tr>
      <w:tr w14:paraId="500E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6486084E">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noWrap w:val="0"/>
            <w:vAlign w:val="center"/>
          </w:tcPr>
          <w:p w14:paraId="6F258BAD">
            <w:pPr>
              <w:widowControl/>
              <w:spacing w:line="300"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响应文件附有采购人不能接受条件的；</w:t>
            </w:r>
          </w:p>
        </w:tc>
        <w:tc>
          <w:tcPr>
            <w:tcW w:w="1276" w:type="dxa"/>
            <w:noWrap w:val="0"/>
            <w:vAlign w:val="center"/>
          </w:tcPr>
          <w:p w14:paraId="7B92C854">
            <w:pPr>
              <w:spacing w:line="300" w:lineRule="auto"/>
              <w:rPr>
                <w:rFonts w:ascii="仿宋" w:hAnsi="仿宋" w:eastAsia="仿宋" w:cs="仿宋"/>
                <w:color w:val="auto"/>
                <w:sz w:val="24"/>
                <w:highlight w:val="none"/>
              </w:rPr>
            </w:pPr>
          </w:p>
        </w:tc>
      </w:tr>
      <w:tr w14:paraId="05A9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0"/>
            <w:vAlign w:val="center"/>
          </w:tcPr>
          <w:p w14:paraId="4F0909D3">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noWrap w:val="0"/>
            <w:vAlign w:val="center"/>
          </w:tcPr>
          <w:p w14:paraId="3A8FA351">
            <w:pPr>
              <w:widowControl/>
              <w:spacing w:line="300" w:lineRule="auto"/>
              <w:jc w:val="left"/>
              <w:textAlignment w:val="center"/>
              <w:rPr>
                <w:rFonts w:hint="eastAsia" w:ascii="仿宋" w:hAnsi="仿宋" w:eastAsia="仿宋" w:cs="仿宋"/>
                <w:color w:val="auto"/>
                <w:spacing w:val="-2"/>
                <w:sz w:val="24"/>
                <w:highlight w:val="none"/>
                <w:lang w:eastAsia="zh-CN"/>
              </w:rPr>
            </w:pPr>
            <w:r>
              <w:rPr>
                <w:rFonts w:hint="eastAsia" w:ascii="仿宋" w:hAnsi="仿宋" w:eastAsia="仿宋" w:cs="仿宋"/>
                <w:color w:val="auto"/>
                <w:kern w:val="0"/>
                <w:sz w:val="24"/>
                <w:highlight w:val="none"/>
              </w:rPr>
              <w:t>不满足磋商文件实质性要求的其他情形</w:t>
            </w:r>
            <w:r>
              <w:rPr>
                <w:rFonts w:hint="eastAsia" w:ascii="仿宋" w:hAnsi="仿宋" w:eastAsia="仿宋" w:cs="仿宋"/>
                <w:color w:val="auto"/>
                <w:kern w:val="0"/>
                <w:sz w:val="24"/>
                <w:highlight w:val="none"/>
                <w:lang w:eastAsia="zh-CN"/>
              </w:rPr>
              <w:t>。</w:t>
            </w:r>
          </w:p>
        </w:tc>
        <w:tc>
          <w:tcPr>
            <w:tcW w:w="1276" w:type="dxa"/>
            <w:noWrap w:val="0"/>
            <w:vAlign w:val="center"/>
          </w:tcPr>
          <w:p w14:paraId="7A5627BC">
            <w:pPr>
              <w:spacing w:line="300" w:lineRule="auto"/>
              <w:rPr>
                <w:rFonts w:ascii="仿宋" w:hAnsi="仿宋" w:eastAsia="仿宋" w:cs="仿宋"/>
                <w:color w:val="auto"/>
                <w:spacing w:val="-2"/>
                <w:sz w:val="24"/>
                <w:highlight w:val="none"/>
              </w:rPr>
            </w:pPr>
          </w:p>
        </w:tc>
      </w:tr>
      <w:tr w14:paraId="0F4D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0"/>
            <w:vAlign w:val="center"/>
          </w:tcPr>
          <w:p w14:paraId="254A79D5">
            <w:pPr>
              <w:spacing w:line="300" w:lineRule="auto"/>
              <w:rPr>
                <w:rFonts w:ascii="仿宋" w:hAnsi="仿宋" w:eastAsia="仿宋" w:cs="仿宋"/>
                <w:color w:val="auto"/>
                <w:sz w:val="24"/>
                <w:highlight w:val="none"/>
              </w:rPr>
            </w:pPr>
          </w:p>
        </w:tc>
        <w:tc>
          <w:tcPr>
            <w:tcW w:w="6915" w:type="dxa"/>
            <w:noWrap w:val="0"/>
            <w:vAlign w:val="center"/>
          </w:tcPr>
          <w:p w14:paraId="09A94F62">
            <w:pPr>
              <w:widowControl/>
              <w:spacing w:line="300" w:lineRule="auto"/>
              <w:jc w:val="left"/>
              <w:textAlignment w:val="center"/>
              <w:rPr>
                <w:rFonts w:ascii="仿宋" w:hAnsi="仿宋" w:eastAsia="仿宋" w:cs="仿宋"/>
                <w:color w:val="auto"/>
                <w:kern w:val="0"/>
                <w:sz w:val="24"/>
                <w:highlight w:val="none"/>
              </w:rPr>
            </w:pPr>
          </w:p>
        </w:tc>
        <w:tc>
          <w:tcPr>
            <w:tcW w:w="1276" w:type="dxa"/>
            <w:noWrap w:val="0"/>
            <w:vAlign w:val="center"/>
          </w:tcPr>
          <w:p w14:paraId="019981FE">
            <w:pPr>
              <w:spacing w:line="300" w:lineRule="auto"/>
              <w:rPr>
                <w:rFonts w:ascii="仿宋" w:hAnsi="仿宋" w:eastAsia="仿宋" w:cs="仿宋"/>
                <w:color w:val="auto"/>
                <w:spacing w:val="-2"/>
                <w:sz w:val="24"/>
                <w:highlight w:val="none"/>
              </w:rPr>
            </w:pPr>
          </w:p>
        </w:tc>
      </w:tr>
      <w:tr w14:paraId="5429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0"/>
            <w:vAlign w:val="center"/>
          </w:tcPr>
          <w:p w14:paraId="14A9B7E4">
            <w:pPr>
              <w:spacing w:line="300" w:lineRule="auto"/>
              <w:ind w:firstLine="424" w:firstLineChars="18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noWrap w:val="0"/>
            <w:vAlign w:val="center"/>
          </w:tcPr>
          <w:p w14:paraId="52B6AED5">
            <w:pPr>
              <w:spacing w:line="300" w:lineRule="auto"/>
              <w:ind w:firstLine="424" w:firstLineChars="180"/>
              <w:rPr>
                <w:rFonts w:ascii="仿宋" w:hAnsi="仿宋" w:eastAsia="仿宋" w:cs="仿宋"/>
                <w:color w:val="auto"/>
                <w:spacing w:val="-2"/>
                <w:sz w:val="24"/>
                <w:highlight w:val="none"/>
              </w:rPr>
            </w:pPr>
          </w:p>
        </w:tc>
      </w:tr>
    </w:tbl>
    <w:p w14:paraId="7A63729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588EFBF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3C4477B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7610ECC9">
      <w:pPr>
        <w:spacing w:line="360" w:lineRule="exact"/>
        <w:rPr>
          <w:rFonts w:eastAsia="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4707626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6A0C013D">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tbl>
      <w:tblPr>
        <w:tblStyle w:val="37"/>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65D65EED">
        <w:tblPrEx>
          <w:tblCellMar>
            <w:top w:w="0" w:type="dxa"/>
            <w:left w:w="108" w:type="dxa"/>
            <w:bottom w:w="0" w:type="dxa"/>
            <w:right w:w="108" w:type="dxa"/>
          </w:tblCellMar>
        </w:tblPrEx>
        <w:trPr>
          <w:trHeight w:val="530" w:hRule="atLeast"/>
        </w:trPr>
        <w:tc>
          <w:tcPr>
            <w:tcW w:w="9456" w:type="dxa"/>
            <w:gridSpan w:val="5"/>
            <w:tcBorders>
              <w:top w:val="nil"/>
              <w:left w:val="nil"/>
              <w:bottom w:val="single" w:color="auto" w:sz="4" w:space="0"/>
              <w:right w:val="nil"/>
            </w:tcBorders>
            <w:noWrap w:val="0"/>
            <w:vAlign w:val="center"/>
          </w:tcPr>
          <w:p w14:paraId="216AE73B">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商务符合性审查表</w:t>
            </w:r>
          </w:p>
        </w:tc>
      </w:tr>
      <w:tr w14:paraId="5D179BFD">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0"/>
            <w:vAlign w:val="center"/>
          </w:tcPr>
          <w:p w14:paraId="3EEA7A2A">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14:paraId="538E0CCB">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供应商名称及审查情况</w:t>
            </w:r>
          </w:p>
        </w:tc>
      </w:tr>
      <w:tr w14:paraId="6D6D4DBB">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42421DED">
            <w:pPr>
              <w:widowControl/>
              <w:jc w:val="left"/>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磋商文件条款（供应商须知、供应商须知资料表条款号）</w:t>
            </w:r>
          </w:p>
        </w:tc>
        <w:tc>
          <w:tcPr>
            <w:tcW w:w="4872" w:type="dxa"/>
            <w:tcBorders>
              <w:top w:val="single" w:color="auto" w:sz="4" w:space="0"/>
              <w:left w:val="single" w:color="auto" w:sz="4" w:space="0"/>
              <w:bottom w:val="single" w:color="auto" w:sz="4" w:space="0"/>
              <w:right w:val="single" w:color="auto" w:sz="4" w:space="0"/>
            </w:tcBorders>
            <w:noWrap w:val="0"/>
            <w:vAlign w:val="center"/>
          </w:tcPr>
          <w:p w14:paraId="491BBF76">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本项目要求</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07701B8D">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76115CC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1A4F15F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67613C82">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388D02B1">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中小企业投标要求（1.3.6）</w:t>
            </w:r>
          </w:p>
        </w:tc>
        <w:tc>
          <w:tcPr>
            <w:tcW w:w="4872" w:type="dxa"/>
            <w:tcBorders>
              <w:top w:val="single" w:color="auto" w:sz="4" w:space="0"/>
              <w:left w:val="nil"/>
              <w:bottom w:val="single" w:color="auto" w:sz="4" w:space="0"/>
              <w:right w:val="single" w:color="auto" w:sz="4" w:space="0"/>
            </w:tcBorders>
            <w:noWrap w:val="0"/>
            <w:vAlign w:val="center"/>
          </w:tcPr>
          <w:p w14:paraId="416D1B7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iCs/>
                <w:color w:val="auto"/>
                <w:kern w:val="0"/>
                <w:szCs w:val="21"/>
                <w:highlight w:val="none"/>
                <w:u w:val="single"/>
              </w:rPr>
              <w:t>适用</w:t>
            </w:r>
          </w:p>
        </w:tc>
        <w:tc>
          <w:tcPr>
            <w:tcW w:w="516" w:type="dxa"/>
            <w:tcBorders>
              <w:top w:val="single" w:color="auto" w:sz="4" w:space="0"/>
              <w:left w:val="nil"/>
              <w:bottom w:val="single" w:color="auto" w:sz="4" w:space="0"/>
              <w:right w:val="single" w:color="auto" w:sz="4" w:space="0"/>
            </w:tcBorders>
            <w:noWrap w:val="0"/>
            <w:vAlign w:val="center"/>
          </w:tcPr>
          <w:p w14:paraId="027E7B1B">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noWrap w:val="0"/>
            <w:vAlign w:val="center"/>
          </w:tcPr>
          <w:p w14:paraId="782B4610">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noWrap w:val="0"/>
            <w:vAlign w:val="center"/>
          </w:tcPr>
          <w:p w14:paraId="2C3B0B31">
            <w:pPr>
              <w:widowControl/>
              <w:jc w:val="left"/>
              <w:rPr>
                <w:rFonts w:ascii="仿宋" w:hAnsi="仿宋" w:eastAsia="仿宋" w:cs="仿宋"/>
                <w:color w:val="auto"/>
                <w:kern w:val="0"/>
                <w:sz w:val="22"/>
                <w:szCs w:val="22"/>
                <w:highlight w:val="none"/>
              </w:rPr>
            </w:pPr>
          </w:p>
        </w:tc>
      </w:tr>
      <w:tr w14:paraId="5F40A992">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706F967A">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联合体投标规定（1.4）</w:t>
            </w:r>
          </w:p>
        </w:tc>
        <w:tc>
          <w:tcPr>
            <w:tcW w:w="4872" w:type="dxa"/>
            <w:tcBorders>
              <w:top w:val="single" w:color="auto" w:sz="4" w:space="0"/>
              <w:left w:val="nil"/>
              <w:bottom w:val="single" w:color="auto" w:sz="4" w:space="0"/>
              <w:right w:val="single" w:color="auto" w:sz="4" w:space="0"/>
            </w:tcBorders>
            <w:noWrap w:val="0"/>
            <w:vAlign w:val="center"/>
          </w:tcPr>
          <w:p w14:paraId="7D8F33C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val="en-US" w:eastAsia="zh-CN"/>
              </w:rPr>
              <w:t>不</w:t>
            </w:r>
            <w:r>
              <w:rPr>
                <w:rFonts w:hint="eastAsia" w:ascii="仿宋" w:hAnsi="仿宋" w:eastAsia="仿宋" w:cs="仿宋"/>
                <w:i/>
                <w:iCs/>
                <w:color w:val="auto"/>
                <w:kern w:val="0"/>
                <w:szCs w:val="21"/>
                <w:highlight w:val="none"/>
                <w:u w:val="single"/>
              </w:rPr>
              <w:t>接受</w:t>
            </w:r>
            <w:r>
              <w:rPr>
                <w:rFonts w:hint="eastAsia" w:ascii="仿宋" w:hAnsi="仿宋" w:eastAsia="仿宋" w:cs="仿宋"/>
                <w:color w:val="auto"/>
                <w:kern w:val="0"/>
                <w:szCs w:val="21"/>
                <w:highlight w:val="none"/>
              </w:rPr>
              <w:t>联合体投标</w:t>
            </w:r>
          </w:p>
        </w:tc>
        <w:tc>
          <w:tcPr>
            <w:tcW w:w="516" w:type="dxa"/>
            <w:tcBorders>
              <w:top w:val="single" w:color="auto" w:sz="4" w:space="0"/>
              <w:left w:val="nil"/>
              <w:bottom w:val="single" w:color="auto" w:sz="4" w:space="0"/>
              <w:right w:val="single" w:color="auto" w:sz="4" w:space="0"/>
            </w:tcBorders>
            <w:noWrap w:val="0"/>
            <w:vAlign w:val="center"/>
          </w:tcPr>
          <w:p w14:paraId="289E53F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58470A2D">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6A3E986B">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7DD59FF8">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7E4B26B1">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供应商的关联性</w:t>
            </w:r>
          </w:p>
          <w:p w14:paraId="00E08CC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w:t>
            </w:r>
          </w:p>
        </w:tc>
        <w:tc>
          <w:tcPr>
            <w:tcW w:w="4872" w:type="dxa"/>
            <w:tcBorders>
              <w:top w:val="single" w:color="auto" w:sz="4" w:space="0"/>
              <w:left w:val="nil"/>
              <w:bottom w:val="single" w:color="auto" w:sz="4" w:space="0"/>
              <w:right w:val="single" w:color="auto" w:sz="4" w:space="0"/>
            </w:tcBorders>
            <w:noWrap w:val="0"/>
            <w:vAlign w:val="center"/>
          </w:tcPr>
          <w:p w14:paraId="35EFE26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0"/>
            <w:vAlign w:val="center"/>
          </w:tcPr>
          <w:p w14:paraId="4C7CBDF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384B5D6B">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1B3FF6B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45E3D077">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335F7FAF">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未发现影响采购人决策行为（1.5）</w:t>
            </w:r>
          </w:p>
        </w:tc>
        <w:tc>
          <w:tcPr>
            <w:tcW w:w="4872" w:type="dxa"/>
            <w:tcBorders>
              <w:top w:val="single" w:color="auto" w:sz="4" w:space="0"/>
              <w:left w:val="nil"/>
              <w:bottom w:val="single" w:color="auto" w:sz="4" w:space="0"/>
              <w:right w:val="single" w:color="auto" w:sz="4" w:space="0"/>
            </w:tcBorders>
            <w:noWrap w:val="0"/>
            <w:vAlign w:val="center"/>
          </w:tcPr>
          <w:p w14:paraId="31AAB0E9">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0"/>
            <w:vAlign w:val="center"/>
          </w:tcPr>
          <w:p w14:paraId="785D8E67">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noWrap w:val="0"/>
            <w:vAlign w:val="center"/>
          </w:tcPr>
          <w:p w14:paraId="226A6E9E">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noWrap w:val="0"/>
            <w:vAlign w:val="center"/>
          </w:tcPr>
          <w:p w14:paraId="6B2ADAB8">
            <w:pPr>
              <w:widowControl/>
              <w:jc w:val="left"/>
              <w:rPr>
                <w:rFonts w:ascii="仿宋" w:hAnsi="仿宋" w:eastAsia="仿宋" w:cs="仿宋"/>
                <w:color w:val="auto"/>
                <w:kern w:val="0"/>
                <w:sz w:val="22"/>
                <w:szCs w:val="22"/>
                <w:highlight w:val="none"/>
              </w:rPr>
            </w:pPr>
          </w:p>
        </w:tc>
      </w:tr>
      <w:tr w14:paraId="27C06748">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6959E890">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满足投标范围的完整性要求</w:t>
            </w:r>
          </w:p>
          <w:p w14:paraId="4CDBC058">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（8.1）</w:t>
            </w:r>
          </w:p>
        </w:tc>
        <w:tc>
          <w:tcPr>
            <w:tcW w:w="4872" w:type="dxa"/>
            <w:tcBorders>
              <w:top w:val="single" w:color="auto" w:sz="4" w:space="0"/>
              <w:left w:val="nil"/>
              <w:bottom w:val="single" w:color="auto" w:sz="4" w:space="0"/>
              <w:right w:val="single" w:color="auto" w:sz="4" w:space="0"/>
            </w:tcBorders>
            <w:noWrap w:val="0"/>
            <w:vAlign w:val="center"/>
          </w:tcPr>
          <w:p w14:paraId="637F67E8">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供应商对所投分包</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文件中所列的所有内容进行投标。</w:t>
            </w:r>
          </w:p>
        </w:tc>
        <w:tc>
          <w:tcPr>
            <w:tcW w:w="516" w:type="dxa"/>
            <w:tcBorders>
              <w:top w:val="single" w:color="auto" w:sz="4" w:space="0"/>
              <w:left w:val="nil"/>
              <w:bottom w:val="single" w:color="auto" w:sz="4" w:space="0"/>
              <w:right w:val="single" w:color="auto" w:sz="4" w:space="0"/>
            </w:tcBorders>
            <w:noWrap w:val="0"/>
            <w:vAlign w:val="center"/>
          </w:tcPr>
          <w:p w14:paraId="4CC9BE7F">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noWrap w:val="0"/>
            <w:vAlign w:val="center"/>
          </w:tcPr>
          <w:p w14:paraId="2BA1BE4E">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noWrap w:val="0"/>
            <w:vAlign w:val="center"/>
          </w:tcPr>
          <w:p w14:paraId="35B75A4C">
            <w:pPr>
              <w:widowControl/>
              <w:jc w:val="left"/>
              <w:rPr>
                <w:rFonts w:ascii="仿宋" w:hAnsi="仿宋" w:eastAsia="仿宋" w:cs="仿宋"/>
                <w:color w:val="auto"/>
                <w:kern w:val="0"/>
                <w:sz w:val="22"/>
                <w:szCs w:val="22"/>
                <w:highlight w:val="none"/>
              </w:rPr>
            </w:pPr>
          </w:p>
        </w:tc>
      </w:tr>
      <w:tr w14:paraId="536C2472">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4D51B348">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未包含价格调整要求</w:t>
            </w:r>
          </w:p>
          <w:p w14:paraId="1A3E557B">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（11.4）</w:t>
            </w:r>
          </w:p>
        </w:tc>
        <w:tc>
          <w:tcPr>
            <w:tcW w:w="4872" w:type="dxa"/>
            <w:tcBorders>
              <w:top w:val="single" w:color="auto" w:sz="4" w:space="0"/>
              <w:left w:val="nil"/>
              <w:bottom w:val="single" w:color="auto" w:sz="4" w:space="0"/>
              <w:right w:val="single" w:color="auto" w:sz="4" w:space="0"/>
            </w:tcBorders>
            <w:noWrap w:val="0"/>
            <w:vAlign w:val="center"/>
          </w:tcPr>
          <w:p w14:paraId="3EC70FE1">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0"/>
            <w:vAlign w:val="center"/>
          </w:tcPr>
          <w:p w14:paraId="156C2ECC">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4C3D3E1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4B902DBF">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2B9D7BF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43E6E48C">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磋商保证金</w:t>
            </w:r>
            <w:r>
              <w:rPr>
                <w:rFonts w:hint="eastAsia" w:ascii="仿宋" w:hAnsi="仿宋" w:eastAsia="仿宋" w:cs="仿宋"/>
                <w:color w:val="auto"/>
                <w:kern w:val="0"/>
                <w:sz w:val="22"/>
                <w:szCs w:val="22"/>
                <w:highlight w:val="none"/>
              </w:rPr>
              <w:t>（12.1）</w:t>
            </w:r>
          </w:p>
        </w:tc>
        <w:tc>
          <w:tcPr>
            <w:tcW w:w="4872" w:type="dxa"/>
            <w:tcBorders>
              <w:top w:val="single" w:color="auto" w:sz="4" w:space="0"/>
              <w:left w:val="nil"/>
              <w:bottom w:val="single" w:color="auto" w:sz="4" w:space="0"/>
              <w:right w:val="single" w:color="auto" w:sz="4" w:space="0"/>
            </w:tcBorders>
            <w:noWrap w:val="0"/>
            <w:vAlign w:val="center"/>
          </w:tcPr>
          <w:p w14:paraId="5E7045F4">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符合磋商文件要求</w:t>
            </w:r>
          </w:p>
        </w:tc>
        <w:tc>
          <w:tcPr>
            <w:tcW w:w="516" w:type="dxa"/>
            <w:tcBorders>
              <w:top w:val="single" w:color="auto" w:sz="4" w:space="0"/>
              <w:left w:val="nil"/>
              <w:bottom w:val="single" w:color="auto" w:sz="4" w:space="0"/>
              <w:right w:val="single" w:color="auto" w:sz="4" w:space="0"/>
            </w:tcBorders>
            <w:noWrap w:val="0"/>
            <w:vAlign w:val="center"/>
          </w:tcPr>
          <w:p w14:paraId="2F699E90">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noWrap w:val="0"/>
            <w:vAlign w:val="center"/>
          </w:tcPr>
          <w:p w14:paraId="2CD87A28">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noWrap w:val="0"/>
            <w:vAlign w:val="center"/>
          </w:tcPr>
          <w:p w14:paraId="1752578E">
            <w:pPr>
              <w:widowControl/>
              <w:jc w:val="left"/>
              <w:rPr>
                <w:rFonts w:ascii="仿宋" w:hAnsi="仿宋" w:eastAsia="仿宋" w:cs="仿宋"/>
                <w:color w:val="auto"/>
                <w:kern w:val="0"/>
                <w:sz w:val="22"/>
                <w:szCs w:val="22"/>
                <w:highlight w:val="none"/>
              </w:rPr>
            </w:pPr>
          </w:p>
        </w:tc>
      </w:tr>
      <w:tr w14:paraId="27FDCEE7">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63E328BA">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磋商有效期满足要求（13.1）</w:t>
            </w:r>
          </w:p>
        </w:tc>
        <w:tc>
          <w:tcPr>
            <w:tcW w:w="4872" w:type="dxa"/>
            <w:tcBorders>
              <w:top w:val="single" w:color="auto" w:sz="4" w:space="0"/>
              <w:left w:val="nil"/>
              <w:bottom w:val="single" w:color="auto" w:sz="4" w:space="0"/>
              <w:right w:val="single" w:color="auto" w:sz="4" w:space="0"/>
            </w:tcBorders>
            <w:noWrap w:val="0"/>
            <w:vAlign w:val="center"/>
          </w:tcPr>
          <w:p w14:paraId="5EFBF20A">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自提交响应文件截止之日起</w:t>
            </w:r>
            <w:r>
              <w:rPr>
                <w:rFonts w:hint="eastAsia" w:ascii="仿宋" w:hAnsi="仿宋" w:eastAsia="仿宋" w:cs="仿宋"/>
                <w:color w:val="auto"/>
                <w:szCs w:val="21"/>
                <w:highlight w:val="none"/>
                <w:u w:val="single"/>
              </w:rPr>
              <w:t xml:space="preserve"> 90日</w:t>
            </w:r>
            <w:r>
              <w:rPr>
                <w:rFonts w:hint="eastAsia" w:ascii="仿宋" w:hAnsi="仿宋" w:eastAsia="仿宋" w:cs="仿宋"/>
                <w:color w:val="auto"/>
                <w:szCs w:val="21"/>
                <w:highlight w:val="none"/>
              </w:rPr>
              <w:t>历日内</w:t>
            </w:r>
          </w:p>
        </w:tc>
        <w:tc>
          <w:tcPr>
            <w:tcW w:w="516" w:type="dxa"/>
            <w:tcBorders>
              <w:top w:val="single" w:color="auto" w:sz="4" w:space="0"/>
              <w:left w:val="nil"/>
              <w:bottom w:val="single" w:color="auto" w:sz="4" w:space="0"/>
              <w:right w:val="single" w:color="auto" w:sz="4" w:space="0"/>
            </w:tcBorders>
            <w:noWrap w:val="0"/>
            <w:vAlign w:val="center"/>
          </w:tcPr>
          <w:p w14:paraId="30B2581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080F62D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2E5B1414">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5FB8CC06">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7EB84E24">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响应文件的签署和盖章符合要求（14.2、14.4）</w:t>
            </w:r>
          </w:p>
        </w:tc>
        <w:tc>
          <w:tcPr>
            <w:tcW w:w="4872" w:type="dxa"/>
            <w:tcBorders>
              <w:top w:val="single" w:color="auto" w:sz="4" w:space="0"/>
              <w:left w:val="nil"/>
              <w:bottom w:val="single" w:color="auto" w:sz="4" w:space="0"/>
              <w:right w:val="single" w:color="auto" w:sz="4" w:space="0"/>
            </w:tcBorders>
            <w:noWrap w:val="0"/>
            <w:vAlign w:val="center"/>
          </w:tcPr>
          <w:p w14:paraId="5877BBF5">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按照</w:t>
            </w:r>
            <w:r>
              <w:rPr>
                <w:rFonts w:hint="eastAsia" w:ascii="仿宋" w:hAnsi="仿宋" w:eastAsia="仿宋" w:cs="仿宋"/>
                <w:color w:val="auto"/>
                <w:szCs w:val="21"/>
                <w:highlight w:val="none"/>
                <w:lang w:eastAsia="zh-CN"/>
              </w:rPr>
              <w:t>磋商</w:t>
            </w:r>
            <w:r>
              <w:rPr>
                <w:rFonts w:hint="eastAsia" w:ascii="仿宋" w:hAnsi="仿宋" w:eastAsia="仿宋" w:cs="仿宋"/>
                <w:color w:val="auto"/>
                <w:szCs w:val="21"/>
                <w:highlight w:val="none"/>
              </w:rPr>
              <w:t>文件规定要求签署、盖章。</w:t>
            </w:r>
          </w:p>
        </w:tc>
        <w:tc>
          <w:tcPr>
            <w:tcW w:w="516" w:type="dxa"/>
            <w:tcBorders>
              <w:top w:val="single" w:color="auto" w:sz="4" w:space="0"/>
              <w:left w:val="nil"/>
              <w:bottom w:val="single" w:color="auto" w:sz="4" w:space="0"/>
              <w:right w:val="single" w:color="auto" w:sz="4" w:space="0"/>
            </w:tcBorders>
            <w:noWrap w:val="0"/>
            <w:vAlign w:val="center"/>
          </w:tcPr>
          <w:p w14:paraId="0A136C28">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noWrap w:val="0"/>
            <w:vAlign w:val="center"/>
          </w:tcPr>
          <w:p w14:paraId="28DECB4C">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noWrap w:val="0"/>
            <w:vAlign w:val="center"/>
          </w:tcPr>
          <w:p w14:paraId="5FB01FF1">
            <w:pPr>
              <w:widowControl/>
              <w:jc w:val="left"/>
              <w:rPr>
                <w:rFonts w:ascii="仿宋" w:hAnsi="仿宋" w:eastAsia="仿宋" w:cs="仿宋"/>
                <w:color w:val="auto"/>
                <w:kern w:val="0"/>
                <w:sz w:val="22"/>
                <w:szCs w:val="22"/>
                <w:highlight w:val="none"/>
              </w:rPr>
            </w:pPr>
          </w:p>
        </w:tc>
      </w:tr>
      <w:tr w14:paraId="720ADC5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3CE3DA83">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接受价格的算术修正</w:t>
            </w:r>
          </w:p>
          <w:p w14:paraId="48C57E2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（20.3）</w:t>
            </w:r>
          </w:p>
        </w:tc>
        <w:tc>
          <w:tcPr>
            <w:tcW w:w="4872" w:type="dxa"/>
            <w:tcBorders>
              <w:top w:val="single" w:color="auto" w:sz="4" w:space="0"/>
              <w:left w:val="nil"/>
              <w:bottom w:val="single" w:color="auto" w:sz="4" w:space="0"/>
              <w:right w:val="single" w:color="auto" w:sz="4" w:space="0"/>
            </w:tcBorders>
            <w:noWrap w:val="0"/>
            <w:vAlign w:val="center"/>
          </w:tcPr>
          <w:p w14:paraId="3AB62270">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响应文件报价出现前后不一致的，应按照磋商文件规定的顺序修正。修正后的报价经供应商确认后产生约束力。</w:t>
            </w:r>
          </w:p>
        </w:tc>
        <w:tc>
          <w:tcPr>
            <w:tcW w:w="516" w:type="dxa"/>
            <w:tcBorders>
              <w:top w:val="single" w:color="auto" w:sz="4" w:space="0"/>
              <w:left w:val="nil"/>
              <w:bottom w:val="single" w:color="auto" w:sz="4" w:space="0"/>
              <w:right w:val="single" w:color="auto" w:sz="4" w:space="0"/>
            </w:tcBorders>
            <w:noWrap w:val="0"/>
            <w:vAlign w:val="center"/>
          </w:tcPr>
          <w:p w14:paraId="11F173A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07297DBF">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17A500FB">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2427B4A2">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2054E411">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符合强制采购节能产品要求（20.6）</w:t>
            </w:r>
          </w:p>
        </w:tc>
        <w:tc>
          <w:tcPr>
            <w:tcW w:w="4872" w:type="dxa"/>
            <w:tcBorders>
              <w:top w:val="single" w:color="auto" w:sz="4" w:space="0"/>
              <w:left w:val="nil"/>
              <w:bottom w:val="single" w:color="auto" w:sz="4" w:space="0"/>
              <w:right w:val="single" w:color="auto" w:sz="4" w:space="0"/>
            </w:tcBorders>
            <w:noWrap w:val="0"/>
            <w:vAlign w:val="center"/>
          </w:tcPr>
          <w:p w14:paraId="0745BCA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val="en-US" w:eastAsia="zh-CN"/>
              </w:rPr>
              <w:t>不</w:t>
            </w:r>
            <w:r>
              <w:rPr>
                <w:rFonts w:hint="eastAsia" w:ascii="仿宋" w:hAnsi="仿宋" w:eastAsia="仿宋" w:cs="仿宋"/>
                <w:i/>
                <w:iCs/>
                <w:color w:val="auto"/>
                <w:kern w:val="0"/>
                <w:szCs w:val="21"/>
                <w:highlight w:val="none"/>
                <w:u w:val="single"/>
              </w:rPr>
              <w:t>适用</w:t>
            </w:r>
          </w:p>
        </w:tc>
        <w:tc>
          <w:tcPr>
            <w:tcW w:w="516" w:type="dxa"/>
            <w:tcBorders>
              <w:top w:val="single" w:color="auto" w:sz="4" w:space="0"/>
              <w:left w:val="nil"/>
              <w:bottom w:val="single" w:color="auto" w:sz="4" w:space="0"/>
              <w:right w:val="single" w:color="auto" w:sz="4" w:space="0"/>
            </w:tcBorders>
            <w:noWrap w:val="0"/>
            <w:vAlign w:val="center"/>
          </w:tcPr>
          <w:p w14:paraId="4AA79FEB">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6065AE0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48EDF50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22C7EF64">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581DC97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未发现串通投标（22.2）</w:t>
            </w:r>
          </w:p>
        </w:tc>
        <w:tc>
          <w:tcPr>
            <w:tcW w:w="4872" w:type="dxa"/>
            <w:tcBorders>
              <w:top w:val="single" w:color="auto" w:sz="4" w:space="0"/>
              <w:left w:val="nil"/>
              <w:bottom w:val="single" w:color="auto" w:sz="4" w:space="0"/>
              <w:right w:val="single" w:color="auto" w:sz="4" w:space="0"/>
            </w:tcBorders>
            <w:noWrap w:val="0"/>
            <w:vAlign w:val="center"/>
          </w:tcPr>
          <w:p w14:paraId="6C2919E1">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未与其他供应商串通投标，或者与采购人串通投标。</w:t>
            </w:r>
          </w:p>
        </w:tc>
        <w:tc>
          <w:tcPr>
            <w:tcW w:w="516" w:type="dxa"/>
            <w:tcBorders>
              <w:top w:val="single" w:color="auto" w:sz="4" w:space="0"/>
              <w:left w:val="nil"/>
              <w:bottom w:val="single" w:color="auto" w:sz="4" w:space="0"/>
              <w:right w:val="single" w:color="auto" w:sz="4" w:space="0"/>
            </w:tcBorders>
            <w:noWrap w:val="0"/>
            <w:vAlign w:val="center"/>
          </w:tcPr>
          <w:p w14:paraId="353684C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7BE0F3AD">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21A5C3FC">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3C3DC3B6">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56CBEFE3">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报价说明可以接受（22.2）</w:t>
            </w:r>
          </w:p>
        </w:tc>
        <w:tc>
          <w:tcPr>
            <w:tcW w:w="4872" w:type="dxa"/>
            <w:tcBorders>
              <w:top w:val="single" w:color="auto" w:sz="4" w:space="0"/>
              <w:left w:val="nil"/>
              <w:bottom w:val="single" w:color="auto" w:sz="4" w:space="0"/>
              <w:right w:val="single" w:color="auto" w:sz="4" w:space="0"/>
            </w:tcBorders>
            <w:noWrap w:val="0"/>
            <w:vAlign w:val="center"/>
          </w:tcPr>
          <w:p w14:paraId="3203F389">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供应商的报价明显低于其他通过符合性检查供应商的报价，有可能影响履约的，供应商能按照规定证明其报价合理性。</w:t>
            </w:r>
          </w:p>
        </w:tc>
        <w:tc>
          <w:tcPr>
            <w:tcW w:w="516" w:type="dxa"/>
            <w:tcBorders>
              <w:top w:val="single" w:color="auto" w:sz="4" w:space="0"/>
              <w:left w:val="nil"/>
              <w:bottom w:val="single" w:color="auto" w:sz="4" w:space="0"/>
              <w:right w:val="single" w:color="auto" w:sz="4" w:space="0"/>
            </w:tcBorders>
            <w:noWrap w:val="0"/>
            <w:vAlign w:val="center"/>
          </w:tcPr>
          <w:p w14:paraId="63F4C44F">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noWrap w:val="0"/>
            <w:vAlign w:val="center"/>
          </w:tcPr>
          <w:p w14:paraId="46E3042B">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noWrap w:val="0"/>
            <w:vAlign w:val="center"/>
          </w:tcPr>
          <w:p w14:paraId="4E0D74F1">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01E02DF4">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0"/>
            <w:vAlign w:val="center"/>
          </w:tcPr>
          <w:p w14:paraId="2FE551B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无采购人不能接受的附加条件（22.2）</w:t>
            </w:r>
          </w:p>
        </w:tc>
        <w:tc>
          <w:tcPr>
            <w:tcW w:w="4872" w:type="dxa"/>
            <w:tcBorders>
              <w:top w:val="single" w:color="auto" w:sz="4" w:space="0"/>
              <w:left w:val="nil"/>
              <w:bottom w:val="single" w:color="auto" w:sz="4" w:space="0"/>
              <w:right w:val="single" w:color="auto" w:sz="4" w:space="0"/>
            </w:tcBorders>
            <w:noWrap w:val="0"/>
            <w:vAlign w:val="center"/>
          </w:tcPr>
          <w:p w14:paraId="563F35C5">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响应文件未含有采购人不能接受的附加条件。</w:t>
            </w:r>
          </w:p>
        </w:tc>
        <w:tc>
          <w:tcPr>
            <w:tcW w:w="516" w:type="dxa"/>
            <w:tcBorders>
              <w:top w:val="single" w:color="auto" w:sz="4" w:space="0"/>
              <w:left w:val="nil"/>
              <w:bottom w:val="single" w:color="auto" w:sz="4" w:space="0"/>
              <w:right w:val="single" w:color="auto" w:sz="4" w:space="0"/>
            </w:tcBorders>
            <w:noWrap w:val="0"/>
            <w:vAlign w:val="center"/>
          </w:tcPr>
          <w:p w14:paraId="2D980A93">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noWrap w:val="0"/>
            <w:vAlign w:val="center"/>
          </w:tcPr>
          <w:p w14:paraId="604E0F1D">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noWrap w:val="0"/>
            <w:vAlign w:val="center"/>
          </w:tcPr>
          <w:p w14:paraId="733CACD7">
            <w:pPr>
              <w:widowControl/>
              <w:jc w:val="left"/>
              <w:rPr>
                <w:rFonts w:ascii="仿宋" w:hAnsi="仿宋" w:eastAsia="仿宋" w:cs="仿宋"/>
                <w:color w:val="auto"/>
                <w:kern w:val="0"/>
                <w:sz w:val="22"/>
                <w:szCs w:val="22"/>
                <w:highlight w:val="none"/>
              </w:rPr>
            </w:pPr>
          </w:p>
        </w:tc>
      </w:tr>
      <w:tr w14:paraId="09E359DE">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0"/>
            <w:vAlign w:val="center"/>
          </w:tcPr>
          <w:p w14:paraId="67D8BF43">
            <w:pPr>
              <w:widowControl/>
              <w:jc w:val="left"/>
              <w:rPr>
                <w:rFonts w:ascii="仿宋" w:hAnsi="仿宋" w:eastAsia="仿宋" w:cs="仿宋"/>
                <w:b/>
                <w:color w:val="auto"/>
                <w:szCs w:val="21"/>
                <w:highlight w:val="none"/>
              </w:rPr>
            </w:pPr>
            <w:r>
              <w:rPr>
                <w:rFonts w:hint="eastAsia" w:ascii="仿宋" w:hAnsi="仿宋" w:eastAsia="仿宋" w:cs="仿宋"/>
                <w:b/>
                <w:color w:val="auto"/>
                <w:kern w:val="0"/>
                <w:sz w:val="22"/>
                <w:szCs w:val="22"/>
                <w:highlight w:val="none"/>
              </w:rPr>
              <w:t>结论：</w:t>
            </w:r>
            <w:r>
              <w:rPr>
                <w:rFonts w:hint="eastAsia" w:ascii="仿宋" w:hAnsi="仿宋" w:eastAsia="仿宋" w:cs="仿宋"/>
                <w:b/>
                <w:bCs/>
                <w:color w:val="auto"/>
                <w:spacing w:val="-2"/>
                <w:sz w:val="24"/>
                <w:highlight w:val="none"/>
              </w:rPr>
              <w:t>通过评审打“√”，未通过评审打“×”</w:t>
            </w:r>
          </w:p>
        </w:tc>
        <w:tc>
          <w:tcPr>
            <w:tcW w:w="516" w:type="dxa"/>
            <w:tcBorders>
              <w:top w:val="single" w:color="auto" w:sz="4" w:space="0"/>
              <w:left w:val="nil"/>
              <w:bottom w:val="single" w:color="auto" w:sz="4" w:space="0"/>
              <w:right w:val="single" w:color="auto" w:sz="4" w:space="0"/>
            </w:tcBorders>
            <w:noWrap w:val="0"/>
            <w:vAlign w:val="center"/>
          </w:tcPr>
          <w:p w14:paraId="1E9A0228">
            <w:pPr>
              <w:widowControl/>
              <w:jc w:val="center"/>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noWrap w:val="0"/>
            <w:vAlign w:val="center"/>
          </w:tcPr>
          <w:p w14:paraId="3EC450A4">
            <w:pPr>
              <w:widowControl/>
              <w:jc w:val="center"/>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noWrap w:val="0"/>
            <w:vAlign w:val="center"/>
          </w:tcPr>
          <w:p w14:paraId="57D5F4F1">
            <w:pPr>
              <w:widowControl/>
              <w:jc w:val="center"/>
              <w:rPr>
                <w:rFonts w:ascii="仿宋" w:hAnsi="仿宋" w:eastAsia="仿宋" w:cs="仿宋"/>
                <w:color w:val="auto"/>
                <w:kern w:val="0"/>
                <w:sz w:val="22"/>
                <w:szCs w:val="22"/>
                <w:highlight w:val="none"/>
              </w:rPr>
            </w:pPr>
          </w:p>
        </w:tc>
      </w:tr>
    </w:tbl>
    <w:p w14:paraId="27DD6F7D">
      <w:pPr>
        <w:pStyle w:val="7"/>
        <w:ind w:left="0" w:leftChars="0"/>
        <w:rPr>
          <w:color w:val="auto"/>
          <w:highlight w:val="none"/>
        </w:rPr>
      </w:pPr>
    </w:p>
    <w:p w14:paraId="31D170B9">
      <w:pPr>
        <w:spacing w:line="360" w:lineRule="auto"/>
        <w:rPr>
          <w:color w:val="auto"/>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2FCFCBF1">
      <w:pPr>
        <w:spacing w:line="300" w:lineRule="auto"/>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技术符合性审查表</w:t>
      </w:r>
    </w:p>
    <w:tbl>
      <w:tblPr>
        <w:tblStyle w:val="37"/>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462F4A85">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0"/>
            <w:vAlign w:val="center"/>
          </w:tcPr>
          <w:p w14:paraId="57F2AB96">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审查事项</w:t>
            </w:r>
          </w:p>
        </w:tc>
        <w:tc>
          <w:tcPr>
            <w:tcW w:w="1696" w:type="dxa"/>
            <w:vMerge w:val="restart"/>
            <w:tcBorders>
              <w:top w:val="single" w:color="000000" w:sz="4" w:space="0"/>
              <w:left w:val="single" w:color="000000" w:sz="4" w:space="0"/>
              <w:right w:val="single" w:color="000000" w:sz="4" w:space="0"/>
            </w:tcBorders>
            <w:noWrap w:val="0"/>
            <w:vAlign w:val="center"/>
          </w:tcPr>
          <w:p w14:paraId="674184FF">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c>
          <w:tcPr>
            <w:tcW w:w="1696" w:type="dxa"/>
            <w:vMerge w:val="restart"/>
            <w:tcBorders>
              <w:top w:val="single" w:color="000000" w:sz="4" w:space="0"/>
              <w:left w:val="single" w:color="000000" w:sz="4" w:space="0"/>
              <w:right w:val="single" w:color="000000" w:sz="4" w:space="0"/>
            </w:tcBorders>
            <w:noWrap w:val="0"/>
            <w:vAlign w:val="center"/>
          </w:tcPr>
          <w:p w14:paraId="28BEE2D3">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c>
          <w:tcPr>
            <w:tcW w:w="1696" w:type="dxa"/>
            <w:vMerge w:val="restart"/>
            <w:tcBorders>
              <w:top w:val="single" w:color="000000" w:sz="4" w:space="0"/>
              <w:left w:val="single" w:color="000000" w:sz="4" w:space="0"/>
              <w:right w:val="single" w:color="000000" w:sz="4" w:space="0"/>
            </w:tcBorders>
            <w:noWrap w:val="0"/>
            <w:vAlign w:val="center"/>
          </w:tcPr>
          <w:p w14:paraId="37D76E16">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r>
      <w:tr w14:paraId="444033B6">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78AB8D73">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磋商文件要求</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4A6C8D1A">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条款号</w:t>
            </w:r>
          </w:p>
        </w:tc>
        <w:tc>
          <w:tcPr>
            <w:tcW w:w="1696" w:type="dxa"/>
            <w:vMerge w:val="continue"/>
            <w:tcBorders>
              <w:left w:val="single" w:color="000000" w:sz="4" w:space="0"/>
              <w:bottom w:val="single" w:color="000000" w:sz="4" w:space="0"/>
              <w:right w:val="single" w:color="000000" w:sz="4" w:space="0"/>
            </w:tcBorders>
            <w:noWrap w:val="0"/>
            <w:vAlign w:val="center"/>
          </w:tcPr>
          <w:p w14:paraId="3E111DA6">
            <w:pPr>
              <w:widowControl/>
              <w:jc w:val="center"/>
              <w:textAlignment w:val="center"/>
              <w:rPr>
                <w:rFonts w:ascii="仿宋" w:hAnsi="仿宋" w:eastAsia="仿宋" w:cs="仿宋"/>
                <w:color w:val="auto"/>
                <w:kern w:val="0"/>
                <w:sz w:val="22"/>
                <w:szCs w:val="22"/>
                <w:highlight w:val="none"/>
              </w:rPr>
            </w:pPr>
          </w:p>
        </w:tc>
        <w:tc>
          <w:tcPr>
            <w:tcW w:w="1696" w:type="dxa"/>
            <w:vMerge w:val="continue"/>
            <w:tcBorders>
              <w:left w:val="single" w:color="000000" w:sz="4" w:space="0"/>
              <w:bottom w:val="single" w:color="000000" w:sz="4" w:space="0"/>
              <w:right w:val="single" w:color="000000" w:sz="4" w:space="0"/>
            </w:tcBorders>
            <w:noWrap w:val="0"/>
            <w:vAlign w:val="center"/>
          </w:tcPr>
          <w:p w14:paraId="5EB398C3">
            <w:pPr>
              <w:widowControl/>
              <w:jc w:val="center"/>
              <w:textAlignment w:val="center"/>
              <w:rPr>
                <w:rFonts w:ascii="仿宋" w:hAnsi="仿宋" w:eastAsia="仿宋" w:cs="仿宋"/>
                <w:color w:val="auto"/>
                <w:kern w:val="0"/>
                <w:sz w:val="22"/>
                <w:szCs w:val="22"/>
                <w:highlight w:val="none"/>
              </w:rPr>
            </w:pPr>
          </w:p>
        </w:tc>
        <w:tc>
          <w:tcPr>
            <w:tcW w:w="1696" w:type="dxa"/>
            <w:vMerge w:val="continue"/>
            <w:tcBorders>
              <w:left w:val="single" w:color="000000" w:sz="4" w:space="0"/>
              <w:bottom w:val="single" w:color="000000" w:sz="4" w:space="0"/>
              <w:right w:val="single" w:color="000000" w:sz="4" w:space="0"/>
            </w:tcBorders>
            <w:noWrap w:val="0"/>
            <w:vAlign w:val="center"/>
          </w:tcPr>
          <w:p w14:paraId="34EE3BFE">
            <w:pPr>
              <w:widowControl/>
              <w:jc w:val="center"/>
              <w:textAlignment w:val="center"/>
              <w:rPr>
                <w:rFonts w:ascii="仿宋" w:hAnsi="仿宋" w:eastAsia="仿宋" w:cs="仿宋"/>
                <w:color w:val="auto"/>
                <w:kern w:val="0"/>
                <w:sz w:val="22"/>
                <w:szCs w:val="22"/>
                <w:highlight w:val="none"/>
              </w:rPr>
            </w:pPr>
          </w:p>
        </w:tc>
      </w:tr>
      <w:tr w14:paraId="598B9952">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103D7C97">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采购需求</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403C07A">
            <w:pPr>
              <w:widowControl/>
              <w:spacing w:line="360" w:lineRule="exact"/>
              <w:jc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第5章</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355D4EB">
            <w:pPr>
              <w:jc w:val="left"/>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84C6806">
            <w:pPr>
              <w:jc w:val="left"/>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A904FCC">
            <w:pPr>
              <w:jc w:val="left"/>
              <w:rPr>
                <w:rFonts w:ascii="仿宋" w:hAnsi="仿宋" w:eastAsia="仿宋" w:cs="仿宋"/>
                <w:color w:val="auto"/>
                <w:sz w:val="22"/>
                <w:szCs w:val="22"/>
                <w:highlight w:val="none"/>
              </w:rPr>
            </w:pPr>
          </w:p>
        </w:tc>
      </w:tr>
      <w:tr w14:paraId="04B37122">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7B8149A0">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DDC7C7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60AF2E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BA8A794">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6C2FD00">
            <w:pPr>
              <w:rPr>
                <w:rFonts w:ascii="仿宋" w:hAnsi="仿宋" w:eastAsia="仿宋" w:cs="仿宋"/>
                <w:color w:val="auto"/>
                <w:sz w:val="22"/>
                <w:szCs w:val="22"/>
                <w:highlight w:val="none"/>
              </w:rPr>
            </w:pPr>
          </w:p>
        </w:tc>
      </w:tr>
      <w:tr w14:paraId="3128FD67">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6EB44C22">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6656076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17D2A6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14930A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E8D0D51">
            <w:pPr>
              <w:rPr>
                <w:rFonts w:ascii="仿宋" w:hAnsi="仿宋" w:eastAsia="仿宋" w:cs="仿宋"/>
                <w:color w:val="auto"/>
                <w:sz w:val="22"/>
                <w:szCs w:val="22"/>
                <w:highlight w:val="none"/>
              </w:rPr>
            </w:pPr>
          </w:p>
        </w:tc>
      </w:tr>
      <w:tr w14:paraId="55A4761F">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2FE63D87">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AEF7D1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CB63E9A">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F06243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526A81F">
            <w:pPr>
              <w:rPr>
                <w:rFonts w:ascii="仿宋" w:hAnsi="仿宋" w:eastAsia="仿宋" w:cs="仿宋"/>
                <w:color w:val="auto"/>
                <w:sz w:val="22"/>
                <w:szCs w:val="22"/>
                <w:highlight w:val="none"/>
              </w:rPr>
            </w:pPr>
          </w:p>
        </w:tc>
      </w:tr>
      <w:tr w14:paraId="52BE54F9">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6AC74EE8">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852A434">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9E7902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911F19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CE13623">
            <w:pPr>
              <w:rPr>
                <w:rFonts w:ascii="仿宋" w:hAnsi="仿宋" w:eastAsia="仿宋" w:cs="仿宋"/>
                <w:color w:val="auto"/>
                <w:sz w:val="22"/>
                <w:szCs w:val="22"/>
                <w:highlight w:val="none"/>
              </w:rPr>
            </w:pPr>
          </w:p>
        </w:tc>
      </w:tr>
      <w:tr w14:paraId="36A2196D">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1BB3C151">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915B4A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3F2C1B1">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8E0450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EE4CF91">
            <w:pPr>
              <w:rPr>
                <w:rFonts w:ascii="仿宋" w:hAnsi="仿宋" w:eastAsia="仿宋" w:cs="仿宋"/>
                <w:color w:val="auto"/>
                <w:sz w:val="22"/>
                <w:szCs w:val="22"/>
                <w:highlight w:val="none"/>
              </w:rPr>
            </w:pPr>
          </w:p>
        </w:tc>
      </w:tr>
      <w:tr w14:paraId="55AB90C9">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1A7B6250">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C57536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980981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AFC847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D286423">
            <w:pPr>
              <w:rPr>
                <w:rFonts w:ascii="仿宋" w:hAnsi="仿宋" w:eastAsia="仿宋" w:cs="仿宋"/>
                <w:color w:val="auto"/>
                <w:sz w:val="22"/>
                <w:szCs w:val="22"/>
                <w:highlight w:val="none"/>
              </w:rPr>
            </w:pPr>
          </w:p>
        </w:tc>
      </w:tr>
      <w:tr w14:paraId="5D71EB8E">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4C0790C9">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27B713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B8BBC5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BE822C1">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E83A3C8">
            <w:pPr>
              <w:rPr>
                <w:rFonts w:ascii="仿宋" w:hAnsi="仿宋" w:eastAsia="仿宋" w:cs="仿宋"/>
                <w:color w:val="auto"/>
                <w:sz w:val="22"/>
                <w:szCs w:val="22"/>
                <w:highlight w:val="none"/>
              </w:rPr>
            </w:pPr>
          </w:p>
        </w:tc>
      </w:tr>
      <w:tr w14:paraId="29864D1D">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7428D75A">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11D62C2A">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2541A9A">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6AEE3E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B0784C">
            <w:pPr>
              <w:rPr>
                <w:rFonts w:ascii="仿宋" w:hAnsi="仿宋" w:eastAsia="仿宋" w:cs="仿宋"/>
                <w:color w:val="auto"/>
                <w:sz w:val="22"/>
                <w:szCs w:val="22"/>
                <w:highlight w:val="none"/>
              </w:rPr>
            </w:pPr>
          </w:p>
        </w:tc>
      </w:tr>
      <w:tr w14:paraId="5C633FA9">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6ACFF20B">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A9F494A">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1256571">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0BA863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443C14B">
            <w:pPr>
              <w:rPr>
                <w:rFonts w:ascii="仿宋" w:hAnsi="仿宋" w:eastAsia="仿宋" w:cs="仿宋"/>
                <w:color w:val="auto"/>
                <w:sz w:val="22"/>
                <w:szCs w:val="22"/>
                <w:highlight w:val="none"/>
              </w:rPr>
            </w:pPr>
          </w:p>
        </w:tc>
      </w:tr>
      <w:tr w14:paraId="745C5E8E">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5FC2060B">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6B16D90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0CEB3EC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CAE35A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FBB577">
            <w:pPr>
              <w:rPr>
                <w:rFonts w:ascii="仿宋" w:hAnsi="仿宋" w:eastAsia="仿宋" w:cs="仿宋"/>
                <w:color w:val="auto"/>
                <w:sz w:val="22"/>
                <w:szCs w:val="22"/>
                <w:highlight w:val="none"/>
              </w:rPr>
            </w:pPr>
          </w:p>
        </w:tc>
      </w:tr>
      <w:tr w14:paraId="5D24DE1B">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42C549B6">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63B94A9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82BA6C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54DFA5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4D6845F">
            <w:pPr>
              <w:rPr>
                <w:rFonts w:ascii="仿宋" w:hAnsi="仿宋" w:eastAsia="仿宋" w:cs="仿宋"/>
                <w:color w:val="auto"/>
                <w:sz w:val="22"/>
                <w:szCs w:val="22"/>
                <w:highlight w:val="none"/>
              </w:rPr>
            </w:pPr>
          </w:p>
        </w:tc>
      </w:tr>
      <w:tr w14:paraId="25A080E5">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53704A32">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103B242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6A6BFE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71A1C0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CE746D3">
            <w:pPr>
              <w:rPr>
                <w:rFonts w:ascii="仿宋" w:hAnsi="仿宋" w:eastAsia="仿宋" w:cs="仿宋"/>
                <w:color w:val="auto"/>
                <w:sz w:val="22"/>
                <w:szCs w:val="22"/>
                <w:highlight w:val="none"/>
              </w:rPr>
            </w:pPr>
          </w:p>
        </w:tc>
      </w:tr>
      <w:tr w14:paraId="11D3DF9F">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26C8F76B">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583C678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AD9A54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EC555C4">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04D1886">
            <w:pPr>
              <w:rPr>
                <w:rFonts w:ascii="仿宋" w:hAnsi="仿宋" w:eastAsia="仿宋" w:cs="仿宋"/>
                <w:color w:val="auto"/>
                <w:sz w:val="22"/>
                <w:szCs w:val="22"/>
                <w:highlight w:val="none"/>
              </w:rPr>
            </w:pPr>
          </w:p>
        </w:tc>
      </w:tr>
      <w:tr w14:paraId="57CB0167">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43C168F4">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5B6A978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4CD0D4F1">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4AE06D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192EF97">
            <w:pPr>
              <w:rPr>
                <w:rFonts w:ascii="仿宋" w:hAnsi="仿宋" w:eastAsia="仿宋" w:cs="仿宋"/>
                <w:color w:val="auto"/>
                <w:sz w:val="22"/>
                <w:szCs w:val="22"/>
                <w:highlight w:val="none"/>
              </w:rPr>
            </w:pPr>
          </w:p>
        </w:tc>
      </w:tr>
      <w:tr w14:paraId="255DB1A2">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6D4BDD99">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12E81C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4998A0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A89E8E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52ADC32">
            <w:pPr>
              <w:rPr>
                <w:rFonts w:ascii="仿宋" w:hAnsi="仿宋" w:eastAsia="仿宋" w:cs="仿宋"/>
                <w:color w:val="auto"/>
                <w:sz w:val="22"/>
                <w:szCs w:val="22"/>
                <w:highlight w:val="none"/>
              </w:rPr>
            </w:pPr>
          </w:p>
        </w:tc>
      </w:tr>
      <w:tr w14:paraId="1E27343E">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371C47D2">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57F448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548BB2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A41A27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40268D6">
            <w:pPr>
              <w:rPr>
                <w:rFonts w:ascii="仿宋" w:hAnsi="仿宋" w:eastAsia="仿宋" w:cs="仿宋"/>
                <w:color w:val="auto"/>
                <w:sz w:val="22"/>
                <w:szCs w:val="22"/>
                <w:highlight w:val="none"/>
              </w:rPr>
            </w:pPr>
          </w:p>
        </w:tc>
      </w:tr>
      <w:tr w14:paraId="2D0941A6">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548FC7B6">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14513EF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710B58D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F5B27E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68A407F">
            <w:pPr>
              <w:rPr>
                <w:rFonts w:ascii="仿宋" w:hAnsi="仿宋" w:eastAsia="仿宋" w:cs="仿宋"/>
                <w:color w:val="auto"/>
                <w:sz w:val="22"/>
                <w:szCs w:val="22"/>
                <w:highlight w:val="none"/>
              </w:rPr>
            </w:pPr>
          </w:p>
        </w:tc>
      </w:tr>
      <w:tr w14:paraId="6C8C251E">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0"/>
            <w:vAlign w:val="center"/>
          </w:tcPr>
          <w:p w14:paraId="788DAB56">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68596CC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6D2D0024">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76E6A6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B025A49">
            <w:pPr>
              <w:rPr>
                <w:rFonts w:ascii="仿宋" w:hAnsi="仿宋" w:eastAsia="仿宋" w:cs="仿宋"/>
                <w:color w:val="auto"/>
                <w:sz w:val="22"/>
                <w:szCs w:val="22"/>
                <w:highlight w:val="none"/>
              </w:rPr>
            </w:pPr>
          </w:p>
        </w:tc>
      </w:tr>
      <w:tr w14:paraId="0057FE13">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0"/>
            <w:vAlign w:val="center"/>
          </w:tcPr>
          <w:p w14:paraId="7D491F52">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结    论</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76801B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534A70B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122CEC20">
            <w:pPr>
              <w:rPr>
                <w:rFonts w:ascii="仿宋" w:hAnsi="仿宋" w:eastAsia="仿宋" w:cs="仿宋"/>
                <w:color w:val="auto"/>
                <w:sz w:val="22"/>
                <w:szCs w:val="22"/>
                <w:highlight w:val="none"/>
              </w:rPr>
            </w:pPr>
          </w:p>
        </w:tc>
      </w:tr>
    </w:tbl>
    <w:p w14:paraId="1309F9F4">
      <w:pPr>
        <w:pStyle w:val="11"/>
        <w:tabs>
          <w:tab w:val="clear" w:pos="567"/>
        </w:tabs>
        <w:spacing w:before="0" w:line="360" w:lineRule="auto"/>
        <w:rPr>
          <w:rFonts w:ascii="仿宋" w:hAnsi="仿宋" w:eastAsia="仿宋" w:cs="仿宋"/>
          <w:b/>
          <w:bCs/>
          <w:color w:val="auto"/>
          <w:highlight w:val="none"/>
        </w:rPr>
      </w:pPr>
    </w:p>
    <w:p w14:paraId="6995E4C1">
      <w:pPr>
        <w:rPr>
          <w:rFonts w:ascii="仿宋" w:hAnsi="仿宋" w:eastAsia="仿宋" w:cs="仿宋"/>
          <w:b/>
          <w:bCs/>
          <w:color w:val="auto"/>
          <w:highlight w:val="none"/>
        </w:rPr>
      </w:pPr>
    </w:p>
    <w:p w14:paraId="63EA1D3E">
      <w:pPr>
        <w:pStyle w:val="8"/>
        <w:rPr>
          <w:rFonts w:ascii="仿宋" w:hAnsi="仿宋" w:eastAsia="仿宋" w:cs="仿宋"/>
          <w:b/>
          <w:bCs/>
          <w:color w:val="auto"/>
          <w:highlight w:val="none"/>
        </w:rPr>
      </w:pPr>
    </w:p>
    <w:p w14:paraId="56F8266F">
      <w:pPr>
        <w:rPr>
          <w:rFonts w:ascii="仿宋" w:hAnsi="仿宋" w:eastAsia="仿宋" w:cs="仿宋"/>
          <w:b/>
          <w:bCs/>
          <w:color w:val="auto"/>
          <w:highlight w:val="none"/>
        </w:rPr>
      </w:pPr>
    </w:p>
    <w:p w14:paraId="05F0C5F5">
      <w:pPr>
        <w:pStyle w:val="8"/>
        <w:rPr>
          <w:rFonts w:ascii="仿宋" w:hAnsi="仿宋" w:eastAsia="仿宋" w:cs="仿宋"/>
          <w:b/>
          <w:bCs/>
          <w:color w:val="auto"/>
          <w:highlight w:val="none"/>
        </w:rPr>
      </w:pPr>
    </w:p>
    <w:p w14:paraId="5CF47DFF">
      <w:pPr>
        <w:rPr>
          <w:rFonts w:ascii="仿宋" w:hAnsi="仿宋" w:eastAsia="仿宋" w:cs="仿宋"/>
          <w:b/>
          <w:bCs/>
          <w:color w:val="auto"/>
          <w:highlight w:val="none"/>
        </w:rPr>
      </w:pPr>
    </w:p>
    <w:p w14:paraId="43FBAA76">
      <w:pPr>
        <w:pStyle w:val="8"/>
        <w:rPr>
          <w:rFonts w:ascii="仿宋" w:hAnsi="仿宋" w:eastAsia="仿宋" w:cs="仿宋"/>
          <w:b/>
          <w:bCs/>
          <w:color w:val="auto"/>
          <w:highlight w:val="none"/>
        </w:rPr>
      </w:pPr>
    </w:p>
    <w:p w14:paraId="461EEE90">
      <w:pPr>
        <w:rPr>
          <w:rFonts w:ascii="仿宋" w:hAnsi="仿宋" w:eastAsia="仿宋" w:cs="仿宋"/>
          <w:b/>
          <w:bCs/>
          <w:color w:val="auto"/>
          <w:highlight w:val="none"/>
        </w:rPr>
      </w:pPr>
    </w:p>
    <w:p w14:paraId="7E0B246A">
      <w:pPr>
        <w:pStyle w:val="8"/>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  </w:t>
      </w:r>
    </w:p>
    <w:p w14:paraId="666DDC25">
      <w:pPr>
        <w:rPr>
          <w:rFonts w:hint="eastAsia" w:ascii="仿宋" w:hAnsi="仿宋" w:eastAsia="仿宋" w:cs="仿宋"/>
          <w:b/>
          <w:bCs/>
          <w:color w:val="auto"/>
          <w:highlight w:val="none"/>
          <w:lang w:val="en-US" w:eastAsia="zh-CN"/>
        </w:rPr>
      </w:pPr>
    </w:p>
    <w:p w14:paraId="672FBF10">
      <w:pPr>
        <w:pStyle w:val="8"/>
        <w:rPr>
          <w:rFonts w:hint="eastAsia" w:ascii="仿宋" w:hAnsi="仿宋" w:eastAsia="仿宋" w:cs="仿宋"/>
          <w:b/>
          <w:bCs/>
          <w:color w:val="auto"/>
          <w:highlight w:val="none"/>
          <w:lang w:val="en-US" w:eastAsia="zh-CN"/>
        </w:rPr>
      </w:pPr>
    </w:p>
    <w:p w14:paraId="6DBC387B">
      <w:pPr>
        <w:rPr>
          <w:rFonts w:hint="default"/>
          <w:lang w:val="en-US" w:eastAsia="zh-CN"/>
        </w:rPr>
      </w:pPr>
    </w:p>
    <w:p w14:paraId="280CDC9C">
      <w:pPr>
        <w:pStyle w:val="3"/>
        <w:rPr>
          <w:rFonts w:ascii="仿宋" w:hAnsi="仿宋" w:eastAsia="仿宋" w:cs="仿宋"/>
          <w:color w:val="auto"/>
          <w:sz w:val="32"/>
          <w:szCs w:val="32"/>
          <w:highlight w:val="none"/>
        </w:rPr>
      </w:pPr>
      <w:bookmarkStart w:id="456" w:name="_Toc3493"/>
      <w:bookmarkStart w:id="457" w:name="_Toc4531"/>
      <w:r>
        <w:rPr>
          <w:rFonts w:hint="eastAsia" w:ascii="仿宋" w:hAnsi="仿宋" w:eastAsia="仿宋" w:cs="仿宋"/>
          <w:color w:val="auto"/>
          <w:sz w:val="32"/>
          <w:szCs w:val="32"/>
          <w:highlight w:val="none"/>
        </w:rPr>
        <w:t>三、评标标准</w:t>
      </w:r>
      <w:bookmarkEnd w:id="450"/>
      <w:bookmarkEnd w:id="451"/>
      <w:bookmarkEnd w:id="452"/>
      <w:bookmarkEnd w:id="453"/>
      <w:bookmarkEnd w:id="454"/>
      <w:bookmarkEnd w:id="455"/>
      <w:bookmarkEnd w:id="456"/>
      <w:bookmarkEnd w:id="457"/>
    </w:p>
    <w:p w14:paraId="689F1E73">
      <w:pPr>
        <w:jc w:val="center"/>
        <w:outlineLvl w:val="0"/>
        <w:rPr>
          <w:rFonts w:hint="eastAsia" w:ascii="仿宋" w:hAnsi="仿宋" w:eastAsia="仿宋" w:cs="仿宋"/>
          <w:b/>
          <w:bCs/>
          <w:color w:val="auto"/>
          <w:sz w:val="24"/>
          <w:szCs w:val="24"/>
          <w:highlight w:val="none"/>
          <w:lang w:val="en-US" w:eastAsia="zh-CN"/>
        </w:rPr>
      </w:pPr>
      <w:bookmarkStart w:id="458" w:name="_Toc22143"/>
      <w:bookmarkStart w:id="459" w:name="_Toc21701"/>
      <w:bookmarkStart w:id="460" w:name="_Toc30135"/>
      <w:r>
        <w:rPr>
          <w:rFonts w:hint="eastAsia" w:ascii="仿宋" w:hAnsi="仿宋" w:eastAsia="仿宋" w:cs="仿宋"/>
          <w:b/>
          <w:bCs/>
          <w:color w:val="auto"/>
          <w:sz w:val="24"/>
          <w:szCs w:val="24"/>
          <w:highlight w:val="none"/>
        </w:rPr>
        <w:t>详细评标表（满分100分）</w:t>
      </w:r>
      <w:bookmarkEnd w:id="458"/>
      <w:bookmarkEnd w:id="459"/>
      <w:bookmarkEnd w:id="460"/>
    </w:p>
    <w:tbl>
      <w:tblPr>
        <w:tblStyle w:val="37"/>
        <w:tblW w:w="10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97"/>
        <w:gridCol w:w="7811"/>
        <w:gridCol w:w="863"/>
      </w:tblGrid>
      <w:tr w14:paraId="7E0F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2" w:type="dxa"/>
            <w:noWrap w:val="0"/>
            <w:vAlign w:val="center"/>
          </w:tcPr>
          <w:p w14:paraId="0A81629D">
            <w:pPr>
              <w:pStyle w:val="9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评审项目</w:t>
            </w:r>
          </w:p>
        </w:tc>
        <w:tc>
          <w:tcPr>
            <w:tcW w:w="1297" w:type="dxa"/>
            <w:noWrap w:val="0"/>
            <w:vAlign w:val="center"/>
          </w:tcPr>
          <w:p w14:paraId="664CC6C7">
            <w:pPr>
              <w:pStyle w:val="91"/>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评审分项</w:t>
            </w:r>
          </w:p>
        </w:tc>
        <w:tc>
          <w:tcPr>
            <w:tcW w:w="7811" w:type="dxa"/>
            <w:noWrap w:val="0"/>
            <w:vAlign w:val="center"/>
          </w:tcPr>
          <w:p w14:paraId="26AF1CF4">
            <w:pPr>
              <w:pStyle w:val="91"/>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项目及分值</w:t>
            </w:r>
          </w:p>
        </w:tc>
        <w:tc>
          <w:tcPr>
            <w:tcW w:w="863" w:type="dxa"/>
            <w:noWrap w:val="0"/>
            <w:vAlign w:val="center"/>
          </w:tcPr>
          <w:p w14:paraId="571F567B">
            <w:pPr>
              <w:pStyle w:val="9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633F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noWrap w:val="0"/>
            <w:vAlign w:val="center"/>
          </w:tcPr>
          <w:p w14:paraId="533367BD">
            <w:pPr>
              <w:pStyle w:val="91"/>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价格评分（</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分）</w:t>
            </w:r>
          </w:p>
        </w:tc>
        <w:tc>
          <w:tcPr>
            <w:tcW w:w="1297" w:type="dxa"/>
            <w:noWrap w:val="0"/>
            <w:vAlign w:val="center"/>
          </w:tcPr>
          <w:p w14:paraId="7B1EAE87">
            <w:pPr>
              <w:pStyle w:val="91"/>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投标报价</w:t>
            </w:r>
          </w:p>
          <w:p w14:paraId="53E7F7E4">
            <w:pPr>
              <w:pStyle w:val="91"/>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分</w:t>
            </w:r>
          </w:p>
        </w:tc>
        <w:tc>
          <w:tcPr>
            <w:tcW w:w="7811" w:type="dxa"/>
            <w:noWrap w:val="0"/>
            <w:vAlign w:val="center"/>
          </w:tcPr>
          <w:p w14:paraId="593EA9C0">
            <w:pPr>
              <w:pStyle w:val="91"/>
              <w:spacing w:line="276" w:lineRule="auto"/>
              <w:jc w:val="lef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价格分应当采用低价优先法计算，满足磋商文件要求且报价最低的为评审基准价，价格得分=（评审基准价/投标报价）×价格权值*100</w:t>
            </w:r>
          </w:p>
          <w:p w14:paraId="461AE252">
            <w:pPr>
              <w:pStyle w:val="9"/>
              <w:rPr>
                <w:b w:val="0"/>
                <w:bCs w:val="0"/>
                <w:color w:val="auto"/>
                <w:highlight w:val="none"/>
              </w:rPr>
            </w:pPr>
            <w:r>
              <w:rPr>
                <w:rFonts w:hint="eastAsia" w:ascii="仿宋" w:hAnsi="仿宋" w:eastAsia="仿宋" w:cs="仿宋"/>
                <w:b w:val="0"/>
                <w:bCs w:val="0"/>
                <w:color w:val="auto"/>
                <w:highlight w:val="none"/>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tc>
        <w:tc>
          <w:tcPr>
            <w:tcW w:w="863" w:type="dxa"/>
            <w:noWrap w:val="0"/>
            <w:vAlign w:val="center"/>
          </w:tcPr>
          <w:p w14:paraId="3633A8A6">
            <w:pPr>
              <w:pStyle w:val="9"/>
              <w:rPr>
                <w:rFonts w:ascii="仿宋" w:hAnsi="仿宋" w:eastAsia="仿宋" w:cs="仿宋"/>
                <w:b w:val="0"/>
                <w:bCs w:val="0"/>
                <w:color w:val="auto"/>
                <w:highlight w:val="none"/>
              </w:rPr>
            </w:pPr>
            <w:r>
              <w:rPr>
                <w:rFonts w:hint="eastAsia" w:ascii="仿宋" w:hAnsi="仿宋" w:eastAsia="仿宋" w:cs="仿宋"/>
                <w:b w:val="0"/>
                <w:bCs w:val="0"/>
                <w:color w:val="auto"/>
                <w:sz w:val="21"/>
                <w:szCs w:val="21"/>
                <w:highlight w:val="none"/>
              </w:rPr>
              <w:t>根据需求提供必要的证明资料。</w:t>
            </w:r>
          </w:p>
        </w:tc>
      </w:tr>
      <w:tr w14:paraId="592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42" w:type="dxa"/>
            <w:vMerge w:val="restart"/>
            <w:noWrap w:val="0"/>
            <w:vAlign w:val="center"/>
          </w:tcPr>
          <w:p w14:paraId="1A65CA5B">
            <w:pPr>
              <w:pStyle w:val="9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1297" w:type="dxa"/>
            <w:noWrap w:val="0"/>
            <w:vAlign w:val="center"/>
          </w:tcPr>
          <w:p w14:paraId="1432917D">
            <w:pPr>
              <w:snapToGrid w:val="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业绩（5分）</w:t>
            </w:r>
          </w:p>
        </w:tc>
        <w:tc>
          <w:tcPr>
            <w:tcW w:w="7811" w:type="dxa"/>
            <w:noWrap w:val="0"/>
            <w:vAlign w:val="center"/>
          </w:tcPr>
          <w:p w14:paraId="064C512D">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供应商近三年（以开标截止日期）类似业绩，提供一个得1分，最多得5分。（以上证明材料在响应文件中放置复印件，内容含：中标（成交）通知书或项目合同或相关文件，项目合同复印件包含但不限于合同首页、关键信息页、双方签章页）</w:t>
            </w:r>
          </w:p>
        </w:tc>
        <w:tc>
          <w:tcPr>
            <w:tcW w:w="863" w:type="dxa"/>
            <w:vMerge w:val="restart"/>
            <w:noWrap w:val="0"/>
            <w:vAlign w:val="center"/>
          </w:tcPr>
          <w:p w14:paraId="1480AF25">
            <w:pPr>
              <w:pStyle w:val="91"/>
              <w:rPr>
                <w:rFonts w:ascii="仿宋" w:hAnsi="仿宋" w:eastAsia="仿宋" w:cs="仿宋"/>
                <w:color w:val="auto"/>
                <w:sz w:val="24"/>
                <w:szCs w:val="24"/>
                <w:highlight w:val="none"/>
              </w:rPr>
            </w:pPr>
            <w:r>
              <w:rPr>
                <w:rFonts w:hint="eastAsia" w:ascii="仿宋" w:hAnsi="仿宋" w:eastAsia="仿宋" w:cs="仿宋"/>
                <w:color w:val="auto"/>
                <w:sz w:val="21"/>
                <w:szCs w:val="21"/>
                <w:highlight w:val="none"/>
              </w:rPr>
              <w:t>根据需求提供必要的证明资料。</w:t>
            </w:r>
          </w:p>
        </w:tc>
      </w:tr>
      <w:tr w14:paraId="3C91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42" w:type="dxa"/>
            <w:vMerge w:val="continue"/>
            <w:noWrap w:val="0"/>
            <w:vAlign w:val="center"/>
          </w:tcPr>
          <w:p w14:paraId="030C20E2">
            <w:pPr>
              <w:pStyle w:val="91"/>
              <w:jc w:val="center"/>
              <w:rPr>
                <w:rFonts w:ascii="仿宋" w:hAnsi="仿宋" w:eastAsia="仿宋" w:cs="仿宋"/>
                <w:color w:val="auto"/>
                <w:sz w:val="24"/>
                <w:szCs w:val="24"/>
                <w:highlight w:val="none"/>
              </w:rPr>
            </w:pPr>
          </w:p>
        </w:tc>
        <w:tc>
          <w:tcPr>
            <w:tcW w:w="1297" w:type="dxa"/>
            <w:noWrap w:val="0"/>
            <w:vAlign w:val="center"/>
          </w:tcPr>
          <w:p w14:paraId="616305FC">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人员配备（10分）</w:t>
            </w:r>
          </w:p>
        </w:tc>
        <w:tc>
          <w:tcPr>
            <w:tcW w:w="7811" w:type="dxa"/>
            <w:noWrap w:val="0"/>
            <w:vAlign w:val="center"/>
          </w:tcPr>
          <w:p w14:paraId="53B628D8">
            <w:pPr>
              <w:widowControl/>
              <w:numPr>
                <w:ilvl w:val="0"/>
                <w:numId w:val="0"/>
              </w:numP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拟投入本项目的执行团队情况：</w:t>
            </w:r>
          </w:p>
          <w:p w14:paraId="00E84ECE">
            <w:pPr>
              <w:widowControl/>
              <w:numPr>
                <w:ilvl w:val="0"/>
                <w:numId w:val="0"/>
              </w:numP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1、项目负责人：供应商具有 《档案馆员及以上职称证书》、《高级档案数字化管理师》、全国职业资格考试认证中心颁发的《高级项目经理证书》，每个得1分，最高3分。</w:t>
            </w:r>
          </w:p>
          <w:p w14:paraId="06EEFB7F">
            <w:pPr>
              <w:widowControl/>
              <w:numPr>
                <w:ilvl w:val="0"/>
                <w:numId w:val="0"/>
              </w:numP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技术人员：供应商拟参与本项目的负责数据处理、挂接技术人员具有全国职业资格考试认证中心颁发的《高级信息管理师资格证书》、省级及以上版权保护中心颁发的《使用正版软件与信息安全工作培训证书》的，每个得1分，最高2分。</w:t>
            </w:r>
          </w:p>
          <w:p w14:paraId="0AC71103">
            <w:pPr>
              <w:widowControl/>
              <w:numPr>
                <w:ilvl w:val="0"/>
                <w:numId w:val="0"/>
              </w:numP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3、项目团队人员配置合理、团队经验丰富、服务质量保障措施完全满足要求的得5分；项目团队配置较为合理、团队欠缺、满足项目要求的得4分；项目团队配置合理性一般、团队欠缺、但能满足项目要求的得 3分；</w:t>
            </w:r>
          </w:p>
          <w:p w14:paraId="70FF9346">
            <w:pPr>
              <w:widowControl/>
              <w:numPr>
                <w:ilvl w:val="0"/>
                <w:numId w:val="0"/>
              </w:numP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项目团队配置不合理、团队无相关经验得1分；不提供不得分。</w:t>
            </w:r>
          </w:p>
          <w:p w14:paraId="03E42FCD">
            <w:pPr>
              <w:widowControl/>
              <w:numPr>
                <w:ilvl w:val="0"/>
                <w:numId w:val="0"/>
              </w:numP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注：须提供本公司项目负责人及项目组成员简历及证件等证明资料。</w:t>
            </w:r>
          </w:p>
        </w:tc>
        <w:tc>
          <w:tcPr>
            <w:tcW w:w="863" w:type="dxa"/>
            <w:vMerge w:val="continue"/>
            <w:noWrap w:val="0"/>
            <w:vAlign w:val="center"/>
          </w:tcPr>
          <w:p w14:paraId="78109280">
            <w:pPr>
              <w:widowControl/>
              <w:textAlignment w:val="center"/>
              <w:rPr>
                <w:rFonts w:ascii="仿宋" w:hAnsi="仿宋" w:eastAsia="仿宋" w:cs="仿宋"/>
                <w:color w:val="auto"/>
                <w:highlight w:val="none"/>
              </w:rPr>
            </w:pPr>
          </w:p>
        </w:tc>
      </w:tr>
      <w:tr w14:paraId="5A36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2" w:type="dxa"/>
            <w:vMerge w:val="restart"/>
            <w:noWrap w:val="0"/>
            <w:vAlign w:val="center"/>
          </w:tcPr>
          <w:p w14:paraId="66E37804">
            <w:pPr>
              <w:pStyle w:val="91"/>
              <w:jc w:val="center"/>
              <w:rPr>
                <w:rFonts w:ascii="仿宋" w:hAnsi="仿宋" w:eastAsia="仿宋" w:cs="仿宋"/>
                <w:color w:val="auto"/>
                <w:sz w:val="24"/>
                <w:szCs w:val="24"/>
                <w:highlight w:val="none"/>
              </w:rPr>
            </w:pPr>
            <w:r>
              <w:rPr>
                <w:rFonts w:hint="eastAsia" w:ascii="仿宋" w:hAnsi="仿宋" w:eastAsia="仿宋" w:cs="仿宋"/>
                <w:color w:val="000000"/>
                <w:sz w:val="24"/>
                <w:lang w:val="en-US" w:eastAsia="zh-CN"/>
              </w:rPr>
              <w:t>技术部分（50分）</w:t>
            </w:r>
          </w:p>
        </w:tc>
        <w:tc>
          <w:tcPr>
            <w:tcW w:w="1297" w:type="dxa"/>
            <w:noWrap w:val="0"/>
            <w:vAlign w:val="center"/>
          </w:tcPr>
          <w:p w14:paraId="7C2035D5">
            <w:pPr>
              <w:pStyle w:val="9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lang w:val="en-US" w:eastAsia="zh-CN"/>
              </w:rPr>
              <w:t>服务方案（24分）</w:t>
            </w:r>
          </w:p>
        </w:tc>
        <w:tc>
          <w:tcPr>
            <w:tcW w:w="7811" w:type="dxa"/>
            <w:noWrap w:val="0"/>
            <w:vAlign w:val="center"/>
          </w:tcPr>
          <w:p w14:paraId="52A825C8">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实施方案：供应商须提供完整及合理的档案数字化实施方案，加工流程设置合理、有详尽技术指标规格及流程图等，响应文件方案完整且满足实际需求得4分；方案操作性较差或不完全满足实际需求得2分；方案有缺失或不满足实际需求得1分，不提供不得分。</w:t>
            </w:r>
          </w:p>
          <w:p w14:paraId="243603D8">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2.供应商须提供项目实施重点、难点分析，响应文件方案完整且满足实际需求得4分；方案操作性较差或不完全满足实际需求得2分；方案有缺失或不满足实际需求得1分，不提供不得分。</w:t>
            </w:r>
          </w:p>
          <w:p w14:paraId="61F7FCC0">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3.供应商须提供项目实施过程中所采取的保密措施方案，响应文件方案完整且满足实际需求得4分；方案操作性较差或不完全满足实际需求得2分；方案有缺失或不满足实际需求得1分，不提供不得分。</w:t>
            </w:r>
          </w:p>
          <w:p w14:paraId="3A25D874">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4.供应商须提供项目实施过程中质量控制管理措施方案，响应文件方案完整且满足实际需求得4分；方案操作性较差或不完全满足实际需求得2分；方案有缺失或不满足实际需求得1分，不提供不得分。</w:t>
            </w:r>
          </w:p>
          <w:p w14:paraId="507E2D41">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5.供应商须对档案实体保护措施的科学性、合理性进行综合分析，响应文件方案完整且满足实际需求得4分；方案操作性较差或不完全满足实际需求得2分；方案有缺失或不满足实际需求得1分，不提供不得分。</w:t>
            </w:r>
          </w:p>
          <w:p w14:paraId="4986183F">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6.项目管理方案</w:t>
            </w:r>
          </w:p>
          <w:p w14:paraId="62C23417">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实施本项目的管理方案完整且满足实际需求得4分；方案操作性较差或不完全满足实际需求得2分；方案有缺失或不满足实际需求得1分，不提供不得分。</w:t>
            </w:r>
          </w:p>
        </w:tc>
        <w:tc>
          <w:tcPr>
            <w:tcW w:w="863" w:type="dxa"/>
            <w:vMerge w:val="restart"/>
            <w:noWrap w:val="0"/>
            <w:vAlign w:val="center"/>
          </w:tcPr>
          <w:p w14:paraId="7E7A02B3">
            <w:pPr>
              <w:widowControl/>
              <w:textAlignment w:val="center"/>
              <w:rPr>
                <w:rFonts w:ascii="仿宋" w:hAnsi="仿宋" w:eastAsia="仿宋" w:cs="仿宋"/>
                <w:color w:val="auto"/>
                <w:highlight w:val="none"/>
              </w:rPr>
            </w:pPr>
            <w:r>
              <w:rPr>
                <w:rFonts w:hint="eastAsia" w:ascii="仿宋" w:hAnsi="仿宋" w:eastAsia="仿宋" w:cs="仿宋"/>
                <w:color w:val="auto"/>
                <w:highlight w:val="none"/>
              </w:rPr>
              <w:t>根据需求提供必要的证明资料。</w:t>
            </w:r>
          </w:p>
        </w:tc>
      </w:tr>
      <w:tr w14:paraId="3C2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2" w:type="dxa"/>
            <w:vMerge w:val="continue"/>
            <w:noWrap w:val="0"/>
            <w:vAlign w:val="center"/>
          </w:tcPr>
          <w:p w14:paraId="721968F4">
            <w:pPr>
              <w:pStyle w:val="91"/>
              <w:jc w:val="center"/>
              <w:rPr>
                <w:rFonts w:hint="eastAsia" w:ascii="仿宋" w:hAnsi="仿宋" w:eastAsia="仿宋" w:cs="仿宋"/>
                <w:color w:val="000000"/>
                <w:sz w:val="24"/>
                <w:lang w:val="en-US" w:eastAsia="zh-CN"/>
              </w:rPr>
            </w:pPr>
          </w:p>
        </w:tc>
        <w:tc>
          <w:tcPr>
            <w:tcW w:w="1297" w:type="dxa"/>
            <w:noWrap w:val="0"/>
            <w:vAlign w:val="center"/>
          </w:tcPr>
          <w:p w14:paraId="41A8695F">
            <w:pPr>
              <w:pStyle w:val="9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档案数字化实施方案（12分）</w:t>
            </w:r>
          </w:p>
        </w:tc>
        <w:tc>
          <w:tcPr>
            <w:tcW w:w="7811" w:type="dxa"/>
            <w:noWrap w:val="0"/>
            <w:vAlign w:val="center"/>
          </w:tcPr>
          <w:p w14:paraId="5E350A37">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档案数字化加工方案需严格执行相关规范和标准；包括不限于①总体实施原则与流程、②数字化加工流程及主要技术方案、③档案扫描工作流程方案、④图像处理方案、⑤档案编码方案、⑥文件存储方案、⑦数据备份方案、⑧数据挂接方案等；充分考虑到本项目档案数字化的特点，方案完整，内容详细得12分；每缺失一项内容扣 1.5 分，每项内容中每有一处内容缺陷扣 0.5 分(缺陷是指：存在不适用项目实际情况的情形、凭空编造、内容前后不一致、前后逻辑错误、涉及的规范及标准错误、地点区域错误、内容遗漏、不符合采购需求等)，扣完为止。</w:t>
            </w:r>
          </w:p>
        </w:tc>
        <w:tc>
          <w:tcPr>
            <w:tcW w:w="863" w:type="dxa"/>
            <w:vMerge w:val="continue"/>
            <w:noWrap w:val="0"/>
            <w:vAlign w:val="center"/>
          </w:tcPr>
          <w:p w14:paraId="731DCB35">
            <w:pPr>
              <w:widowControl/>
              <w:textAlignment w:val="center"/>
              <w:rPr>
                <w:rFonts w:hint="eastAsia" w:ascii="仿宋" w:hAnsi="仿宋" w:eastAsia="仿宋" w:cs="仿宋"/>
                <w:color w:val="auto"/>
                <w:highlight w:val="none"/>
              </w:rPr>
            </w:pPr>
          </w:p>
        </w:tc>
      </w:tr>
      <w:tr w14:paraId="389B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42" w:type="dxa"/>
            <w:vMerge w:val="continue"/>
            <w:noWrap w:val="0"/>
            <w:vAlign w:val="center"/>
          </w:tcPr>
          <w:p w14:paraId="1EEB1D5D">
            <w:pPr>
              <w:pStyle w:val="91"/>
              <w:jc w:val="center"/>
              <w:rPr>
                <w:rFonts w:ascii="仿宋" w:hAnsi="仿宋" w:eastAsia="仿宋" w:cs="仿宋"/>
                <w:color w:val="auto"/>
                <w:sz w:val="24"/>
                <w:szCs w:val="24"/>
                <w:highlight w:val="none"/>
              </w:rPr>
            </w:pPr>
          </w:p>
        </w:tc>
        <w:tc>
          <w:tcPr>
            <w:tcW w:w="1297" w:type="dxa"/>
            <w:noWrap w:val="0"/>
            <w:vAlign w:val="center"/>
          </w:tcPr>
          <w:p w14:paraId="705229E1">
            <w:pPr>
              <w:pStyle w:val="91"/>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安全保密方案（10分）</w:t>
            </w:r>
          </w:p>
        </w:tc>
        <w:tc>
          <w:tcPr>
            <w:tcW w:w="7811" w:type="dxa"/>
            <w:noWrap w:val="0"/>
            <w:vAlign w:val="center"/>
          </w:tcPr>
          <w:p w14:paraId="1D72CD94">
            <w:pPr>
              <w:widowControl/>
              <w:textAlignment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根据供应商提供的包括不限于①档案实体安全；②成果数据安全；③信息安全保密；④保密承诺；⑤保障管理措施方案等</w:t>
            </w:r>
            <w:bookmarkStart w:id="461" w:name="OLE_LINK1"/>
            <w:r>
              <w:rPr>
                <w:rFonts w:hint="eastAsia" w:ascii="仿宋" w:hAnsi="仿宋" w:eastAsia="仿宋" w:cs="仿宋"/>
                <w:color w:val="auto"/>
                <w:sz w:val="24"/>
                <w:highlight w:val="none"/>
                <w:lang w:val="en-US" w:eastAsia="zh-CN"/>
              </w:rPr>
              <w:t>；</w:t>
            </w:r>
            <w:r>
              <w:rPr>
                <w:rFonts w:hint="default" w:ascii="仿宋" w:hAnsi="仿宋" w:eastAsia="仿宋" w:cs="仿宋"/>
                <w:color w:val="auto"/>
                <w:sz w:val="24"/>
                <w:highlight w:val="none"/>
                <w:lang w:val="en-US" w:eastAsia="zh-CN"/>
              </w:rPr>
              <w:t>方案</w:t>
            </w:r>
            <w:r>
              <w:rPr>
                <w:rFonts w:hint="eastAsia" w:ascii="仿宋" w:hAnsi="仿宋" w:eastAsia="仿宋" w:cs="仿宋"/>
                <w:color w:val="auto"/>
                <w:sz w:val="24"/>
                <w:highlight w:val="none"/>
                <w:lang w:val="en-US" w:eastAsia="zh-CN"/>
              </w:rPr>
              <w:t>完整，内容详细</w:t>
            </w:r>
            <w:r>
              <w:rPr>
                <w:rFonts w:hint="default" w:ascii="仿宋" w:hAnsi="仿宋" w:eastAsia="仿宋" w:cs="仿宋"/>
                <w:color w:val="auto"/>
                <w:sz w:val="24"/>
                <w:highlight w:val="none"/>
                <w:lang w:val="en-US" w:eastAsia="zh-CN"/>
              </w:rPr>
              <w:t>得10分，</w:t>
            </w:r>
            <w:bookmarkEnd w:id="461"/>
            <w:r>
              <w:rPr>
                <w:rFonts w:hint="default" w:ascii="仿宋" w:hAnsi="仿宋" w:eastAsia="仿宋" w:cs="仿宋"/>
                <w:color w:val="auto"/>
                <w:sz w:val="24"/>
                <w:highlight w:val="none"/>
                <w:lang w:val="en-US" w:eastAsia="zh-CN"/>
              </w:rPr>
              <w:t>每缺失一项内容扣2分，每项内容中每有一处内容缺陷扣1分(缺陷是指：存在不适用项目实际情况的情形、凭空编造、内容前后不一致、前后逻辑错误、涉及的规范及标准错误、地点区域错误、内容遗漏、不符合采购需求等)，扣完为止。</w:t>
            </w:r>
          </w:p>
        </w:tc>
        <w:tc>
          <w:tcPr>
            <w:tcW w:w="863" w:type="dxa"/>
            <w:vMerge w:val="continue"/>
            <w:noWrap w:val="0"/>
            <w:vAlign w:val="center"/>
          </w:tcPr>
          <w:p w14:paraId="6DBEB0D9">
            <w:pPr>
              <w:widowControl/>
              <w:textAlignment w:val="center"/>
              <w:rPr>
                <w:rFonts w:ascii="仿宋" w:hAnsi="仿宋" w:eastAsia="仿宋" w:cs="仿宋"/>
                <w:color w:val="auto"/>
                <w:highlight w:val="none"/>
              </w:rPr>
            </w:pPr>
          </w:p>
        </w:tc>
      </w:tr>
      <w:tr w14:paraId="0B23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42" w:type="dxa"/>
            <w:vMerge w:val="continue"/>
            <w:noWrap w:val="0"/>
            <w:vAlign w:val="center"/>
          </w:tcPr>
          <w:p w14:paraId="69CE7D1C">
            <w:pPr>
              <w:pStyle w:val="91"/>
              <w:jc w:val="center"/>
              <w:rPr>
                <w:rFonts w:ascii="仿宋" w:hAnsi="仿宋" w:eastAsia="仿宋" w:cs="仿宋"/>
                <w:color w:val="auto"/>
                <w:sz w:val="24"/>
                <w:szCs w:val="24"/>
                <w:highlight w:val="none"/>
              </w:rPr>
            </w:pPr>
          </w:p>
        </w:tc>
        <w:tc>
          <w:tcPr>
            <w:tcW w:w="1297" w:type="dxa"/>
            <w:noWrap w:val="0"/>
            <w:vAlign w:val="center"/>
          </w:tcPr>
          <w:p w14:paraId="44E8BA5A">
            <w:pPr>
              <w:pStyle w:val="9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lang w:val="en-US" w:eastAsia="zh-CN"/>
              </w:rPr>
              <w:t>应急预案（4分）</w:t>
            </w:r>
          </w:p>
        </w:tc>
        <w:tc>
          <w:tcPr>
            <w:tcW w:w="7811" w:type="dxa"/>
            <w:noWrap w:val="0"/>
            <w:vAlign w:val="center"/>
          </w:tcPr>
          <w:p w14:paraId="67EBF69C">
            <w:pPr>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对突发性事件应急处理措施的方案进行评审（例：人员安全防护、交通安全、紧急情况应急措施等）。</w:t>
            </w:r>
          </w:p>
          <w:p w14:paraId="1608AD74">
            <w:pPr>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1、对于突发事件预估合理且全面，应急预案全面有效、能保证进度的连续完整，得4分；</w:t>
            </w:r>
          </w:p>
          <w:p w14:paraId="5BCDC55F">
            <w:pPr>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2、对于突发事件预估不合理，应急预案不完善，操作性欠缺，得2分；</w:t>
            </w:r>
          </w:p>
          <w:p w14:paraId="1C43FC60">
            <w:pPr>
              <w:widowControl/>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000000"/>
                <w:sz w:val="24"/>
                <w:lang w:val="en-US" w:eastAsia="zh-CN"/>
              </w:rPr>
              <w:t>根据供应商提供的方案对比打分，未提供不得分。</w:t>
            </w:r>
          </w:p>
        </w:tc>
        <w:tc>
          <w:tcPr>
            <w:tcW w:w="863" w:type="dxa"/>
            <w:vMerge w:val="continue"/>
            <w:noWrap w:val="0"/>
            <w:vAlign w:val="center"/>
          </w:tcPr>
          <w:p w14:paraId="75404AA3">
            <w:pPr>
              <w:widowControl/>
              <w:textAlignment w:val="center"/>
              <w:rPr>
                <w:rFonts w:ascii="仿宋" w:hAnsi="仿宋" w:eastAsia="仿宋" w:cs="仿宋"/>
                <w:color w:val="auto"/>
                <w:highlight w:val="none"/>
              </w:rPr>
            </w:pPr>
          </w:p>
        </w:tc>
      </w:tr>
      <w:tr w14:paraId="3050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42" w:type="dxa"/>
            <w:vMerge w:val="continue"/>
            <w:noWrap w:val="0"/>
            <w:vAlign w:val="center"/>
          </w:tcPr>
          <w:p w14:paraId="3DE306A4">
            <w:pPr>
              <w:pStyle w:val="91"/>
              <w:jc w:val="center"/>
              <w:rPr>
                <w:rFonts w:ascii="仿宋" w:hAnsi="仿宋" w:eastAsia="仿宋" w:cs="仿宋"/>
                <w:color w:val="auto"/>
                <w:sz w:val="24"/>
                <w:szCs w:val="24"/>
                <w:highlight w:val="none"/>
              </w:rPr>
            </w:pPr>
          </w:p>
        </w:tc>
        <w:tc>
          <w:tcPr>
            <w:tcW w:w="1297" w:type="dxa"/>
            <w:noWrap w:val="0"/>
            <w:vAlign w:val="center"/>
          </w:tcPr>
          <w:p w14:paraId="749CEB8B">
            <w:pPr>
              <w:pStyle w:val="9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售后服务（5分）</w:t>
            </w:r>
          </w:p>
        </w:tc>
        <w:tc>
          <w:tcPr>
            <w:tcW w:w="7811" w:type="dxa"/>
            <w:noWrap w:val="0"/>
            <w:vAlign w:val="center"/>
          </w:tcPr>
          <w:p w14:paraId="373A4EDC">
            <w:pPr>
              <w:widowControl/>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根据供应商提供的服务体系、售中和售后服务方案、服务承诺的可行性、完整性和维护能力情况综合判断，服务方案介绍详细，维护能力完全满足项目需求，得3分，服务方案介绍笼统片面，维护能力基本满足项目需求，得1分，未提供或不满足项目需求得0分。</w:t>
            </w:r>
          </w:p>
          <w:p w14:paraId="7F009BED">
            <w:pPr>
              <w:widowControl/>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2.接到任务后，响应时间在2小时以内得2分，4小时得1分，超过8小时得0分。（证明材料包括但不限于：提供承诺书并加盖公章，未提供证明资料或无法辨识的，视为无效证明材料不计分。）</w:t>
            </w:r>
          </w:p>
        </w:tc>
        <w:tc>
          <w:tcPr>
            <w:tcW w:w="863" w:type="dxa"/>
            <w:noWrap w:val="0"/>
            <w:vAlign w:val="center"/>
          </w:tcPr>
          <w:p w14:paraId="31FAD730">
            <w:pPr>
              <w:widowControl/>
              <w:textAlignment w:val="center"/>
              <w:rPr>
                <w:rFonts w:ascii="仿宋" w:hAnsi="仿宋" w:eastAsia="仿宋" w:cs="仿宋"/>
                <w:color w:val="auto"/>
                <w:highlight w:val="none"/>
              </w:rPr>
            </w:pPr>
          </w:p>
        </w:tc>
      </w:tr>
    </w:tbl>
    <w:p w14:paraId="07C41B8D">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注：项目各</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的计分方法：汇总所有评标小组成员对各</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的有效记分的算术平均值为该项目</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的综合得分。计算各评审项目得分时，按四舍五入保留二位小数。(价格评分仅限于有效供应商。)（内容要包括响应无效界定和详细评标标准）</w:t>
      </w:r>
    </w:p>
    <w:p w14:paraId="6DE16FCE">
      <w:pPr>
        <w:pStyle w:val="36"/>
        <w:rPr>
          <w:rFonts w:hint="eastAsia"/>
          <w:color w:val="auto"/>
          <w:highlight w:val="none"/>
        </w:rPr>
      </w:pPr>
    </w:p>
    <w:p w14:paraId="2591EF8C">
      <w:pPr>
        <w:pStyle w:val="11"/>
        <w:tabs>
          <w:tab w:val="clear" w:pos="567"/>
        </w:tabs>
        <w:spacing w:before="0" w:line="360" w:lineRule="auto"/>
        <w:ind w:left="-181" w:leftChars="-86" w:firstLine="660" w:firstLineChars="275"/>
        <w:rPr>
          <w:rFonts w:ascii="仿宋_GB2312" w:eastAsia="仿宋_GB2312"/>
          <w:color w:val="auto"/>
          <w:highlight w:val="none"/>
        </w:rPr>
      </w:pPr>
      <w:bookmarkStart w:id="462" w:name="_Toc507399904"/>
    </w:p>
    <w:p w14:paraId="68A503C8">
      <w:pPr>
        <w:spacing w:line="240" w:lineRule="atLeast"/>
        <w:ind w:left="1080" w:leftChars="257" w:hanging="540"/>
        <w:jc w:val="center"/>
        <w:outlineLvl w:val="0"/>
        <w:rPr>
          <w:rFonts w:hint="eastAsia" w:ascii="仿宋_GB2312" w:eastAsia="仿宋_GB2312"/>
          <w:b/>
          <w:color w:val="auto"/>
          <w:sz w:val="44"/>
          <w:szCs w:val="44"/>
          <w:highlight w:val="none"/>
          <w:lang w:eastAsia="zh-CN"/>
        </w:rPr>
      </w:pPr>
      <w:r>
        <w:rPr>
          <w:rFonts w:hint="eastAsia" w:ascii="仿宋_GB2312" w:eastAsia="仿宋_GB2312"/>
          <w:b/>
          <w:color w:val="auto"/>
          <w:sz w:val="44"/>
          <w:szCs w:val="44"/>
          <w:highlight w:val="none"/>
          <w:lang w:eastAsia="zh-CN"/>
        </w:rPr>
        <w:t>喀什地区疾病预防控制中心（喀什地区卫生监督所）采购档案数字化服务</w:t>
      </w:r>
    </w:p>
    <w:p w14:paraId="571287C8">
      <w:pPr>
        <w:spacing w:line="240" w:lineRule="atLeast"/>
        <w:ind w:left="1080" w:leftChars="257" w:hanging="540"/>
        <w:jc w:val="center"/>
        <w:rPr>
          <w:rFonts w:ascii="仿宋_GB2312" w:eastAsia="仿宋_GB2312"/>
          <w:b/>
          <w:color w:val="auto"/>
          <w:sz w:val="52"/>
          <w:szCs w:val="52"/>
          <w:highlight w:val="none"/>
        </w:rPr>
      </w:pPr>
    </w:p>
    <w:p w14:paraId="3FB41215">
      <w:pPr>
        <w:spacing w:line="240" w:lineRule="atLeast"/>
        <w:ind w:left="1080" w:leftChars="257" w:hanging="540"/>
        <w:jc w:val="center"/>
        <w:rPr>
          <w:rFonts w:hint="eastAsia" w:ascii="华文中宋" w:hAnsi="华文中宋" w:eastAsia="华文中宋" w:cs="华文中宋"/>
          <w:b/>
          <w:bCs w:val="0"/>
          <w:color w:val="auto"/>
          <w:sz w:val="56"/>
          <w:szCs w:val="56"/>
          <w:highlight w:val="none"/>
        </w:rPr>
      </w:pPr>
      <w:r>
        <w:rPr>
          <w:rFonts w:hint="eastAsia" w:ascii="华文中宋" w:hAnsi="华文中宋" w:eastAsia="华文中宋" w:cs="华文中宋"/>
          <w:b/>
          <w:bCs w:val="0"/>
          <w:color w:val="auto"/>
          <w:sz w:val="56"/>
          <w:szCs w:val="56"/>
          <w:highlight w:val="none"/>
          <w:lang w:val="en-US" w:eastAsia="zh-CN"/>
        </w:rPr>
        <w:t>磋商</w:t>
      </w:r>
      <w:r>
        <w:rPr>
          <w:rFonts w:hint="eastAsia" w:ascii="华文中宋" w:hAnsi="华文中宋" w:eastAsia="华文中宋" w:cs="华文中宋"/>
          <w:b/>
          <w:bCs w:val="0"/>
          <w:color w:val="auto"/>
          <w:sz w:val="56"/>
          <w:szCs w:val="56"/>
          <w:highlight w:val="none"/>
        </w:rPr>
        <w:t>文件</w:t>
      </w:r>
    </w:p>
    <w:p w14:paraId="55FAD6AF">
      <w:pPr>
        <w:spacing w:line="240" w:lineRule="atLeast"/>
        <w:ind w:left="1080" w:leftChars="257" w:hanging="540"/>
        <w:jc w:val="center"/>
        <w:rPr>
          <w:rFonts w:hint="eastAsia" w:ascii="仿宋_GB2312" w:eastAsia="仿宋_GB2312"/>
          <w:b/>
          <w:color w:val="auto"/>
          <w:sz w:val="28"/>
          <w:highlight w:val="none"/>
        </w:rPr>
      </w:pPr>
    </w:p>
    <w:p w14:paraId="004A6E26">
      <w:pPr>
        <w:spacing w:line="240" w:lineRule="atLeast"/>
        <w:ind w:left="1080" w:leftChars="257" w:hanging="540"/>
        <w:jc w:val="center"/>
        <w:rPr>
          <w:rFonts w:hint="eastAsia" w:ascii="仿宋_GB2312" w:eastAsia="仿宋_GB2312"/>
          <w:b/>
          <w:color w:val="auto"/>
          <w:sz w:val="28"/>
          <w:highlight w:val="none"/>
        </w:rPr>
      </w:pPr>
    </w:p>
    <w:p w14:paraId="1121B7DA">
      <w:pPr>
        <w:spacing w:line="240" w:lineRule="atLeast"/>
        <w:ind w:left="1080" w:leftChars="257" w:hanging="540"/>
        <w:jc w:val="center"/>
        <w:outlineLvl w:val="0"/>
        <w:rPr>
          <w:rFonts w:hint="eastAsia" w:ascii="仿宋_GB2312" w:eastAsia="仿宋_GB2312"/>
          <w:b/>
          <w:color w:val="auto"/>
          <w:sz w:val="40"/>
          <w:szCs w:val="20"/>
          <w:highlight w:val="none"/>
          <w:lang w:eastAsia="zh-CN"/>
        </w:rPr>
      </w:pPr>
      <w:r>
        <w:rPr>
          <w:rFonts w:hint="eastAsia" w:ascii="仿宋_GB2312" w:eastAsia="仿宋_GB2312"/>
          <w:b/>
          <w:color w:val="auto"/>
          <w:sz w:val="36"/>
          <w:szCs w:val="36"/>
          <w:highlight w:val="none"/>
          <w:lang w:eastAsia="zh-CN"/>
        </w:rPr>
        <w:t>（</w:t>
      </w:r>
      <w:r>
        <w:rPr>
          <w:rFonts w:hint="eastAsia" w:ascii="仿宋_GB2312" w:eastAsia="仿宋_GB2312"/>
          <w:b/>
          <w:color w:val="auto"/>
          <w:sz w:val="36"/>
          <w:szCs w:val="36"/>
          <w:highlight w:val="none"/>
          <w:lang w:val="en-US" w:eastAsia="zh-CN"/>
        </w:rPr>
        <w:t>项目编号：XJFZYCG(CS)-2025-039</w:t>
      </w:r>
      <w:r>
        <w:rPr>
          <w:rFonts w:hint="eastAsia" w:ascii="仿宋_GB2312" w:eastAsia="仿宋_GB2312"/>
          <w:b/>
          <w:color w:val="auto"/>
          <w:sz w:val="36"/>
          <w:szCs w:val="36"/>
          <w:highlight w:val="none"/>
          <w:lang w:eastAsia="zh-CN"/>
        </w:rPr>
        <w:t>）</w:t>
      </w:r>
    </w:p>
    <w:p w14:paraId="5BA5A8B2">
      <w:pPr>
        <w:spacing w:line="240" w:lineRule="atLeast"/>
        <w:ind w:left="1080" w:leftChars="257" w:hanging="540"/>
        <w:rPr>
          <w:rFonts w:hint="eastAsia" w:ascii="仿宋_GB2312" w:eastAsia="仿宋_GB2312"/>
          <w:b/>
          <w:color w:val="auto"/>
          <w:sz w:val="28"/>
          <w:highlight w:val="none"/>
        </w:rPr>
      </w:pPr>
    </w:p>
    <w:p w14:paraId="52291070">
      <w:pPr>
        <w:spacing w:line="240" w:lineRule="atLeast"/>
        <w:ind w:left="1080" w:leftChars="257" w:hanging="540"/>
        <w:rPr>
          <w:rFonts w:hint="eastAsia" w:ascii="仿宋_GB2312" w:eastAsia="仿宋_GB2312"/>
          <w:b/>
          <w:color w:val="auto"/>
          <w:sz w:val="28"/>
          <w:highlight w:val="none"/>
        </w:rPr>
      </w:pPr>
    </w:p>
    <w:p w14:paraId="1255FEC4">
      <w:pPr>
        <w:spacing w:line="360" w:lineRule="auto"/>
        <w:ind w:firstLine="840" w:firstLineChars="299"/>
        <w:jc w:val="both"/>
        <w:outlineLvl w:val="0"/>
        <w:rPr>
          <w:rFonts w:hint="eastAsia" w:ascii="仿宋" w:hAnsi="仿宋" w:eastAsia="仿宋" w:cs="黑体"/>
          <w:b/>
          <w:bCs/>
          <w:color w:val="auto"/>
          <w:sz w:val="44"/>
          <w:szCs w:val="44"/>
          <w:highlight w:val="none"/>
        </w:rPr>
      </w:pPr>
      <w:r>
        <w:rPr>
          <w:rFonts w:hint="eastAsia" w:ascii="仿宋_GB2312" w:eastAsia="仿宋_GB2312"/>
          <w:b/>
          <w:color w:val="auto"/>
          <w:sz w:val="28"/>
          <w:highlight w:val="none"/>
          <w:lang w:val="en-US" w:eastAsia="zh-CN"/>
        </w:rPr>
        <w:t xml:space="preserve">                   </w:t>
      </w:r>
      <w:r>
        <w:rPr>
          <w:rFonts w:hint="eastAsia" w:ascii="仿宋" w:hAnsi="仿宋" w:eastAsia="仿宋" w:cs="黑体"/>
          <w:b/>
          <w:bCs/>
          <w:color w:val="auto"/>
          <w:sz w:val="44"/>
          <w:szCs w:val="44"/>
          <w:highlight w:val="none"/>
        </w:rPr>
        <w:t>第</w:t>
      </w:r>
      <w:r>
        <w:rPr>
          <w:rFonts w:hint="eastAsia" w:ascii="仿宋" w:hAnsi="仿宋" w:eastAsia="仿宋" w:cs="黑体"/>
          <w:b/>
          <w:bCs/>
          <w:color w:val="auto"/>
          <w:sz w:val="44"/>
          <w:szCs w:val="44"/>
          <w:highlight w:val="none"/>
          <w:lang w:val="en-US" w:eastAsia="zh-CN"/>
        </w:rPr>
        <w:t>三</w:t>
      </w:r>
      <w:r>
        <w:rPr>
          <w:rFonts w:hint="eastAsia" w:ascii="仿宋" w:hAnsi="仿宋" w:eastAsia="仿宋" w:cs="黑体"/>
          <w:b/>
          <w:bCs/>
          <w:color w:val="auto"/>
          <w:sz w:val="44"/>
          <w:szCs w:val="44"/>
          <w:highlight w:val="none"/>
        </w:rPr>
        <w:t>册</w:t>
      </w:r>
    </w:p>
    <w:p w14:paraId="6FE8D1E2">
      <w:pPr>
        <w:spacing w:line="240" w:lineRule="atLeast"/>
        <w:ind w:left="1080" w:leftChars="257" w:hanging="540"/>
        <w:jc w:val="center"/>
        <w:rPr>
          <w:rFonts w:ascii="仿宋_GB2312" w:eastAsia="仿宋_GB2312"/>
          <w:b/>
          <w:color w:val="auto"/>
          <w:sz w:val="52"/>
          <w:highlight w:val="none"/>
        </w:rPr>
      </w:pPr>
    </w:p>
    <w:p w14:paraId="6D245A34">
      <w:pPr>
        <w:spacing w:line="240" w:lineRule="atLeast"/>
        <w:ind w:left="1080" w:leftChars="257" w:hanging="540"/>
        <w:jc w:val="center"/>
        <w:rPr>
          <w:rFonts w:ascii="仿宋_GB2312" w:eastAsia="仿宋_GB2312"/>
          <w:b/>
          <w:color w:val="auto"/>
          <w:sz w:val="52"/>
          <w:highlight w:val="none"/>
        </w:rPr>
      </w:pPr>
    </w:p>
    <w:p w14:paraId="00F5A84E">
      <w:pPr>
        <w:spacing w:line="240" w:lineRule="atLeast"/>
        <w:ind w:left="1080" w:leftChars="257" w:hanging="540"/>
        <w:jc w:val="center"/>
        <w:rPr>
          <w:rFonts w:ascii="仿宋_GB2312" w:eastAsia="仿宋_GB2312"/>
          <w:b/>
          <w:color w:val="auto"/>
          <w:sz w:val="52"/>
          <w:highlight w:val="none"/>
        </w:rPr>
      </w:pPr>
    </w:p>
    <w:p w14:paraId="2DE2B452">
      <w:pPr>
        <w:spacing w:line="240" w:lineRule="atLeast"/>
        <w:ind w:left="1080" w:leftChars="257" w:hanging="540"/>
        <w:jc w:val="center"/>
        <w:rPr>
          <w:rFonts w:ascii="仿宋_GB2312" w:eastAsia="仿宋_GB2312"/>
          <w:b/>
          <w:color w:val="auto"/>
          <w:sz w:val="52"/>
          <w:highlight w:val="none"/>
        </w:rPr>
      </w:pPr>
    </w:p>
    <w:p w14:paraId="36692C6F">
      <w:pPr>
        <w:spacing w:line="240" w:lineRule="atLeast"/>
        <w:ind w:left="1080" w:leftChars="257" w:hanging="540"/>
        <w:jc w:val="center"/>
        <w:rPr>
          <w:rFonts w:hint="eastAsia" w:ascii="仿宋_GB2312" w:eastAsia="仿宋_GB2312"/>
          <w:b/>
          <w:color w:val="auto"/>
          <w:sz w:val="52"/>
          <w:highlight w:val="none"/>
        </w:rPr>
      </w:pPr>
    </w:p>
    <w:p w14:paraId="1BB9A7F7">
      <w:pPr>
        <w:spacing w:line="240" w:lineRule="atLeast"/>
        <w:ind w:left="1080" w:leftChars="257" w:hanging="540"/>
        <w:jc w:val="center"/>
        <w:rPr>
          <w:rFonts w:hint="eastAsia" w:ascii="仿宋_GB2312" w:eastAsia="仿宋_GB2312"/>
          <w:b/>
          <w:color w:val="auto"/>
          <w:sz w:val="52"/>
          <w:highlight w:val="none"/>
        </w:rPr>
      </w:pPr>
    </w:p>
    <w:p w14:paraId="056FE4E1">
      <w:pPr>
        <w:spacing w:line="240" w:lineRule="atLeast"/>
        <w:ind w:left="1080" w:leftChars="257" w:hanging="540"/>
        <w:rPr>
          <w:rFonts w:hint="eastAsia" w:ascii="仿宋_GB2312" w:eastAsia="仿宋_GB2312"/>
          <w:b/>
          <w:color w:val="auto"/>
          <w:szCs w:val="21"/>
          <w:highlight w:val="none"/>
        </w:rPr>
      </w:pPr>
    </w:p>
    <w:p w14:paraId="550131D0">
      <w:pPr>
        <w:pStyle w:val="2"/>
        <w:tabs>
          <w:tab w:val="left" w:pos="0"/>
        </w:tabs>
        <w:spacing w:before="0" w:after="0" w:line="240" w:lineRule="atLeast"/>
        <w:ind w:left="-15"/>
        <w:rPr>
          <w:rFonts w:ascii="仿宋" w:hAnsi="仿宋" w:eastAsia="仿宋" w:cs="仿宋"/>
          <w:color w:val="auto"/>
          <w:sz w:val="30"/>
          <w:szCs w:val="30"/>
          <w:highlight w:val="none"/>
        </w:rPr>
      </w:pPr>
      <w:r>
        <w:rPr>
          <w:rFonts w:ascii="仿宋_GB2312" w:eastAsia="仿宋_GB2312"/>
          <w:b w:val="0"/>
          <w:color w:val="auto"/>
          <w:sz w:val="52"/>
          <w:highlight w:val="none"/>
        </w:rPr>
        <w:br w:type="page"/>
      </w:r>
      <w:bookmarkEnd w:id="462"/>
      <w:bookmarkStart w:id="463" w:name="_Toc3334"/>
      <w:bookmarkStart w:id="464" w:name="_Toc9554"/>
      <w:bookmarkStart w:id="465" w:name="_Toc17854"/>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章、采购合同</w:t>
      </w:r>
      <w:bookmarkEnd w:id="463"/>
      <w:bookmarkEnd w:id="464"/>
      <w:bookmarkEnd w:id="465"/>
      <w:bookmarkStart w:id="466" w:name="_Hlt487972895"/>
      <w:bookmarkEnd w:id="466"/>
      <w:bookmarkStart w:id="467" w:name="_Toc216513788"/>
      <w:bookmarkStart w:id="468" w:name="_Toc487900382"/>
    </w:p>
    <w:bookmarkEnd w:id="467"/>
    <w:bookmarkEnd w:id="468"/>
    <w:p w14:paraId="05E04EBA">
      <w:pPr>
        <w:spacing w:line="240" w:lineRule="atLeast"/>
        <w:rPr>
          <w:rFonts w:ascii="仿宋_GB2312" w:eastAsia="仿宋_GB2312"/>
          <w:b/>
          <w:color w:val="auto"/>
          <w:kern w:val="44"/>
          <w:sz w:val="32"/>
          <w:szCs w:val="20"/>
          <w:highlight w:val="none"/>
        </w:rPr>
      </w:pPr>
    </w:p>
    <w:p w14:paraId="289A6E8A">
      <w:pPr>
        <w:rPr>
          <w:rFonts w:ascii="楷体" w:hAnsi="楷体" w:eastAsia="楷体"/>
          <w:b/>
          <w:sz w:val="28"/>
          <w:szCs w:val="28"/>
        </w:rPr>
      </w:pPr>
      <w:r>
        <w:rPr>
          <w:rFonts w:hint="eastAsia" w:ascii="楷体" w:hAnsi="楷体" w:eastAsia="楷体"/>
          <w:sz w:val="24"/>
        </w:rPr>
        <w:t>合同编号：</w:t>
      </w:r>
      <w:r>
        <w:rPr>
          <w:rFonts w:ascii="楷体" w:hAnsi="楷体" w:eastAsia="楷体"/>
          <w:sz w:val="24"/>
          <w:u w:val="single"/>
        </w:rPr>
        <w:t xml:space="preserve">           </w:t>
      </w:r>
    </w:p>
    <w:p w14:paraId="6F512073">
      <w:pPr>
        <w:spacing w:line="480" w:lineRule="auto"/>
        <w:jc w:val="center"/>
        <w:rPr>
          <w:rFonts w:ascii="楷体" w:hAnsi="楷体" w:eastAsia="楷体"/>
          <w:b/>
          <w:sz w:val="28"/>
          <w:szCs w:val="28"/>
        </w:rPr>
      </w:pPr>
    </w:p>
    <w:p w14:paraId="3DA26DAE">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14:paraId="10906D50">
      <w:pPr>
        <w:spacing w:line="480" w:lineRule="auto"/>
        <w:jc w:val="center"/>
        <w:rPr>
          <w:rFonts w:ascii="楷体" w:hAnsi="楷体" w:eastAsia="楷体"/>
          <w:b/>
          <w:sz w:val="24"/>
        </w:rPr>
      </w:pPr>
      <w:r>
        <w:rPr>
          <w:rFonts w:hint="eastAsia" w:ascii="楷体" w:hAnsi="楷体" w:eastAsia="楷体"/>
          <w:b/>
          <w:sz w:val="24"/>
        </w:rPr>
        <w:t>（服务类）</w:t>
      </w:r>
    </w:p>
    <w:p w14:paraId="374E998C">
      <w:pPr>
        <w:pStyle w:val="78"/>
        <w:ind w:firstLine="0"/>
        <w:rPr>
          <w:rFonts w:ascii="楷体" w:hAnsi="楷体" w:eastAsia="楷体"/>
          <w:szCs w:val="24"/>
        </w:rPr>
      </w:pPr>
    </w:p>
    <w:p w14:paraId="0D9D1997">
      <w:pPr>
        <w:pStyle w:val="78"/>
        <w:ind w:firstLine="0"/>
        <w:rPr>
          <w:rFonts w:ascii="楷体" w:hAnsi="楷体" w:eastAsia="楷体"/>
          <w:szCs w:val="24"/>
        </w:rPr>
      </w:pPr>
    </w:p>
    <w:p w14:paraId="049E6DDB">
      <w:pPr>
        <w:pStyle w:val="78"/>
        <w:ind w:firstLine="0"/>
        <w:rPr>
          <w:rFonts w:ascii="楷体" w:hAnsi="楷体" w:eastAsia="楷体"/>
          <w:szCs w:val="24"/>
        </w:rPr>
      </w:pPr>
    </w:p>
    <w:p w14:paraId="50750400">
      <w:pPr>
        <w:pStyle w:val="78"/>
        <w:ind w:firstLine="0"/>
        <w:jc w:val="center"/>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14:paraId="1722B67E">
      <w:pPr>
        <w:pStyle w:val="78"/>
        <w:ind w:firstLine="0"/>
        <w:rPr>
          <w:rFonts w:ascii="楷体" w:hAnsi="楷体" w:eastAsia="楷体"/>
          <w:szCs w:val="24"/>
        </w:rPr>
      </w:pPr>
    </w:p>
    <w:p w14:paraId="61BE9D5C">
      <w:pPr>
        <w:pStyle w:val="78"/>
        <w:ind w:firstLine="0"/>
        <w:rPr>
          <w:rFonts w:ascii="楷体" w:hAnsi="楷体" w:eastAsia="楷体"/>
          <w:szCs w:val="24"/>
        </w:rPr>
      </w:pPr>
    </w:p>
    <w:p w14:paraId="0454C699">
      <w:pPr>
        <w:spacing w:before="120" w:line="22" w:lineRule="atLeast"/>
        <w:rPr>
          <w:rFonts w:ascii="楷体" w:hAnsi="楷体" w:eastAsia="楷体"/>
          <w:sz w:val="24"/>
        </w:rPr>
      </w:pPr>
    </w:p>
    <w:p w14:paraId="6278D82B">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14:paraId="6E023773">
      <w:pPr>
        <w:pStyle w:val="89"/>
        <w:spacing w:before="120" w:line="22" w:lineRule="atLeast"/>
        <w:rPr>
          <w:rFonts w:ascii="楷体" w:hAnsi="楷体" w:eastAsia="楷体"/>
          <w:szCs w:val="24"/>
        </w:rPr>
      </w:pPr>
    </w:p>
    <w:p w14:paraId="4F72BBA3">
      <w:pPr>
        <w:pStyle w:val="89"/>
        <w:spacing w:before="120" w:line="22" w:lineRule="atLeast"/>
        <w:rPr>
          <w:rFonts w:ascii="楷体" w:hAnsi="楷体" w:eastAsia="楷体"/>
          <w:szCs w:val="24"/>
        </w:rPr>
      </w:pPr>
    </w:p>
    <w:p w14:paraId="532D845B"/>
    <w:p w14:paraId="4B436AB4">
      <w:pPr>
        <w:pStyle w:val="8"/>
      </w:pPr>
    </w:p>
    <w:p w14:paraId="4C45B476"/>
    <w:p w14:paraId="5162C9CD">
      <w:pPr>
        <w:pStyle w:val="8"/>
      </w:pPr>
    </w:p>
    <w:p w14:paraId="3370CBBE"/>
    <w:p w14:paraId="5F903F9B">
      <w:pPr>
        <w:pStyle w:val="8"/>
      </w:pPr>
    </w:p>
    <w:p w14:paraId="63138A7E"/>
    <w:p w14:paraId="7E1CDC8C">
      <w:pPr>
        <w:pStyle w:val="8"/>
      </w:pPr>
    </w:p>
    <w:p w14:paraId="445EA972">
      <w:pPr>
        <w:spacing w:before="120" w:line="22" w:lineRule="atLeast"/>
        <w:ind w:left="96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14:paraId="66224F76">
      <w:pPr>
        <w:spacing w:before="120" w:line="22" w:lineRule="atLeast"/>
        <w:rPr>
          <w:rFonts w:ascii="楷体" w:hAnsi="楷体" w:eastAsia="楷体"/>
          <w:sz w:val="24"/>
        </w:rPr>
      </w:pPr>
    </w:p>
    <w:p w14:paraId="52D8A10D">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14:paraId="263A3E0A">
      <w:pPr>
        <w:spacing w:before="120" w:line="22" w:lineRule="atLeast"/>
        <w:rPr>
          <w:rFonts w:ascii="楷体" w:hAnsi="楷体" w:eastAsia="楷体"/>
          <w:sz w:val="24"/>
        </w:rPr>
      </w:pPr>
    </w:p>
    <w:p w14:paraId="367A9DDA">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14:paraId="007B8B14">
      <w:pPr>
        <w:spacing w:before="120" w:line="22" w:lineRule="atLeast"/>
        <w:rPr>
          <w:rFonts w:ascii="楷体" w:hAnsi="楷体" w:eastAsia="楷体"/>
          <w:sz w:val="24"/>
        </w:rPr>
      </w:pPr>
    </w:p>
    <w:p w14:paraId="4F19C5EE">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14:paraId="11A00767">
      <w:pPr>
        <w:autoSpaceDE w:val="0"/>
        <w:autoSpaceDN w:val="0"/>
        <w:adjustRightInd w:val="0"/>
        <w:spacing w:line="600" w:lineRule="exact"/>
        <w:ind w:firstLine="640"/>
        <w:jc w:val="center"/>
        <w:rPr>
          <w:rFonts w:ascii="宋体"/>
          <w:sz w:val="24"/>
        </w:rPr>
        <w:sectPr>
          <w:pgSz w:w="11907" w:h="16840"/>
          <w:pgMar w:top="1474" w:right="1814" w:bottom="1474" w:left="1814" w:header="851" w:footer="851" w:gutter="0"/>
          <w:pgNumType w:fmt="decimal"/>
          <w:cols w:space="720" w:num="1"/>
          <w:docGrid w:linePitch="462" w:charSpace="0"/>
        </w:sectPr>
      </w:pPr>
    </w:p>
    <w:p w14:paraId="03D68137">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hint="eastAsia" w:ascii="楷体" w:hAnsi="楷体" w:eastAsia="楷体"/>
          <w:sz w:val="24"/>
        </w:rPr>
        <w:t>为该项目中标供应商。现于中标通知书发出之日起三十日内，按照采购文件确定的事项签订本合同。</w:t>
      </w:r>
    </w:p>
    <w:p w14:paraId="60129753">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14:paraId="6CBABA6E">
      <w:pPr>
        <w:spacing w:line="560" w:lineRule="exact"/>
        <w:ind w:firstLine="482" w:firstLineChars="200"/>
        <w:outlineLvl w:val="0"/>
        <w:rPr>
          <w:rFonts w:ascii="楷体" w:hAnsi="楷体" w:eastAsia="楷体"/>
          <w:sz w:val="24"/>
        </w:rPr>
      </w:pPr>
      <w:bookmarkStart w:id="469" w:name="_Toc14806"/>
      <w:bookmarkStart w:id="470" w:name="_Toc15367"/>
      <w:bookmarkStart w:id="471" w:name="_Toc8964"/>
      <w:bookmarkStart w:id="472" w:name="_Toc28855"/>
      <w:bookmarkStart w:id="473" w:name="_Toc24815"/>
      <w:bookmarkStart w:id="474" w:name="_Toc8320"/>
      <w:bookmarkStart w:id="475" w:name="_Toc13665"/>
      <w:bookmarkStart w:id="476" w:name="_Toc5062"/>
      <w:bookmarkStart w:id="477" w:name="_Toc13185"/>
      <w:bookmarkStart w:id="478" w:name="_Toc13081"/>
      <w:bookmarkStart w:id="479" w:name="_Toc4589"/>
      <w:bookmarkStart w:id="480" w:name="_Toc20421"/>
      <w:bookmarkStart w:id="481" w:name="_Toc12620"/>
      <w:bookmarkStart w:id="482" w:name="_Toc19273"/>
      <w:r>
        <w:rPr>
          <w:rFonts w:ascii="楷体" w:hAnsi="楷体" w:eastAsia="楷体"/>
          <w:b/>
          <w:sz w:val="24"/>
        </w:rPr>
        <w:t xml:space="preserve">1.1 </w:t>
      </w:r>
      <w:r>
        <w:rPr>
          <w:rFonts w:hint="eastAsia" w:ascii="楷体" w:hAnsi="楷体" w:eastAsia="楷体"/>
          <w:b/>
          <w:sz w:val="24"/>
        </w:rPr>
        <w:t>合同组成部分</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495230A0">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B688D5">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14:paraId="22E547DF">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14:paraId="1C21BA9E">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14:paraId="5C4A2920">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14:paraId="5B29CCC4">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14:paraId="0670A3F4">
      <w:pPr>
        <w:spacing w:line="560" w:lineRule="exact"/>
        <w:ind w:firstLine="482" w:firstLineChars="200"/>
        <w:outlineLvl w:val="0"/>
        <w:rPr>
          <w:rFonts w:ascii="楷体" w:hAnsi="楷体" w:eastAsia="楷体"/>
          <w:b/>
          <w:sz w:val="24"/>
        </w:rPr>
      </w:pPr>
      <w:bookmarkStart w:id="483" w:name="_Toc32174"/>
      <w:bookmarkStart w:id="484" w:name="_Toc28816"/>
      <w:bookmarkStart w:id="485" w:name="_Toc18585"/>
      <w:bookmarkStart w:id="486" w:name="_Toc17347"/>
      <w:bookmarkStart w:id="487" w:name="_Toc6436"/>
      <w:bookmarkStart w:id="488" w:name="_Toc3865"/>
      <w:bookmarkStart w:id="489" w:name="_Toc2126"/>
      <w:bookmarkStart w:id="490" w:name="_Toc6311"/>
      <w:bookmarkStart w:id="491" w:name="_Toc2918"/>
      <w:bookmarkStart w:id="492" w:name="_Toc25044"/>
      <w:bookmarkStart w:id="493" w:name="_Toc26396"/>
      <w:bookmarkStart w:id="494" w:name="_Toc6773"/>
      <w:bookmarkStart w:id="495" w:name="_Toc22185"/>
      <w:bookmarkStart w:id="496" w:name="_Toc2952"/>
      <w:r>
        <w:rPr>
          <w:rFonts w:ascii="楷体" w:hAnsi="楷体" w:eastAsia="楷体"/>
          <w:b/>
          <w:sz w:val="24"/>
        </w:rPr>
        <w:t xml:space="preserve">1.2 </w:t>
      </w:r>
      <w:r>
        <w:rPr>
          <w:rFonts w:hint="eastAsia" w:ascii="楷体" w:hAnsi="楷体" w:eastAsia="楷体"/>
          <w:b/>
          <w:sz w:val="24"/>
        </w:rPr>
        <w:t>标的</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5E788F5A">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标的名称：</w:t>
      </w:r>
      <w:r>
        <w:rPr>
          <w:rFonts w:ascii="楷体" w:hAnsi="楷体" w:eastAsia="楷体"/>
          <w:sz w:val="24"/>
          <w:u w:val="single"/>
        </w:rPr>
        <w:t xml:space="preserve">                                                </w:t>
      </w:r>
      <w:r>
        <w:rPr>
          <w:rFonts w:hint="eastAsia" w:ascii="楷体" w:hAnsi="楷体" w:eastAsia="楷体"/>
          <w:sz w:val="24"/>
        </w:rPr>
        <w:t>；</w:t>
      </w:r>
    </w:p>
    <w:p w14:paraId="515EBC6F">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标的数量：</w:t>
      </w:r>
      <w:r>
        <w:rPr>
          <w:rFonts w:ascii="楷体" w:hAnsi="楷体" w:eastAsia="楷体"/>
          <w:sz w:val="24"/>
          <w:u w:val="single"/>
        </w:rPr>
        <w:t xml:space="preserve">                                                </w:t>
      </w:r>
      <w:r>
        <w:rPr>
          <w:rFonts w:hint="eastAsia" w:ascii="楷体" w:hAnsi="楷体" w:eastAsia="楷体"/>
          <w:sz w:val="24"/>
        </w:rPr>
        <w:t>；</w:t>
      </w:r>
    </w:p>
    <w:p w14:paraId="59F031E5">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标的质量：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4BBFA279">
      <w:pPr>
        <w:spacing w:line="560" w:lineRule="exact"/>
        <w:ind w:firstLine="482" w:firstLineChars="200"/>
        <w:outlineLvl w:val="0"/>
        <w:rPr>
          <w:rFonts w:ascii="楷体" w:hAnsi="楷体" w:eastAsia="楷体"/>
          <w:b/>
          <w:sz w:val="24"/>
        </w:rPr>
      </w:pPr>
      <w:bookmarkStart w:id="497" w:name="_Toc17464"/>
      <w:bookmarkStart w:id="498" w:name="_Toc25479"/>
      <w:bookmarkStart w:id="499" w:name="_Toc13918"/>
      <w:bookmarkStart w:id="500" w:name="_Toc7998"/>
      <w:bookmarkStart w:id="501" w:name="_Toc7426"/>
      <w:bookmarkStart w:id="502" w:name="_Toc28004"/>
      <w:bookmarkStart w:id="503" w:name="_Toc29973"/>
      <w:bookmarkStart w:id="504" w:name="_Toc21124"/>
      <w:bookmarkStart w:id="505" w:name="_Toc21306"/>
      <w:bookmarkStart w:id="506" w:name="_Toc1386"/>
      <w:bookmarkStart w:id="507" w:name="_Toc4929"/>
      <w:bookmarkStart w:id="508" w:name="_Toc14904"/>
      <w:bookmarkStart w:id="509" w:name="_Toc32081"/>
      <w:bookmarkStart w:id="510" w:name="_Toc5635"/>
      <w:bookmarkStart w:id="511" w:name="_Toc15232"/>
      <w:r>
        <w:rPr>
          <w:rFonts w:ascii="楷体" w:hAnsi="楷体" w:eastAsia="楷体"/>
          <w:b/>
          <w:sz w:val="24"/>
        </w:rPr>
        <w:t xml:space="preserve">1.3 </w:t>
      </w:r>
      <w:r>
        <w:rPr>
          <w:rFonts w:hint="eastAsia" w:ascii="楷体" w:hAnsi="楷体" w:eastAsia="楷体"/>
          <w:b/>
          <w:sz w:val="24"/>
        </w:rPr>
        <w:t>价款</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7D8374C9">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14:paraId="703A253B">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3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97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A8BCF35">
            <w:pPr>
              <w:pStyle w:val="67"/>
              <w:spacing w:line="560" w:lineRule="exact"/>
              <w:jc w:val="center"/>
              <w:rPr>
                <w:rFonts w:ascii="楷体" w:hAnsi="楷体" w:eastAsia="楷体"/>
                <w:color w:val="000000"/>
                <w:kern w:val="2"/>
                <w:sz w:val="24"/>
                <w:szCs w:val="24"/>
              </w:rPr>
            </w:pPr>
            <w:r>
              <w:rPr>
                <w:rFonts w:hint="eastAsia" w:ascii="楷体" w:hAnsi="楷体" w:eastAsia="楷体"/>
                <w:color w:val="000000"/>
                <w:kern w:val="2"/>
                <w:sz w:val="24"/>
                <w:szCs w:val="24"/>
              </w:rPr>
              <w:t>序号</w:t>
            </w:r>
          </w:p>
        </w:tc>
        <w:tc>
          <w:tcPr>
            <w:tcW w:w="3402" w:type="dxa"/>
            <w:noWrap w:val="0"/>
            <w:vAlign w:val="center"/>
          </w:tcPr>
          <w:p w14:paraId="2BF44567">
            <w:pPr>
              <w:pStyle w:val="67"/>
              <w:spacing w:line="560" w:lineRule="exact"/>
              <w:ind w:firstLine="200"/>
              <w:jc w:val="center"/>
              <w:rPr>
                <w:rFonts w:ascii="楷体" w:hAnsi="楷体" w:eastAsia="楷体"/>
                <w:color w:val="000000"/>
                <w:kern w:val="2"/>
                <w:sz w:val="24"/>
                <w:szCs w:val="24"/>
              </w:rPr>
            </w:pPr>
            <w:r>
              <w:rPr>
                <w:rFonts w:hint="eastAsia" w:ascii="楷体" w:hAnsi="楷体" w:eastAsia="楷体"/>
                <w:color w:val="000000"/>
                <w:kern w:val="2"/>
                <w:sz w:val="24"/>
                <w:szCs w:val="24"/>
              </w:rPr>
              <w:t>分项名称</w:t>
            </w:r>
          </w:p>
        </w:tc>
        <w:tc>
          <w:tcPr>
            <w:tcW w:w="2552" w:type="dxa"/>
            <w:noWrap w:val="0"/>
            <w:vAlign w:val="center"/>
          </w:tcPr>
          <w:p w14:paraId="2D4E8012">
            <w:pPr>
              <w:pStyle w:val="67"/>
              <w:spacing w:line="560" w:lineRule="exact"/>
              <w:jc w:val="center"/>
              <w:rPr>
                <w:rFonts w:ascii="楷体" w:hAnsi="楷体" w:eastAsia="楷体"/>
                <w:color w:val="000000"/>
                <w:kern w:val="2"/>
                <w:sz w:val="24"/>
                <w:szCs w:val="24"/>
              </w:rPr>
            </w:pPr>
            <w:r>
              <w:rPr>
                <w:rFonts w:hint="eastAsia" w:ascii="楷体" w:hAnsi="楷体" w:eastAsia="楷体"/>
                <w:color w:val="000000"/>
                <w:kern w:val="2"/>
                <w:sz w:val="24"/>
                <w:szCs w:val="24"/>
              </w:rPr>
              <w:t>分项价格</w:t>
            </w:r>
          </w:p>
        </w:tc>
      </w:tr>
      <w:tr w14:paraId="3B66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568386D">
            <w:pPr>
              <w:pStyle w:val="67"/>
              <w:spacing w:line="560" w:lineRule="exact"/>
              <w:ind w:firstLine="200"/>
              <w:jc w:val="center"/>
              <w:rPr>
                <w:rFonts w:ascii="楷体" w:hAnsi="楷体" w:eastAsia="楷体"/>
                <w:color w:val="000000"/>
                <w:kern w:val="2"/>
                <w:sz w:val="24"/>
                <w:szCs w:val="24"/>
              </w:rPr>
            </w:pPr>
          </w:p>
        </w:tc>
        <w:tc>
          <w:tcPr>
            <w:tcW w:w="3402" w:type="dxa"/>
            <w:noWrap w:val="0"/>
            <w:vAlign w:val="center"/>
          </w:tcPr>
          <w:p w14:paraId="151D66BD">
            <w:pPr>
              <w:pStyle w:val="67"/>
              <w:spacing w:line="560" w:lineRule="exact"/>
              <w:ind w:firstLine="200"/>
              <w:jc w:val="center"/>
              <w:rPr>
                <w:rFonts w:ascii="楷体" w:hAnsi="楷体" w:eastAsia="楷体"/>
                <w:color w:val="000000"/>
                <w:kern w:val="2"/>
                <w:sz w:val="24"/>
                <w:szCs w:val="24"/>
              </w:rPr>
            </w:pPr>
          </w:p>
        </w:tc>
        <w:tc>
          <w:tcPr>
            <w:tcW w:w="2552" w:type="dxa"/>
            <w:noWrap w:val="0"/>
            <w:vAlign w:val="center"/>
          </w:tcPr>
          <w:p w14:paraId="6AD0075F">
            <w:pPr>
              <w:pStyle w:val="67"/>
              <w:spacing w:line="560" w:lineRule="exact"/>
              <w:ind w:firstLine="200"/>
              <w:jc w:val="center"/>
              <w:rPr>
                <w:rFonts w:ascii="楷体" w:hAnsi="楷体" w:eastAsia="楷体"/>
                <w:color w:val="000000"/>
                <w:kern w:val="2"/>
                <w:sz w:val="24"/>
                <w:szCs w:val="24"/>
              </w:rPr>
            </w:pPr>
          </w:p>
        </w:tc>
      </w:tr>
      <w:tr w14:paraId="208C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74BAD8A">
            <w:pPr>
              <w:pStyle w:val="67"/>
              <w:spacing w:line="560" w:lineRule="exact"/>
              <w:ind w:firstLine="200"/>
              <w:jc w:val="center"/>
              <w:rPr>
                <w:rFonts w:ascii="楷体" w:hAnsi="楷体" w:eastAsia="楷体"/>
                <w:color w:val="000000"/>
                <w:kern w:val="2"/>
                <w:sz w:val="24"/>
                <w:szCs w:val="24"/>
              </w:rPr>
            </w:pPr>
          </w:p>
        </w:tc>
        <w:tc>
          <w:tcPr>
            <w:tcW w:w="3402" w:type="dxa"/>
            <w:noWrap w:val="0"/>
            <w:vAlign w:val="center"/>
          </w:tcPr>
          <w:p w14:paraId="3B7D5304">
            <w:pPr>
              <w:pStyle w:val="67"/>
              <w:spacing w:line="560" w:lineRule="exact"/>
              <w:ind w:firstLine="200"/>
              <w:jc w:val="center"/>
              <w:rPr>
                <w:rFonts w:ascii="楷体" w:hAnsi="楷体" w:eastAsia="楷体"/>
                <w:color w:val="000000"/>
                <w:kern w:val="2"/>
                <w:sz w:val="24"/>
                <w:szCs w:val="24"/>
              </w:rPr>
            </w:pPr>
          </w:p>
        </w:tc>
        <w:tc>
          <w:tcPr>
            <w:tcW w:w="2552" w:type="dxa"/>
            <w:noWrap w:val="0"/>
            <w:vAlign w:val="center"/>
          </w:tcPr>
          <w:p w14:paraId="63582DCE">
            <w:pPr>
              <w:pStyle w:val="67"/>
              <w:spacing w:line="560" w:lineRule="exact"/>
              <w:ind w:firstLine="200"/>
              <w:jc w:val="center"/>
              <w:rPr>
                <w:rFonts w:ascii="楷体" w:hAnsi="楷体" w:eastAsia="楷体"/>
                <w:color w:val="000000"/>
                <w:kern w:val="2"/>
                <w:sz w:val="24"/>
                <w:szCs w:val="24"/>
              </w:rPr>
            </w:pPr>
          </w:p>
        </w:tc>
      </w:tr>
      <w:tr w14:paraId="1C87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89E2A37">
            <w:pPr>
              <w:pStyle w:val="67"/>
              <w:spacing w:line="560" w:lineRule="exact"/>
              <w:ind w:firstLine="200"/>
              <w:jc w:val="center"/>
              <w:rPr>
                <w:rFonts w:ascii="楷体" w:hAnsi="楷体" w:eastAsia="楷体"/>
                <w:color w:val="000000"/>
                <w:kern w:val="2"/>
                <w:sz w:val="24"/>
                <w:szCs w:val="24"/>
              </w:rPr>
            </w:pPr>
          </w:p>
        </w:tc>
        <w:tc>
          <w:tcPr>
            <w:tcW w:w="3402" w:type="dxa"/>
            <w:noWrap w:val="0"/>
            <w:vAlign w:val="center"/>
          </w:tcPr>
          <w:p w14:paraId="126F8520">
            <w:pPr>
              <w:pStyle w:val="67"/>
              <w:spacing w:line="560" w:lineRule="exact"/>
              <w:ind w:firstLine="200"/>
              <w:jc w:val="center"/>
              <w:rPr>
                <w:rFonts w:ascii="楷体" w:hAnsi="楷体" w:eastAsia="楷体"/>
                <w:color w:val="000000"/>
                <w:kern w:val="2"/>
                <w:sz w:val="24"/>
                <w:szCs w:val="24"/>
              </w:rPr>
            </w:pPr>
          </w:p>
        </w:tc>
        <w:tc>
          <w:tcPr>
            <w:tcW w:w="2552" w:type="dxa"/>
            <w:noWrap w:val="0"/>
            <w:vAlign w:val="center"/>
          </w:tcPr>
          <w:p w14:paraId="47FB9203">
            <w:pPr>
              <w:pStyle w:val="67"/>
              <w:spacing w:line="560" w:lineRule="exact"/>
              <w:ind w:firstLine="200"/>
              <w:jc w:val="center"/>
              <w:rPr>
                <w:rFonts w:ascii="楷体" w:hAnsi="楷体" w:eastAsia="楷体"/>
                <w:color w:val="000000"/>
                <w:kern w:val="2"/>
                <w:sz w:val="24"/>
                <w:szCs w:val="24"/>
              </w:rPr>
            </w:pPr>
          </w:p>
        </w:tc>
      </w:tr>
      <w:tr w14:paraId="745E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FE34B3">
            <w:pPr>
              <w:pStyle w:val="67"/>
              <w:spacing w:line="560" w:lineRule="exact"/>
              <w:ind w:firstLine="200"/>
              <w:jc w:val="center"/>
              <w:rPr>
                <w:rFonts w:ascii="楷体" w:hAnsi="楷体" w:eastAsia="楷体"/>
                <w:color w:val="000000"/>
                <w:kern w:val="2"/>
                <w:sz w:val="24"/>
                <w:szCs w:val="24"/>
              </w:rPr>
            </w:pPr>
          </w:p>
        </w:tc>
        <w:tc>
          <w:tcPr>
            <w:tcW w:w="3402" w:type="dxa"/>
            <w:noWrap w:val="0"/>
            <w:vAlign w:val="center"/>
          </w:tcPr>
          <w:p w14:paraId="158786F2">
            <w:pPr>
              <w:pStyle w:val="67"/>
              <w:spacing w:line="560" w:lineRule="exact"/>
              <w:ind w:firstLine="200"/>
              <w:jc w:val="center"/>
              <w:rPr>
                <w:rFonts w:ascii="楷体" w:hAnsi="楷体" w:eastAsia="楷体"/>
                <w:color w:val="000000"/>
                <w:kern w:val="2"/>
                <w:sz w:val="24"/>
                <w:szCs w:val="24"/>
              </w:rPr>
            </w:pPr>
          </w:p>
        </w:tc>
        <w:tc>
          <w:tcPr>
            <w:tcW w:w="2552" w:type="dxa"/>
            <w:noWrap w:val="0"/>
            <w:vAlign w:val="center"/>
          </w:tcPr>
          <w:p w14:paraId="68314873">
            <w:pPr>
              <w:pStyle w:val="67"/>
              <w:spacing w:line="560" w:lineRule="exact"/>
              <w:ind w:firstLine="200"/>
              <w:jc w:val="center"/>
              <w:rPr>
                <w:rFonts w:ascii="楷体" w:hAnsi="楷体" w:eastAsia="楷体"/>
                <w:color w:val="000000"/>
                <w:kern w:val="2"/>
                <w:sz w:val="24"/>
                <w:szCs w:val="24"/>
              </w:rPr>
            </w:pPr>
          </w:p>
        </w:tc>
      </w:tr>
      <w:tr w14:paraId="1DF3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3C7FD70">
            <w:pPr>
              <w:pStyle w:val="67"/>
              <w:spacing w:line="560" w:lineRule="exact"/>
              <w:ind w:firstLine="200"/>
              <w:jc w:val="center"/>
              <w:rPr>
                <w:rFonts w:ascii="楷体" w:hAnsi="楷体" w:eastAsia="楷体"/>
                <w:color w:val="000000"/>
                <w:kern w:val="2"/>
                <w:sz w:val="24"/>
                <w:szCs w:val="24"/>
              </w:rPr>
            </w:pPr>
            <w:r>
              <w:rPr>
                <w:rFonts w:hint="eastAsia" w:ascii="楷体" w:hAnsi="楷体" w:eastAsia="楷体"/>
                <w:color w:val="000000"/>
                <w:kern w:val="2"/>
                <w:sz w:val="24"/>
                <w:szCs w:val="24"/>
              </w:rPr>
              <w:t>总价</w:t>
            </w:r>
          </w:p>
        </w:tc>
        <w:tc>
          <w:tcPr>
            <w:tcW w:w="2552" w:type="dxa"/>
            <w:noWrap w:val="0"/>
            <w:vAlign w:val="center"/>
          </w:tcPr>
          <w:p w14:paraId="5ABD0E40">
            <w:pPr>
              <w:pStyle w:val="67"/>
              <w:spacing w:line="560" w:lineRule="exact"/>
              <w:ind w:firstLine="200"/>
              <w:jc w:val="center"/>
              <w:rPr>
                <w:rFonts w:ascii="楷体" w:hAnsi="楷体" w:eastAsia="楷体"/>
                <w:color w:val="000000"/>
                <w:kern w:val="2"/>
                <w:sz w:val="24"/>
                <w:szCs w:val="24"/>
              </w:rPr>
            </w:pPr>
          </w:p>
        </w:tc>
      </w:tr>
    </w:tbl>
    <w:p w14:paraId="266AF817">
      <w:pPr>
        <w:spacing w:line="560" w:lineRule="exact"/>
        <w:ind w:firstLine="482" w:firstLineChars="200"/>
        <w:outlineLvl w:val="0"/>
        <w:rPr>
          <w:rFonts w:ascii="楷体" w:hAnsi="楷体" w:eastAsia="楷体"/>
          <w:b/>
          <w:sz w:val="24"/>
        </w:rPr>
      </w:pPr>
      <w:bookmarkStart w:id="512" w:name="_Toc7708"/>
      <w:bookmarkStart w:id="513" w:name="_Toc10179"/>
      <w:bookmarkStart w:id="514" w:name="_Toc24840"/>
      <w:bookmarkStart w:id="515" w:name="_Toc26916"/>
      <w:bookmarkStart w:id="516" w:name="_Toc30158"/>
      <w:bookmarkStart w:id="517" w:name="_Toc30506"/>
      <w:bookmarkStart w:id="518" w:name="_Toc27719"/>
      <w:bookmarkStart w:id="519" w:name="_Toc11457"/>
      <w:bookmarkStart w:id="520" w:name="_Toc16215"/>
      <w:bookmarkStart w:id="521" w:name="_Toc6957"/>
      <w:bookmarkStart w:id="522" w:name="_Toc14993"/>
      <w:bookmarkStart w:id="523" w:name="_Toc3654"/>
      <w:bookmarkStart w:id="524" w:name="_Toc18649"/>
      <w:bookmarkStart w:id="525" w:name="_Toc15526"/>
      <w:r>
        <w:rPr>
          <w:rFonts w:ascii="楷体" w:hAnsi="楷体" w:eastAsia="楷体"/>
          <w:b/>
          <w:sz w:val="24"/>
        </w:rPr>
        <w:t xml:space="preserve">1.4 </w:t>
      </w:r>
      <w:r>
        <w:rPr>
          <w:rFonts w:hint="eastAsia" w:ascii="楷体" w:hAnsi="楷体" w:eastAsia="楷体"/>
          <w:b/>
          <w:sz w:val="24"/>
        </w:rPr>
        <w:t>付款方式和发票开具方式</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FE7FABC">
      <w:pPr>
        <w:spacing w:line="560" w:lineRule="exact"/>
        <w:ind w:firstLine="480" w:firstLineChars="200"/>
        <w:rPr>
          <w:rFonts w:ascii="楷体" w:hAnsi="楷体" w:eastAsia="楷体"/>
          <w:sz w:val="24"/>
        </w:rPr>
      </w:pPr>
      <w:r>
        <w:rPr>
          <w:rFonts w:ascii="楷体" w:hAnsi="楷体" w:eastAsia="楷体"/>
          <w:sz w:val="24"/>
        </w:rPr>
        <w:t>1.4.1</w:t>
      </w:r>
      <w:r>
        <w:rPr>
          <w:rFonts w:hint="eastAsia" w:ascii="楷体" w:hAnsi="楷体" w:eastAsia="楷体"/>
          <w:sz w:val="24"/>
        </w:rPr>
        <w:t>付款方式：</w:t>
      </w:r>
      <w:r>
        <w:rPr>
          <w:rFonts w:ascii="楷体" w:hAnsi="楷体" w:eastAsia="楷体"/>
          <w:sz w:val="24"/>
          <w:u w:val="single"/>
        </w:rPr>
        <w:t xml:space="preserve">                                                </w:t>
      </w:r>
      <w:r>
        <w:rPr>
          <w:rFonts w:hint="eastAsia" w:ascii="楷体" w:hAnsi="楷体" w:eastAsia="楷体"/>
          <w:sz w:val="24"/>
        </w:rPr>
        <w:t>；</w:t>
      </w:r>
    </w:p>
    <w:p w14:paraId="7DE76D65">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ascii="楷体" w:hAnsi="楷体" w:eastAsia="楷体"/>
          <w:sz w:val="24"/>
          <w:u w:val="single"/>
        </w:rPr>
        <w:t xml:space="preserve">                                            </w:t>
      </w:r>
      <w:r>
        <w:rPr>
          <w:rFonts w:hint="eastAsia" w:ascii="楷体" w:hAnsi="楷体" w:eastAsia="楷体"/>
          <w:sz w:val="24"/>
        </w:rPr>
        <w:t>。</w:t>
      </w:r>
    </w:p>
    <w:p w14:paraId="329670F5">
      <w:pPr>
        <w:spacing w:line="560" w:lineRule="exact"/>
        <w:ind w:firstLine="482" w:firstLineChars="200"/>
        <w:outlineLvl w:val="0"/>
        <w:rPr>
          <w:rFonts w:ascii="楷体" w:hAnsi="楷体" w:eastAsia="楷体"/>
          <w:b/>
          <w:sz w:val="24"/>
        </w:rPr>
      </w:pPr>
      <w:bookmarkStart w:id="526" w:name="_Toc7520"/>
      <w:bookmarkStart w:id="527" w:name="_Toc22503"/>
      <w:bookmarkStart w:id="528" w:name="_Toc18095"/>
      <w:bookmarkStart w:id="529" w:name="_Toc3879"/>
      <w:bookmarkStart w:id="530" w:name="_Toc11108"/>
      <w:bookmarkStart w:id="531" w:name="_Toc4760"/>
      <w:bookmarkStart w:id="532" w:name="_Toc10307"/>
      <w:bookmarkStart w:id="533" w:name="_Toc3625"/>
      <w:bookmarkStart w:id="534" w:name="_Toc26346"/>
      <w:bookmarkStart w:id="535" w:name="_Toc22227"/>
      <w:bookmarkStart w:id="536" w:name="_Toc29323"/>
      <w:bookmarkStart w:id="537" w:name="_Toc8772"/>
      <w:bookmarkStart w:id="538" w:name="_Toc3871"/>
      <w:bookmarkStart w:id="539" w:name="_Toc31421"/>
      <w:bookmarkStart w:id="540" w:name="_Toc6546"/>
      <w:r>
        <w:rPr>
          <w:rFonts w:ascii="楷体" w:hAnsi="楷体" w:eastAsia="楷体"/>
          <w:b/>
          <w:sz w:val="24"/>
        </w:rPr>
        <w:t xml:space="preserve">1.5 </w:t>
      </w:r>
      <w:r>
        <w:rPr>
          <w:rFonts w:hint="eastAsia" w:ascii="楷体" w:hAnsi="楷体" w:eastAsia="楷体"/>
          <w:b/>
          <w:sz w:val="24"/>
        </w:rPr>
        <w:t>履行期限、地点和方式</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B45B775">
      <w:pPr>
        <w:spacing w:line="560" w:lineRule="exact"/>
        <w:ind w:firstLine="480" w:firstLineChars="200"/>
        <w:rPr>
          <w:rFonts w:ascii="楷体" w:hAnsi="楷体" w:eastAsia="楷体"/>
          <w:sz w:val="24"/>
          <w:u w:val="single"/>
        </w:rPr>
      </w:pPr>
      <w:r>
        <w:rPr>
          <w:rFonts w:ascii="楷体" w:hAnsi="楷体" w:eastAsia="楷体"/>
          <w:sz w:val="24"/>
        </w:rPr>
        <w:t xml:space="preserve">1.5.1 </w:t>
      </w:r>
      <w:r>
        <w:rPr>
          <w:rFonts w:hint="eastAsia" w:ascii="楷体" w:hAnsi="楷体" w:eastAsia="楷体"/>
          <w:sz w:val="24"/>
        </w:rPr>
        <w:t>履行期限：</w:t>
      </w:r>
      <w:r>
        <w:rPr>
          <w:rFonts w:ascii="楷体" w:hAnsi="楷体" w:eastAsia="楷体"/>
          <w:sz w:val="24"/>
          <w:u w:val="single"/>
        </w:rPr>
        <w:t xml:space="preserve">                                                </w:t>
      </w:r>
      <w:r>
        <w:rPr>
          <w:rFonts w:hint="eastAsia" w:ascii="楷体" w:hAnsi="楷体" w:eastAsia="楷体"/>
          <w:sz w:val="24"/>
        </w:rPr>
        <w:t>；</w:t>
      </w:r>
    </w:p>
    <w:p w14:paraId="50044F60">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履行地点：</w:t>
      </w:r>
      <w:r>
        <w:rPr>
          <w:rFonts w:ascii="楷体" w:hAnsi="楷体" w:eastAsia="楷体"/>
          <w:sz w:val="24"/>
          <w:u w:val="single"/>
        </w:rPr>
        <w:t xml:space="preserve">                                                </w:t>
      </w:r>
      <w:r>
        <w:rPr>
          <w:rFonts w:hint="eastAsia" w:ascii="楷体" w:hAnsi="楷体" w:eastAsia="楷体"/>
          <w:sz w:val="24"/>
        </w:rPr>
        <w:t>；</w:t>
      </w:r>
    </w:p>
    <w:p w14:paraId="6D06D7FE">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履行方式：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288CD499">
      <w:pPr>
        <w:spacing w:line="560" w:lineRule="exact"/>
        <w:ind w:firstLine="482" w:firstLineChars="200"/>
        <w:outlineLvl w:val="0"/>
        <w:rPr>
          <w:rFonts w:ascii="楷体" w:hAnsi="楷体" w:eastAsia="楷体"/>
          <w:sz w:val="24"/>
          <w:u w:val="single"/>
        </w:rPr>
      </w:pPr>
      <w:bookmarkStart w:id="541" w:name="_Toc7843"/>
      <w:bookmarkStart w:id="542" w:name="_Toc10482"/>
      <w:bookmarkStart w:id="543" w:name="_Toc6980"/>
      <w:bookmarkStart w:id="544" w:name="_Toc9199"/>
      <w:bookmarkStart w:id="545" w:name="_Toc24662"/>
      <w:bookmarkStart w:id="546" w:name="_Toc18434"/>
      <w:bookmarkStart w:id="547" w:name="_Toc8176"/>
      <w:bookmarkStart w:id="548" w:name="_Toc30788"/>
      <w:bookmarkStart w:id="549" w:name="_Toc11259"/>
      <w:bookmarkStart w:id="550" w:name="_Toc2375"/>
      <w:bookmarkStart w:id="551" w:name="_Toc5698"/>
      <w:bookmarkStart w:id="552" w:name="_Toc29075"/>
      <w:bookmarkStart w:id="553" w:name="_Toc8586"/>
      <w:bookmarkStart w:id="554" w:name="_Toc15847"/>
      <w:bookmarkStart w:id="555" w:name="_Toc3079"/>
      <w:r>
        <w:rPr>
          <w:rFonts w:ascii="楷体" w:hAnsi="楷体" w:eastAsia="楷体"/>
          <w:b/>
          <w:sz w:val="24"/>
        </w:rPr>
        <w:t xml:space="preserve">1.6 </w:t>
      </w:r>
      <w:r>
        <w:rPr>
          <w:rFonts w:hint="eastAsia" w:ascii="楷体" w:hAnsi="楷体" w:eastAsia="楷体"/>
          <w:b/>
          <w:sz w:val="24"/>
        </w:rPr>
        <w:t>违约责任</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43801131">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除不可抗力外，如果乙方没有按照本合同约定的期限、地点和方式履行，那么甲方可要求乙方支付违约金，违约金按每迟延履行一日的应提供而未提供服务价格的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；迟延履行的违约金计算数额达到前述最高限额之日起，甲方有权在要求乙方支付违约金的同时，书面通知乙方解除本合同；</w:t>
      </w:r>
    </w:p>
    <w:p w14:paraId="502C2C72">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14:paraId="617D85D7">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8CFFCE6">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0E67A9">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6C4765">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14:paraId="5AC59F98">
      <w:pPr>
        <w:spacing w:line="560" w:lineRule="exact"/>
        <w:ind w:firstLine="482" w:firstLineChars="200"/>
        <w:outlineLvl w:val="0"/>
        <w:rPr>
          <w:rFonts w:ascii="楷体" w:hAnsi="楷体" w:eastAsia="楷体"/>
          <w:b/>
          <w:sz w:val="24"/>
        </w:rPr>
      </w:pPr>
      <w:bookmarkStart w:id="556" w:name="_Toc9396"/>
      <w:bookmarkStart w:id="557" w:name="_Toc373"/>
      <w:bookmarkStart w:id="558" w:name="_Toc30329"/>
      <w:bookmarkStart w:id="559" w:name="_Toc2884"/>
      <w:bookmarkStart w:id="560" w:name="_Toc8750"/>
      <w:bookmarkStart w:id="561" w:name="_Toc5602"/>
      <w:bookmarkStart w:id="562" w:name="_Toc26807"/>
      <w:bookmarkStart w:id="563" w:name="_Toc7371"/>
      <w:bookmarkStart w:id="564" w:name="_Toc32454"/>
      <w:bookmarkStart w:id="565" w:name="_Toc28549"/>
      <w:bookmarkStart w:id="566" w:name="_Toc9685"/>
      <w:bookmarkStart w:id="567" w:name="_Toc18683"/>
      <w:bookmarkStart w:id="568" w:name="_Toc15148"/>
      <w:bookmarkStart w:id="569" w:name="_Toc9240"/>
      <w:bookmarkStart w:id="570" w:name="_Toc9497"/>
      <w:r>
        <w:rPr>
          <w:rFonts w:ascii="楷体" w:hAnsi="楷体" w:eastAsia="楷体"/>
          <w:b/>
          <w:sz w:val="24"/>
        </w:rPr>
        <w:t xml:space="preserve">1.7 </w:t>
      </w:r>
      <w:r>
        <w:rPr>
          <w:rFonts w:hint="eastAsia" w:ascii="楷体" w:hAnsi="楷体" w:eastAsia="楷体"/>
          <w:b/>
          <w:sz w:val="24"/>
        </w:rPr>
        <w:t>合同争议的解决</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164AB896">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14:paraId="742A2E73">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14:paraId="0A4B7267">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14:paraId="6E1535EA">
      <w:pPr>
        <w:spacing w:line="560" w:lineRule="exact"/>
        <w:ind w:firstLine="482" w:firstLineChars="200"/>
        <w:outlineLvl w:val="0"/>
        <w:rPr>
          <w:rFonts w:ascii="楷体" w:hAnsi="楷体" w:eastAsia="楷体"/>
          <w:b/>
          <w:sz w:val="24"/>
        </w:rPr>
      </w:pPr>
      <w:bookmarkStart w:id="571" w:name="_Toc12273"/>
      <w:bookmarkStart w:id="572" w:name="_Toc29852"/>
      <w:bookmarkStart w:id="573" w:name="_Toc10946"/>
      <w:bookmarkStart w:id="574" w:name="_Toc25782"/>
      <w:bookmarkStart w:id="575" w:name="_Toc23171"/>
      <w:bookmarkStart w:id="576" w:name="_Toc21438"/>
      <w:bookmarkStart w:id="577" w:name="_Toc14973"/>
      <w:bookmarkStart w:id="578" w:name="_Toc16669"/>
      <w:bookmarkStart w:id="579" w:name="_Toc23784"/>
      <w:bookmarkStart w:id="580" w:name="_Toc26227"/>
      <w:bookmarkStart w:id="581" w:name="_Toc16417"/>
      <w:bookmarkStart w:id="582" w:name="_Toc15827"/>
      <w:bookmarkStart w:id="583" w:name="_Toc25041"/>
      <w:bookmarkStart w:id="584" w:name="_Toc4093"/>
      <w:bookmarkStart w:id="585" w:name="_Toc25978"/>
      <w:r>
        <w:rPr>
          <w:rFonts w:ascii="楷体" w:hAnsi="楷体" w:eastAsia="楷体"/>
          <w:b/>
          <w:sz w:val="24"/>
        </w:rPr>
        <w:t xml:space="preserve">1.8 </w:t>
      </w:r>
      <w:r>
        <w:rPr>
          <w:rFonts w:hint="eastAsia" w:ascii="楷体" w:hAnsi="楷体" w:eastAsia="楷体"/>
          <w:b/>
          <w:sz w:val="24"/>
        </w:rPr>
        <w:t>合同生效</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6B6A0291">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14:paraId="024D9C2D">
      <w:pPr>
        <w:autoSpaceDE w:val="0"/>
        <w:autoSpaceDN w:val="0"/>
        <w:adjustRightInd w:val="0"/>
        <w:spacing w:line="560" w:lineRule="exact"/>
        <w:rPr>
          <w:rFonts w:ascii="楷体" w:hAnsi="楷体" w:eastAsia="楷体"/>
          <w:sz w:val="24"/>
          <w:lang w:val="zh-CN"/>
        </w:rPr>
      </w:pPr>
    </w:p>
    <w:p w14:paraId="696FC162">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14:paraId="046BDAAB">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14:paraId="50954EC2">
      <w:pPr>
        <w:autoSpaceDE w:val="0"/>
        <w:autoSpaceDN w:val="0"/>
        <w:adjustRightInd w:val="0"/>
        <w:spacing w:line="560" w:lineRule="exact"/>
        <w:rPr>
          <w:rFonts w:ascii="楷体" w:hAnsi="楷体" w:eastAsia="楷体"/>
          <w:sz w:val="24"/>
          <w:lang w:val="zh-CN"/>
        </w:rPr>
      </w:pPr>
    </w:p>
    <w:p w14:paraId="73A147C2">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14:paraId="56B223A3">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14:paraId="5DEFC95E">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14:paraId="2E83ACEF">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14:paraId="087C9754">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14:paraId="7517AC3F">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14:paraId="0B90A7F7">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14:paraId="09F54052">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14:paraId="5B1AF97D">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14:paraId="1DAA534C">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14:paraId="55D70A11">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14:paraId="66A3D9EE">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14:paraId="4CC2FD95">
      <w:pPr>
        <w:pStyle w:val="78"/>
        <w:spacing w:line="560" w:lineRule="exact"/>
        <w:ind w:firstLine="200"/>
        <w:jc w:val="center"/>
        <w:rPr>
          <w:rFonts w:ascii="楷体" w:hAnsi="楷体" w:eastAsia="楷体"/>
          <w:b/>
          <w:szCs w:val="24"/>
        </w:rPr>
      </w:pPr>
      <w:bookmarkStart w:id="586" w:name="_Toc331685783"/>
      <w:r>
        <w:rPr>
          <w:rFonts w:hint="eastAsia" w:ascii="楷体" w:hAnsi="楷体" w:eastAsia="楷体"/>
          <w:b/>
          <w:szCs w:val="24"/>
        </w:rPr>
        <w:br w:type="page"/>
      </w: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586"/>
    </w:p>
    <w:p w14:paraId="19CA2FA5">
      <w:pPr>
        <w:spacing w:line="560" w:lineRule="exact"/>
        <w:ind w:firstLine="482" w:firstLineChars="200"/>
        <w:outlineLvl w:val="0"/>
        <w:rPr>
          <w:rFonts w:ascii="楷体" w:hAnsi="楷体" w:eastAsia="楷体"/>
          <w:b/>
          <w:sz w:val="24"/>
        </w:rPr>
      </w:pPr>
      <w:bookmarkStart w:id="587" w:name="_Toc31297"/>
      <w:bookmarkStart w:id="588" w:name="_Toc14021"/>
      <w:bookmarkStart w:id="589" w:name="_Toc9775"/>
      <w:bookmarkStart w:id="590" w:name="_Toc259093669"/>
      <w:bookmarkStart w:id="591" w:name="_Ref467379195"/>
      <w:bookmarkStart w:id="592" w:name="_Toc17871"/>
      <w:bookmarkStart w:id="593" w:name="_Ref467378499"/>
      <w:bookmarkStart w:id="594" w:name="_Toc16524"/>
      <w:bookmarkStart w:id="595" w:name="_Toc288"/>
      <w:bookmarkStart w:id="596" w:name="_Ref467378463"/>
      <w:bookmarkStart w:id="597" w:name="_Toc279701240"/>
      <w:bookmarkStart w:id="598" w:name="_Toc9855"/>
      <w:bookmarkStart w:id="599" w:name="_Toc19680"/>
      <w:bookmarkStart w:id="600" w:name="_Ref467379214"/>
      <w:bookmarkStart w:id="601" w:name="_Ref467379094"/>
      <w:bookmarkStart w:id="602" w:name="_Ref467379205"/>
      <w:bookmarkStart w:id="603" w:name="_Toc487900349"/>
      <w:bookmarkStart w:id="604" w:name="_Ref467379109"/>
      <w:bookmarkStart w:id="605" w:name="_Ref467378404"/>
      <w:bookmarkStart w:id="606" w:name="_Toc24660"/>
      <w:bookmarkStart w:id="607" w:name="_Toc25079"/>
      <w:bookmarkStart w:id="608" w:name="_Toc30660"/>
      <w:bookmarkStart w:id="609" w:name="_Toc5228"/>
      <w:bookmarkStart w:id="610" w:name="_Ref467379101"/>
      <w:bookmarkStart w:id="611" w:name="_Toc10641"/>
      <w:bookmarkStart w:id="612" w:name="_Toc17963"/>
      <w:bookmarkStart w:id="613" w:name="_Ref467379225"/>
      <w:r>
        <w:rPr>
          <w:rFonts w:ascii="楷体" w:hAnsi="楷体" w:eastAsia="楷体"/>
          <w:b/>
          <w:sz w:val="24"/>
        </w:rPr>
        <w:t xml:space="preserve">2.1 </w:t>
      </w:r>
      <w:r>
        <w:rPr>
          <w:rFonts w:hint="eastAsia" w:ascii="楷体" w:hAnsi="楷体" w:eastAsia="楷体"/>
          <w:b/>
          <w:sz w:val="24"/>
        </w:rPr>
        <w:t>定义</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0FEF856B">
      <w:pPr>
        <w:spacing w:line="560" w:lineRule="exact"/>
        <w:ind w:firstLine="480" w:firstLineChars="200"/>
        <w:rPr>
          <w:rFonts w:ascii="楷体" w:hAnsi="楷体" w:eastAsia="楷体"/>
          <w:sz w:val="24"/>
        </w:rPr>
      </w:pPr>
      <w:r>
        <w:rPr>
          <w:rFonts w:hint="eastAsia" w:ascii="楷体" w:hAnsi="楷体" w:eastAsia="楷体"/>
          <w:sz w:val="24"/>
        </w:rPr>
        <w:t>本合同中的下列词语应按以下内容进行解释：</w:t>
      </w:r>
    </w:p>
    <w:p w14:paraId="7EE3AAD3">
      <w:pPr>
        <w:spacing w:line="560" w:lineRule="exact"/>
        <w:ind w:firstLine="480" w:firstLineChars="200"/>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14:paraId="24E06A44">
      <w:pPr>
        <w:spacing w:line="560" w:lineRule="exact"/>
        <w:ind w:firstLine="480" w:firstLineChars="200"/>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14:paraId="56560EED">
      <w:pPr>
        <w:spacing w:line="560" w:lineRule="exact"/>
        <w:ind w:firstLine="480" w:firstLineChars="200"/>
        <w:rPr>
          <w:rFonts w:ascii="楷体" w:hAnsi="楷体" w:eastAsia="楷体"/>
          <w:sz w:val="24"/>
        </w:rPr>
      </w:pPr>
      <w:r>
        <w:rPr>
          <w:rFonts w:ascii="楷体" w:hAnsi="楷体" w:eastAsia="楷体"/>
          <w:sz w:val="24"/>
        </w:rPr>
        <w:t xml:space="preserve">2.1.3 </w:t>
      </w:r>
      <w:r>
        <w:rPr>
          <w:rFonts w:hint="eastAsia" w:ascii="楷体" w:hAnsi="楷体" w:eastAsia="楷体"/>
          <w:sz w:val="24"/>
        </w:rPr>
        <w:t>“服务”系指中标供应商根据合同约定应向采购人履行的除货物和工程以外的其他政府采购对象，包括采购人自身需要的服务和向社会公众提供的公共服务。</w:t>
      </w:r>
    </w:p>
    <w:p w14:paraId="7C49FC26">
      <w:pPr>
        <w:spacing w:line="560" w:lineRule="exact"/>
        <w:ind w:firstLine="480" w:firstLineChars="200"/>
        <w:rPr>
          <w:rFonts w:ascii="楷体" w:hAnsi="楷体" w:eastAsia="楷体"/>
          <w:sz w:val="24"/>
        </w:rPr>
      </w:pPr>
      <w:bookmarkStart w:id="614"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614"/>
      <w:r>
        <w:rPr>
          <w:rFonts w:hint="eastAsia" w:ascii="楷体" w:hAnsi="楷体" w:eastAsia="楷体"/>
          <w:sz w:val="24"/>
        </w:rPr>
        <w:t>；采购人委托采购代理机构代表其与乙方签订合同的，采购人的授权委托书作为合同附件。</w:t>
      </w:r>
    </w:p>
    <w:p w14:paraId="067307C5">
      <w:pPr>
        <w:spacing w:line="560" w:lineRule="exact"/>
        <w:ind w:firstLine="480" w:firstLineChars="200"/>
        <w:rPr>
          <w:rFonts w:ascii="楷体" w:hAnsi="楷体" w:eastAsia="楷体"/>
          <w:sz w:val="24"/>
        </w:rPr>
      </w:pPr>
      <w:bookmarkStart w:id="615" w:name="_Ref467379400"/>
      <w:r>
        <w:rPr>
          <w:rFonts w:ascii="楷体" w:hAnsi="楷体" w:eastAsia="楷体"/>
          <w:sz w:val="24"/>
        </w:rPr>
        <w:t xml:space="preserve">2.1.5 </w:t>
      </w:r>
      <w:r>
        <w:rPr>
          <w:rFonts w:hint="eastAsia" w:ascii="楷体" w:hAnsi="楷体" w:eastAsia="楷体"/>
          <w:sz w:val="24"/>
        </w:rPr>
        <w:t>“乙方”系指根据合同约定提供服务的中标供应商</w:t>
      </w:r>
      <w:bookmarkEnd w:id="615"/>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71C3EE">
      <w:pPr>
        <w:spacing w:line="560" w:lineRule="exact"/>
        <w:ind w:firstLine="480" w:firstLineChars="200"/>
        <w:rPr>
          <w:rFonts w:ascii="楷体" w:hAnsi="楷体" w:eastAsia="楷体"/>
          <w:sz w:val="24"/>
        </w:rPr>
      </w:pPr>
      <w:bookmarkStart w:id="616" w:name="_Ref467379436"/>
      <w:r>
        <w:rPr>
          <w:rFonts w:ascii="楷体" w:hAnsi="楷体" w:eastAsia="楷体"/>
          <w:sz w:val="24"/>
        </w:rPr>
        <w:t xml:space="preserve">2.1.6 </w:t>
      </w:r>
      <w:r>
        <w:rPr>
          <w:rFonts w:hint="eastAsia" w:ascii="楷体" w:hAnsi="楷体" w:eastAsia="楷体"/>
          <w:sz w:val="24"/>
        </w:rPr>
        <w:t>“现场”系指合同约定提供服务的地点。</w:t>
      </w:r>
      <w:bookmarkEnd w:id="616"/>
    </w:p>
    <w:p w14:paraId="0985DDAE">
      <w:pPr>
        <w:spacing w:line="560" w:lineRule="exact"/>
        <w:ind w:firstLine="482" w:firstLineChars="200"/>
        <w:outlineLvl w:val="0"/>
        <w:rPr>
          <w:rFonts w:ascii="楷体" w:hAnsi="楷体" w:eastAsia="楷体"/>
          <w:b/>
          <w:sz w:val="24"/>
        </w:rPr>
      </w:pPr>
      <w:bookmarkStart w:id="617" w:name="_Toc279701241"/>
      <w:bookmarkStart w:id="618" w:name="_Toc23640"/>
      <w:bookmarkStart w:id="619" w:name="_Toc561"/>
      <w:bookmarkStart w:id="620" w:name="_Toc31402"/>
      <w:bookmarkStart w:id="621" w:name="_Toc29640"/>
      <w:bookmarkStart w:id="622" w:name="_Toc16202"/>
      <w:bookmarkStart w:id="623" w:name="_Toc10235"/>
      <w:bookmarkStart w:id="624" w:name="_Toc19539"/>
      <w:bookmarkStart w:id="625" w:name="_Toc22475"/>
      <w:bookmarkStart w:id="626" w:name="_Toc16513"/>
      <w:bookmarkStart w:id="627" w:name="_Toc1498"/>
      <w:bookmarkStart w:id="628" w:name="_Toc4530"/>
      <w:bookmarkStart w:id="629" w:name="_Toc487900350"/>
      <w:bookmarkStart w:id="630" w:name="_Toc16752"/>
      <w:bookmarkStart w:id="631" w:name="_Toc3769"/>
      <w:bookmarkStart w:id="632" w:name="_Toc31660"/>
      <w:bookmarkStart w:id="633" w:name="_Toc23289"/>
      <w:bookmarkStart w:id="634" w:name="_Toc259093670"/>
      <w:r>
        <w:rPr>
          <w:rFonts w:ascii="楷体" w:hAnsi="楷体" w:eastAsia="楷体"/>
          <w:b/>
          <w:sz w:val="24"/>
        </w:rPr>
        <w:t xml:space="preserve">2.2 </w:t>
      </w:r>
      <w:r>
        <w:rPr>
          <w:rFonts w:hint="eastAsia" w:ascii="楷体" w:hAnsi="楷体" w:eastAsia="楷体"/>
          <w:b/>
          <w:sz w:val="24"/>
        </w:rPr>
        <w:t>技术规范</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5D56303E">
      <w:pPr>
        <w:spacing w:line="560" w:lineRule="exact"/>
        <w:ind w:firstLine="480" w:firstLineChars="200"/>
        <w:rPr>
          <w:rFonts w:ascii="楷体" w:hAnsi="楷体" w:eastAsia="楷体"/>
          <w:sz w:val="24"/>
        </w:rPr>
      </w:pPr>
      <w:r>
        <w:rPr>
          <w:rFonts w:hint="eastAsia" w:ascii="楷体" w:hAnsi="楷体" w:eastAsia="楷体"/>
          <w:sz w:val="24"/>
        </w:rPr>
        <w:t>服务所应遵守的技术规范应与采购文件规定的技术规范和技术规范附件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14:paraId="73E9F198">
      <w:pPr>
        <w:spacing w:line="560" w:lineRule="exact"/>
        <w:ind w:firstLine="482" w:firstLineChars="200"/>
        <w:outlineLvl w:val="0"/>
        <w:rPr>
          <w:rFonts w:ascii="楷体" w:hAnsi="楷体" w:eastAsia="楷体"/>
          <w:b/>
          <w:sz w:val="24"/>
        </w:rPr>
      </w:pPr>
      <w:bookmarkStart w:id="635" w:name="_Toc1232"/>
      <w:bookmarkStart w:id="636" w:name="_Toc16629"/>
      <w:bookmarkStart w:id="637" w:name="_Toc9161"/>
      <w:bookmarkStart w:id="638" w:name="_Toc4359"/>
      <w:bookmarkStart w:id="639" w:name="_Toc13445"/>
      <w:bookmarkStart w:id="640" w:name="_Toc27248"/>
      <w:bookmarkStart w:id="641" w:name="_Toc259093671"/>
      <w:bookmarkStart w:id="642" w:name="_Toc11181"/>
      <w:bookmarkStart w:id="643" w:name="_Toc6895"/>
      <w:bookmarkStart w:id="644" w:name="_Toc4398"/>
      <w:bookmarkStart w:id="645" w:name="_Toc12412"/>
      <w:bookmarkStart w:id="646" w:name="_Toc4133"/>
      <w:bookmarkStart w:id="647" w:name="_Toc27945"/>
      <w:bookmarkStart w:id="648" w:name="_Toc279701242"/>
      <w:bookmarkStart w:id="649" w:name="_Toc14583"/>
      <w:bookmarkStart w:id="650" w:name="_Toc6359"/>
      <w:bookmarkStart w:id="651" w:name="_Toc487900351"/>
      <w:r>
        <w:rPr>
          <w:rFonts w:ascii="楷体" w:hAnsi="楷体" w:eastAsia="楷体"/>
          <w:b/>
          <w:sz w:val="24"/>
        </w:rPr>
        <w:t xml:space="preserve">2.3 </w:t>
      </w:r>
      <w:r>
        <w:rPr>
          <w:rFonts w:hint="eastAsia" w:ascii="楷体" w:hAnsi="楷体" w:eastAsia="楷体"/>
          <w:b/>
          <w:sz w:val="24"/>
        </w:rPr>
        <w:t>知识产权</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5A235B1C">
      <w:pPr>
        <w:spacing w:line="560" w:lineRule="exact"/>
        <w:ind w:firstLine="480" w:firstLineChars="200"/>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4BF717D4">
      <w:pPr>
        <w:spacing w:line="560" w:lineRule="exact"/>
        <w:ind w:firstLine="480" w:firstLineChars="200"/>
        <w:rPr>
          <w:rFonts w:ascii="楷体" w:hAnsi="楷体" w:eastAsia="楷体"/>
          <w:sz w:val="24"/>
        </w:rPr>
      </w:pPr>
      <w:r>
        <w:rPr>
          <w:rFonts w:ascii="楷体" w:hAnsi="楷体" w:eastAsia="楷体"/>
          <w:sz w:val="24"/>
        </w:rPr>
        <w:t xml:space="preserve">2.3.2 </w:t>
      </w:r>
      <w:r>
        <w:rPr>
          <w:rFonts w:hint="eastAsia" w:ascii="楷体" w:hAnsi="楷体" w:eastAsia="楷体"/>
          <w:sz w:val="24"/>
        </w:rPr>
        <w:t>合同涉及技术成果的归属和收益的分成办法的，详见</w:t>
      </w:r>
      <w:r>
        <w:rPr>
          <w:rFonts w:hint="eastAsia" w:ascii="楷体" w:hAnsi="楷体" w:eastAsia="楷体"/>
          <w:b/>
          <w:i/>
          <w:sz w:val="24"/>
          <w:u w:val="single"/>
        </w:rPr>
        <w:t>合同专用条款</w:t>
      </w:r>
      <w:r>
        <w:rPr>
          <w:rFonts w:hint="eastAsia" w:ascii="楷体" w:hAnsi="楷体" w:eastAsia="楷体"/>
          <w:sz w:val="24"/>
        </w:rPr>
        <w:t>。</w:t>
      </w:r>
    </w:p>
    <w:p w14:paraId="308542FF">
      <w:pPr>
        <w:spacing w:line="560" w:lineRule="exact"/>
        <w:ind w:firstLine="482" w:firstLineChars="200"/>
        <w:rPr>
          <w:rFonts w:ascii="楷体" w:hAnsi="楷体" w:eastAsia="楷体"/>
          <w:b/>
          <w:sz w:val="24"/>
        </w:rPr>
      </w:pPr>
      <w:r>
        <w:rPr>
          <w:rFonts w:ascii="楷体" w:hAnsi="楷体" w:eastAsia="楷体"/>
          <w:b/>
          <w:sz w:val="24"/>
        </w:rPr>
        <w:t xml:space="preserve">2.4 </w:t>
      </w:r>
      <w:r>
        <w:rPr>
          <w:rFonts w:hint="eastAsia" w:ascii="楷体" w:hAnsi="楷体" w:eastAsia="楷体"/>
          <w:b/>
          <w:sz w:val="24"/>
        </w:rPr>
        <w:t>履约检查和问题反馈</w:t>
      </w:r>
    </w:p>
    <w:p w14:paraId="075FD66B">
      <w:pPr>
        <w:spacing w:line="560" w:lineRule="exact"/>
        <w:ind w:firstLine="480" w:firstLineChars="200"/>
        <w:rPr>
          <w:rFonts w:ascii="楷体" w:hAnsi="楷体" w:eastAsia="楷体"/>
          <w:sz w:val="24"/>
        </w:rPr>
      </w:pPr>
      <w:bookmarkStart w:id="652" w:name="_Ref467379657"/>
      <w:r>
        <w:rPr>
          <w:rFonts w:ascii="楷体" w:hAnsi="楷体" w:eastAsia="楷体"/>
          <w:sz w:val="24"/>
        </w:rPr>
        <w:t>2.4.1</w:t>
      </w:r>
      <w:bookmarkEnd w:id="652"/>
      <w:bookmarkStart w:id="653" w:name="_Toc186431854"/>
      <w:bookmarkStart w:id="654" w:name="_Ref467379793"/>
      <w:bookmarkStart w:id="655" w:name="_Toc259093676"/>
      <w:bookmarkStart w:id="656" w:name="_Toc279701247"/>
      <w:bookmarkStart w:id="657" w:name="_Ref467379807"/>
      <w:bookmarkStart w:id="658" w:name="_Toc487900357"/>
      <w:r>
        <w:rPr>
          <w:rFonts w:hint="eastAsia" w:ascii="楷体" w:hAnsi="楷体" w:eastAsia="楷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2D003B3F">
      <w:pPr>
        <w:spacing w:line="560" w:lineRule="exact"/>
        <w:ind w:firstLine="480" w:firstLineChars="200"/>
        <w:rPr>
          <w:rFonts w:ascii="楷体" w:hAnsi="楷体" w:eastAsia="楷体"/>
          <w:sz w:val="24"/>
        </w:rPr>
      </w:pPr>
      <w:r>
        <w:rPr>
          <w:rFonts w:ascii="楷体" w:hAnsi="楷体" w:eastAsia="楷体"/>
          <w:sz w:val="24"/>
        </w:rPr>
        <w:t xml:space="preserve">2.4.2 </w:t>
      </w:r>
      <w:r>
        <w:rPr>
          <w:rFonts w:hint="eastAsia" w:ascii="楷体" w:hAnsi="楷体" w:eastAsia="楷体"/>
          <w:sz w:val="24"/>
        </w:rPr>
        <w:t>合同履行期间，甲方有权将履行过程中出现的问题反馈给乙方，双方当事人应以书面形式约定需要完善和改进的内容</w:t>
      </w:r>
      <w:bookmarkEnd w:id="653"/>
      <w:bookmarkStart w:id="659" w:name="_Toc186431855"/>
      <w:r>
        <w:rPr>
          <w:rFonts w:hint="eastAsia" w:ascii="楷体" w:hAnsi="楷体" w:eastAsia="楷体"/>
          <w:sz w:val="24"/>
        </w:rPr>
        <w:t>。</w:t>
      </w:r>
    </w:p>
    <w:bookmarkEnd w:id="659"/>
    <w:p w14:paraId="32B4DDC0">
      <w:pPr>
        <w:spacing w:line="560" w:lineRule="exact"/>
        <w:ind w:firstLine="482" w:firstLineChars="200"/>
        <w:outlineLvl w:val="0"/>
        <w:rPr>
          <w:rFonts w:ascii="楷体" w:hAnsi="楷体" w:eastAsia="楷体"/>
          <w:b/>
          <w:sz w:val="24"/>
        </w:rPr>
      </w:pPr>
      <w:bookmarkStart w:id="660" w:name="_Toc31233"/>
      <w:bookmarkStart w:id="661" w:name="_Toc26555"/>
      <w:bookmarkStart w:id="662" w:name="_Toc24756"/>
      <w:bookmarkStart w:id="663" w:name="_Toc11853"/>
      <w:bookmarkStart w:id="664" w:name="_Toc22011"/>
      <w:bookmarkStart w:id="665" w:name="_Toc26986"/>
      <w:bookmarkStart w:id="666" w:name="_Toc15447"/>
      <w:bookmarkStart w:id="667" w:name="_Toc2919"/>
      <w:bookmarkStart w:id="668" w:name="_Toc2180"/>
      <w:bookmarkStart w:id="669" w:name="_Toc16963"/>
      <w:bookmarkStart w:id="670" w:name="_Toc3645"/>
      <w:bookmarkStart w:id="671" w:name="_Toc28335"/>
      <w:bookmarkStart w:id="672" w:name="_Toc25232"/>
      <w:bookmarkStart w:id="673" w:name="_Toc18435"/>
      <w:r>
        <w:rPr>
          <w:rFonts w:ascii="楷体" w:hAnsi="楷体" w:eastAsia="楷体"/>
          <w:b/>
          <w:sz w:val="24"/>
        </w:rPr>
        <w:t xml:space="preserve">2.5 </w:t>
      </w:r>
      <w:r>
        <w:rPr>
          <w:rFonts w:hint="eastAsia" w:ascii="楷体" w:hAnsi="楷体" w:eastAsia="楷体"/>
          <w:b/>
          <w:sz w:val="24"/>
        </w:rPr>
        <w:t>结算方式和付款条件</w:t>
      </w:r>
      <w:bookmarkEnd w:id="654"/>
      <w:bookmarkEnd w:id="655"/>
      <w:bookmarkEnd w:id="656"/>
      <w:bookmarkEnd w:id="657"/>
      <w:bookmarkEnd w:id="658"/>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06B3961F">
      <w:pPr>
        <w:spacing w:line="560" w:lineRule="exact"/>
        <w:ind w:firstLine="480" w:firstLineChars="200"/>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14:paraId="74AE821B">
      <w:pPr>
        <w:spacing w:line="560" w:lineRule="exact"/>
        <w:ind w:firstLine="482" w:firstLineChars="200"/>
        <w:outlineLvl w:val="0"/>
        <w:rPr>
          <w:rFonts w:ascii="楷体" w:hAnsi="楷体" w:eastAsia="楷体"/>
          <w:b/>
          <w:sz w:val="24"/>
        </w:rPr>
      </w:pPr>
      <w:bookmarkStart w:id="674" w:name="_Toc487900358"/>
      <w:bookmarkStart w:id="675" w:name="_Toc279701248"/>
      <w:bookmarkStart w:id="676" w:name="_Toc259093677"/>
      <w:bookmarkStart w:id="677" w:name="_Ref467379852"/>
      <w:bookmarkStart w:id="678" w:name="_Ref467379923"/>
      <w:bookmarkStart w:id="679" w:name="_Ref467379863"/>
      <w:bookmarkStart w:id="680" w:name="_Toc21975"/>
      <w:bookmarkStart w:id="681" w:name="_Toc25094"/>
      <w:bookmarkStart w:id="682" w:name="_Toc13154"/>
      <w:bookmarkStart w:id="683" w:name="_Toc4544"/>
      <w:bookmarkStart w:id="684" w:name="_Toc12307"/>
      <w:bookmarkStart w:id="685" w:name="_Toc31386"/>
      <w:bookmarkStart w:id="686" w:name="_Toc18990"/>
      <w:bookmarkStart w:id="687" w:name="_Toc13467"/>
      <w:bookmarkStart w:id="688" w:name="_Toc11496"/>
      <w:bookmarkStart w:id="689" w:name="_Toc20010"/>
      <w:bookmarkStart w:id="690" w:name="_Toc16163"/>
      <w:bookmarkStart w:id="691" w:name="_Toc15056"/>
      <w:bookmarkStart w:id="692" w:name="_Toc17974"/>
      <w:bookmarkStart w:id="693" w:name="_Toc30507"/>
      <w:bookmarkStart w:id="694" w:name="_Toc12192"/>
      <w:r>
        <w:rPr>
          <w:rFonts w:ascii="楷体" w:hAnsi="楷体" w:eastAsia="楷体"/>
          <w:b/>
          <w:sz w:val="24"/>
        </w:rPr>
        <w:t xml:space="preserve">2.6 </w:t>
      </w:r>
      <w:r>
        <w:rPr>
          <w:rFonts w:hint="eastAsia" w:ascii="楷体" w:hAnsi="楷体" w:eastAsia="楷体"/>
          <w:b/>
          <w:sz w:val="24"/>
        </w:rPr>
        <w:t>技术资料</w:t>
      </w:r>
      <w:bookmarkEnd w:id="674"/>
      <w:bookmarkEnd w:id="675"/>
      <w:bookmarkEnd w:id="676"/>
      <w:bookmarkEnd w:id="677"/>
      <w:bookmarkEnd w:id="678"/>
      <w:bookmarkEnd w:id="679"/>
      <w:r>
        <w:rPr>
          <w:rFonts w:hint="eastAsia" w:ascii="楷体" w:hAnsi="楷体" w:eastAsia="楷体"/>
          <w:b/>
          <w:sz w:val="24"/>
        </w:rPr>
        <w:t>和保密义务</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16A34800">
      <w:pPr>
        <w:spacing w:line="560" w:lineRule="exact"/>
        <w:ind w:firstLine="480" w:firstLineChars="200"/>
        <w:rPr>
          <w:rFonts w:ascii="楷体" w:hAnsi="楷体" w:eastAsia="楷体"/>
          <w:sz w:val="24"/>
        </w:rPr>
      </w:pPr>
      <w:r>
        <w:rPr>
          <w:rFonts w:ascii="楷体" w:hAnsi="楷体" w:eastAsia="楷体"/>
          <w:sz w:val="24"/>
        </w:rPr>
        <w:t xml:space="preserve">2.6.1 </w:t>
      </w:r>
      <w:r>
        <w:rPr>
          <w:rFonts w:hint="eastAsia" w:ascii="楷体" w:hAnsi="楷体" w:eastAsia="楷体"/>
          <w:sz w:val="24"/>
        </w:rPr>
        <w:t>乙方有权依据合同约定和项目需要，向甲方了解有关情况，调阅有关资料等，甲方应予积极配合；</w:t>
      </w:r>
    </w:p>
    <w:p w14:paraId="6DE6263A">
      <w:pPr>
        <w:spacing w:line="560" w:lineRule="exact"/>
        <w:ind w:firstLine="480" w:firstLineChars="200"/>
        <w:rPr>
          <w:rFonts w:ascii="楷体" w:hAnsi="楷体" w:eastAsia="楷体"/>
          <w:sz w:val="24"/>
        </w:rPr>
      </w:pPr>
      <w:r>
        <w:rPr>
          <w:rFonts w:ascii="楷体" w:hAnsi="楷体" w:eastAsia="楷体"/>
          <w:sz w:val="24"/>
        </w:rPr>
        <w:t xml:space="preserve">2.6.2 </w:t>
      </w:r>
      <w:r>
        <w:rPr>
          <w:rFonts w:hint="eastAsia" w:ascii="楷体" w:hAnsi="楷体" w:eastAsia="楷体"/>
          <w:sz w:val="24"/>
        </w:rPr>
        <w:t>乙方有义务妥善保管和保护由甲方提供的前款信息和资料等；</w:t>
      </w:r>
    </w:p>
    <w:p w14:paraId="64DF5CA7">
      <w:pPr>
        <w:spacing w:line="560" w:lineRule="exact"/>
        <w:ind w:firstLine="480" w:firstLineChars="200"/>
        <w:rPr>
          <w:rFonts w:ascii="楷体" w:hAnsi="楷体" w:eastAsia="楷体"/>
          <w:sz w:val="24"/>
        </w:rPr>
      </w:pPr>
      <w:r>
        <w:rPr>
          <w:rFonts w:ascii="楷体" w:hAnsi="楷体" w:eastAsia="楷体"/>
          <w:sz w:val="24"/>
        </w:rPr>
        <w:t xml:space="preserve">2.6.3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6B5D9A">
      <w:pPr>
        <w:spacing w:line="560" w:lineRule="exact"/>
        <w:ind w:firstLine="482" w:firstLineChars="200"/>
        <w:outlineLvl w:val="0"/>
        <w:rPr>
          <w:rFonts w:ascii="楷体" w:hAnsi="楷体" w:eastAsia="楷体"/>
          <w:b/>
          <w:sz w:val="24"/>
        </w:rPr>
      </w:pPr>
      <w:bookmarkStart w:id="695" w:name="_Toc28880"/>
      <w:bookmarkStart w:id="696" w:name="_Toc25831"/>
      <w:bookmarkStart w:id="697" w:name="_Toc11260"/>
      <w:bookmarkStart w:id="698" w:name="_Toc19069"/>
      <w:bookmarkStart w:id="699" w:name="_Toc9824"/>
      <w:bookmarkStart w:id="700" w:name="_Toc10447"/>
      <w:bookmarkStart w:id="701" w:name="_Toc9582"/>
      <w:bookmarkStart w:id="702" w:name="_Toc11"/>
      <w:bookmarkStart w:id="703" w:name="_Toc25126"/>
      <w:bookmarkStart w:id="704" w:name="_Toc9459"/>
      <w:bookmarkStart w:id="705" w:name="_Toc24195"/>
      <w:bookmarkStart w:id="706" w:name="_Toc279701252"/>
      <w:bookmarkStart w:id="707" w:name="_Toc487900362"/>
      <w:bookmarkStart w:id="708" w:name="_Toc259093681"/>
      <w:r>
        <w:rPr>
          <w:rFonts w:ascii="楷体" w:hAnsi="楷体" w:eastAsia="楷体"/>
          <w:b/>
          <w:sz w:val="24"/>
        </w:rPr>
        <w:t xml:space="preserve">2.7 </w:t>
      </w:r>
      <w:r>
        <w:rPr>
          <w:rFonts w:hint="eastAsia" w:ascii="楷体" w:hAnsi="楷体" w:eastAsia="楷体"/>
          <w:b/>
          <w:sz w:val="24"/>
        </w:rPr>
        <w:t>质量保证</w:t>
      </w:r>
      <w:bookmarkEnd w:id="695"/>
      <w:bookmarkEnd w:id="696"/>
      <w:bookmarkEnd w:id="697"/>
      <w:bookmarkEnd w:id="698"/>
      <w:bookmarkEnd w:id="699"/>
      <w:bookmarkEnd w:id="700"/>
      <w:bookmarkEnd w:id="701"/>
      <w:bookmarkEnd w:id="702"/>
      <w:bookmarkEnd w:id="703"/>
      <w:bookmarkEnd w:id="704"/>
      <w:bookmarkEnd w:id="705"/>
    </w:p>
    <w:p w14:paraId="4060E727">
      <w:pPr>
        <w:spacing w:line="560" w:lineRule="exact"/>
        <w:ind w:firstLine="480" w:firstLineChars="200"/>
        <w:rPr>
          <w:rFonts w:ascii="楷体" w:hAnsi="楷体" w:eastAsia="楷体"/>
          <w:sz w:val="24"/>
        </w:rPr>
      </w:pPr>
      <w:r>
        <w:rPr>
          <w:rFonts w:ascii="楷体" w:hAnsi="楷体" w:eastAsia="楷体"/>
          <w:sz w:val="24"/>
        </w:rPr>
        <w:t xml:space="preserve">2.7.1 </w:t>
      </w:r>
      <w:r>
        <w:rPr>
          <w:rFonts w:hint="eastAsia" w:ascii="楷体" w:hAnsi="楷体" w:eastAsia="楷体"/>
          <w:sz w:val="24"/>
        </w:rPr>
        <w:t>乙方应建立和完善履行合同的内部质量保证体系，并提供相关内部规章制度给甲方，以便甲方进行监督检查；</w:t>
      </w:r>
    </w:p>
    <w:p w14:paraId="7773606D">
      <w:pPr>
        <w:spacing w:line="560" w:lineRule="exact"/>
        <w:ind w:firstLine="480" w:firstLineChars="200"/>
        <w:rPr>
          <w:rFonts w:ascii="楷体" w:hAnsi="楷体" w:eastAsia="楷体"/>
          <w:sz w:val="24"/>
        </w:rPr>
      </w:pPr>
      <w:r>
        <w:rPr>
          <w:rFonts w:ascii="楷体" w:hAnsi="楷体" w:eastAsia="楷体"/>
          <w:sz w:val="24"/>
        </w:rPr>
        <w:t xml:space="preserve">2.7.2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14:paraId="4AD640C6">
      <w:pPr>
        <w:spacing w:line="560" w:lineRule="exact"/>
        <w:ind w:firstLine="482" w:firstLineChars="200"/>
        <w:outlineLvl w:val="0"/>
        <w:rPr>
          <w:rFonts w:ascii="楷体" w:hAnsi="楷体" w:eastAsia="楷体"/>
          <w:b/>
          <w:sz w:val="24"/>
        </w:rPr>
      </w:pPr>
      <w:bookmarkStart w:id="709" w:name="_Toc20125"/>
      <w:bookmarkStart w:id="710" w:name="_Toc20357"/>
      <w:bookmarkStart w:id="711" w:name="_Toc18897"/>
      <w:bookmarkStart w:id="712" w:name="_Toc20761"/>
      <w:bookmarkStart w:id="713" w:name="_Toc29258"/>
      <w:bookmarkStart w:id="714" w:name="_Toc13137"/>
      <w:bookmarkStart w:id="715" w:name="_Toc31783"/>
      <w:bookmarkStart w:id="716" w:name="_Toc4742"/>
      <w:bookmarkStart w:id="717" w:name="_Toc22267"/>
      <w:bookmarkStart w:id="718" w:name="_Toc20285"/>
      <w:bookmarkStart w:id="719" w:name="_Toc29183"/>
      <w:r>
        <w:rPr>
          <w:rFonts w:ascii="楷体" w:hAnsi="楷体" w:eastAsia="楷体"/>
          <w:b/>
          <w:sz w:val="24"/>
        </w:rPr>
        <w:t xml:space="preserve">2.8 </w:t>
      </w:r>
      <w:r>
        <w:rPr>
          <w:rFonts w:hint="eastAsia" w:ascii="楷体" w:hAnsi="楷体" w:eastAsia="楷体"/>
          <w:b/>
          <w:sz w:val="24"/>
        </w:rPr>
        <w:t>延迟</w:t>
      </w:r>
      <w:bookmarkEnd w:id="706"/>
      <w:bookmarkEnd w:id="707"/>
      <w:bookmarkEnd w:id="708"/>
      <w:r>
        <w:rPr>
          <w:rFonts w:hint="eastAsia" w:ascii="楷体" w:hAnsi="楷体" w:eastAsia="楷体"/>
          <w:b/>
          <w:sz w:val="24"/>
        </w:rPr>
        <w:t>履行</w:t>
      </w:r>
      <w:bookmarkEnd w:id="709"/>
      <w:bookmarkEnd w:id="710"/>
      <w:bookmarkEnd w:id="711"/>
      <w:bookmarkEnd w:id="712"/>
      <w:bookmarkEnd w:id="713"/>
      <w:bookmarkEnd w:id="714"/>
      <w:bookmarkEnd w:id="715"/>
      <w:bookmarkEnd w:id="716"/>
      <w:bookmarkEnd w:id="717"/>
      <w:bookmarkEnd w:id="718"/>
      <w:bookmarkEnd w:id="719"/>
    </w:p>
    <w:p w14:paraId="077384E6">
      <w:pPr>
        <w:spacing w:line="560" w:lineRule="exact"/>
        <w:ind w:firstLine="480" w:firstLineChars="200"/>
        <w:rPr>
          <w:rFonts w:ascii="楷体" w:hAnsi="楷体" w:eastAsia="楷体"/>
          <w:sz w:val="24"/>
        </w:rPr>
      </w:pPr>
      <w:r>
        <w:rPr>
          <w:rFonts w:hint="eastAsia" w:ascii="楷体" w:hAnsi="楷体" w:eastAsia="楷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3557AA6">
      <w:pPr>
        <w:spacing w:line="560" w:lineRule="exact"/>
        <w:ind w:firstLine="482" w:firstLineChars="200"/>
        <w:outlineLvl w:val="0"/>
        <w:rPr>
          <w:rFonts w:ascii="楷体" w:hAnsi="楷体" w:eastAsia="楷体"/>
          <w:b/>
          <w:sz w:val="24"/>
        </w:rPr>
      </w:pPr>
      <w:bookmarkStart w:id="720" w:name="_Toc1827"/>
      <w:bookmarkStart w:id="721" w:name="_Toc24803"/>
      <w:bookmarkStart w:id="722" w:name="_Toc15190"/>
      <w:bookmarkStart w:id="723" w:name="_Toc10611"/>
      <w:bookmarkStart w:id="724" w:name="_Toc1138"/>
      <w:bookmarkStart w:id="725" w:name="_Toc21832"/>
      <w:bookmarkStart w:id="726" w:name="_Toc20156"/>
      <w:bookmarkStart w:id="727" w:name="_Toc5747"/>
      <w:bookmarkStart w:id="728" w:name="_Toc12085"/>
      <w:bookmarkStart w:id="729" w:name="_Toc19043"/>
      <w:bookmarkStart w:id="730" w:name="_Toc11427"/>
      <w:bookmarkStart w:id="731" w:name="_Toc279701254"/>
      <w:bookmarkStart w:id="732" w:name="_Toc487900364"/>
      <w:bookmarkStart w:id="733" w:name="_Toc259093683"/>
      <w:bookmarkStart w:id="734" w:name="_Ref467378121"/>
      <w:r>
        <w:rPr>
          <w:rFonts w:ascii="楷体" w:hAnsi="楷体" w:eastAsia="楷体"/>
          <w:b/>
          <w:sz w:val="24"/>
        </w:rPr>
        <w:t xml:space="preserve">2.9 </w:t>
      </w:r>
      <w:r>
        <w:rPr>
          <w:rFonts w:hint="eastAsia" w:ascii="楷体" w:hAnsi="楷体" w:eastAsia="楷体"/>
          <w:b/>
          <w:sz w:val="24"/>
        </w:rPr>
        <w:t>合同变更</w:t>
      </w:r>
      <w:bookmarkEnd w:id="720"/>
      <w:bookmarkEnd w:id="721"/>
      <w:bookmarkEnd w:id="722"/>
      <w:bookmarkEnd w:id="723"/>
      <w:bookmarkEnd w:id="724"/>
      <w:bookmarkEnd w:id="725"/>
      <w:bookmarkEnd w:id="726"/>
      <w:bookmarkEnd w:id="727"/>
      <w:bookmarkEnd w:id="728"/>
      <w:bookmarkEnd w:id="729"/>
      <w:bookmarkEnd w:id="730"/>
    </w:p>
    <w:p w14:paraId="2917808F">
      <w:pPr>
        <w:spacing w:line="560" w:lineRule="exact"/>
        <w:ind w:firstLine="480" w:firstLineChars="200"/>
        <w:rPr>
          <w:rFonts w:ascii="楷体" w:hAnsi="楷体" w:eastAsia="楷体"/>
          <w:sz w:val="24"/>
        </w:rPr>
      </w:pPr>
      <w:r>
        <w:rPr>
          <w:rFonts w:ascii="楷体" w:hAnsi="楷体" w:eastAsia="楷体"/>
          <w:sz w:val="24"/>
        </w:rPr>
        <w:t xml:space="preserve">2.9.1 </w:t>
      </w:r>
      <w:r>
        <w:rPr>
          <w:rFonts w:hint="eastAsia" w:ascii="楷体" w:hAnsi="楷体" w:eastAsia="楷体"/>
          <w:sz w:val="24"/>
        </w:rPr>
        <w:t>双方当事人协商一致，可以签订书面补充合同的形式变更合同，但不得违背采购文件确定的事项，且如果系追加与合同标的相同的服务的，那么所有补充合同的采购金额不得超过原合同价的</w:t>
      </w:r>
      <w:r>
        <w:rPr>
          <w:rFonts w:ascii="楷体" w:hAnsi="楷体" w:eastAsia="楷体"/>
          <w:sz w:val="24"/>
        </w:rPr>
        <w:t>10%</w:t>
      </w:r>
      <w:r>
        <w:rPr>
          <w:rFonts w:hint="eastAsia" w:ascii="楷体" w:hAnsi="楷体" w:eastAsia="楷体"/>
          <w:sz w:val="24"/>
        </w:rPr>
        <w:t>；</w:t>
      </w:r>
    </w:p>
    <w:p w14:paraId="141818EA">
      <w:pPr>
        <w:spacing w:line="560" w:lineRule="exact"/>
        <w:ind w:firstLine="480" w:firstLineChars="200"/>
        <w:rPr>
          <w:rFonts w:ascii="楷体" w:hAnsi="楷体" w:eastAsia="楷体"/>
          <w:sz w:val="24"/>
        </w:rPr>
      </w:pPr>
      <w:r>
        <w:rPr>
          <w:rFonts w:ascii="楷体" w:hAnsi="楷体" w:eastAsia="楷体"/>
          <w:sz w:val="24"/>
        </w:rPr>
        <w:t xml:space="preserve">2.9.2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735" w:name="_Toc259093688"/>
      <w:bookmarkStart w:id="736" w:name="_Toc487900369"/>
      <w:bookmarkStart w:id="737" w:name="_Toc279701259"/>
    </w:p>
    <w:p w14:paraId="51137DD6">
      <w:pPr>
        <w:spacing w:line="560" w:lineRule="exact"/>
        <w:ind w:firstLine="482" w:firstLineChars="200"/>
        <w:outlineLvl w:val="0"/>
        <w:rPr>
          <w:rFonts w:ascii="楷体" w:hAnsi="楷体" w:eastAsia="楷体"/>
          <w:b/>
          <w:sz w:val="24"/>
        </w:rPr>
      </w:pPr>
      <w:bookmarkStart w:id="738" w:name="_Toc29484"/>
      <w:bookmarkStart w:id="739" w:name="_Toc42"/>
      <w:bookmarkStart w:id="740" w:name="_Toc32085"/>
      <w:bookmarkStart w:id="741" w:name="_Toc16201"/>
      <w:bookmarkStart w:id="742" w:name="_Toc27372"/>
      <w:bookmarkStart w:id="743" w:name="_Toc21830"/>
      <w:bookmarkStart w:id="744" w:name="_Toc21213"/>
      <w:bookmarkStart w:id="745" w:name="_Toc10880"/>
      <w:bookmarkStart w:id="746" w:name="_Toc10663"/>
      <w:bookmarkStart w:id="747" w:name="_Toc26689"/>
      <w:bookmarkStart w:id="748" w:name="_Toc9277"/>
      <w:bookmarkStart w:id="749" w:name="_Toc8943"/>
      <w:bookmarkStart w:id="750" w:name="_Toc23368"/>
      <w:bookmarkStart w:id="751" w:name="_Toc3647"/>
      <w:bookmarkStart w:id="752" w:name="_Toc26787"/>
      <w:r>
        <w:rPr>
          <w:rFonts w:ascii="楷体" w:hAnsi="楷体" w:eastAsia="楷体"/>
          <w:b/>
          <w:sz w:val="24"/>
        </w:rPr>
        <w:t xml:space="preserve">2.10 </w:t>
      </w:r>
      <w:r>
        <w:rPr>
          <w:rFonts w:hint="eastAsia" w:ascii="楷体" w:hAnsi="楷体" w:eastAsia="楷体"/>
          <w:b/>
          <w:sz w:val="24"/>
        </w:rPr>
        <w:t>合同转让</w:t>
      </w:r>
      <w:bookmarkEnd w:id="735"/>
      <w:bookmarkEnd w:id="736"/>
      <w:bookmarkEnd w:id="737"/>
      <w:r>
        <w:rPr>
          <w:rFonts w:hint="eastAsia" w:ascii="楷体" w:hAnsi="楷体" w:eastAsia="楷体"/>
          <w:b/>
          <w:sz w:val="24"/>
        </w:rPr>
        <w:t>和分包</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646A4B50">
      <w:pPr>
        <w:spacing w:line="560" w:lineRule="exact"/>
        <w:ind w:firstLine="480" w:firstLineChars="200"/>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56DBA98">
      <w:pPr>
        <w:spacing w:line="560" w:lineRule="exact"/>
        <w:ind w:firstLine="482" w:firstLineChars="200"/>
        <w:outlineLvl w:val="0"/>
        <w:rPr>
          <w:rFonts w:ascii="楷体" w:hAnsi="楷体" w:eastAsia="楷体"/>
          <w:b/>
          <w:sz w:val="24"/>
        </w:rPr>
      </w:pPr>
      <w:bookmarkStart w:id="753" w:name="_Toc25037"/>
      <w:bookmarkStart w:id="754" w:name="_Toc25571"/>
      <w:bookmarkStart w:id="755" w:name="_Toc27091"/>
      <w:bookmarkStart w:id="756" w:name="_Toc8409"/>
      <w:bookmarkStart w:id="757" w:name="_Toc31489"/>
      <w:bookmarkStart w:id="758" w:name="_Toc32494"/>
      <w:bookmarkStart w:id="759" w:name="_Toc8463"/>
      <w:bookmarkStart w:id="760" w:name="_Toc14371"/>
      <w:bookmarkStart w:id="761" w:name="_Toc26633"/>
      <w:bookmarkStart w:id="762" w:name="_Toc4720"/>
      <w:bookmarkStart w:id="763" w:name="_Toc2182"/>
      <w:bookmarkStart w:id="764" w:name="_Toc14293"/>
      <w:bookmarkStart w:id="765" w:name="_Toc27395"/>
      <w:bookmarkStart w:id="766" w:name="_Toc30739"/>
      <w:r>
        <w:rPr>
          <w:rFonts w:ascii="楷体" w:hAnsi="楷体" w:eastAsia="楷体"/>
          <w:b/>
          <w:sz w:val="24"/>
        </w:rPr>
        <w:t xml:space="preserve">2.11 </w:t>
      </w:r>
      <w:r>
        <w:rPr>
          <w:rFonts w:hint="eastAsia" w:ascii="楷体" w:hAnsi="楷体" w:eastAsia="楷体"/>
          <w:b/>
          <w:sz w:val="24"/>
        </w:rPr>
        <w:t>不可抗力</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4A05574E">
      <w:pPr>
        <w:spacing w:line="560" w:lineRule="exact"/>
        <w:ind w:firstLine="480" w:firstLineChars="200"/>
        <w:rPr>
          <w:rFonts w:ascii="楷体" w:hAnsi="楷体" w:eastAsia="楷体"/>
          <w:sz w:val="24"/>
        </w:rPr>
      </w:pPr>
      <w:r>
        <w:rPr>
          <w:rFonts w:ascii="楷体" w:hAnsi="楷体" w:eastAsia="楷体"/>
          <w:sz w:val="24"/>
        </w:rPr>
        <w:t>2.11.1</w:t>
      </w:r>
      <w:r>
        <w:rPr>
          <w:rFonts w:hint="eastAsia" w:ascii="楷体" w:hAnsi="楷体" w:eastAsia="楷体"/>
          <w:sz w:val="24"/>
        </w:rPr>
        <w:t>如果任何一方遭遇法律规定的不可抗力，致使合同履行受阻时，履行合同的期限应予延长，延长的期限应相当于不可抗力所影响的时间；</w:t>
      </w:r>
    </w:p>
    <w:p w14:paraId="7C2DEA6C">
      <w:pPr>
        <w:spacing w:line="560" w:lineRule="exact"/>
        <w:ind w:firstLine="480" w:firstLineChars="200"/>
        <w:rPr>
          <w:rFonts w:ascii="楷体" w:hAnsi="楷体" w:eastAsia="楷体"/>
          <w:sz w:val="24"/>
        </w:rPr>
      </w:pPr>
      <w:r>
        <w:rPr>
          <w:rFonts w:ascii="楷体" w:hAnsi="楷体" w:eastAsia="楷体"/>
          <w:sz w:val="24"/>
        </w:rPr>
        <w:t xml:space="preserve">2.11.2 </w:t>
      </w:r>
      <w:r>
        <w:rPr>
          <w:rFonts w:hint="eastAsia" w:ascii="楷体" w:hAnsi="楷体" w:eastAsia="楷体"/>
          <w:sz w:val="24"/>
        </w:rPr>
        <w:t>因不可抗力致使不能实现合同目的的，当事人可以解除合同；</w:t>
      </w:r>
    </w:p>
    <w:p w14:paraId="788F50C0">
      <w:pPr>
        <w:spacing w:line="560" w:lineRule="exact"/>
        <w:ind w:firstLine="480" w:firstLineChars="200"/>
        <w:rPr>
          <w:rFonts w:ascii="楷体" w:hAnsi="楷体" w:eastAsia="楷体"/>
          <w:sz w:val="24"/>
        </w:rPr>
      </w:pPr>
      <w:r>
        <w:rPr>
          <w:rFonts w:ascii="楷体" w:hAnsi="楷体" w:eastAsia="楷体"/>
          <w:sz w:val="24"/>
        </w:rPr>
        <w:t xml:space="preserve">2.11.3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14:paraId="21B735C8">
      <w:pPr>
        <w:spacing w:line="560" w:lineRule="exact"/>
        <w:ind w:firstLine="480" w:firstLineChars="200"/>
        <w:rPr>
          <w:rFonts w:ascii="楷体" w:hAnsi="楷体" w:eastAsia="楷体"/>
          <w:sz w:val="24"/>
        </w:rPr>
      </w:pPr>
      <w:r>
        <w:rPr>
          <w:rFonts w:ascii="楷体" w:hAnsi="楷体" w:eastAsia="楷体"/>
          <w:sz w:val="24"/>
        </w:rPr>
        <w:t>2.11.4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14:paraId="5C6E6A2F">
      <w:pPr>
        <w:spacing w:line="560" w:lineRule="exact"/>
        <w:ind w:firstLine="482" w:firstLineChars="200"/>
        <w:outlineLvl w:val="0"/>
        <w:rPr>
          <w:rFonts w:ascii="楷体" w:hAnsi="楷体" w:eastAsia="楷体"/>
          <w:b/>
          <w:sz w:val="24"/>
        </w:rPr>
      </w:pPr>
      <w:bookmarkStart w:id="767" w:name="_Toc29532"/>
      <w:bookmarkStart w:id="768" w:name="_Toc2201"/>
      <w:bookmarkStart w:id="769" w:name="_Toc28245"/>
      <w:bookmarkStart w:id="770" w:name="_Toc14435"/>
      <w:bookmarkStart w:id="771" w:name="_Toc3638"/>
      <w:bookmarkStart w:id="772" w:name="_Toc487900365"/>
      <w:bookmarkStart w:id="773" w:name="_Toc279701255"/>
      <w:bookmarkStart w:id="774" w:name="_Toc619"/>
      <w:bookmarkStart w:id="775" w:name="_Toc259093684"/>
      <w:bookmarkStart w:id="776" w:name="_Toc14115"/>
      <w:bookmarkStart w:id="777" w:name="_Toc5469"/>
      <w:bookmarkStart w:id="778" w:name="_Toc29095"/>
      <w:bookmarkStart w:id="779" w:name="_Toc31319"/>
      <w:bookmarkStart w:id="780" w:name="_Toc24465"/>
      <w:bookmarkStart w:id="781" w:name="_Toc23854"/>
      <w:bookmarkStart w:id="782" w:name="_Toc24175"/>
      <w:bookmarkStart w:id="783" w:name="_Toc3433"/>
      <w:bookmarkStart w:id="784" w:name="_Toc25783"/>
      <w:r>
        <w:rPr>
          <w:rFonts w:ascii="楷体" w:hAnsi="楷体" w:eastAsia="楷体"/>
          <w:b/>
          <w:sz w:val="24"/>
        </w:rPr>
        <w:t xml:space="preserve">2.12 </w:t>
      </w:r>
      <w:r>
        <w:rPr>
          <w:rFonts w:hint="eastAsia" w:ascii="楷体" w:hAnsi="楷体" w:eastAsia="楷体"/>
          <w:b/>
          <w:sz w:val="24"/>
        </w:rPr>
        <w:t>税费</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02C539B7">
      <w:pPr>
        <w:spacing w:line="560" w:lineRule="exact"/>
        <w:ind w:firstLine="480" w:firstLineChars="200"/>
        <w:rPr>
          <w:rFonts w:ascii="楷体" w:hAnsi="楷体" w:eastAsia="楷体"/>
          <w:sz w:val="24"/>
        </w:rPr>
      </w:pPr>
      <w:r>
        <w:rPr>
          <w:rFonts w:hint="eastAsia" w:ascii="楷体" w:hAnsi="楷体" w:eastAsia="楷体"/>
          <w:sz w:val="24"/>
        </w:rPr>
        <w:t>与合同有关的一切税费，均按照中华人民共和国法律的相关规定缴纳。</w:t>
      </w:r>
    </w:p>
    <w:p w14:paraId="641EBA7B">
      <w:pPr>
        <w:spacing w:line="560" w:lineRule="exact"/>
        <w:ind w:firstLine="482" w:firstLineChars="200"/>
        <w:outlineLvl w:val="0"/>
        <w:rPr>
          <w:rFonts w:ascii="楷体" w:hAnsi="楷体" w:eastAsia="楷体"/>
          <w:b/>
          <w:sz w:val="24"/>
        </w:rPr>
      </w:pPr>
      <w:bookmarkStart w:id="785" w:name="_Toc279701258"/>
      <w:bookmarkStart w:id="786" w:name="_Toc9431"/>
      <w:bookmarkStart w:id="787" w:name="_Toc8559"/>
      <w:bookmarkStart w:id="788" w:name="_Toc11653"/>
      <w:bookmarkStart w:id="789" w:name="_Toc25525"/>
      <w:bookmarkStart w:id="790" w:name="_Toc487900368"/>
      <w:bookmarkStart w:id="791" w:name="_Toc26883"/>
      <w:bookmarkStart w:id="792" w:name="_Toc18305"/>
      <w:bookmarkStart w:id="793" w:name="_Toc14814"/>
      <w:bookmarkStart w:id="794" w:name="_Toc103"/>
      <w:bookmarkStart w:id="795" w:name="_Toc11230"/>
      <w:bookmarkStart w:id="796" w:name="_Toc3085"/>
      <w:bookmarkStart w:id="797" w:name="_Toc7315"/>
      <w:bookmarkStart w:id="798" w:name="_Toc259093687"/>
      <w:bookmarkStart w:id="799" w:name="_Toc29829"/>
      <w:bookmarkStart w:id="800" w:name="_Toc27546"/>
      <w:r>
        <w:rPr>
          <w:rFonts w:ascii="楷体" w:hAnsi="楷体" w:eastAsia="楷体"/>
          <w:b/>
          <w:sz w:val="24"/>
        </w:rPr>
        <w:t xml:space="preserve">2.13 </w:t>
      </w:r>
      <w:r>
        <w:rPr>
          <w:rFonts w:hint="eastAsia" w:ascii="楷体" w:hAnsi="楷体" w:eastAsia="楷体"/>
          <w:b/>
          <w:sz w:val="24"/>
        </w:rPr>
        <w:t>乙方破产</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4B01A08B">
      <w:pPr>
        <w:spacing w:line="560" w:lineRule="exact"/>
        <w:ind w:firstLine="480" w:firstLineChars="200"/>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35A216">
      <w:pPr>
        <w:spacing w:line="560" w:lineRule="exact"/>
        <w:ind w:firstLine="482" w:firstLineChars="200"/>
        <w:outlineLvl w:val="0"/>
        <w:rPr>
          <w:rFonts w:ascii="楷体" w:hAnsi="楷体" w:eastAsia="楷体"/>
          <w:b/>
          <w:sz w:val="24"/>
        </w:rPr>
      </w:pPr>
      <w:bookmarkStart w:id="801" w:name="_Toc16846"/>
      <w:bookmarkStart w:id="802" w:name="_Toc18371"/>
      <w:bookmarkStart w:id="803" w:name="_Toc3661"/>
      <w:bookmarkStart w:id="804" w:name="_Toc4970"/>
      <w:bookmarkStart w:id="805" w:name="_Toc10847"/>
      <w:bookmarkStart w:id="806" w:name="_Toc15854"/>
      <w:bookmarkStart w:id="807" w:name="_Toc32056"/>
      <w:bookmarkStart w:id="808" w:name="_Toc2016"/>
      <w:bookmarkStart w:id="809" w:name="_Toc14944"/>
      <w:bookmarkStart w:id="810" w:name="_Toc1123"/>
      <w:bookmarkStart w:id="811" w:name="_Toc12165"/>
      <w:bookmarkStart w:id="812" w:name="_Toc1662"/>
      <w:bookmarkStart w:id="813" w:name="_Toc23323"/>
      <w:r>
        <w:rPr>
          <w:rFonts w:ascii="楷体" w:hAnsi="楷体" w:eastAsia="楷体"/>
          <w:b/>
          <w:sz w:val="24"/>
        </w:rPr>
        <w:t xml:space="preserve">2.14 </w:t>
      </w:r>
      <w:r>
        <w:rPr>
          <w:rFonts w:hint="eastAsia" w:ascii="楷体" w:hAnsi="楷体" w:eastAsia="楷体"/>
          <w:b/>
          <w:sz w:val="24"/>
        </w:rPr>
        <w:t>合同中止、终止</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5B5468B7">
      <w:pPr>
        <w:spacing w:line="560" w:lineRule="exact"/>
        <w:ind w:firstLine="480" w:firstLineChars="200"/>
        <w:rPr>
          <w:rFonts w:ascii="楷体" w:hAnsi="楷体" w:eastAsia="楷体"/>
          <w:sz w:val="24"/>
        </w:rPr>
      </w:pPr>
      <w:r>
        <w:rPr>
          <w:rFonts w:ascii="楷体" w:hAnsi="楷体" w:eastAsia="楷体"/>
          <w:sz w:val="24"/>
        </w:rPr>
        <w:t xml:space="preserve">2.14.1 </w:t>
      </w:r>
      <w:r>
        <w:rPr>
          <w:rFonts w:hint="eastAsia" w:ascii="楷体" w:hAnsi="楷体" w:eastAsia="楷体"/>
          <w:sz w:val="24"/>
        </w:rPr>
        <w:t>双方当事人不得擅自中止或者终止合同；</w:t>
      </w:r>
    </w:p>
    <w:p w14:paraId="7623132B">
      <w:pPr>
        <w:spacing w:line="560" w:lineRule="exact"/>
        <w:ind w:firstLine="480" w:firstLineChars="200"/>
        <w:rPr>
          <w:rFonts w:ascii="楷体" w:hAnsi="楷体" w:eastAsia="楷体"/>
          <w:sz w:val="24"/>
        </w:rPr>
      </w:pPr>
      <w:r>
        <w:rPr>
          <w:rFonts w:ascii="楷体" w:hAnsi="楷体" w:eastAsia="楷体"/>
          <w:sz w:val="24"/>
        </w:rPr>
        <w:t>2.14.2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14:paraId="3B310122">
      <w:pPr>
        <w:spacing w:line="560" w:lineRule="exact"/>
        <w:ind w:firstLine="482" w:firstLineChars="200"/>
        <w:outlineLvl w:val="0"/>
        <w:rPr>
          <w:rFonts w:ascii="楷体" w:hAnsi="楷体" w:eastAsia="楷体"/>
          <w:b/>
          <w:sz w:val="24"/>
        </w:rPr>
      </w:pPr>
      <w:bookmarkStart w:id="814" w:name="_Toc14525"/>
      <w:bookmarkStart w:id="815" w:name="_Toc5510"/>
      <w:bookmarkStart w:id="816" w:name="_Toc19995"/>
      <w:bookmarkStart w:id="817" w:name="_Toc17363"/>
      <w:bookmarkStart w:id="818" w:name="_Toc28142"/>
      <w:bookmarkStart w:id="819" w:name="_Toc11454"/>
      <w:bookmarkStart w:id="820" w:name="_Toc11480"/>
      <w:bookmarkStart w:id="821" w:name="_Toc9329"/>
      <w:bookmarkStart w:id="822" w:name="_Toc16267"/>
      <w:bookmarkStart w:id="823" w:name="_Toc1969"/>
      <w:bookmarkStart w:id="824" w:name="_Toc8537"/>
      <w:bookmarkStart w:id="825" w:name="_Toc29689"/>
      <w:bookmarkStart w:id="826" w:name="_Toc28098"/>
      <w:r>
        <w:rPr>
          <w:rFonts w:ascii="楷体" w:hAnsi="楷体" w:eastAsia="楷体"/>
          <w:b/>
          <w:sz w:val="24"/>
        </w:rPr>
        <w:t xml:space="preserve">2.15 </w:t>
      </w:r>
      <w:r>
        <w:rPr>
          <w:rFonts w:hint="eastAsia" w:ascii="楷体" w:hAnsi="楷体" w:eastAsia="楷体"/>
          <w:b/>
          <w:sz w:val="24"/>
        </w:rPr>
        <w:t>检验和验收</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5EB85A54">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2.15.1 </w:t>
      </w:r>
      <w:r>
        <w:rPr>
          <w:rFonts w:hint="eastAsia" w:ascii="楷体" w:hAnsi="楷体" w:eastAsia="楷体"/>
          <w:sz w:val="24"/>
        </w:rPr>
        <w:t>乙方按照</w:t>
      </w:r>
      <w:r>
        <w:rPr>
          <w:rFonts w:hint="eastAsia" w:ascii="楷体" w:hAnsi="楷体" w:eastAsia="楷体"/>
          <w:b/>
          <w:i/>
          <w:sz w:val="24"/>
          <w:u w:val="single"/>
        </w:rPr>
        <w:t>合同专用条款</w:t>
      </w:r>
      <w:r>
        <w:rPr>
          <w:rFonts w:hint="eastAsia" w:ascii="楷体" w:hAnsi="楷体" w:eastAsia="楷体"/>
          <w:sz w:val="24"/>
        </w:rPr>
        <w:t>的约定，定期提交服务报告，甲方按照</w:t>
      </w:r>
      <w:r>
        <w:rPr>
          <w:rFonts w:hint="eastAsia" w:ascii="楷体" w:hAnsi="楷体" w:eastAsia="楷体"/>
          <w:b/>
          <w:i/>
          <w:sz w:val="24"/>
          <w:u w:val="single"/>
        </w:rPr>
        <w:t>合同专用条款</w:t>
      </w:r>
      <w:r>
        <w:rPr>
          <w:rFonts w:hint="eastAsia" w:ascii="楷体" w:hAnsi="楷体" w:eastAsia="楷体"/>
          <w:sz w:val="24"/>
        </w:rPr>
        <w:t>的约定进行定期验收；</w:t>
      </w:r>
    </w:p>
    <w:p w14:paraId="22A36BB4">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2.15.2 </w:t>
      </w:r>
      <w:r>
        <w:rPr>
          <w:rFonts w:hint="eastAsia" w:ascii="楷体" w:hAnsi="楷体" w:eastAsia="楷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E976CE">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2.15.3 </w:t>
      </w:r>
      <w:r>
        <w:rPr>
          <w:rFonts w:hint="eastAsia" w:ascii="楷体" w:hAnsi="楷体" w:eastAsia="楷体"/>
          <w:sz w:val="24"/>
        </w:rPr>
        <w:t>检验和验收标准、程序等具体内容以及前述验收书的效力详见</w:t>
      </w:r>
      <w:r>
        <w:rPr>
          <w:rFonts w:hint="eastAsia" w:ascii="楷体" w:hAnsi="楷体" w:eastAsia="楷体"/>
          <w:b/>
          <w:i/>
          <w:sz w:val="24"/>
          <w:u w:val="single"/>
        </w:rPr>
        <w:t>合同专用条款</w:t>
      </w:r>
      <w:r>
        <w:rPr>
          <w:rFonts w:hint="eastAsia" w:ascii="楷体" w:hAnsi="楷体" w:eastAsia="楷体"/>
          <w:i/>
          <w:sz w:val="24"/>
        </w:rPr>
        <w:t>。</w:t>
      </w:r>
    </w:p>
    <w:bookmarkEnd w:id="731"/>
    <w:bookmarkEnd w:id="732"/>
    <w:bookmarkEnd w:id="733"/>
    <w:bookmarkEnd w:id="734"/>
    <w:p w14:paraId="7B90FC44">
      <w:pPr>
        <w:spacing w:line="560" w:lineRule="exact"/>
        <w:ind w:firstLine="482" w:firstLineChars="200"/>
        <w:outlineLvl w:val="0"/>
        <w:rPr>
          <w:rFonts w:ascii="楷体" w:hAnsi="楷体" w:eastAsia="楷体"/>
          <w:b/>
          <w:sz w:val="24"/>
        </w:rPr>
      </w:pPr>
      <w:bookmarkStart w:id="827" w:name="_Toc259093690"/>
      <w:bookmarkStart w:id="828" w:name="_Toc279701261"/>
      <w:bookmarkStart w:id="829" w:name="_Toc487900371"/>
      <w:bookmarkStart w:id="830" w:name="_Toc25198"/>
      <w:bookmarkStart w:id="831" w:name="_Toc2308"/>
      <w:bookmarkStart w:id="832" w:name="_Toc16331"/>
      <w:bookmarkStart w:id="833" w:name="_Toc26729"/>
      <w:bookmarkStart w:id="834" w:name="_Toc32463"/>
      <w:bookmarkStart w:id="835" w:name="_Toc17143"/>
      <w:bookmarkStart w:id="836" w:name="_Toc26738"/>
      <w:bookmarkStart w:id="837" w:name="_Toc28597"/>
      <w:bookmarkStart w:id="838" w:name="_Toc582"/>
      <w:bookmarkStart w:id="839" w:name="_Toc12666"/>
      <w:bookmarkStart w:id="840" w:name="_Toc15999"/>
      <w:bookmarkStart w:id="841" w:name="_Toc31892"/>
      <w:bookmarkStart w:id="842" w:name="_Toc12378"/>
      <w:bookmarkStart w:id="843" w:name="_Toc8680"/>
      <w:bookmarkStart w:id="844" w:name="_Toc9808"/>
      <w:r>
        <w:rPr>
          <w:rFonts w:ascii="楷体" w:hAnsi="楷体" w:eastAsia="楷体"/>
          <w:b/>
          <w:sz w:val="24"/>
        </w:rPr>
        <w:t xml:space="preserve">2.16 </w:t>
      </w:r>
      <w:r>
        <w:rPr>
          <w:rFonts w:hint="eastAsia" w:ascii="楷体" w:hAnsi="楷体" w:eastAsia="楷体"/>
          <w:b/>
          <w:sz w:val="24"/>
        </w:rPr>
        <w:t>通知</w:t>
      </w:r>
      <w:bookmarkEnd w:id="827"/>
      <w:bookmarkEnd w:id="828"/>
      <w:bookmarkEnd w:id="829"/>
      <w:r>
        <w:rPr>
          <w:rFonts w:hint="eastAsia" w:ascii="楷体" w:hAnsi="楷体" w:eastAsia="楷体"/>
          <w:b/>
          <w:sz w:val="24"/>
        </w:rPr>
        <w:t>和送达</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165BB3AA">
      <w:pPr>
        <w:spacing w:line="560" w:lineRule="exact"/>
        <w:ind w:firstLine="480" w:firstLineChars="200"/>
        <w:rPr>
          <w:rFonts w:ascii="楷体" w:hAnsi="楷体" w:eastAsia="楷体"/>
          <w:sz w:val="24"/>
        </w:rPr>
      </w:pPr>
      <w:bookmarkStart w:id="845" w:name="_Toc7073"/>
      <w:bookmarkStart w:id="846" w:name="_Toc29220"/>
      <w:bookmarkStart w:id="847" w:name="_Toc279701262"/>
      <w:bookmarkStart w:id="848" w:name="_Toc259093691"/>
      <w:bookmarkStart w:id="849" w:name="_Toc487900372"/>
      <w:r>
        <w:rPr>
          <w:rFonts w:ascii="楷体" w:hAnsi="楷体" w:eastAsia="楷体"/>
          <w:sz w:val="24"/>
        </w:rPr>
        <w:t xml:space="preserve">2.16.1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845"/>
      <w:bookmarkEnd w:id="846"/>
    </w:p>
    <w:p w14:paraId="5E40EAEC">
      <w:pPr>
        <w:spacing w:line="560" w:lineRule="exact"/>
        <w:ind w:firstLine="480" w:firstLineChars="200"/>
        <w:rPr>
          <w:rFonts w:ascii="楷体" w:hAnsi="楷体" w:eastAsia="楷体"/>
          <w:sz w:val="24"/>
        </w:rPr>
      </w:pPr>
      <w:bookmarkStart w:id="850" w:name="_Toc27674"/>
      <w:bookmarkStart w:id="851" w:name="_Toc18401"/>
      <w:r>
        <w:rPr>
          <w:rFonts w:ascii="楷体" w:hAnsi="楷体" w:eastAsia="楷体"/>
          <w:sz w:val="24"/>
        </w:rPr>
        <w:t>2.16.2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850"/>
      <w:bookmarkEnd w:id="851"/>
    </w:p>
    <w:bookmarkEnd w:id="847"/>
    <w:bookmarkEnd w:id="848"/>
    <w:bookmarkEnd w:id="849"/>
    <w:p w14:paraId="29550189">
      <w:pPr>
        <w:spacing w:line="560" w:lineRule="exact"/>
        <w:ind w:firstLine="482" w:firstLineChars="200"/>
        <w:outlineLvl w:val="0"/>
        <w:rPr>
          <w:rFonts w:ascii="楷体" w:hAnsi="楷体" w:eastAsia="楷体"/>
          <w:b/>
          <w:sz w:val="24"/>
        </w:rPr>
      </w:pPr>
      <w:bookmarkStart w:id="852" w:name="_Toc29565"/>
      <w:bookmarkStart w:id="853" w:name="_Toc12254"/>
      <w:bookmarkStart w:id="854" w:name="_Toc30073"/>
      <w:bookmarkStart w:id="855" w:name="_Toc31705"/>
      <w:bookmarkStart w:id="856" w:name="_Toc18588"/>
      <w:bookmarkStart w:id="857" w:name="_Toc27644"/>
      <w:bookmarkStart w:id="858" w:name="_Toc5063"/>
      <w:bookmarkStart w:id="859" w:name="_Toc279701263"/>
      <w:bookmarkStart w:id="860" w:name="_Toc20808"/>
      <w:bookmarkStart w:id="861" w:name="_Toc28906"/>
      <w:bookmarkStart w:id="862" w:name="_Toc9550"/>
      <w:bookmarkStart w:id="863" w:name="_Toc487900373"/>
      <w:bookmarkStart w:id="864" w:name="_Toc25009"/>
      <w:bookmarkStart w:id="865" w:name="_Toc13835"/>
      <w:bookmarkStart w:id="866" w:name="_Toc21659"/>
      <w:bookmarkStart w:id="867" w:name="_Toc259093692"/>
      <w:bookmarkStart w:id="868" w:name="_Toc7285"/>
      <w:bookmarkStart w:id="869" w:name="_Toc22883"/>
      <w:r>
        <w:rPr>
          <w:rFonts w:ascii="楷体" w:hAnsi="楷体" w:eastAsia="楷体"/>
          <w:b/>
          <w:sz w:val="24"/>
        </w:rPr>
        <w:t xml:space="preserve">2.17 </w:t>
      </w:r>
      <w:r>
        <w:rPr>
          <w:rFonts w:hint="eastAsia" w:ascii="楷体" w:hAnsi="楷体" w:eastAsia="楷体"/>
          <w:b/>
          <w:sz w:val="24"/>
        </w:rPr>
        <w:t>合同使用的文字和适用的法律</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499D9A89">
      <w:pPr>
        <w:spacing w:line="560" w:lineRule="exact"/>
        <w:ind w:firstLine="480" w:firstLineChars="200"/>
        <w:rPr>
          <w:rFonts w:ascii="楷体" w:hAnsi="楷体" w:eastAsia="楷体"/>
          <w:sz w:val="24"/>
        </w:rPr>
      </w:pPr>
      <w:r>
        <w:rPr>
          <w:rFonts w:ascii="楷体" w:hAnsi="楷体" w:eastAsia="楷体"/>
          <w:sz w:val="24"/>
        </w:rPr>
        <w:t xml:space="preserve">2.17.1 </w:t>
      </w:r>
      <w:r>
        <w:rPr>
          <w:rFonts w:hint="eastAsia" w:ascii="楷体" w:hAnsi="楷体" w:eastAsia="楷体"/>
          <w:sz w:val="24"/>
        </w:rPr>
        <w:t>合同使用汉语书就、变更和解释；</w:t>
      </w:r>
    </w:p>
    <w:p w14:paraId="47760A14">
      <w:pPr>
        <w:spacing w:line="560" w:lineRule="exact"/>
        <w:ind w:firstLine="480" w:firstLineChars="200"/>
        <w:rPr>
          <w:rFonts w:ascii="楷体" w:hAnsi="楷体" w:eastAsia="楷体"/>
          <w:sz w:val="24"/>
        </w:rPr>
      </w:pPr>
      <w:r>
        <w:rPr>
          <w:rFonts w:ascii="楷体" w:hAnsi="楷体" w:eastAsia="楷体"/>
          <w:sz w:val="24"/>
        </w:rPr>
        <w:t xml:space="preserve">2.17.2 </w:t>
      </w:r>
      <w:r>
        <w:rPr>
          <w:rFonts w:hint="eastAsia" w:ascii="楷体" w:hAnsi="楷体" w:eastAsia="楷体"/>
          <w:sz w:val="24"/>
        </w:rPr>
        <w:t>合同适用中华人民共和国法律。</w:t>
      </w:r>
    </w:p>
    <w:p w14:paraId="6BE09DC8">
      <w:pPr>
        <w:spacing w:line="560" w:lineRule="exact"/>
        <w:ind w:firstLine="482" w:firstLineChars="200"/>
        <w:outlineLvl w:val="0"/>
        <w:rPr>
          <w:rFonts w:hint="eastAsia" w:ascii="楷体" w:hAnsi="楷体" w:eastAsia="楷体"/>
          <w:b/>
          <w:sz w:val="24"/>
          <w:lang w:eastAsia="zh-CN"/>
        </w:rPr>
      </w:pPr>
      <w:bookmarkStart w:id="870" w:name="_Toc1492"/>
      <w:bookmarkStart w:id="871" w:name="_Toc1934"/>
      <w:bookmarkStart w:id="872" w:name="_Toc27127"/>
      <w:bookmarkStart w:id="873" w:name="_Toc411"/>
      <w:bookmarkStart w:id="874" w:name="_Toc27403"/>
      <w:bookmarkStart w:id="875" w:name="_Toc8539"/>
      <w:bookmarkStart w:id="876" w:name="_Toc12891"/>
      <w:bookmarkStart w:id="877" w:name="_Toc31740"/>
      <w:bookmarkStart w:id="878" w:name="_Toc26472"/>
      <w:bookmarkStart w:id="879" w:name="_Toc30096"/>
      <w:bookmarkStart w:id="880" w:name="_Toc19624"/>
      <w:bookmarkStart w:id="881" w:name="_Toc22524"/>
      <w:bookmarkStart w:id="882" w:name="_Toc259093693"/>
      <w:bookmarkStart w:id="883" w:name="_Toc279701264"/>
      <w:bookmarkStart w:id="884" w:name="_Toc15019"/>
      <w:bookmarkStart w:id="885" w:name="_Toc22266"/>
      <w:bookmarkStart w:id="886" w:name="_Toc23657"/>
      <w:bookmarkStart w:id="887" w:name="_Toc487900374"/>
      <w:r>
        <w:rPr>
          <w:rFonts w:ascii="楷体" w:hAnsi="楷体" w:eastAsia="楷体"/>
          <w:b/>
          <w:sz w:val="24"/>
        </w:rPr>
        <w:t xml:space="preserve">2.18 </w:t>
      </w:r>
      <w:r>
        <w:rPr>
          <w:rFonts w:hint="eastAsia" w:ascii="楷体" w:hAnsi="楷体" w:eastAsia="楷体"/>
          <w:b/>
          <w:sz w:val="24"/>
        </w:rPr>
        <w:t>履约保证金</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rFonts w:hint="eastAsia" w:ascii="楷体" w:hAnsi="楷体" w:eastAsia="楷体"/>
          <w:b/>
          <w:sz w:val="24"/>
          <w:lang w:eastAsia="zh-CN"/>
        </w:rPr>
        <w:t>（</w:t>
      </w:r>
      <w:r>
        <w:rPr>
          <w:rFonts w:hint="eastAsia" w:ascii="楷体" w:hAnsi="楷体" w:eastAsia="楷体"/>
          <w:b/>
          <w:sz w:val="24"/>
          <w:lang w:val="en-US" w:eastAsia="zh-CN"/>
        </w:rPr>
        <w:t>本项目不适用</w:t>
      </w:r>
      <w:r>
        <w:rPr>
          <w:rFonts w:hint="eastAsia" w:ascii="楷体" w:hAnsi="楷体" w:eastAsia="楷体"/>
          <w:b/>
          <w:sz w:val="24"/>
          <w:lang w:eastAsia="zh-CN"/>
        </w:rPr>
        <w:t>）</w:t>
      </w:r>
    </w:p>
    <w:p w14:paraId="38493A05">
      <w:pPr>
        <w:spacing w:line="560" w:lineRule="exact"/>
        <w:ind w:firstLine="480" w:firstLineChars="200"/>
        <w:rPr>
          <w:rFonts w:ascii="楷体" w:hAnsi="楷体" w:eastAsia="楷体"/>
          <w:sz w:val="24"/>
        </w:rPr>
      </w:pPr>
      <w:r>
        <w:rPr>
          <w:rFonts w:ascii="楷体" w:hAnsi="楷体" w:eastAsia="楷体"/>
          <w:sz w:val="24"/>
        </w:rPr>
        <w:t xml:space="preserve">2.18.1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14:paraId="7403E99D">
      <w:pPr>
        <w:spacing w:line="560" w:lineRule="exact"/>
        <w:ind w:firstLine="480" w:firstLineChars="200"/>
        <w:rPr>
          <w:rFonts w:ascii="楷体" w:hAnsi="楷体" w:eastAsia="楷体"/>
          <w:sz w:val="24"/>
        </w:rPr>
      </w:pPr>
      <w:r>
        <w:rPr>
          <w:rFonts w:ascii="楷体" w:hAnsi="楷体" w:eastAsia="楷体"/>
          <w:sz w:val="24"/>
        </w:rPr>
        <w:t xml:space="preserve">2.18.2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约定期间内不予退还或者应完全有效，前述约定期间届满之日起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14:paraId="53B772DE">
      <w:pPr>
        <w:spacing w:line="560" w:lineRule="exact"/>
        <w:ind w:firstLine="480" w:firstLineChars="200"/>
        <w:rPr>
          <w:rFonts w:ascii="楷体" w:hAnsi="楷体" w:eastAsia="楷体"/>
          <w:sz w:val="24"/>
        </w:rPr>
      </w:pPr>
      <w:r>
        <w:rPr>
          <w:rFonts w:ascii="楷体" w:hAnsi="楷体" w:eastAsia="楷体"/>
          <w:sz w:val="24"/>
        </w:rPr>
        <w:t xml:space="preserve">2.18.3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87"/>
    <w:p w14:paraId="6BA93A52">
      <w:pPr>
        <w:spacing w:line="560" w:lineRule="exact"/>
        <w:ind w:firstLine="482" w:firstLineChars="200"/>
        <w:rPr>
          <w:rFonts w:ascii="楷体" w:hAnsi="楷体" w:eastAsia="楷体"/>
          <w:b/>
          <w:sz w:val="24"/>
        </w:rPr>
      </w:pPr>
      <w:r>
        <w:rPr>
          <w:rFonts w:ascii="楷体" w:hAnsi="楷体" w:eastAsia="楷体"/>
          <w:b/>
          <w:sz w:val="24"/>
        </w:rPr>
        <w:t xml:space="preserve">2.19 </w:t>
      </w:r>
      <w:r>
        <w:rPr>
          <w:rFonts w:hint="eastAsia" w:ascii="楷体" w:hAnsi="楷体" w:eastAsia="楷体"/>
          <w:b/>
          <w:sz w:val="24"/>
        </w:rPr>
        <w:t>合同份数</w:t>
      </w:r>
    </w:p>
    <w:p w14:paraId="55564B25">
      <w:pPr>
        <w:spacing w:line="560" w:lineRule="exact"/>
        <w:ind w:firstLine="480" w:firstLineChars="200"/>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14:paraId="5ED3E968">
      <w:pPr>
        <w:pStyle w:val="78"/>
        <w:spacing w:line="560" w:lineRule="exact"/>
        <w:ind w:firstLine="0"/>
        <w:jc w:val="center"/>
        <w:rPr>
          <w:rFonts w:ascii="楷体" w:hAnsi="楷体" w:eastAsia="楷体"/>
          <w:b/>
          <w:szCs w:val="24"/>
        </w:rPr>
      </w:pPr>
      <w:r>
        <w:rPr>
          <w:rFonts w:ascii="楷体" w:hAnsi="楷体" w:eastAsia="楷体"/>
          <w:szCs w:val="24"/>
        </w:rPr>
        <w:br w:type="page"/>
      </w:r>
      <w:bookmarkStart w:id="888"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888"/>
    </w:p>
    <w:p w14:paraId="49928EB5">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558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76909C75">
            <w:pPr>
              <w:spacing w:line="560" w:lineRule="exact"/>
              <w:jc w:val="center"/>
              <w:rPr>
                <w:rFonts w:ascii="楷体" w:hAnsi="楷体" w:eastAsia="楷体"/>
                <w:b/>
                <w:sz w:val="24"/>
              </w:rPr>
            </w:pPr>
            <w:r>
              <w:rPr>
                <w:rFonts w:hint="eastAsia" w:ascii="楷体" w:hAnsi="楷体" w:eastAsia="楷体"/>
                <w:b/>
                <w:sz w:val="24"/>
              </w:rPr>
              <w:t>条款号</w:t>
            </w:r>
          </w:p>
        </w:tc>
        <w:tc>
          <w:tcPr>
            <w:tcW w:w="7633" w:type="dxa"/>
            <w:noWrap w:val="0"/>
            <w:vAlign w:val="center"/>
          </w:tcPr>
          <w:p w14:paraId="1380BB76">
            <w:pPr>
              <w:spacing w:line="560" w:lineRule="exact"/>
              <w:jc w:val="center"/>
              <w:rPr>
                <w:rFonts w:ascii="楷体" w:hAnsi="楷体" w:eastAsia="楷体"/>
                <w:b/>
                <w:sz w:val="24"/>
              </w:rPr>
            </w:pPr>
            <w:r>
              <w:rPr>
                <w:rFonts w:hint="eastAsia" w:ascii="楷体" w:hAnsi="楷体" w:eastAsia="楷体"/>
                <w:b/>
                <w:sz w:val="24"/>
              </w:rPr>
              <w:t>约定内容</w:t>
            </w:r>
          </w:p>
        </w:tc>
      </w:tr>
      <w:tr w14:paraId="3FD9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45326E49">
            <w:pPr>
              <w:spacing w:line="560" w:lineRule="exact"/>
              <w:rPr>
                <w:rFonts w:ascii="楷体" w:hAnsi="楷体" w:eastAsia="楷体"/>
                <w:sz w:val="24"/>
              </w:rPr>
            </w:pPr>
          </w:p>
        </w:tc>
        <w:tc>
          <w:tcPr>
            <w:tcW w:w="7633" w:type="dxa"/>
            <w:noWrap w:val="0"/>
            <w:vAlign w:val="center"/>
          </w:tcPr>
          <w:p w14:paraId="77A3B6D5">
            <w:pPr>
              <w:spacing w:line="560" w:lineRule="exact"/>
              <w:rPr>
                <w:rFonts w:ascii="楷体" w:hAnsi="楷体" w:eastAsia="楷体"/>
                <w:sz w:val="24"/>
              </w:rPr>
            </w:pPr>
          </w:p>
        </w:tc>
      </w:tr>
      <w:tr w14:paraId="6F786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1C09075">
            <w:pPr>
              <w:spacing w:line="560" w:lineRule="exact"/>
              <w:rPr>
                <w:rFonts w:ascii="楷体" w:hAnsi="楷体" w:eastAsia="楷体"/>
                <w:sz w:val="24"/>
              </w:rPr>
            </w:pPr>
          </w:p>
        </w:tc>
        <w:tc>
          <w:tcPr>
            <w:tcW w:w="7633" w:type="dxa"/>
            <w:noWrap w:val="0"/>
            <w:vAlign w:val="center"/>
          </w:tcPr>
          <w:p w14:paraId="77BBB6F6">
            <w:pPr>
              <w:spacing w:line="560" w:lineRule="exact"/>
              <w:rPr>
                <w:rFonts w:ascii="楷体" w:hAnsi="楷体" w:eastAsia="楷体"/>
                <w:sz w:val="24"/>
              </w:rPr>
            </w:pPr>
          </w:p>
        </w:tc>
      </w:tr>
      <w:tr w14:paraId="07682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71DE7F1">
            <w:pPr>
              <w:spacing w:line="560" w:lineRule="exact"/>
              <w:rPr>
                <w:rFonts w:ascii="楷体" w:hAnsi="楷体" w:eastAsia="楷体"/>
                <w:sz w:val="24"/>
              </w:rPr>
            </w:pPr>
          </w:p>
        </w:tc>
        <w:tc>
          <w:tcPr>
            <w:tcW w:w="7633" w:type="dxa"/>
            <w:noWrap w:val="0"/>
            <w:vAlign w:val="center"/>
          </w:tcPr>
          <w:p w14:paraId="40B6B1DD">
            <w:pPr>
              <w:spacing w:line="560" w:lineRule="exact"/>
              <w:rPr>
                <w:rFonts w:ascii="楷体" w:hAnsi="楷体" w:eastAsia="楷体"/>
                <w:sz w:val="24"/>
              </w:rPr>
            </w:pPr>
          </w:p>
        </w:tc>
      </w:tr>
      <w:tr w14:paraId="0B4AB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16548FB">
            <w:pPr>
              <w:spacing w:line="560" w:lineRule="exact"/>
              <w:rPr>
                <w:rFonts w:ascii="楷体" w:hAnsi="楷体" w:eastAsia="楷体"/>
                <w:sz w:val="24"/>
              </w:rPr>
            </w:pPr>
          </w:p>
        </w:tc>
        <w:tc>
          <w:tcPr>
            <w:tcW w:w="7633" w:type="dxa"/>
            <w:noWrap w:val="0"/>
            <w:vAlign w:val="center"/>
          </w:tcPr>
          <w:p w14:paraId="6B7AE318">
            <w:pPr>
              <w:spacing w:line="560" w:lineRule="exact"/>
              <w:rPr>
                <w:rFonts w:ascii="楷体" w:hAnsi="楷体" w:eastAsia="楷体"/>
                <w:sz w:val="24"/>
              </w:rPr>
            </w:pPr>
          </w:p>
        </w:tc>
      </w:tr>
      <w:tr w14:paraId="72EE1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9FBEC01">
            <w:pPr>
              <w:spacing w:line="560" w:lineRule="exact"/>
              <w:rPr>
                <w:rFonts w:ascii="楷体" w:hAnsi="楷体" w:eastAsia="楷体"/>
                <w:sz w:val="24"/>
              </w:rPr>
            </w:pPr>
          </w:p>
        </w:tc>
        <w:tc>
          <w:tcPr>
            <w:tcW w:w="7633" w:type="dxa"/>
            <w:noWrap w:val="0"/>
            <w:vAlign w:val="center"/>
          </w:tcPr>
          <w:p w14:paraId="0B92D256">
            <w:pPr>
              <w:spacing w:line="560" w:lineRule="exact"/>
              <w:rPr>
                <w:rFonts w:ascii="楷体" w:hAnsi="楷体" w:eastAsia="楷体"/>
                <w:sz w:val="24"/>
                <w:u w:val="single"/>
              </w:rPr>
            </w:pPr>
          </w:p>
        </w:tc>
      </w:tr>
      <w:tr w14:paraId="227B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3F25CA6">
            <w:pPr>
              <w:spacing w:line="560" w:lineRule="exact"/>
              <w:rPr>
                <w:rFonts w:ascii="楷体" w:hAnsi="楷体" w:eastAsia="楷体"/>
                <w:sz w:val="24"/>
              </w:rPr>
            </w:pPr>
          </w:p>
        </w:tc>
        <w:tc>
          <w:tcPr>
            <w:tcW w:w="7633" w:type="dxa"/>
            <w:noWrap w:val="0"/>
            <w:vAlign w:val="center"/>
          </w:tcPr>
          <w:p w14:paraId="7BB8BB3C">
            <w:pPr>
              <w:spacing w:line="560" w:lineRule="exact"/>
              <w:rPr>
                <w:rFonts w:ascii="楷体" w:hAnsi="楷体" w:eastAsia="楷体"/>
                <w:sz w:val="24"/>
              </w:rPr>
            </w:pPr>
          </w:p>
        </w:tc>
      </w:tr>
      <w:tr w14:paraId="6B7BC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E9BD0A5">
            <w:pPr>
              <w:spacing w:line="560" w:lineRule="exact"/>
              <w:rPr>
                <w:rFonts w:ascii="楷体" w:hAnsi="楷体" w:eastAsia="楷体"/>
                <w:sz w:val="24"/>
              </w:rPr>
            </w:pPr>
          </w:p>
        </w:tc>
        <w:tc>
          <w:tcPr>
            <w:tcW w:w="7633" w:type="dxa"/>
            <w:noWrap w:val="0"/>
            <w:vAlign w:val="center"/>
          </w:tcPr>
          <w:p w14:paraId="2A421BB9">
            <w:pPr>
              <w:spacing w:line="560" w:lineRule="exact"/>
              <w:rPr>
                <w:rFonts w:ascii="楷体" w:hAnsi="楷体" w:eastAsia="楷体"/>
                <w:sz w:val="24"/>
                <w:u w:val="single"/>
              </w:rPr>
            </w:pPr>
          </w:p>
        </w:tc>
      </w:tr>
      <w:tr w14:paraId="11F2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822BD6E">
            <w:pPr>
              <w:spacing w:line="560" w:lineRule="exact"/>
              <w:rPr>
                <w:rFonts w:ascii="楷体" w:hAnsi="楷体" w:eastAsia="楷体"/>
                <w:sz w:val="24"/>
              </w:rPr>
            </w:pPr>
          </w:p>
        </w:tc>
        <w:tc>
          <w:tcPr>
            <w:tcW w:w="7633" w:type="dxa"/>
            <w:noWrap w:val="0"/>
            <w:vAlign w:val="center"/>
          </w:tcPr>
          <w:p w14:paraId="2996EB9E">
            <w:pPr>
              <w:spacing w:line="560" w:lineRule="exact"/>
              <w:rPr>
                <w:rFonts w:ascii="楷体" w:hAnsi="楷体" w:eastAsia="楷体"/>
                <w:sz w:val="24"/>
              </w:rPr>
            </w:pPr>
          </w:p>
        </w:tc>
      </w:tr>
      <w:tr w14:paraId="44DD0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338E4B1">
            <w:pPr>
              <w:spacing w:line="560" w:lineRule="exact"/>
              <w:rPr>
                <w:rFonts w:ascii="楷体" w:hAnsi="楷体" w:eastAsia="楷体"/>
                <w:sz w:val="24"/>
              </w:rPr>
            </w:pPr>
          </w:p>
        </w:tc>
        <w:tc>
          <w:tcPr>
            <w:tcW w:w="7633" w:type="dxa"/>
            <w:noWrap w:val="0"/>
            <w:vAlign w:val="center"/>
          </w:tcPr>
          <w:p w14:paraId="6024D1B1">
            <w:pPr>
              <w:spacing w:line="560" w:lineRule="exact"/>
              <w:rPr>
                <w:rFonts w:ascii="楷体" w:hAnsi="楷体" w:eastAsia="楷体"/>
                <w:sz w:val="24"/>
              </w:rPr>
            </w:pPr>
          </w:p>
        </w:tc>
      </w:tr>
      <w:tr w14:paraId="0937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64720A6">
            <w:pPr>
              <w:spacing w:line="560" w:lineRule="exact"/>
              <w:rPr>
                <w:rFonts w:ascii="楷体" w:hAnsi="楷体" w:eastAsia="楷体"/>
                <w:sz w:val="24"/>
              </w:rPr>
            </w:pPr>
          </w:p>
        </w:tc>
        <w:tc>
          <w:tcPr>
            <w:tcW w:w="7633" w:type="dxa"/>
            <w:noWrap w:val="0"/>
            <w:vAlign w:val="center"/>
          </w:tcPr>
          <w:p w14:paraId="3552AEC0">
            <w:pPr>
              <w:spacing w:line="560" w:lineRule="exact"/>
              <w:rPr>
                <w:rFonts w:ascii="楷体" w:hAnsi="楷体" w:eastAsia="楷体"/>
                <w:sz w:val="24"/>
              </w:rPr>
            </w:pPr>
          </w:p>
        </w:tc>
      </w:tr>
      <w:tr w14:paraId="120B5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5E903D6">
            <w:pPr>
              <w:spacing w:line="560" w:lineRule="exact"/>
              <w:rPr>
                <w:rFonts w:ascii="楷体" w:hAnsi="楷体" w:eastAsia="楷体"/>
                <w:sz w:val="24"/>
              </w:rPr>
            </w:pPr>
          </w:p>
        </w:tc>
        <w:tc>
          <w:tcPr>
            <w:tcW w:w="7633" w:type="dxa"/>
            <w:noWrap w:val="0"/>
            <w:vAlign w:val="center"/>
          </w:tcPr>
          <w:p w14:paraId="51AE67FE">
            <w:pPr>
              <w:spacing w:line="560" w:lineRule="exact"/>
              <w:rPr>
                <w:rFonts w:ascii="楷体" w:hAnsi="楷体" w:eastAsia="楷体"/>
                <w:sz w:val="24"/>
              </w:rPr>
            </w:pPr>
          </w:p>
        </w:tc>
      </w:tr>
      <w:tr w14:paraId="4FEA6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01393F9">
            <w:pPr>
              <w:spacing w:line="560" w:lineRule="exact"/>
              <w:rPr>
                <w:rFonts w:ascii="楷体" w:hAnsi="楷体" w:eastAsia="楷体"/>
                <w:sz w:val="24"/>
              </w:rPr>
            </w:pPr>
          </w:p>
        </w:tc>
        <w:tc>
          <w:tcPr>
            <w:tcW w:w="7633" w:type="dxa"/>
            <w:noWrap w:val="0"/>
            <w:vAlign w:val="center"/>
          </w:tcPr>
          <w:p w14:paraId="0DB36171">
            <w:pPr>
              <w:spacing w:line="560" w:lineRule="exact"/>
              <w:rPr>
                <w:rFonts w:ascii="楷体" w:hAnsi="楷体" w:eastAsia="楷体"/>
                <w:sz w:val="24"/>
              </w:rPr>
            </w:pPr>
          </w:p>
        </w:tc>
      </w:tr>
    </w:tbl>
    <w:p w14:paraId="50F478F9">
      <w:pPr>
        <w:pStyle w:val="91"/>
        <w:bidi w:val="0"/>
        <w:ind w:firstLine="420" w:firstLineChars="200"/>
        <w:outlineLvl w:val="9"/>
        <w:rPr>
          <w:rFonts w:hint="eastAsia" w:ascii="仿宋" w:hAnsi="仿宋" w:eastAsia="仿宋" w:cs="仿宋"/>
          <w:color w:val="auto"/>
          <w:sz w:val="21"/>
          <w:szCs w:val="21"/>
          <w:highlight w:val="none"/>
        </w:rPr>
      </w:pPr>
    </w:p>
    <w:sectPr>
      <w:headerReference r:id="rId17" w:type="default"/>
      <w:footerReference r:id="rId18" w:type="default"/>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5684">
    <w:pPr>
      <w:pStyle w:val="21"/>
      <w:ind w:right="360" w:firstLine="360"/>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F60D9">
                          <w:pPr>
                            <w:pStyle w:val="21"/>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1">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wVUxTgAQAAwAMAAA4AAAAA&#10;AAAAAQAgAAAAHgEAAGRycy9lMm9Eb2MueG1sUEsFBgAAAAAGAAYAWQEAAHAFAAAAAA==&#10;">
              <v:fill on="f" focussize="0,0"/>
              <v:stroke on="f"/>
              <v:imagedata o:title=""/>
              <o:lock v:ext="edit" aspectratio="f"/>
              <v:textbox inset="0mm,0mm,0mm,0mm" style="mso-fit-shape-to-text:t;">
                <w:txbxContent>
                  <w:p w14:paraId="17CF60D9">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F679">
    <w:pPr>
      <w:pStyle w:val="21"/>
      <w:framePr w:wrap="around" w:vAnchor="text" w:hAnchor="margin" w:xAlign="center" w:y="1"/>
      <w:rPr>
        <w:rStyle w:val="41"/>
      </w:rPr>
    </w:pPr>
    <w:r>
      <w:fldChar w:fldCharType="begin"/>
    </w:r>
    <w:r>
      <w:rPr>
        <w:rStyle w:val="41"/>
      </w:rPr>
      <w:instrText xml:space="preserve">PAGE  </w:instrText>
    </w:r>
    <w:r>
      <w:fldChar w:fldCharType="end"/>
    </w:r>
  </w:p>
  <w:p w14:paraId="69284E66">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FE5A">
    <w:pPr>
      <w:pStyle w:val="21"/>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EFAA8">
                          <w:pPr>
                            <w:pStyle w:val="21"/>
                          </w:pPr>
                          <w:r>
                            <w:fldChar w:fldCharType="begin"/>
                          </w:r>
                          <w:r>
                            <w:instrText xml:space="preserve"> PAGE  \* MERGEFORMAT </w:instrText>
                          </w:r>
                          <w:r>
                            <w:fldChar w:fldCharType="separate"/>
                          </w:r>
                          <w:r>
                            <w:t>- 99 -</w:t>
                          </w:r>
                          <w:r>
                            <w:fldChar w:fldCharType="end"/>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1QpYQ3gEAAMADAAAOAAAAAAAA&#10;AAEAIAAAAB4BAABkcnMvZTJvRG9jLnhtbFBLBQYAAAAABgAGAFkBAABuBQAAAAA=&#10;">
              <v:fill on="f" focussize="0,0"/>
              <v:stroke on="f"/>
              <v:imagedata o:title=""/>
              <o:lock v:ext="edit" aspectratio="f"/>
              <v:textbox inset="0mm,0mm,0mm,0mm" style="mso-fit-shape-to-text:t;">
                <w:txbxContent>
                  <w:p w14:paraId="6F3EFAA8">
                    <w:pPr>
                      <w:pStyle w:val="21"/>
                    </w:pPr>
                    <w:r>
                      <w:fldChar w:fldCharType="begin"/>
                    </w:r>
                    <w:r>
                      <w:instrText xml:space="preserve"> PAGE  \* MERGEFORMAT </w:instrText>
                    </w:r>
                    <w:r>
                      <w:fldChar w:fldCharType="separate"/>
                    </w:r>
                    <w:r>
                      <w:t>- 99 -</w:t>
                    </w:r>
                    <w:r>
                      <w:fldChar w:fldCharType="end"/>
                    </w:r>
                  </w:p>
                </w:txbxContent>
              </v:textbox>
            </v:shape>
          </w:pict>
        </mc:Fallback>
      </mc:AlternateContent>
    </w:r>
  </w:p>
  <w:p w14:paraId="5267934F">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4AD3">
    <w:pPr>
      <w:pStyle w:val="21"/>
      <w:ind w:right="360" w:firstLine="36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349C4">
                          <w:pPr>
                            <w:pStyle w:val="21"/>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GcE98BAADAAwAADgAAAGRycy9lMm9Eb2MueG1srVPNjtMwEL4j8Q6W&#10;7zRpE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NW3CS86csDTx86+f599/z39+&#10;sFeLJFAXYEV5N4EysX/re0qe/EDOxLtvok1/YsQoTvKeLvKqHplMl5aL5bKkkKTYdCD84u56iIDv&#10;lbcsGRWPNL8sqzh+BBxSp5RUzflrbUyeoXH/OQgzeYrU+9BjsrDf9SOhna9PxIceAtVpffzOWUdr&#10;UHFHW8+Z+eBI5bQxkxEnYzcZwkm6WHHkbDDf4bBZhxD1viXceW4ewpsDUqeZQGpjqD12R4PNEoxL&#10;mDbn33POunt4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ZGcE98BAADAAwAADgAAAAAA&#10;AAABACAAAAAeAQAAZHJzL2Uyb0RvYy54bWxQSwUGAAAAAAYABgBZAQAAbwUAAAAA&#10;">
              <v:fill on="f" focussize="0,0"/>
              <v:stroke on="f"/>
              <v:imagedata o:title=""/>
              <o:lock v:ext="edit" aspectratio="f"/>
              <v:textbox inset="0mm,0mm,0mm,0mm" style="mso-fit-shape-to-text:t;">
                <w:txbxContent>
                  <w:p w14:paraId="3E9349C4">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7389">
    <w:pPr>
      <w:pStyle w:val="21"/>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0BE2A5">
                          <w:pPr>
                            <w:pStyle w:val="21"/>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Ji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rT2J2wNPDz92/nH7/OP7+y&#10;62XSp/exorR7T4k4vIaBtmb2R3Im2kMbbPoTIUZxUvd0UVcNyGS6tFquViWFJMXmA+EXD9d9iPhG&#10;gWXJqHmg8WVVxfFdxDF1TknVHNxpY/IIjfvLQZjJU6Texx6ThcNumAjtoDkRH3oHVKeD8IWznrag&#10;5o6WnjPz1pHIaWFmI8zGbjaEk3Sx5sjZaN7iuFgHH/S+y6uWmor+1QG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54mI3gEAAL8DAAAOAAAAAAAA&#10;AAEAIAAAAB4BAABkcnMvZTJvRG9jLnhtbFBLBQYAAAAABgAGAFkBAABuBQAAAAA=&#10;">
              <v:fill on="f" focussize="0,0"/>
              <v:stroke on="f"/>
              <v:imagedata o:title=""/>
              <o:lock v:ext="edit" aspectratio="f"/>
              <v:textbox inset="0mm,0mm,0mm,0mm" style="mso-fit-shape-to-text:t;">
                <w:txbxContent>
                  <w:p w14:paraId="750BE2A5">
                    <w:pPr>
                      <w:pStyle w:val="2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107C">
    <w:pPr>
      <w:pStyle w:val="21"/>
      <w:ind w:right="360" w:firstLine="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719DF">
                          <w:pPr>
                            <w:pStyle w:val="21"/>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VuFOp3gEAAL8DAAAOAAAAAAAA&#10;AAEAIAAAAB4BAABkcnMvZTJvRG9jLnhtbFBLBQYAAAAABgAGAFkBAABuBQAAAAA=&#10;">
              <v:fill on="f" focussize="0,0"/>
              <v:stroke on="f"/>
              <v:imagedata o:title=""/>
              <o:lock v:ext="edit" aspectratio="f"/>
              <v:textbox inset="0mm,0mm,0mm,0mm" style="mso-fit-shape-to-text:t;">
                <w:txbxContent>
                  <w:p w14:paraId="14C719DF">
                    <w:pPr>
                      <w:pStyle w:val="21"/>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9282">
                          <w:pPr>
                            <w:pStyle w:val="21"/>
                          </w:pP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LNbd4BAAC/AwAADgAAAGRycy9lMm9Eb2MueG1srVNLjhMxEN0jcQfL&#10;e9I9GQl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u&#10;l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Us1t3gEAAL8DAAAOAAAAAAAA&#10;AAEAIAAAAB4BAABkcnMvZTJvRG9jLnhtbFBLBQYAAAAABgAGAFkBAABuBQAAAAA=&#10;">
              <v:fill on="f" focussize="0,0"/>
              <v:stroke on="f"/>
              <v:imagedata o:title=""/>
              <o:lock v:ext="edit" aspectratio="f"/>
              <v:textbox inset="0mm,0mm,0mm,0mm" style="mso-fit-shape-to-text:t;">
                <w:txbxContent>
                  <w:p w14:paraId="09389282">
                    <w:pPr>
                      <w:pStyle w:val="2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9AC2">
    <w:pPr>
      <w:pStyle w:val="21"/>
      <w:tabs>
        <w:tab w:val="center" w:pos="4873"/>
        <w:tab w:val="right" w:pos="9506"/>
      </w:tabs>
      <w:ind w:right="360" w:firstLine="360"/>
      <w:jc w:val="lef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BAE1A">
                          <w:pPr>
                            <w:pStyle w:val="21"/>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5bB483gEAAMADAAAOAAAAAAAA&#10;AAEAIAAAAB4BAABkcnMvZTJvRG9jLnhtbFBLBQYAAAAABgAGAFkBAABuBQAAAAA=&#10;">
              <v:fill on="f" focussize="0,0"/>
              <v:stroke on="f"/>
              <v:imagedata o:title=""/>
              <o:lock v:ext="edit" aspectratio="f"/>
              <v:textbox inset="0mm,0mm,0mm,0mm" style="mso-fit-shape-to-text:t;">
                <w:txbxContent>
                  <w:p w14:paraId="5F8BAE1A">
                    <w:pPr>
                      <w:pStyle w:val="21"/>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9976">
    <w:pPr>
      <w:pStyle w:val="21"/>
      <w:jc w:val="both"/>
      <w:rPr>
        <w:rFonts w:eastAsia="仿宋"/>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8CF88">
                          <w:pPr>
                            <w:pStyle w:val="21"/>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PEHd8BAADAAwAADgAAAAAA&#10;AAABACAAAAAeAQAAZHJzL2Uyb0RvYy54bWxQSwUGAAAAAAYABgBZAQAAbwUAAAAA&#10;">
              <v:fill on="f" focussize="0,0"/>
              <v:stroke on="f"/>
              <v:imagedata o:title=""/>
              <o:lock v:ext="edit" aspectratio="f"/>
              <v:textbox inset="0mm,0mm,0mm,0mm" style="mso-fit-shape-to-text:t;">
                <w:txbxContent>
                  <w:p w14:paraId="67F8CF88">
                    <w:pPr>
                      <w:pStyle w:val="21"/>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ascii="仿宋" w:hAnsi="仿宋" w:eastAsia="仿宋" w:cs="仿宋"/>
        <w:sz w:val="24"/>
        <w:szCs w:val="24"/>
      </w:rPr>
      <w:t xml:space="preserve">      </w:t>
    </w:r>
  </w:p>
  <w:p w14:paraId="6B3A7D15">
    <w:pPr>
      <w:pStyle w:val="21"/>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21C86">
    <w:pPr>
      <w:pStyle w:val="21"/>
      <w:ind w:right="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80965">
                          <w:pPr>
                            <w:pStyle w:val="21"/>
                          </w:pPr>
                          <w:r>
                            <w:fldChar w:fldCharType="begin"/>
                          </w:r>
                          <w:r>
                            <w:instrText xml:space="preserve"> PAGE  \* MERGEFORMAT </w:instrText>
                          </w:r>
                          <w:r>
                            <w:fldChar w:fldCharType="separate"/>
                          </w:r>
                          <w:r>
                            <w:t>- 4 -</w:t>
                          </w:r>
                          <w:r>
                            <w:fldChar w:fldCharType="end"/>
                          </w:r>
                        </w:p>
                      </w:txbxContent>
                    </wps:txbx>
                    <wps:bodyPr vert="horz" wrap="none" lIns="0" tIns="0" rIns="0" bIns="0" anchor="t" anchorCtr="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9Kqf98BAADAAwAADgAAAAAA&#10;AAABACAAAAAeAQAAZHJzL2Uyb0RvYy54bWxQSwUGAAAAAAYABgBZAQAAbwUAAAAA&#10;">
              <v:fill on="f" focussize="0,0"/>
              <v:stroke on="f"/>
              <v:imagedata o:title=""/>
              <o:lock v:ext="edit" aspectratio="f"/>
              <v:textbox inset="0mm,0mm,0mm,0mm" style="mso-fit-shape-to-text:t;">
                <w:txbxContent>
                  <w:p w14:paraId="4AB80965">
                    <w:pPr>
                      <w:pStyle w:val="21"/>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085A">
    <w:pPr>
      <w:pStyle w:val="21"/>
      <w:ind w:right="360"/>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09C08">
                          <w:pPr>
                            <w:pStyle w:val="21"/>
                          </w:pPr>
                          <w:r>
                            <w:fldChar w:fldCharType="begin"/>
                          </w:r>
                          <w:r>
                            <w:instrText xml:space="preserve"> PAGE  \* MERGEFORMAT </w:instrText>
                          </w:r>
                          <w:r>
                            <w:fldChar w:fldCharType="separate"/>
                          </w:r>
                          <w:r>
                            <w:t>- 5 -</w:t>
                          </w:r>
                          <w:r>
                            <w:fldChar w:fldCharType="end"/>
                          </w:r>
                        </w:p>
                      </w:txbxContent>
                    </wps:txbx>
                    <wps:bodyPr vert="horz" wrap="none" lIns="0" tIns="0" rIns="0" bIns="0" anchor="t" anchorCtr="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32+sN8BAADAAwAADgAAAAAA&#10;AAABACAAAAAeAQAAZHJzL2Uyb0RvYy54bWxQSwUGAAAAAAYABgBZAQAAbwUAAAAA&#10;">
              <v:fill on="f" focussize="0,0"/>
              <v:stroke on="f"/>
              <v:imagedata o:title=""/>
              <o:lock v:ext="edit" aspectratio="f"/>
              <v:textbox inset="0mm,0mm,0mm,0mm" style="mso-fit-shape-to-text:t;">
                <w:txbxContent>
                  <w:p w14:paraId="03909C08">
                    <w:pPr>
                      <w:pStyle w:val="21"/>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F695">
    <w:pPr>
      <w:pStyle w:val="2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3A215C">
                          <w:pPr>
                            <w:pStyle w:val="21"/>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CeWpd8BAADAAwAADgAAAAAA&#10;AAABACAAAAAeAQAAZHJzL2Uyb0RvYy54bWxQSwUGAAAAAAYABgBZAQAAbwUAAAAA&#10;">
              <v:fill on="f" focussize="0,0"/>
              <v:stroke on="f"/>
              <v:imagedata o:title=""/>
              <o:lock v:ext="edit" aspectratio="f"/>
              <v:textbox inset="0mm,0mm,0mm,0mm" style="mso-fit-shape-to-text:t;">
                <w:txbxContent>
                  <w:p w14:paraId="713A215C">
                    <w:pPr>
                      <w:pStyle w:val="21"/>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58F5">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35D9C">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E722">
    <w:pPr>
      <w:spacing w:line="240" w:lineRule="atLeast"/>
    </w:pPr>
    <w:r>
      <w:rPr>
        <w:sz w:val="18"/>
      </w:rPr>
      <mc:AlternateContent>
        <mc:Choice Requires="wps">
          <w:drawing>
            <wp:anchor distT="0" distB="0" distL="114300" distR="114300" simplePos="0" relativeHeight="251660288"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7"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28CB8947">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60288;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hfn4/XAAAABwEAAA8AAAAAAAAAAQAgAAAAIgAA&#10;AGRycy9kb3ducmV2LnhtbFBLAQIUABQAAAAIAIdO4kDKXDj70AEAAIwDAAAOAAAAAAAAAAEAIAAA&#10;ACYBAABkcnMvZTJvRG9jLnhtbFBLBQYAAAAABgAGAFkBAABoBQAAAAA=&#10;">
              <v:fill on="f" focussize="0,0"/>
              <v:stroke on="f" weight="0.5pt"/>
              <v:imagedata o:title=""/>
              <o:lock v:ext="edit" aspectratio="f"/>
              <v:textbox>
                <w:txbxContent>
                  <w:p w14:paraId="28CB8947">
                    <w:pPr>
                      <w:rPr>
                        <w:b/>
                        <w:bCs/>
                        <w:color w:val="000000"/>
                        <w:szCs w:val="21"/>
                      </w:rPr>
                    </w:pPr>
                  </w:p>
                </w:txbxContent>
              </v:textbox>
            </v:shape>
          </w:pict>
        </mc:Fallback>
      </mc:AlternateContent>
    </w:r>
    <w:r>
      <w:rPr>
        <w:rFonts w:hint="eastAsia"/>
      </w:rPr>
      <w:t xml:space="preserve">           </w:t>
    </w:r>
  </w:p>
  <w:p w14:paraId="1DFF6E75">
    <w:pPr>
      <w:pStyle w:val="22"/>
      <w:pBdr>
        <w:bottom w:val="none" w:color="auto" w:sz="0" w:space="0"/>
      </w:pBdr>
      <w:jc w:val="both"/>
      <w:rPr>
        <w:bCs/>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ADE7">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093D">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B29D1"/>
    <w:multiLevelType w:val="singleLevel"/>
    <w:tmpl w:val="BE0B29D1"/>
    <w:lvl w:ilvl="0" w:tentative="0">
      <w:start w:val="1"/>
      <w:numFmt w:val="decimal"/>
      <w:suff w:val="space"/>
      <w:lvlText w:val="%1."/>
      <w:lvlJc w:val="left"/>
    </w:lvl>
  </w:abstractNum>
  <w:abstractNum w:abstractNumId="1">
    <w:nsid w:val="D1BF2829"/>
    <w:multiLevelType w:val="singleLevel"/>
    <w:tmpl w:val="D1BF2829"/>
    <w:lvl w:ilvl="0" w:tentative="0">
      <w:start w:val="1"/>
      <w:numFmt w:val="decimal"/>
      <w:suff w:val="nothing"/>
      <w:lvlText w:val="（%1）"/>
      <w:lvlJc w:val="left"/>
      <w:pPr>
        <w:ind w:left="-61"/>
      </w:pPr>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B6B1DF2"/>
    <w:multiLevelType w:val="singleLevel"/>
    <w:tmpl w:val="2B6B1DF2"/>
    <w:lvl w:ilvl="0" w:tentative="0">
      <w:start w:val="4"/>
      <w:numFmt w:val="chineseCounting"/>
      <w:suff w:val="nothing"/>
      <w:lvlText w:val="%1、"/>
      <w:lvlJc w:val="left"/>
      <w:rPr>
        <w:rFonts w:hint="eastAsia"/>
      </w:rPr>
    </w:lvl>
  </w:abstractNum>
  <w:abstractNum w:abstractNumId="6">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WMyOTkyODkzNjEzN2I0MWMyNjE5YWY4MTJmZGZmMjcifQ=="/>
    <w:docVar w:name="VTCASE" w:val="4"/>
    <w:docVar w:name="VTCommandPending" w:val="NONE"/>
  </w:docVars>
  <w:rsids>
    <w:rsidRoot w:val="00887D93"/>
    <w:rsid w:val="000004CD"/>
    <w:rsid w:val="000005B8"/>
    <w:rsid w:val="00001783"/>
    <w:rsid w:val="00001797"/>
    <w:rsid w:val="0000273B"/>
    <w:rsid w:val="000041A8"/>
    <w:rsid w:val="000052BF"/>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07B"/>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14A7"/>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4830"/>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1215"/>
    <w:rsid w:val="0056245F"/>
    <w:rsid w:val="00562C2E"/>
    <w:rsid w:val="00563F14"/>
    <w:rsid w:val="00570A8A"/>
    <w:rsid w:val="00571BE1"/>
    <w:rsid w:val="0057268E"/>
    <w:rsid w:val="005753E8"/>
    <w:rsid w:val="005806C7"/>
    <w:rsid w:val="00582CA5"/>
    <w:rsid w:val="0058473A"/>
    <w:rsid w:val="005852AF"/>
    <w:rsid w:val="00586FEC"/>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854"/>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12094"/>
    <w:rsid w:val="00812C85"/>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28FC"/>
    <w:rsid w:val="008A46DC"/>
    <w:rsid w:val="008A4BF4"/>
    <w:rsid w:val="008A510D"/>
    <w:rsid w:val="008A5EDE"/>
    <w:rsid w:val="008A7A4E"/>
    <w:rsid w:val="008B0AFF"/>
    <w:rsid w:val="008B2FA8"/>
    <w:rsid w:val="008B3253"/>
    <w:rsid w:val="008C020E"/>
    <w:rsid w:val="008C2328"/>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A0"/>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295D"/>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1217"/>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3C84"/>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1F5D"/>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5015"/>
    <w:rsid w:val="00BE68B4"/>
    <w:rsid w:val="00BE7C07"/>
    <w:rsid w:val="00BF11F5"/>
    <w:rsid w:val="00BF693C"/>
    <w:rsid w:val="00BF7250"/>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03F8"/>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3C67"/>
    <w:rsid w:val="00CD66B7"/>
    <w:rsid w:val="00CD66FB"/>
    <w:rsid w:val="00CD67D5"/>
    <w:rsid w:val="00CE0A68"/>
    <w:rsid w:val="00CE52FE"/>
    <w:rsid w:val="00CE63CA"/>
    <w:rsid w:val="00CE6D2A"/>
    <w:rsid w:val="00CE70E4"/>
    <w:rsid w:val="00CF0889"/>
    <w:rsid w:val="00CF2156"/>
    <w:rsid w:val="00CF2AC8"/>
    <w:rsid w:val="00CF2BFF"/>
    <w:rsid w:val="00CF3102"/>
    <w:rsid w:val="00CF41C5"/>
    <w:rsid w:val="00CF4D7B"/>
    <w:rsid w:val="00CF5F8F"/>
    <w:rsid w:val="00CF6914"/>
    <w:rsid w:val="00CF7F24"/>
    <w:rsid w:val="00CF7F30"/>
    <w:rsid w:val="00D003AF"/>
    <w:rsid w:val="00D049C3"/>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441D"/>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4784"/>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137507"/>
    <w:rsid w:val="01225CB9"/>
    <w:rsid w:val="01233A9E"/>
    <w:rsid w:val="01355606"/>
    <w:rsid w:val="01356AEF"/>
    <w:rsid w:val="0140619F"/>
    <w:rsid w:val="01474DC9"/>
    <w:rsid w:val="014C5447"/>
    <w:rsid w:val="014F1921"/>
    <w:rsid w:val="016278FF"/>
    <w:rsid w:val="017046B5"/>
    <w:rsid w:val="01726BD7"/>
    <w:rsid w:val="01947EBC"/>
    <w:rsid w:val="019C6EC3"/>
    <w:rsid w:val="01B71BF9"/>
    <w:rsid w:val="01BB44D9"/>
    <w:rsid w:val="01E5348F"/>
    <w:rsid w:val="01EC2BDD"/>
    <w:rsid w:val="020B7795"/>
    <w:rsid w:val="022D38E8"/>
    <w:rsid w:val="025C3E46"/>
    <w:rsid w:val="0277732B"/>
    <w:rsid w:val="027F7CF8"/>
    <w:rsid w:val="02820886"/>
    <w:rsid w:val="029F1A2B"/>
    <w:rsid w:val="02A23EBB"/>
    <w:rsid w:val="02AB0B8E"/>
    <w:rsid w:val="02B03C27"/>
    <w:rsid w:val="02BE721C"/>
    <w:rsid w:val="02C600A3"/>
    <w:rsid w:val="02C717EF"/>
    <w:rsid w:val="02C83008"/>
    <w:rsid w:val="02E14CD8"/>
    <w:rsid w:val="02E905E8"/>
    <w:rsid w:val="02EA0C29"/>
    <w:rsid w:val="02F628BA"/>
    <w:rsid w:val="031514EA"/>
    <w:rsid w:val="0327253E"/>
    <w:rsid w:val="03297061"/>
    <w:rsid w:val="03526435"/>
    <w:rsid w:val="03773C2D"/>
    <w:rsid w:val="03785C96"/>
    <w:rsid w:val="037E6287"/>
    <w:rsid w:val="03822C68"/>
    <w:rsid w:val="03835C53"/>
    <w:rsid w:val="03BF4366"/>
    <w:rsid w:val="03CB50B5"/>
    <w:rsid w:val="03EA49A0"/>
    <w:rsid w:val="03ED3BD7"/>
    <w:rsid w:val="03F9594B"/>
    <w:rsid w:val="040555D5"/>
    <w:rsid w:val="04065CFB"/>
    <w:rsid w:val="04145B7C"/>
    <w:rsid w:val="042C49F4"/>
    <w:rsid w:val="04363AE8"/>
    <w:rsid w:val="043810F5"/>
    <w:rsid w:val="043B2EAD"/>
    <w:rsid w:val="04457A68"/>
    <w:rsid w:val="04465D42"/>
    <w:rsid w:val="04581099"/>
    <w:rsid w:val="048F3562"/>
    <w:rsid w:val="04A703BC"/>
    <w:rsid w:val="04A82698"/>
    <w:rsid w:val="04B91D7B"/>
    <w:rsid w:val="04BB2B23"/>
    <w:rsid w:val="04C444F1"/>
    <w:rsid w:val="04DA126C"/>
    <w:rsid w:val="04E02ACA"/>
    <w:rsid w:val="051D3BE5"/>
    <w:rsid w:val="054C40C7"/>
    <w:rsid w:val="055C73FF"/>
    <w:rsid w:val="055F4954"/>
    <w:rsid w:val="056E4DEB"/>
    <w:rsid w:val="05784803"/>
    <w:rsid w:val="05796F1F"/>
    <w:rsid w:val="058933A4"/>
    <w:rsid w:val="058A4AEF"/>
    <w:rsid w:val="059D239A"/>
    <w:rsid w:val="05A13216"/>
    <w:rsid w:val="05AA52A1"/>
    <w:rsid w:val="05AB3E24"/>
    <w:rsid w:val="05AD2138"/>
    <w:rsid w:val="05C42EE7"/>
    <w:rsid w:val="05C5123A"/>
    <w:rsid w:val="05F87A19"/>
    <w:rsid w:val="060C37DF"/>
    <w:rsid w:val="060E1C55"/>
    <w:rsid w:val="062F6BCD"/>
    <w:rsid w:val="06354950"/>
    <w:rsid w:val="063D115E"/>
    <w:rsid w:val="06426774"/>
    <w:rsid w:val="064A7215"/>
    <w:rsid w:val="06592353"/>
    <w:rsid w:val="0668080A"/>
    <w:rsid w:val="069E2879"/>
    <w:rsid w:val="06A814F9"/>
    <w:rsid w:val="06B70F64"/>
    <w:rsid w:val="06B95D69"/>
    <w:rsid w:val="06C158EB"/>
    <w:rsid w:val="06C57799"/>
    <w:rsid w:val="06CB2745"/>
    <w:rsid w:val="06D27196"/>
    <w:rsid w:val="06EA5643"/>
    <w:rsid w:val="07312789"/>
    <w:rsid w:val="073E7D31"/>
    <w:rsid w:val="075A3DD0"/>
    <w:rsid w:val="07727647"/>
    <w:rsid w:val="07890438"/>
    <w:rsid w:val="079D568D"/>
    <w:rsid w:val="07C52F36"/>
    <w:rsid w:val="07DA03AD"/>
    <w:rsid w:val="07DC539F"/>
    <w:rsid w:val="07ED7C4B"/>
    <w:rsid w:val="07F10452"/>
    <w:rsid w:val="07F76149"/>
    <w:rsid w:val="07F87B14"/>
    <w:rsid w:val="083532E2"/>
    <w:rsid w:val="083E4B5E"/>
    <w:rsid w:val="0850437F"/>
    <w:rsid w:val="08512C9F"/>
    <w:rsid w:val="085C4B9B"/>
    <w:rsid w:val="0868353B"/>
    <w:rsid w:val="0889410F"/>
    <w:rsid w:val="08A07782"/>
    <w:rsid w:val="08AE00F1"/>
    <w:rsid w:val="08AF1C99"/>
    <w:rsid w:val="08B039AC"/>
    <w:rsid w:val="08BD52A1"/>
    <w:rsid w:val="08C6368D"/>
    <w:rsid w:val="08D63AF8"/>
    <w:rsid w:val="08E75BF2"/>
    <w:rsid w:val="08F31FA8"/>
    <w:rsid w:val="08F5226E"/>
    <w:rsid w:val="08FA50E4"/>
    <w:rsid w:val="08FC7FD9"/>
    <w:rsid w:val="09143A51"/>
    <w:rsid w:val="092A15E4"/>
    <w:rsid w:val="094C2622"/>
    <w:rsid w:val="094D5B2A"/>
    <w:rsid w:val="096F0885"/>
    <w:rsid w:val="096F2395"/>
    <w:rsid w:val="0983743E"/>
    <w:rsid w:val="0985224B"/>
    <w:rsid w:val="098A7429"/>
    <w:rsid w:val="09907707"/>
    <w:rsid w:val="09982B4C"/>
    <w:rsid w:val="099C1C94"/>
    <w:rsid w:val="09A37CB3"/>
    <w:rsid w:val="09A4271A"/>
    <w:rsid w:val="09BD6E8E"/>
    <w:rsid w:val="09C53F62"/>
    <w:rsid w:val="09D02974"/>
    <w:rsid w:val="09D10B21"/>
    <w:rsid w:val="09D24666"/>
    <w:rsid w:val="09E42924"/>
    <w:rsid w:val="09E81F1D"/>
    <w:rsid w:val="09EA7926"/>
    <w:rsid w:val="09F41057"/>
    <w:rsid w:val="0A0C1C92"/>
    <w:rsid w:val="0A106B99"/>
    <w:rsid w:val="0A2A0C7D"/>
    <w:rsid w:val="0A2B71F6"/>
    <w:rsid w:val="0A3578A4"/>
    <w:rsid w:val="0A376B09"/>
    <w:rsid w:val="0A4368A1"/>
    <w:rsid w:val="0A530F50"/>
    <w:rsid w:val="0A69177E"/>
    <w:rsid w:val="0A6D7B49"/>
    <w:rsid w:val="0A6E2510"/>
    <w:rsid w:val="0A743897"/>
    <w:rsid w:val="0A8818D1"/>
    <w:rsid w:val="0A8D3A1C"/>
    <w:rsid w:val="0AA26C31"/>
    <w:rsid w:val="0AC45CE3"/>
    <w:rsid w:val="0ACA5785"/>
    <w:rsid w:val="0AD80726"/>
    <w:rsid w:val="0AE207A2"/>
    <w:rsid w:val="0AE8788A"/>
    <w:rsid w:val="0AF31312"/>
    <w:rsid w:val="0B0533B4"/>
    <w:rsid w:val="0B1873A5"/>
    <w:rsid w:val="0B2043E1"/>
    <w:rsid w:val="0B386398"/>
    <w:rsid w:val="0B450737"/>
    <w:rsid w:val="0B461F48"/>
    <w:rsid w:val="0B6378A8"/>
    <w:rsid w:val="0B6613D9"/>
    <w:rsid w:val="0B83005A"/>
    <w:rsid w:val="0B961052"/>
    <w:rsid w:val="0BA701EB"/>
    <w:rsid w:val="0BAA63B5"/>
    <w:rsid w:val="0BB7571D"/>
    <w:rsid w:val="0BBC0D77"/>
    <w:rsid w:val="0BD8594C"/>
    <w:rsid w:val="0BDA2E9F"/>
    <w:rsid w:val="0BEB3091"/>
    <w:rsid w:val="0BEE14F4"/>
    <w:rsid w:val="0BF93968"/>
    <w:rsid w:val="0BFB11DA"/>
    <w:rsid w:val="0C054382"/>
    <w:rsid w:val="0C074ABC"/>
    <w:rsid w:val="0C0979E4"/>
    <w:rsid w:val="0C22706C"/>
    <w:rsid w:val="0C290B5D"/>
    <w:rsid w:val="0C3959EB"/>
    <w:rsid w:val="0C4267A8"/>
    <w:rsid w:val="0C463B0F"/>
    <w:rsid w:val="0C482711"/>
    <w:rsid w:val="0C66699F"/>
    <w:rsid w:val="0C7025EB"/>
    <w:rsid w:val="0C76288A"/>
    <w:rsid w:val="0C7C0FB7"/>
    <w:rsid w:val="0C805C7E"/>
    <w:rsid w:val="0C947F66"/>
    <w:rsid w:val="0C974102"/>
    <w:rsid w:val="0C996035"/>
    <w:rsid w:val="0C996349"/>
    <w:rsid w:val="0CB73E70"/>
    <w:rsid w:val="0CC07C5B"/>
    <w:rsid w:val="0CCD49D4"/>
    <w:rsid w:val="0CED5E88"/>
    <w:rsid w:val="0CF04BFF"/>
    <w:rsid w:val="0CFD60D7"/>
    <w:rsid w:val="0D040037"/>
    <w:rsid w:val="0D0A55CD"/>
    <w:rsid w:val="0D154C29"/>
    <w:rsid w:val="0D1F336B"/>
    <w:rsid w:val="0D326BB9"/>
    <w:rsid w:val="0D39422C"/>
    <w:rsid w:val="0D3F4EC5"/>
    <w:rsid w:val="0D5747D6"/>
    <w:rsid w:val="0D6A611A"/>
    <w:rsid w:val="0D7C0CA6"/>
    <w:rsid w:val="0D817096"/>
    <w:rsid w:val="0DB83668"/>
    <w:rsid w:val="0DB84552"/>
    <w:rsid w:val="0DD435E7"/>
    <w:rsid w:val="0DE7519A"/>
    <w:rsid w:val="0DF332FA"/>
    <w:rsid w:val="0DF36B8E"/>
    <w:rsid w:val="0DF47E93"/>
    <w:rsid w:val="0DF60BA4"/>
    <w:rsid w:val="0DF93420"/>
    <w:rsid w:val="0E083B9D"/>
    <w:rsid w:val="0E0C7BFC"/>
    <w:rsid w:val="0E102212"/>
    <w:rsid w:val="0E1A5BF4"/>
    <w:rsid w:val="0E2A268E"/>
    <w:rsid w:val="0E363A70"/>
    <w:rsid w:val="0E3C4324"/>
    <w:rsid w:val="0E3F713B"/>
    <w:rsid w:val="0E44437C"/>
    <w:rsid w:val="0E5D18B3"/>
    <w:rsid w:val="0E6F4A41"/>
    <w:rsid w:val="0E7147DB"/>
    <w:rsid w:val="0E7E13EF"/>
    <w:rsid w:val="0E806808"/>
    <w:rsid w:val="0E925D3E"/>
    <w:rsid w:val="0E957D64"/>
    <w:rsid w:val="0EA05979"/>
    <w:rsid w:val="0EA326D3"/>
    <w:rsid w:val="0EC06516"/>
    <w:rsid w:val="0ECA7DF8"/>
    <w:rsid w:val="0EE90AB2"/>
    <w:rsid w:val="0EED3A0C"/>
    <w:rsid w:val="0EEE299D"/>
    <w:rsid w:val="0F000F7B"/>
    <w:rsid w:val="0F044B0A"/>
    <w:rsid w:val="0F0E6AFC"/>
    <w:rsid w:val="0F1878F3"/>
    <w:rsid w:val="0F6A2129"/>
    <w:rsid w:val="0F6A3B17"/>
    <w:rsid w:val="0F732A0F"/>
    <w:rsid w:val="0F7846C2"/>
    <w:rsid w:val="0F7A70CC"/>
    <w:rsid w:val="0F8E3156"/>
    <w:rsid w:val="0F956446"/>
    <w:rsid w:val="0FA91BA1"/>
    <w:rsid w:val="0FB62587"/>
    <w:rsid w:val="0FC50D8F"/>
    <w:rsid w:val="0FC8531F"/>
    <w:rsid w:val="0FEE5763"/>
    <w:rsid w:val="0FFB7AD4"/>
    <w:rsid w:val="0FFE25BD"/>
    <w:rsid w:val="10005392"/>
    <w:rsid w:val="10070D3F"/>
    <w:rsid w:val="100B5C25"/>
    <w:rsid w:val="100C64DF"/>
    <w:rsid w:val="10141FC4"/>
    <w:rsid w:val="10147AF5"/>
    <w:rsid w:val="103A4D1E"/>
    <w:rsid w:val="103F3144"/>
    <w:rsid w:val="106E3464"/>
    <w:rsid w:val="106E6EBE"/>
    <w:rsid w:val="106F0310"/>
    <w:rsid w:val="10763C75"/>
    <w:rsid w:val="10772AE8"/>
    <w:rsid w:val="1079027F"/>
    <w:rsid w:val="10932412"/>
    <w:rsid w:val="10962520"/>
    <w:rsid w:val="109721D3"/>
    <w:rsid w:val="10A63969"/>
    <w:rsid w:val="10AB6D72"/>
    <w:rsid w:val="10C06EC7"/>
    <w:rsid w:val="10C80A0B"/>
    <w:rsid w:val="10D25CC6"/>
    <w:rsid w:val="10D72B13"/>
    <w:rsid w:val="10E25268"/>
    <w:rsid w:val="112076B2"/>
    <w:rsid w:val="11346AF2"/>
    <w:rsid w:val="114936B1"/>
    <w:rsid w:val="11632295"/>
    <w:rsid w:val="117A2F4F"/>
    <w:rsid w:val="117A6BB7"/>
    <w:rsid w:val="118848CF"/>
    <w:rsid w:val="118C6127"/>
    <w:rsid w:val="11980EFA"/>
    <w:rsid w:val="119F0F1F"/>
    <w:rsid w:val="11AA59E9"/>
    <w:rsid w:val="11AF3F8B"/>
    <w:rsid w:val="11B6183B"/>
    <w:rsid w:val="11D77A5B"/>
    <w:rsid w:val="11FF224A"/>
    <w:rsid w:val="120A75BE"/>
    <w:rsid w:val="120C67B2"/>
    <w:rsid w:val="122374E7"/>
    <w:rsid w:val="12326A4C"/>
    <w:rsid w:val="12403447"/>
    <w:rsid w:val="12494902"/>
    <w:rsid w:val="12753A9F"/>
    <w:rsid w:val="12842C19"/>
    <w:rsid w:val="128D58B2"/>
    <w:rsid w:val="129277B1"/>
    <w:rsid w:val="12993A52"/>
    <w:rsid w:val="12AC6C8D"/>
    <w:rsid w:val="12B3462D"/>
    <w:rsid w:val="12BB51B1"/>
    <w:rsid w:val="12CB30C7"/>
    <w:rsid w:val="12D417F6"/>
    <w:rsid w:val="12DD0107"/>
    <w:rsid w:val="12E260DC"/>
    <w:rsid w:val="12E51424"/>
    <w:rsid w:val="13172843"/>
    <w:rsid w:val="13201BEB"/>
    <w:rsid w:val="1325145D"/>
    <w:rsid w:val="132B7CDB"/>
    <w:rsid w:val="13372B89"/>
    <w:rsid w:val="13664C32"/>
    <w:rsid w:val="136E2957"/>
    <w:rsid w:val="137B17DF"/>
    <w:rsid w:val="13944A4E"/>
    <w:rsid w:val="13AA37D4"/>
    <w:rsid w:val="13AA5377"/>
    <w:rsid w:val="13B9408B"/>
    <w:rsid w:val="13BE2F31"/>
    <w:rsid w:val="13D014CE"/>
    <w:rsid w:val="13D87417"/>
    <w:rsid w:val="13DE2100"/>
    <w:rsid w:val="14152938"/>
    <w:rsid w:val="14400A3A"/>
    <w:rsid w:val="14447B5C"/>
    <w:rsid w:val="144F6234"/>
    <w:rsid w:val="14523CEF"/>
    <w:rsid w:val="14637E07"/>
    <w:rsid w:val="14666CEB"/>
    <w:rsid w:val="14675B7E"/>
    <w:rsid w:val="146874AB"/>
    <w:rsid w:val="146C6824"/>
    <w:rsid w:val="147821F5"/>
    <w:rsid w:val="149D6F1C"/>
    <w:rsid w:val="149F0F06"/>
    <w:rsid w:val="14B8635D"/>
    <w:rsid w:val="14BF73AA"/>
    <w:rsid w:val="14C15577"/>
    <w:rsid w:val="14D02C99"/>
    <w:rsid w:val="14D452CD"/>
    <w:rsid w:val="14DA7406"/>
    <w:rsid w:val="150852FA"/>
    <w:rsid w:val="15124968"/>
    <w:rsid w:val="15197CBA"/>
    <w:rsid w:val="1522055D"/>
    <w:rsid w:val="152A7BD1"/>
    <w:rsid w:val="152D63FD"/>
    <w:rsid w:val="15301D16"/>
    <w:rsid w:val="153168EE"/>
    <w:rsid w:val="153C0F16"/>
    <w:rsid w:val="1550438C"/>
    <w:rsid w:val="15672C3B"/>
    <w:rsid w:val="157B3279"/>
    <w:rsid w:val="157C41C7"/>
    <w:rsid w:val="158760B1"/>
    <w:rsid w:val="15AE2A73"/>
    <w:rsid w:val="15C10A12"/>
    <w:rsid w:val="15F520A5"/>
    <w:rsid w:val="15FB5FFD"/>
    <w:rsid w:val="1609392A"/>
    <w:rsid w:val="160940BB"/>
    <w:rsid w:val="161A0E71"/>
    <w:rsid w:val="16273FE7"/>
    <w:rsid w:val="162B49E1"/>
    <w:rsid w:val="162D42DA"/>
    <w:rsid w:val="1634128A"/>
    <w:rsid w:val="16351663"/>
    <w:rsid w:val="163D6127"/>
    <w:rsid w:val="16491459"/>
    <w:rsid w:val="16502219"/>
    <w:rsid w:val="16565B2C"/>
    <w:rsid w:val="16723D1A"/>
    <w:rsid w:val="167624BE"/>
    <w:rsid w:val="168337A9"/>
    <w:rsid w:val="168F2072"/>
    <w:rsid w:val="1695666D"/>
    <w:rsid w:val="16A728F9"/>
    <w:rsid w:val="16AB3BF3"/>
    <w:rsid w:val="16BB76B5"/>
    <w:rsid w:val="16D8458B"/>
    <w:rsid w:val="16DA46F4"/>
    <w:rsid w:val="16DD036D"/>
    <w:rsid w:val="16E3540A"/>
    <w:rsid w:val="16E54925"/>
    <w:rsid w:val="16EB2471"/>
    <w:rsid w:val="1703574E"/>
    <w:rsid w:val="17045608"/>
    <w:rsid w:val="173B575E"/>
    <w:rsid w:val="1758203C"/>
    <w:rsid w:val="1758648F"/>
    <w:rsid w:val="17673460"/>
    <w:rsid w:val="17695387"/>
    <w:rsid w:val="176A0B0C"/>
    <w:rsid w:val="1773336D"/>
    <w:rsid w:val="17733FEA"/>
    <w:rsid w:val="17783899"/>
    <w:rsid w:val="17936DCE"/>
    <w:rsid w:val="17972103"/>
    <w:rsid w:val="17A34BD2"/>
    <w:rsid w:val="17A4103D"/>
    <w:rsid w:val="17A949B7"/>
    <w:rsid w:val="17AC6144"/>
    <w:rsid w:val="17CC10D0"/>
    <w:rsid w:val="17F3422A"/>
    <w:rsid w:val="17FB1045"/>
    <w:rsid w:val="18003993"/>
    <w:rsid w:val="180E2DCD"/>
    <w:rsid w:val="18273710"/>
    <w:rsid w:val="183103F7"/>
    <w:rsid w:val="183308B9"/>
    <w:rsid w:val="18332D92"/>
    <w:rsid w:val="183E602F"/>
    <w:rsid w:val="183F4C4F"/>
    <w:rsid w:val="18415B7B"/>
    <w:rsid w:val="18434A76"/>
    <w:rsid w:val="1845445C"/>
    <w:rsid w:val="18746CBB"/>
    <w:rsid w:val="187F0CC8"/>
    <w:rsid w:val="18842E8F"/>
    <w:rsid w:val="188F72E1"/>
    <w:rsid w:val="189C7B02"/>
    <w:rsid w:val="18A3773D"/>
    <w:rsid w:val="18BB53A4"/>
    <w:rsid w:val="18D44483"/>
    <w:rsid w:val="18D7178B"/>
    <w:rsid w:val="18E46CCD"/>
    <w:rsid w:val="19154B7A"/>
    <w:rsid w:val="19186BEC"/>
    <w:rsid w:val="191A66BD"/>
    <w:rsid w:val="19335596"/>
    <w:rsid w:val="193F5FD9"/>
    <w:rsid w:val="19463FA1"/>
    <w:rsid w:val="19566F91"/>
    <w:rsid w:val="19621035"/>
    <w:rsid w:val="1973470E"/>
    <w:rsid w:val="19821C1B"/>
    <w:rsid w:val="19A40053"/>
    <w:rsid w:val="19AB11A7"/>
    <w:rsid w:val="19B06731"/>
    <w:rsid w:val="19BC0470"/>
    <w:rsid w:val="19C16C26"/>
    <w:rsid w:val="19C239FC"/>
    <w:rsid w:val="19C24CE1"/>
    <w:rsid w:val="19D1246B"/>
    <w:rsid w:val="19DA78C0"/>
    <w:rsid w:val="19E73AC7"/>
    <w:rsid w:val="19E833E1"/>
    <w:rsid w:val="19F222FE"/>
    <w:rsid w:val="19F62A9A"/>
    <w:rsid w:val="1A134258"/>
    <w:rsid w:val="1A2141A6"/>
    <w:rsid w:val="1A307936"/>
    <w:rsid w:val="1A3A3859"/>
    <w:rsid w:val="1A5858D5"/>
    <w:rsid w:val="1A896ED6"/>
    <w:rsid w:val="1A8C6EF9"/>
    <w:rsid w:val="1A91736A"/>
    <w:rsid w:val="1ABD41C4"/>
    <w:rsid w:val="1AED3F54"/>
    <w:rsid w:val="1AF6583C"/>
    <w:rsid w:val="1B001C32"/>
    <w:rsid w:val="1B1464DA"/>
    <w:rsid w:val="1B193AF0"/>
    <w:rsid w:val="1B2635F0"/>
    <w:rsid w:val="1B2A7763"/>
    <w:rsid w:val="1B2A7D31"/>
    <w:rsid w:val="1B382894"/>
    <w:rsid w:val="1B387F27"/>
    <w:rsid w:val="1B3F2E2B"/>
    <w:rsid w:val="1B491AF9"/>
    <w:rsid w:val="1B530684"/>
    <w:rsid w:val="1B5A6DEB"/>
    <w:rsid w:val="1B605208"/>
    <w:rsid w:val="1B832EBD"/>
    <w:rsid w:val="1BA1278B"/>
    <w:rsid w:val="1BAC363D"/>
    <w:rsid w:val="1BB728AF"/>
    <w:rsid w:val="1BB828AE"/>
    <w:rsid w:val="1BBC26CD"/>
    <w:rsid w:val="1BC62F9B"/>
    <w:rsid w:val="1BF168C5"/>
    <w:rsid w:val="1BFE13CB"/>
    <w:rsid w:val="1C3610ED"/>
    <w:rsid w:val="1C5B5746"/>
    <w:rsid w:val="1C8815FA"/>
    <w:rsid w:val="1C8A23DA"/>
    <w:rsid w:val="1C8C4471"/>
    <w:rsid w:val="1C9E4048"/>
    <w:rsid w:val="1CB8097C"/>
    <w:rsid w:val="1CBC0ADF"/>
    <w:rsid w:val="1CEE1368"/>
    <w:rsid w:val="1CEE7DAA"/>
    <w:rsid w:val="1CF03C04"/>
    <w:rsid w:val="1CF30992"/>
    <w:rsid w:val="1D0F24CA"/>
    <w:rsid w:val="1D15360F"/>
    <w:rsid w:val="1D3F7B17"/>
    <w:rsid w:val="1D6174DD"/>
    <w:rsid w:val="1D745BE9"/>
    <w:rsid w:val="1D762AEF"/>
    <w:rsid w:val="1D796865"/>
    <w:rsid w:val="1D867F4E"/>
    <w:rsid w:val="1D927B8A"/>
    <w:rsid w:val="1D943F2B"/>
    <w:rsid w:val="1D9B7E86"/>
    <w:rsid w:val="1D9D6E51"/>
    <w:rsid w:val="1DAC0C4B"/>
    <w:rsid w:val="1DAD2F3B"/>
    <w:rsid w:val="1DB4571E"/>
    <w:rsid w:val="1DBA79F3"/>
    <w:rsid w:val="1DC00548"/>
    <w:rsid w:val="1DCA544A"/>
    <w:rsid w:val="1DCA62D2"/>
    <w:rsid w:val="1DDB64BB"/>
    <w:rsid w:val="1DDC2EF1"/>
    <w:rsid w:val="1DDF7DC2"/>
    <w:rsid w:val="1DE34B6B"/>
    <w:rsid w:val="1DF540A3"/>
    <w:rsid w:val="1DF71875"/>
    <w:rsid w:val="1DF74832"/>
    <w:rsid w:val="1DFF5ACA"/>
    <w:rsid w:val="1E054C48"/>
    <w:rsid w:val="1E1237A7"/>
    <w:rsid w:val="1E125962"/>
    <w:rsid w:val="1E17552F"/>
    <w:rsid w:val="1E1863DF"/>
    <w:rsid w:val="1E1F4233"/>
    <w:rsid w:val="1E1F515F"/>
    <w:rsid w:val="1E224928"/>
    <w:rsid w:val="1E306D07"/>
    <w:rsid w:val="1E521CE0"/>
    <w:rsid w:val="1E5E4C61"/>
    <w:rsid w:val="1E69580C"/>
    <w:rsid w:val="1E756BE2"/>
    <w:rsid w:val="1E8063A3"/>
    <w:rsid w:val="1E8823AB"/>
    <w:rsid w:val="1E90231B"/>
    <w:rsid w:val="1E9A4F48"/>
    <w:rsid w:val="1E9E6B97"/>
    <w:rsid w:val="1E9F09B2"/>
    <w:rsid w:val="1EAF4679"/>
    <w:rsid w:val="1EB3742B"/>
    <w:rsid w:val="1EB47AA8"/>
    <w:rsid w:val="1EC618F3"/>
    <w:rsid w:val="1EC75BBE"/>
    <w:rsid w:val="1ECA7E8A"/>
    <w:rsid w:val="1EFB79BB"/>
    <w:rsid w:val="1F631EDA"/>
    <w:rsid w:val="1F8106B2"/>
    <w:rsid w:val="1F82057D"/>
    <w:rsid w:val="1F9361C9"/>
    <w:rsid w:val="1FB24282"/>
    <w:rsid w:val="1FC62E24"/>
    <w:rsid w:val="1FC65891"/>
    <w:rsid w:val="1FCC2685"/>
    <w:rsid w:val="1FCF77B6"/>
    <w:rsid w:val="1FD04D92"/>
    <w:rsid w:val="1FE11E27"/>
    <w:rsid w:val="1FEF6E9F"/>
    <w:rsid w:val="1FF340CC"/>
    <w:rsid w:val="202D7031"/>
    <w:rsid w:val="2037155C"/>
    <w:rsid w:val="203F713F"/>
    <w:rsid w:val="205F78D9"/>
    <w:rsid w:val="20672F44"/>
    <w:rsid w:val="207A6F74"/>
    <w:rsid w:val="208F672B"/>
    <w:rsid w:val="20A30613"/>
    <w:rsid w:val="20A41E2E"/>
    <w:rsid w:val="20A72981"/>
    <w:rsid w:val="20C44B39"/>
    <w:rsid w:val="20D26FF6"/>
    <w:rsid w:val="20DA7C5C"/>
    <w:rsid w:val="20E62FA3"/>
    <w:rsid w:val="20EA4474"/>
    <w:rsid w:val="20FD531A"/>
    <w:rsid w:val="21153A1D"/>
    <w:rsid w:val="21186F03"/>
    <w:rsid w:val="212568B0"/>
    <w:rsid w:val="2133411B"/>
    <w:rsid w:val="213C72C2"/>
    <w:rsid w:val="213D7E0C"/>
    <w:rsid w:val="214765FC"/>
    <w:rsid w:val="2154479E"/>
    <w:rsid w:val="21700036"/>
    <w:rsid w:val="21825028"/>
    <w:rsid w:val="21851656"/>
    <w:rsid w:val="219A6DAC"/>
    <w:rsid w:val="219E35B1"/>
    <w:rsid w:val="21A01988"/>
    <w:rsid w:val="21A412F8"/>
    <w:rsid w:val="21D063DE"/>
    <w:rsid w:val="21D14A38"/>
    <w:rsid w:val="21E27D14"/>
    <w:rsid w:val="21E44434"/>
    <w:rsid w:val="21E501B8"/>
    <w:rsid w:val="21E70B6F"/>
    <w:rsid w:val="220314C2"/>
    <w:rsid w:val="220664CF"/>
    <w:rsid w:val="221377A0"/>
    <w:rsid w:val="22151709"/>
    <w:rsid w:val="222737BC"/>
    <w:rsid w:val="222D1216"/>
    <w:rsid w:val="22304F05"/>
    <w:rsid w:val="223935CC"/>
    <w:rsid w:val="223F1E0D"/>
    <w:rsid w:val="224F17CA"/>
    <w:rsid w:val="226A498B"/>
    <w:rsid w:val="226A4A70"/>
    <w:rsid w:val="226C4D04"/>
    <w:rsid w:val="226E4330"/>
    <w:rsid w:val="22796431"/>
    <w:rsid w:val="22976903"/>
    <w:rsid w:val="22B007A6"/>
    <w:rsid w:val="22B749CD"/>
    <w:rsid w:val="22BC1DA6"/>
    <w:rsid w:val="22BE1C49"/>
    <w:rsid w:val="22C14FD9"/>
    <w:rsid w:val="22C168CE"/>
    <w:rsid w:val="22CC5604"/>
    <w:rsid w:val="22DC782D"/>
    <w:rsid w:val="22F53F38"/>
    <w:rsid w:val="233F2C8A"/>
    <w:rsid w:val="23411E36"/>
    <w:rsid w:val="234142D6"/>
    <w:rsid w:val="23532300"/>
    <w:rsid w:val="23537F3B"/>
    <w:rsid w:val="23571659"/>
    <w:rsid w:val="235B39CD"/>
    <w:rsid w:val="235F6D44"/>
    <w:rsid w:val="237D2742"/>
    <w:rsid w:val="239041E3"/>
    <w:rsid w:val="23921CBB"/>
    <w:rsid w:val="23923D6A"/>
    <w:rsid w:val="239B0F08"/>
    <w:rsid w:val="23A61E45"/>
    <w:rsid w:val="23A91789"/>
    <w:rsid w:val="23B51FC7"/>
    <w:rsid w:val="23DD3B17"/>
    <w:rsid w:val="23F5768F"/>
    <w:rsid w:val="23FB085C"/>
    <w:rsid w:val="240D6A65"/>
    <w:rsid w:val="24164E51"/>
    <w:rsid w:val="241834F4"/>
    <w:rsid w:val="24227875"/>
    <w:rsid w:val="24261202"/>
    <w:rsid w:val="24262CA9"/>
    <w:rsid w:val="242727A7"/>
    <w:rsid w:val="24395947"/>
    <w:rsid w:val="243F0108"/>
    <w:rsid w:val="24470270"/>
    <w:rsid w:val="248460D7"/>
    <w:rsid w:val="2485604A"/>
    <w:rsid w:val="248F16F2"/>
    <w:rsid w:val="24936265"/>
    <w:rsid w:val="24987427"/>
    <w:rsid w:val="249F525C"/>
    <w:rsid w:val="24AC166D"/>
    <w:rsid w:val="24B31176"/>
    <w:rsid w:val="24B54E86"/>
    <w:rsid w:val="24B94890"/>
    <w:rsid w:val="24B95580"/>
    <w:rsid w:val="24DD062B"/>
    <w:rsid w:val="24EC2222"/>
    <w:rsid w:val="24F47978"/>
    <w:rsid w:val="25104D40"/>
    <w:rsid w:val="25337F4E"/>
    <w:rsid w:val="2540611D"/>
    <w:rsid w:val="254B331B"/>
    <w:rsid w:val="25596822"/>
    <w:rsid w:val="255C495B"/>
    <w:rsid w:val="255F4615"/>
    <w:rsid w:val="257238E2"/>
    <w:rsid w:val="257C1FB7"/>
    <w:rsid w:val="25807022"/>
    <w:rsid w:val="25874D85"/>
    <w:rsid w:val="258C5577"/>
    <w:rsid w:val="259445A3"/>
    <w:rsid w:val="25997426"/>
    <w:rsid w:val="25A0106E"/>
    <w:rsid w:val="25A206EF"/>
    <w:rsid w:val="25A64D9B"/>
    <w:rsid w:val="25A65283"/>
    <w:rsid w:val="25B81E4B"/>
    <w:rsid w:val="25C158AA"/>
    <w:rsid w:val="25D37969"/>
    <w:rsid w:val="25E35D6D"/>
    <w:rsid w:val="25F70153"/>
    <w:rsid w:val="25F856EE"/>
    <w:rsid w:val="26043763"/>
    <w:rsid w:val="26086C3B"/>
    <w:rsid w:val="26125EEC"/>
    <w:rsid w:val="261A0491"/>
    <w:rsid w:val="261D14F2"/>
    <w:rsid w:val="262729F9"/>
    <w:rsid w:val="262C1234"/>
    <w:rsid w:val="264C7FBE"/>
    <w:rsid w:val="265C2AE3"/>
    <w:rsid w:val="265C7310"/>
    <w:rsid w:val="26740FB2"/>
    <w:rsid w:val="267B40BC"/>
    <w:rsid w:val="268322D4"/>
    <w:rsid w:val="268D31B7"/>
    <w:rsid w:val="26B13C83"/>
    <w:rsid w:val="26B144C5"/>
    <w:rsid w:val="26C35AFB"/>
    <w:rsid w:val="26E35AF3"/>
    <w:rsid w:val="26EA646E"/>
    <w:rsid w:val="26F46631"/>
    <w:rsid w:val="26F62C50"/>
    <w:rsid w:val="26FC0BA8"/>
    <w:rsid w:val="26FE0DE8"/>
    <w:rsid w:val="27183CF0"/>
    <w:rsid w:val="2719536E"/>
    <w:rsid w:val="27305785"/>
    <w:rsid w:val="27313F6F"/>
    <w:rsid w:val="27523F5A"/>
    <w:rsid w:val="277E063D"/>
    <w:rsid w:val="27895DC8"/>
    <w:rsid w:val="278E6773"/>
    <w:rsid w:val="27941FAC"/>
    <w:rsid w:val="27A9623A"/>
    <w:rsid w:val="27C1083F"/>
    <w:rsid w:val="27CC3C98"/>
    <w:rsid w:val="27D53DD2"/>
    <w:rsid w:val="27D60D4F"/>
    <w:rsid w:val="27D86AE1"/>
    <w:rsid w:val="27DA54AA"/>
    <w:rsid w:val="28126B07"/>
    <w:rsid w:val="281D6DF8"/>
    <w:rsid w:val="2820049B"/>
    <w:rsid w:val="28263BE1"/>
    <w:rsid w:val="282853D8"/>
    <w:rsid w:val="282D1BB8"/>
    <w:rsid w:val="283C3BB7"/>
    <w:rsid w:val="283C4F58"/>
    <w:rsid w:val="284734A8"/>
    <w:rsid w:val="28505837"/>
    <w:rsid w:val="28562302"/>
    <w:rsid w:val="285B1C9B"/>
    <w:rsid w:val="286A62E0"/>
    <w:rsid w:val="28711BD6"/>
    <w:rsid w:val="28773C28"/>
    <w:rsid w:val="28832E00"/>
    <w:rsid w:val="28855A7D"/>
    <w:rsid w:val="288E106C"/>
    <w:rsid w:val="289A2CEC"/>
    <w:rsid w:val="289F225B"/>
    <w:rsid w:val="28A06A50"/>
    <w:rsid w:val="28A6098D"/>
    <w:rsid w:val="28BF0603"/>
    <w:rsid w:val="28E20B3B"/>
    <w:rsid w:val="28E46883"/>
    <w:rsid w:val="28F96038"/>
    <w:rsid w:val="29034603"/>
    <w:rsid w:val="29042CC3"/>
    <w:rsid w:val="29065C79"/>
    <w:rsid w:val="29067106"/>
    <w:rsid w:val="29083BBC"/>
    <w:rsid w:val="291137D0"/>
    <w:rsid w:val="2914762D"/>
    <w:rsid w:val="292B469F"/>
    <w:rsid w:val="292C53F2"/>
    <w:rsid w:val="2933098E"/>
    <w:rsid w:val="29336DAB"/>
    <w:rsid w:val="2935572C"/>
    <w:rsid w:val="295515CF"/>
    <w:rsid w:val="295E3B3D"/>
    <w:rsid w:val="29671ECA"/>
    <w:rsid w:val="29793933"/>
    <w:rsid w:val="29807B24"/>
    <w:rsid w:val="298505B5"/>
    <w:rsid w:val="298D7E8D"/>
    <w:rsid w:val="29A3008B"/>
    <w:rsid w:val="29AF73CD"/>
    <w:rsid w:val="29B61396"/>
    <w:rsid w:val="29BA15C5"/>
    <w:rsid w:val="29C42CCD"/>
    <w:rsid w:val="2A2A1124"/>
    <w:rsid w:val="2A360C12"/>
    <w:rsid w:val="2A3A33E0"/>
    <w:rsid w:val="2A472991"/>
    <w:rsid w:val="2A5255E5"/>
    <w:rsid w:val="2A5734D5"/>
    <w:rsid w:val="2A5B21CE"/>
    <w:rsid w:val="2A5E6539"/>
    <w:rsid w:val="2A662ED9"/>
    <w:rsid w:val="2A672B8E"/>
    <w:rsid w:val="2A742CD4"/>
    <w:rsid w:val="2A766AE6"/>
    <w:rsid w:val="2A9E0931"/>
    <w:rsid w:val="2AA21F72"/>
    <w:rsid w:val="2AB435F3"/>
    <w:rsid w:val="2AB76C7D"/>
    <w:rsid w:val="2ABD5C6C"/>
    <w:rsid w:val="2AC5426B"/>
    <w:rsid w:val="2AC916CD"/>
    <w:rsid w:val="2ADA028D"/>
    <w:rsid w:val="2ADD0C76"/>
    <w:rsid w:val="2AE50D22"/>
    <w:rsid w:val="2AE6192A"/>
    <w:rsid w:val="2AEA4217"/>
    <w:rsid w:val="2AF860BB"/>
    <w:rsid w:val="2AFB4D94"/>
    <w:rsid w:val="2B0900F8"/>
    <w:rsid w:val="2B1B3482"/>
    <w:rsid w:val="2B1C21DD"/>
    <w:rsid w:val="2B277B63"/>
    <w:rsid w:val="2B2816C4"/>
    <w:rsid w:val="2B2E737C"/>
    <w:rsid w:val="2B383401"/>
    <w:rsid w:val="2B546C60"/>
    <w:rsid w:val="2B831951"/>
    <w:rsid w:val="2BA67271"/>
    <w:rsid w:val="2BDA3FD7"/>
    <w:rsid w:val="2BE95450"/>
    <w:rsid w:val="2BFB2D9E"/>
    <w:rsid w:val="2C137C31"/>
    <w:rsid w:val="2C2A211F"/>
    <w:rsid w:val="2C2B52A1"/>
    <w:rsid w:val="2C35005E"/>
    <w:rsid w:val="2C4C46AC"/>
    <w:rsid w:val="2C506C46"/>
    <w:rsid w:val="2C7175F9"/>
    <w:rsid w:val="2C78798E"/>
    <w:rsid w:val="2C7F752B"/>
    <w:rsid w:val="2C8F1250"/>
    <w:rsid w:val="2CAD4307"/>
    <w:rsid w:val="2CC96F70"/>
    <w:rsid w:val="2CE053F9"/>
    <w:rsid w:val="2CE175D2"/>
    <w:rsid w:val="2CEF42F1"/>
    <w:rsid w:val="2CF862DE"/>
    <w:rsid w:val="2CFF7FBB"/>
    <w:rsid w:val="2D113745"/>
    <w:rsid w:val="2D173C07"/>
    <w:rsid w:val="2D265EC5"/>
    <w:rsid w:val="2D284F99"/>
    <w:rsid w:val="2D356CC7"/>
    <w:rsid w:val="2D370EFF"/>
    <w:rsid w:val="2D3F49A8"/>
    <w:rsid w:val="2D6D266E"/>
    <w:rsid w:val="2D6E46E5"/>
    <w:rsid w:val="2D6F2C44"/>
    <w:rsid w:val="2D7739CD"/>
    <w:rsid w:val="2D9935BB"/>
    <w:rsid w:val="2DAC0988"/>
    <w:rsid w:val="2DAF58E4"/>
    <w:rsid w:val="2DB365D7"/>
    <w:rsid w:val="2DC25AB2"/>
    <w:rsid w:val="2DF44782"/>
    <w:rsid w:val="2DF7757D"/>
    <w:rsid w:val="2DFD3D3A"/>
    <w:rsid w:val="2E043528"/>
    <w:rsid w:val="2E102296"/>
    <w:rsid w:val="2E163516"/>
    <w:rsid w:val="2E214642"/>
    <w:rsid w:val="2E251DDB"/>
    <w:rsid w:val="2E2573A3"/>
    <w:rsid w:val="2E435155"/>
    <w:rsid w:val="2E487BE7"/>
    <w:rsid w:val="2E4A12A9"/>
    <w:rsid w:val="2E4E2DB6"/>
    <w:rsid w:val="2E5B1621"/>
    <w:rsid w:val="2E741921"/>
    <w:rsid w:val="2E742C45"/>
    <w:rsid w:val="2E7F36EE"/>
    <w:rsid w:val="2E803B05"/>
    <w:rsid w:val="2E887C16"/>
    <w:rsid w:val="2E924DF5"/>
    <w:rsid w:val="2E997598"/>
    <w:rsid w:val="2E9D7FC4"/>
    <w:rsid w:val="2EBC611D"/>
    <w:rsid w:val="2EBF4D9A"/>
    <w:rsid w:val="2ED4639E"/>
    <w:rsid w:val="2ED76020"/>
    <w:rsid w:val="2ED86813"/>
    <w:rsid w:val="2EED5E1E"/>
    <w:rsid w:val="2EEE6241"/>
    <w:rsid w:val="2F0F2EE8"/>
    <w:rsid w:val="2F1D1F2B"/>
    <w:rsid w:val="2F2F6CA5"/>
    <w:rsid w:val="2F332A01"/>
    <w:rsid w:val="2F69626B"/>
    <w:rsid w:val="2F750C9D"/>
    <w:rsid w:val="2F7D0D19"/>
    <w:rsid w:val="2F8324CB"/>
    <w:rsid w:val="2FC35422"/>
    <w:rsid w:val="2FCE7D85"/>
    <w:rsid w:val="2FE95281"/>
    <w:rsid w:val="2FED5945"/>
    <w:rsid w:val="2FF4558E"/>
    <w:rsid w:val="2FFD020E"/>
    <w:rsid w:val="30015F52"/>
    <w:rsid w:val="30147FB5"/>
    <w:rsid w:val="30177E20"/>
    <w:rsid w:val="30326CA4"/>
    <w:rsid w:val="30327E9A"/>
    <w:rsid w:val="30454EDD"/>
    <w:rsid w:val="30561E3F"/>
    <w:rsid w:val="30567294"/>
    <w:rsid w:val="305C6460"/>
    <w:rsid w:val="30637A7F"/>
    <w:rsid w:val="30662EDC"/>
    <w:rsid w:val="3074351E"/>
    <w:rsid w:val="308002F5"/>
    <w:rsid w:val="30861C93"/>
    <w:rsid w:val="30B468EB"/>
    <w:rsid w:val="30B659E5"/>
    <w:rsid w:val="30BD5462"/>
    <w:rsid w:val="30CC197B"/>
    <w:rsid w:val="30D2231F"/>
    <w:rsid w:val="31073E9A"/>
    <w:rsid w:val="31095E99"/>
    <w:rsid w:val="311424C4"/>
    <w:rsid w:val="314C0FED"/>
    <w:rsid w:val="316453EB"/>
    <w:rsid w:val="316E077F"/>
    <w:rsid w:val="31777688"/>
    <w:rsid w:val="317C12E0"/>
    <w:rsid w:val="317C5755"/>
    <w:rsid w:val="318A1D21"/>
    <w:rsid w:val="318D6556"/>
    <w:rsid w:val="31B65F74"/>
    <w:rsid w:val="31B91D72"/>
    <w:rsid w:val="31B973BC"/>
    <w:rsid w:val="31CC2AEB"/>
    <w:rsid w:val="31CE74AB"/>
    <w:rsid w:val="31E22C88"/>
    <w:rsid w:val="31E3055C"/>
    <w:rsid w:val="31E50DBD"/>
    <w:rsid w:val="31F56649"/>
    <w:rsid w:val="31FB345B"/>
    <w:rsid w:val="32002EBC"/>
    <w:rsid w:val="32024E86"/>
    <w:rsid w:val="32045737"/>
    <w:rsid w:val="32121CCE"/>
    <w:rsid w:val="32254672"/>
    <w:rsid w:val="322614F1"/>
    <w:rsid w:val="322703D9"/>
    <w:rsid w:val="32580219"/>
    <w:rsid w:val="32622671"/>
    <w:rsid w:val="32626C5E"/>
    <w:rsid w:val="3275378F"/>
    <w:rsid w:val="32760377"/>
    <w:rsid w:val="327B4023"/>
    <w:rsid w:val="32875FC3"/>
    <w:rsid w:val="328D151A"/>
    <w:rsid w:val="32906E97"/>
    <w:rsid w:val="32967A1E"/>
    <w:rsid w:val="32A60AD6"/>
    <w:rsid w:val="32AD22CD"/>
    <w:rsid w:val="32B21843"/>
    <w:rsid w:val="32BE7D30"/>
    <w:rsid w:val="32C91500"/>
    <w:rsid w:val="32D13044"/>
    <w:rsid w:val="32E657BE"/>
    <w:rsid w:val="330E33B7"/>
    <w:rsid w:val="33100175"/>
    <w:rsid w:val="332F798C"/>
    <w:rsid w:val="33380139"/>
    <w:rsid w:val="333B4029"/>
    <w:rsid w:val="333C5CF4"/>
    <w:rsid w:val="333E643D"/>
    <w:rsid w:val="33462D44"/>
    <w:rsid w:val="334B4D35"/>
    <w:rsid w:val="337C23D7"/>
    <w:rsid w:val="33966F8E"/>
    <w:rsid w:val="33AC139A"/>
    <w:rsid w:val="33B9574A"/>
    <w:rsid w:val="33CE6121"/>
    <w:rsid w:val="33EB1895"/>
    <w:rsid w:val="33EB2CFE"/>
    <w:rsid w:val="33F22CD8"/>
    <w:rsid w:val="33FF738F"/>
    <w:rsid w:val="34085644"/>
    <w:rsid w:val="34130BB7"/>
    <w:rsid w:val="34220B68"/>
    <w:rsid w:val="34315799"/>
    <w:rsid w:val="343D2413"/>
    <w:rsid w:val="34497933"/>
    <w:rsid w:val="346040E6"/>
    <w:rsid w:val="3478760B"/>
    <w:rsid w:val="34803A4B"/>
    <w:rsid w:val="3484163B"/>
    <w:rsid w:val="349068D6"/>
    <w:rsid w:val="34A75447"/>
    <w:rsid w:val="34AF458A"/>
    <w:rsid w:val="34C42E24"/>
    <w:rsid w:val="34E25296"/>
    <w:rsid w:val="35066A3B"/>
    <w:rsid w:val="351005BE"/>
    <w:rsid w:val="35114E2A"/>
    <w:rsid w:val="351865CD"/>
    <w:rsid w:val="35300E62"/>
    <w:rsid w:val="353A46B7"/>
    <w:rsid w:val="35412930"/>
    <w:rsid w:val="3551007E"/>
    <w:rsid w:val="35542878"/>
    <w:rsid w:val="355D6F6B"/>
    <w:rsid w:val="356F73C9"/>
    <w:rsid w:val="357E1503"/>
    <w:rsid w:val="358B126D"/>
    <w:rsid w:val="359F46F7"/>
    <w:rsid w:val="35A149B6"/>
    <w:rsid w:val="35B6520A"/>
    <w:rsid w:val="35B97D8A"/>
    <w:rsid w:val="35BF112B"/>
    <w:rsid w:val="35C124E8"/>
    <w:rsid w:val="35C3639E"/>
    <w:rsid w:val="35C93E40"/>
    <w:rsid w:val="35DD0A13"/>
    <w:rsid w:val="35DE28BE"/>
    <w:rsid w:val="35E45CAC"/>
    <w:rsid w:val="35E6010D"/>
    <w:rsid w:val="35EF62E3"/>
    <w:rsid w:val="36095F6F"/>
    <w:rsid w:val="361E238F"/>
    <w:rsid w:val="36271DE2"/>
    <w:rsid w:val="36330B5B"/>
    <w:rsid w:val="366565D9"/>
    <w:rsid w:val="366C23BA"/>
    <w:rsid w:val="36704E75"/>
    <w:rsid w:val="3680580C"/>
    <w:rsid w:val="369B0D16"/>
    <w:rsid w:val="36B75421"/>
    <w:rsid w:val="36BD5ED1"/>
    <w:rsid w:val="36D21CD0"/>
    <w:rsid w:val="36DD2440"/>
    <w:rsid w:val="36E820CD"/>
    <w:rsid w:val="36F97871"/>
    <w:rsid w:val="36FE098C"/>
    <w:rsid w:val="370B6014"/>
    <w:rsid w:val="370D5DB4"/>
    <w:rsid w:val="37174EAC"/>
    <w:rsid w:val="374A71FD"/>
    <w:rsid w:val="374E3DB1"/>
    <w:rsid w:val="37563018"/>
    <w:rsid w:val="375A306E"/>
    <w:rsid w:val="377B35CD"/>
    <w:rsid w:val="37804A9F"/>
    <w:rsid w:val="37A61E87"/>
    <w:rsid w:val="37A83858"/>
    <w:rsid w:val="37AD285E"/>
    <w:rsid w:val="37AD7642"/>
    <w:rsid w:val="37AF433F"/>
    <w:rsid w:val="37B632EE"/>
    <w:rsid w:val="37BE1B0A"/>
    <w:rsid w:val="37C07E80"/>
    <w:rsid w:val="37D0278A"/>
    <w:rsid w:val="37D0450C"/>
    <w:rsid w:val="37FB71E9"/>
    <w:rsid w:val="380D6E80"/>
    <w:rsid w:val="38315151"/>
    <w:rsid w:val="383233D7"/>
    <w:rsid w:val="38455562"/>
    <w:rsid w:val="38472993"/>
    <w:rsid w:val="384814DC"/>
    <w:rsid w:val="38760ABD"/>
    <w:rsid w:val="387F453A"/>
    <w:rsid w:val="388850A3"/>
    <w:rsid w:val="388E7474"/>
    <w:rsid w:val="38AE1D53"/>
    <w:rsid w:val="38B958BC"/>
    <w:rsid w:val="38EC60F4"/>
    <w:rsid w:val="38F10F90"/>
    <w:rsid w:val="39081FC1"/>
    <w:rsid w:val="39097700"/>
    <w:rsid w:val="39181BFC"/>
    <w:rsid w:val="391B71E1"/>
    <w:rsid w:val="3921693D"/>
    <w:rsid w:val="3929383F"/>
    <w:rsid w:val="39423888"/>
    <w:rsid w:val="394F0354"/>
    <w:rsid w:val="395775B6"/>
    <w:rsid w:val="39680D49"/>
    <w:rsid w:val="39861D9A"/>
    <w:rsid w:val="398752FD"/>
    <w:rsid w:val="39902D77"/>
    <w:rsid w:val="399620C4"/>
    <w:rsid w:val="399801B5"/>
    <w:rsid w:val="39993283"/>
    <w:rsid w:val="39B03C24"/>
    <w:rsid w:val="39BD08D6"/>
    <w:rsid w:val="39BF21C4"/>
    <w:rsid w:val="39C15BB7"/>
    <w:rsid w:val="39C17C9D"/>
    <w:rsid w:val="39D35B0E"/>
    <w:rsid w:val="39EE6451"/>
    <w:rsid w:val="39F332F7"/>
    <w:rsid w:val="39F36F37"/>
    <w:rsid w:val="3A015A32"/>
    <w:rsid w:val="3A083BCE"/>
    <w:rsid w:val="3A0B3595"/>
    <w:rsid w:val="3A0C375E"/>
    <w:rsid w:val="3A0F2B9E"/>
    <w:rsid w:val="3A104174"/>
    <w:rsid w:val="3A177EA5"/>
    <w:rsid w:val="3A231E3E"/>
    <w:rsid w:val="3A2E433E"/>
    <w:rsid w:val="3A35754B"/>
    <w:rsid w:val="3A3A70A7"/>
    <w:rsid w:val="3A3C6009"/>
    <w:rsid w:val="3A523877"/>
    <w:rsid w:val="3A5E2F08"/>
    <w:rsid w:val="3A70030D"/>
    <w:rsid w:val="3A794863"/>
    <w:rsid w:val="3AAC38EE"/>
    <w:rsid w:val="3AB17A68"/>
    <w:rsid w:val="3AC4040A"/>
    <w:rsid w:val="3ACA4E79"/>
    <w:rsid w:val="3AD9039F"/>
    <w:rsid w:val="3B0332B6"/>
    <w:rsid w:val="3B0A6B5A"/>
    <w:rsid w:val="3B133373"/>
    <w:rsid w:val="3B1F062E"/>
    <w:rsid w:val="3B3616FD"/>
    <w:rsid w:val="3B4B0319"/>
    <w:rsid w:val="3B4C401C"/>
    <w:rsid w:val="3B63718F"/>
    <w:rsid w:val="3B8D7DDB"/>
    <w:rsid w:val="3B952BA0"/>
    <w:rsid w:val="3B9937F8"/>
    <w:rsid w:val="3BA76114"/>
    <w:rsid w:val="3BD60B15"/>
    <w:rsid w:val="3BD67EA9"/>
    <w:rsid w:val="3BDE05C2"/>
    <w:rsid w:val="3BE9676F"/>
    <w:rsid w:val="3BF35ACE"/>
    <w:rsid w:val="3BF868F0"/>
    <w:rsid w:val="3BFA71B6"/>
    <w:rsid w:val="3BFC52C0"/>
    <w:rsid w:val="3C007872"/>
    <w:rsid w:val="3C041E60"/>
    <w:rsid w:val="3C057EA4"/>
    <w:rsid w:val="3C0F6A54"/>
    <w:rsid w:val="3C1659EF"/>
    <w:rsid w:val="3C285230"/>
    <w:rsid w:val="3C374B47"/>
    <w:rsid w:val="3C4055AC"/>
    <w:rsid w:val="3C64769E"/>
    <w:rsid w:val="3C855B73"/>
    <w:rsid w:val="3C950AD9"/>
    <w:rsid w:val="3C97266F"/>
    <w:rsid w:val="3C984CFA"/>
    <w:rsid w:val="3C9C0A83"/>
    <w:rsid w:val="3CA41BCB"/>
    <w:rsid w:val="3CA8704A"/>
    <w:rsid w:val="3CAB5DCC"/>
    <w:rsid w:val="3CAC3AB4"/>
    <w:rsid w:val="3CAE1405"/>
    <w:rsid w:val="3CB40584"/>
    <w:rsid w:val="3CBA6A6B"/>
    <w:rsid w:val="3CC0289F"/>
    <w:rsid w:val="3CC74417"/>
    <w:rsid w:val="3CDB1805"/>
    <w:rsid w:val="3CDD63BA"/>
    <w:rsid w:val="3CEC2663"/>
    <w:rsid w:val="3CFB2BFE"/>
    <w:rsid w:val="3D04568C"/>
    <w:rsid w:val="3D065C2D"/>
    <w:rsid w:val="3D18555E"/>
    <w:rsid w:val="3D2D7CF1"/>
    <w:rsid w:val="3D382469"/>
    <w:rsid w:val="3D3D74A4"/>
    <w:rsid w:val="3D421FBB"/>
    <w:rsid w:val="3D4556A8"/>
    <w:rsid w:val="3D4B613B"/>
    <w:rsid w:val="3D511CB2"/>
    <w:rsid w:val="3D7912BE"/>
    <w:rsid w:val="3D954D1B"/>
    <w:rsid w:val="3DA54918"/>
    <w:rsid w:val="3DAC32D0"/>
    <w:rsid w:val="3DAD2FB3"/>
    <w:rsid w:val="3DDF33C5"/>
    <w:rsid w:val="3DF26EAB"/>
    <w:rsid w:val="3E250760"/>
    <w:rsid w:val="3E2E61E5"/>
    <w:rsid w:val="3E34779E"/>
    <w:rsid w:val="3E3D01C0"/>
    <w:rsid w:val="3E6433E1"/>
    <w:rsid w:val="3E682515"/>
    <w:rsid w:val="3E6A18F5"/>
    <w:rsid w:val="3E6E074A"/>
    <w:rsid w:val="3E6F4840"/>
    <w:rsid w:val="3E790347"/>
    <w:rsid w:val="3E7B428B"/>
    <w:rsid w:val="3E7D4167"/>
    <w:rsid w:val="3E8F18E6"/>
    <w:rsid w:val="3E9A01F4"/>
    <w:rsid w:val="3EAC24AC"/>
    <w:rsid w:val="3EC05EAD"/>
    <w:rsid w:val="3ED80669"/>
    <w:rsid w:val="3EDA5A73"/>
    <w:rsid w:val="3EDB6EA6"/>
    <w:rsid w:val="3EEE1E06"/>
    <w:rsid w:val="3EF042F3"/>
    <w:rsid w:val="3EF43590"/>
    <w:rsid w:val="3EFD479F"/>
    <w:rsid w:val="3F076999"/>
    <w:rsid w:val="3F092E43"/>
    <w:rsid w:val="3F0B7714"/>
    <w:rsid w:val="3F157E2C"/>
    <w:rsid w:val="3F1D5B1B"/>
    <w:rsid w:val="3F3C1C1F"/>
    <w:rsid w:val="3F5478F0"/>
    <w:rsid w:val="3F56527A"/>
    <w:rsid w:val="3F6953D3"/>
    <w:rsid w:val="3F8A2BD2"/>
    <w:rsid w:val="3F915037"/>
    <w:rsid w:val="3F9A29AC"/>
    <w:rsid w:val="3FAC2F82"/>
    <w:rsid w:val="3FC833AB"/>
    <w:rsid w:val="3FD2232A"/>
    <w:rsid w:val="3FD71B0B"/>
    <w:rsid w:val="3FE200A5"/>
    <w:rsid w:val="3FEC5A45"/>
    <w:rsid w:val="3FEE4391"/>
    <w:rsid w:val="3FF73B50"/>
    <w:rsid w:val="3FFC0940"/>
    <w:rsid w:val="400B0159"/>
    <w:rsid w:val="4019256B"/>
    <w:rsid w:val="40222A1C"/>
    <w:rsid w:val="40286525"/>
    <w:rsid w:val="4049358C"/>
    <w:rsid w:val="40583EC3"/>
    <w:rsid w:val="405C498F"/>
    <w:rsid w:val="406619C4"/>
    <w:rsid w:val="40683FD2"/>
    <w:rsid w:val="407E7DCE"/>
    <w:rsid w:val="408D2097"/>
    <w:rsid w:val="408F3999"/>
    <w:rsid w:val="4095041B"/>
    <w:rsid w:val="40985A6E"/>
    <w:rsid w:val="40AC2534"/>
    <w:rsid w:val="40B51316"/>
    <w:rsid w:val="40B72421"/>
    <w:rsid w:val="40B8753E"/>
    <w:rsid w:val="40C0050C"/>
    <w:rsid w:val="40C54353"/>
    <w:rsid w:val="40D85040"/>
    <w:rsid w:val="40DB5220"/>
    <w:rsid w:val="40DF7A24"/>
    <w:rsid w:val="40F40175"/>
    <w:rsid w:val="40F84D96"/>
    <w:rsid w:val="4108086F"/>
    <w:rsid w:val="41266D8C"/>
    <w:rsid w:val="41290E14"/>
    <w:rsid w:val="412B00F8"/>
    <w:rsid w:val="414671F4"/>
    <w:rsid w:val="41524DB6"/>
    <w:rsid w:val="41541510"/>
    <w:rsid w:val="41672FC7"/>
    <w:rsid w:val="41986808"/>
    <w:rsid w:val="41A279A9"/>
    <w:rsid w:val="41BD0302"/>
    <w:rsid w:val="41C17A71"/>
    <w:rsid w:val="41C52FAE"/>
    <w:rsid w:val="41E00E47"/>
    <w:rsid w:val="41E5468A"/>
    <w:rsid w:val="41F43B44"/>
    <w:rsid w:val="41F94A72"/>
    <w:rsid w:val="42164036"/>
    <w:rsid w:val="42186AF7"/>
    <w:rsid w:val="421C6E87"/>
    <w:rsid w:val="42244305"/>
    <w:rsid w:val="4236064E"/>
    <w:rsid w:val="424830B0"/>
    <w:rsid w:val="424A33D1"/>
    <w:rsid w:val="4261146D"/>
    <w:rsid w:val="42646A67"/>
    <w:rsid w:val="42864240"/>
    <w:rsid w:val="42930E3E"/>
    <w:rsid w:val="429A2639"/>
    <w:rsid w:val="42A6116B"/>
    <w:rsid w:val="42B1384B"/>
    <w:rsid w:val="42C658E9"/>
    <w:rsid w:val="42EF5F10"/>
    <w:rsid w:val="42FC3615"/>
    <w:rsid w:val="4309757F"/>
    <w:rsid w:val="43172248"/>
    <w:rsid w:val="4317713C"/>
    <w:rsid w:val="431E083A"/>
    <w:rsid w:val="4334358E"/>
    <w:rsid w:val="433F02A2"/>
    <w:rsid w:val="434C5240"/>
    <w:rsid w:val="434E0E4A"/>
    <w:rsid w:val="43557CCB"/>
    <w:rsid w:val="435766B4"/>
    <w:rsid w:val="43776534"/>
    <w:rsid w:val="437A2AA8"/>
    <w:rsid w:val="4395191F"/>
    <w:rsid w:val="43AD0C98"/>
    <w:rsid w:val="43B12268"/>
    <w:rsid w:val="43B469E6"/>
    <w:rsid w:val="43D35713"/>
    <w:rsid w:val="43D85A47"/>
    <w:rsid w:val="43E27EE9"/>
    <w:rsid w:val="43E83365"/>
    <w:rsid w:val="44086C32"/>
    <w:rsid w:val="440C56F0"/>
    <w:rsid w:val="44225715"/>
    <w:rsid w:val="442834DB"/>
    <w:rsid w:val="442A2938"/>
    <w:rsid w:val="442A4212"/>
    <w:rsid w:val="442B01FA"/>
    <w:rsid w:val="443F1C1C"/>
    <w:rsid w:val="44653AD3"/>
    <w:rsid w:val="44672BA3"/>
    <w:rsid w:val="446A5927"/>
    <w:rsid w:val="446F32B4"/>
    <w:rsid w:val="448177CE"/>
    <w:rsid w:val="44883D10"/>
    <w:rsid w:val="449261B4"/>
    <w:rsid w:val="449D0BB5"/>
    <w:rsid w:val="44B86210"/>
    <w:rsid w:val="44BF513E"/>
    <w:rsid w:val="44C412EE"/>
    <w:rsid w:val="44D9131A"/>
    <w:rsid w:val="44EF1B82"/>
    <w:rsid w:val="450C2D1B"/>
    <w:rsid w:val="4512377D"/>
    <w:rsid w:val="452A0524"/>
    <w:rsid w:val="45322F35"/>
    <w:rsid w:val="453552C7"/>
    <w:rsid w:val="45390690"/>
    <w:rsid w:val="45683831"/>
    <w:rsid w:val="458030D7"/>
    <w:rsid w:val="458E6926"/>
    <w:rsid w:val="45991206"/>
    <w:rsid w:val="45A92C29"/>
    <w:rsid w:val="45AD2F03"/>
    <w:rsid w:val="45B4629F"/>
    <w:rsid w:val="45B47127"/>
    <w:rsid w:val="45C7589C"/>
    <w:rsid w:val="45D4243B"/>
    <w:rsid w:val="45E16D9A"/>
    <w:rsid w:val="45E77C31"/>
    <w:rsid w:val="45FC39A7"/>
    <w:rsid w:val="45FD0DD3"/>
    <w:rsid w:val="45FD1FD2"/>
    <w:rsid w:val="45FF7453"/>
    <w:rsid w:val="4607171C"/>
    <w:rsid w:val="4613347F"/>
    <w:rsid w:val="461B2714"/>
    <w:rsid w:val="462A1627"/>
    <w:rsid w:val="46335B71"/>
    <w:rsid w:val="46421BBA"/>
    <w:rsid w:val="46434882"/>
    <w:rsid w:val="464B0671"/>
    <w:rsid w:val="464D1D1C"/>
    <w:rsid w:val="466C78C2"/>
    <w:rsid w:val="466D6B92"/>
    <w:rsid w:val="46827EEC"/>
    <w:rsid w:val="468E6612"/>
    <w:rsid w:val="469B2720"/>
    <w:rsid w:val="46A00E0D"/>
    <w:rsid w:val="46A52E67"/>
    <w:rsid w:val="46A72DD3"/>
    <w:rsid w:val="46A73FBF"/>
    <w:rsid w:val="46BE7DCB"/>
    <w:rsid w:val="46D732E9"/>
    <w:rsid w:val="470537A8"/>
    <w:rsid w:val="472826DB"/>
    <w:rsid w:val="473B1766"/>
    <w:rsid w:val="473D2DF8"/>
    <w:rsid w:val="474234A4"/>
    <w:rsid w:val="47511A30"/>
    <w:rsid w:val="475C6CC6"/>
    <w:rsid w:val="475F06C2"/>
    <w:rsid w:val="47677A39"/>
    <w:rsid w:val="476D64A6"/>
    <w:rsid w:val="47732C73"/>
    <w:rsid w:val="47740C4C"/>
    <w:rsid w:val="47785835"/>
    <w:rsid w:val="4783729F"/>
    <w:rsid w:val="478642B1"/>
    <w:rsid w:val="479C322F"/>
    <w:rsid w:val="47A85066"/>
    <w:rsid w:val="47AD59DD"/>
    <w:rsid w:val="47B30398"/>
    <w:rsid w:val="47C51B95"/>
    <w:rsid w:val="47CB3CD3"/>
    <w:rsid w:val="47D101F8"/>
    <w:rsid w:val="47D44777"/>
    <w:rsid w:val="47D506CC"/>
    <w:rsid w:val="47D637A9"/>
    <w:rsid w:val="47F4254D"/>
    <w:rsid w:val="480248A9"/>
    <w:rsid w:val="48101CBE"/>
    <w:rsid w:val="481C7E55"/>
    <w:rsid w:val="485D175A"/>
    <w:rsid w:val="48686BA7"/>
    <w:rsid w:val="4871096F"/>
    <w:rsid w:val="487C3C0A"/>
    <w:rsid w:val="489108BA"/>
    <w:rsid w:val="489C1ED7"/>
    <w:rsid w:val="489D725F"/>
    <w:rsid w:val="48B24FB6"/>
    <w:rsid w:val="48BF3C0B"/>
    <w:rsid w:val="48EF128F"/>
    <w:rsid w:val="48F1704F"/>
    <w:rsid w:val="48F66308"/>
    <w:rsid w:val="48FE0750"/>
    <w:rsid w:val="49085996"/>
    <w:rsid w:val="490A73B3"/>
    <w:rsid w:val="491870F6"/>
    <w:rsid w:val="491D5CAA"/>
    <w:rsid w:val="49247E1D"/>
    <w:rsid w:val="492651B9"/>
    <w:rsid w:val="4930526E"/>
    <w:rsid w:val="49480DCE"/>
    <w:rsid w:val="494E4446"/>
    <w:rsid w:val="49656387"/>
    <w:rsid w:val="49733BD2"/>
    <w:rsid w:val="498B5FAD"/>
    <w:rsid w:val="49B22896"/>
    <w:rsid w:val="49BB792D"/>
    <w:rsid w:val="49C03205"/>
    <w:rsid w:val="49C12C11"/>
    <w:rsid w:val="49D54266"/>
    <w:rsid w:val="49DA3524"/>
    <w:rsid w:val="49E076E0"/>
    <w:rsid w:val="49E07CAE"/>
    <w:rsid w:val="49EA403B"/>
    <w:rsid w:val="49FC29AC"/>
    <w:rsid w:val="49FF655D"/>
    <w:rsid w:val="4A0313E0"/>
    <w:rsid w:val="4A0D055A"/>
    <w:rsid w:val="4A105C74"/>
    <w:rsid w:val="4A226C77"/>
    <w:rsid w:val="4A335D22"/>
    <w:rsid w:val="4A361FF5"/>
    <w:rsid w:val="4A3F4EFA"/>
    <w:rsid w:val="4A5703C7"/>
    <w:rsid w:val="4A586283"/>
    <w:rsid w:val="4A5E4E94"/>
    <w:rsid w:val="4A600544"/>
    <w:rsid w:val="4A8F2235"/>
    <w:rsid w:val="4A946EDA"/>
    <w:rsid w:val="4AA868BD"/>
    <w:rsid w:val="4AAC592D"/>
    <w:rsid w:val="4ABA08D2"/>
    <w:rsid w:val="4ABC43D3"/>
    <w:rsid w:val="4AC11F00"/>
    <w:rsid w:val="4AC37342"/>
    <w:rsid w:val="4ACC3519"/>
    <w:rsid w:val="4AD016D9"/>
    <w:rsid w:val="4AD555E3"/>
    <w:rsid w:val="4ADD3456"/>
    <w:rsid w:val="4AE21D92"/>
    <w:rsid w:val="4AF01045"/>
    <w:rsid w:val="4B146A70"/>
    <w:rsid w:val="4B1B3801"/>
    <w:rsid w:val="4B1C31F5"/>
    <w:rsid w:val="4B224245"/>
    <w:rsid w:val="4B2C6058"/>
    <w:rsid w:val="4B3B465C"/>
    <w:rsid w:val="4B3C13FC"/>
    <w:rsid w:val="4B3F37D6"/>
    <w:rsid w:val="4B525BFF"/>
    <w:rsid w:val="4B550B71"/>
    <w:rsid w:val="4B624C17"/>
    <w:rsid w:val="4B665409"/>
    <w:rsid w:val="4B7C7600"/>
    <w:rsid w:val="4B8940CB"/>
    <w:rsid w:val="4B8E06C7"/>
    <w:rsid w:val="4B9F7BD0"/>
    <w:rsid w:val="4BAB521F"/>
    <w:rsid w:val="4BB65988"/>
    <w:rsid w:val="4BBA2C0F"/>
    <w:rsid w:val="4BCB3A60"/>
    <w:rsid w:val="4BCC4CF2"/>
    <w:rsid w:val="4BDD1706"/>
    <w:rsid w:val="4BE662F8"/>
    <w:rsid w:val="4C19436A"/>
    <w:rsid w:val="4C2233C9"/>
    <w:rsid w:val="4C315B76"/>
    <w:rsid w:val="4C3E1016"/>
    <w:rsid w:val="4C5032F9"/>
    <w:rsid w:val="4C5061DA"/>
    <w:rsid w:val="4C530E54"/>
    <w:rsid w:val="4C5365B2"/>
    <w:rsid w:val="4C580AB8"/>
    <w:rsid w:val="4C673247"/>
    <w:rsid w:val="4C7D6471"/>
    <w:rsid w:val="4C7E413F"/>
    <w:rsid w:val="4C9158C6"/>
    <w:rsid w:val="4C991C8B"/>
    <w:rsid w:val="4C9F5810"/>
    <w:rsid w:val="4CA02E7A"/>
    <w:rsid w:val="4CA071DE"/>
    <w:rsid w:val="4CB41487"/>
    <w:rsid w:val="4CC71D28"/>
    <w:rsid w:val="4CD71A19"/>
    <w:rsid w:val="4CE502BA"/>
    <w:rsid w:val="4CEB3AC6"/>
    <w:rsid w:val="4CEF01C2"/>
    <w:rsid w:val="4CF74DF1"/>
    <w:rsid w:val="4D033872"/>
    <w:rsid w:val="4D282CB4"/>
    <w:rsid w:val="4D35314D"/>
    <w:rsid w:val="4D3A764E"/>
    <w:rsid w:val="4D4F66A2"/>
    <w:rsid w:val="4D602609"/>
    <w:rsid w:val="4D65491F"/>
    <w:rsid w:val="4D695A84"/>
    <w:rsid w:val="4D7826C2"/>
    <w:rsid w:val="4D7C1916"/>
    <w:rsid w:val="4D80427A"/>
    <w:rsid w:val="4DAC417B"/>
    <w:rsid w:val="4DB91875"/>
    <w:rsid w:val="4DBB76DD"/>
    <w:rsid w:val="4DC1760D"/>
    <w:rsid w:val="4DEB6377"/>
    <w:rsid w:val="4E037B64"/>
    <w:rsid w:val="4E467429"/>
    <w:rsid w:val="4E5B4F1A"/>
    <w:rsid w:val="4E5C714C"/>
    <w:rsid w:val="4E674515"/>
    <w:rsid w:val="4E766DCA"/>
    <w:rsid w:val="4E944C60"/>
    <w:rsid w:val="4E9B742D"/>
    <w:rsid w:val="4EA21304"/>
    <w:rsid w:val="4EA35214"/>
    <w:rsid w:val="4EB963AC"/>
    <w:rsid w:val="4ECB4B86"/>
    <w:rsid w:val="4EE5123E"/>
    <w:rsid w:val="4EEE449A"/>
    <w:rsid w:val="4EFF2036"/>
    <w:rsid w:val="4F15469D"/>
    <w:rsid w:val="4F177C64"/>
    <w:rsid w:val="4F277882"/>
    <w:rsid w:val="4F2813BC"/>
    <w:rsid w:val="4F307428"/>
    <w:rsid w:val="4F3E6BAD"/>
    <w:rsid w:val="4F6448E6"/>
    <w:rsid w:val="4F7E6A86"/>
    <w:rsid w:val="4F84224C"/>
    <w:rsid w:val="4F865575"/>
    <w:rsid w:val="4F9D3D28"/>
    <w:rsid w:val="4FA93458"/>
    <w:rsid w:val="4FD86E42"/>
    <w:rsid w:val="4FDD0708"/>
    <w:rsid w:val="4FDF129B"/>
    <w:rsid w:val="4FE36668"/>
    <w:rsid w:val="500D5266"/>
    <w:rsid w:val="502D02BC"/>
    <w:rsid w:val="503F0ADB"/>
    <w:rsid w:val="504910C0"/>
    <w:rsid w:val="505755CF"/>
    <w:rsid w:val="50654F5D"/>
    <w:rsid w:val="506B28F9"/>
    <w:rsid w:val="507A7EED"/>
    <w:rsid w:val="50862EBF"/>
    <w:rsid w:val="50A167A6"/>
    <w:rsid w:val="50AD1162"/>
    <w:rsid w:val="50B767F3"/>
    <w:rsid w:val="50BB6C18"/>
    <w:rsid w:val="50D27DC9"/>
    <w:rsid w:val="50D32789"/>
    <w:rsid w:val="50DA7966"/>
    <w:rsid w:val="50F6420F"/>
    <w:rsid w:val="51032E99"/>
    <w:rsid w:val="511A55F5"/>
    <w:rsid w:val="511E4AFB"/>
    <w:rsid w:val="512A771B"/>
    <w:rsid w:val="51423F3F"/>
    <w:rsid w:val="51563916"/>
    <w:rsid w:val="516B2392"/>
    <w:rsid w:val="517944E3"/>
    <w:rsid w:val="517A1C8B"/>
    <w:rsid w:val="518D6F84"/>
    <w:rsid w:val="518F0A98"/>
    <w:rsid w:val="519F4C80"/>
    <w:rsid w:val="51A76A58"/>
    <w:rsid w:val="51AC071A"/>
    <w:rsid w:val="51C42651"/>
    <w:rsid w:val="51D073E2"/>
    <w:rsid w:val="51D319DC"/>
    <w:rsid w:val="51DC2BA6"/>
    <w:rsid w:val="51E43809"/>
    <w:rsid w:val="51EB0450"/>
    <w:rsid w:val="51F4250A"/>
    <w:rsid w:val="51FF0DA4"/>
    <w:rsid w:val="520C6CF5"/>
    <w:rsid w:val="5235773C"/>
    <w:rsid w:val="52433C8C"/>
    <w:rsid w:val="52481638"/>
    <w:rsid w:val="52505328"/>
    <w:rsid w:val="526111CA"/>
    <w:rsid w:val="526E631D"/>
    <w:rsid w:val="52742908"/>
    <w:rsid w:val="527D0FCF"/>
    <w:rsid w:val="528A1DDC"/>
    <w:rsid w:val="52B0187A"/>
    <w:rsid w:val="52B37C14"/>
    <w:rsid w:val="52BB38CD"/>
    <w:rsid w:val="52D32AFD"/>
    <w:rsid w:val="52D60543"/>
    <w:rsid w:val="52D732A5"/>
    <w:rsid w:val="52E16C74"/>
    <w:rsid w:val="52EA0F6C"/>
    <w:rsid w:val="52F862F6"/>
    <w:rsid w:val="53132824"/>
    <w:rsid w:val="531B1F77"/>
    <w:rsid w:val="532919F9"/>
    <w:rsid w:val="53495F19"/>
    <w:rsid w:val="537312E8"/>
    <w:rsid w:val="537568EB"/>
    <w:rsid w:val="537C01FC"/>
    <w:rsid w:val="53875891"/>
    <w:rsid w:val="538C1B8B"/>
    <w:rsid w:val="53A75537"/>
    <w:rsid w:val="53B02D77"/>
    <w:rsid w:val="53B259B4"/>
    <w:rsid w:val="53C75190"/>
    <w:rsid w:val="53CA1678"/>
    <w:rsid w:val="53D02C93"/>
    <w:rsid w:val="53D253E8"/>
    <w:rsid w:val="53D26CE1"/>
    <w:rsid w:val="53E640F6"/>
    <w:rsid w:val="53F77FA0"/>
    <w:rsid w:val="540B11D0"/>
    <w:rsid w:val="540B4B5C"/>
    <w:rsid w:val="54114ECD"/>
    <w:rsid w:val="54174C72"/>
    <w:rsid w:val="541F0A81"/>
    <w:rsid w:val="54444556"/>
    <w:rsid w:val="54581E2C"/>
    <w:rsid w:val="546A6E75"/>
    <w:rsid w:val="549429E8"/>
    <w:rsid w:val="54B14E4C"/>
    <w:rsid w:val="54B543A7"/>
    <w:rsid w:val="54C12853"/>
    <w:rsid w:val="54C91A93"/>
    <w:rsid w:val="54F853A4"/>
    <w:rsid w:val="55144C91"/>
    <w:rsid w:val="55171A38"/>
    <w:rsid w:val="552B771C"/>
    <w:rsid w:val="55314071"/>
    <w:rsid w:val="553418CE"/>
    <w:rsid w:val="554977D8"/>
    <w:rsid w:val="55545149"/>
    <w:rsid w:val="556105F9"/>
    <w:rsid w:val="557F00E0"/>
    <w:rsid w:val="55863ECD"/>
    <w:rsid w:val="558B7AEE"/>
    <w:rsid w:val="558C6760"/>
    <w:rsid w:val="558E1534"/>
    <w:rsid w:val="55AF1263"/>
    <w:rsid w:val="55B77D77"/>
    <w:rsid w:val="55BA71B9"/>
    <w:rsid w:val="55BC0759"/>
    <w:rsid w:val="55DC238B"/>
    <w:rsid w:val="560C2F2A"/>
    <w:rsid w:val="560C648C"/>
    <w:rsid w:val="560D1066"/>
    <w:rsid w:val="56141B3E"/>
    <w:rsid w:val="56147511"/>
    <w:rsid w:val="562853A5"/>
    <w:rsid w:val="56296E98"/>
    <w:rsid w:val="56385CD5"/>
    <w:rsid w:val="563F7369"/>
    <w:rsid w:val="564C272D"/>
    <w:rsid w:val="56552B53"/>
    <w:rsid w:val="566B4657"/>
    <w:rsid w:val="567315FF"/>
    <w:rsid w:val="567F2E40"/>
    <w:rsid w:val="56A03A60"/>
    <w:rsid w:val="56BA1069"/>
    <w:rsid w:val="56C63E25"/>
    <w:rsid w:val="56D150F8"/>
    <w:rsid w:val="56D96637"/>
    <w:rsid w:val="56E105A0"/>
    <w:rsid w:val="56F2249E"/>
    <w:rsid w:val="56FC53B7"/>
    <w:rsid w:val="570C258A"/>
    <w:rsid w:val="5711709A"/>
    <w:rsid w:val="571A18B9"/>
    <w:rsid w:val="572838B6"/>
    <w:rsid w:val="5735678E"/>
    <w:rsid w:val="57395227"/>
    <w:rsid w:val="573A5607"/>
    <w:rsid w:val="574E09E5"/>
    <w:rsid w:val="575F2348"/>
    <w:rsid w:val="57634C64"/>
    <w:rsid w:val="576F31AC"/>
    <w:rsid w:val="5781723C"/>
    <w:rsid w:val="57A35DD5"/>
    <w:rsid w:val="57A35F14"/>
    <w:rsid w:val="57A711C3"/>
    <w:rsid w:val="57AE2D97"/>
    <w:rsid w:val="57C13588"/>
    <w:rsid w:val="57D165DD"/>
    <w:rsid w:val="57F75354"/>
    <w:rsid w:val="57FB672D"/>
    <w:rsid w:val="583901BC"/>
    <w:rsid w:val="58500008"/>
    <w:rsid w:val="58577CD9"/>
    <w:rsid w:val="58640B60"/>
    <w:rsid w:val="5873011B"/>
    <w:rsid w:val="58760270"/>
    <w:rsid w:val="58777E35"/>
    <w:rsid w:val="58A95022"/>
    <w:rsid w:val="58B310B2"/>
    <w:rsid w:val="58BD0915"/>
    <w:rsid w:val="58CA26C5"/>
    <w:rsid w:val="58CC18E4"/>
    <w:rsid w:val="58D7635A"/>
    <w:rsid w:val="58E66A98"/>
    <w:rsid w:val="58E862D4"/>
    <w:rsid w:val="58F775CC"/>
    <w:rsid w:val="59020CA0"/>
    <w:rsid w:val="590A38D7"/>
    <w:rsid w:val="59122A32"/>
    <w:rsid w:val="594553E8"/>
    <w:rsid w:val="59494744"/>
    <w:rsid w:val="594A2AEF"/>
    <w:rsid w:val="59594825"/>
    <w:rsid w:val="59672C03"/>
    <w:rsid w:val="59681FE6"/>
    <w:rsid w:val="597927C5"/>
    <w:rsid w:val="597F3D9B"/>
    <w:rsid w:val="598873E0"/>
    <w:rsid w:val="59930CF7"/>
    <w:rsid w:val="599F0380"/>
    <w:rsid w:val="59AA401D"/>
    <w:rsid w:val="59B112C8"/>
    <w:rsid w:val="59BF09DC"/>
    <w:rsid w:val="59CF1B5C"/>
    <w:rsid w:val="59D46B9E"/>
    <w:rsid w:val="59D940F7"/>
    <w:rsid w:val="59DA5391"/>
    <w:rsid w:val="59E75CE1"/>
    <w:rsid w:val="59E84B37"/>
    <w:rsid w:val="59F16A47"/>
    <w:rsid w:val="59FC4381"/>
    <w:rsid w:val="5A1541EF"/>
    <w:rsid w:val="5A1B6236"/>
    <w:rsid w:val="5A247BD9"/>
    <w:rsid w:val="5A2C1FF7"/>
    <w:rsid w:val="5A2E7D17"/>
    <w:rsid w:val="5A4C313B"/>
    <w:rsid w:val="5A544046"/>
    <w:rsid w:val="5A5D684E"/>
    <w:rsid w:val="5A843D12"/>
    <w:rsid w:val="5A9A5574"/>
    <w:rsid w:val="5A9B4650"/>
    <w:rsid w:val="5A9D62BE"/>
    <w:rsid w:val="5AB91563"/>
    <w:rsid w:val="5ACC1D6D"/>
    <w:rsid w:val="5AF87E3B"/>
    <w:rsid w:val="5AFB4F55"/>
    <w:rsid w:val="5B2339EA"/>
    <w:rsid w:val="5B323825"/>
    <w:rsid w:val="5B34328B"/>
    <w:rsid w:val="5B3A3212"/>
    <w:rsid w:val="5B6F2CD4"/>
    <w:rsid w:val="5B723F98"/>
    <w:rsid w:val="5B94188A"/>
    <w:rsid w:val="5B962873"/>
    <w:rsid w:val="5B9D6595"/>
    <w:rsid w:val="5B9E0C30"/>
    <w:rsid w:val="5B9F3C4D"/>
    <w:rsid w:val="5BB30490"/>
    <w:rsid w:val="5BC37259"/>
    <w:rsid w:val="5BF37570"/>
    <w:rsid w:val="5BF4598C"/>
    <w:rsid w:val="5C0A711E"/>
    <w:rsid w:val="5C0B3592"/>
    <w:rsid w:val="5C0C1651"/>
    <w:rsid w:val="5C1C7736"/>
    <w:rsid w:val="5C211135"/>
    <w:rsid w:val="5C3006A3"/>
    <w:rsid w:val="5C341831"/>
    <w:rsid w:val="5C3E066E"/>
    <w:rsid w:val="5C451C04"/>
    <w:rsid w:val="5C574084"/>
    <w:rsid w:val="5C662436"/>
    <w:rsid w:val="5C711B53"/>
    <w:rsid w:val="5C7327D5"/>
    <w:rsid w:val="5C74277E"/>
    <w:rsid w:val="5CA558EE"/>
    <w:rsid w:val="5CA83261"/>
    <w:rsid w:val="5CAA1B44"/>
    <w:rsid w:val="5CAD4C31"/>
    <w:rsid w:val="5CBB5AD1"/>
    <w:rsid w:val="5CDB22B2"/>
    <w:rsid w:val="5CE869E7"/>
    <w:rsid w:val="5CEC3A93"/>
    <w:rsid w:val="5CF02974"/>
    <w:rsid w:val="5CF3328E"/>
    <w:rsid w:val="5D172D29"/>
    <w:rsid w:val="5D191988"/>
    <w:rsid w:val="5D1D2351"/>
    <w:rsid w:val="5D286D1C"/>
    <w:rsid w:val="5D2F0B9C"/>
    <w:rsid w:val="5D3E57BF"/>
    <w:rsid w:val="5D456C5D"/>
    <w:rsid w:val="5D534DFA"/>
    <w:rsid w:val="5D5E4DB7"/>
    <w:rsid w:val="5D6177EB"/>
    <w:rsid w:val="5D644A5E"/>
    <w:rsid w:val="5D660226"/>
    <w:rsid w:val="5D7052E8"/>
    <w:rsid w:val="5D972776"/>
    <w:rsid w:val="5D9803E5"/>
    <w:rsid w:val="5D9C426B"/>
    <w:rsid w:val="5DA6066D"/>
    <w:rsid w:val="5DC155E2"/>
    <w:rsid w:val="5DC77A7D"/>
    <w:rsid w:val="5DCE3595"/>
    <w:rsid w:val="5DDF1250"/>
    <w:rsid w:val="5DE46853"/>
    <w:rsid w:val="5DFB3406"/>
    <w:rsid w:val="5E03058A"/>
    <w:rsid w:val="5E343A69"/>
    <w:rsid w:val="5E391380"/>
    <w:rsid w:val="5E3F7B29"/>
    <w:rsid w:val="5E674359"/>
    <w:rsid w:val="5E6C789D"/>
    <w:rsid w:val="5E6E75DC"/>
    <w:rsid w:val="5E8176F5"/>
    <w:rsid w:val="5E886AB2"/>
    <w:rsid w:val="5E8E13E1"/>
    <w:rsid w:val="5EA031D7"/>
    <w:rsid w:val="5EAB1BFE"/>
    <w:rsid w:val="5EAD4F26"/>
    <w:rsid w:val="5EB04D15"/>
    <w:rsid w:val="5EB60BE1"/>
    <w:rsid w:val="5EBA3564"/>
    <w:rsid w:val="5EBF53A3"/>
    <w:rsid w:val="5EC40C4A"/>
    <w:rsid w:val="5EC42D73"/>
    <w:rsid w:val="5EE832CD"/>
    <w:rsid w:val="5F131BD1"/>
    <w:rsid w:val="5F2775AB"/>
    <w:rsid w:val="5F2B0CC9"/>
    <w:rsid w:val="5F2F4571"/>
    <w:rsid w:val="5F314416"/>
    <w:rsid w:val="5F3D2878"/>
    <w:rsid w:val="5F433CAA"/>
    <w:rsid w:val="5F55219B"/>
    <w:rsid w:val="5F567E51"/>
    <w:rsid w:val="5F5C12CC"/>
    <w:rsid w:val="5F5E46B6"/>
    <w:rsid w:val="5F713F59"/>
    <w:rsid w:val="5F7E43A9"/>
    <w:rsid w:val="5F852E00"/>
    <w:rsid w:val="5F944D2C"/>
    <w:rsid w:val="5FAF1D2B"/>
    <w:rsid w:val="5FB076B3"/>
    <w:rsid w:val="5FF20AFC"/>
    <w:rsid w:val="5FF95CF0"/>
    <w:rsid w:val="600B03DB"/>
    <w:rsid w:val="601403A0"/>
    <w:rsid w:val="602D5B23"/>
    <w:rsid w:val="60384F4A"/>
    <w:rsid w:val="604717F4"/>
    <w:rsid w:val="60585A05"/>
    <w:rsid w:val="605F5FC9"/>
    <w:rsid w:val="605F7014"/>
    <w:rsid w:val="6075696B"/>
    <w:rsid w:val="607A026E"/>
    <w:rsid w:val="607D1674"/>
    <w:rsid w:val="607F1107"/>
    <w:rsid w:val="60986083"/>
    <w:rsid w:val="60995172"/>
    <w:rsid w:val="60D879D0"/>
    <w:rsid w:val="60E92E92"/>
    <w:rsid w:val="60EA6DBF"/>
    <w:rsid w:val="60EB076B"/>
    <w:rsid w:val="60FB4DB6"/>
    <w:rsid w:val="60FC6813"/>
    <w:rsid w:val="610C4BE7"/>
    <w:rsid w:val="610E027E"/>
    <w:rsid w:val="611546E8"/>
    <w:rsid w:val="614070E3"/>
    <w:rsid w:val="61447B2A"/>
    <w:rsid w:val="615A329C"/>
    <w:rsid w:val="615D5F76"/>
    <w:rsid w:val="61602D99"/>
    <w:rsid w:val="61614457"/>
    <w:rsid w:val="61837C6A"/>
    <w:rsid w:val="618F3EEB"/>
    <w:rsid w:val="61977124"/>
    <w:rsid w:val="61A022DC"/>
    <w:rsid w:val="61A8034D"/>
    <w:rsid w:val="61AD3C17"/>
    <w:rsid w:val="61C01245"/>
    <w:rsid w:val="61C53651"/>
    <w:rsid w:val="61D32419"/>
    <w:rsid w:val="61D86AC2"/>
    <w:rsid w:val="61D94BC9"/>
    <w:rsid w:val="61DD3DBD"/>
    <w:rsid w:val="61F80C66"/>
    <w:rsid w:val="62121B84"/>
    <w:rsid w:val="621707D2"/>
    <w:rsid w:val="621E126D"/>
    <w:rsid w:val="621E79B1"/>
    <w:rsid w:val="627B2514"/>
    <w:rsid w:val="627F40C0"/>
    <w:rsid w:val="62D31496"/>
    <w:rsid w:val="62D8085E"/>
    <w:rsid w:val="62F37535"/>
    <w:rsid w:val="6304720E"/>
    <w:rsid w:val="6317647D"/>
    <w:rsid w:val="63271B4D"/>
    <w:rsid w:val="634017D0"/>
    <w:rsid w:val="634356BE"/>
    <w:rsid w:val="63602364"/>
    <w:rsid w:val="637E6B1D"/>
    <w:rsid w:val="63842BA1"/>
    <w:rsid w:val="63862BDB"/>
    <w:rsid w:val="63890961"/>
    <w:rsid w:val="63AB1815"/>
    <w:rsid w:val="63B74EB4"/>
    <w:rsid w:val="63C82D7B"/>
    <w:rsid w:val="63CB6AB3"/>
    <w:rsid w:val="63CD67F3"/>
    <w:rsid w:val="63CE07E2"/>
    <w:rsid w:val="63CF4857"/>
    <w:rsid w:val="63E61A22"/>
    <w:rsid w:val="63FC4011"/>
    <w:rsid w:val="63FC7607"/>
    <w:rsid w:val="640129AD"/>
    <w:rsid w:val="641B5047"/>
    <w:rsid w:val="64287DB3"/>
    <w:rsid w:val="64410840"/>
    <w:rsid w:val="644A26BD"/>
    <w:rsid w:val="644A7B32"/>
    <w:rsid w:val="644C31F4"/>
    <w:rsid w:val="645B4775"/>
    <w:rsid w:val="6462460C"/>
    <w:rsid w:val="649F006C"/>
    <w:rsid w:val="64B81251"/>
    <w:rsid w:val="64B94AF5"/>
    <w:rsid w:val="64E85211"/>
    <w:rsid w:val="64E92E1C"/>
    <w:rsid w:val="64FF18B5"/>
    <w:rsid w:val="650243B9"/>
    <w:rsid w:val="65026BDB"/>
    <w:rsid w:val="65117867"/>
    <w:rsid w:val="651463E2"/>
    <w:rsid w:val="652F281B"/>
    <w:rsid w:val="653F29F5"/>
    <w:rsid w:val="6541453A"/>
    <w:rsid w:val="654639B4"/>
    <w:rsid w:val="654C68BB"/>
    <w:rsid w:val="654E239B"/>
    <w:rsid w:val="655D0241"/>
    <w:rsid w:val="655D61EF"/>
    <w:rsid w:val="655F16CC"/>
    <w:rsid w:val="65632BDD"/>
    <w:rsid w:val="65670A98"/>
    <w:rsid w:val="657D7570"/>
    <w:rsid w:val="658035E0"/>
    <w:rsid w:val="658C49BA"/>
    <w:rsid w:val="658D20FB"/>
    <w:rsid w:val="65A26DA2"/>
    <w:rsid w:val="65A64869"/>
    <w:rsid w:val="65A73F78"/>
    <w:rsid w:val="65AB0421"/>
    <w:rsid w:val="65AD2895"/>
    <w:rsid w:val="65AD7198"/>
    <w:rsid w:val="65C8209C"/>
    <w:rsid w:val="65C877A8"/>
    <w:rsid w:val="65CF5DCC"/>
    <w:rsid w:val="65E5645F"/>
    <w:rsid w:val="66024B2B"/>
    <w:rsid w:val="6604248E"/>
    <w:rsid w:val="6607023B"/>
    <w:rsid w:val="660940C1"/>
    <w:rsid w:val="660C20CD"/>
    <w:rsid w:val="663368B5"/>
    <w:rsid w:val="66371225"/>
    <w:rsid w:val="663A5C95"/>
    <w:rsid w:val="663C37BC"/>
    <w:rsid w:val="664C70F5"/>
    <w:rsid w:val="665239A5"/>
    <w:rsid w:val="667A2535"/>
    <w:rsid w:val="667C2A13"/>
    <w:rsid w:val="66A40EC3"/>
    <w:rsid w:val="66A76FE8"/>
    <w:rsid w:val="66BB5028"/>
    <w:rsid w:val="66BC2E64"/>
    <w:rsid w:val="66C35C8B"/>
    <w:rsid w:val="66CB2C4B"/>
    <w:rsid w:val="66F07D1F"/>
    <w:rsid w:val="66F85EEB"/>
    <w:rsid w:val="66FE037E"/>
    <w:rsid w:val="670505A3"/>
    <w:rsid w:val="671D5821"/>
    <w:rsid w:val="67380715"/>
    <w:rsid w:val="673D77EB"/>
    <w:rsid w:val="673F7A07"/>
    <w:rsid w:val="67500689"/>
    <w:rsid w:val="675608AD"/>
    <w:rsid w:val="675F74A3"/>
    <w:rsid w:val="67621C63"/>
    <w:rsid w:val="67674E71"/>
    <w:rsid w:val="676C2544"/>
    <w:rsid w:val="677D0530"/>
    <w:rsid w:val="678425C5"/>
    <w:rsid w:val="67874F0A"/>
    <w:rsid w:val="678B6633"/>
    <w:rsid w:val="67931A25"/>
    <w:rsid w:val="679C7F03"/>
    <w:rsid w:val="67A20E06"/>
    <w:rsid w:val="67AC4971"/>
    <w:rsid w:val="67B260A2"/>
    <w:rsid w:val="67B55C52"/>
    <w:rsid w:val="67D70A13"/>
    <w:rsid w:val="67DE7902"/>
    <w:rsid w:val="67E4151C"/>
    <w:rsid w:val="67F43BF8"/>
    <w:rsid w:val="68031240"/>
    <w:rsid w:val="68131890"/>
    <w:rsid w:val="681F0869"/>
    <w:rsid w:val="6827157D"/>
    <w:rsid w:val="68301F85"/>
    <w:rsid w:val="68336E40"/>
    <w:rsid w:val="683C1A57"/>
    <w:rsid w:val="6848510B"/>
    <w:rsid w:val="68546CA3"/>
    <w:rsid w:val="685A43CD"/>
    <w:rsid w:val="68672197"/>
    <w:rsid w:val="68824B4F"/>
    <w:rsid w:val="688F0483"/>
    <w:rsid w:val="68901641"/>
    <w:rsid w:val="68921AFE"/>
    <w:rsid w:val="6892270C"/>
    <w:rsid w:val="689D12AB"/>
    <w:rsid w:val="689F3AA5"/>
    <w:rsid w:val="68A90F2B"/>
    <w:rsid w:val="68AA1A8D"/>
    <w:rsid w:val="68B22C67"/>
    <w:rsid w:val="68C12974"/>
    <w:rsid w:val="68CD35E8"/>
    <w:rsid w:val="68D44F7B"/>
    <w:rsid w:val="68D667FD"/>
    <w:rsid w:val="68EB3D86"/>
    <w:rsid w:val="68ED66A7"/>
    <w:rsid w:val="69097344"/>
    <w:rsid w:val="69155D57"/>
    <w:rsid w:val="691D1C9F"/>
    <w:rsid w:val="692F1135"/>
    <w:rsid w:val="6938470E"/>
    <w:rsid w:val="694C640B"/>
    <w:rsid w:val="694F587F"/>
    <w:rsid w:val="69515F5C"/>
    <w:rsid w:val="695A3FCE"/>
    <w:rsid w:val="695E28A4"/>
    <w:rsid w:val="696C260A"/>
    <w:rsid w:val="69804268"/>
    <w:rsid w:val="698A5288"/>
    <w:rsid w:val="699C2DDE"/>
    <w:rsid w:val="69B83B56"/>
    <w:rsid w:val="69B94F53"/>
    <w:rsid w:val="69C77E24"/>
    <w:rsid w:val="69E76943"/>
    <w:rsid w:val="69EE239F"/>
    <w:rsid w:val="69F045F4"/>
    <w:rsid w:val="6A152BAE"/>
    <w:rsid w:val="6A1B7B8C"/>
    <w:rsid w:val="6A1D76B2"/>
    <w:rsid w:val="6A1E4EFF"/>
    <w:rsid w:val="6A241FFF"/>
    <w:rsid w:val="6A2D413C"/>
    <w:rsid w:val="6A312653"/>
    <w:rsid w:val="6A3C685F"/>
    <w:rsid w:val="6A3D6C69"/>
    <w:rsid w:val="6A472730"/>
    <w:rsid w:val="6A4A19DD"/>
    <w:rsid w:val="6A4C3FCD"/>
    <w:rsid w:val="6A805EC4"/>
    <w:rsid w:val="6A951EC1"/>
    <w:rsid w:val="6A9963AD"/>
    <w:rsid w:val="6AB90E49"/>
    <w:rsid w:val="6AC92D71"/>
    <w:rsid w:val="6AD171E3"/>
    <w:rsid w:val="6AD20FDE"/>
    <w:rsid w:val="6AF644F9"/>
    <w:rsid w:val="6AF76E18"/>
    <w:rsid w:val="6AFC146C"/>
    <w:rsid w:val="6B075030"/>
    <w:rsid w:val="6B170785"/>
    <w:rsid w:val="6B387031"/>
    <w:rsid w:val="6B4013C8"/>
    <w:rsid w:val="6B621F16"/>
    <w:rsid w:val="6B801951"/>
    <w:rsid w:val="6B8C2AEF"/>
    <w:rsid w:val="6B94314E"/>
    <w:rsid w:val="6B974453"/>
    <w:rsid w:val="6B974B12"/>
    <w:rsid w:val="6BA74DA7"/>
    <w:rsid w:val="6BCA44D1"/>
    <w:rsid w:val="6BDD4FB2"/>
    <w:rsid w:val="6BE37CD5"/>
    <w:rsid w:val="6BED518D"/>
    <w:rsid w:val="6BEE0469"/>
    <w:rsid w:val="6C283CF7"/>
    <w:rsid w:val="6C2A2A52"/>
    <w:rsid w:val="6C3D568A"/>
    <w:rsid w:val="6C541E4C"/>
    <w:rsid w:val="6C7E6F78"/>
    <w:rsid w:val="6C9D0D2C"/>
    <w:rsid w:val="6CB70981"/>
    <w:rsid w:val="6CC0101E"/>
    <w:rsid w:val="6CDD1B06"/>
    <w:rsid w:val="6CE34A00"/>
    <w:rsid w:val="6CE46AA3"/>
    <w:rsid w:val="6CE701AB"/>
    <w:rsid w:val="6CF1759D"/>
    <w:rsid w:val="6CF30947"/>
    <w:rsid w:val="6D000E38"/>
    <w:rsid w:val="6D2342E3"/>
    <w:rsid w:val="6D250779"/>
    <w:rsid w:val="6D313E98"/>
    <w:rsid w:val="6D34602D"/>
    <w:rsid w:val="6D372F2F"/>
    <w:rsid w:val="6D4E2B86"/>
    <w:rsid w:val="6D5C7E93"/>
    <w:rsid w:val="6D616EF0"/>
    <w:rsid w:val="6D7B3CEF"/>
    <w:rsid w:val="6D9003ED"/>
    <w:rsid w:val="6D9B73D5"/>
    <w:rsid w:val="6DA76190"/>
    <w:rsid w:val="6DCA56E4"/>
    <w:rsid w:val="6DCD449C"/>
    <w:rsid w:val="6DD30EA9"/>
    <w:rsid w:val="6DDB2F95"/>
    <w:rsid w:val="6DDB4C59"/>
    <w:rsid w:val="6DED3F0C"/>
    <w:rsid w:val="6DF05627"/>
    <w:rsid w:val="6E173687"/>
    <w:rsid w:val="6E21234B"/>
    <w:rsid w:val="6E2469D1"/>
    <w:rsid w:val="6E371E3D"/>
    <w:rsid w:val="6E663769"/>
    <w:rsid w:val="6E69536A"/>
    <w:rsid w:val="6E6C2EB5"/>
    <w:rsid w:val="6E7066F8"/>
    <w:rsid w:val="6E740B7E"/>
    <w:rsid w:val="6E7C353A"/>
    <w:rsid w:val="6E7F649F"/>
    <w:rsid w:val="6E8B3928"/>
    <w:rsid w:val="6EA106AD"/>
    <w:rsid w:val="6EA16987"/>
    <w:rsid w:val="6EB2181E"/>
    <w:rsid w:val="6EC61EB5"/>
    <w:rsid w:val="6ECD7D42"/>
    <w:rsid w:val="6ED5120E"/>
    <w:rsid w:val="6EDA3BBE"/>
    <w:rsid w:val="6EF301D1"/>
    <w:rsid w:val="6F00046B"/>
    <w:rsid w:val="6F0C113F"/>
    <w:rsid w:val="6F104BC8"/>
    <w:rsid w:val="6F142072"/>
    <w:rsid w:val="6F2455FB"/>
    <w:rsid w:val="6F254591"/>
    <w:rsid w:val="6F3F75DB"/>
    <w:rsid w:val="6F43097C"/>
    <w:rsid w:val="6F6F6C8E"/>
    <w:rsid w:val="6F7C6217"/>
    <w:rsid w:val="6F7D0192"/>
    <w:rsid w:val="6F8552C9"/>
    <w:rsid w:val="6F8C6D0A"/>
    <w:rsid w:val="6F8D5C1A"/>
    <w:rsid w:val="6FAE04D8"/>
    <w:rsid w:val="6FB76B15"/>
    <w:rsid w:val="6FBA2E34"/>
    <w:rsid w:val="6FC00454"/>
    <w:rsid w:val="6FD27139"/>
    <w:rsid w:val="6FD60C69"/>
    <w:rsid w:val="6FDB2297"/>
    <w:rsid w:val="6FDF0263"/>
    <w:rsid w:val="6FFD6B0D"/>
    <w:rsid w:val="6FFE4871"/>
    <w:rsid w:val="70052D36"/>
    <w:rsid w:val="701B0A47"/>
    <w:rsid w:val="703B6854"/>
    <w:rsid w:val="704A2BF5"/>
    <w:rsid w:val="704A44DC"/>
    <w:rsid w:val="70562D4C"/>
    <w:rsid w:val="705C1404"/>
    <w:rsid w:val="706042B0"/>
    <w:rsid w:val="70736CF4"/>
    <w:rsid w:val="70883034"/>
    <w:rsid w:val="70956D9D"/>
    <w:rsid w:val="709C3FB7"/>
    <w:rsid w:val="70B36D70"/>
    <w:rsid w:val="70CD36F2"/>
    <w:rsid w:val="70D0347E"/>
    <w:rsid w:val="70D56CE6"/>
    <w:rsid w:val="70E91E18"/>
    <w:rsid w:val="70FB5530"/>
    <w:rsid w:val="71034BF0"/>
    <w:rsid w:val="710C4E8E"/>
    <w:rsid w:val="71107D1F"/>
    <w:rsid w:val="71112849"/>
    <w:rsid w:val="712A369A"/>
    <w:rsid w:val="7139324F"/>
    <w:rsid w:val="714B4BF4"/>
    <w:rsid w:val="715D3041"/>
    <w:rsid w:val="716147BD"/>
    <w:rsid w:val="71914515"/>
    <w:rsid w:val="71926E34"/>
    <w:rsid w:val="71966195"/>
    <w:rsid w:val="71A62874"/>
    <w:rsid w:val="71AC41A9"/>
    <w:rsid w:val="71AE0030"/>
    <w:rsid w:val="71B45A69"/>
    <w:rsid w:val="71B63752"/>
    <w:rsid w:val="71B9481B"/>
    <w:rsid w:val="71BD0A4A"/>
    <w:rsid w:val="71CC6C33"/>
    <w:rsid w:val="71D85FFC"/>
    <w:rsid w:val="71DC74B1"/>
    <w:rsid w:val="71E45E26"/>
    <w:rsid w:val="71EC253A"/>
    <w:rsid w:val="71ED3ECE"/>
    <w:rsid w:val="71F9610A"/>
    <w:rsid w:val="72190F08"/>
    <w:rsid w:val="722C544C"/>
    <w:rsid w:val="72314B52"/>
    <w:rsid w:val="724831FD"/>
    <w:rsid w:val="72611DE4"/>
    <w:rsid w:val="726E545D"/>
    <w:rsid w:val="72744427"/>
    <w:rsid w:val="729351C2"/>
    <w:rsid w:val="72945355"/>
    <w:rsid w:val="72C351E0"/>
    <w:rsid w:val="72C4309D"/>
    <w:rsid w:val="72C62D8B"/>
    <w:rsid w:val="72C951ED"/>
    <w:rsid w:val="72CE34AB"/>
    <w:rsid w:val="72D37BC9"/>
    <w:rsid w:val="72E54D74"/>
    <w:rsid w:val="72FE4D55"/>
    <w:rsid w:val="730416CF"/>
    <w:rsid w:val="730B7176"/>
    <w:rsid w:val="73146504"/>
    <w:rsid w:val="73170AE5"/>
    <w:rsid w:val="73214C2D"/>
    <w:rsid w:val="73522F82"/>
    <w:rsid w:val="73530B5E"/>
    <w:rsid w:val="736E4CCB"/>
    <w:rsid w:val="73755FEE"/>
    <w:rsid w:val="737A4021"/>
    <w:rsid w:val="737E0E65"/>
    <w:rsid w:val="737F3376"/>
    <w:rsid w:val="739420B8"/>
    <w:rsid w:val="739D59CB"/>
    <w:rsid w:val="73A63B1E"/>
    <w:rsid w:val="73AC6DEF"/>
    <w:rsid w:val="73BD19FA"/>
    <w:rsid w:val="73C506C2"/>
    <w:rsid w:val="73C80716"/>
    <w:rsid w:val="73E05551"/>
    <w:rsid w:val="73F645A6"/>
    <w:rsid w:val="74064FB6"/>
    <w:rsid w:val="74123DAE"/>
    <w:rsid w:val="741842A8"/>
    <w:rsid w:val="7426359B"/>
    <w:rsid w:val="74586B0E"/>
    <w:rsid w:val="745D75D2"/>
    <w:rsid w:val="74654825"/>
    <w:rsid w:val="74676930"/>
    <w:rsid w:val="746B0231"/>
    <w:rsid w:val="74707ADD"/>
    <w:rsid w:val="74864EC8"/>
    <w:rsid w:val="748E0B8F"/>
    <w:rsid w:val="74A165CC"/>
    <w:rsid w:val="74A16D95"/>
    <w:rsid w:val="74A56499"/>
    <w:rsid w:val="74AA161E"/>
    <w:rsid w:val="74B02DA5"/>
    <w:rsid w:val="74BF43A5"/>
    <w:rsid w:val="74C17ED7"/>
    <w:rsid w:val="74EE6A9F"/>
    <w:rsid w:val="75125A3B"/>
    <w:rsid w:val="75174806"/>
    <w:rsid w:val="753A3015"/>
    <w:rsid w:val="75583BF9"/>
    <w:rsid w:val="75593FF3"/>
    <w:rsid w:val="75632CDE"/>
    <w:rsid w:val="75856EB5"/>
    <w:rsid w:val="759D29B9"/>
    <w:rsid w:val="759D3A19"/>
    <w:rsid w:val="75A57E4E"/>
    <w:rsid w:val="75AF1B91"/>
    <w:rsid w:val="75BC5EF2"/>
    <w:rsid w:val="75C44FD5"/>
    <w:rsid w:val="75C96ABD"/>
    <w:rsid w:val="7602195B"/>
    <w:rsid w:val="76026183"/>
    <w:rsid w:val="760875BD"/>
    <w:rsid w:val="7610256F"/>
    <w:rsid w:val="761728C2"/>
    <w:rsid w:val="761E054A"/>
    <w:rsid w:val="76226DFD"/>
    <w:rsid w:val="7633179A"/>
    <w:rsid w:val="765051C5"/>
    <w:rsid w:val="76617797"/>
    <w:rsid w:val="76633C13"/>
    <w:rsid w:val="767148A9"/>
    <w:rsid w:val="767F6B9B"/>
    <w:rsid w:val="76866C66"/>
    <w:rsid w:val="768A4537"/>
    <w:rsid w:val="769B467F"/>
    <w:rsid w:val="76A5616A"/>
    <w:rsid w:val="76E967B8"/>
    <w:rsid w:val="76EC4D8A"/>
    <w:rsid w:val="770E30B8"/>
    <w:rsid w:val="775D1328"/>
    <w:rsid w:val="77644920"/>
    <w:rsid w:val="77790FEA"/>
    <w:rsid w:val="77884C97"/>
    <w:rsid w:val="77986E44"/>
    <w:rsid w:val="779A0511"/>
    <w:rsid w:val="779E6DF1"/>
    <w:rsid w:val="77B215FC"/>
    <w:rsid w:val="77B21EB8"/>
    <w:rsid w:val="77D95447"/>
    <w:rsid w:val="77F83115"/>
    <w:rsid w:val="77FA5D85"/>
    <w:rsid w:val="780C063B"/>
    <w:rsid w:val="78101184"/>
    <w:rsid w:val="7819479A"/>
    <w:rsid w:val="782D2DA5"/>
    <w:rsid w:val="78370543"/>
    <w:rsid w:val="783750BA"/>
    <w:rsid w:val="78400147"/>
    <w:rsid w:val="78611019"/>
    <w:rsid w:val="78632C1E"/>
    <w:rsid w:val="786457E7"/>
    <w:rsid w:val="78656612"/>
    <w:rsid w:val="787E39B8"/>
    <w:rsid w:val="78886D34"/>
    <w:rsid w:val="788A52C4"/>
    <w:rsid w:val="78A34E92"/>
    <w:rsid w:val="78B5647F"/>
    <w:rsid w:val="78BE5352"/>
    <w:rsid w:val="78C87DA9"/>
    <w:rsid w:val="78D80950"/>
    <w:rsid w:val="78F4299B"/>
    <w:rsid w:val="78F56EEE"/>
    <w:rsid w:val="78FB390E"/>
    <w:rsid w:val="78FE0367"/>
    <w:rsid w:val="79041498"/>
    <w:rsid w:val="790B1159"/>
    <w:rsid w:val="79170ECF"/>
    <w:rsid w:val="79185D1D"/>
    <w:rsid w:val="791D0239"/>
    <w:rsid w:val="79301689"/>
    <w:rsid w:val="79493C7C"/>
    <w:rsid w:val="794B3591"/>
    <w:rsid w:val="79697C75"/>
    <w:rsid w:val="7981041A"/>
    <w:rsid w:val="79865859"/>
    <w:rsid w:val="7987697C"/>
    <w:rsid w:val="79993864"/>
    <w:rsid w:val="79A55C14"/>
    <w:rsid w:val="79A6138D"/>
    <w:rsid w:val="79BA3C8B"/>
    <w:rsid w:val="79D000F9"/>
    <w:rsid w:val="79D02741"/>
    <w:rsid w:val="79D27F8B"/>
    <w:rsid w:val="79DD4D76"/>
    <w:rsid w:val="79EA5DF4"/>
    <w:rsid w:val="79EC5000"/>
    <w:rsid w:val="79F621A4"/>
    <w:rsid w:val="79F8572F"/>
    <w:rsid w:val="7A150F10"/>
    <w:rsid w:val="7A212F9C"/>
    <w:rsid w:val="7A272D9B"/>
    <w:rsid w:val="7A2E5018"/>
    <w:rsid w:val="7A39199C"/>
    <w:rsid w:val="7A53721E"/>
    <w:rsid w:val="7A580ED1"/>
    <w:rsid w:val="7A5D0AD6"/>
    <w:rsid w:val="7A642AB8"/>
    <w:rsid w:val="7A673BB5"/>
    <w:rsid w:val="7A6D4D07"/>
    <w:rsid w:val="7A9456EE"/>
    <w:rsid w:val="7A946EF7"/>
    <w:rsid w:val="7AA16AB8"/>
    <w:rsid w:val="7AA644C2"/>
    <w:rsid w:val="7AAA326D"/>
    <w:rsid w:val="7AAE21A0"/>
    <w:rsid w:val="7AB563AD"/>
    <w:rsid w:val="7AD93641"/>
    <w:rsid w:val="7AE33FEF"/>
    <w:rsid w:val="7AF015F6"/>
    <w:rsid w:val="7AF8105F"/>
    <w:rsid w:val="7AF83161"/>
    <w:rsid w:val="7AF87DC9"/>
    <w:rsid w:val="7B2F20A4"/>
    <w:rsid w:val="7B471151"/>
    <w:rsid w:val="7B5A6841"/>
    <w:rsid w:val="7BA545B2"/>
    <w:rsid w:val="7BAE7B3B"/>
    <w:rsid w:val="7BAF18BE"/>
    <w:rsid w:val="7BBD12C0"/>
    <w:rsid w:val="7BCA2359"/>
    <w:rsid w:val="7BCF06D6"/>
    <w:rsid w:val="7BDD4AC3"/>
    <w:rsid w:val="7BEC742F"/>
    <w:rsid w:val="7BF561F8"/>
    <w:rsid w:val="7BF67A2F"/>
    <w:rsid w:val="7BF77CA4"/>
    <w:rsid w:val="7BFA2DF0"/>
    <w:rsid w:val="7BFD6DCA"/>
    <w:rsid w:val="7BFF5B00"/>
    <w:rsid w:val="7C2208B5"/>
    <w:rsid w:val="7C2A3365"/>
    <w:rsid w:val="7C30396B"/>
    <w:rsid w:val="7C3B051C"/>
    <w:rsid w:val="7C466CEA"/>
    <w:rsid w:val="7C4C7994"/>
    <w:rsid w:val="7C560E32"/>
    <w:rsid w:val="7C582263"/>
    <w:rsid w:val="7C6115CA"/>
    <w:rsid w:val="7C68323F"/>
    <w:rsid w:val="7C751844"/>
    <w:rsid w:val="7C8727CE"/>
    <w:rsid w:val="7C8C5DEA"/>
    <w:rsid w:val="7C9B7036"/>
    <w:rsid w:val="7C9C6915"/>
    <w:rsid w:val="7CCB08C7"/>
    <w:rsid w:val="7CCF6CE0"/>
    <w:rsid w:val="7CDA525D"/>
    <w:rsid w:val="7CDD6D3A"/>
    <w:rsid w:val="7CDE33C7"/>
    <w:rsid w:val="7D2705C7"/>
    <w:rsid w:val="7D3239CC"/>
    <w:rsid w:val="7D3A4C97"/>
    <w:rsid w:val="7D3B1D01"/>
    <w:rsid w:val="7D5344B7"/>
    <w:rsid w:val="7D622872"/>
    <w:rsid w:val="7D62661E"/>
    <w:rsid w:val="7D7D192F"/>
    <w:rsid w:val="7D7E0C84"/>
    <w:rsid w:val="7D964C7E"/>
    <w:rsid w:val="7DA7616E"/>
    <w:rsid w:val="7DA939D5"/>
    <w:rsid w:val="7DB32FF4"/>
    <w:rsid w:val="7DB36293"/>
    <w:rsid w:val="7DB57B16"/>
    <w:rsid w:val="7DBA7965"/>
    <w:rsid w:val="7E0E654E"/>
    <w:rsid w:val="7E215BF2"/>
    <w:rsid w:val="7E352EF4"/>
    <w:rsid w:val="7E486D4A"/>
    <w:rsid w:val="7E4B306B"/>
    <w:rsid w:val="7E881B82"/>
    <w:rsid w:val="7E891BD2"/>
    <w:rsid w:val="7E9A579F"/>
    <w:rsid w:val="7E9B4DC3"/>
    <w:rsid w:val="7E9D04FF"/>
    <w:rsid w:val="7EC45544"/>
    <w:rsid w:val="7EC47E47"/>
    <w:rsid w:val="7EE63963"/>
    <w:rsid w:val="7EEB151D"/>
    <w:rsid w:val="7EF51922"/>
    <w:rsid w:val="7F214816"/>
    <w:rsid w:val="7F274819"/>
    <w:rsid w:val="7F2D6DED"/>
    <w:rsid w:val="7F422531"/>
    <w:rsid w:val="7F4A2E8A"/>
    <w:rsid w:val="7F5E463C"/>
    <w:rsid w:val="7F6408BD"/>
    <w:rsid w:val="7F646474"/>
    <w:rsid w:val="7F7B48C9"/>
    <w:rsid w:val="7F89586C"/>
    <w:rsid w:val="7FA51B6C"/>
    <w:rsid w:val="7FAB1702"/>
    <w:rsid w:val="7FAF1224"/>
    <w:rsid w:val="7FB43042"/>
    <w:rsid w:val="7FBA5A25"/>
    <w:rsid w:val="7FC900FA"/>
    <w:rsid w:val="7FCE14D1"/>
    <w:rsid w:val="7FD762E0"/>
    <w:rsid w:val="7FE370CE"/>
    <w:rsid w:val="7FF5173B"/>
    <w:rsid w:val="7FF61D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7"/>
    <w:qFormat/>
    <w:uiPriority w:val="0"/>
    <w:pPr>
      <w:keepNext/>
      <w:keepLines/>
      <w:autoSpaceDE w:val="0"/>
      <w:autoSpaceDN w:val="0"/>
      <w:adjustRightInd w:val="0"/>
      <w:spacing w:before="120" w:line="300" w:lineRule="auto"/>
      <w:jc w:val="center"/>
      <w:outlineLvl w:val="1"/>
    </w:pPr>
    <w:rPr>
      <w:rFonts w:ascii="Arial" w:hAnsi="Arial" w:eastAsia="宋体"/>
      <w:b/>
      <w:kern w:val="0"/>
      <w:sz w:val="28"/>
      <w:szCs w:val="20"/>
    </w:rPr>
  </w:style>
  <w:style w:type="paragraph" w:styleId="4">
    <w:name w:val="heading 3"/>
    <w:basedOn w:val="1"/>
    <w:next w:val="1"/>
    <w:link w:val="4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uto"/>
      <w:outlineLvl w:val="3"/>
    </w:pPr>
    <w:rPr>
      <w:rFonts w:ascii="Arial" w:hAnsi="Arial" w:eastAsia="宋体"/>
      <w:b/>
      <w:bCs/>
      <w:sz w:val="21"/>
      <w:szCs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39"/>
    <w:pPr>
      <w:ind w:left="2520" w:leftChars="1200"/>
    </w:pPr>
  </w:style>
  <w:style w:type="paragraph" w:styleId="7">
    <w:name w:val="index 8"/>
    <w:basedOn w:val="1"/>
    <w:next w:val="1"/>
    <w:qFormat/>
    <w:uiPriority w:val="0"/>
    <w:pPr>
      <w:ind w:left="3920" w:leftChars="1400"/>
    </w:p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unhideWhenUsed/>
    <w:qFormat/>
    <w:uiPriority w:val="99"/>
    <w:pPr>
      <w:spacing w:before="120"/>
    </w:pPr>
    <w:rPr>
      <w:rFonts w:ascii="Cambria" w:hAnsi="Cambria" w:cs="Times New Roman"/>
      <w:sz w:val="24"/>
      <w:szCs w:val="24"/>
    </w:rPr>
  </w:style>
  <w:style w:type="paragraph" w:styleId="10">
    <w:name w:val="annotation text"/>
    <w:basedOn w:val="1"/>
    <w:link w:val="49"/>
    <w:qFormat/>
    <w:uiPriority w:val="99"/>
    <w:pPr>
      <w:jc w:val="left"/>
    </w:pPr>
  </w:style>
  <w:style w:type="paragraph" w:styleId="11">
    <w:name w:val="Body Text"/>
    <w:basedOn w:val="1"/>
    <w:next w:val="1"/>
    <w:link w:val="50"/>
    <w:qFormat/>
    <w:uiPriority w:val="0"/>
    <w:pPr>
      <w:tabs>
        <w:tab w:val="left" w:pos="567"/>
      </w:tabs>
      <w:spacing w:before="120" w:line="22" w:lineRule="atLeast"/>
    </w:pPr>
    <w:rPr>
      <w:rFonts w:ascii="宋体" w:hAnsi="宋体"/>
      <w:sz w:val="24"/>
    </w:rPr>
  </w:style>
  <w:style w:type="paragraph" w:styleId="12">
    <w:name w:val="Body Text Indent"/>
    <w:basedOn w:val="1"/>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next w:val="16"/>
    <w:link w:val="51"/>
    <w:qFormat/>
    <w:uiPriority w:val="0"/>
    <w:rPr>
      <w:rFonts w:ascii="宋体" w:hAnsi="Courier New"/>
      <w:szCs w:val="20"/>
    </w:rPr>
  </w:style>
  <w:style w:type="paragraph" w:styleId="16">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7">
    <w:name w:val="toc 8"/>
    <w:basedOn w:val="1"/>
    <w:next w:val="1"/>
    <w:qFormat/>
    <w:uiPriority w:val="39"/>
    <w:pPr>
      <w:ind w:left="2940" w:leftChars="1400"/>
    </w:pPr>
  </w:style>
  <w:style w:type="paragraph" w:styleId="18">
    <w:name w:val="Date"/>
    <w:basedOn w:val="1"/>
    <w:next w:val="1"/>
    <w:link w:val="52"/>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3"/>
    <w:qFormat/>
    <w:uiPriority w:val="0"/>
    <w:rPr>
      <w:sz w:val="18"/>
      <w:szCs w:val="18"/>
    </w:rPr>
  </w:style>
  <w:style w:type="paragraph" w:styleId="21">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footnote text"/>
    <w:basedOn w:val="1"/>
    <w:next w:val="11"/>
    <w:qFormat/>
    <w:uiPriority w:val="0"/>
    <w:pPr>
      <w:snapToGrid w:val="0"/>
      <w:jc w:val="left"/>
    </w:pPr>
    <w:rPr>
      <w:sz w:val="18"/>
    </w:rPr>
  </w:style>
  <w:style w:type="paragraph" w:styleId="26">
    <w:name w:val="toc 6"/>
    <w:basedOn w:val="1"/>
    <w:next w:val="1"/>
    <w:qFormat/>
    <w:uiPriority w:val="39"/>
    <w:pPr>
      <w:ind w:left="2100" w:leftChars="1000"/>
    </w:pPr>
  </w:style>
  <w:style w:type="paragraph" w:styleId="27">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index 7"/>
    <w:basedOn w:val="1"/>
    <w:next w:val="1"/>
    <w:unhideWhenUsed/>
    <w:qFormat/>
    <w:uiPriority w:val="0"/>
    <w:pPr>
      <w:adjustRightInd w:val="0"/>
      <w:spacing w:beforeLines="0" w:afterLines="0" w:line="315" w:lineRule="atLeast"/>
      <w:ind w:left="2520"/>
      <w:jc w:val="left"/>
      <w:textAlignment w:val="baseline"/>
    </w:pPr>
    <w:rPr>
      <w:rFonts w:hint="eastAsia" w:ascii="宋体"/>
      <w:kern w:val="0"/>
      <w:sz w:val="21"/>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next w:val="1"/>
    <w:qFormat/>
    <w:uiPriority w:val="99"/>
    <w:pPr>
      <w:widowControl/>
      <w:jc w:val="left"/>
    </w:pPr>
    <w:rPr>
      <w:rFonts w:ascii="宋体" w:hAnsi="宋体" w:cs="宋体"/>
      <w:kern w:val="0"/>
      <w:sz w:val="24"/>
      <w:szCs w:val="24"/>
    </w:rPr>
  </w:style>
  <w:style w:type="paragraph" w:styleId="33">
    <w:name w:val="index 1"/>
    <w:basedOn w:val="1"/>
    <w:next w:val="1"/>
    <w:semiHidden/>
    <w:qFormat/>
    <w:uiPriority w:val="0"/>
    <w:rPr>
      <w:szCs w:val="20"/>
    </w:rPr>
  </w:style>
  <w:style w:type="paragraph" w:styleId="34">
    <w:name w:val="annotation subject"/>
    <w:basedOn w:val="10"/>
    <w:next w:val="10"/>
    <w:link w:val="56"/>
    <w:qFormat/>
    <w:uiPriority w:val="0"/>
    <w:rPr>
      <w:b/>
      <w:bCs/>
    </w:rPr>
  </w:style>
  <w:style w:type="paragraph" w:styleId="35">
    <w:name w:val="Body Text First Indent"/>
    <w:basedOn w:val="11"/>
    <w:unhideWhenUsed/>
    <w:qFormat/>
    <w:uiPriority w:val="99"/>
    <w:pPr>
      <w:ind w:firstLine="420" w:firstLineChars="100"/>
    </w:pPr>
  </w:style>
  <w:style w:type="paragraph" w:styleId="36">
    <w:name w:val="Body Text First Indent 2"/>
    <w:basedOn w:val="12"/>
    <w:unhideWhenUsed/>
    <w:qFormat/>
    <w:uiPriority w:val="99"/>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Emphasis"/>
    <w:basedOn w:val="39"/>
    <w:qFormat/>
    <w:uiPriority w:val="0"/>
    <w:rPr>
      <w:i/>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目录 53"/>
    <w:basedOn w:val="1"/>
    <w:next w:val="1"/>
    <w:qFormat/>
    <w:uiPriority w:val="0"/>
    <w:pPr>
      <w:ind w:left="840"/>
    </w:pPr>
    <w:rPr>
      <w:sz w:val="18"/>
    </w:rPr>
  </w:style>
  <w:style w:type="character" w:customStyle="1" w:styleId="46">
    <w:name w:val="标题 1 Char"/>
    <w:link w:val="2"/>
    <w:qFormat/>
    <w:uiPriority w:val="0"/>
    <w:rPr>
      <w:rFonts w:ascii="宋体"/>
      <w:b/>
      <w:kern w:val="44"/>
      <w:sz w:val="32"/>
    </w:rPr>
  </w:style>
  <w:style w:type="character" w:customStyle="1" w:styleId="47">
    <w:name w:val="标题 2 Char"/>
    <w:link w:val="3"/>
    <w:qFormat/>
    <w:uiPriority w:val="0"/>
    <w:rPr>
      <w:rFonts w:ascii="Arial" w:hAnsi="Arial" w:eastAsia="宋体"/>
      <w:b/>
      <w:sz w:val="28"/>
    </w:rPr>
  </w:style>
  <w:style w:type="character" w:customStyle="1" w:styleId="48">
    <w:name w:val="标题 3 Char"/>
    <w:link w:val="4"/>
    <w:qFormat/>
    <w:uiPriority w:val="0"/>
    <w:rPr>
      <w:rFonts w:ascii="宋体"/>
      <w:b/>
      <w:sz w:val="24"/>
      <w:u w:val="single"/>
    </w:rPr>
  </w:style>
  <w:style w:type="character" w:customStyle="1" w:styleId="49">
    <w:name w:val="批注文字 Char"/>
    <w:link w:val="10"/>
    <w:qFormat/>
    <w:uiPriority w:val="99"/>
    <w:rPr>
      <w:kern w:val="2"/>
      <w:sz w:val="21"/>
      <w:szCs w:val="24"/>
    </w:rPr>
  </w:style>
  <w:style w:type="character" w:customStyle="1" w:styleId="50">
    <w:name w:val="正文文本 Char"/>
    <w:link w:val="11"/>
    <w:qFormat/>
    <w:uiPriority w:val="0"/>
    <w:rPr>
      <w:rFonts w:ascii="宋体" w:hAnsi="宋体"/>
      <w:kern w:val="2"/>
      <w:sz w:val="24"/>
      <w:szCs w:val="24"/>
    </w:rPr>
  </w:style>
  <w:style w:type="character" w:customStyle="1" w:styleId="51">
    <w:name w:val="纯文本 Char"/>
    <w:link w:val="15"/>
    <w:qFormat/>
    <w:uiPriority w:val="0"/>
    <w:rPr>
      <w:rFonts w:ascii="宋体" w:hAnsi="Courier New"/>
      <w:kern w:val="2"/>
      <w:sz w:val="21"/>
    </w:rPr>
  </w:style>
  <w:style w:type="character" w:customStyle="1" w:styleId="52">
    <w:name w:val="日期 Char"/>
    <w:link w:val="18"/>
    <w:qFormat/>
    <w:uiPriority w:val="0"/>
    <w:rPr>
      <w:rFonts w:ascii="仿宋_GB2312" w:hAnsi="宋体" w:eastAsia="仿宋_GB2312"/>
      <w:color w:val="000000"/>
      <w:kern w:val="2"/>
      <w:sz w:val="24"/>
      <w:szCs w:val="24"/>
    </w:rPr>
  </w:style>
  <w:style w:type="character" w:customStyle="1" w:styleId="53">
    <w:name w:val="批注框文本 Char"/>
    <w:link w:val="20"/>
    <w:qFormat/>
    <w:uiPriority w:val="0"/>
    <w:rPr>
      <w:kern w:val="2"/>
      <w:sz w:val="18"/>
      <w:szCs w:val="18"/>
    </w:rPr>
  </w:style>
  <w:style w:type="character" w:customStyle="1" w:styleId="54">
    <w:name w:val="页脚 Char"/>
    <w:link w:val="21"/>
    <w:qFormat/>
    <w:uiPriority w:val="99"/>
    <w:rPr>
      <w:rFonts w:ascii="宋体"/>
      <w:sz w:val="18"/>
    </w:rPr>
  </w:style>
  <w:style w:type="character" w:customStyle="1" w:styleId="55">
    <w:name w:val="页眉 Char"/>
    <w:link w:val="22"/>
    <w:qFormat/>
    <w:uiPriority w:val="0"/>
    <w:rPr>
      <w:kern w:val="2"/>
      <w:sz w:val="18"/>
      <w:szCs w:val="18"/>
    </w:rPr>
  </w:style>
  <w:style w:type="character" w:customStyle="1" w:styleId="56">
    <w:name w:val="批注主题 Char"/>
    <w:link w:val="34"/>
    <w:qFormat/>
    <w:uiPriority w:val="0"/>
    <w:rPr>
      <w:b/>
      <w:bCs/>
      <w:kern w:val="2"/>
      <w:sz w:val="21"/>
      <w:szCs w:val="24"/>
    </w:rPr>
  </w:style>
  <w:style w:type="paragraph" w:customStyle="1" w:styleId="57">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58">
    <w:name w:val="Default"/>
    <w:next w:val="28"/>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9">
    <w:name w:val="页眉 Char1"/>
    <w:semiHidden/>
    <w:qFormat/>
    <w:uiPriority w:val="99"/>
    <w:rPr>
      <w:kern w:val="2"/>
      <w:sz w:val="18"/>
      <w:szCs w:val="18"/>
    </w:rPr>
  </w:style>
  <w:style w:type="character" w:customStyle="1" w:styleId="60">
    <w:name w:val="批注框文本 Char1"/>
    <w:semiHidden/>
    <w:qFormat/>
    <w:uiPriority w:val="99"/>
    <w:rPr>
      <w:kern w:val="2"/>
      <w:sz w:val="18"/>
      <w:szCs w:val="18"/>
    </w:rPr>
  </w:style>
  <w:style w:type="character" w:customStyle="1" w:styleId="61">
    <w:name w:val="批注主题 Char1"/>
    <w:semiHidden/>
    <w:qFormat/>
    <w:uiPriority w:val="99"/>
    <w:rPr>
      <w:b/>
      <w:bCs/>
      <w:kern w:val="2"/>
      <w:sz w:val="21"/>
      <w:szCs w:val="24"/>
    </w:rPr>
  </w:style>
  <w:style w:type="character" w:customStyle="1" w:styleId="62">
    <w:name w:val="font11"/>
    <w:basedOn w:val="39"/>
    <w:qFormat/>
    <w:uiPriority w:val="0"/>
    <w:rPr>
      <w:rFonts w:hint="default" w:ascii="Times New Roman" w:hAnsi="Times New Roman" w:cs="Times New Roman"/>
      <w:color w:val="000000"/>
      <w:sz w:val="20"/>
      <w:szCs w:val="20"/>
      <w:u w:val="none"/>
    </w:rPr>
  </w:style>
  <w:style w:type="character" w:customStyle="1" w:styleId="63">
    <w:name w:val="font161"/>
    <w:basedOn w:val="39"/>
    <w:qFormat/>
    <w:uiPriority w:val="0"/>
    <w:rPr>
      <w:rFonts w:hint="eastAsia" w:ascii="宋体" w:hAnsi="宋体" w:eastAsia="宋体" w:cs="宋体"/>
      <w:color w:val="000000"/>
      <w:sz w:val="22"/>
      <w:szCs w:val="22"/>
      <w:u w:val="none"/>
      <w:vertAlign w:val="subscript"/>
    </w:rPr>
  </w:style>
  <w:style w:type="character" w:customStyle="1" w:styleId="64">
    <w:name w:val="font141"/>
    <w:basedOn w:val="39"/>
    <w:qFormat/>
    <w:uiPriority w:val="0"/>
    <w:rPr>
      <w:rFonts w:hint="eastAsia" w:ascii="宋体" w:hAnsi="宋体" w:eastAsia="宋体" w:cs="宋体"/>
      <w:color w:val="000000"/>
      <w:sz w:val="22"/>
      <w:szCs w:val="22"/>
      <w:u w:val="none"/>
      <w:vertAlign w:val="superscript"/>
    </w:rPr>
  </w:style>
  <w:style w:type="character" w:customStyle="1" w:styleId="65">
    <w:name w:val="font31"/>
    <w:basedOn w:val="39"/>
    <w:qFormat/>
    <w:uiPriority w:val="0"/>
    <w:rPr>
      <w:rFonts w:hint="default" w:ascii="Times New Roman" w:hAnsi="Times New Roman" w:cs="Times New Roman"/>
      <w:color w:val="000000"/>
      <w:sz w:val="22"/>
      <w:szCs w:val="22"/>
      <w:u w:val="none"/>
    </w:rPr>
  </w:style>
  <w:style w:type="character" w:customStyle="1" w:styleId="66">
    <w:name w:val="纯文本 Char1"/>
    <w:link w:val="67"/>
    <w:qFormat/>
    <w:uiPriority w:val="0"/>
    <w:rPr>
      <w:rFonts w:ascii="宋体" w:hAnsi="Courier New"/>
    </w:rPr>
  </w:style>
  <w:style w:type="paragraph" w:customStyle="1" w:styleId="67">
    <w:name w:val="纯文本1"/>
    <w:basedOn w:val="1"/>
    <w:link w:val="66"/>
    <w:qFormat/>
    <w:uiPriority w:val="0"/>
    <w:rPr>
      <w:rFonts w:ascii="宋体" w:hAnsi="Courier New"/>
      <w:kern w:val="0"/>
      <w:sz w:val="20"/>
      <w:szCs w:val="20"/>
    </w:rPr>
  </w:style>
  <w:style w:type="character" w:customStyle="1" w:styleId="68">
    <w:name w:val="font41"/>
    <w:basedOn w:val="39"/>
    <w:qFormat/>
    <w:uiPriority w:val="0"/>
    <w:rPr>
      <w:rFonts w:hint="eastAsia" w:ascii="宋体" w:hAnsi="宋体" w:eastAsia="宋体" w:cs="宋体"/>
      <w:color w:val="000000"/>
      <w:sz w:val="22"/>
      <w:szCs w:val="22"/>
      <w:u w:val="none"/>
    </w:rPr>
  </w:style>
  <w:style w:type="character" w:customStyle="1" w:styleId="69">
    <w:name w:val="font171"/>
    <w:basedOn w:val="39"/>
    <w:qFormat/>
    <w:uiPriority w:val="0"/>
    <w:rPr>
      <w:rFonts w:hint="default" w:ascii="Times New Roman" w:hAnsi="Times New Roman" w:cs="Times New Roman"/>
      <w:color w:val="00B0F0"/>
      <w:sz w:val="22"/>
      <w:szCs w:val="22"/>
      <w:u w:val="none"/>
    </w:rPr>
  </w:style>
  <w:style w:type="character" w:customStyle="1" w:styleId="70">
    <w:name w:val="font131"/>
    <w:basedOn w:val="39"/>
    <w:qFormat/>
    <w:uiPriority w:val="0"/>
    <w:rPr>
      <w:rFonts w:hint="default" w:ascii="Times New Roman" w:hAnsi="Times New Roman" w:cs="Times New Roman"/>
      <w:color w:val="000000"/>
      <w:sz w:val="22"/>
      <w:szCs w:val="22"/>
      <w:u w:val="none"/>
    </w:rPr>
  </w:style>
  <w:style w:type="character" w:customStyle="1" w:styleId="71">
    <w:name w:val="font21"/>
    <w:basedOn w:val="39"/>
    <w:qFormat/>
    <w:uiPriority w:val="0"/>
    <w:rPr>
      <w:rFonts w:hint="eastAsia" w:ascii="宋体" w:hAnsi="宋体" w:eastAsia="宋体" w:cs="宋体"/>
      <w:color w:val="00B0F0"/>
      <w:sz w:val="22"/>
      <w:szCs w:val="22"/>
      <w:u w:val="none"/>
      <w:vertAlign w:val="superscript"/>
    </w:rPr>
  </w:style>
  <w:style w:type="character" w:customStyle="1" w:styleId="72">
    <w:name w:val="font01"/>
    <w:basedOn w:val="39"/>
    <w:qFormat/>
    <w:uiPriority w:val="0"/>
    <w:rPr>
      <w:rFonts w:hint="default" w:ascii="Times New Roman" w:hAnsi="Times New Roman" w:cs="Times New Roman"/>
      <w:color w:val="000000"/>
      <w:sz w:val="24"/>
      <w:szCs w:val="24"/>
      <w:u w:val="none"/>
    </w:rPr>
  </w:style>
  <w:style w:type="character" w:customStyle="1" w:styleId="73">
    <w:name w:val="批注文字 Char1"/>
    <w:semiHidden/>
    <w:qFormat/>
    <w:uiPriority w:val="99"/>
    <w:rPr>
      <w:kern w:val="2"/>
      <w:sz w:val="21"/>
      <w:szCs w:val="24"/>
    </w:rPr>
  </w:style>
  <w:style w:type="character" w:customStyle="1" w:styleId="74">
    <w:name w:val="font81"/>
    <w:basedOn w:val="39"/>
    <w:qFormat/>
    <w:uiPriority w:val="0"/>
    <w:rPr>
      <w:rFonts w:hint="eastAsia" w:ascii="宋体" w:hAnsi="宋体" w:eastAsia="宋体" w:cs="宋体"/>
      <w:color w:val="000000"/>
      <w:sz w:val="22"/>
      <w:szCs w:val="22"/>
      <w:u w:val="none"/>
      <w:vertAlign w:val="subscript"/>
    </w:rPr>
  </w:style>
  <w:style w:type="character" w:customStyle="1" w:styleId="75">
    <w:name w:val="font112"/>
    <w:basedOn w:val="39"/>
    <w:qFormat/>
    <w:uiPriority w:val="0"/>
    <w:rPr>
      <w:rFonts w:hint="eastAsia" w:ascii="宋体" w:hAnsi="宋体" w:eastAsia="宋体" w:cs="宋体"/>
      <w:color w:val="000000"/>
      <w:sz w:val="20"/>
      <w:szCs w:val="20"/>
      <w:u w:val="none"/>
      <w:vertAlign w:val="subscript"/>
    </w:rPr>
  </w:style>
  <w:style w:type="character" w:customStyle="1" w:styleId="76">
    <w:name w:val="font71"/>
    <w:basedOn w:val="39"/>
    <w:qFormat/>
    <w:uiPriority w:val="0"/>
    <w:rPr>
      <w:rFonts w:hint="eastAsia" w:ascii="宋体" w:hAnsi="宋体" w:eastAsia="宋体" w:cs="宋体"/>
      <w:color w:val="000000"/>
      <w:sz w:val="20"/>
      <w:szCs w:val="20"/>
      <w:u w:val="none"/>
      <w:vertAlign w:val="superscript"/>
    </w:rPr>
  </w:style>
  <w:style w:type="character" w:customStyle="1" w:styleId="77">
    <w:name w:val="正文缩进 Char1"/>
    <w:link w:val="78"/>
    <w:qFormat/>
    <w:uiPriority w:val="0"/>
    <w:rPr>
      <w:rFonts w:ascii="宋体"/>
      <w:sz w:val="24"/>
    </w:rPr>
  </w:style>
  <w:style w:type="paragraph" w:customStyle="1" w:styleId="78">
    <w:name w:val="正文缩进1"/>
    <w:basedOn w:val="1"/>
    <w:link w:val="77"/>
    <w:qFormat/>
    <w:uiPriority w:val="0"/>
    <w:pPr>
      <w:autoSpaceDE w:val="0"/>
      <w:autoSpaceDN w:val="0"/>
      <w:adjustRightInd w:val="0"/>
      <w:ind w:firstLine="420"/>
      <w:jc w:val="left"/>
    </w:pPr>
    <w:rPr>
      <w:rFonts w:ascii="宋体"/>
      <w:kern w:val="0"/>
      <w:sz w:val="24"/>
      <w:szCs w:val="20"/>
    </w:rPr>
  </w:style>
  <w:style w:type="character" w:customStyle="1" w:styleId="79">
    <w:name w:val="font121"/>
    <w:basedOn w:val="39"/>
    <w:qFormat/>
    <w:uiPriority w:val="0"/>
    <w:rPr>
      <w:rFonts w:hint="eastAsia" w:ascii="宋体" w:hAnsi="宋体" w:eastAsia="宋体" w:cs="宋体"/>
      <w:color w:val="000000"/>
      <w:sz w:val="18"/>
      <w:szCs w:val="18"/>
      <w:u w:val="none"/>
      <w:vertAlign w:val="superscript"/>
    </w:rPr>
  </w:style>
  <w:style w:type="character" w:customStyle="1" w:styleId="80">
    <w:name w:val="font151"/>
    <w:basedOn w:val="39"/>
    <w:qFormat/>
    <w:uiPriority w:val="0"/>
    <w:rPr>
      <w:rFonts w:hint="eastAsia" w:ascii="宋体" w:hAnsi="宋体" w:eastAsia="宋体" w:cs="宋体"/>
      <w:color w:val="FF0000"/>
      <w:sz w:val="22"/>
      <w:szCs w:val="22"/>
      <w:u w:val="none"/>
    </w:rPr>
  </w:style>
  <w:style w:type="paragraph" w:customStyle="1" w:styleId="8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lang w:bidi="ar-SA"/>
    </w:rPr>
  </w:style>
  <w:style w:type="paragraph" w:customStyle="1" w:styleId="82">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83">
    <w:name w:val="Table Paragraph"/>
    <w:basedOn w:val="1"/>
    <w:qFormat/>
    <w:uiPriority w:val="1"/>
    <w:rPr>
      <w:rFonts w:ascii="仿宋" w:hAnsi="仿宋" w:eastAsia="仿宋" w:cs="仿宋"/>
      <w:lang w:val="zh-CN" w:eastAsia="zh-CN" w:bidi="zh-CN"/>
    </w:rPr>
  </w:style>
  <w:style w:type="paragraph" w:customStyle="1" w:styleId="84">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85">
    <w:name w:val="Char"/>
    <w:basedOn w:val="1"/>
    <w:qFormat/>
    <w:uiPriority w:val="0"/>
    <w:pPr>
      <w:tabs>
        <w:tab w:val="left" w:pos="360"/>
      </w:tabs>
    </w:pPr>
    <w:rPr>
      <w:sz w:val="24"/>
    </w:rPr>
  </w:style>
  <w:style w:type="paragraph" w:customStyle="1" w:styleId="86">
    <w:name w:val="Normal"/>
    <w:qFormat/>
    <w:uiPriority w:val="0"/>
    <w:rPr>
      <w:rFonts w:ascii="Times New Roman" w:hAnsi="Times New Roman" w:eastAsia="Times New Roman" w:cs="Times New Roman"/>
      <w:sz w:val="24"/>
      <w:szCs w:val="24"/>
      <w:lang w:bidi="ar-SA"/>
    </w:rPr>
  </w:style>
  <w:style w:type="paragraph" w:customStyle="1" w:styleId="87">
    <w:name w:val="WPS Plain"/>
    <w:qFormat/>
    <w:uiPriority w:val="0"/>
    <w:rPr>
      <w:rFonts w:ascii="Times New Roman" w:hAnsi="Times New Roman" w:eastAsia="宋体" w:cs="Times New Roman"/>
      <w:lang w:val="en-US" w:eastAsia="zh-CN" w:bidi="ar-SA"/>
    </w:rPr>
  </w:style>
  <w:style w:type="paragraph" w:styleId="88">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89">
    <w:name w:val="索引 11"/>
    <w:basedOn w:val="1"/>
    <w:next w:val="1"/>
    <w:qFormat/>
    <w:uiPriority w:val="0"/>
    <w:pPr>
      <w:spacing w:line="360" w:lineRule="auto"/>
    </w:pPr>
    <w:rPr>
      <w:rFonts w:ascii="仿宋_GB2312" w:eastAsia="仿宋_GB2312"/>
      <w:sz w:val="24"/>
      <w:szCs w:val="20"/>
    </w:rPr>
  </w:style>
  <w:style w:type="paragraph" w:customStyle="1" w:styleId="90">
    <w:name w:val="首行缩进"/>
    <w:basedOn w:val="1"/>
    <w:qFormat/>
    <w:uiPriority w:val="99"/>
    <w:pPr>
      <w:ind w:firstLine="480" w:firstLineChars="200"/>
    </w:pPr>
    <w:rPr>
      <w:rFonts w:ascii="Calibri"/>
      <w:kern w:val="2"/>
      <w:sz w:val="21"/>
      <w:szCs w:val="24"/>
    </w:rPr>
  </w:style>
  <w:style w:type="paragraph" w:customStyle="1" w:styleId="91">
    <w:name w:val="正文_0"/>
    <w:next w:val="9"/>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92">
    <w:name w:val="缺省文本"/>
    <w:qFormat/>
    <w:uiPriority w:val="99"/>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93">
    <w:name w:val="标题5"/>
    <w:basedOn w:val="1"/>
    <w:next w:val="1"/>
    <w:qFormat/>
    <w:uiPriority w:val="0"/>
    <w:pPr>
      <w:keepNext/>
      <w:keepLines/>
      <w:spacing w:before="280" w:after="290" w:line="376" w:lineRule="auto"/>
      <w:outlineLvl w:val="3"/>
    </w:pPr>
    <w:rPr>
      <w:rFonts w:hint="eastAsia" w:ascii="Arial" w:hAnsi="Arial" w:eastAsia="黑体"/>
      <w:b/>
      <w:bCs/>
      <w:color w:val="auto"/>
      <w:sz w:val="28"/>
      <w:szCs w:val="28"/>
    </w:rPr>
  </w:style>
  <w:style w:type="paragraph" w:customStyle="1" w:styleId="94">
    <w:name w:val="列出段落"/>
    <w:basedOn w:val="1"/>
    <w:qFormat/>
    <w:uiPriority w:val="34"/>
    <w:pPr>
      <w:widowControl/>
      <w:ind w:firstLine="420" w:firstLineChars="200"/>
      <w:jc w:val="left"/>
    </w:pPr>
    <w:rPr>
      <w:kern w:val="0"/>
      <w:sz w:val="24"/>
    </w:rPr>
  </w:style>
  <w:style w:type="paragraph" w:customStyle="1" w:styleId="95">
    <w:name w:val="p0"/>
    <w:basedOn w:val="1"/>
    <w:qFormat/>
    <w:uiPriority w:val="0"/>
    <w:pPr>
      <w:widowControl/>
    </w:pPr>
    <w:rPr>
      <w:kern w:val="0"/>
      <w:szCs w:val="21"/>
    </w:rPr>
  </w:style>
  <w:style w:type="paragraph" w:customStyle="1" w:styleId="96">
    <w:name w:val="_Style 3"/>
    <w:basedOn w:val="1"/>
    <w:next w:val="27"/>
    <w:qFormat/>
    <w:uiPriority w:val="0"/>
    <w:pPr>
      <w:widowControl/>
      <w:ind w:left="720"/>
      <w:contextualSpacing/>
      <w:jc w:val="left"/>
    </w:pPr>
    <w:rPr>
      <w:sz w:val="24"/>
    </w:rPr>
  </w:style>
  <w:style w:type="paragraph" w:styleId="97">
    <w:name w:val="List Paragraph"/>
    <w:basedOn w:val="1"/>
    <w:qFormat/>
    <w:uiPriority w:val="1"/>
    <w:pPr>
      <w:spacing w:before="81"/>
      <w:ind w:left="907" w:hanging="680"/>
    </w:pPr>
    <w:rPr>
      <w:rFonts w:ascii="宋体" w:hAnsi="宋体" w:eastAsia="宋体" w:cs="宋体"/>
      <w:lang w:val="zh-CN" w:eastAsia="zh-CN" w:bidi="zh-CN"/>
    </w:rPr>
  </w:style>
  <w:style w:type="paragraph" w:customStyle="1" w:styleId="98">
    <w:name w:val="Default Text"/>
    <w:qFormat/>
    <w:uiPriority w:val="0"/>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customStyle="1" w:styleId="99">
    <w:name w:val="样式 标题 3 + (中文) 黑体 小四 非加粗 段前: 7.8 磅 段后: 0 磅 行距: 固定值 20 磅"/>
    <w:basedOn w:val="4"/>
    <w:qFormat/>
    <w:uiPriority w:val="0"/>
    <w:pPr>
      <w:spacing w:before="0" w:after="0" w:line="400" w:lineRule="exact"/>
    </w:pPr>
    <w:rPr>
      <w:rFonts w:eastAsia="黑体" w:cs="宋体"/>
      <w:b w:val="0"/>
      <w:sz w:val="24"/>
      <w:szCs w:val="20"/>
      <w:lang w:bidi="ar-SA"/>
    </w:rPr>
  </w:style>
  <w:style w:type="paragraph" w:customStyle="1" w:styleId="100">
    <w:name w:val="FA正文"/>
    <w:basedOn w:val="1"/>
    <w:qFormat/>
    <w:uiPriority w:val="0"/>
    <w:pPr>
      <w:autoSpaceDE w:val="0"/>
      <w:autoSpaceDN w:val="0"/>
      <w:adjustRightInd w:val="0"/>
      <w:spacing w:line="360" w:lineRule="auto"/>
      <w:ind w:firstLine="200" w:firstLineChars="200"/>
    </w:pPr>
    <w:rPr>
      <w:rFonts w:ascii="宋体" w:hAnsi="宋体"/>
      <w:kern w:val="0"/>
      <w:sz w:val="24"/>
      <w:szCs w:val="28"/>
    </w:rPr>
  </w:style>
  <w:style w:type="paragraph" w:customStyle="1" w:styleId="101">
    <w:name w:val="WPSOffice手动目录 1"/>
    <w:qFormat/>
    <w:uiPriority w:val="0"/>
    <w:pPr>
      <w:ind w:leftChars="0"/>
    </w:pPr>
    <w:rPr>
      <w:rFonts w:ascii="Times New Roman" w:hAnsi="Times New Roman" w:eastAsia="宋体" w:cs="Times New Roman"/>
      <w:sz w:val="20"/>
      <w:szCs w:val="20"/>
    </w:rPr>
  </w:style>
  <w:style w:type="paragraph" w:customStyle="1" w:styleId="102">
    <w:name w:val="WPSOffice手动目录 2"/>
    <w:qFormat/>
    <w:uiPriority w:val="0"/>
    <w:pPr>
      <w:ind w:leftChars="200"/>
    </w:pPr>
    <w:rPr>
      <w:rFonts w:ascii="Times New Roman" w:hAnsi="Times New Roman" w:eastAsia="宋体" w:cs="Times New Roman"/>
      <w:sz w:val="20"/>
      <w:szCs w:val="20"/>
    </w:r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表格文字"/>
    <w:basedOn w:val="1"/>
    <w:qFormat/>
    <w:uiPriority w:val="0"/>
    <w:pPr>
      <w:spacing w:before="25" w:after="25"/>
      <w:jc w:val="left"/>
    </w:pPr>
    <w:rPr>
      <w:bCs/>
      <w:spacing w:val="10"/>
      <w:kern w:val="0"/>
      <w:sz w:val="24"/>
      <w:szCs w:val="20"/>
    </w:rPr>
  </w:style>
  <w:style w:type="paragraph" w:customStyle="1" w:styleId="105">
    <w:name w:val="Table Text"/>
    <w:basedOn w:val="1"/>
    <w:semiHidden/>
    <w:qFormat/>
    <w:uiPriority w:val="0"/>
    <w:rPr>
      <w:rFonts w:ascii="Arial" w:hAnsi="Arial" w:eastAsia="Arial" w:cs="Arial"/>
      <w:sz w:val="21"/>
      <w:szCs w:val="21"/>
      <w:lang w:val="en-US" w:eastAsia="en-US" w:bidi="ar-SA"/>
    </w:rPr>
  </w:style>
  <w:style w:type="paragraph" w:customStyle="1" w:styleId="106">
    <w:name w:val="BodyText"/>
    <w:basedOn w:val="1"/>
    <w:qFormat/>
    <w:uiPriority w:val="0"/>
    <w:pPr>
      <w:spacing w:after="0"/>
      <w:ind w:left="400"/>
      <w:jc w:val="both"/>
    </w:pPr>
    <w:rPr>
      <w:rFonts w:ascii="微软雅黑" w:hAnsi="微软雅黑" w:eastAsia="宋体"/>
      <w:kern w:val="2"/>
      <w:sz w:val="28"/>
      <w:szCs w:val="21"/>
      <w:lang w:val="zh-CN" w:bidi="zh-CN"/>
    </w:rPr>
  </w:style>
  <w:style w:type="character" w:customStyle="1" w:styleId="107">
    <w:name w:val="NormalCharacter"/>
    <w:qFormat/>
    <w:uiPriority w:val="0"/>
  </w:style>
  <w:style w:type="paragraph" w:customStyle="1" w:styleId="108">
    <w:name w:val="179"/>
    <w:basedOn w:val="1"/>
    <w:qFormat/>
    <w:uiPriority w:val="0"/>
    <w:pPr>
      <w:spacing w:after="0"/>
      <w:ind w:left="740" w:firstLine="480"/>
      <w:jc w:val="both"/>
    </w:pPr>
    <w:rPr>
      <w:rFonts w:ascii="宋体" w:hAnsi="宋体" w:eastAsia="宋体"/>
      <w:kern w:val="2"/>
      <w:sz w:val="21"/>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66</Pages>
  <Words>14252</Words>
  <Characters>15098</Characters>
  <Lines>195</Lines>
  <Paragraphs>55</Paragraphs>
  <TotalTime>55</TotalTime>
  <ScaleCrop>false</ScaleCrop>
  <LinksUpToDate>false</LinksUpToDate>
  <CharactersWithSpaces>16139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庄诚</cp:lastModifiedBy>
  <cp:lastPrinted>2024-06-03T05:00:00Z</cp:lastPrinted>
  <dcterms:modified xsi:type="dcterms:W3CDTF">2025-07-03T09:45:48Z</dcterms:modified>
  <dc:title>02年杜范本稿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6B96949AB7754668891AB28A196005EF_13</vt:lpwstr>
  </property>
  <property fmtid="{D5CDD505-2E9C-101B-9397-08002B2CF9AE}" pid="4" name="KSOTemplateDocerSaveRecord">
    <vt:lpwstr>eyJoZGlkIjoiNzE1NWRjOTFhNTJjODg2ZTYyN2RjZDczODNmMzZlZjYiLCJ1c2VySWQiOiI1OTMxMjgwODUifQ==</vt:lpwstr>
  </property>
</Properties>
</file>