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hint="eastAsia" w:eastAsia="宋体"/>
          <w:b/>
          <w:color w:val="auto"/>
          <w:sz w:val="24"/>
          <w:szCs w:val="24"/>
          <w:lang w:val="en-US" w:eastAsia="zh-CN"/>
        </w:rPr>
      </w:pPr>
      <w:bookmarkStart w:id="73" w:name="_GoBack"/>
      <w:bookmarkEnd w:id="73"/>
      <w:r>
        <w:rPr>
          <w:b/>
          <w:color w:val="auto"/>
          <w:sz w:val="28"/>
          <w:szCs w:val="28"/>
        </w:rPr>
        <w:t>项目编码：</w:t>
      </w:r>
      <w:r>
        <w:rPr>
          <w:rFonts w:hint="eastAsia"/>
          <w:b/>
          <w:color w:val="auto"/>
          <w:sz w:val="28"/>
          <w:szCs w:val="28"/>
          <w:lang w:val="en-US" w:eastAsia="zh-CN"/>
        </w:rPr>
        <w:t>XJKDWQGK2022-07</w:t>
      </w:r>
    </w:p>
    <w:p>
      <w:pPr>
        <w:autoSpaceDE w:val="0"/>
        <w:autoSpaceDN w:val="0"/>
        <w:adjustRightInd w:val="0"/>
        <w:spacing w:line="360" w:lineRule="auto"/>
        <w:jc w:val="center"/>
        <w:rPr>
          <w:rFonts w:hint="eastAsia"/>
          <w:b/>
          <w:color w:val="auto"/>
          <w:sz w:val="54"/>
          <w:szCs w:val="54"/>
          <w:lang w:eastAsia="zh-CN"/>
        </w:rPr>
      </w:pPr>
    </w:p>
    <w:p>
      <w:pPr>
        <w:autoSpaceDE w:val="0"/>
        <w:autoSpaceDN w:val="0"/>
        <w:adjustRightInd w:val="0"/>
        <w:spacing w:line="360" w:lineRule="auto"/>
        <w:jc w:val="center"/>
        <w:rPr>
          <w:rFonts w:hint="eastAsia"/>
          <w:b/>
          <w:color w:val="auto"/>
          <w:sz w:val="54"/>
          <w:szCs w:val="54"/>
          <w:lang w:eastAsia="zh-CN"/>
        </w:rPr>
      </w:pPr>
      <w:r>
        <w:rPr>
          <w:rFonts w:hint="eastAsia"/>
          <w:b/>
          <w:color w:val="auto"/>
          <w:sz w:val="54"/>
          <w:szCs w:val="54"/>
          <w:lang w:val="zh-CN" w:eastAsia="zh-CN"/>
        </w:rPr>
        <w:t>温泉县2022年天山森林草原保护综合治理项目--退化林修复（二标段）</w:t>
      </w:r>
    </w:p>
    <w:p>
      <w:pPr>
        <w:pStyle w:val="22"/>
        <w:rPr>
          <w:rFonts w:ascii="Times New Roman" w:hAnsi="Times New Roman"/>
          <w:color w:val="auto"/>
        </w:rPr>
      </w:pPr>
    </w:p>
    <w:p>
      <w:pPr>
        <w:pStyle w:val="22"/>
        <w:rPr>
          <w:rFonts w:ascii="Times New Roman" w:hAnsi="Times New Roman"/>
          <w:color w:val="auto"/>
        </w:rPr>
      </w:pPr>
    </w:p>
    <w:p>
      <w:pPr>
        <w:pStyle w:val="22"/>
        <w:rPr>
          <w:rFonts w:ascii="Times New Roman" w:hAnsi="Times New Roman"/>
          <w:color w:val="auto"/>
        </w:rPr>
      </w:pPr>
    </w:p>
    <w:p>
      <w:pPr>
        <w:pStyle w:val="22"/>
        <w:rPr>
          <w:rFonts w:ascii="Times New Roman" w:hAnsi="Times New Roman"/>
          <w:color w:val="auto"/>
        </w:rPr>
      </w:pPr>
    </w:p>
    <w:p>
      <w:pPr>
        <w:pStyle w:val="22"/>
        <w:rPr>
          <w:rFonts w:ascii="Times New Roman" w:hAnsi="Times New Roman"/>
          <w:color w:val="auto"/>
        </w:rPr>
      </w:pPr>
    </w:p>
    <w:p>
      <w:pPr>
        <w:autoSpaceDE w:val="0"/>
        <w:autoSpaceDN w:val="0"/>
        <w:adjustRightInd w:val="0"/>
        <w:spacing w:line="360" w:lineRule="auto"/>
        <w:jc w:val="center"/>
        <w:rPr>
          <w:b/>
          <w:color w:val="auto"/>
          <w:sz w:val="84"/>
          <w:szCs w:val="84"/>
        </w:rPr>
      </w:pPr>
      <w:r>
        <w:rPr>
          <w:b/>
          <w:color w:val="auto"/>
          <w:sz w:val="84"/>
          <w:szCs w:val="84"/>
        </w:rPr>
        <w:t xml:space="preserve"> 招 标 文 件</w:t>
      </w:r>
    </w:p>
    <w:p>
      <w:pPr>
        <w:pStyle w:val="22"/>
        <w:ind w:left="0" w:firstLine="0"/>
        <w:rPr>
          <w:rFonts w:ascii="Times New Roman" w:hAnsi="Times New Roman"/>
          <w:color w:val="auto"/>
        </w:rPr>
      </w:pPr>
    </w:p>
    <w:p>
      <w:pPr>
        <w:pStyle w:val="22"/>
        <w:ind w:left="0" w:firstLine="0"/>
        <w:rPr>
          <w:rFonts w:ascii="Times New Roman" w:hAnsi="Times New Roman"/>
          <w:color w:val="auto"/>
        </w:rPr>
      </w:pPr>
    </w:p>
    <w:p>
      <w:pPr>
        <w:pStyle w:val="22"/>
        <w:ind w:left="0" w:firstLine="0"/>
        <w:rPr>
          <w:rFonts w:ascii="Times New Roman" w:hAnsi="Times New Roman"/>
          <w:color w:val="auto"/>
        </w:rPr>
      </w:pPr>
    </w:p>
    <w:p>
      <w:pPr>
        <w:pStyle w:val="22"/>
        <w:ind w:left="0" w:firstLine="0"/>
        <w:rPr>
          <w:rFonts w:ascii="Times New Roman" w:hAnsi="Times New Roman"/>
          <w:color w:val="auto"/>
        </w:rPr>
      </w:pPr>
    </w:p>
    <w:p>
      <w:pPr>
        <w:pStyle w:val="22"/>
        <w:ind w:left="0" w:firstLine="0"/>
        <w:rPr>
          <w:rFonts w:ascii="Times New Roman" w:hAnsi="Times New Roman"/>
          <w:color w:val="auto"/>
        </w:rPr>
      </w:pPr>
    </w:p>
    <w:p>
      <w:pPr>
        <w:pStyle w:val="22"/>
        <w:ind w:left="0" w:firstLine="0"/>
        <w:rPr>
          <w:rFonts w:ascii="Times New Roman" w:hAnsi="Times New Roman"/>
          <w:color w:val="auto"/>
        </w:rPr>
      </w:pPr>
    </w:p>
    <w:p>
      <w:pPr>
        <w:pStyle w:val="22"/>
        <w:ind w:left="0" w:firstLine="0"/>
        <w:rPr>
          <w:rFonts w:ascii="Times New Roman" w:hAnsi="Times New Roman"/>
          <w:color w:val="auto"/>
        </w:rPr>
      </w:pPr>
    </w:p>
    <w:p>
      <w:pPr>
        <w:wordWrap w:val="0"/>
        <w:autoSpaceDE w:val="0"/>
        <w:autoSpaceDN w:val="0"/>
        <w:adjustRightInd w:val="0"/>
        <w:spacing w:line="360" w:lineRule="auto"/>
        <w:ind w:firstLine="321" w:firstLineChars="100"/>
        <w:textAlignment w:val="auto"/>
        <w:rPr>
          <w:b/>
          <w:color w:val="auto"/>
          <w:sz w:val="32"/>
          <w:szCs w:val="32"/>
        </w:rPr>
      </w:pPr>
      <w:r>
        <w:rPr>
          <w:b/>
          <w:color w:val="auto"/>
          <w:sz w:val="32"/>
          <w:szCs w:val="32"/>
        </w:rPr>
        <w:t>招标人</w:t>
      </w:r>
      <w:r>
        <w:rPr>
          <w:rFonts w:ascii="Times New Roman" w:hAnsi="Times New Roman" w:eastAsia="宋体" w:cs="Times New Roman"/>
          <w:b/>
          <w:color w:val="auto"/>
          <w:sz w:val="32"/>
          <w:szCs w:val="32"/>
        </w:rPr>
        <w:t>：</w:t>
      </w:r>
      <w:r>
        <w:rPr>
          <w:rFonts w:hint="eastAsia" w:ascii="Times New Roman" w:hAnsi="Times New Roman" w:eastAsia="宋体" w:cs="Times New Roman"/>
          <w:b/>
          <w:color w:val="auto"/>
          <w:sz w:val="32"/>
          <w:szCs w:val="32"/>
          <w:lang w:val="zh-CN" w:eastAsia="zh-CN"/>
        </w:rPr>
        <w:t>温泉县自然资源局</w:t>
      </w:r>
      <w:r>
        <w:rPr>
          <w:rFonts w:ascii="Times New Roman" w:hAnsi="Times New Roman" w:eastAsia="宋体" w:cs="Times New Roman"/>
          <w:b/>
          <w:color w:val="auto"/>
          <w:sz w:val="32"/>
          <w:szCs w:val="32"/>
        </w:rPr>
        <w:t xml:space="preserve">   </w:t>
      </w:r>
      <w:r>
        <w:rPr>
          <w:b/>
          <w:color w:val="auto"/>
          <w:sz w:val="32"/>
          <w:szCs w:val="32"/>
        </w:rPr>
        <w:t xml:space="preserve">      </w:t>
      </w:r>
    </w:p>
    <w:p>
      <w:pPr>
        <w:wordWrap w:val="0"/>
        <w:autoSpaceDE w:val="0"/>
        <w:autoSpaceDN w:val="0"/>
        <w:adjustRightInd w:val="0"/>
        <w:spacing w:line="360" w:lineRule="auto"/>
        <w:ind w:firstLine="321" w:firstLineChars="100"/>
        <w:textAlignment w:val="auto"/>
        <w:rPr>
          <w:b/>
          <w:color w:val="auto"/>
          <w:sz w:val="32"/>
          <w:szCs w:val="32"/>
        </w:rPr>
      </w:pPr>
      <w:r>
        <w:rPr>
          <w:b/>
          <w:color w:val="auto"/>
          <w:sz w:val="32"/>
          <w:szCs w:val="32"/>
        </w:rPr>
        <w:t>项目联系人：</w:t>
      </w:r>
      <w:r>
        <w:rPr>
          <w:rFonts w:hint="eastAsia"/>
          <w:b/>
          <w:color w:val="auto"/>
          <w:sz w:val="32"/>
          <w:szCs w:val="32"/>
          <w:lang w:val="zh-CN" w:eastAsia="zh-CN"/>
        </w:rPr>
        <w:t>车传芳</w:t>
      </w:r>
      <w:r>
        <w:rPr>
          <w:rFonts w:ascii="Times New Roman" w:hAnsi="Times New Roman" w:eastAsia="宋体" w:cs="Times New Roman"/>
          <w:b/>
          <w:color w:val="auto"/>
          <w:sz w:val="32"/>
          <w:szCs w:val="32"/>
        </w:rPr>
        <w:t xml:space="preserve">    </w:t>
      </w:r>
      <w:r>
        <w:rPr>
          <w:b/>
          <w:color w:val="auto"/>
          <w:sz w:val="32"/>
          <w:szCs w:val="32"/>
        </w:rPr>
        <w:t xml:space="preserve">         </w:t>
      </w:r>
    </w:p>
    <w:p>
      <w:pPr>
        <w:wordWrap w:val="0"/>
        <w:autoSpaceDE w:val="0"/>
        <w:autoSpaceDN w:val="0"/>
        <w:adjustRightInd w:val="0"/>
        <w:spacing w:line="360" w:lineRule="auto"/>
        <w:ind w:firstLine="321" w:firstLineChars="100"/>
        <w:textAlignment w:val="auto"/>
        <w:rPr>
          <w:b/>
          <w:color w:val="auto"/>
          <w:sz w:val="32"/>
          <w:szCs w:val="32"/>
        </w:rPr>
      </w:pPr>
      <w:r>
        <w:rPr>
          <w:b/>
          <w:color w:val="auto"/>
          <w:sz w:val="32"/>
          <w:szCs w:val="32"/>
        </w:rPr>
        <w:t>联系电话：</w:t>
      </w:r>
      <w:r>
        <w:rPr>
          <w:rFonts w:hint="eastAsia"/>
          <w:b/>
          <w:color w:val="auto"/>
          <w:sz w:val="32"/>
          <w:szCs w:val="32"/>
          <w:lang w:val="en-US" w:eastAsia="zh-CN"/>
        </w:rPr>
        <w:t>0909-8221017</w:t>
      </w:r>
      <w:r>
        <w:rPr>
          <w:rFonts w:ascii="Times New Roman" w:hAnsi="Times New Roman" w:eastAsia="宋体" w:cs="Times New Roman"/>
          <w:b/>
          <w:color w:val="auto"/>
          <w:sz w:val="32"/>
          <w:szCs w:val="32"/>
        </w:rPr>
        <w:t xml:space="preserve">    </w:t>
      </w:r>
      <w:r>
        <w:rPr>
          <w:b/>
          <w:color w:val="auto"/>
          <w:sz w:val="32"/>
          <w:szCs w:val="32"/>
        </w:rPr>
        <w:t xml:space="preserve">   </w:t>
      </w:r>
    </w:p>
    <w:p>
      <w:pPr>
        <w:wordWrap w:val="0"/>
        <w:autoSpaceDE w:val="0"/>
        <w:autoSpaceDN w:val="0"/>
        <w:adjustRightInd w:val="0"/>
        <w:spacing w:line="360" w:lineRule="auto"/>
        <w:ind w:firstLine="321" w:firstLineChars="100"/>
        <w:textAlignment w:val="auto"/>
        <w:rPr>
          <w:b/>
          <w:color w:val="auto"/>
          <w:sz w:val="32"/>
          <w:szCs w:val="32"/>
        </w:rPr>
      </w:pPr>
      <w:r>
        <w:rPr>
          <w:b/>
          <w:color w:val="auto"/>
          <w:sz w:val="32"/>
          <w:szCs w:val="32"/>
        </w:rPr>
        <w:t>招标代理机构：</w:t>
      </w:r>
      <w:r>
        <w:rPr>
          <w:rFonts w:hint="eastAsia"/>
          <w:b/>
          <w:color w:val="auto"/>
          <w:sz w:val="32"/>
          <w:szCs w:val="32"/>
          <w:lang w:val="en-US" w:eastAsia="zh-CN"/>
        </w:rPr>
        <w:t>新疆喀大建设项目管理咨询有限公司</w:t>
      </w:r>
      <w:r>
        <w:rPr>
          <w:b/>
          <w:color w:val="auto"/>
          <w:sz w:val="32"/>
          <w:szCs w:val="32"/>
        </w:rPr>
        <w:t xml:space="preserve">   </w:t>
      </w:r>
    </w:p>
    <w:p>
      <w:pPr>
        <w:wordWrap w:val="0"/>
        <w:autoSpaceDE w:val="0"/>
        <w:autoSpaceDN w:val="0"/>
        <w:adjustRightInd w:val="0"/>
        <w:spacing w:line="360" w:lineRule="auto"/>
        <w:ind w:firstLine="321" w:firstLineChars="100"/>
        <w:textAlignment w:val="auto"/>
        <w:rPr>
          <w:b/>
          <w:color w:val="auto"/>
          <w:sz w:val="32"/>
          <w:szCs w:val="32"/>
        </w:rPr>
      </w:pPr>
      <w:r>
        <w:rPr>
          <w:b/>
          <w:color w:val="auto"/>
          <w:sz w:val="32"/>
          <w:szCs w:val="32"/>
        </w:rPr>
        <w:t>项目联系人：</w:t>
      </w:r>
      <w:r>
        <w:rPr>
          <w:rFonts w:hint="eastAsia"/>
          <w:b/>
          <w:color w:val="auto"/>
          <w:sz w:val="32"/>
          <w:szCs w:val="32"/>
          <w:lang w:eastAsia="zh-CN"/>
        </w:rPr>
        <w:t>李娜</w:t>
      </w:r>
      <w:r>
        <w:rPr>
          <w:b/>
          <w:color w:val="auto"/>
          <w:sz w:val="32"/>
          <w:szCs w:val="32"/>
        </w:rPr>
        <w:t xml:space="preserve">             </w:t>
      </w:r>
    </w:p>
    <w:p>
      <w:pPr>
        <w:wordWrap w:val="0"/>
        <w:autoSpaceDE w:val="0"/>
        <w:autoSpaceDN w:val="0"/>
        <w:adjustRightInd w:val="0"/>
        <w:spacing w:line="360" w:lineRule="auto"/>
        <w:ind w:firstLine="321" w:firstLineChars="100"/>
        <w:textAlignment w:val="auto"/>
        <w:rPr>
          <w:rFonts w:hint="default"/>
          <w:color w:val="auto"/>
          <w:sz w:val="32"/>
          <w:szCs w:val="32"/>
          <w:lang w:val="en-US"/>
        </w:rPr>
      </w:pPr>
      <w:r>
        <w:rPr>
          <w:b/>
          <w:color w:val="auto"/>
          <w:sz w:val="32"/>
          <w:szCs w:val="32"/>
        </w:rPr>
        <w:t>联系电话</w:t>
      </w:r>
      <w:r>
        <w:rPr>
          <w:rFonts w:hint="eastAsia"/>
          <w:b/>
          <w:color w:val="auto"/>
          <w:sz w:val="32"/>
          <w:szCs w:val="32"/>
          <w:lang w:eastAsia="zh-CN"/>
        </w:rPr>
        <w:t>：</w:t>
      </w:r>
      <w:r>
        <w:rPr>
          <w:rFonts w:hint="eastAsia"/>
          <w:b/>
          <w:color w:val="auto"/>
          <w:sz w:val="32"/>
          <w:szCs w:val="32"/>
          <w:lang w:val="en-US" w:eastAsia="zh-CN"/>
        </w:rPr>
        <w:t>18096892888</w:t>
      </w:r>
    </w:p>
    <w:p>
      <w:pPr>
        <w:wordWrap w:val="0"/>
        <w:autoSpaceDE w:val="0"/>
        <w:autoSpaceDN w:val="0"/>
        <w:adjustRightInd w:val="0"/>
        <w:spacing w:line="360" w:lineRule="auto"/>
        <w:ind w:firstLine="320" w:firstLineChars="100"/>
        <w:textAlignment w:val="auto"/>
        <w:rPr>
          <w:color w:val="auto"/>
          <w:sz w:val="32"/>
          <w:szCs w:val="32"/>
        </w:rPr>
      </w:pPr>
      <w:r>
        <w:rPr>
          <w:color w:val="auto"/>
          <w:sz w:val="32"/>
          <w:szCs w:val="32"/>
        </w:rPr>
        <w:t xml:space="preserve">             </w:t>
      </w:r>
    </w:p>
    <w:p>
      <w:pPr>
        <w:wordWrap w:val="0"/>
        <w:autoSpaceDE w:val="0"/>
        <w:autoSpaceDN w:val="0"/>
        <w:adjustRightInd w:val="0"/>
        <w:spacing w:line="360" w:lineRule="auto"/>
        <w:jc w:val="center"/>
        <w:textAlignment w:val="auto"/>
        <w:rPr>
          <w:color w:val="auto"/>
          <w:sz w:val="32"/>
          <w:szCs w:val="32"/>
          <w:u w:val="thick"/>
        </w:rPr>
      </w:pPr>
      <w:r>
        <w:rPr>
          <w:b/>
          <w:color w:val="auto"/>
          <w:sz w:val="32"/>
          <w:szCs w:val="32"/>
        </w:rPr>
        <w:t>二〇二</w:t>
      </w:r>
      <w:r>
        <w:rPr>
          <w:rFonts w:hint="eastAsia"/>
          <w:b/>
          <w:color w:val="auto"/>
          <w:sz w:val="32"/>
          <w:szCs w:val="32"/>
          <w:lang w:eastAsia="zh-CN"/>
        </w:rPr>
        <w:t>二</w:t>
      </w:r>
      <w:r>
        <w:rPr>
          <w:b/>
          <w:color w:val="auto"/>
          <w:sz w:val="32"/>
          <w:szCs w:val="32"/>
        </w:rPr>
        <w:t>年</w:t>
      </w:r>
      <w:r>
        <w:rPr>
          <w:rFonts w:hint="eastAsia"/>
          <w:b/>
          <w:color w:val="auto"/>
          <w:sz w:val="32"/>
          <w:szCs w:val="32"/>
          <w:lang w:eastAsia="zh-CN"/>
        </w:rPr>
        <w:t>八</w:t>
      </w:r>
      <w:r>
        <w:rPr>
          <w:b/>
          <w:color w:val="auto"/>
          <w:sz w:val="32"/>
          <w:szCs w:val="32"/>
        </w:rPr>
        <w:t>月</w:t>
      </w:r>
    </w:p>
    <w:p>
      <w:pPr>
        <w:spacing w:line="360" w:lineRule="auto"/>
        <w:jc w:val="center"/>
        <w:rPr>
          <w:b/>
          <w:color w:val="auto"/>
          <w:sz w:val="36"/>
        </w:rPr>
        <w:sectPr>
          <w:head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0" w:num="1"/>
          <w:docGrid w:linePitch="312" w:charSpace="0"/>
        </w:sectPr>
      </w:pPr>
    </w:p>
    <w:p>
      <w:pPr>
        <w:spacing w:line="360" w:lineRule="auto"/>
        <w:jc w:val="center"/>
        <w:rPr>
          <w:b/>
          <w:color w:val="auto"/>
          <w:sz w:val="36"/>
        </w:rPr>
      </w:pPr>
      <w:r>
        <w:rPr>
          <w:b/>
          <w:color w:val="auto"/>
          <w:sz w:val="36"/>
        </w:rPr>
        <w:t>目  录</w:t>
      </w:r>
    </w:p>
    <w:p>
      <w:pPr>
        <w:spacing w:line="360" w:lineRule="auto"/>
        <w:ind w:firstLine="3607" w:firstLineChars="998"/>
        <w:rPr>
          <w:b/>
          <w:color w:val="auto"/>
          <w:sz w:val="36"/>
          <w:u w:val="single"/>
        </w:rPr>
      </w:pPr>
    </w:p>
    <w:p>
      <w:pPr>
        <w:pStyle w:val="21"/>
        <w:tabs>
          <w:tab w:val="right" w:leader="dot" w:pos="9558"/>
        </w:tabs>
        <w:spacing w:line="360" w:lineRule="auto"/>
        <w:rPr>
          <w:color w:val="auto"/>
        </w:rPr>
      </w:pPr>
      <w:r>
        <w:rPr>
          <w:color w:val="auto"/>
          <w:szCs w:val="21"/>
          <w:u w:val="single"/>
        </w:rPr>
        <w:fldChar w:fldCharType="begin"/>
      </w:r>
      <w:r>
        <w:rPr>
          <w:color w:val="auto"/>
          <w:szCs w:val="21"/>
          <w:u w:val="single"/>
        </w:rPr>
        <w:instrText xml:space="preserve"> TOC \o "1-3" \h \z \u </w:instrText>
      </w:r>
      <w:r>
        <w:rPr>
          <w:color w:val="auto"/>
          <w:szCs w:val="21"/>
          <w:u w:val="single"/>
        </w:rPr>
        <w:fldChar w:fldCharType="separate"/>
      </w:r>
      <w:r>
        <w:rPr>
          <w:color w:val="auto"/>
        </w:rPr>
        <w:fldChar w:fldCharType="begin"/>
      </w:r>
      <w:r>
        <w:rPr>
          <w:color w:val="auto"/>
        </w:rPr>
        <w:instrText xml:space="preserve"> HYPERLINK \l "_Toc8301" </w:instrText>
      </w:r>
      <w:r>
        <w:rPr>
          <w:color w:val="auto"/>
        </w:rPr>
        <w:fldChar w:fldCharType="separate"/>
      </w:r>
      <w:r>
        <w:rPr>
          <w:bCs/>
          <w:color w:val="auto"/>
          <w:szCs w:val="32"/>
        </w:rPr>
        <w:t>第一章 招标公告</w:t>
      </w:r>
      <w:r>
        <w:rPr>
          <w:color w:val="auto"/>
        </w:rPr>
        <w:tab/>
      </w:r>
      <w:r>
        <w:rPr>
          <w:color w:val="auto"/>
        </w:rPr>
        <w:t>1</w:t>
      </w:r>
      <w:r>
        <w:rPr>
          <w:color w:val="auto"/>
        </w:rPr>
        <w:fldChar w:fldCharType="end"/>
      </w:r>
    </w:p>
    <w:p>
      <w:pPr>
        <w:pStyle w:val="21"/>
        <w:tabs>
          <w:tab w:val="right" w:leader="dot" w:pos="9558"/>
        </w:tabs>
        <w:spacing w:line="360" w:lineRule="auto"/>
        <w:rPr>
          <w:color w:val="auto"/>
        </w:rPr>
      </w:pPr>
      <w:r>
        <w:rPr>
          <w:color w:val="auto"/>
        </w:rPr>
        <w:fldChar w:fldCharType="begin"/>
      </w:r>
      <w:r>
        <w:rPr>
          <w:color w:val="auto"/>
        </w:rPr>
        <w:instrText xml:space="preserve"> HYPERLINK \l "_Toc28467" </w:instrText>
      </w:r>
      <w:r>
        <w:rPr>
          <w:color w:val="auto"/>
        </w:rPr>
        <w:fldChar w:fldCharType="separate"/>
      </w:r>
      <w:r>
        <w:rPr>
          <w:color w:val="auto"/>
          <w:szCs w:val="32"/>
        </w:rPr>
        <w:t>第二章 投标人须知</w:t>
      </w:r>
      <w:r>
        <w:rPr>
          <w:color w:val="auto"/>
        </w:rPr>
        <w:tab/>
      </w:r>
      <w:r>
        <w:rPr>
          <w:rFonts w:hint="eastAsia"/>
          <w:color w:val="auto"/>
          <w:lang w:val="en-US" w:eastAsia="zh-CN"/>
        </w:rPr>
        <w:t>5</w:t>
      </w:r>
      <w:r>
        <w:rPr>
          <w:rFonts w:hint="eastAsia"/>
          <w:color w:val="auto"/>
        </w:rPr>
        <w:fldChar w:fldCharType="end"/>
      </w:r>
    </w:p>
    <w:p>
      <w:pPr>
        <w:pStyle w:val="25"/>
        <w:tabs>
          <w:tab w:val="right" w:leader="dot" w:pos="9558"/>
        </w:tabs>
        <w:spacing w:line="360" w:lineRule="auto"/>
        <w:rPr>
          <w:color w:val="auto"/>
        </w:rPr>
      </w:pPr>
      <w:r>
        <w:rPr>
          <w:color w:val="auto"/>
        </w:rPr>
        <w:fldChar w:fldCharType="begin"/>
      </w:r>
      <w:r>
        <w:rPr>
          <w:color w:val="auto"/>
        </w:rPr>
        <w:instrText xml:space="preserve"> HYPERLINK \l "_Toc16335" </w:instrText>
      </w:r>
      <w:r>
        <w:rPr>
          <w:color w:val="auto"/>
        </w:rPr>
        <w:fldChar w:fldCharType="separate"/>
      </w:r>
      <w:r>
        <w:rPr>
          <w:color w:val="auto"/>
          <w:szCs w:val="32"/>
        </w:rPr>
        <w:t>一、</w:t>
      </w:r>
      <w:r>
        <w:rPr>
          <w:color w:val="auto"/>
          <w:szCs w:val="28"/>
        </w:rPr>
        <w:t>投标人须知前附表</w:t>
      </w:r>
      <w:r>
        <w:rPr>
          <w:color w:val="auto"/>
        </w:rPr>
        <w:tab/>
      </w:r>
      <w:r>
        <w:rPr>
          <w:rFonts w:hint="eastAsia"/>
          <w:color w:val="auto"/>
          <w:lang w:val="en-US" w:eastAsia="zh-CN"/>
        </w:rPr>
        <w:t>5</w:t>
      </w:r>
      <w:r>
        <w:rPr>
          <w:rFonts w:hint="eastAsia"/>
          <w:color w:val="auto"/>
        </w:rPr>
        <w:fldChar w:fldCharType="end"/>
      </w:r>
    </w:p>
    <w:p>
      <w:pPr>
        <w:pStyle w:val="25"/>
        <w:tabs>
          <w:tab w:val="right" w:leader="dot" w:pos="9558"/>
        </w:tabs>
        <w:spacing w:line="360" w:lineRule="auto"/>
        <w:rPr>
          <w:rFonts w:hint="eastAsia" w:eastAsia="宋体"/>
          <w:color w:val="auto"/>
          <w:lang w:val="en-US" w:eastAsia="zh-CN"/>
        </w:rPr>
      </w:pPr>
      <w:r>
        <w:rPr>
          <w:color w:val="auto"/>
        </w:rPr>
        <w:fldChar w:fldCharType="begin"/>
      </w:r>
      <w:r>
        <w:rPr>
          <w:color w:val="auto"/>
        </w:rPr>
        <w:instrText xml:space="preserve"> HYPERLINK \l "_Toc16929" </w:instrText>
      </w:r>
      <w:r>
        <w:rPr>
          <w:color w:val="auto"/>
        </w:rPr>
        <w:fldChar w:fldCharType="separate"/>
      </w:r>
      <w:r>
        <w:rPr>
          <w:color w:val="auto"/>
          <w:szCs w:val="32"/>
        </w:rPr>
        <w:t>二、投标人须知</w:t>
      </w:r>
      <w:r>
        <w:rPr>
          <w:color w:val="auto"/>
        </w:rPr>
        <w:tab/>
      </w:r>
      <w:r>
        <w:rPr>
          <w:rFonts w:hint="eastAsia"/>
          <w:color w:val="auto"/>
        </w:rPr>
        <w:fldChar w:fldCharType="end"/>
      </w:r>
      <w:r>
        <w:rPr>
          <w:rFonts w:hint="eastAsia"/>
          <w:color w:val="auto"/>
          <w:lang w:val="en-US" w:eastAsia="zh-CN"/>
        </w:rPr>
        <w:t>9</w:t>
      </w:r>
    </w:p>
    <w:p>
      <w:pPr>
        <w:pStyle w:val="21"/>
        <w:tabs>
          <w:tab w:val="right" w:leader="dot" w:pos="9558"/>
        </w:tabs>
        <w:spacing w:line="360" w:lineRule="auto"/>
        <w:rPr>
          <w:rFonts w:hint="eastAsia" w:eastAsia="宋体"/>
          <w:color w:val="auto"/>
          <w:lang w:val="en-US" w:eastAsia="zh-CN"/>
        </w:rPr>
      </w:pPr>
      <w:r>
        <w:rPr>
          <w:color w:val="auto"/>
        </w:rPr>
        <w:fldChar w:fldCharType="begin"/>
      </w:r>
      <w:r>
        <w:rPr>
          <w:color w:val="auto"/>
        </w:rPr>
        <w:instrText xml:space="preserve"> HYPERLINK \l "_Toc25803" </w:instrText>
      </w:r>
      <w:r>
        <w:rPr>
          <w:color w:val="auto"/>
        </w:rPr>
        <w:fldChar w:fldCharType="separate"/>
      </w:r>
      <w:r>
        <w:rPr>
          <w:color w:val="auto"/>
          <w:szCs w:val="32"/>
        </w:rPr>
        <w:t>第三章  评标办法</w:t>
      </w:r>
      <w:r>
        <w:rPr>
          <w:color w:val="auto"/>
        </w:rPr>
        <w:tab/>
      </w:r>
      <w:r>
        <w:rPr>
          <w:rFonts w:hint="eastAsia"/>
          <w:color w:val="auto"/>
          <w:lang w:val="en-US" w:eastAsia="zh-CN"/>
        </w:rPr>
        <w:t>2</w:t>
      </w:r>
      <w:r>
        <w:rPr>
          <w:rFonts w:hint="eastAsia"/>
          <w:color w:val="auto"/>
        </w:rPr>
        <w:fldChar w:fldCharType="end"/>
      </w:r>
      <w:r>
        <w:rPr>
          <w:rFonts w:hint="eastAsia"/>
          <w:color w:val="auto"/>
          <w:lang w:val="en-US" w:eastAsia="zh-CN"/>
        </w:rPr>
        <w:t>2</w:t>
      </w:r>
    </w:p>
    <w:p>
      <w:pPr>
        <w:pStyle w:val="25"/>
        <w:tabs>
          <w:tab w:val="right" w:leader="dot" w:pos="9558"/>
        </w:tabs>
        <w:spacing w:line="360" w:lineRule="auto"/>
        <w:rPr>
          <w:rFonts w:hint="eastAsia" w:eastAsia="宋体"/>
          <w:color w:val="auto"/>
          <w:lang w:eastAsia="zh-CN"/>
        </w:rPr>
      </w:pPr>
      <w:r>
        <w:rPr>
          <w:color w:val="auto"/>
        </w:rPr>
        <w:fldChar w:fldCharType="begin"/>
      </w:r>
      <w:r>
        <w:rPr>
          <w:color w:val="auto"/>
        </w:rPr>
        <w:instrText xml:space="preserve"> HYPERLINK \l "_Toc14894" </w:instrText>
      </w:r>
      <w:r>
        <w:rPr>
          <w:color w:val="auto"/>
        </w:rPr>
        <w:fldChar w:fldCharType="separate"/>
      </w:r>
      <w:r>
        <w:rPr>
          <w:color w:val="auto"/>
          <w:szCs w:val="22"/>
        </w:rPr>
        <w:t>一 、总则</w:t>
      </w:r>
      <w:r>
        <w:rPr>
          <w:color w:val="auto"/>
          <w:szCs w:val="22"/>
        </w:rPr>
        <w:tab/>
      </w:r>
      <w:r>
        <w:rPr>
          <w:rFonts w:hint="eastAsia"/>
          <w:color w:val="auto"/>
          <w:szCs w:val="22"/>
        </w:rPr>
        <w:t>2</w:t>
      </w:r>
      <w:r>
        <w:rPr>
          <w:rFonts w:hint="eastAsia"/>
          <w:color w:val="auto"/>
          <w:szCs w:val="22"/>
        </w:rPr>
        <w:fldChar w:fldCharType="end"/>
      </w:r>
      <w:r>
        <w:rPr>
          <w:rFonts w:hint="eastAsia"/>
          <w:color w:val="auto"/>
          <w:szCs w:val="22"/>
          <w:lang w:val="en-US" w:eastAsia="zh-CN"/>
        </w:rPr>
        <w:t>2</w:t>
      </w:r>
    </w:p>
    <w:p>
      <w:pPr>
        <w:pStyle w:val="25"/>
        <w:tabs>
          <w:tab w:val="right" w:leader="dot" w:pos="9558"/>
        </w:tabs>
        <w:spacing w:line="360" w:lineRule="auto"/>
        <w:rPr>
          <w:rFonts w:hint="eastAsia" w:eastAsia="宋体"/>
          <w:color w:val="auto"/>
          <w:szCs w:val="22"/>
          <w:lang w:eastAsia="zh-CN"/>
        </w:rPr>
      </w:pPr>
      <w:r>
        <w:rPr>
          <w:color w:val="auto"/>
        </w:rPr>
        <w:fldChar w:fldCharType="begin"/>
      </w:r>
      <w:r>
        <w:rPr>
          <w:color w:val="auto"/>
        </w:rPr>
        <w:instrText xml:space="preserve"> HYPERLINK \l "_Toc20943" </w:instrText>
      </w:r>
      <w:r>
        <w:rPr>
          <w:color w:val="auto"/>
        </w:rPr>
        <w:fldChar w:fldCharType="separate"/>
      </w:r>
      <w:r>
        <w:rPr>
          <w:color w:val="auto"/>
          <w:szCs w:val="22"/>
        </w:rPr>
        <w:t>二 、投标文件初审</w:t>
      </w:r>
      <w:r>
        <w:rPr>
          <w:color w:val="auto"/>
          <w:szCs w:val="22"/>
        </w:rPr>
        <w:tab/>
      </w:r>
      <w:r>
        <w:rPr>
          <w:rFonts w:hint="eastAsia"/>
          <w:color w:val="auto"/>
          <w:szCs w:val="22"/>
        </w:rPr>
        <w:t>2</w:t>
      </w:r>
      <w:r>
        <w:rPr>
          <w:rFonts w:hint="eastAsia"/>
          <w:color w:val="auto"/>
          <w:szCs w:val="22"/>
        </w:rPr>
        <w:fldChar w:fldCharType="end"/>
      </w:r>
      <w:r>
        <w:rPr>
          <w:rFonts w:hint="eastAsia"/>
          <w:color w:val="auto"/>
          <w:szCs w:val="22"/>
          <w:lang w:val="en-US" w:eastAsia="zh-CN"/>
        </w:rPr>
        <w:t>2</w:t>
      </w:r>
    </w:p>
    <w:p>
      <w:pPr>
        <w:pStyle w:val="25"/>
        <w:tabs>
          <w:tab w:val="right" w:leader="dot" w:pos="9558"/>
        </w:tabs>
        <w:spacing w:line="360" w:lineRule="auto"/>
        <w:rPr>
          <w:rFonts w:hint="eastAsia" w:eastAsia="宋体"/>
          <w:color w:val="auto"/>
          <w:szCs w:val="22"/>
          <w:lang w:eastAsia="zh-CN"/>
        </w:rPr>
      </w:pPr>
      <w:r>
        <w:rPr>
          <w:color w:val="auto"/>
        </w:rPr>
        <w:fldChar w:fldCharType="begin"/>
      </w:r>
      <w:r>
        <w:rPr>
          <w:color w:val="auto"/>
        </w:rPr>
        <w:instrText xml:space="preserve"> HYPERLINK \l "_Toc16831" </w:instrText>
      </w:r>
      <w:r>
        <w:rPr>
          <w:color w:val="auto"/>
        </w:rPr>
        <w:fldChar w:fldCharType="separate"/>
      </w:r>
      <w:r>
        <w:rPr>
          <w:color w:val="auto"/>
          <w:szCs w:val="22"/>
        </w:rPr>
        <w:t>三 、投标文件的澄清和补正</w:t>
      </w:r>
      <w:r>
        <w:rPr>
          <w:color w:val="auto"/>
          <w:szCs w:val="22"/>
        </w:rPr>
        <w:tab/>
      </w:r>
      <w:r>
        <w:rPr>
          <w:color w:val="auto"/>
          <w:szCs w:val="22"/>
        </w:rPr>
        <w:t>2</w:t>
      </w:r>
      <w:r>
        <w:rPr>
          <w:color w:val="auto"/>
          <w:szCs w:val="22"/>
        </w:rPr>
        <w:fldChar w:fldCharType="end"/>
      </w:r>
      <w:r>
        <w:rPr>
          <w:rFonts w:hint="eastAsia"/>
          <w:color w:val="auto"/>
          <w:szCs w:val="22"/>
          <w:lang w:val="en-US" w:eastAsia="zh-CN"/>
        </w:rPr>
        <w:t>3</w:t>
      </w:r>
    </w:p>
    <w:p>
      <w:pPr>
        <w:pStyle w:val="25"/>
        <w:tabs>
          <w:tab w:val="right" w:leader="dot" w:pos="9558"/>
        </w:tabs>
        <w:spacing w:line="360" w:lineRule="auto"/>
        <w:rPr>
          <w:rFonts w:hint="eastAsia" w:eastAsia="宋体"/>
          <w:color w:val="auto"/>
          <w:szCs w:val="22"/>
          <w:lang w:eastAsia="zh-CN"/>
        </w:rPr>
      </w:pPr>
      <w:r>
        <w:rPr>
          <w:color w:val="auto"/>
        </w:rPr>
        <w:fldChar w:fldCharType="begin"/>
      </w:r>
      <w:r>
        <w:rPr>
          <w:color w:val="auto"/>
        </w:rPr>
        <w:instrText xml:space="preserve"> HYPERLINK \l "_Toc4840" </w:instrText>
      </w:r>
      <w:r>
        <w:rPr>
          <w:color w:val="auto"/>
        </w:rPr>
        <w:fldChar w:fldCharType="separate"/>
      </w:r>
      <w:r>
        <w:rPr>
          <w:color w:val="auto"/>
          <w:szCs w:val="22"/>
        </w:rPr>
        <w:t>四、 比较与评价</w:t>
      </w:r>
      <w:r>
        <w:rPr>
          <w:color w:val="auto"/>
          <w:szCs w:val="22"/>
        </w:rPr>
        <w:tab/>
      </w:r>
      <w:r>
        <w:rPr>
          <w:color w:val="auto"/>
          <w:szCs w:val="22"/>
        </w:rPr>
        <w:t>2</w:t>
      </w:r>
      <w:r>
        <w:rPr>
          <w:color w:val="auto"/>
          <w:szCs w:val="22"/>
        </w:rPr>
        <w:fldChar w:fldCharType="end"/>
      </w:r>
      <w:r>
        <w:rPr>
          <w:rFonts w:hint="eastAsia"/>
          <w:color w:val="auto"/>
          <w:szCs w:val="22"/>
          <w:lang w:val="en-US" w:eastAsia="zh-CN"/>
        </w:rPr>
        <w:t>3</w:t>
      </w:r>
    </w:p>
    <w:p>
      <w:pPr>
        <w:pStyle w:val="25"/>
        <w:tabs>
          <w:tab w:val="right" w:leader="dot" w:pos="9558"/>
        </w:tabs>
        <w:spacing w:line="360" w:lineRule="auto"/>
        <w:rPr>
          <w:rFonts w:hint="eastAsia"/>
          <w:b/>
          <w:color w:val="auto"/>
          <w:sz w:val="24"/>
          <w:szCs w:val="24"/>
          <w:lang w:val="en-US" w:eastAsia="zh-CN"/>
        </w:rPr>
      </w:pPr>
      <w:r>
        <w:rPr>
          <w:color w:val="auto"/>
        </w:rPr>
        <w:fldChar w:fldCharType="begin"/>
      </w:r>
      <w:r>
        <w:rPr>
          <w:color w:val="auto"/>
        </w:rPr>
        <w:instrText xml:space="preserve"> HYPERLINK \l "_Toc11316" </w:instrText>
      </w:r>
      <w:r>
        <w:rPr>
          <w:color w:val="auto"/>
        </w:rPr>
        <w:fldChar w:fldCharType="separate"/>
      </w:r>
      <w:r>
        <w:rPr>
          <w:color w:val="auto"/>
          <w:szCs w:val="22"/>
        </w:rPr>
        <w:t>五 、推荐中标候选人</w:t>
      </w:r>
      <w:r>
        <w:rPr>
          <w:color w:val="auto"/>
          <w:szCs w:val="22"/>
        </w:rPr>
        <w:tab/>
      </w:r>
      <w:r>
        <w:rPr>
          <w:color w:val="auto"/>
          <w:szCs w:val="22"/>
        </w:rPr>
        <w:t>2</w:t>
      </w:r>
      <w:r>
        <w:rPr>
          <w:color w:val="auto"/>
          <w:szCs w:val="22"/>
        </w:rPr>
        <w:fldChar w:fldCharType="end"/>
      </w:r>
      <w:r>
        <w:rPr>
          <w:rFonts w:hint="eastAsia"/>
          <w:color w:val="auto"/>
          <w:szCs w:val="22"/>
          <w:lang w:val="en-US" w:eastAsia="zh-CN"/>
        </w:rPr>
        <w:t>7</w:t>
      </w:r>
    </w:p>
    <w:p>
      <w:pPr>
        <w:pStyle w:val="25"/>
        <w:tabs>
          <w:tab w:val="right" w:leader="dot" w:pos="9558"/>
        </w:tabs>
        <w:spacing w:line="360" w:lineRule="auto"/>
        <w:rPr>
          <w:rFonts w:hint="eastAsia"/>
          <w:color w:val="auto"/>
          <w:lang w:eastAsia="zh-CN"/>
        </w:rPr>
      </w:pPr>
      <w:r>
        <w:rPr>
          <w:color w:val="auto"/>
        </w:rPr>
        <w:fldChar w:fldCharType="begin"/>
      </w:r>
      <w:r>
        <w:rPr>
          <w:color w:val="auto"/>
        </w:rPr>
        <w:instrText xml:space="preserve"> HYPERLINK \l "_Toc11316" </w:instrText>
      </w:r>
      <w:r>
        <w:rPr>
          <w:color w:val="auto"/>
        </w:rPr>
        <w:fldChar w:fldCharType="separate"/>
      </w:r>
      <w:r>
        <w:rPr>
          <w:rFonts w:hint="eastAsia"/>
          <w:color w:val="auto"/>
          <w:lang w:val="en-US" w:eastAsia="zh-CN"/>
        </w:rPr>
        <w:t>六</w:t>
      </w:r>
      <w:r>
        <w:rPr>
          <w:color w:val="auto"/>
          <w:szCs w:val="22"/>
        </w:rPr>
        <w:t xml:space="preserve"> 、</w:t>
      </w:r>
      <w:r>
        <w:rPr>
          <w:rFonts w:hint="eastAsia"/>
          <w:color w:val="auto"/>
          <w:szCs w:val="22"/>
          <w:lang w:val="en-US" w:eastAsia="zh-CN"/>
        </w:rPr>
        <w:t>无效条款</w:t>
      </w:r>
      <w:r>
        <w:rPr>
          <w:color w:val="auto"/>
          <w:szCs w:val="22"/>
        </w:rPr>
        <w:tab/>
      </w:r>
      <w:r>
        <w:rPr>
          <w:color w:val="auto"/>
          <w:szCs w:val="22"/>
        </w:rPr>
        <w:t>2</w:t>
      </w:r>
      <w:r>
        <w:rPr>
          <w:color w:val="auto"/>
          <w:szCs w:val="22"/>
        </w:rPr>
        <w:fldChar w:fldCharType="end"/>
      </w:r>
      <w:r>
        <w:rPr>
          <w:rFonts w:hint="eastAsia"/>
          <w:color w:val="auto"/>
          <w:szCs w:val="22"/>
          <w:lang w:val="en-US" w:eastAsia="zh-CN"/>
        </w:rPr>
        <w:t>7</w:t>
      </w:r>
    </w:p>
    <w:p>
      <w:pPr>
        <w:pStyle w:val="21"/>
        <w:tabs>
          <w:tab w:val="right" w:leader="dot" w:pos="9558"/>
        </w:tabs>
        <w:spacing w:line="360" w:lineRule="auto"/>
        <w:rPr>
          <w:rFonts w:hint="eastAsia" w:eastAsia="宋体"/>
          <w:color w:val="auto"/>
          <w:szCs w:val="22"/>
          <w:lang w:val="en-US" w:eastAsia="zh-CN"/>
        </w:rPr>
      </w:pPr>
      <w:r>
        <w:rPr>
          <w:color w:val="auto"/>
        </w:rPr>
        <w:fldChar w:fldCharType="begin"/>
      </w:r>
      <w:r>
        <w:rPr>
          <w:color w:val="auto"/>
        </w:rPr>
        <w:instrText xml:space="preserve"> HYPERLINK \l "_Toc10986" </w:instrText>
      </w:r>
      <w:r>
        <w:rPr>
          <w:color w:val="auto"/>
        </w:rPr>
        <w:fldChar w:fldCharType="separate"/>
      </w:r>
      <w:r>
        <w:rPr>
          <w:color w:val="auto"/>
          <w:szCs w:val="22"/>
        </w:rPr>
        <w:t>第四章 采购清单</w:t>
      </w:r>
      <w:r>
        <w:rPr>
          <w:color w:val="auto"/>
          <w:szCs w:val="22"/>
        </w:rPr>
        <w:tab/>
      </w:r>
      <w:r>
        <w:rPr>
          <w:rFonts w:hint="eastAsia"/>
          <w:color w:val="auto"/>
          <w:szCs w:val="22"/>
          <w:lang w:val="en-US" w:eastAsia="zh-CN"/>
        </w:rPr>
        <w:t>2</w:t>
      </w:r>
      <w:r>
        <w:rPr>
          <w:color w:val="auto"/>
          <w:szCs w:val="22"/>
        </w:rPr>
        <w:fldChar w:fldCharType="end"/>
      </w:r>
      <w:r>
        <w:rPr>
          <w:rFonts w:hint="eastAsia"/>
          <w:color w:val="auto"/>
          <w:szCs w:val="22"/>
          <w:lang w:val="en-US" w:eastAsia="zh-CN"/>
        </w:rPr>
        <w:t>9</w:t>
      </w:r>
    </w:p>
    <w:p>
      <w:pPr>
        <w:pStyle w:val="21"/>
        <w:tabs>
          <w:tab w:val="right" w:leader="dot" w:pos="9558"/>
        </w:tabs>
        <w:spacing w:line="360" w:lineRule="auto"/>
        <w:rPr>
          <w:rFonts w:hint="eastAsia" w:eastAsia="宋体"/>
          <w:color w:val="auto"/>
          <w:szCs w:val="22"/>
          <w:lang w:val="en-US" w:eastAsia="zh-CN"/>
        </w:rPr>
      </w:pPr>
      <w:r>
        <w:rPr>
          <w:color w:val="auto"/>
        </w:rPr>
        <w:fldChar w:fldCharType="begin"/>
      </w:r>
      <w:r>
        <w:rPr>
          <w:color w:val="auto"/>
        </w:rPr>
        <w:instrText xml:space="preserve"> HYPERLINK \l "_Toc15403" </w:instrText>
      </w:r>
      <w:r>
        <w:rPr>
          <w:color w:val="auto"/>
        </w:rPr>
        <w:fldChar w:fldCharType="separate"/>
      </w:r>
      <w:r>
        <w:rPr>
          <w:color w:val="auto"/>
          <w:szCs w:val="22"/>
        </w:rPr>
        <w:t>第五章  合同条款及格式</w:t>
      </w:r>
      <w:r>
        <w:rPr>
          <w:color w:val="auto"/>
          <w:szCs w:val="22"/>
        </w:rPr>
        <w:tab/>
      </w:r>
      <w:r>
        <w:rPr>
          <w:rFonts w:hint="eastAsia"/>
          <w:color w:val="auto"/>
          <w:szCs w:val="22"/>
          <w:lang w:val="en-US" w:eastAsia="zh-CN"/>
        </w:rPr>
        <w:t>3</w:t>
      </w:r>
      <w:r>
        <w:rPr>
          <w:rFonts w:hint="eastAsia"/>
          <w:color w:val="auto"/>
          <w:szCs w:val="22"/>
        </w:rPr>
        <w:fldChar w:fldCharType="end"/>
      </w:r>
      <w:r>
        <w:rPr>
          <w:rFonts w:hint="eastAsia"/>
          <w:color w:val="auto"/>
          <w:szCs w:val="22"/>
          <w:lang w:val="en-US" w:eastAsia="zh-CN"/>
        </w:rPr>
        <w:t>3</w:t>
      </w:r>
    </w:p>
    <w:p>
      <w:pPr>
        <w:pStyle w:val="25"/>
        <w:tabs>
          <w:tab w:val="right" w:leader="dot" w:pos="9558"/>
        </w:tabs>
        <w:spacing w:line="360" w:lineRule="auto"/>
        <w:rPr>
          <w:rFonts w:hint="eastAsia" w:eastAsia="宋体"/>
          <w:color w:val="auto"/>
          <w:szCs w:val="22"/>
          <w:lang w:val="en-US" w:eastAsia="zh-CN"/>
        </w:rPr>
      </w:pPr>
      <w:r>
        <w:rPr>
          <w:color w:val="auto"/>
        </w:rPr>
        <w:fldChar w:fldCharType="begin"/>
      </w:r>
      <w:r>
        <w:rPr>
          <w:color w:val="auto"/>
        </w:rPr>
        <w:instrText xml:space="preserve"> HYPERLINK \l "_Toc22700" </w:instrText>
      </w:r>
      <w:r>
        <w:rPr>
          <w:color w:val="auto"/>
        </w:rPr>
        <w:fldChar w:fldCharType="separate"/>
      </w:r>
      <w:r>
        <w:rPr>
          <w:color w:val="auto"/>
          <w:szCs w:val="22"/>
        </w:rPr>
        <w:t>一 、合同协议书（格式）</w:t>
      </w:r>
      <w:r>
        <w:rPr>
          <w:color w:val="auto"/>
          <w:szCs w:val="22"/>
        </w:rPr>
        <w:tab/>
      </w:r>
      <w:r>
        <w:rPr>
          <w:rFonts w:hint="eastAsia"/>
          <w:color w:val="auto"/>
          <w:szCs w:val="22"/>
          <w:lang w:val="en-US" w:eastAsia="zh-CN"/>
        </w:rPr>
        <w:t>3</w:t>
      </w:r>
      <w:r>
        <w:rPr>
          <w:rFonts w:hint="eastAsia"/>
          <w:color w:val="auto"/>
          <w:szCs w:val="22"/>
        </w:rPr>
        <w:fldChar w:fldCharType="end"/>
      </w:r>
      <w:r>
        <w:rPr>
          <w:rFonts w:hint="eastAsia"/>
          <w:color w:val="auto"/>
          <w:szCs w:val="22"/>
          <w:lang w:val="en-US" w:eastAsia="zh-CN"/>
        </w:rPr>
        <w:t>3</w:t>
      </w:r>
    </w:p>
    <w:p>
      <w:pPr>
        <w:pStyle w:val="25"/>
        <w:tabs>
          <w:tab w:val="right" w:leader="dot" w:pos="9558"/>
        </w:tabs>
        <w:spacing w:line="360" w:lineRule="auto"/>
        <w:rPr>
          <w:rFonts w:hint="default" w:eastAsia="宋体"/>
          <w:color w:val="auto"/>
          <w:szCs w:val="22"/>
          <w:lang w:val="en-US" w:eastAsia="zh-CN"/>
        </w:rPr>
      </w:pPr>
      <w:r>
        <w:rPr>
          <w:color w:val="auto"/>
        </w:rPr>
        <w:fldChar w:fldCharType="begin"/>
      </w:r>
      <w:r>
        <w:rPr>
          <w:color w:val="auto"/>
        </w:rPr>
        <w:instrText xml:space="preserve"> HYPERLINK \l "_Toc26887" </w:instrText>
      </w:r>
      <w:r>
        <w:rPr>
          <w:color w:val="auto"/>
        </w:rPr>
        <w:fldChar w:fldCharType="separate"/>
      </w:r>
      <w:r>
        <w:rPr>
          <w:color w:val="auto"/>
          <w:szCs w:val="22"/>
        </w:rPr>
        <w:t>二 、合同条款</w:t>
      </w:r>
      <w:r>
        <w:rPr>
          <w:color w:val="auto"/>
          <w:szCs w:val="22"/>
        </w:rPr>
        <w:tab/>
      </w:r>
      <w:r>
        <w:rPr>
          <w:rFonts w:hint="eastAsia"/>
          <w:color w:val="auto"/>
          <w:szCs w:val="22"/>
        </w:rPr>
        <w:fldChar w:fldCharType="end"/>
      </w:r>
      <w:r>
        <w:rPr>
          <w:rFonts w:hint="eastAsia"/>
          <w:color w:val="auto"/>
          <w:szCs w:val="22"/>
          <w:lang w:val="en-US" w:eastAsia="zh-CN"/>
        </w:rPr>
        <w:t>34</w:t>
      </w:r>
    </w:p>
    <w:p>
      <w:pPr>
        <w:pStyle w:val="21"/>
        <w:tabs>
          <w:tab w:val="right" w:leader="dot" w:pos="9558"/>
        </w:tabs>
        <w:spacing w:line="360" w:lineRule="auto"/>
        <w:rPr>
          <w:rFonts w:hint="eastAsia" w:eastAsia="宋体"/>
          <w:color w:val="auto"/>
          <w:szCs w:val="22"/>
          <w:lang w:val="en-US" w:eastAsia="zh-CN"/>
        </w:rPr>
      </w:pPr>
      <w:r>
        <w:rPr>
          <w:color w:val="auto"/>
        </w:rPr>
        <w:fldChar w:fldCharType="begin"/>
      </w:r>
      <w:r>
        <w:rPr>
          <w:color w:val="auto"/>
        </w:rPr>
        <w:instrText xml:space="preserve"> HYPERLINK \l "_Toc16971" </w:instrText>
      </w:r>
      <w:r>
        <w:rPr>
          <w:color w:val="auto"/>
        </w:rPr>
        <w:fldChar w:fldCharType="separate"/>
      </w:r>
      <w:r>
        <w:rPr>
          <w:color w:val="auto"/>
          <w:szCs w:val="22"/>
        </w:rPr>
        <w:t>第六章  投标文件格式</w:t>
      </w:r>
      <w:r>
        <w:rPr>
          <w:color w:val="auto"/>
          <w:szCs w:val="22"/>
        </w:rPr>
        <w:tab/>
      </w:r>
      <w:r>
        <w:rPr>
          <w:rFonts w:hint="eastAsia"/>
          <w:color w:val="auto"/>
          <w:szCs w:val="22"/>
          <w:lang w:val="en-US" w:eastAsia="zh-CN"/>
        </w:rPr>
        <w:t>4</w:t>
      </w:r>
      <w:r>
        <w:rPr>
          <w:rFonts w:hint="eastAsia"/>
          <w:color w:val="auto"/>
          <w:szCs w:val="22"/>
        </w:rPr>
        <w:fldChar w:fldCharType="end"/>
      </w:r>
      <w:r>
        <w:rPr>
          <w:rFonts w:hint="eastAsia"/>
          <w:color w:val="auto"/>
          <w:szCs w:val="22"/>
          <w:lang w:val="en-US" w:eastAsia="zh-CN"/>
        </w:rPr>
        <w:t>0</w:t>
      </w:r>
    </w:p>
    <w:p>
      <w:pPr>
        <w:spacing w:line="360" w:lineRule="auto"/>
        <w:rPr>
          <w:b/>
          <w:bCs/>
          <w:color w:val="auto"/>
          <w:sz w:val="32"/>
          <w:szCs w:val="32"/>
        </w:rPr>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0" w:num="1"/>
          <w:docGrid w:linePitch="312" w:charSpace="0"/>
        </w:sectPr>
      </w:pPr>
      <w:r>
        <w:rPr>
          <w:color w:val="auto"/>
          <w:szCs w:val="21"/>
          <w:u w:val="single"/>
        </w:rPr>
        <w:fldChar w:fldCharType="end"/>
      </w:r>
      <w:bookmarkStart w:id="0" w:name="_Toc8301"/>
    </w:p>
    <w:bookmarkEnd w:id="0"/>
    <w:p>
      <w:pPr>
        <w:keepNext w:val="0"/>
        <w:keepLines w:val="0"/>
        <w:pageBreakBefore w:val="0"/>
        <w:numPr>
          <w:ilvl w:val="0"/>
          <w:numId w:val="0"/>
        </w:numPr>
        <w:kinsoku/>
        <w:overflowPunct/>
        <w:topLinePunct w:val="0"/>
        <w:autoSpaceDE/>
        <w:bidi w:val="0"/>
        <w:adjustRightInd/>
        <w:snapToGrid/>
        <w:spacing w:line="360" w:lineRule="auto"/>
        <w:jc w:val="center"/>
        <w:textAlignment w:val="auto"/>
        <w:rPr>
          <w:rFonts w:hint="eastAsia" w:ascii="宋体" w:hAnsi="宋体" w:eastAsia="宋体" w:cs="宋体"/>
          <w:b/>
          <w:bCs/>
          <w:color w:val="auto"/>
          <w:sz w:val="32"/>
          <w:szCs w:val="32"/>
        </w:rPr>
      </w:pPr>
      <w:bookmarkStart w:id="1" w:name="_Toc28467"/>
      <w:r>
        <w:rPr>
          <w:rFonts w:hint="eastAsia" w:ascii="宋体" w:hAnsi="宋体" w:eastAsia="宋体" w:cs="宋体"/>
          <w:b/>
          <w:bCs/>
          <w:color w:val="auto"/>
          <w:sz w:val="32"/>
          <w:szCs w:val="32"/>
          <w:lang w:val="en-US" w:eastAsia="zh-CN"/>
        </w:rPr>
        <w:t>第一章 招标公告</w:t>
      </w:r>
    </w:p>
    <w:p>
      <w:pPr>
        <w:pStyle w:val="4"/>
        <w:pageBreakBefore w:val="0"/>
        <w:widowControl w:val="0"/>
        <w:numPr>
          <w:ilvl w:val="1"/>
          <w:numId w:val="0"/>
        </w:numPr>
        <w:kinsoku/>
        <w:wordWrap/>
        <w:overflowPunct/>
        <w:topLinePunct w:val="0"/>
        <w:autoSpaceDE/>
        <w:autoSpaceDN/>
        <w:bidi w:val="0"/>
        <w:adjustRightInd w:val="0"/>
        <w:snapToGrid w:val="0"/>
        <w:spacing w:before="0" w:after="0" w:line="400" w:lineRule="exact"/>
        <w:jc w:val="both"/>
        <w:textAlignment w:val="auto"/>
        <w:rPr>
          <w:rFonts w:hint="eastAsia" w:ascii="宋体" w:hAnsi="宋体" w:eastAsia="宋体" w:cs="宋体"/>
          <w:b/>
          <w:bCs w:val="0"/>
          <w:sz w:val="24"/>
          <w:szCs w:val="24"/>
        </w:rPr>
      </w:pPr>
      <w:r>
        <w:rPr>
          <w:rFonts w:hint="eastAsia" w:ascii="宋体" w:hAnsi="宋体" w:eastAsia="宋体" w:cs="宋体"/>
          <w:b/>
          <w:bCs w:val="0"/>
          <w:sz w:val="24"/>
          <w:szCs w:val="24"/>
        </w:rPr>
        <w:t>项目概况</w:t>
      </w:r>
    </w:p>
    <w:p>
      <w:pPr>
        <w:keepNext w:val="0"/>
        <w:keepLines w:val="0"/>
        <w:pageBreakBefore w:val="0"/>
        <w:widowControl w:val="0"/>
        <w:kinsoku/>
        <w:overflowPunct/>
        <w:topLinePunct w:val="0"/>
        <w:autoSpaceDE/>
        <w:autoSpaceDN/>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温泉县2022年天山森林草原保护综合治理项目--退化林修复（二标段）</w:t>
      </w:r>
      <w:r>
        <w:rPr>
          <w:rFonts w:hint="eastAsia" w:ascii="宋体" w:hAnsi="宋体" w:eastAsia="宋体" w:cs="宋体"/>
          <w:sz w:val="24"/>
          <w:szCs w:val="24"/>
          <w:u w:val="none"/>
          <w:lang w:val="en-US" w:eastAsia="zh-CN"/>
        </w:rPr>
        <w:t>招标项目</w:t>
      </w:r>
      <w:r>
        <w:rPr>
          <w:rFonts w:hint="eastAsia" w:ascii="宋体" w:hAnsi="宋体" w:eastAsia="宋体" w:cs="宋体"/>
          <w:sz w:val="24"/>
          <w:szCs w:val="24"/>
        </w:rPr>
        <w:t>的潜在投标人应在</w:t>
      </w:r>
      <w:r>
        <w:rPr>
          <w:rFonts w:hint="eastAsia" w:ascii="宋体" w:hAnsi="宋体" w:eastAsia="宋体" w:cs="宋体"/>
          <w:sz w:val="24"/>
          <w:szCs w:val="24"/>
          <w:u w:val="single"/>
          <w:lang w:val="en-US" w:eastAsia="zh-CN"/>
        </w:rPr>
        <w:t>博州公共资源交易网</w:t>
      </w:r>
      <w:r>
        <w:rPr>
          <w:rFonts w:hint="eastAsia" w:ascii="宋体" w:hAnsi="宋体" w:eastAsia="宋体" w:cs="宋体"/>
          <w:kern w:val="2"/>
          <w:u w:val="single"/>
        </w:rPr>
        <w:t>（http://xzfw.xjboz.gov.cn/TPBidder）</w:t>
      </w:r>
      <w:r>
        <w:rPr>
          <w:rFonts w:hint="eastAsia" w:ascii="宋体" w:hAnsi="宋体" w:eastAsia="宋体" w:cs="宋体"/>
          <w:sz w:val="24"/>
          <w:szCs w:val="24"/>
        </w:rPr>
        <w:t>获取</w:t>
      </w:r>
      <w:r>
        <w:rPr>
          <w:rFonts w:hint="eastAsia" w:ascii="宋体" w:hAnsi="宋体" w:eastAsia="宋体" w:cs="宋体"/>
          <w:sz w:val="24"/>
          <w:szCs w:val="24"/>
          <w:lang w:eastAsia="zh-CN"/>
        </w:rPr>
        <w:t>采购</w:t>
      </w:r>
      <w:r>
        <w:rPr>
          <w:rFonts w:hint="eastAsia" w:ascii="宋体" w:hAnsi="宋体" w:eastAsia="宋体" w:cs="宋体"/>
          <w:sz w:val="24"/>
          <w:szCs w:val="24"/>
        </w:rPr>
        <w:t>文件，并于</w:t>
      </w:r>
      <w:r>
        <w:rPr>
          <w:rFonts w:hint="eastAsia" w:ascii="宋体" w:hAnsi="宋体" w:eastAsia="宋体" w:cs="宋体"/>
          <w:sz w:val="24"/>
          <w:szCs w:val="24"/>
          <w:u w:val="single"/>
          <w:lang w:val="en-US" w:eastAsia="zh-CN"/>
        </w:rPr>
        <w:t>2022</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9</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13</w:t>
      </w:r>
      <w:r>
        <w:rPr>
          <w:rFonts w:hint="eastAsia" w:ascii="宋体" w:hAnsi="宋体" w:eastAsia="宋体" w:cs="宋体"/>
          <w:sz w:val="24"/>
          <w:szCs w:val="24"/>
          <w:u w:val="single"/>
        </w:rPr>
        <w:t xml:space="preserve">日 </w:t>
      </w:r>
      <w:r>
        <w:rPr>
          <w:rFonts w:hint="eastAsia" w:ascii="宋体" w:hAnsi="宋体" w:eastAsia="宋体" w:cs="宋体"/>
          <w:sz w:val="24"/>
          <w:szCs w:val="24"/>
          <w:u w:val="single"/>
          <w:lang w:val="en-US" w:eastAsia="zh-CN"/>
        </w:rPr>
        <w:t>11</w:t>
      </w:r>
      <w:r>
        <w:rPr>
          <w:rFonts w:hint="eastAsia" w:ascii="宋体" w:hAnsi="宋体" w:cs="宋体"/>
          <w:sz w:val="24"/>
          <w:szCs w:val="24"/>
          <w:u w:val="single"/>
          <w:lang w:eastAsia="zh-CN"/>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00</w:t>
      </w:r>
      <w:r>
        <w:rPr>
          <w:rFonts w:hint="eastAsia" w:ascii="宋体" w:hAnsi="宋体" w:eastAsia="宋体" w:cs="宋体"/>
          <w:sz w:val="24"/>
          <w:szCs w:val="24"/>
          <w:u w:val="single"/>
        </w:rPr>
        <w:t>分</w:t>
      </w:r>
      <w:r>
        <w:rPr>
          <w:rFonts w:hint="eastAsia" w:ascii="宋体" w:hAnsi="宋体" w:eastAsia="宋体" w:cs="宋体"/>
          <w:sz w:val="24"/>
          <w:szCs w:val="24"/>
        </w:rPr>
        <w:t>（北京时间）前递交投标文件。</w:t>
      </w:r>
    </w:p>
    <w:p>
      <w:pPr>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一、项目基本情况</w:t>
      </w:r>
    </w:p>
    <w:p>
      <w:pPr>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宋体" w:hAnsi="宋体" w:eastAsia="宋体" w:cs="宋体"/>
          <w:sz w:val="24"/>
          <w:szCs w:val="24"/>
          <w:lang w:val="en-US"/>
        </w:rPr>
      </w:pPr>
      <w:r>
        <w:rPr>
          <w:rFonts w:hint="eastAsia" w:ascii="宋体" w:hAnsi="宋体" w:eastAsia="宋体" w:cs="宋体"/>
          <w:b/>
          <w:bCs w:val="0"/>
          <w:kern w:val="2"/>
          <w:sz w:val="24"/>
          <w:szCs w:val="24"/>
          <w:lang w:val="zh-CN" w:eastAsia="zh-CN" w:bidi="ar-SA"/>
        </w:rPr>
        <w:t>项目</w:t>
      </w:r>
      <w:r>
        <w:rPr>
          <w:rFonts w:hint="eastAsia" w:ascii="宋体" w:hAnsi="宋体" w:eastAsia="宋体" w:cs="宋体"/>
          <w:b/>
          <w:bCs w:val="0"/>
          <w:kern w:val="2"/>
          <w:sz w:val="24"/>
          <w:szCs w:val="24"/>
          <w:lang w:val="en-US" w:eastAsia="zh-CN" w:bidi="ar-SA"/>
        </w:rPr>
        <w:t>编号：</w:t>
      </w:r>
      <w:r>
        <w:rPr>
          <w:rFonts w:hint="eastAsia" w:ascii="宋体" w:hAnsi="宋体" w:eastAsia="宋体" w:cs="宋体"/>
          <w:sz w:val="24"/>
          <w:szCs w:val="24"/>
          <w:lang w:val="en-US" w:eastAsia="zh-CN"/>
        </w:rPr>
        <w:t>XJKDWQGK2022-0</w:t>
      </w:r>
      <w:r>
        <w:rPr>
          <w:rFonts w:hint="eastAsia" w:ascii="宋体" w:hAnsi="宋体" w:cs="宋体"/>
          <w:sz w:val="24"/>
          <w:szCs w:val="24"/>
          <w:lang w:val="en-US" w:eastAsia="zh-CN"/>
        </w:rPr>
        <w:t>7</w:t>
      </w:r>
    </w:p>
    <w:p>
      <w:pPr>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宋体" w:hAnsi="宋体" w:eastAsia="宋体" w:cs="宋体"/>
          <w:sz w:val="24"/>
          <w:szCs w:val="24"/>
        </w:rPr>
      </w:pPr>
      <w:r>
        <w:rPr>
          <w:rFonts w:hint="eastAsia" w:ascii="宋体" w:hAnsi="宋体" w:eastAsia="宋体" w:cs="宋体"/>
          <w:b/>
          <w:bCs w:val="0"/>
          <w:kern w:val="2"/>
          <w:sz w:val="24"/>
          <w:szCs w:val="24"/>
          <w:lang w:val="zh-CN" w:eastAsia="zh-CN" w:bidi="ar-SA"/>
        </w:rPr>
        <w:t>项目名称：</w:t>
      </w:r>
      <w:r>
        <w:rPr>
          <w:rFonts w:hint="eastAsia" w:ascii="宋体" w:hAnsi="宋体" w:eastAsia="宋体" w:cs="宋体"/>
          <w:sz w:val="24"/>
          <w:szCs w:val="24"/>
          <w:lang w:val="zh-CN" w:eastAsia="zh-CN"/>
        </w:rPr>
        <w:t>温泉县2022年天山森林草原保护综合治理项目--退化林修复（二标段）</w:t>
      </w:r>
    </w:p>
    <w:p>
      <w:pPr>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宋体" w:hAnsi="宋体" w:eastAsia="宋体" w:cs="宋体"/>
          <w:sz w:val="24"/>
          <w:szCs w:val="24"/>
        </w:rPr>
      </w:pPr>
      <w:r>
        <w:rPr>
          <w:rFonts w:hint="eastAsia" w:ascii="宋体" w:hAnsi="宋体" w:eastAsia="宋体" w:cs="宋体"/>
          <w:b/>
          <w:bCs w:val="0"/>
          <w:kern w:val="2"/>
          <w:sz w:val="24"/>
          <w:szCs w:val="24"/>
          <w:lang w:val="en-US" w:eastAsia="zh-CN" w:bidi="ar-SA"/>
        </w:rPr>
        <w:t>采购方式：</w:t>
      </w:r>
      <w:r>
        <w:rPr>
          <w:rFonts w:hint="eastAsia" w:ascii="宋体" w:hAnsi="宋体" w:eastAsia="宋体" w:cs="宋体"/>
          <w:sz w:val="24"/>
          <w:szCs w:val="24"/>
          <w:lang w:eastAsia="zh-CN"/>
        </w:rPr>
        <w:t>公开招标</w:t>
      </w:r>
      <w:r>
        <w:rPr>
          <w:rFonts w:hint="eastAsia" w:ascii="宋体" w:hAnsi="宋体" w:eastAsia="宋体" w:cs="宋体"/>
          <w:sz w:val="24"/>
          <w:szCs w:val="24"/>
        </w:rPr>
        <w:t> </w:t>
      </w:r>
    </w:p>
    <w:p>
      <w:pPr>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b/>
          <w:bCs w:val="0"/>
          <w:kern w:val="2"/>
          <w:sz w:val="24"/>
          <w:szCs w:val="24"/>
          <w:lang w:val="en-US" w:eastAsia="zh-CN" w:bidi="ar-SA"/>
        </w:rPr>
        <w:t>预算金额（元）</w:t>
      </w:r>
      <w:r>
        <w:rPr>
          <w:rFonts w:hint="eastAsia" w:ascii="宋体" w:hAnsi="宋体" w:eastAsia="宋体" w:cs="宋体"/>
          <w:color w:val="333333"/>
          <w:sz w:val="24"/>
          <w:szCs w:val="24"/>
        </w:rPr>
        <w:t>：</w:t>
      </w:r>
      <w:r>
        <w:rPr>
          <w:rFonts w:hint="default" w:ascii="宋体" w:hAnsi="宋体" w:eastAsia="宋体" w:cs="宋体"/>
          <w:sz w:val="24"/>
          <w:szCs w:val="24"/>
          <w:lang w:val="en-US" w:eastAsia="zh-CN"/>
        </w:rPr>
        <w:t>9159400</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71</w:t>
      </w:r>
    </w:p>
    <w:p>
      <w:pPr>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b/>
          <w:bCs w:val="0"/>
          <w:kern w:val="2"/>
          <w:sz w:val="24"/>
          <w:szCs w:val="24"/>
          <w:lang w:val="en-US" w:eastAsia="zh-CN" w:bidi="ar-SA"/>
        </w:rPr>
        <w:t>最高限价（元）</w:t>
      </w:r>
      <w:r>
        <w:rPr>
          <w:rFonts w:hint="eastAsia" w:ascii="宋体" w:hAnsi="宋体" w:eastAsia="宋体" w:cs="宋体"/>
          <w:color w:val="333333"/>
          <w:sz w:val="24"/>
          <w:szCs w:val="24"/>
        </w:rPr>
        <w:t>：</w:t>
      </w:r>
      <w:r>
        <w:rPr>
          <w:rFonts w:hint="default" w:ascii="宋体" w:hAnsi="宋体" w:eastAsia="宋体" w:cs="宋体"/>
          <w:sz w:val="24"/>
          <w:szCs w:val="24"/>
          <w:lang w:val="en-US" w:eastAsia="zh-CN"/>
        </w:rPr>
        <w:t>9159400</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71</w:t>
      </w:r>
      <w:r>
        <w:rPr>
          <w:rFonts w:hint="eastAsia" w:ascii="宋体" w:hAnsi="宋体" w:eastAsia="宋体" w:cs="宋体"/>
          <w:sz w:val="24"/>
          <w:szCs w:val="24"/>
          <w:lang w:val="en-US" w:eastAsia="zh-CN"/>
        </w:rPr>
        <w:t> </w:t>
      </w:r>
    </w:p>
    <w:p>
      <w:pPr>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宋体" w:hAnsi="宋体" w:eastAsia="宋体" w:cs="宋体"/>
          <w:sz w:val="24"/>
          <w:szCs w:val="24"/>
        </w:rPr>
      </w:pPr>
      <w:r>
        <w:rPr>
          <w:rFonts w:hint="eastAsia" w:ascii="宋体" w:hAnsi="宋体" w:eastAsia="宋体" w:cs="宋体"/>
          <w:b/>
          <w:bCs w:val="0"/>
          <w:kern w:val="2"/>
          <w:sz w:val="24"/>
          <w:szCs w:val="24"/>
          <w:lang w:val="en-US" w:eastAsia="zh-CN" w:bidi="ar-SA"/>
        </w:rPr>
        <w:t>采购需求：</w:t>
      </w:r>
      <w:r>
        <w:rPr>
          <w:rFonts w:hint="eastAsia" w:ascii="宋体" w:hAnsi="宋体" w:eastAsia="宋体" w:cs="宋体"/>
          <w:sz w:val="24"/>
          <w:szCs w:val="24"/>
          <w:lang w:val="en-US" w:eastAsia="zh-CN"/>
        </w:rPr>
        <w:t>实施位于博尔塔拉河温泉段河谷林区域</w:t>
      </w:r>
      <w:r>
        <w:rPr>
          <w:rFonts w:hint="default" w:ascii="宋体" w:hAnsi="宋体" w:eastAsia="宋体" w:cs="宋体"/>
          <w:sz w:val="24"/>
          <w:szCs w:val="24"/>
          <w:lang w:val="en-US" w:eastAsia="zh-CN"/>
        </w:rPr>
        <w:t>退化林修复14791亩</w:t>
      </w:r>
      <w:r>
        <w:rPr>
          <w:rFonts w:hint="eastAsia" w:ascii="宋体" w:hAnsi="宋体" w:eastAsia="宋体" w:cs="宋体"/>
          <w:sz w:val="24"/>
          <w:szCs w:val="24"/>
          <w:lang w:val="en-US" w:eastAsia="zh-CN"/>
        </w:rPr>
        <w:t>，详见采购文件</w:t>
      </w:r>
    </w:p>
    <w:p>
      <w:pPr>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宋体" w:hAnsi="宋体" w:eastAsia="宋体" w:cs="宋体"/>
          <w:sz w:val="24"/>
          <w:szCs w:val="24"/>
        </w:rPr>
      </w:pPr>
      <w:r>
        <w:rPr>
          <w:rFonts w:hint="eastAsia" w:ascii="宋体" w:hAnsi="宋体" w:eastAsia="宋体" w:cs="宋体"/>
          <w:b/>
          <w:bCs w:val="0"/>
          <w:kern w:val="2"/>
          <w:sz w:val="24"/>
          <w:szCs w:val="24"/>
          <w:lang w:val="en-US" w:eastAsia="zh-CN" w:bidi="ar-SA"/>
        </w:rPr>
        <w:t>合同履约期限：</w:t>
      </w:r>
      <w:r>
        <w:rPr>
          <w:rFonts w:hint="eastAsia" w:ascii="宋体" w:hAnsi="宋体" w:eastAsia="宋体" w:cs="宋体"/>
          <w:sz w:val="24"/>
          <w:szCs w:val="24"/>
          <w:lang w:val="en-US" w:eastAsia="zh-CN"/>
        </w:rPr>
        <w:t>总工期</w:t>
      </w:r>
      <w:r>
        <w:rPr>
          <w:rFonts w:hint="eastAsia" w:ascii="宋体" w:hAnsi="宋体" w:cs="宋体"/>
          <w:sz w:val="24"/>
          <w:szCs w:val="24"/>
          <w:lang w:val="en-US" w:eastAsia="zh-CN"/>
        </w:rPr>
        <w:t>348</w:t>
      </w:r>
      <w:r>
        <w:rPr>
          <w:rFonts w:hint="eastAsia" w:ascii="宋体" w:hAnsi="宋体" w:eastAsia="宋体" w:cs="宋体"/>
          <w:sz w:val="24"/>
          <w:szCs w:val="24"/>
          <w:lang w:val="en-US" w:eastAsia="zh-CN"/>
        </w:rPr>
        <w:t>天，计划2022年9月18日开工，2023年</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31</w:t>
      </w:r>
      <w:r>
        <w:rPr>
          <w:rFonts w:hint="eastAsia" w:ascii="宋体" w:hAnsi="宋体" w:eastAsia="宋体" w:cs="宋体"/>
          <w:sz w:val="24"/>
          <w:szCs w:val="24"/>
          <w:lang w:val="en-US" w:eastAsia="zh-CN"/>
        </w:rPr>
        <w:t>日竣工。</w:t>
      </w:r>
      <w:r>
        <w:rPr>
          <w:rFonts w:hint="eastAsia" w:ascii="宋体" w:hAnsi="宋体" w:eastAsia="宋体" w:cs="宋体"/>
          <w:sz w:val="24"/>
          <w:szCs w:val="24"/>
        </w:rPr>
        <w:t> </w:t>
      </w:r>
    </w:p>
    <w:p>
      <w:pPr>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不</w:t>
      </w:r>
      <w:r>
        <w:rPr>
          <w:rFonts w:hint="eastAsia" w:ascii="宋体" w:hAnsi="宋体" w:eastAsia="宋体" w:cs="宋体"/>
          <w:sz w:val="24"/>
          <w:szCs w:val="24"/>
        </w:rPr>
        <w:t>接受联合体投标。</w:t>
      </w:r>
    </w:p>
    <w:p>
      <w:pPr>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宋体" w:hAnsi="宋体" w:eastAsia="宋体" w:cs="宋体"/>
          <w:b/>
          <w:bCs/>
          <w:color w:val="000000"/>
          <w:sz w:val="24"/>
          <w:szCs w:val="24"/>
        </w:rPr>
      </w:pPr>
      <w:r>
        <w:rPr>
          <w:rFonts w:hint="eastAsia" w:ascii="宋体" w:hAnsi="宋体" w:eastAsia="宋体" w:cs="宋体"/>
          <w:b/>
          <w:bCs w:val="0"/>
          <w:kern w:val="2"/>
          <w:sz w:val="24"/>
          <w:szCs w:val="24"/>
          <w:lang w:val="en-US" w:eastAsia="zh-CN" w:bidi="ar-SA"/>
        </w:rPr>
        <w:t>二、申请人的资格要求：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rPr>
        <w:t>1.满足《中华人民共和国政府采购法》第二十二条规定</w:t>
      </w:r>
      <w:r>
        <w:rPr>
          <w:rFonts w:hint="eastAsia" w:ascii="宋体" w:hAnsi="宋体" w:eastAsia="宋体" w:cs="宋体"/>
          <w:b/>
          <w:bCs/>
          <w:sz w:val="24"/>
          <w:szCs w:val="24"/>
          <w:lang w:val="zh-CN" w:eastAsia="zh-CN"/>
        </w:rPr>
        <w:t>。</w:t>
      </w:r>
    </w:p>
    <w:p>
      <w:pPr>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宋体" w:hAnsi="宋体" w:eastAsia="宋体" w:cs="宋体"/>
          <w:color w:val="333333"/>
          <w:sz w:val="24"/>
          <w:szCs w:val="24"/>
        </w:rPr>
      </w:pPr>
      <w:r>
        <w:rPr>
          <w:rFonts w:hint="eastAsia" w:ascii="宋体" w:hAnsi="宋体" w:eastAsia="宋体" w:cs="宋体"/>
          <w:b/>
          <w:bCs/>
          <w:sz w:val="24"/>
          <w:szCs w:val="24"/>
        </w:rPr>
        <w:t>2.落实政府采购政策需满足的资格要求：</w:t>
      </w:r>
      <w:r>
        <w:rPr>
          <w:rFonts w:hint="eastAsia" w:ascii="宋体" w:hAnsi="宋体" w:eastAsia="宋体" w:cs="宋体"/>
          <w:kern w:val="2"/>
          <w:sz w:val="24"/>
          <w:szCs w:val="24"/>
          <w:lang w:val="en-US" w:eastAsia="zh-CN"/>
        </w:rPr>
        <w:t>供应商为中小企业/小微企业1、《财政部 国家发展改革委关于印发〈节能产品政府采购实施意见〉的通知》（财库〔2004〕185号）；2、《财政部 环保总局关于环境标志产品政府采购实施的意见》（财库〔2006〕90号）；3、《政府采购促进中小企业发展暂行办法》（财库〔2011〕181号）； 4、《关于促进残疾人就业政府采购政策的通知》（财库〔2017〕141号）；5、《关于政府采购支持监狱企业发展有关问题的通知》（财库〔2014〕68号）、6、财政部办公厅关于疫情防控期间开展政府采购活动有关事项的通知 中华人民共和国财政部办公厅（财办库（【2020】29号）；7、 印发《关于应对新冠肺炎疫情支持中小微企业复工复产健康发展的十六条措施》的通知（新政办发〔2020〕7号）。</w:t>
      </w:r>
    </w:p>
    <w:p>
      <w:pPr>
        <w:pageBreakBefore w:val="0"/>
        <w:widowControl w:val="0"/>
        <w:kinsoku/>
        <w:wordWrap w:val="0"/>
        <w:overflowPunct/>
        <w:topLinePunct w:val="0"/>
        <w:autoSpaceDE/>
        <w:autoSpaceDN/>
        <w:bidi w:val="0"/>
        <w:adjustRightInd w:val="0"/>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3.本项目的特定资格要求</w:t>
      </w:r>
      <w:r>
        <w:rPr>
          <w:rFonts w:hint="eastAsia" w:ascii="宋体" w:hAnsi="宋体" w:eastAsia="宋体" w:cs="宋体"/>
          <w:sz w:val="24"/>
          <w:szCs w:val="24"/>
        </w:rPr>
        <w:t>：</w:t>
      </w:r>
      <w:bookmarkStart w:id="2" w:name="_Toc35393631"/>
      <w:bookmarkStart w:id="3" w:name="_Toc35393800"/>
      <w:r>
        <w:rPr>
          <w:rFonts w:hint="eastAsia" w:ascii="宋体" w:hAnsi="宋体" w:eastAsia="宋体" w:cs="宋体"/>
          <w:kern w:val="2"/>
          <w:sz w:val="24"/>
          <w:szCs w:val="24"/>
          <w:lang w:val="en-US" w:eastAsia="zh-CN"/>
        </w:rPr>
        <w:t>投标单位须在中华人民共和国境内注册的、独立承担民事责任能力和良好诚信的合法经营单位或其他组织，并在人员、设备、资金等方面具有相应的响应能力；单位负责人为同一人或者存在直接控股、管理关系的不同供应商不得参加本项目同一包的投标；</w:t>
      </w:r>
      <w:r>
        <w:rPr>
          <w:rFonts w:hint="eastAsia" w:ascii="宋体" w:hAnsi="宋体" w:eastAsia="宋体" w:cs="宋体"/>
          <w:kern w:val="2"/>
          <w:sz w:val="24"/>
          <w:szCs w:val="24"/>
          <w:lang w:val="zh-CN" w:eastAsia="zh-CN"/>
        </w:rPr>
        <w:t>未被“信用中国”（ www.creditchina.gov.cn）及</w:t>
      </w:r>
      <w:r>
        <w:rPr>
          <w:rFonts w:hint="eastAsia" w:ascii="宋体" w:hAnsi="宋体" w:eastAsia="宋体" w:cs="宋体"/>
          <w:kern w:val="2"/>
          <w:sz w:val="24"/>
          <w:szCs w:val="24"/>
          <w:lang w:val="en-US" w:eastAsia="zh-CN"/>
        </w:rPr>
        <w:t>国家企业信用信息公示系统（http://www.gsxt.gov.cn）</w:t>
      </w:r>
      <w:r>
        <w:rPr>
          <w:rFonts w:hint="eastAsia" w:ascii="宋体" w:hAnsi="宋体" w:eastAsia="宋体" w:cs="宋体"/>
          <w:kern w:val="2"/>
          <w:sz w:val="24"/>
          <w:szCs w:val="24"/>
          <w:lang w:val="zh-CN" w:eastAsia="zh-CN"/>
        </w:rPr>
        <w:t>列入失信被执行人、重大税收违法案件当事人名单、政府采购严重违法失信行为记录名单的投标人，</w:t>
      </w:r>
      <w:r>
        <w:rPr>
          <w:rFonts w:hint="eastAsia" w:ascii="宋体" w:hAnsi="宋体" w:eastAsia="宋体" w:cs="宋体"/>
          <w:kern w:val="2"/>
          <w:sz w:val="24"/>
          <w:szCs w:val="24"/>
          <w:lang w:val="en-US" w:eastAsia="zh-CN"/>
        </w:rPr>
        <w:t>否则将否决其投标。</w:t>
      </w:r>
    </w:p>
    <w:p>
      <w:pPr>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宋体" w:hAnsi="宋体" w:eastAsia="宋体" w:cs="宋体"/>
          <w:b/>
          <w:bCs/>
          <w:color w:val="000000"/>
          <w:sz w:val="24"/>
          <w:szCs w:val="24"/>
        </w:rPr>
      </w:pPr>
      <w:r>
        <w:rPr>
          <w:rFonts w:hint="eastAsia" w:ascii="宋体" w:hAnsi="宋体" w:eastAsia="宋体" w:cs="宋体"/>
          <w:b/>
          <w:bCs/>
          <w:sz w:val="24"/>
          <w:szCs w:val="24"/>
        </w:rPr>
        <w:t>三、获取采购文件</w:t>
      </w:r>
      <w:bookmarkEnd w:id="2"/>
      <w:bookmarkEnd w:id="3"/>
    </w:p>
    <w:p>
      <w:pPr>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时</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间：</w:t>
      </w:r>
      <w:r>
        <w:rPr>
          <w:rFonts w:hint="eastAsia" w:ascii="宋体" w:hAnsi="宋体" w:eastAsia="宋体" w:cs="宋体"/>
          <w:b w:val="0"/>
          <w:bCs w:val="0"/>
          <w:sz w:val="24"/>
          <w:szCs w:val="24"/>
        </w:rPr>
        <w:t>2022年</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月</w:t>
      </w:r>
      <w:r>
        <w:rPr>
          <w:rFonts w:hint="eastAsia" w:ascii="宋体" w:hAnsi="宋体" w:cs="宋体"/>
          <w:b w:val="0"/>
          <w:bCs w:val="0"/>
          <w:sz w:val="24"/>
          <w:szCs w:val="24"/>
          <w:lang w:val="en-US" w:eastAsia="zh-CN"/>
        </w:rPr>
        <w:t>24</w:t>
      </w:r>
      <w:r>
        <w:rPr>
          <w:rFonts w:hint="eastAsia" w:ascii="宋体" w:hAnsi="宋体" w:eastAsia="宋体" w:cs="宋体"/>
          <w:b w:val="0"/>
          <w:bCs w:val="0"/>
          <w:sz w:val="24"/>
          <w:szCs w:val="24"/>
        </w:rPr>
        <w:t>日至2022年</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月</w:t>
      </w:r>
      <w:r>
        <w:rPr>
          <w:rFonts w:hint="eastAsia" w:ascii="宋体" w:hAnsi="宋体" w:cs="宋体"/>
          <w:b w:val="0"/>
          <w:bCs w:val="0"/>
          <w:sz w:val="24"/>
          <w:szCs w:val="24"/>
          <w:lang w:val="en-US" w:eastAsia="zh-CN"/>
        </w:rPr>
        <w:t>31</w:t>
      </w:r>
      <w:r>
        <w:rPr>
          <w:rFonts w:hint="eastAsia" w:ascii="宋体" w:hAnsi="宋体" w:eastAsia="宋体" w:cs="宋体"/>
          <w:b w:val="0"/>
          <w:bCs w:val="0"/>
          <w:sz w:val="24"/>
          <w:szCs w:val="24"/>
        </w:rPr>
        <w:t>日，每天上午10:00至14:00，下午16:00至20:00（北京时间，法定节假日除外）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rPr>
      </w:pPr>
      <w:r>
        <w:rPr>
          <w:rFonts w:hint="eastAsia" w:ascii="宋体" w:hAnsi="宋体" w:eastAsia="宋体" w:cs="宋体"/>
          <w:b/>
          <w:bCs/>
          <w:sz w:val="24"/>
          <w:szCs w:val="24"/>
          <w:lang w:val="zh-CN"/>
        </w:rPr>
        <w:t>地点：</w:t>
      </w:r>
      <w:r>
        <w:rPr>
          <w:rFonts w:hint="eastAsia" w:ascii="宋体" w:hAnsi="宋体" w:eastAsia="宋体" w:cs="宋体"/>
          <w:b w:val="0"/>
          <w:bCs w:val="0"/>
          <w:sz w:val="24"/>
          <w:szCs w:val="24"/>
        </w:rPr>
        <w:t>博州公共资源交易网（http://xzfw.xjboz.gov.cn/）</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rPr>
        <w:t>方式：</w:t>
      </w:r>
      <w:r>
        <w:rPr>
          <w:rFonts w:hint="eastAsia" w:ascii="宋体" w:hAnsi="宋体" w:eastAsia="宋体" w:cs="宋体"/>
          <w:b w:val="0"/>
          <w:bCs w:val="0"/>
          <w:sz w:val="24"/>
          <w:szCs w:val="24"/>
          <w:lang w:val="en-US" w:eastAsia="zh-CN"/>
        </w:rPr>
        <w:t>请使用移动CA数字证书登录博州公共资源交易平台http://xzfw.xjboz.gov.cn/TPBidder领取招标文件，移动CA数字证书“标证通”办理方式见博州公共资源交易网办事指南</w:t>
      </w:r>
    </w:p>
    <w:p>
      <w:pPr>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b/>
          <w:bCs/>
          <w:sz w:val="24"/>
          <w:szCs w:val="24"/>
        </w:rPr>
        <w:t>售价</w:t>
      </w:r>
      <w:r>
        <w:rPr>
          <w:rFonts w:hint="eastAsia" w:ascii="宋体" w:hAnsi="宋体" w:eastAsia="宋体" w:cs="宋体"/>
          <w:b/>
          <w:bCs/>
          <w:sz w:val="24"/>
          <w:szCs w:val="24"/>
          <w:lang w:eastAsia="zh-CN"/>
        </w:rPr>
        <w:t>（元）</w:t>
      </w:r>
      <w:r>
        <w:rPr>
          <w:rFonts w:hint="eastAsia" w:ascii="宋体" w:hAnsi="宋体" w:eastAsia="宋体" w:cs="宋体"/>
          <w:b/>
          <w:bCs/>
          <w:sz w:val="24"/>
          <w:szCs w:val="24"/>
        </w:rPr>
        <w:t>：</w:t>
      </w:r>
      <w:r>
        <w:rPr>
          <w:rFonts w:hint="eastAsia" w:ascii="宋体" w:hAnsi="宋体" w:eastAsia="宋体" w:cs="宋体"/>
          <w:b w:val="0"/>
          <w:bCs w:val="0"/>
          <w:sz w:val="24"/>
          <w:szCs w:val="24"/>
          <w:lang w:val="en-US" w:eastAsia="zh-CN"/>
        </w:rPr>
        <w:t>/</w:t>
      </w:r>
      <w:r>
        <w:rPr>
          <w:rFonts w:hint="eastAsia" w:ascii="宋体" w:hAnsi="宋体" w:eastAsia="宋体" w:cs="宋体"/>
          <w:color w:val="000000"/>
          <w:sz w:val="24"/>
          <w:szCs w:val="24"/>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bookmarkStart w:id="4" w:name="_Toc28359015"/>
      <w:bookmarkStart w:id="5" w:name="_Toc28359092"/>
      <w:bookmarkStart w:id="6" w:name="_Toc35393632"/>
      <w:bookmarkStart w:id="7" w:name="_Toc35393801"/>
      <w:bookmarkStart w:id="8" w:name="_Toc35393794"/>
      <w:bookmarkStart w:id="9" w:name="_Toc28359084"/>
      <w:bookmarkStart w:id="10" w:name="_Toc28359007"/>
      <w:bookmarkStart w:id="11" w:name="_Toc35393625"/>
      <w:r>
        <w:rPr>
          <w:rFonts w:hint="eastAsia" w:ascii="宋体" w:hAnsi="宋体" w:eastAsia="宋体" w:cs="宋体"/>
          <w:b/>
          <w:bCs/>
          <w:sz w:val="24"/>
          <w:szCs w:val="24"/>
        </w:rPr>
        <w:t>四、</w:t>
      </w:r>
      <w:bookmarkEnd w:id="4"/>
      <w:bookmarkEnd w:id="5"/>
      <w:bookmarkEnd w:id="6"/>
      <w:bookmarkEnd w:id="7"/>
      <w:r>
        <w:rPr>
          <w:rFonts w:hint="eastAsia" w:ascii="宋体" w:hAnsi="宋体" w:eastAsia="宋体" w:cs="宋体"/>
          <w:b/>
          <w:bCs/>
          <w:sz w:val="24"/>
          <w:szCs w:val="24"/>
          <w:lang w:val="en-US" w:eastAsia="zh-CN"/>
        </w:rPr>
        <w:t>提交响应文件截止时间、开标时间和地点</w:t>
      </w:r>
    </w:p>
    <w:p>
      <w:pPr>
        <w:pStyle w:val="13"/>
        <w:pageBreakBefore w:val="0"/>
        <w:widowControl w:val="0"/>
        <w:kinsoku/>
        <w:overflowPunct/>
        <w:topLinePunct w:val="0"/>
        <w:autoSpaceDE/>
        <w:autoSpaceDN/>
        <w:bidi w:val="0"/>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1.响应文件递交截止时间：22022年9月13日11时00分（北京时间）</w:t>
      </w:r>
    </w:p>
    <w:p>
      <w:pPr>
        <w:pStyle w:val="13"/>
        <w:pageBreakBefore w:val="0"/>
        <w:widowControl w:val="0"/>
        <w:kinsoku/>
        <w:overflowPunct/>
        <w:topLinePunct w:val="0"/>
        <w:autoSpaceDE/>
        <w:autoSpaceDN/>
        <w:bidi w:val="0"/>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2.开标时间：2022年9月13日11时00分（北京时间）</w:t>
      </w:r>
    </w:p>
    <w:p>
      <w:pPr>
        <w:pStyle w:val="13"/>
        <w:pageBreakBefore w:val="0"/>
        <w:widowControl w:val="0"/>
        <w:kinsoku/>
        <w:overflowPunct/>
        <w:topLinePunct w:val="0"/>
        <w:autoSpaceDE/>
        <w:autoSpaceDN/>
        <w:bidi w:val="0"/>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3.开标地点：博州公共资源交易中心（锦绣路6号行政服务中心三楼）</w:t>
      </w:r>
    </w:p>
    <w:p>
      <w:pPr>
        <w:pStyle w:val="4"/>
        <w:pageBreakBefore w:val="0"/>
        <w:widowControl w:val="0"/>
        <w:numPr>
          <w:ilvl w:val="1"/>
          <w:numId w:val="0"/>
        </w:numPr>
        <w:kinsoku/>
        <w:wordWrap/>
        <w:overflowPunct/>
        <w:topLinePunct w:val="0"/>
        <w:autoSpaceDE/>
        <w:autoSpaceDN/>
        <w:bidi w:val="0"/>
        <w:adjustRightInd w:val="0"/>
        <w:snapToGrid w:val="0"/>
        <w:spacing w:before="0" w:after="0" w:line="400" w:lineRule="exact"/>
        <w:jc w:val="both"/>
        <w:textAlignment w:val="auto"/>
        <w:rPr>
          <w:rFonts w:hint="eastAsia" w:ascii="宋体" w:hAnsi="宋体" w:eastAsia="宋体" w:cs="宋体"/>
          <w:b/>
          <w:bCs w:val="0"/>
          <w:sz w:val="24"/>
          <w:szCs w:val="24"/>
        </w:rPr>
      </w:pPr>
      <w:r>
        <w:rPr>
          <w:rFonts w:hint="eastAsia" w:ascii="宋体" w:hAnsi="宋体" w:cs="宋体"/>
          <w:b/>
          <w:bCs w:val="0"/>
          <w:sz w:val="24"/>
          <w:szCs w:val="24"/>
          <w:lang w:eastAsia="zh-CN"/>
        </w:rPr>
        <w:t>五</w:t>
      </w:r>
      <w:r>
        <w:rPr>
          <w:rFonts w:hint="eastAsia" w:ascii="宋体" w:hAnsi="宋体" w:eastAsia="宋体" w:cs="宋体"/>
          <w:b/>
          <w:bCs w:val="0"/>
          <w:sz w:val="24"/>
          <w:szCs w:val="24"/>
        </w:rPr>
        <w:t>、公告期限</w:t>
      </w:r>
      <w:bookmarkEnd w:id="8"/>
      <w:bookmarkEnd w:id="9"/>
      <w:bookmarkEnd w:id="10"/>
      <w:bookmarkEnd w:id="11"/>
    </w:p>
    <w:p>
      <w:pPr>
        <w:keepNext w:val="0"/>
        <w:keepLines w:val="0"/>
        <w:pageBreakBefore w:val="0"/>
        <w:widowControl w:val="0"/>
        <w:kinsoku/>
        <w:overflowPunct/>
        <w:topLinePunct w:val="0"/>
        <w:autoSpaceDE/>
        <w:autoSpaceDN/>
        <w:bidi w:val="0"/>
        <w:snapToGrid/>
        <w:spacing w:line="400" w:lineRule="exact"/>
        <w:textAlignment w:val="auto"/>
        <w:rPr>
          <w:rFonts w:hint="eastAsia" w:ascii="宋体" w:hAnsi="宋体" w:eastAsia="宋体" w:cs="宋体"/>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个工作日。</w:t>
      </w:r>
    </w:p>
    <w:p>
      <w:pPr>
        <w:pageBreakBefore w:val="0"/>
        <w:widowControl w:val="0"/>
        <w:kinsoku/>
        <w:overflowPunct/>
        <w:topLinePunct w:val="0"/>
        <w:autoSpaceDE/>
        <w:autoSpaceDN/>
        <w:bidi w:val="0"/>
        <w:spacing w:line="400" w:lineRule="exact"/>
        <w:jc w:val="both"/>
        <w:textAlignment w:val="auto"/>
        <w:rPr>
          <w:rFonts w:hint="eastAsia" w:ascii="宋体" w:hAnsi="宋体" w:eastAsia="宋体" w:cs="宋体"/>
          <w:b/>
          <w:bCs/>
          <w:sz w:val="24"/>
          <w:szCs w:val="24"/>
        </w:rPr>
      </w:pPr>
      <w:r>
        <w:rPr>
          <w:rFonts w:hint="eastAsia" w:ascii="宋体" w:hAnsi="宋体" w:cs="宋体"/>
          <w:b/>
          <w:bCs/>
          <w:sz w:val="24"/>
          <w:szCs w:val="24"/>
          <w:lang w:eastAsia="zh-CN"/>
        </w:rPr>
        <w:t>六</w:t>
      </w:r>
      <w:r>
        <w:rPr>
          <w:rFonts w:hint="eastAsia" w:ascii="宋体" w:hAnsi="宋体" w:eastAsia="宋体" w:cs="宋体"/>
          <w:b/>
          <w:bCs/>
          <w:sz w:val="24"/>
          <w:szCs w:val="24"/>
        </w:rPr>
        <w:t>、其他补充事宜</w:t>
      </w:r>
    </w:p>
    <w:p>
      <w:pPr>
        <w:pageBreakBefore w:val="0"/>
        <w:widowControl w:val="0"/>
        <w:kinsoku/>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 w:val="0"/>
          <w:bCs w:val="0"/>
          <w:kern w:val="2"/>
          <w:sz w:val="24"/>
          <w:szCs w:val="24"/>
          <w:lang w:val="zh-CN" w:eastAsia="zh-CN" w:bidi="ar-SA"/>
        </w:rPr>
      </w:pPr>
      <w:bookmarkStart w:id="12" w:name="_Toc28359018"/>
      <w:bookmarkStart w:id="13" w:name="_Toc35393636"/>
      <w:bookmarkStart w:id="14" w:name="_Toc35393805"/>
      <w:bookmarkStart w:id="15" w:name="_Toc28359095"/>
      <w:r>
        <w:rPr>
          <w:rFonts w:hint="eastAsia" w:ascii="宋体" w:hAnsi="宋体" w:eastAsia="宋体" w:cs="宋体"/>
          <w:b w:val="0"/>
          <w:bCs w:val="0"/>
          <w:kern w:val="2"/>
          <w:sz w:val="24"/>
          <w:szCs w:val="24"/>
          <w:lang w:val="zh-CN" w:eastAsia="zh-CN" w:bidi="ar-SA"/>
        </w:rPr>
        <w:t>1、投标单位到博州公共资源交易网站登陆查看公告，实行网上报名（登陆“博州公共资源交易网”（http://xzfw.xjboz.gov.cn/），选择 “交易主体登录”，进行“供应商”会员注册, 会员注册后即可在网上报名、下载采购文件。）操作手册见公共资源网服务指南，软件咨询联系方式：400-</w:t>
      </w:r>
      <w:r>
        <w:rPr>
          <w:rFonts w:hint="eastAsia" w:ascii="宋体" w:hAnsi="宋体" w:eastAsia="宋体" w:cs="宋体"/>
          <w:b w:val="0"/>
          <w:bCs w:val="0"/>
          <w:kern w:val="2"/>
          <w:sz w:val="24"/>
          <w:szCs w:val="24"/>
          <w:lang w:val="en-US" w:eastAsia="zh-CN" w:bidi="ar-SA"/>
        </w:rPr>
        <w:t>99</w:t>
      </w:r>
      <w:r>
        <w:rPr>
          <w:rFonts w:hint="eastAsia" w:ascii="宋体" w:hAnsi="宋体" w:eastAsia="宋体" w:cs="宋体"/>
          <w:b w:val="0"/>
          <w:bCs w:val="0"/>
          <w:kern w:val="2"/>
          <w:sz w:val="24"/>
          <w:szCs w:val="24"/>
          <w:lang w:val="zh-CN" w:eastAsia="zh-CN" w:bidi="ar-SA"/>
        </w:rPr>
        <w:t>8-00</w:t>
      </w:r>
      <w:r>
        <w:rPr>
          <w:rFonts w:hint="eastAsia" w:ascii="宋体" w:hAnsi="宋体" w:eastAsia="宋体" w:cs="宋体"/>
          <w:b w:val="0"/>
          <w:bCs w:val="0"/>
          <w:kern w:val="2"/>
          <w:sz w:val="24"/>
          <w:szCs w:val="24"/>
          <w:lang w:val="en-US" w:eastAsia="zh-CN" w:bidi="ar-SA"/>
        </w:rPr>
        <w:t>00</w:t>
      </w:r>
      <w:r>
        <w:rPr>
          <w:rFonts w:hint="eastAsia" w:ascii="宋体" w:hAnsi="宋体" w:eastAsia="宋体" w:cs="宋体"/>
          <w:b w:val="0"/>
          <w:bCs w:val="0"/>
          <w:kern w:val="2"/>
          <w:sz w:val="24"/>
          <w:szCs w:val="24"/>
          <w:lang w:val="zh-CN" w:eastAsia="zh-CN" w:bidi="ar-SA"/>
        </w:rPr>
        <w:t>。</w:t>
      </w:r>
    </w:p>
    <w:p>
      <w:pPr>
        <w:pageBreakBefore w:val="0"/>
        <w:widowControl w:val="0"/>
        <w:kinsoku/>
        <w:overflowPunct/>
        <w:topLinePunct w:val="0"/>
        <w:autoSpaceDE/>
        <w:autoSpaceDN/>
        <w:bidi w:val="0"/>
        <w:adjustRightInd w:val="0"/>
        <w:snapToGrid w:val="0"/>
        <w:spacing w:line="400" w:lineRule="exact"/>
        <w:ind w:firstLine="480" w:firstLineChars="200"/>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请使用移动CA数字证书“标证通”或CA数字证书制作投标文件，登录博州公共资源交易平台http://xzfw.xjboz.gov.cn/网上递交加密文件，移动CA数字证书“标证通”或者CA锁的办理方式见博州公共资源交易网办事指南。</w:t>
      </w:r>
    </w:p>
    <w:p>
      <w:pPr>
        <w:pageBreakBefore w:val="0"/>
        <w:widowControl w:val="0"/>
        <w:kinsoku/>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 w:val="0"/>
          <w:bCs w:val="0"/>
          <w:kern w:val="2"/>
          <w:sz w:val="24"/>
          <w:szCs w:val="24"/>
          <w:lang w:val="zh-CN" w:eastAsia="zh-CN" w:bidi="ar-SA"/>
        </w:rPr>
      </w:pPr>
      <w:r>
        <w:rPr>
          <w:rFonts w:hint="eastAsia" w:ascii="宋体" w:hAnsi="宋体" w:cs="宋体"/>
          <w:b w:val="0"/>
          <w:bCs w:val="0"/>
          <w:kern w:val="2"/>
          <w:sz w:val="24"/>
          <w:szCs w:val="24"/>
          <w:lang w:val="en-US" w:eastAsia="zh-CN" w:bidi="ar-SA"/>
        </w:rPr>
        <w:t>3</w:t>
      </w:r>
      <w:r>
        <w:rPr>
          <w:rFonts w:hint="eastAsia" w:ascii="宋体" w:hAnsi="宋体" w:eastAsia="宋体" w:cs="宋体"/>
          <w:b w:val="0"/>
          <w:bCs w:val="0"/>
          <w:kern w:val="2"/>
          <w:sz w:val="24"/>
          <w:szCs w:val="24"/>
          <w:lang w:val="zh-CN" w:eastAsia="zh-CN" w:bidi="ar-SA"/>
        </w:rPr>
        <w:t>、特别提示：1.超过200万元的货物和服务采购项目、超过400万元的工程采购项目中适宜由中小企业提供的，预留该部分采购项目预算总额的40%以上专门面向中小企业采购，其中预留给小微企业的比例不低于60%。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ageBreakBefore w:val="0"/>
        <w:widowControl w:val="0"/>
        <w:kinsoku/>
        <w:overflowPunct/>
        <w:topLinePunct w:val="0"/>
        <w:autoSpaceDE/>
        <w:autoSpaceDN/>
        <w:bidi w:val="0"/>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八、凡对本次采购提出询问，请按以下方式联系。</w:t>
      </w:r>
      <w:bookmarkEnd w:id="12"/>
      <w:bookmarkEnd w:id="13"/>
      <w:bookmarkEnd w:id="14"/>
      <w:bookmarkEnd w:id="15"/>
    </w:p>
    <w:p>
      <w:pPr>
        <w:pageBreakBefore w:val="0"/>
        <w:widowControl w:val="0"/>
        <w:kinsoku/>
        <w:overflowPunct/>
        <w:topLinePunct w:val="0"/>
        <w:autoSpaceDE/>
        <w:autoSpaceDN/>
        <w:bidi w:val="0"/>
        <w:spacing w:line="400" w:lineRule="exact"/>
        <w:jc w:val="both"/>
        <w:textAlignment w:val="auto"/>
        <w:rPr>
          <w:rFonts w:hint="eastAsia" w:ascii="宋体" w:hAnsi="宋体" w:eastAsia="宋体" w:cs="宋体"/>
          <w:b/>
          <w:bCs/>
          <w:sz w:val="24"/>
          <w:szCs w:val="24"/>
        </w:rPr>
      </w:pPr>
      <w:bookmarkStart w:id="16" w:name="_Toc35393806"/>
      <w:bookmarkStart w:id="17" w:name="_Toc28359096"/>
      <w:bookmarkStart w:id="18" w:name="_Toc28359019"/>
      <w:bookmarkStart w:id="19" w:name="_Toc35393637"/>
      <w:r>
        <w:rPr>
          <w:rFonts w:hint="eastAsia" w:ascii="宋体" w:hAnsi="宋体" w:eastAsia="宋体" w:cs="宋体"/>
          <w:b/>
          <w:bCs/>
          <w:sz w:val="24"/>
          <w:szCs w:val="24"/>
        </w:rPr>
        <w:t>1.采购人信息</w:t>
      </w:r>
      <w:bookmarkEnd w:id="16"/>
      <w:bookmarkEnd w:id="17"/>
      <w:bookmarkEnd w:id="18"/>
      <w:bookmarkEnd w:id="19"/>
    </w:p>
    <w:p>
      <w:pPr>
        <w:pageBreakBefore w:val="0"/>
        <w:widowControl w:val="0"/>
        <w:kinsoku/>
        <w:overflowPunct/>
        <w:topLinePunct w:val="0"/>
        <w:autoSpaceDE/>
        <w:autoSpaceDN/>
        <w:bidi w:val="0"/>
        <w:spacing w:line="400" w:lineRule="exact"/>
        <w:jc w:val="both"/>
        <w:textAlignment w:val="auto"/>
        <w:rPr>
          <w:rFonts w:hint="eastAsia" w:ascii="宋体" w:hAnsi="宋体" w:eastAsia="宋体" w:cs="宋体"/>
          <w:b w:val="0"/>
          <w:bCs w:val="0"/>
          <w:kern w:val="2"/>
          <w:sz w:val="24"/>
          <w:szCs w:val="24"/>
          <w:lang w:val="zh-CN" w:eastAsia="zh-CN" w:bidi="ar-SA"/>
        </w:rPr>
      </w:pPr>
      <w:r>
        <w:rPr>
          <w:rFonts w:hint="eastAsia" w:ascii="宋体" w:hAnsi="宋体" w:eastAsia="宋体" w:cs="宋体"/>
          <w:b/>
          <w:bCs/>
          <w:sz w:val="24"/>
          <w:szCs w:val="24"/>
        </w:rPr>
        <w:t>名   称：</w:t>
      </w:r>
      <w:r>
        <w:rPr>
          <w:rFonts w:hint="eastAsia" w:ascii="宋体" w:hAnsi="宋体" w:eastAsia="宋体" w:cs="宋体"/>
          <w:b w:val="0"/>
          <w:bCs w:val="0"/>
          <w:kern w:val="2"/>
          <w:sz w:val="24"/>
          <w:szCs w:val="24"/>
          <w:lang w:val="zh-CN" w:eastAsia="zh-CN" w:bidi="ar-SA"/>
        </w:rPr>
        <w:t>温泉县自然资源局</w:t>
      </w:r>
    </w:p>
    <w:p>
      <w:pPr>
        <w:pageBreakBefore w:val="0"/>
        <w:widowControl w:val="0"/>
        <w:kinsoku/>
        <w:overflowPunct/>
        <w:topLinePunct w:val="0"/>
        <w:autoSpaceDE/>
        <w:autoSpaceDN/>
        <w:bidi w:val="0"/>
        <w:spacing w:line="400" w:lineRule="exact"/>
        <w:jc w:val="both"/>
        <w:textAlignment w:val="auto"/>
        <w:rPr>
          <w:rFonts w:hint="eastAsia" w:ascii="宋体" w:hAnsi="宋体" w:eastAsia="宋体" w:cs="宋体"/>
          <w:kern w:val="2"/>
        </w:rPr>
      </w:pPr>
      <w:r>
        <w:rPr>
          <w:rFonts w:hint="eastAsia" w:ascii="宋体" w:hAnsi="宋体" w:eastAsia="宋体" w:cs="宋体"/>
          <w:b/>
          <w:bCs/>
          <w:sz w:val="24"/>
          <w:szCs w:val="24"/>
        </w:rPr>
        <w:t>地   址：</w:t>
      </w:r>
      <w:r>
        <w:rPr>
          <w:rFonts w:hint="eastAsia" w:ascii="宋体" w:hAnsi="宋体" w:eastAsia="宋体" w:cs="宋体"/>
          <w:b w:val="0"/>
          <w:bCs w:val="0"/>
          <w:kern w:val="2"/>
          <w:sz w:val="24"/>
          <w:szCs w:val="24"/>
          <w:lang w:val="zh-CN" w:eastAsia="zh-CN" w:bidi="ar-SA"/>
        </w:rPr>
        <w:t>温泉县　</w:t>
      </w:r>
      <w:r>
        <w:rPr>
          <w:rFonts w:hint="eastAsia" w:ascii="宋体" w:hAnsi="宋体" w:eastAsia="宋体" w:cs="宋体"/>
          <w:kern w:val="2"/>
        </w:rPr>
        <w:t>　　　  　</w:t>
      </w:r>
    </w:p>
    <w:p>
      <w:pPr>
        <w:pageBreakBefore w:val="0"/>
        <w:widowControl w:val="0"/>
        <w:kinsoku/>
        <w:overflowPunct/>
        <w:topLinePunct w:val="0"/>
        <w:autoSpaceDE/>
        <w:autoSpaceDN/>
        <w:bidi w:val="0"/>
        <w:spacing w:line="400" w:lineRule="exact"/>
        <w:jc w:val="both"/>
        <w:textAlignment w:val="auto"/>
        <w:rPr>
          <w:rFonts w:hint="eastAsia" w:ascii="宋体" w:hAnsi="宋体" w:eastAsia="宋体" w:cs="宋体"/>
          <w:kern w:val="2"/>
        </w:rPr>
      </w:pPr>
      <w:r>
        <w:rPr>
          <w:rFonts w:hint="eastAsia" w:ascii="宋体" w:hAnsi="宋体" w:eastAsia="宋体" w:cs="宋体"/>
          <w:b/>
          <w:bCs/>
          <w:sz w:val="24"/>
          <w:szCs w:val="24"/>
        </w:rPr>
        <w:t>联系人：</w:t>
      </w:r>
      <w:r>
        <w:rPr>
          <w:rFonts w:hint="eastAsia" w:ascii="宋体" w:hAnsi="宋体" w:eastAsia="宋体" w:cs="宋体"/>
          <w:b w:val="0"/>
          <w:bCs w:val="0"/>
          <w:kern w:val="2"/>
          <w:sz w:val="24"/>
          <w:szCs w:val="24"/>
          <w:lang w:val="zh-CN" w:eastAsia="zh-CN" w:bidi="ar-SA"/>
        </w:rPr>
        <w:t xml:space="preserve">车传芳    </w:t>
      </w:r>
      <w:r>
        <w:rPr>
          <w:rFonts w:hint="eastAsia" w:ascii="宋体" w:hAnsi="宋体" w:eastAsia="宋体" w:cs="宋体"/>
          <w:kern w:val="2"/>
        </w:rPr>
        <w:t xml:space="preserve">         </w:t>
      </w:r>
    </w:p>
    <w:p>
      <w:pPr>
        <w:pageBreakBefore w:val="0"/>
        <w:widowControl w:val="0"/>
        <w:kinsoku/>
        <w:overflowPunct/>
        <w:topLinePunct w:val="0"/>
        <w:autoSpaceDE/>
        <w:autoSpaceDN/>
        <w:bidi w:val="0"/>
        <w:spacing w:line="40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sz w:val="24"/>
          <w:szCs w:val="24"/>
        </w:rPr>
        <w:t>联系方式</w:t>
      </w:r>
      <w:r>
        <w:rPr>
          <w:rFonts w:hint="eastAsia" w:ascii="宋体" w:hAnsi="宋体" w:eastAsia="宋体" w:cs="宋体"/>
          <w:b/>
          <w:bCs/>
          <w:kern w:val="2"/>
          <w:sz w:val="24"/>
          <w:szCs w:val="24"/>
          <w:lang w:val="en-US" w:eastAsia="zh-CN" w:bidi="ar-SA"/>
        </w:rPr>
        <w:t>：</w:t>
      </w:r>
      <w:r>
        <w:rPr>
          <w:rFonts w:hint="eastAsia" w:ascii="宋体" w:hAnsi="宋体" w:eastAsia="宋体" w:cs="宋体"/>
          <w:b w:val="0"/>
          <w:bCs w:val="0"/>
          <w:kern w:val="2"/>
          <w:sz w:val="24"/>
          <w:szCs w:val="24"/>
          <w:lang w:val="en-US" w:eastAsia="zh-CN" w:bidi="ar-SA"/>
        </w:rPr>
        <w:t>0909-8221017</w:t>
      </w:r>
    </w:p>
    <w:p>
      <w:pPr>
        <w:pageBreakBefore w:val="0"/>
        <w:widowControl w:val="0"/>
        <w:kinsoku/>
        <w:overflowPunct/>
        <w:topLinePunct w:val="0"/>
        <w:autoSpaceDE/>
        <w:autoSpaceDN/>
        <w:bidi w:val="0"/>
        <w:spacing w:line="400" w:lineRule="exact"/>
        <w:jc w:val="both"/>
        <w:textAlignment w:val="auto"/>
        <w:rPr>
          <w:rFonts w:hint="eastAsia" w:ascii="宋体" w:hAnsi="宋体" w:eastAsia="宋体" w:cs="宋体"/>
          <w:b/>
          <w:bCs/>
          <w:sz w:val="24"/>
          <w:szCs w:val="24"/>
        </w:rPr>
      </w:pPr>
      <w:bookmarkStart w:id="20" w:name="_Toc35393807"/>
      <w:bookmarkStart w:id="21" w:name="_Toc28359020"/>
      <w:bookmarkStart w:id="22" w:name="_Toc35393638"/>
      <w:bookmarkStart w:id="23" w:name="_Toc28359097"/>
      <w:r>
        <w:rPr>
          <w:rFonts w:hint="eastAsia" w:ascii="宋体" w:hAnsi="宋体" w:eastAsia="宋体" w:cs="宋体"/>
          <w:b/>
          <w:bCs/>
          <w:sz w:val="24"/>
          <w:szCs w:val="24"/>
        </w:rPr>
        <w:t>2.采购代理机构信息</w:t>
      </w:r>
      <w:bookmarkEnd w:id="20"/>
      <w:bookmarkEnd w:id="21"/>
      <w:bookmarkEnd w:id="22"/>
      <w:bookmarkEnd w:id="23"/>
    </w:p>
    <w:p>
      <w:pPr>
        <w:pageBreakBefore w:val="0"/>
        <w:widowControl w:val="0"/>
        <w:kinsoku/>
        <w:overflowPunct/>
        <w:topLinePunct w:val="0"/>
        <w:autoSpaceDE/>
        <w:autoSpaceDN/>
        <w:bidi w:val="0"/>
        <w:spacing w:line="400" w:lineRule="exact"/>
        <w:jc w:val="both"/>
        <w:textAlignment w:val="auto"/>
        <w:rPr>
          <w:rFonts w:hint="eastAsia" w:ascii="宋体" w:hAnsi="宋体" w:eastAsia="宋体" w:cs="宋体"/>
          <w:kern w:val="2"/>
        </w:rPr>
      </w:pPr>
      <w:r>
        <w:rPr>
          <w:rFonts w:hint="eastAsia" w:ascii="宋体" w:hAnsi="宋体" w:eastAsia="宋体" w:cs="宋体"/>
          <w:b/>
          <w:bCs/>
          <w:sz w:val="24"/>
          <w:szCs w:val="24"/>
        </w:rPr>
        <w:t>名    称：</w:t>
      </w:r>
      <w:r>
        <w:rPr>
          <w:rFonts w:hint="eastAsia" w:ascii="宋体" w:hAnsi="宋体" w:eastAsia="宋体" w:cs="宋体"/>
          <w:b w:val="0"/>
          <w:bCs w:val="0"/>
          <w:kern w:val="2"/>
          <w:sz w:val="24"/>
          <w:szCs w:val="24"/>
          <w:lang w:val="en-US" w:eastAsia="zh-CN" w:bidi="ar-SA"/>
        </w:rPr>
        <w:t>新疆喀大建设项目管理咨询有限公司</w:t>
      </w:r>
      <w:r>
        <w:rPr>
          <w:rFonts w:hint="eastAsia" w:ascii="宋体" w:hAnsi="宋体" w:eastAsia="宋体" w:cs="宋体"/>
          <w:kern w:val="2"/>
        </w:rPr>
        <w:t>　</w:t>
      </w:r>
    </w:p>
    <w:p>
      <w:pPr>
        <w:pageBreakBefore w:val="0"/>
        <w:widowControl w:val="0"/>
        <w:kinsoku/>
        <w:overflowPunct/>
        <w:topLinePunct w:val="0"/>
        <w:autoSpaceDE/>
        <w:autoSpaceDN/>
        <w:bidi w:val="0"/>
        <w:spacing w:line="400" w:lineRule="exact"/>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sz w:val="24"/>
          <w:szCs w:val="24"/>
        </w:rPr>
        <w:t>地　　址：</w:t>
      </w:r>
      <w:r>
        <w:rPr>
          <w:rFonts w:hint="eastAsia" w:ascii="宋体" w:hAnsi="宋体" w:eastAsia="宋体" w:cs="宋体"/>
          <w:b w:val="0"/>
          <w:bCs w:val="0"/>
          <w:kern w:val="2"/>
          <w:sz w:val="24"/>
          <w:szCs w:val="24"/>
          <w:lang w:val="en-US" w:eastAsia="zh-CN" w:bidi="ar-SA"/>
        </w:rPr>
        <w:t>博乐市土尔扈特路新疆交建三楼</w:t>
      </w:r>
    </w:p>
    <w:p>
      <w:pPr>
        <w:pageBreakBefore w:val="0"/>
        <w:widowControl w:val="0"/>
        <w:kinsoku/>
        <w:overflowPunct/>
        <w:topLinePunct w:val="0"/>
        <w:autoSpaceDE/>
        <w:autoSpaceDN/>
        <w:bidi w:val="0"/>
        <w:spacing w:line="400" w:lineRule="exact"/>
        <w:jc w:val="both"/>
        <w:textAlignment w:val="auto"/>
        <w:rPr>
          <w:rFonts w:hint="eastAsia" w:ascii="宋体" w:hAnsi="宋体" w:eastAsia="宋体" w:cs="宋体"/>
          <w:kern w:val="2"/>
        </w:rPr>
      </w:pPr>
      <w:r>
        <w:rPr>
          <w:rFonts w:hint="eastAsia" w:ascii="宋体" w:hAnsi="宋体" w:eastAsia="宋体" w:cs="宋体"/>
          <w:b/>
          <w:bCs/>
          <w:sz w:val="24"/>
          <w:szCs w:val="24"/>
        </w:rPr>
        <w:t>项目联系人：</w:t>
      </w:r>
      <w:r>
        <w:rPr>
          <w:rFonts w:hint="eastAsia" w:ascii="宋体" w:hAnsi="宋体" w:eastAsia="宋体" w:cs="宋体"/>
          <w:b w:val="0"/>
          <w:bCs w:val="0"/>
          <w:kern w:val="2"/>
          <w:sz w:val="24"/>
          <w:szCs w:val="24"/>
          <w:lang w:val="en-US" w:eastAsia="zh-CN" w:bidi="ar-SA"/>
        </w:rPr>
        <w:t>李娜</w:t>
      </w:r>
      <w:r>
        <w:rPr>
          <w:rFonts w:hint="eastAsia" w:ascii="宋体" w:hAnsi="宋体" w:eastAsia="宋体" w:cs="宋体"/>
          <w:b w:val="0"/>
          <w:bCs w:val="0"/>
          <w:kern w:val="2"/>
          <w:sz w:val="24"/>
          <w:szCs w:val="24"/>
          <w:lang w:val="zh-CN" w:eastAsia="zh-CN" w:bidi="ar-SA"/>
        </w:rPr>
        <w:t>　</w:t>
      </w:r>
      <w:r>
        <w:rPr>
          <w:rFonts w:hint="eastAsia" w:ascii="宋体" w:hAnsi="宋体" w:eastAsia="宋体" w:cs="宋体"/>
          <w:kern w:val="2"/>
        </w:rPr>
        <w:t xml:space="preserve">              </w:t>
      </w:r>
    </w:p>
    <w:p>
      <w:pPr>
        <w:pageBreakBefore w:val="0"/>
        <w:widowControl w:val="0"/>
        <w:kinsoku/>
        <w:overflowPunct/>
        <w:topLinePunct w:val="0"/>
        <w:autoSpaceDE/>
        <w:autoSpaceDN/>
        <w:bidi w:val="0"/>
        <w:spacing w:line="400" w:lineRule="exact"/>
        <w:jc w:val="both"/>
        <w:textAlignment w:val="auto"/>
        <w:rPr>
          <w:rFonts w:hint="eastAsia" w:ascii="宋体" w:hAnsi="宋体" w:eastAsia="宋体" w:cs="宋体"/>
          <w:b/>
          <w:bCs/>
          <w:kern w:val="2"/>
        </w:rPr>
      </w:pPr>
      <w:r>
        <w:rPr>
          <w:rFonts w:hint="eastAsia" w:ascii="宋体" w:hAnsi="宋体" w:eastAsia="宋体" w:cs="宋体"/>
          <w:b/>
          <w:bCs/>
          <w:sz w:val="24"/>
          <w:szCs w:val="24"/>
        </w:rPr>
        <w:t>联系方式：</w:t>
      </w:r>
      <w:r>
        <w:rPr>
          <w:rFonts w:hint="eastAsia" w:ascii="宋体" w:hAnsi="宋体" w:eastAsia="宋体" w:cs="宋体"/>
          <w:b w:val="0"/>
          <w:bCs w:val="0"/>
          <w:kern w:val="2"/>
          <w:sz w:val="24"/>
          <w:szCs w:val="24"/>
          <w:lang w:val="en-US" w:eastAsia="zh-CN" w:bidi="ar-SA"/>
        </w:rPr>
        <w:t>18096892888</w:t>
      </w:r>
      <w:r>
        <w:rPr>
          <w:rFonts w:hint="eastAsia" w:ascii="宋体" w:hAnsi="宋体" w:eastAsia="宋体" w:cs="宋体"/>
          <w:b w:val="0"/>
          <w:bCs w:val="0"/>
          <w:kern w:val="2"/>
          <w:sz w:val="24"/>
          <w:szCs w:val="24"/>
          <w:lang w:val="zh-CN" w:eastAsia="zh-CN" w:bidi="ar-SA"/>
        </w:rPr>
        <w:t>　　</w:t>
      </w:r>
      <w:r>
        <w:rPr>
          <w:rFonts w:hint="eastAsia" w:ascii="宋体" w:hAnsi="宋体" w:eastAsia="宋体" w:cs="宋体"/>
          <w:b/>
          <w:bCs/>
          <w:kern w:val="2"/>
        </w:rPr>
        <w:t xml:space="preserve">                        　</w:t>
      </w:r>
    </w:p>
    <w:p>
      <w:pPr>
        <w:widowControl w:val="0"/>
        <w:spacing w:line="370" w:lineRule="exact"/>
        <w:jc w:val="both"/>
        <w:rPr>
          <w:rFonts w:hint="eastAsia" w:ascii="宋体" w:hAnsi="宋体" w:eastAsia="宋体" w:cs="宋体"/>
          <w:kern w:val="2"/>
        </w:rPr>
      </w:pPr>
      <w:r>
        <w:rPr>
          <w:rFonts w:hint="eastAsia" w:ascii="宋体" w:hAnsi="宋体" w:eastAsia="宋体" w:cs="宋体"/>
          <w:kern w:val="2"/>
        </w:rPr>
        <w:t xml:space="preserve">             </w:t>
      </w:r>
    </w:p>
    <w:p>
      <w:pPr>
        <w:widowControl w:val="0"/>
        <w:spacing w:line="370" w:lineRule="exact"/>
        <w:jc w:val="both"/>
        <w:rPr>
          <w:rFonts w:hint="eastAsia" w:ascii="宋体" w:hAnsi="宋体" w:eastAsia="宋体" w:cs="宋体"/>
          <w:kern w:val="2"/>
        </w:rPr>
      </w:pPr>
      <w:r>
        <w:rPr>
          <w:rFonts w:hint="eastAsia" w:ascii="宋体" w:hAnsi="宋体" w:eastAsia="宋体" w:cs="宋体"/>
          <w:kern w:val="2"/>
          <w:lang w:val="zh-CN"/>
        </w:rPr>
        <w:t>　　</w:t>
      </w:r>
      <w:r>
        <w:rPr>
          <w:rFonts w:hint="eastAsia" w:ascii="宋体" w:hAnsi="宋体" w:eastAsia="宋体" w:cs="宋体"/>
          <w:kern w:val="2"/>
        </w:rPr>
        <w:t xml:space="preserve">　            </w:t>
      </w:r>
    </w:p>
    <w:p>
      <w:pPr>
        <w:spacing w:line="360" w:lineRule="auto"/>
        <w:ind w:firstLine="420" w:firstLineChars="200"/>
        <w:textAlignment w:val="auto"/>
        <w:rPr>
          <w:color w:val="auto"/>
        </w:rPr>
      </w:pPr>
      <w:r>
        <w:rPr>
          <w:rFonts w:hint="eastAsia" w:ascii="宋体" w:hAnsi="宋体" w:eastAsia="宋体" w:cs="宋体"/>
          <w:kern w:val="2"/>
        </w:rPr>
        <w:t xml:space="preserve">                                  </w:t>
      </w:r>
      <w:r>
        <w:rPr>
          <w:rFonts w:hint="eastAsia" w:ascii="宋体" w:hAnsi="宋体" w:eastAsia="宋体" w:cs="宋体"/>
          <w:b w:val="0"/>
          <w:bCs w:val="0"/>
          <w:kern w:val="2"/>
          <w:sz w:val="24"/>
          <w:szCs w:val="24"/>
          <w:lang w:val="en-US" w:eastAsia="zh-CN" w:bidi="ar-SA"/>
        </w:rPr>
        <w:t>2022年8月</w:t>
      </w:r>
      <w:r>
        <w:rPr>
          <w:rFonts w:hint="eastAsia" w:ascii="宋体" w:hAnsi="宋体" w:cs="宋体"/>
          <w:b w:val="0"/>
          <w:bCs w:val="0"/>
          <w:kern w:val="2"/>
          <w:sz w:val="24"/>
          <w:szCs w:val="24"/>
          <w:lang w:val="en-US" w:eastAsia="zh-CN" w:bidi="ar-SA"/>
        </w:rPr>
        <w:t>23</w:t>
      </w:r>
      <w:r>
        <w:rPr>
          <w:rFonts w:hint="eastAsia" w:ascii="宋体" w:hAnsi="宋体" w:eastAsia="宋体" w:cs="宋体"/>
          <w:b w:val="0"/>
          <w:bCs w:val="0"/>
          <w:kern w:val="2"/>
          <w:sz w:val="24"/>
          <w:szCs w:val="24"/>
          <w:lang w:val="en-US" w:eastAsia="zh-CN" w:bidi="ar-SA"/>
        </w:rPr>
        <w:t>日</w:t>
      </w:r>
      <w:r>
        <w:rPr>
          <w:rStyle w:val="91"/>
          <w:rFonts w:hint="eastAsia" w:ascii="宋体" w:hAnsi="宋体" w:eastAsia="宋体" w:cs="宋体"/>
          <w:color w:val="auto"/>
          <w:sz w:val="24"/>
          <w:szCs w:val="24"/>
          <w:lang w:val="en-US" w:eastAsia="zh-CN"/>
        </w:rPr>
        <w:t xml:space="preserve">  </w:t>
      </w:r>
    </w:p>
    <w:p>
      <w:pPr>
        <w:keepNext w:val="0"/>
        <w:keepLines w:val="0"/>
        <w:pageBreakBefore w:val="0"/>
        <w:widowControl/>
        <w:kinsoku/>
        <w:wordWrap/>
        <w:overflowPunct/>
        <w:topLinePunct w:val="0"/>
        <w:bidi w:val="0"/>
        <w:snapToGrid/>
        <w:spacing w:line="360" w:lineRule="auto"/>
        <w:ind w:firstLine="480" w:firstLineChars="200"/>
        <w:jc w:val="center"/>
        <w:textAlignment w:val="auto"/>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bidi w:val="0"/>
        <w:snapToGrid/>
        <w:spacing w:line="360" w:lineRule="auto"/>
        <w:ind w:firstLine="480" w:firstLineChars="200"/>
        <w:jc w:val="center"/>
        <w:textAlignment w:val="auto"/>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bidi w:val="0"/>
        <w:snapToGrid/>
        <w:spacing w:line="360" w:lineRule="auto"/>
        <w:ind w:firstLine="480" w:firstLineChars="200"/>
        <w:jc w:val="center"/>
        <w:textAlignment w:val="auto"/>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bidi w:val="0"/>
        <w:snapToGrid/>
        <w:spacing w:line="360" w:lineRule="auto"/>
        <w:ind w:firstLine="480" w:firstLineChars="200"/>
        <w:jc w:val="center"/>
        <w:textAlignment w:val="auto"/>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bidi w:val="0"/>
        <w:snapToGrid/>
        <w:spacing w:line="360" w:lineRule="auto"/>
        <w:ind w:firstLine="480" w:firstLineChars="200"/>
        <w:jc w:val="center"/>
        <w:textAlignment w:val="auto"/>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bidi w:val="0"/>
        <w:snapToGrid/>
        <w:spacing w:line="360" w:lineRule="auto"/>
        <w:ind w:firstLine="480" w:firstLineChars="200"/>
        <w:jc w:val="center"/>
        <w:textAlignment w:val="auto"/>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bidi w:val="0"/>
        <w:snapToGrid/>
        <w:spacing w:line="360" w:lineRule="auto"/>
        <w:ind w:firstLine="480" w:firstLineChars="200"/>
        <w:jc w:val="center"/>
        <w:textAlignment w:val="auto"/>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bidi w:val="0"/>
        <w:snapToGrid/>
        <w:spacing w:line="360" w:lineRule="auto"/>
        <w:ind w:firstLine="480" w:firstLineChars="200"/>
        <w:jc w:val="center"/>
        <w:textAlignment w:val="auto"/>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bidi w:val="0"/>
        <w:snapToGrid/>
        <w:spacing w:line="360" w:lineRule="auto"/>
        <w:ind w:firstLine="480" w:firstLineChars="200"/>
        <w:jc w:val="center"/>
        <w:textAlignment w:val="auto"/>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bidi w:val="0"/>
        <w:snapToGrid/>
        <w:spacing w:line="360" w:lineRule="auto"/>
        <w:ind w:firstLine="480" w:firstLineChars="200"/>
        <w:jc w:val="center"/>
        <w:textAlignment w:val="auto"/>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bidi w:val="0"/>
        <w:snapToGrid/>
        <w:spacing w:line="360" w:lineRule="auto"/>
        <w:ind w:firstLine="480" w:firstLineChars="200"/>
        <w:jc w:val="center"/>
        <w:textAlignment w:val="auto"/>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bidi w:val="0"/>
        <w:snapToGrid/>
        <w:spacing w:line="360" w:lineRule="auto"/>
        <w:ind w:firstLine="480" w:firstLineChars="200"/>
        <w:jc w:val="center"/>
        <w:textAlignment w:val="auto"/>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bidi w:val="0"/>
        <w:snapToGrid/>
        <w:spacing w:line="360" w:lineRule="auto"/>
        <w:ind w:firstLine="480" w:firstLineChars="200"/>
        <w:jc w:val="center"/>
        <w:textAlignment w:val="auto"/>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bidi w:val="0"/>
        <w:snapToGrid/>
        <w:spacing w:line="360" w:lineRule="auto"/>
        <w:ind w:firstLine="480" w:firstLineChars="200"/>
        <w:jc w:val="center"/>
        <w:textAlignment w:val="auto"/>
        <w:rPr>
          <w:rFonts w:hint="eastAsia" w:ascii="宋体" w:hAnsi="宋体" w:eastAsia="宋体" w:cs="宋体"/>
          <w:color w:val="auto"/>
          <w:sz w:val="24"/>
          <w:szCs w:val="24"/>
          <w:lang w:val="en-US" w:eastAsia="zh-CN"/>
        </w:rPr>
      </w:pPr>
    </w:p>
    <w:p>
      <w:pPr>
        <w:pStyle w:val="22"/>
        <w:rPr>
          <w:rFonts w:hint="eastAsia" w:ascii="宋体" w:hAnsi="宋体" w:eastAsia="宋体" w:cs="宋体"/>
          <w:color w:val="auto"/>
          <w:sz w:val="24"/>
          <w:szCs w:val="24"/>
          <w:lang w:val="en-US" w:eastAsia="zh-CN"/>
        </w:rPr>
      </w:pPr>
    </w:p>
    <w:p>
      <w:pPr>
        <w:pStyle w:val="22"/>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bidi w:val="0"/>
        <w:snapToGrid/>
        <w:spacing w:line="360" w:lineRule="auto"/>
        <w:ind w:firstLine="480" w:firstLineChars="2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wordWrap w:val="0"/>
        <w:autoSpaceDE w:val="0"/>
        <w:autoSpaceDN w:val="0"/>
        <w:adjustRightInd w:val="0"/>
        <w:spacing w:line="360" w:lineRule="auto"/>
        <w:jc w:val="center"/>
        <w:textAlignment w:val="auto"/>
        <w:rPr>
          <w:rFonts w:hint="eastAsia"/>
          <w:b/>
          <w:color w:val="auto"/>
          <w:sz w:val="32"/>
          <w:szCs w:val="32"/>
          <w:lang w:val="en-US" w:eastAsia="zh-CN"/>
        </w:rPr>
      </w:pPr>
    </w:p>
    <w:p>
      <w:pPr>
        <w:wordWrap w:val="0"/>
        <w:autoSpaceDE w:val="0"/>
        <w:autoSpaceDN w:val="0"/>
        <w:adjustRightInd w:val="0"/>
        <w:spacing w:line="360" w:lineRule="auto"/>
        <w:jc w:val="center"/>
        <w:textAlignment w:val="auto"/>
        <w:rPr>
          <w:rFonts w:hint="eastAsia"/>
          <w:b/>
          <w:color w:val="auto"/>
          <w:sz w:val="32"/>
          <w:szCs w:val="32"/>
          <w:lang w:val="en-US" w:eastAsia="zh-CN"/>
        </w:rPr>
      </w:pPr>
    </w:p>
    <w:p>
      <w:pPr>
        <w:wordWrap w:val="0"/>
        <w:autoSpaceDE w:val="0"/>
        <w:autoSpaceDN w:val="0"/>
        <w:adjustRightInd w:val="0"/>
        <w:spacing w:line="360" w:lineRule="auto"/>
        <w:jc w:val="center"/>
        <w:textAlignment w:val="auto"/>
        <w:rPr>
          <w:rFonts w:hint="eastAsia"/>
          <w:b/>
          <w:color w:val="auto"/>
          <w:sz w:val="32"/>
          <w:szCs w:val="32"/>
          <w:lang w:val="en-US" w:eastAsia="zh-CN"/>
        </w:rPr>
      </w:pPr>
    </w:p>
    <w:p>
      <w:pPr>
        <w:wordWrap w:val="0"/>
        <w:autoSpaceDE w:val="0"/>
        <w:autoSpaceDN w:val="0"/>
        <w:adjustRightInd w:val="0"/>
        <w:spacing w:line="360" w:lineRule="auto"/>
        <w:jc w:val="center"/>
        <w:textAlignment w:val="auto"/>
        <w:rPr>
          <w:b/>
          <w:color w:val="auto"/>
          <w:sz w:val="32"/>
          <w:szCs w:val="32"/>
        </w:rPr>
      </w:pPr>
      <w:r>
        <w:rPr>
          <w:rFonts w:hint="eastAsia"/>
          <w:b/>
          <w:color w:val="auto"/>
          <w:sz w:val="32"/>
          <w:szCs w:val="32"/>
          <w:lang w:val="en-US" w:eastAsia="zh-CN"/>
        </w:rPr>
        <w:t xml:space="preserve">第二章  </w:t>
      </w:r>
      <w:r>
        <w:rPr>
          <w:b/>
          <w:color w:val="auto"/>
          <w:sz w:val="32"/>
          <w:szCs w:val="32"/>
        </w:rPr>
        <w:t>投标人须知</w:t>
      </w:r>
      <w:bookmarkEnd w:id="1"/>
    </w:p>
    <w:p>
      <w:pPr>
        <w:widowControl w:val="0"/>
        <w:numPr>
          <w:ilvl w:val="0"/>
          <w:numId w:val="0"/>
        </w:numPr>
        <w:snapToGrid w:val="0"/>
        <w:spacing w:beforeLines="50" w:afterLines="50" w:line="360" w:lineRule="auto"/>
        <w:jc w:val="center"/>
        <w:outlineLvl w:val="1"/>
        <w:rPr>
          <w:b/>
          <w:color w:val="auto"/>
          <w:sz w:val="28"/>
          <w:szCs w:val="28"/>
        </w:rPr>
      </w:pPr>
      <w:bookmarkStart w:id="24" w:name="_Toc16335"/>
      <w:bookmarkStart w:id="25" w:name="_Toc16929"/>
      <w:r>
        <w:rPr>
          <w:rFonts w:hint="eastAsia"/>
          <w:b/>
          <w:color w:val="auto"/>
          <w:sz w:val="28"/>
          <w:szCs w:val="28"/>
          <w:lang w:eastAsia="zh-CN"/>
        </w:rPr>
        <w:t>（一）</w:t>
      </w:r>
      <w:r>
        <w:rPr>
          <w:b/>
          <w:color w:val="auto"/>
          <w:sz w:val="28"/>
          <w:szCs w:val="28"/>
        </w:rPr>
        <w:t>投标人须知前附表</w:t>
      </w:r>
      <w:bookmarkEnd w:id="24"/>
    </w:p>
    <w:tbl>
      <w:tblPr>
        <w:tblStyle w:val="30"/>
        <w:tblpPr w:leftFromText="180" w:rightFromText="180" w:vertAnchor="text" w:horzAnchor="page" w:tblpXSpec="center" w:tblpY="614"/>
        <w:tblOverlap w:val="never"/>
        <w:tblW w:w="1002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61"/>
        <w:gridCol w:w="1744"/>
        <w:gridCol w:w="731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2" w:hRule="atLeast"/>
          <w:jc w:val="center"/>
        </w:trPr>
        <w:tc>
          <w:tcPr>
            <w:tcW w:w="961"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b/>
                <w:color w:val="auto"/>
                <w:szCs w:val="21"/>
              </w:rPr>
            </w:pPr>
            <w:r>
              <w:rPr>
                <w:rFonts w:ascii="Times New Roman" w:hAnsi="Times New Roman"/>
                <w:b/>
                <w:color w:val="auto"/>
                <w:szCs w:val="21"/>
              </w:rPr>
              <w:t>条款号</w:t>
            </w:r>
          </w:p>
        </w:tc>
        <w:tc>
          <w:tcPr>
            <w:tcW w:w="1744"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b/>
                <w:color w:val="auto"/>
                <w:szCs w:val="21"/>
              </w:rPr>
            </w:pPr>
            <w:r>
              <w:rPr>
                <w:rFonts w:ascii="Times New Roman" w:hAnsi="Times New Roman"/>
                <w:b/>
                <w:color w:val="auto"/>
                <w:szCs w:val="21"/>
              </w:rPr>
              <w:t>内容</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b/>
                <w:color w:val="auto"/>
                <w:szCs w:val="21"/>
              </w:rPr>
            </w:pPr>
            <w:r>
              <w:rPr>
                <w:rFonts w:ascii="Times New Roman" w:hAnsi="Times New Roman"/>
                <w:b/>
                <w:color w:val="auto"/>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9" w:hRule="atLeast"/>
          <w:jc w:val="center"/>
        </w:trPr>
        <w:tc>
          <w:tcPr>
            <w:tcW w:w="961"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1.1</w:t>
            </w:r>
          </w:p>
        </w:tc>
        <w:tc>
          <w:tcPr>
            <w:tcW w:w="1744"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项目名称</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zh-CN" w:eastAsia="zh-CN"/>
              </w:rPr>
              <w:t>温泉县2022年天山森林草原保护综合治理项目--退化林修复（二标段）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1" w:hRule="atLeast"/>
          <w:jc w:val="center"/>
        </w:trPr>
        <w:tc>
          <w:tcPr>
            <w:tcW w:w="961"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1.1</w:t>
            </w:r>
          </w:p>
        </w:tc>
        <w:tc>
          <w:tcPr>
            <w:tcW w:w="1744"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项目编号</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olor w:val="auto"/>
                <w:szCs w:val="21"/>
                <w:lang w:val="en-US" w:eastAsia="zh-CN"/>
              </w:rPr>
            </w:pPr>
            <w:r>
              <w:rPr>
                <w:rFonts w:hint="default" w:ascii="Times New Roman" w:hAnsi="Times New Roman"/>
                <w:color w:val="auto"/>
                <w:szCs w:val="21"/>
                <w:lang w:val="en-US" w:eastAsia="zh-CN"/>
              </w:rPr>
              <w:t>XJKDWQCS2022-0</w:t>
            </w:r>
            <w:r>
              <w:rPr>
                <w:rFonts w:hint="eastAsia" w:ascii="Times New Roman" w:hAnsi="Times New Roman"/>
                <w:color w:val="auto"/>
                <w:szCs w:val="21"/>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77" w:hRule="atLeast"/>
          <w:jc w:val="center"/>
        </w:trPr>
        <w:tc>
          <w:tcPr>
            <w:tcW w:w="961"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1.1</w:t>
            </w:r>
          </w:p>
        </w:tc>
        <w:tc>
          <w:tcPr>
            <w:tcW w:w="1744"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olor w:val="auto"/>
                <w:szCs w:val="21"/>
                <w:lang w:eastAsia="zh-CN"/>
              </w:rPr>
            </w:pPr>
            <w:r>
              <w:rPr>
                <w:rFonts w:hint="eastAsia" w:ascii="Times New Roman" w:hAnsi="Times New Roman"/>
                <w:color w:val="auto"/>
                <w:szCs w:val="21"/>
                <w:lang w:eastAsia="zh-CN"/>
              </w:rPr>
              <w:t>合同履行期限</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olor w:val="auto"/>
                <w:szCs w:val="21"/>
                <w:lang w:val="en-US" w:eastAsia="zh-CN"/>
              </w:rPr>
            </w:pPr>
            <w:r>
              <w:rPr>
                <w:rFonts w:hint="default" w:ascii="Times New Roman" w:hAnsi="Times New Roman"/>
                <w:color w:val="auto"/>
                <w:szCs w:val="21"/>
                <w:lang w:val="en-US" w:eastAsia="zh-CN"/>
              </w:rPr>
              <w:t>总工期348天，计划2022年9月18日开工，2023年8月31日竣工。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77" w:hRule="atLeast"/>
          <w:jc w:val="center"/>
        </w:trPr>
        <w:tc>
          <w:tcPr>
            <w:tcW w:w="961"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1.1</w:t>
            </w:r>
          </w:p>
        </w:tc>
        <w:tc>
          <w:tcPr>
            <w:tcW w:w="1744"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项目地点</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imes New Roman" w:hAnsi="Times New Roman"/>
                <w:color w:val="auto"/>
                <w:szCs w:val="21"/>
                <w:lang w:val="en-US" w:eastAsia="zh-CN"/>
              </w:rPr>
            </w:pPr>
            <w:r>
              <w:rPr>
                <w:rFonts w:hint="eastAsia" w:ascii="Times New Roman" w:hAnsi="Times New Roman"/>
                <w:color w:val="auto"/>
                <w:szCs w:val="21"/>
                <w:lang w:val="en-US" w:eastAsia="zh-CN"/>
              </w:rPr>
              <w:t>温泉县</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62" w:hRule="atLeast"/>
          <w:jc w:val="center"/>
        </w:trPr>
        <w:tc>
          <w:tcPr>
            <w:tcW w:w="961"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1.2</w:t>
            </w:r>
          </w:p>
        </w:tc>
        <w:tc>
          <w:tcPr>
            <w:tcW w:w="1744"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招标人及联系人</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单位名称：温泉县自然资源局</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联系人</w:t>
            </w:r>
            <w:r>
              <w:rPr>
                <w:rFonts w:hint="eastAsia" w:ascii="Times New Roman" w:hAnsi="Times New Roman" w:eastAsia="宋体" w:cs="Times New Roman"/>
                <w:color w:val="auto"/>
                <w:szCs w:val="21"/>
                <w:lang w:val="en-US" w:eastAsia="zh-CN"/>
              </w:rPr>
              <w:t>：</w:t>
            </w:r>
            <w:r>
              <w:rPr>
                <w:rFonts w:hint="eastAsia" w:ascii="Times New Roman" w:hAnsi="Times New Roman" w:cs="Times New Roman"/>
                <w:color w:val="auto"/>
                <w:szCs w:val="21"/>
                <w:lang w:val="en-US" w:eastAsia="zh-CN"/>
              </w:rPr>
              <w:t>车传芳</w:t>
            </w:r>
            <w:r>
              <w:rPr>
                <w:rFonts w:hint="eastAsia" w:ascii="Times New Roman" w:hAnsi="Times New Roman" w:eastAsia="宋体" w:cs="Times New Roman"/>
                <w:color w:val="auto"/>
                <w:szCs w:val="21"/>
                <w:lang w:val="en-US" w:eastAsia="zh-CN"/>
              </w:rPr>
              <w:t xml:space="preserve">    联系电话：0909-8221017</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37" w:hRule="atLeast"/>
          <w:jc w:val="center"/>
        </w:trPr>
        <w:tc>
          <w:tcPr>
            <w:tcW w:w="961"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1.2</w:t>
            </w:r>
          </w:p>
        </w:tc>
        <w:tc>
          <w:tcPr>
            <w:tcW w:w="1744"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代理机构及联系人</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招标代理机构：</w:t>
            </w:r>
            <w:r>
              <w:rPr>
                <w:rFonts w:hint="eastAsia" w:ascii="Times New Roman" w:hAnsi="Times New Roman" w:eastAsia="宋体" w:cs="Times New Roman"/>
                <w:color w:val="auto"/>
                <w:szCs w:val="21"/>
                <w:lang w:val="en-US" w:eastAsia="zh-CN"/>
              </w:rPr>
              <w:t>新疆喀大建设项目管理咨询有限公司</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联系人：</w:t>
            </w:r>
            <w:r>
              <w:rPr>
                <w:rFonts w:hint="eastAsia" w:ascii="Times New Roman" w:hAnsi="Times New Roman" w:cs="Times New Roman"/>
                <w:color w:val="auto"/>
                <w:szCs w:val="21"/>
                <w:lang w:eastAsia="zh-CN"/>
              </w:rPr>
              <w:t>李娜</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联系电话：</w:t>
            </w:r>
            <w:r>
              <w:rPr>
                <w:rFonts w:hint="eastAsia" w:ascii="Times New Roman" w:hAnsi="Times New Roman" w:cs="Times New Roman"/>
                <w:color w:val="auto"/>
                <w:szCs w:val="21"/>
                <w:lang w:val="en-US" w:eastAsia="zh-CN"/>
              </w:rPr>
              <w:t>18096892888</w:t>
            </w:r>
            <w:r>
              <w:rPr>
                <w:rFonts w:hint="eastAsia" w:ascii="Times New Roman" w:hAnsi="Times New Roman" w:eastAsia="宋体" w:cs="Times New Roman"/>
                <w:color w:val="auto"/>
                <w:szCs w:val="21"/>
                <w:lang w:eastAsia="zh-CN"/>
              </w:rPr>
              <w:t xml:space="preserve"> </w:t>
            </w:r>
            <w:r>
              <w:rPr>
                <w:rFonts w:hint="eastAsia" w:ascii="Times New Roman" w:hAnsi="Times New Roman" w:eastAsia="宋体" w:cs="Times New Roman"/>
                <w:color w:val="auto"/>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77" w:hRule="atLeast"/>
          <w:jc w:val="center"/>
        </w:trPr>
        <w:tc>
          <w:tcPr>
            <w:tcW w:w="961"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1.3</w:t>
            </w:r>
          </w:p>
        </w:tc>
        <w:tc>
          <w:tcPr>
            <w:tcW w:w="1744"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资金来源</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财政资金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961"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2.1</w:t>
            </w:r>
          </w:p>
        </w:tc>
        <w:tc>
          <w:tcPr>
            <w:tcW w:w="1744"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项目概况</w:t>
            </w:r>
          </w:p>
        </w:tc>
        <w:tc>
          <w:tcPr>
            <w:tcW w:w="7316" w:type="dxa"/>
            <w:vAlign w:val="center"/>
          </w:tcPr>
          <w:p>
            <w:pPr>
              <w:spacing w:line="440" w:lineRule="exact"/>
              <w:textAlignment w:val="auto"/>
              <w:rPr>
                <w:rFonts w:hint="eastAsia"/>
                <w:color w:val="auto"/>
                <w:lang w:val="en-US" w:eastAsia="zh-CN"/>
              </w:rPr>
            </w:pPr>
            <w:r>
              <w:rPr>
                <w:rFonts w:hint="eastAsia"/>
                <w:color w:val="auto"/>
                <w:lang w:val="en-US" w:eastAsia="zh-CN"/>
              </w:rPr>
              <w:t>实施位于博尔塔拉河温泉段河谷林区域退化林修复14791亩，详见采购文件。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3" w:hRule="atLeast"/>
          <w:jc w:val="center"/>
        </w:trPr>
        <w:tc>
          <w:tcPr>
            <w:tcW w:w="961"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7.1</w:t>
            </w:r>
          </w:p>
        </w:tc>
        <w:tc>
          <w:tcPr>
            <w:tcW w:w="1744"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投标人资格条件及其他要求</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1"/>
                <w:u w:color="000000"/>
                <w:lang w:val="en-US" w:eastAsia="zh-CN" w:bidi="ar-SA"/>
              </w:rPr>
            </w:pPr>
            <w:r>
              <w:rPr>
                <w:rFonts w:hint="eastAsia" w:ascii="Times New Roman" w:hAnsi="Times New Roman" w:eastAsia="宋体" w:cs="Times New Roman"/>
                <w:color w:val="auto"/>
                <w:kern w:val="2"/>
                <w:sz w:val="21"/>
                <w:szCs w:val="21"/>
                <w:u w:color="000000"/>
                <w:lang w:val="en-US" w:eastAsia="zh-CN" w:bidi="ar-SA"/>
              </w:rPr>
              <w:t>1、投标人必须满足《中华人民共和国政府采购法》第二十二条要求，能合法提供与采购内容相符的设备及相应的服务。</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1"/>
                <w:u w:color="000000"/>
                <w:lang w:val="en-US" w:eastAsia="zh-CN" w:bidi="ar-SA"/>
              </w:rPr>
            </w:pPr>
            <w:r>
              <w:rPr>
                <w:rFonts w:hint="eastAsia" w:ascii="Times New Roman" w:hAnsi="Times New Roman" w:eastAsia="宋体" w:cs="Times New Roman"/>
                <w:color w:val="auto"/>
                <w:kern w:val="2"/>
                <w:sz w:val="21"/>
                <w:szCs w:val="21"/>
                <w:u w:color="000000"/>
                <w:lang w:val="en-US" w:eastAsia="zh-CN" w:bidi="ar-SA"/>
              </w:rPr>
              <w:t>2、投标单位须在中华人民共和国境内注册的、独立承担民事责任能力和良好诚信的合法经营单位或其他组织，并在人员、设备、资金等方面具有相应的响应能力；单位负责人为同一人或者存在直接控股、管理关系的不同供应商不得参加本项目同一包的投标。</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1"/>
                <w:u w:color="000000"/>
                <w:lang w:val="en-US" w:eastAsia="zh-CN" w:bidi="ar-SA"/>
              </w:rPr>
            </w:pPr>
            <w:r>
              <w:rPr>
                <w:rFonts w:hint="eastAsia" w:ascii="Times New Roman" w:hAnsi="Times New Roman" w:cs="Times New Roman"/>
                <w:color w:val="auto"/>
                <w:kern w:val="2"/>
                <w:sz w:val="21"/>
                <w:szCs w:val="21"/>
                <w:u w:color="000000"/>
                <w:lang w:val="en-US" w:eastAsia="zh-CN" w:bidi="ar-SA"/>
              </w:rPr>
              <w:t>3</w:t>
            </w:r>
            <w:r>
              <w:rPr>
                <w:rFonts w:hint="eastAsia" w:ascii="Times New Roman" w:hAnsi="Times New Roman" w:eastAsia="宋体" w:cs="Times New Roman"/>
                <w:color w:val="auto"/>
                <w:kern w:val="2"/>
                <w:sz w:val="21"/>
                <w:szCs w:val="21"/>
                <w:u w:color="000000"/>
                <w:lang w:val="en-US" w:eastAsia="zh-CN" w:bidi="ar-SA"/>
              </w:rPr>
              <w:t>、信誉要求：投标人须提供在“信用中国”（www.creditchina.gov.cn）和中国政府采购网（www.ccgp.gov.cn）</w:t>
            </w:r>
            <w:r>
              <w:rPr>
                <w:rFonts w:hint="eastAsia" w:ascii="Times New Roman" w:hAnsi="Times New Roman" w:cs="Times New Roman"/>
                <w:color w:val="auto"/>
                <w:kern w:val="2"/>
                <w:sz w:val="21"/>
                <w:szCs w:val="21"/>
                <w:u w:color="000000"/>
                <w:lang w:val="en-US" w:eastAsia="zh-CN" w:bidi="ar-SA"/>
              </w:rPr>
              <w:t>网站、国家企业信用信息公示网站http://www.gsxt.gov.cn</w:t>
            </w:r>
            <w:r>
              <w:rPr>
                <w:rFonts w:hint="eastAsia" w:ascii="Times New Roman" w:hAnsi="Times New Roman" w:eastAsia="宋体" w:cs="Times New Roman"/>
                <w:color w:val="auto"/>
                <w:kern w:val="2"/>
                <w:sz w:val="21"/>
                <w:szCs w:val="21"/>
                <w:u w:color="000000"/>
                <w:lang w:val="en-US" w:eastAsia="zh-CN" w:bidi="ar-SA"/>
              </w:rPr>
              <w:t>上未被列入失信被执行人、重大税收违法案件当事人名单并下载信用报告以及政府采购严重违法失信行为记录名单的网页打印件（查询结果截图日期必须在发布公告日期之后且加盖公司公章当原件）。提供参加本次政府采购活动前三年内在经营活动中没有重大违纪，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961"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8.1</w:t>
            </w:r>
          </w:p>
        </w:tc>
        <w:tc>
          <w:tcPr>
            <w:tcW w:w="1744"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招标方式</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公开招标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7" w:hRule="atLeast"/>
          <w:jc w:val="center"/>
        </w:trPr>
        <w:tc>
          <w:tcPr>
            <w:tcW w:w="961"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9.1</w:t>
            </w:r>
          </w:p>
        </w:tc>
        <w:tc>
          <w:tcPr>
            <w:tcW w:w="1744"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踏勘现场</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不组织，投标人自行踏勘现场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2" w:hRule="atLeast"/>
          <w:jc w:val="center"/>
        </w:trPr>
        <w:tc>
          <w:tcPr>
            <w:tcW w:w="961"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10.1</w:t>
            </w:r>
          </w:p>
        </w:tc>
        <w:tc>
          <w:tcPr>
            <w:tcW w:w="1744"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投标预备会</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 w:hRule="atLeast"/>
          <w:jc w:val="center"/>
        </w:trPr>
        <w:tc>
          <w:tcPr>
            <w:tcW w:w="961"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10.2</w:t>
            </w:r>
          </w:p>
        </w:tc>
        <w:tc>
          <w:tcPr>
            <w:tcW w:w="1744"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投标人提出问题的截止时间</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响应文件递交截止时间</w:t>
            </w:r>
            <w:r>
              <w:rPr>
                <w:rFonts w:hint="eastAsia" w:ascii="Times New Roman" w:hAnsi="Times New Roman" w:cs="Times New Roman"/>
                <w:color w:val="auto"/>
                <w:szCs w:val="21"/>
                <w:lang w:val="en-US" w:eastAsia="zh-CN"/>
              </w:rPr>
              <w:t>10</w:t>
            </w:r>
            <w:r>
              <w:rPr>
                <w:rFonts w:hint="default" w:ascii="Times New Roman" w:hAnsi="Times New Roman" w:eastAsia="宋体" w:cs="Times New Roman"/>
                <w:color w:val="auto"/>
                <w:szCs w:val="21"/>
                <w:lang w:val="en-US" w:eastAsia="zh-CN"/>
              </w:rPr>
              <w:t>日前，由投标人的委托代理人在博州公共资源交易网（http://xzfw.xjboz.gov.cn/）提出疑问，在投标截止时间前</w:t>
            </w:r>
            <w:r>
              <w:rPr>
                <w:rFonts w:hint="eastAsia" w:ascii="Times New Roman" w:hAnsi="Times New Roman" w:cs="Times New Roman"/>
                <w:color w:val="auto"/>
                <w:szCs w:val="21"/>
                <w:lang w:val="en-US" w:eastAsia="zh-CN"/>
              </w:rPr>
              <w:t>10</w:t>
            </w:r>
            <w:r>
              <w:rPr>
                <w:rFonts w:hint="default" w:ascii="Times New Roman" w:hAnsi="Times New Roman" w:eastAsia="宋体" w:cs="Times New Roman"/>
                <w:color w:val="auto"/>
                <w:szCs w:val="21"/>
                <w:lang w:val="en-US" w:eastAsia="zh-CN"/>
              </w:rPr>
              <w:t>日内，采购代理机构不再受理投标人提出的问题。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4" w:hRule="atLeast"/>
          <w:jc w:val="center"/>
        </w:trPr>
        <w:tc>
          <w:tcPr>
            <w:tcW w:w="961"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10.3</w:t>
            </w:r>
          </w:p>
        </w:tc>
        <w:tc>
          <w:tcPr>
            <w:tcW w:w="1744"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招标人澄清的</w:t>
            </w:r>
          </w:p>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时间</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响应文件递交截止时间</w:t>
            </w:r>
            <w:r>
              <w:rPr>
                <w:rFonts w:hint="eastAsia" w:ascii="Times New Roman" w:hAnsi="Times New Roman" w:cs="Times New Roman"/>
                <w:color w:val="auto"/>
                <w:szCs w:val="21"/>
                <w:lang w:val="en-US" w:eastAsia="zh-CN"/>
              </w:rPr>
              <w:t>15</w:t>
            </w:r>
            <w:r>
              <w:rPr>
                <w:rFonts w:hint="eastAsia" w:ascii="Times New Roman" w:hAnsi="Times New Roman" w:eastAsia="宋体" w:cs="Times New Roman"/>
                <w:color w:val="auto"/>
                <w:szCs w:val="21"/>
                <w:lang w:eastAsia="zh-CN"/>
              </w:rPr>
              <w:t>日前，</w:t>
            </w:r>
            <w:r>
              <w:rPr>
                <w:rFonts w:hint="eastAsia" w:ascii="Times New Roman" w:hAnsi="Times New Roman" w:cs="Times New Roman"/>
                <w:color w:val="auto"/>
                <w:szCs w:val="21"/>
                <w:lang w:eastAsia="zh-CN"/>
              </w:rPr>
              <w:t>采购代理机构</w:t>
            </w:r>
            <w:r>
              <w:rPr>
                <w:rFonts w:hint="eastAsia" w:ascii="Times New Roman" w:hAnsi="Times New Roman" w:eastAsia="宋体" w:cs="Times New Roman"/>
                <w:color w:val="auto"/>
                <w:szCs w:val="21"/>
                <w:lang w:eastAsia="zh-CN"/>
              </w:rPr>
              <w:t>在</w:t>
            </w:r>
            <w:r>
              <w:rPr>
                <w:rFonts w:hint="eastAsia" w:ascii="Times New Roman" w:hAnsi="Times New Roman" w:eastAsia="宋体" w:cs="Times New Roman"/>
                <w:color w:val="auto"/>
                <w:szCs w:val="21"/>
                <w:lang w:val="en-US" w:eastAsia="zh-CN"/>
              </w:rPr>
              <w:t>博州公共资源交易网（http://xzfw.xjboz.gov.cn/）</w:t>
            </w:r>
            <w:r>
              <w:rPr>
                <w:rFonts w:hint="eastAsia" w:ascii="Times New Roman" w:hAnsi="Times New Roman" w:cs="Times New Roman"/>
                <w:color w:val="auto"/>
                <w:szCs w:val="21"/>
                <w:lang w:val="en-US" w:eastAsia="zh-CN"/>
              </w:rPr>
              <w:t>发布答疑澄清文件</w:t>
            </w:r>
            <w:r>
              <w:rPr>
                <w:rFonts w:hint="eastAsia" w:ascii="Times New Roman" w:hAnsi="Times New Roman" w:eastAsia="宋体" w:cs="Times New Roman"/>
                <w:color w:val="auto"/>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961"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11.1</w:t>
            </w:r>
          </w:p>
        </w:tc>
        <w:tc>
          <w:tcPr>
            <w:tcW w:w="1744"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联合体投标</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本次招标不接受联合体投标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16"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12.3</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招标代理费</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zh-CN" w:eastAsia="zh-CN"/>
              </w:rPr>
              <w:t>参照国家计委计价格[20</w:t>
            </w:r>
            <w:r>
              <w:rPr>
                <w:rFonts w:hint="eastAsia" w:ascii="Times New Roman" w:hAnsi="Times New Roman" w:eastAsia="宋体" w:cs="Times New Roman"/>
                <w:color w:val="auto"/>
                <w:szCs w:val="21"/>
                <w:lang w:eastAsia="zh-CN"/>
              </w:rPr>
              <w:t>02</w:t>
            </w:r>
            <w:r>
              <w:rPr>
                <w:rFonts w:hint="eastAsia" w:ascii="Times New Roman" w:hAnsi="Times New Roman" w:eastAsia="宋体" w:cs="Times New Roman"/>
                <w:color w:val="auto"/>
                <w:szCs w:val="21"/>
                <w:lang w:val="zh-CN" w:eastAsia="zh-CN"/>
              </w:rPr>
              <w:t>]</w:t>
            </w:r>
            <w:r>
              <w:rPr>
                <w:rFonts w:hint="eastAsia" w:ascii="Times New Roman" w:hAnsi="Times New Roman" w:eastAsia="宋体" w:cs="Times New Roman"/>
                <w:color w:val="auto"/>
                <w:szCs w:val="21"/>
                <w:lang w:eastAsia="zh-CN"/>
              </w:rPr>
              <w:t>1980</w:t>
            </w:r>
            <w:r>
              <w:rPr>
                <w:rFonts w:hint="eastAsia" w:ascii="Times New Roman" w:hAnsi="Times New Roman" w:eastAsia="宋体" w:cs="Times New Roman"/>
                <w:color w:val="auto"/>
                <w:szCs w:val="21"/>
                <w:lang w:val="zh-CN" w:eastAsia="zh-CN"/>
              </w:rPr>
              <w:t>及[2011]534号计取，采用差额定率累进计法计取。</w:t>
            </w:r>
            <w:r>
              <w:rPr>
                <w:rFonts w:hint="eastAsia" w:ascii="Times New Roman" w:hAnsi="Times New Roman" w:eastAsia="宋体" w:cs="Times New Roman"/>
                <w:color w:val="auto"/>
                <w:szCs w:val="21"/>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16.3</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投标人要求澄清招标文件的截止时间及方式</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同表10.2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19.1</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最高投标限价</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9159400.71</w:t>
            </w:r>
            <w:r>
              <w:rPr>
                <w:rFonts w:hint="eastAsia" w:ascii="Times New Roman" w:hAnsi="Times New Roman" w:eastAsia="宋体" w:cs="Times New Roman"/>
                <w:color w:val="auto"/>
                <w:szCs w:val="21"/>
                <w:lang w:eastAsia="zh-CN"/>
              </w:rPr>
              <w:t>元（</w:t>
            </w:r>
            <w:r>
              <w:rPr>
                <w:rFonts w:hint="eastAsia" w:ascii="Times New Roman" w:hAnsi="Times New Roman" w:cs="Times New Roman"/>
                <w:color w:val="auto"/>
                <w:szCs w:val="21"/>
                <w:lang w:eastAsia="zh-CN"/>
              </w:rPr>
              <w:t>玖佰壹拾伍万玖仟肆佰元柒角壹分</w:t>
            </w:r>
            <w:r>
              <w:rPr>
                <w:rFonts w:hint="eastAsia" w:ascii="Times New Roman" w:hAnsi="Times New Roman" w:eastAsia="宋体" w:cs="Times New Roman"/>
                <w:color w:val="auto"/>
                <w:szCs w:val="21"/>
                <w:lang w:eastAsia="zh-CN"/>
              </w:rPr>
              <w:t>），投标人报价不得高于最高限价。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961"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rFonts w:ascii="Times New Roman" w:hAnsi="Times New Roman"/>
                <w:color w:val="auto"/>
                <w:szCs w:val="21"/>
              </w:rPr>
              <w:t>21</w:t>
            </w:r>
          </w:p>
        </w:tc>
        <w:tc>
          <w:tcPr>
            <w:tcW w:w="1744"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投标时携带的</w:t>
            </w:r>
          </w:p>
          <w:p>
            <w:pPr>
              <w:pStyle w:val="17"/>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rFonts w:ascii="Times New Roman" w:hAnsi="Times New Roman"/>
                <w:color w:val="auto"/>
                <w:szCs w:val="21"/>
              </w:rPr>
              <w:t>原件</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投标时应携带相关证件、证书、证明原件（可携带有二维码识别验证的电子证复印件并加盖公章）以备查验：</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1.</w:t>
            </w:r>
            <w:r>
              <w:rPr>
                <w:rFonts w:hint="eastAsia" w:ascii="Times New Roman" w:hAnsi="Times New Roman" w:cs="Times New Roman"/>
                <w:color w:val="auto"/>
                <w:szCs w:val="21"/>
                <w:lang w:val="en-US" w:eastAsia="zh-CN"/>
              </w:rPr>
              <w:t>供应商</w:t>
            </w:r>
            <w:r>
              <w:rPr>
                <w:rFonts w:hint="eastAsia" w:ascii="Times New Roman" w:hAnsi="Times New Roman" w:eastAsia="宋体" w:cs="Times New Roman"/>
                <w:color w:val="auto"/>
                <w:szCs w:val="21"/>
                <w:lang w:eastAsia="zh-CN"/>
              </w:rPr>
              <w:t>应具有合格的三证合一企业法人营业执照；</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2.法人身份证明或法定代表人授权委托书及委托代理人身份证</w:t>
            </w:r>
            <w:r>
              <w:rPr>
                <w:rFonts w:hint="eastAsia" w:asciiTheme="minorEastAsia" w:hAnsiTheme="minorEastAsia" w:eastAsiaTheme="minorEastAsia" w:cstheme="minorEastAsia"/>
                <w:color w:val="auto"/>
                <w:szCs w:val="21"/>
                <w:lang w:val="en-US" w:eastAsia="zh-CN"/>
              </w:rPr>
              <w:t>。</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3.</w:t>
            </w:r>
            <w:r>
              <w:rPr>
                <w:rFonts w:hint="eastAsia" w:ascii="Times New Roman" w:hAnsi="Times New Roman" w:eastAsia="宋体" w:cs="Times New Roman"/>
                <w:color w:val="auto"/>
                <w:szCs w:val="21"/>
                <w:lang w:val="en-US" w:eastAsia="zh-CN"/>
              </w:rPr>
              <w:t>信誉要求：</w:t>
            </w:r>
            <w:r>
              <w:rPr>
                <w:rFonts w:hint="eastAsia" w:ascii="Times New Roman" w:hAnsi="Times New Roman" w:eastAsia="宋体" w:cs="Times New Roman"/>
                <w:color w:val="auto"/>
                <w:kern w:val="2"/>
                <w:sz w:val="21"/>
                <w:szCs w:val="21"/>
                <w:u w:color="000000"/>
                <w:lang w:val="en-US" w:eastAsia="zh-CN" w:bidi="ar-SA"/>
              </w:rPr>
              <w:t>投标人须提供在“信用中国”（www.creditchina.gov.cn）和中国政府采购网（www.ccgp.gov.cn）</w:t>
            </w:r>
            <w:r>
              <w:rPr>
                <w:rFonts w:hint="eastAsia" w:ascii="Times New Roman" w:hAnsi="Times New Roman" w:cs="Times New Roman"/>
                <w:color w:val="auto"/>
                <w:kern w:val="2"/>
                <w:sz w:val="21"/>
                <w:szCs w:val="21"/>
                <w:u w:color="000000"/>
                <w:lang w:val="en-US" w:eastAsia="zh-CN" w:bidi="ar-SA"/>
              </w:rPr>
              <w:t>网站、国家企业信用信息公示网站http://www.gsxt.gov.cn</w:t>
            </w:r>
            <w:r>
              <w:rPr>
                <w:rFonts w:hint="eastAsia" w:ascii="Times New Roman" w:hAnsi="Times New Roman" w:eastAsia="宋体" w:cs="Times New Roman"/>
                <w:color w:val="auto"/>
                <w:kern w:val="2"/>
                <w:sz w:val="21"/>
                <w:szCs w:val="21"/>
                <w:u w:color="000000"/>
                <w:lang w:val="en-US" w:eastAsia="zh-CN" w:bidi="ar-SA"/>
              </w:rPr>
              <w:t>上未被列入失信被执行人、重大税收违法案件当事人名单并下载信用报告以及政府采购严重违法失信行为记录名单的网页打印件（查询结果截图日期必须在发布公告日期之后且加盖公司公章当原件）。提供参加本次政府采购活动前三年内在经营活动中没有重大违纪，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6" w:hRule="atLeast"/>
          <w:jc w:val="center"/>
        </w:trPr>
        <w:tc>
          <w:tcPr>
            <w:tcW w:w="961"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23.1</w:t>
            </w:r>
          </w:p>
        </w:tc>
        <w:tc>
          <w:tcPr>
            <w:tcW w:w="1744"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投标有效期</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投标有效期为</w:t>
            </w:r>
            <w:r>
              <w:rPr>
                <w:rFonts w:hint="eastAsia" w:ascii="Times New Roman" w:hAnsi="Times New Roman" w:eastAsia="宋体" w:cs="Times New Roman"/>
                <w:color w:val="auto"/>
                <w:szCs w:val="21"/>
                <w:lang w:val="en-US" w:eastAsia="zh-CN"/>
              </w:rPr>
              <w:t>60</w:t>
            </w:r>
            <w:r>
              <w:rPr>
                <w:rFonts w:hint="eastAsia" w:ascii="Times New Roman" w:hAnsi="Times New Roman" w:eastAsia="宋体" w:cs="Times New Roman"/>
                <w:color w:val="auto"/>
                <w:szCs w:val="21"/>
                <w:lang w:eastAsia="zh-CN"/>
              </w:rPr>
              <w:t>日历天（从投标截止之日算起）。在此期限内，凡符合本招标文件要求的投标文件均保持有效。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color w:val="auto"/>
                <w:szCs w:val="21"/>
              </w:rPr>
              <w:t>24</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color w:val="auto"/>
                <w:szCs w:val="21"/>
              </w:rPr>
              <w:t>投标保证金</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24" w:hRule="atLeast"/>
          <w:jc w:val="center"/>
        </w:trPr>
        <w:tc>
          <w:tcPr>
            <w:tcW w:w="961"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25.1</w:t>
            </w:r>
          </w:p>
        </w:tc>
        <w:tc>
          <w:tcPr>
            <w:tcW w:w="1744"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投标文件数量</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纸质投标文件要求</w:t>
            </w:r>
            <w:r>
              <w:rPr>
                <w:rFonts w:hint="eastAsia" w:ascii="Times New Roman" w:hAnsi="Times New Roman" w:eastAsia="宋体" w:cs="Times New Roman"/>
                <w:color w:val="auto"/>
                <w:szCs w:val="21"/>
                <w:lang w:eastAsia="zh-CN"/>
              </w:rPr>
              <w:t>一式</w:t>
            </w:r>
            <w:r>
              <w:rPr>
                <w:rFonts w:hint="eastAsia" w:ascii="Times New Roman" w:hAnsi="Times New Roman" w:cs="Times New Roman"/>
                <w:color w:val="auto"/>
                <w:szCs w:val="21"/>
                <w:lang w:eastAsia="zh-CN"/>
              </w:rPr>
              <w:t>五</w:t>
            </w:r>
            <w:r>
              <w:rPr>
                <w:rFonts w:hint="eastAsia" w:ascii="Times New Roman" w:hAnsi="Times New Roman" w:eastAsia="宋体" w:cs="Times New Roman"/>
                <w:color w:val="auto"/>
                <w:szCs w:val="21"/>
                <w:lang w:eastAsia="zh-CN"/>
              </w:rPr>
              <w:t>份（正本壹份、副本</w:t>
            </w:r>
            <w:r>
              <w:rPr>
                <w:rFonts w:hint="eastAsia" w:ascii="Times New Roman" w:hAnsi="Times New Roman" w:cs="Times New Roman"/>
                <w:color w:val="auto"/>
                <w:szCs w:val="21"/>
                <w:lang w:eastAsia="zh-CN"/>
              </w:rPr>
              <w:t>肆</w:t>
            </w:r>
            <w:r>
              <w:rPr>
                <w:rFonts w:hint="eastAsia" w:ascii="Times New Roman" w:hAnsi="Times New Roman" w:eastAsia="宋体" w:cs="Times New Roman"/>
                <w:color w:val="auto"/>
                <w:szCs w:val="21"/>
                <w:lang w:eastAsia="zh-CN"/>
              </w:rPr>
              <w:t>份），开标一览表壹份。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7"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25.3</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签字或盖章要求</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须按格式文件要求签字或盖章。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2"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26.1</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装订要求</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响应文件不得以活页方式装订，必须为不可拆装的方式。活页装订为不响应磋商文件，将视为无效文件，废标处理。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44"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26.2.1</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具体密封</w:t>
            </w:r>
          </w:p>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要求</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投标文件正、副本密封为一包；开标一览表单独密封成一包，密封处签字盖章</w:t>
            </w:r>
            <w:r>
              <w:rPr>
                <w:rFonts w:hint="eastAsia" w:ascii="Times New Roman" w:hAnsi="Times New Roman" w:cs="Times New Roman"/>
                <w:color w:val="auto"/>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264"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26.2.2</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包装袋上应载明的信息</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投标人地址：</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 xml:space="preserve">投标人名称：                    </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（项目名称）            投标文件</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在投标截止前不得开启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4"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27.1</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投标文件提交截止时间及地点</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收件人：</w:t>
            </w:r>
            <w:r>
              <w:rPr>
                <w:rFonts w:hint="eastAsia" w:ascii="Times New Roman" w:hAnsi="Times New Roman" w:eastAsia="宋体" w:cs="Times New Roman"/>
                <w:color w:val="auto"/>
                <w:szCs w:val="21"/>
                <w:lang w:val="en-US" w:eastAsia="zh-CN"/>
              </w:rPr>
              <w:t>新疆喀大建设项目管理咨询有限公司</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时  间：</w:t>
            </w:r>
            <w:r>
              <w:rPr>
                <w:rFonts w:hint="eastAsia" w:ascii="Times New Roman" w:hAnsi="Times New Roman" w:cs="Times New Roman"/>
                <w:color w:val="auto"/>
                <w:szCs w:val="21"/>
                <w:lang w:eastAsia="zh-CN"/>
              </w:rPr>
              <w:t>202</w:t>
            </w:r>
            <w:r>
              <w:rPr>
                <w:rFonts w:hint="eastAsia" w:ascii="Times New Roman" w:hAnsi="Times New Roman" w:cs="Times New Roman"/>
                <w:color w:val="auto"/>
                <w:szCs w:val="21"/>
                <w:lang w:val="en-US" w:eastAsia="zh-CN"/>
              </w:rPr>
              <w:t>2</w:t>
            </w:r>
            <w:r>
              <w:rPr>
                <w:rFonts w:hint="eastAsia" w:ascii="Times New Roman" w:hAnsi="Times New Roman" w:cs="Times New Roman"/>
                <w:color w:val="auto"/>
                <w:szCs w:val="21"/>
                <w:lang w:eastAsia="zh-CN"/>
              </w:rPr>
              <w:t>年</w:t>
            </w:r>
            <w:r>
              <w:rPr>
                <w:rFonts w:hint="eastAsia" w:ascii="Times New Roman" w:hAnsi="Times New Roman" w:cs="Times New Roman"/>
                <w:color w:val="auto"/>
                <w:szCs w:val="21"/>
                <w:lang w:val="en-US" w:eastAsia="zh-CN"/>
              </w:rPr>
              <w:t>9</w:t>
            </w:r>
            <w:r>
              <w:rPr>
                <w:rFonts w:hint="eastAsia" w:ascii="Times New Roman" w:hAnsi="Times New Roman" w:cs="Times New Roman"/>
                <w:color w:val="auto"/>
                <w:szCs w:val="21"/>
                <w:lang w:eastAsia="zh-CN"/>
              </w:rPr>
              <w:t>月</w:t>
            </w:r>
            <w:r>
              <w:rPr>
                <w:rFonts w:hint="eastAsia" w:ascii="Times New Roman" w:hAnsi="Times New Roman" w:cs="Times New Roman"/>
                <w:color w:val="auto"/>
                <w:szCs w:val="21"/>
                <w:lang w:val="en-US" w:eastAsia="zh-CN"/>
              </w:rPr>
              <w:t>13</w:t>
            </w:r>
            <w:r>
              <w:rPr>
                <w:rFonts w:hint="eastAsia" w:ascii="Times New Roman" w:hAnsi="Times New Roman" w:cs="Times New Roman"/>
                <w:color w:val="auto"/>
                <w:szCs w:val="21"/>
                <w:lang w:eastAsia="zh-CN"/>
              </w:rPr>
              <w:t>日11时00分</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地  点：</w:t>
            </w:r>
            <w:r>
              <w:rPr>
                <w:rFonts w:hint="eastAsia" w:ascii="Times New Roman" w:hAnsi="Times New Roman" w:eastAsia="宋体" w:cs="Times New Roman"/>
                <w:color w:val="auto"/>
                <w:szCs w:val="21"/>
                <w:lang w:val="en-US" w:eastAsia="zh-CN"/>
              </w:rPr>
              <w:t>请使用移动CA数字证书或CA数字证书登录博州公共资源交易平台http://xzfw.xjboz.gov.cn/网上递交加密文件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29.1</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kern w:val="2"/>
                <w:szCs w:val="21"/>
              </w:rPr>
            </w:pPr>
            <w:r>
              <w:rPr>
                <w:color w:val="auto"/>
                <w:kern w:val="2"/>
                <w:szCs w:val="21"/>
              </w:rPr>
              <w:t>开标时间及地点</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时  间：</w:t>
            </w:r>
            <w:r>
              <w:rPr>
                <w:rFonts w:hint="eastAsia" w:ascii="Times New Roman" w:hAnsi="Times New Roman" w:cs="Times New Roman"/>
                <w:color w:val="auto"/>
                <w:szCs w:val="21"/>
                <w:lang w:eastAsia="zh-CN"/>
              </w:rPr>
              <w:t>202</w:t>
            </w:r>
            <w:r>
              <w:rPr>
                <w:rFonts w:hint="eastAsia" w:ascii="Times New Roman" w:hAnsi="Times New Roman" w:cs="Times New Roman"/>
                <w:color w:val="auto"/>
                <w:szCs w:val="21"/>
                <w:lang w:val="en-US" w:eastAsia="zh-CN"/>
              </w:rPr>
              <w:t>2</w:t>
            </w:r>
            <w:r>
              <w:rPr>
                <w:rFonts w:hint="eastAsia" w:ascii="Times New Roman" w:hAnsi="Times New Roman" w:cs="Times New Roman"/>
                <w:color w:val="auto"/>
                <w:szCs w:val="21"/>
                <w:lang w:eastAsia="zh-CN"/>
              </w:rPr>
              <w:t>年</w:t>
            </w:r>
            <w:r>
              <w:rPr>
                <w:rFonts w:hint="eastAsia" w:ascii="Times New Roman" w:hAnsi="Times New Roman" w:cs="Times New Roman"/>
                <w:color w:val="auto"/>
                <w:szCs w:val="21"/>
                <w:lang w:val="en-US" w:eastAsia="zh-CN"/>
              </w:rPr>
              <w:t>9</w:t>
            </w:r>
            <w:r>
              <w:rPr>
                <w:rFonts w:hint="eastAsia" w:ascii="Times New Roman" w:hAnsi="Times New Roman" w:cs="Times New Roman"/>
                <w:color w:val="auto"/>
                <w:szCs w:val="21"/>
                <w:lang w:eastAsia="zh-CN"/>
              </w:rPr>
              <w:t>月</w:t>
            </w:r>
            <w:r>
              <w:rPr>
                <w:rFonts w:hint="eastAsia" w:ascii="Times New Roman" w:hAnsi="Times New Roman" w:cs="Times New Roman"/>
                <w:color w:val="auto"/>
                <w:szCs w:val="21"/>
                <w:lang w:val="en-US" w:eastAsia="zh-CN"/>
              </w:rPr>
              <w:t>13</w:t>
            </w:r>
            <w:r>
              <w:rPr>
                <w:rFonts w:hint="eastAsia" w:ascii="Times New Roman" w:hAnsi="Times New Roman" w:cs="Times New Roman"/>
                <w:color w:val="auto"/>
                <w:szCs w:val="21"/>
                <w:lang w:eastAsia="zh-CN"/>
              </w:rPr>
              <w:t>日11时00分</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地  点：</w:t>
            </w:r>
            <w:r>
              <w:rPr>
                <w:rFonts w:hint="eastAsia" w:ascii="Times New Roman" w:hAnsi="Times New Roman" w:eastAsia="宋体" w:cs="Times New Roman"/>
                <w:color w:val="auto"/>
                <w:szCs w:val="21"/>
                <w:lang w:val="zh-CN" w:eastAsia="zh-CN"/>
              </w:rPr>
              <w:t>博州公共资源交易中心（锦绣路6号行政服务中心三楼）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1"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29.4</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kern w:val="2"/>
                <w:szCs w:val="21"/>
              </w:rPr>
            </w:pPr>
            <w:r>
              <w:rPr>
                <w:color w:val="auto"/>
                <w:kern w:val="2"/>
                <w:szCs w:val="21"/>
              </w:rPr>
              <w:t>开标程序</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投标文件密封情况检查：投标人或其推选的代表检查投标文件的密封情况。</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开标顺序：（</w:t>
            </w:r>
            <w:r>
              <w:rPr>
                <w:rFonts w:hint="eastAsia" w:ascii="Times New Roman" w:hAnsi="Times New Roman" w:eastAsia="宋体" w:cs="Times New Roman"/>
                <w:color w:val="auto"/>
                <w:szCs w:val="21"/>
                <w:lang w:val="en-US" w:eastAsia="zh-CN"/>
              </w:rPr>
              <w:t>1</w:t>
            </w:r>
            <w:r>
              <w:rPr>
                <w:rFonts w:hint="eastAsia" w:ascii="Times New Roman" w:hAnsi="Times New Roman" w:eastAsia="宋体" w:cs="Times New Roman"/>
                <w:color w:val="auto"/>
                <w:szCs w:val="21"/>
                <w:lang w:eastAsia="zh-CN"/>
              </w:rPr>
              <w:t>）公布在投标截止时间前递交投标文件的投标单位名称，并确认投标单位相关人员是否到场；</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（2）宣布开标人、唱标人、记录人、监标人等有关人员姓名，并宣读开标会议纪律和要求；</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（3）由投标单位或其推选的代表检查投标文件的密封情况；</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（4）招标人对各投标单位资格条件进行审查；</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（5）主持人宣布审查结果，招标人接受投标人质疑并复议；</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（6）宣布开标顺序并唱标；</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（7）评标委员会对各投标单位标书进行初评；</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（8）评标委员会对通过初审的标书进行评价和比较；</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（9）评标委员会根据需要要求有关投标人就投标文件进行澄清；</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（10）评标委员会根据评审结果推荐中标候选人，主持人宣布评审结果；</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（1</w:t>
            </w:r>
            <w:r>
              <w:rPr>
                <w:rFonts w:hint="eastAsia" w:ascii="Times New Roman" w:hAnsi="Times New Roman" w:eastAsia="宋体" w:cs="Times New Roman"/>
                <w:color w:val="auto"/>
                <w:szCs w:val="21"/>
                <w:lang w:val="en-US" w:eastAsia="zh-CN"/>
              </w:rPr>
              <w:t>1</w:t>
            </w:r>
            <w:r>
              <w:rPr>
                <w:rFonts w:hint="eastAsia" w:ascii="Times New Roman" w:hAnsi="Times New Roman" w:eastAsia="宋体" w:cs="Times New Roman"/>
                <w:color w:val="auto"/>
                <w:szCs w:val="21"/>
                <w:lang w:eastAsia="zh-CN"/>
              </w:rPr>
              <w:t>）有关人员在开标记录上签字确认；</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12</w:t>
            </w:r>
            <w:r>
              <w:rPr>
                <w:rFonts w:hint="eastAsia" w:ascii="Times New Roman" w:hAnsi="Times New Roman" w:eastAsia="宋体" w:cs="Times New Roman"/>
                <w:color w:val="auto"/>
                <w:szCs w:val="21"/>
                <w:lang w:eastAsia="zh-CN"/>
              </w:rPr>
              <w:t>）开标结束。</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74" w:hRule="atLeast"/>
          <w:jc w:val="center"/>
        </w:trPr>
        <w:tc>
          <w:tcPr>
            <w:tcW w:w="961"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30.1</w:t>
            </w:r>
          </w:p>
        </w:tc>
        <w:tc>
          <w:tcPr>
            <w:tcW w:w="1744"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评标委员会的</w:t>
            </w:r>
          </w:p>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组建</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评标委员会由专家</w:t>
            </w:r>
            <w:r>
              <w:rPr>
                <w:rFonts w:hint="eastAsia" w:ascii="Times New Roman" w:hAnsi="Times New Roman" w:eastAsia="宋体" w:cs="Times New Roman"/>
                <w:color w:val="auto"/>
                <w:szCs w:val="21"/>
                <w:lang w:val="en-US" w:eastAsia="zh-CN"/>
              </w:rPr>
              <w:t>5</w:t>
            </w:r>
            <w:r>
              <w:rPr>
                <w:rFonts w:hint="eastAsia" w:ascii="Times New Roman" w:hAnsi="Times New Roman" w:eastAsia="宋体" w:cs="Times New Roman"/>
                <w:color w:val="auto"/>
                <w:szCs w:val="21"/>
                <w:lang w:eastAsia="zh-CN"/>
              </w:rPr>
              <w:t>人组成；其中招标单位代表</w:t>
            </w:r>
            <w:r>
              <w:rPr>
                <w:rFonts w:hint="eastAsia" w:ascii="Times New Roman" w:hAnsi="Times New Roman" w:eastAsia="宋体" w:cs="Times New Roman"/>
                <w:color w:val="auto"/>
                <w:szCs w:val="21"/>
                <w:lang w:val="en-US" w:eastAsia="zh-CN"/>
              </w:rPr>
              <w:t>1</w:t>
            </w:r>
            <w:r>
              <w:rPr>
                <w:rFonts w:hint="eastAsia" w:ascii="Times New Roman" w:hAnsi="Times New Roman" w:eastAsia="宋体" w:cs="Times New Roman"/>
                <w:color w:val="auto"/>
                <w:szCs w:val="21"/>
                <w:lang w:eastAsia="zh-CN"/>
              </w:rPr>
              <w:t>人，专家</w:t>
            </w:r>
            <w:r>
              <w:rPr>
                <w:rFonts w:hint="eastAsia"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lang w:eastAsia="zh-CN"/>
              </w:rPr>
              <w:t>人</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评标专家确定方式：专家评委开标前从政采云专家库中随机抽取。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92" w:hRule="atLeast"/>
          <w:jc w:val="center"/>
        </w:trPr>
        <w:tc>
          <w:tcPr>
            <w:tcW w:w="961" w:type="dxa"/>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color w:val="auto"/>
                <w:szCs w:val="21"/>
              </w:rPr>
            </w:pPr>
            <w:r>
              <w:rPr>
                <w:rFonts w:ascii="Times New Roman" w:hAnsi="Times New Roman"/>
                <w:color w:val="auto"/>
                <w:szCs w:val="21"/>
              </w:rPr>
              <w:t>31.1</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是否授权评标委员会确定中标人</w:t>
            </w:r>
          </w:p>
        </w:tc>
        <w:tc>
          <w:tcPr>
            <w:tcW w:w="7316" w:type="dxa"/>
            <w:tcBorders>
              <w:bottom w:val="single" w:color="auto" w:sz="8" w:space="0"/>
            </w:tcBorders>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是，推荐的中标候选人数：3名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9"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32.1</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中标候选人</w:t>
            </w:r>
          </w:p>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公示媒介</w:t>
            </w:r>
          </w:p>
        </w:tc>
        <w:tc>
          <w:tcPr>
            <w:tcW w:w="7316" w:type="dxa"/>
            <w:tcBorders>
              <w:top w:val="single" w:color="auto" w:sz="8" w:space="0"/>
              <w:bottom w:val="single" w:color="auto" w:sz="8" w:space="0"/>
            </w:tcBorders>
            <w:vAlign w:val="center"/>
          </w:tcPr>
          <w:p>
            <w:pPr>
              <w:pStyle w:val="1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eastAsiaTheme="minorEastAsia"/>
                <w:color w:val="auto"/>
                <w:szCs w:val="21"/>
                <w:lang w:eastAsia="zh-CN"/>
              </w:rPr>
            </w:pPr>
            <w:r>
              <w:rPr>
                <w:rFonts w:hint="eastAsia" w:asciiTheme="minorEastAsia" w:hAnsiTheme="minorEastAsia" w:eastAsiaTheme="minorEastAsia" w:cstheme="minorEastAsia"/>
                <w:color w:val="auto"/>
                <w:kern w:val="0"/>
                <w:szCs w:val="21"/>
              </w:rPr>
              <w:t>新疆政府采购网（http://www.ccgp-xinjiang.gov.cn/）</w:t>
            </w:r>
            <w:r>
              <w:rPr>
                <w:rFonts w:hint="eastAsia" w:asciiTheme="minorEastAsia" w:hAnsiTheme="minorEastAsia" w:eastAsiaTheme="minorEastAsia" w:cstheme="minorEastAsia"/>
                <w:color w:val="auto"/>
                <w:kern w:val="0"/>
                <w:szCs w:val="21"/>
                <w:lang w:eastAsia="zh-CN"/>
              </w:rPr>
              <w:t>、博州公共资源交易网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2"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33.1</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中标通知书</w:t>
            </w:r>
          </w:p>
        </w:tc>
        <w:tc>
          <w:tcPr>
            <w:tcW w:w="7316" w:type="dxa"/>
            <w:tcBorders>
              <w:top w:val="single" w:color="auto" w:sz="8" w:space="0"/>
            </w:tcBorders>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中标通知书须加盖招标人公章后方可发出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3"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34.1</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付款方式</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双方签订合同时约定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3"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rFonts w:hint="eastAsia"/>
                <w:color w:val="auto"/>
                <w:szCs w:val="21"/>
                <w:lang w:val="en-US" w:eastAsia="zh-CN"/>
              </w:rPr>
              <w:t>35</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rFonts w:hint="eastAsia" w:ascii="Times New Roman" w:hAnsi="Times New Roman" w:eastAsia="宋体" w:cs="Times New Roman"/>
                <w:color w:val="auto"/>
                <w:kern w:val="2"/>
                <w:sz w:val="21"/>
                <w:szCs w:val="21"/>
                <w:u w:color="000000"/>
                <w:lang w:val="en-US" w:eastAsia="zh-CN" w:bidi="ar-SA"/>
              </w:rPr>
              <w:t>付款步骤</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2"/>
                <w:sz w:val="21"/>
                <w:szCs w:val="21"/>
                <w:u w:color="000000"/>
                <w:lang w:val="en-US" w:eastAsia="zh-CN" w:bidi="ar-SA"/>
              </w:rPr>
              <w:t>签订合同即日起预付款30%，完成任务的80%付进度款50%，验收审计后付17%。预留3%苗木质保金。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8"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eastAsia="宋体"/>
                <w:color w:val="auto"/>
                <w:szCs w:val="21"/>
                <w:lang w:val="en-US" w:eastAsia="zh-CN"/>
              </w:rPr>
            </w:pPr>
            <w:r>
              <w:rPr>
                <w:rFonts w:hint="eastAsia"/>
                <w:color w:val="auto"/>
                <w:szCs w:val="21"/>
                <w:lang w:val="en-US" w:eastAsia="zh-CN"/>
              </w:rPr>
              <w:t>36</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szCs w:val="21"/>
              </w:rPr>
            </w:pPr>
            <w:r>
              <w:rPr>
                <w:color w:val="auto"/>
                <w:szCs w:val="21"/>
              </w:rPr>
              <w:t>履约保证金</w:t>
            </w:r>
          </w:p>
        </w:tc>
        <w:tc>
          <w:tcPr>
            <w:tcW w:w="7316"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 xml:space="preserve">履约担保的形式：履约保函或现金 </w:t>
            </w:r>
          </w:p>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履约担保的金额：</w:t>
            </w:r>
            <w:r>
              <w:rPr>
                <w:rFonts w:hint="eastAsia" w:ascii="Times New Roman" w:hAnsi="Times New Roman" w:cs="Times New Roman"/>
                <w:color w:val="auto"/>
                <w:szCs w:val="21"/>
                <w:lang w:val="en-US" w:eastAsia="zh-CN"/>
              </w:rPr>
              <w:t>/</w:t>
            </w:r>
          </w:p>
        </w:tc>
      </w:tr>
    </w:tbl>
    <w:p>
      <w:pPr>
        <w:spacing w:line="360" w:lineRule="auto"/>
        <w:rPr>
          <w:color w:val="auto"/>
        </w:rPr>
      </w:pPr>
      <w:r>
        <w:rPr>
          <w:color w:val="auto"/>
        </w:rPr>
        <w:t>本须知前附表的条款</w:t>
      </w:r>
      <w:r>
        <w:rPr>
          <w:color w:val="auto"/>
          <w:szCs w:val="22"/>
        </w:rPr>
        <w:t>号是与《投标人须知》中条款</w:t>
      </w:r>
      <w:r>
        <w:rPr>
          <w:color w:val="auto"/>
        </w:rPr>
        <w:t>的项目相对应的。如果有矛盾，应以本须知前附表为准。</w:t>
      </w:r>
    </w:p>
    <w:p>
      <w:pPr>
        <w:spacing w:beforeLines="50" w:afterLines="50" w:line="360" w:lineRule="auto"/>
        <w:jc w:val="both"/>
        <w:outlineLvl w:val="1"/>
        <w:rPr>
          <w:b/>
          <w:color w:val="auto"/>
          <w:sz w:val="32"/>
          <w:szCs w:val="32"/>
        </w:rPr>
      </w:pPr>
    </w:p>
    <w:p>
      <w:pPr>
        <w:spacing w:beforeLines="50" w:afterLines="50" w:line="360" w:lineRule="auto"/>
        <w:jc w:val="center"/>
        <w:outlineLvl w:val="1"/>
        <w:rPr>
          <w:b/>
          <w:color w:val="auto"/>
          <w:sz w:val="32"/>
          <w:szCs w:val="32"/>
        </w:rPr>
      </w:pPr>
    </w:p>
    <w:p>
      <w:pPr>
        <w:spacing w:beforeLines="50" w:afterLines="50" w:line="360" w:lineRule="auto"/>
        <w:jc w:val="center"/>
        <w:outlineLvl w:val="1"/>
        <w:rPr>
          <w:b/>
          <w:color w:val="auto"/>
          <w:sz w:val="32"/>
          <w:szCs w:val="32"/>
        </w:rPr>
      </w:pPr>
    </w:p>
    <w:p>
      <w:pPr>
        <w:spacing w:beforeLines="50" w:afterLines="50" w:line="360" w:lineRule="auto"/>
        <w:jc w:val="center"/>
        <w:outlineLvl w:val="1"/>
        <w:rPr>
          <w:b/>
          <w:color w:val="auto"/>
          <w:sz w:val="32"/>
          <w:szCs w:val="32"/>
        </w:rPr>
      </w:pPr>
    </w:p>
    <w:p>
      <w:pPr>
        <w:spacing w:beforeLines="50" w:afterLines="50" w:line="360" w:lineRule="auto"/>
        <w:jc w:val="center"/>
        <w:outlineLvl w:val="1"/>
        <w:rPr>
          <w:b/>
          <w:color w:val="auto"/>
          <w:sz w:val="32"/>
          <w:szCs w:val="32"/>
        </w:rPr>
      </w:pPr>
    </w:p>
    <w:p>
      <w:pPr>
        <w:spacing w:beforeLines="50" w:afterLines="50" w:line="360" w:lineRule="auto"/>
        <w:jc w:val="center"/>
        <w:outlineLvl w:val="1"/>
        <w:rPr>
          <w:b/>
          <w:color w:val="auto"/>
          <w:sz w:val="32"/>
          <w:szCs w:val="32"/>
        </w:rPr>
      </w:pPr>
    </w:p>
    <w:p>
      <w:pPr>
        <w:spacing w:beforeLines="50" w:afterLines="50" w:line="360" w:lineRule="auto"/>
        <w:jc w:val="center"/>
        <w:outlineLvl w:val="1"/>
        <w:rPr>
          <w:b/>
          <w:color w:val="auto"/>
          <w:sz w:val="32"/>
          <w:szCs w:val="32"/>
        </w:rPr>
      </w:pPr>
    </w:p>
    <w:p>
      <w:pPr>
        <w:spacing w:beforeLines="50" w:afterLines="50" w:line="360" w:lineRule="auto"/>
        <w:jc w:val="center"/>
        <w:outlineLvl w:val="1"/>
        <w:rPr>
          <w:b/>
          <w:color w:val="auto"/>
          <w:sz w:val="32"/>
          <w:szCs w:val="32"/>
        </w:rPr>
      </w:pPr>
    </w:p>
    <w:p>
      <w:pPr>
        <w:spacing w:beforeLines="50" w:afterLines="50" w:line="360" w:lineRule="auto"/>
        <w:jc w:val="center"/>
        <w:outlineLvl w:val="1"/>
        <w:rPr>
          <w:b/>
          <w:color w:val="auto"/>
          <w:sz w:val="32"/>
          <w:szCs w:val="32"/>
        </w:rPr>
      </w:pPr>
    </w:p>
    <w:p>
      <w:pPr>
        <w:spacing w:beforeLines="50" w:afterLines="50" w:line="360" w:lineRule="auto"/>
        <w:jc w:val="center"/>
        <w:outlineLvl w:val="1"/>
        <w:rPr>
          <w:b/>
          <w:color w:val="auto"/>
          <w:sz w:val="32"/>
          <w:szCs w:val="32"/>
        </w:rPr>
      </w:pPr>
    </w:p>
    <w:p>
      <w:pPr>
        <w:spacing w:beforeLines="50" w:afterLines="50" w:line="360" w:lineRule="auto"/>
        <w:jc w:val="center"/>
        <w:outlineLvl w:val="1"/>
        <w:rPr>
          <w:b/>
          <w:color w:val="auto"/>
          <w:sz w:val="32"/>
          <w:szCs w:val="32"/>
        </w:rPr>
      </w:pPr>
    </w:p>
    <w:p>
      <w:pPr>
        <w:spacing w:beforeLines="50" w:afterLines="50" w:line="360" w:lineRule="auto"/>
        <w:jc w:val="center"/>
        <w:outlineLvl w:val="1"/>
        <w:rPr>
          <w:b/>
          <w:color w:val="auto"/>
          <w:sz w:val="32"/>
          <w:szCs w:val="32"/>
        </w:rPr>
      </w:pPr>
    </w:p>
    <w:p>
      <w:pPr>
        <w:spacing w:beforeLines="50" w:afterLines="50" w:line="360" w:lineRule="auto"/>
        <w:jc w:val="center"/>
        <w:outlineLvl w:val="1"/>
        <w:rPr>
          <w:b/>
          <w:color w:val="auto"/>
          <w:sz w:val="32"/>
          <w:szCs w:val="32"/>
        </w:rPr>
      </w:pPr>
    </w:p>
    <w:p>
      <w:pPr>
        <w:spacing w:beforeLines="50" w:afterLines="50" w:line="360" w:lineRule="auto"/>
        <w:jc w:val="center"/>
        <w:outlineLvl w:val="1"/>
        <w:rPr>
          <w:b/>
          <w:color w:val="auto"/>
          <w:sz w:val="32"/>
          <w:szCs w:val="32"/>
        </w:rPr>
      </w:pPr>
    </w:p>
    <w:p>
      <w:pPr>
        <w:spacing w:beforeLines="50" w:afterLines="50" w:line="360" w:lineRule="auto"/>
        <w:jc w:val="center"/>
        <w:outlineLvl w:val="1"/>
        <w:rPr>
          <w:b/>
          <w:color w:val="auto"/>
          <w:sz w:val="32"/>
          <w:szCs w:val="32"/>
        </w:rPr>
      </w:pPr>
    </w:p>
    <w:p>
      <w:pPr>
        <w:spacing w:beforeLines="50" w:afterLines="50" w:line="360" w:lineRule="auto"/>
        <w:jc w:val="center"/>
        <w:outlineLvl w:val="1"/>
        <w:rPr>
          <w:b/>
          <w:color w:val="auto"/>
          <w:sz w:val="32"/>
          <w:szCs w:val="32"/>
        </w:rPr>
      </w:pPr>
    </w:p>
    <w:p>
      <w:pPr>
        <w:spacing w:beforeLines="50" w:afterLines="50" w:line="360" w:lineRule="auto"/>
        <w:jc w:val="center"/>
        <w:outlineLvl w:val="1"/>
        <w:rPr>
          <w:b/>
          <w:color w:val="auto"/>
          <w:sz w:val="32"/>
          <w:szCs w:val="32"/>
        </w:rPr>
      </w:pPr>
      <w:r>
        <w:rPr>
          <w:b/>
          <w:color w:val="auto"/>
          <w:sz w:val="32"/>
          <w:szCs w:val="32"/>
        </w:rPr>
        <w:t>二、投标人须知</w:t>
      </w:r>
      <w:bookmarkEnd w:id="25"/>
    </w:p>
    <w:p>
      <w:pPr>
        <w:spacing w:beforeLines="50" w:afterLines="50" w:line="360" w:lineRule="auto"/>
        <w:jc w:val="center"/>
        <w:outlineLvl w:val="2"/>
        <w:rPr>
          <w:color w:val="auto"/>
          <w:sz w:val="28"/>
          <w:szCs w:val="28"/>
        </w:rPr>
      </w:pPr>
      <w:bookmarkStart w:id="26" w:name="_Toc7656"/>
      <w:r>
        <w:rPr>
          <w:b/>
          <w:color w:val="auto"/>
          <w:sz w:val="28"/>
          <w:szCs w:val="28"/>
        </w:rPr>
        <w:t>（一）总  则</w:t>
      </w:r>
      <w:bookmarkEnd w:id="26"/>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定义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下列术语和缩写的定义为：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eastAsia="zh-CN"/>
        </w:rPr>
        <w:t>采购人</w:t>
      </w:r>
      <w:r>
        <w:rPr>
          <w:rFonts w:hint="eastAsia" w:ascii="宋体" w:hAnsi="宋体" w:eastAsia="宋体" w:cs="宋体"/>
          <w:sz w:val="24"/>
          <w:szCs w:val="24"/>
        </w:rPr>
        <w:t>：是指提出国内采购货物、服务的国家机关、企业、事业单位或其它组织。本</w:t>
      </w:r>
      <w:r>
        <w:rPr>
          <w:rFonts w:hint="eastAsia" w:ascii="宋体" w:hAnsi="宋体" w:eastAsia="宋体" w:cs="宋体"/>
          <w:sz w:val="24"/>
          <w:szCs w:val="24"/>
          <w:lang w:eastAsia="zh-CN"/>
        </w:rPr>
        <w:t>磋商</w:t>
      </w:r>
      <w:r>
        <w:rPr>
          <w:rFonts w:hint="eastAsia" w:ascii="宋体" w:hAnsi="宋体" w:eastAsia="宋体" w:cs="宋体"/>
          <w:sz w:val="24"/>
          <w:szCs w:val="24"/>
        </w:rPr>
        <w:t>文件中</w:t>
      </w:r>
      <w:r>
        <w:rPr>
          <w:rFonts w:hint="eastAsia" w:ascii="宋体" w:hAnsi="宋体" w:eastAsia="宋体" w:cs="宋体"/>
          <w:sz w:val="24"/>
          <w:szCs w:val="24"/>
          <w:lang w:eastAsia="zh-CN"/>
        </w:rPr>
        <w:t>采购人</w:t>
      </w:r>
      <w:r>
        <w:rPr>
          <w:rFonts w:hint="eastAsia" w:ascii="宋体" w:hAnsi="宋体" w:eastAsia="宋体" w:cs="宋体"/>
          <w:sz w:val="24"/>
          <w:szCs w:val="24"/>
        </w:rPr>
        <w:t>指“</w:t>
      </w:r>
      <w:r>
        <w:rPr>
          <w:rFonts w:hint="eastAsia" w:ascii="宋体" w:hAnsi="宋体" w:eastAsia="宋体" w:cs="宋体"/>
          <w:b/>
          <w:bCs/>
          <w:sz w:val="24"/>
          <w:szCs w:val="24"/>
          <w:lang w:val="en-US" w:eastAsia="zh-CN"/>
        </w:rPr>
        <w:t>温泉县自然资源局</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2.2  采购机构：代理机构是指依照国家有关部门的管理规定，依法设立并取得招标资格证书、从事招标代理业务的中介组织。本</w:t>
      </w:r>
      <w:r>
        <w:rPr>
          <w:rFonts w:hint="eastAsia" w:ascii="宋体" w:hAnsi="宋体" w:eastAsia="宋体" w:cs="宋体"/>
          <w:sz w:val="24"/>
          <w:szCs w:val="24"/>
          <w:lang w:eastAsia="zh-CN"/>
        </w:rPr>
        <w:t>磋商</w:t>
      </w:r>
      <w:r>
        <w:rPr>
          <w:rFonts w:hint="eastAsia" w:ascii="宋体" w:hAnsi="宋体" w:eastAsia="宋体" w:cs="宋体"/>
          <w:sz w:val="24"/>
          <w:szCs w:val="24"/>
        </w:rPr>
        <w:t>文件中采购机构是指“</w:t>
      </w:r>
      <w:r>
        <w:rPr>
          <w:rFonts w:hint="eastAsia" w:ascii="宋体" w:hAnsi="宋体" w:eastAsia="宋体" w:cs="宋体"/>
          <w:b/>
          <w:bCs/>
          <w:sz w:val="24"/>
          <w:szCs w:val="24"/>
          <w:lang w:val="en-US" w:eastAsia="zh-CN"/>
        </w:rPr>
        <w:t>新疆喀大建设项目管理咨询有限公司</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投标</w:t>
      </w:r>
      <w:r>
        <w:rPr>
          <w:rFonts w:hint="eastAsia" w:ascii="宋体" w:hAnsi="宋体" w:eastAsia="宋体" w:cs="宋体"/>
          <w:sz w:val="24"/>
          <w:szCs w:val="24"/>
        </w:rPr>
        <w:t>文件”系指投标人为响应</w:t>
      </w:r>
      <w:r>
        <w:rPr>
          <w:rFonts w:hint="eastAsia" w:ascii="宋体" w:hAnsi="宋体" w:eastAsia="宋体" w:cs="宋体"/>
          <w:sz w:val="24"/>
          <w:szCs w:val="24"/>
          <w:lang w:eastAsia="zh-CN"/>
        </w:rPr>
        <w:t>磋商</w:t>
      </w:r>
      <w:r>
        <w:rPr>
          <w:rFonts w:hint="eastAsia" w:ascii="宋体" w:hAnsi="宋体" w:eastAsia="宋体" w:cs="宋体"/>
          <w:sz w:val="24"/>
          <w:szCs w:val="24"/>
        </w:rPr>
        <w:t>文件而编制、递交的投标文件。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2.3  采购方：采购方是指</w:t>
      </w:r>
      <w:r>
        <w:rPr>
          <w:rFonts w:hint="eastAsia" w:ascii="宋体" w:hAnsi="宋体" w:eastAsia="宋体" w:cs="宋体"/>
          <w:sz w:val="24"/>
          <w:szCs w:val="24"/>
          <w:lang w:eastAsia="zh-CN"/>
        </w:rPr>
        <w:t>采购人</w:t>
      </w:r>
      <w:r>
        <w:rPr>
          <w:rFonts w:hint="eastAsia" w:ascii="宋体" w:hAnsi="宋体" w:eastAsia="宋体" w:cs="宋体"/>
          <w:sz w:val="24"/>
          <w:szCs w:val="24"/>
        </w:rPr>
        <w:t>和代理机构。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2.4  “货物”系指</w:t>
      </w:r>
      <w:r>
        <w:rPr>
          <w:rFonts w:hint="eastAsia" w:ascii="宋体" w:hAnsi="宋体" w:eastAsia="宋体" w:cs="宋体"/>
          <w:sz w:val="24"/>
          <w:szCs w:val="24"/>
          <w:lang w:eastAsia="zh-CN"/>
        </w:rPr>
        <w:t>磋商</w:t>
      </w:r>
      <w:r>
        <w:rPr>
          <w:rFonts w:hint="eastAsia" w:ascii="宋体" w:hAnsi="宋体" w:eastAsia="宋体" w:cs="宋体"/>
          <w:sz w:val="24"/>
          <w:szCs w:val="24"/>
        </w:rPr>
        <w:t>文件规定的，供应商须向采购方提供的一切</w:t>
      </w:r>
      <w:r>
        <w:rPr>
          <w:rFonts w:hint="eastAsia" w:ascii="宋体" w:hAnsi="宋体" w:eastAsia="宋体" w:cs="宋体"/>
          <w:sz w:val="24"/>
          <w:szCs w:val="24"/>
          <w:lang w:eastAsia="zh-CN"/>
        </w:rPr>
        <w:t>产品或设备</w:t>
      </w:r>
      <w:r>
        <w:rPr>
          <w:rFonts w:hint="eastAsia" w:ascii="宋体" w:hAnsi="宋体" w:eastAsia="宋体" w:cs="宋体"/>
          <w:sz w:val="24"/>
          <w:szCs w:val="24"/>
        </w:rPr>
        <w:t>、附件、备品备件、工具、手册及其它有关资料和材料。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2.5  “服务”系指根据本合同规定卖方必须承担的安装、调试、技术协助、 技术培训以及其他类似的附随义务。</w:t>
      </w:r>
    </w:p>
    <w:p>
      <w:pPr>
        <w:spacing w:line="360" w:lineRule="auto"/>
        <w:ind w:firstLine="468" w:firstLineChars="195"/>
        <w:rPr>
          <w:rFonts w:hint="eastAsia"/>
          <w:b w:val="0"/>
          <w:bCs/>
          <w:color w:val="auto"/>
          <w:sz w:val="24"/>
          <w:szCs w:val="24"/>
          <w:lang w:val="en-US" w:eastAsia="zh-CN"/>
        </w:rPr>
      </w:pPr>
      <w:r>
        <w:rPr>
          <w:rFonts w:hint="eastAsia" w:ascii="宋体" w:hAnsi="宋体" w:eastAsia="宋体" w:cs="宋体"/>
          <w:sz w:val="24"/>
          <w:szCs w:val="24"/>
          <w:lang w:bidi="zh-CN"/>
        </w:rPr>
        <w:t>2.6  “附随服务”系指根据本合同规定卖方必须承担与货物有关的辅助服务， 如送货上门、免费维护以及合同中规定卖方应承担的义务，以及合同中未规定， 但依有利于合同履行原则，应当由卖方承担的其它义务。</w:t>
      </w:r>
    </w:p>
    <w:p>
      <w:pPr>
        <w:numPr>
          <w:ilvl w:val="0"/>
          <w:numId w:val="3"/>
        </w:numPr>
        <w:snapToGrid w:val="0"/>
        <w:spacing w:line="360" w:lineRule="auto"/>
        <w:ind w:firstLine="482" w:firstLineChars="200"/>
        <w:rPr>
          <w:b/>
          <w:color w:val="auto"/>
          <w:sz w:val="24"/>
          <w:szCs w:val="24"/>
        </w:rPr>
      </w:pPr>
      <w:r>
        <w:rPr>
          <w:b/>
          <w:color w:val="auto"/>
          <w:sz w:val="24"/>
          <w:szCs w:val="24"/>
        </w:rPr>
        <w:t>招标范围</w:t>
      </w:r>
    </w:p>
    <w:p>
      <w:pPr>
        <w:spacing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2.1</w:t>
      </w:r>
      <w:r>
        <w:rPr>
          <w:rFonts w:hint="eastAsia" w:cs="Times New Roman"/>
          <w:b w:val="0"/>
          <w:bCs/>
          <w:color w:val="auto"/>
          <w:sz w:val="24"/>
          <w:szCs w:val="24"/>
          <w:lang w:val="en-US" w:eastAsia="zh-CN"/>
        </w:rPr>
        <w:t>采购</w:t>
      </w:r>
      <w:r>
        <w:rPr>
          <w:rFonts w:hint="eastAsia" w:ascii="Times New Roman" w:hAnsi="Times New Roman" w:eastAsia="宋体" w:cs="Times New Roman"/>
          <w:b w:val="0"/>
          <w:bCs/>
          <w:color w:val="auto"/>
          <w:sz w:val="24"/>
          <w:szCs w:val="24"/>
          <w:lang w:val="en-US" w:eastAsia="zh-CN"/>
        </w:rPr>
        <w:t>内容：</w:t>
      </w:r>
      <w:r>
        <w:rPr>
          <w:rFonts w:hint="eastAsia" w:ascii="宋体" w:hAnsi="宋体" w:eastAsia="宋体" w:cs="宋体"/>
          <w:sz w:val="24"/>
          <w:szCs w:val="24"/>
          <w:lang w:val="en-US" w:eastAsia="zh-CN"/>
        </w:rPr>
        <w:t>实施位于博尔塔拉河温泉段河谷林区域</w:t>
      </w:r>
      <w:r>
        <w:rPr>
          <w:rFonts w:hint="default" w:ascii="宋体" w:hAnsi="宋体" w:eastAsia="宋体" w:cs="宋体"/>
          <w:sz w:val="24"/>
          <w:szCs w:val="24"/>
          <w:lang w:val="en-US" w:eastAsia="zh-CN"/>
        </w:rPr>
        <w:t>退化林修复14791亩</w:t>
      </w:r>
      <w:r>
        <w:rPr>
          <w:rFonts w:hint="eastAsia" w:ascii="宋体" w:hAnsi="宋体" w:eastAsia="宋体" w:cs="宋体"/>
          <w:sz w:val="24"/>
          <w:szCs w:val="24"/>
          <w:lang w:val="en-US" w:eastAsia="zh-CN"/>
        </w:rPr>
        <w:t>，详见采购文件</w:t>
      </w:r>
      <w:r>
        <w:rPr>
          <w:rFonts w:hint="eastAsia" w:ascii="宋体" w:hAnsi="宋体" w:cs="宋体"/>
          <w:sz w:val="24"/>
          <w:szCs w:val="24"/>
          <w:lang w:val="en-US" w:eastAsia="zh-CN"/>
        </w:rPr>
        <w:t>。</w:t>
      </w:r>
    </w:p>
    <w:p>
      <w:pPr>
        <w:spacing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2.2技术要求：详见招标文件第四章采购内容及技术参数要求。</w:t>
      </w:r>
    </w:p>
    <w:p>
      <w:pPr>
        <w:numPr>
          <w:ilvl w:val="0"/>
          <w:numId w:val="3"/>
        </w:numPr>
        <w:snapToGrid w:val="0"/>
        <w:spacing w:line="360" w:lineRule="auto"/>
        <w:ind w:left="0" w:leftChars="0" w:firstLine="482" w:firstLineChars="200"/>
        <w:rPr>
          <w:b/>
          <w:color w:val="auto"/>
          <w:sz w:val="24"/>
          <w:szCs w:val="24"/>
        </w:rPr>
      </w:pPr>
      <w:r>
        <w:rPr>
          <w:b/>
          <w:color w:val="auto"/>
          <w:sz w:val="24"/>
          <w:szCs w:val="24"/>
        </w:rPr>
        <w:t>标段划分</w:t>
      </w:r>
    </w:p>
    <w:p>
      <w:pPr>
        <w:numPr>
          <w:ilvl w:val="0"/>
          <w:numId w:val="3"/>
        </w:numPr>
        <w:snapToGrid w:val="0"/>
        <w:spacing w:line="360" w:lineRule="auto"/>
        <w:ind w:left="0" w:leftChars="0" w:firstLine="482" w:firstLineChars="200"/>
        <w:rPr>
          <w:rFonts w:hint="eastAsia" w:eastAsia="宋体"/>
          <w:b/>
          <w:color w:val="auto"/>
          <w:sz w:val="24"/>
          <w:szCs w:val="24"/>
          <w:lang w:val="en-US" w:eastAsia="zh-CN"/>
        </w:rPr>
      </w:pPr>
      <w:r>
        <w:rPr>
          <w:b/>
          <w:color w:val="auto"/>
          <w:sz w:val="24"/>
          <w:szCs w:val="24"/>
        </w:rPr>
        <w:t>招标方式：</w:t>
      </w:r>
      <w:r>
        <w:rPr>
          <w:rFonts w:hint="eastAsia"/>
          <w:b/>
          <w:color w:val="auto"/>
          <w:sz w:val="24"/>
          <w:szCs w:val="24"/>
          <w:lang w:val="en-US" w:eastAsia="zh-CN"/>
        </w:rPr>
        <w:t xml:space="preserve"> </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4.1本项目招标方式：公开招标。</w:t>
      </w:r>
    </w:p>
    <w:p>
      <w:pPr>
        <w:numPr>
          <w:ilvl w:val="0"/>
          <w:numId w:val="3"/>
        </w:numPr>
        <w:snapToGrid w:val="0"/>
        <w:spacing w:line="360" w:lineRule="auto"/>
        <w:ind w:left="0" w:leftChars="0" w:firstLine="482" w:firstLineChars="200"/>
        <w:rPr>
          <w:b/>
          <w:color w:val="auto"/>
          <w:sz w:val="24"/>
          <w:szCs w:val="24"/>
        </w:rPr>
      </w:pPr>
      <w:r>
        <w:rPr>
          <w:b/>
          <w:color w:val="auto"/>
          <w:sz w:val="24"/>
          <w:szCs w:val="24"/>
        </w:rPr>
        <w:t>计价方式：</w:t>
      </w:r>
    </w:p>
    <w:p>
      <w:pPr>
        <w:spacing w:line="360" w:lineRule="auto"/>
        <w:ind w:firstLine="468" w:firstLineChars="195"/>
        <w:rPr>
          <w:rFonts w:hint="eastAsia"/>
          <w:b w:val="0"/>
          <w:bCs/>
          <w:color w:val="auto"/>
          <w:sz w:val="24"/>
          <w:szCs w:val="24"/>
          <w:lang w:eastAsia="zh-CN"/>
        </w:rPr>
      </w:pPr>
      <w:r>
        <w:rPr>
          <w:color w:val="auto"/>
          <w:sz w:val="24"/>
          <w:szCs w:val="24"/>
        </w:rPr>
        <w:t>5.1本次招标项目合同采用</w:t>
      </w:r>
      <w:r>
        <w:rPr>
          <w:color w:val="auto"/>
          <w:sz w:val="24"/>
          <w:szCs w:val="24"/>
          <w:u w:val="single"/>
        </w:rPr>
        <w:t xml:space="preserve">  /</w:t>
      </w:r>
      <w:r>
        <w:rPr>
          <w:rFonts w:hint="eastAsia"/>
          <w:color w:val="auto"/>
          <w:sz w:val="24"/>
          <w:szCs w:val="24"/>
          <w:u w:val="single"/>
          <w:lang w:val="en-US" w:eastAsia="zh-CN"/>
        </w:rPr>
        <w:t xml:space="preserve"> </w:t>
      </w:r>
      <w:r>
        <w:rPr>
          <w:color w:val="auto"/>
          <w:sz w:val="24"/>
          <w:szCs w:val="24"/>
          <w:u w:val="single"/>
        </w:rPr>
        <w:t xml:space="preserve"> </w:t>
      </w:r>
      <w:r>
        <w:rPr>
          <w:color w:val="auto"/>
          <w:sz w:val="24"/>
          <w:szCs w:val="24"/>
        </w:rPr>
        <w:t>。</w:t>
      </w:r>
    </w:p>
    <w:p>
      <w:pPr>
        <w:numPr>
          <w:ilvl w:val="0"/>
          <w:numId w:val="4"/>
        </w:numPr>
        <w:snapToGrid w:val="0"/>
        <w:spacing w:line="360" w:lineRule="auto"/>
        <w:ind w:firstLine="482" w:firstLineChars="200"/>
        <w:rPr>
          <w:b/>
          <w:color w:val="auto"/>
          <w:sz w:val="24"/>
          <w:szCs w:val="24"/>
        </w:rPr>
      </w:pPr>
      <w:r>
        <w:rPr>
          <w:b/>
          <w:color w:val="auto"/>
          <w:sz w:val="24"/>
          <w:szCs w:val="24"/>
        </w:rPr>
        <w:t>评标办法：</w:t>
      </w:r>
    </w:p>
    <w:p>
      <w:pPr>
        <w:spacing w:line="360" w:lineRule="auto"/>
        <w:ind w:firstLine="468" w:firstLineChars="195"/>
        <w:rPr>
          <w:color w:val="auto"/>
          <w:sz w:val="24"/>
          <w:szCs w:val="24"/>
        </w:rPr>
      </w:pPr>
      <w:r>
        <w:rPr>
          <w:color w:val="auto"/>
          <w:sz w:val="24"/>
          <w:szCs w:val="24"/>
        </w:rPr>
        <w:t>6.1本次招标评标采用</w:t>
      </w:r>
      <w:r>
        <w:rPr>
          <w:color w:val="auto"/>
          <w:sz w:val="24"/>
          <w:szCs w:val="24"/>
          <w:u w:val="single"/>
        </w:rPr>
        <w:t xml:space="preserve">  综合评分法 </w:t>
      </w:r>
      <w:r>
        <w:rPr>
          <w:color w:val="auto"/>
          <w:sz w:val="24"/>
          <w:szCs w:val="24"/>
        </w:rPr>
        <w:t>（详见第三章评标办法）</w:t>
      </w:r>
    </w:p>
    <w:p>
      <w:pPr>
        <w:numPr>
          <w:ilvl w:val="0"/>
          <w:numId w:val="5"/>
        </w:numPr>
        <w:snapToGrid w:val="0"/>
        <w:spacing w:line="360" w:lineRule="auto"/>
        <w:ind w:firstLine="482" w:firstLineChars="200"/>
        <w:rPr>
          <w:b/>
          <w:color w:val="auto"/>
          <w:sz w:val="24"/>
          <w:szCs w:val="24"/>
        </w:rPr>
      </w:pPr>
      <w:r>
        <w:rPr>
          <w:b/>
          <w:color w:val="auto"/>
          <w:sz w:val="24"/>
          <w:szCs w:val="24"/>
        </w:rPr>
        <w:t>投标人资格：</w:t>
      </w:r>
    </w:p>
    <w:p>
      <w:pPr>
        <w:snapToGrid w:val="0"/>
        <w:spacing w:line="360" w:lineRule="auto"/>
        <w:ind w:firstLine="480" w:firstLineChars="200"/>
        <w:rPr>
          <w:b/>
          <w:color w:val="auto"/>
          <w:sz w:val="24"/>
          <w:szCs w:val="24"/>
        </w:rPr>
      </w:pPr>
      <w:r>
        <w:rPr>
          <w:color w:val="auto"/>
          <w:sz w:val="24"/>
          <w:szCs w:val="24"/>
        </w:rPr>
        <w:t xml:space="preserve">7.1 </w:t>
      </w:r>
      <w:r>
        <w:rPr>
          <w:b/>
          <w:color w:val="auto"/>
          <w:sz w:val="24"/>
          <w:szCs w:val="24"/>
        </w:rPr>
        <w:t>见投标人须知前附表</w:t>
      </w:r>
    </w:p>
    <w:p>
      <w:pPr>
        <w:spacing w:line="360" w:lineRule="auto"/>
        <w:ind w:firstLine="482" w:firstLineChars="200"/>
        <w:rPr>
          <w:b/>
          <w:color w:val="auto"/>
          <w:sz w:val="24"/>
          <w:szCs w:val="24"/>
        </w:rPr>
      </w:pPr>
      <w:r>
        <w:rPr>
          <w:b/>
          <w:color w:val="auto"/>
          <w:sz w:val="24"/>
          <w:szCs w:val="24"/>
        </w:rPr>
        <w:t>8.</w:t>
      </w:r>
      <w:r>
        <w:rPr>
          <w:rFonts w:hint="eastAsia"/>
          <w:b/>
          <w:color w:val="auto"/>
          <w:sz w:val="24"/>
          <w:szCs w:val="24"/>
          <w:lang w:val="en-US" w:eastAsia="zh-CN"/>
        </w:rPr>
        <w:t xml:space="preserve"> </w:t>
      </w:r>
      <w:r>
        <w:rPr>
          <w:b/>
          <w:color w:val="auto"/>
          <w:sz w:val="24"/>
          <w:szCs w:val="24"/>
        </w:rPr>
        <w:t>投标费用</w:t>
      </w:r>
    </w:p>
    <w:p>
      <w:pPr>
        <w:spacing w:line="360" w:lineRule="auto"/>
        <w:ind w:firstLine="468" w:firstLineChars="195"/>
        <w:rPr>
          <w:color w:val="auto"/>
          <w:sz w:val="24"/>
          <w:szCs w:val="24"/>
        </w:rPr>
      </w:pPr>
      <w:r>
        <w:rPr>
          <w:color w:val="auto"/>
          <w:sz w:val="24"/>
          <w:szCs w:val="24"/>
        </w:rPr>
        <w:t>8.1投标人准备和参加投标活动发生的费用自理。</w:t>
      </w:r>
    </w:p>
    <w:p>
      <w:pPr>
        <w:numPr>
          <w:ilvl w:val="0"/>
          <w:numId w:val="6"/>
        </w:numPr>
        <w:spacing w:line="360" w:lineRule="auto"/>
        <w:ind w:firstLine="482" w:firstLineChars="200"/>
        <w:rPr>
          <w:b/>
          <w:color w:val="auto"/>
          <w:sz w:val="24"/>
          <w:szCs w:val="24"/>
        </w:rPr>
      </w:pPr>
      <w:bookmarkStart w:id="27" w:name="_Toc144974507"/>
      <w:bookmarkStart w:id="28" w:name="_Toc152045539"/>
      <w:bookmarkStart w:id="29" w:name="_Toc152042315"/>
      <w:bookmarkStart w:id="30" w:name="_Toc247592876"/>
      <w:bookmarkStart w:id="31" w:name="_Toc247527563"/>
      <w:bookmarkStart w:id="32" w:name="_Toc296602429"/>
      <w:bookmarkStart w:id="33" w:name="_Toc247513962"/>
      <w:r>
        <w:rPr>
          <w:b/>
          <w:color w:val="auto"/>
          <w:sz w:val="24"/>
          <w:szCs w:val="24"/>
        </w:rPr>
        <w:t>踏勘现场</w:t>
      </w:r>
      <w:bookmarkEnd w:id="27"/>
      <w:bookmarkEnd w:id="28"/>
      <w:bookmarkEnd w:id="29"/>
      <w:bookmarkEnd w:id="30"/>
      <w:bookmarkEnd w:id="31"/>
      <w:bookmarkEnd w:id="32"/>
      <w:bookmarkEnd w:id="33"/>
    </w:p>
    <w:p>
      <w:pPr>
        <w:spacing w:line="360" w:lineRule="auto"/>
        <w:ind w:firstLine="468" w:firstLineChars="195"/>
        <w:rPr>
          <w:color w:val="auto"/>
          <w:sz w:val="24"/>
          <w:szCs w:val="24"/>
        </w:rPr>
      </w:pPr>
      <w:r>
        <w:rPr>
          <w:color w:val="auto"/>
          <w:sz w:val="24"/>
          <w:szCs w:val="24"/>
        </w:rPr>
        <w:t>9.1投标人须知前附表规定组织踏勘现场的，招标人按投标人须知前附表规定的时间、地点组织投标人踏勘项目现场。</w:t>
      </w:r>
    </w:p>
    <w:p>
      <w:pPr>
        <w:spacing w:line="360" w:lineRule="auto"/>
        <w:ind w:firstLine="468" w:firstLineChars="195"/>
        <w:rPr>
          <w:color w:val="auto"/>
          <w:sz w:val="24"/>
          <w:szCs w:val="24"/>
        </w:rPr>
      </w:pPr>
      <w:r>
        <w:rPr>
          <w:color w:val="auto"/>
          <w:sz w:val="24"/>
          <w:szCs w:val="24"/>
        </w:rPr>
        <w:t>9.2投标人踏勘现场发生的费用自理。</w:t>
      </w:r>
    </w:p>
    <w:p>
      <w:pPr>
        <w:spacing w:line="360" w:lineRule="auto"/>
        <w:ind w:firstLine="468" w:firstLineChars="195"/>
        <w:rPr>
          <w:color w:val="auto"/>
          <w:sz w:val="24"/>
          <w:szCs w:val="24"/>
        </w:rPr>
      </w:pPr>
      <w:r>
        <w:rPr>
          <w:color w:val="auto"/>
          <w:sz w:val="24"/>
          <w:szCs w:val="24"/>
        </w:rPr>
        <w:t>9.3除招标人的原因外，投标人自行负责在踏勘现场中所发生的人员伤亡和财产损失。</w:t>
      </w:r>
    </w:p>
    <w:p>
      <w:pPr>
        <w:spacing w:line="360" w:lineRule="auto"/>
        <w:ind w:firstLine="468" w:firstLineChars="195"/>
        <w:rPr>
          <w:b w:val="0"/>
          <w:bCs/>
          <w:color w:val="auto"/>
          <w:sz w:val="24"/>
          <w:szCs w:val="24"/>
        </w:rPr>
      </w:pPr>
      <w:r>
        <w:rPr>
          <w:color w:val="auto"/>
          <w:sz w:val="24"/>
          <w:szCs w:val="24"/>
        </w:rPr>
        <w:t>9.4招标人在踏勘现场中介绍的场地和相关的周边环境情况，供投标人在编制投标文件时参考，招标人不对投标人据此作出的判断和决策负责。</w:t>
      </w:r>
      <w:bookmarkStart w:id="34" w:name="_Toc247513963"/>
      <w:bookmarkStart w:id="35" w:name="_Toc247592877"/>
      <w:bookmarkStart w:id="36" w:name="_Toc296602430"/>
      <w:bookmarkStart w:id="37" w:name="_Toc152042316"/>
      <w:bookmarkStart w:id="38" w:name="_Toc144974508"/>
      <w:bookmarkStart w:id="39" w:name="_Toc247527564"/>
      <w:bookmarkStart w:id="40" w:name="_Toc152045540"/>
    </w:p>
    <w:p>
      <w:pPr>
        <w:spacing w:line="360" w:lineRule="auto"/>
        <w:ind w:firstLine="482" w:firstLineChars="200"/>
        <w:rPr>
          <w:b/>
          <w:color w:val="auto"/>
          <w:sz w:val="24"/>
          <w:szCs w:val="24"/>
        </w:rPr>
      </w:pPr>
      <w:r>
        <w:rPr>
          <w:b/>
          <w:color w:val="auto"/>
          <w:sz w:val="24"/>
          <w:szCs w:val="24"/>
        </w:rPr>
        <w:t>10. 投标预备会</w:t>
      </w:r>
      <w:bookmarkEnd w:id="34"/>
      <w:bookmarkEnd w:id="35"/>
      <w:bookmarkEnd w:id="36"/>
      <w:bookmarkEnd w:id="37"/>
      <w:bookmarkEnd w:id="38"/>
      <w:bookmarkEnd w:id="39"/>
      <w:bookmarkEnd w:id="40"/>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10.1投标人须知前附表规定召开投标预备会的，招标人按投标人须知前附表规定的时间和地点召开投标预备会，澄清投标人提出的问题。</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10.2投标人应在投标人须知前附表规定的时间前，将提出的问题送达招标人，以便招标人澄清。</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10.3招标人在投标人须知前附表规定的时间，将对投标人所提的问题进行澄清。该澄清内容为招标文件的组成部分。</w:t>
      </w:r>
    </w:p>
    <w:p>
      <w:pPr>
        <w:numPr>
          <w:ilvl w:val="0"/>
          <w:numId w:val="7"/>
        </w:numPr>
        <w:spacing w:line="360" w:lineRule="auto"/>
        <w:ind w:firstLine="482" w:firstLineChars="200"/>
        <w:rPr>
          <w:b/>
          <w:color w:val="auto"/>
          <w:sz w:val="24"/>
          <w:szCs w:val="24"/>
        </w:rPr>
      </w:pPr>
      <w:r>
        <w:rPr>
          <w:b/>
          <w:color w:val="auto"/>
          <w:sz w:val="24"/>
          <w:szCs w:val="24"/>
        </w:rPr>
        <w:t>联合投标（本项目不采用）</w:t>
      </w:r>
    </w:p>
    <w:p>
      <w:pPr>
        <w:numPr>
          <w:ilvl w:val="0"/>
          <w:numId w:val="0"/>
        </w:numPr>
        <w:spacing w:line="360" w:lineRule="auto"/>
        <w:ind w:firstLine="482" w:firstLineChars="200"/>
        <w:rPr>
          <w:b/>
          <w:color w:val="auto"/>
          <w:sz w:val="24"/>
          <w:szCs w:val="24"/>
        </w:rPr>
      </w:pPr>
      <w:r>
        <w:rPr>
          <w:rFonts w:hint="eastAsia"/>
          <w:b/>
          <w:color w:val="auto"/>
          <w:sz w:val="24"/>
          <w:szCs w:val="24"/>
          <w:lang w:val="en-US" w:eastAsia="zh-CN"/>
        </w:rPr>
        <w:t>12、</w:t>
      </w:r>
      <w:r>
        <w:rPr>
          <w:b/>
          <w:color w:val="auto"/>
          <w:sz w:val="24"/>
          <w:szCs w:val="24"/>
        </w:rPr>
        <w:t>投标人应注意的事项</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1</w:t>
      </w:r>
      <w:r>
        <w:rPr>
          <w:rFonts w:hint="eastAsia"/>
          <w:b w:val="0"/>
          <w:bCs/>
          <w:color w:val="auto"/>
          <w:sz w:val="24"/>
          <w:szCs w:val="24"/>
          <w:lang w:val="en-US" w:eastAsia="zh-CN"/>
        </w:rPr>
        <w:t>2</w:t>
      </w:r>
      <w:r>
        <w:rPr>
          <w:rFonts w:hint="eastAsia"/>
          <w:b w:val="0"/>
          <w:bCs/>
          <w:color w:val="auto"/>
          <w:sz w:val="24"/>
          <w:szCs w:val="24"/>
          <w:lang w:eastAsia="zh-CN"/>
        </w:rPr>
        <w:t>.1投标人一旦下载了本招标文件并参加投标，即被认为接受了本招标文件中的所有条件和规定。投标人必须严格按招标文件的要求编制投标文件，投标文件宜编制页码和目录，以便评委审核。投标文件应装订整齐，封装在投标函袋内，否则，由此产生的一切后果由投标人承担。具体封装要求见本章第26条。</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13.2法定代表人参加开标会议，应携带法定代表人身份证明原件和本人身份证；委托代理人参加开标会议应携带法定代表人授权书和本人身份证。</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1</w:t>
      </w:r>
      <w:r>
        <w:rPr>
          <w:rFonts w:hint="eastAsia"/>
          <w:b w:val="0"/>
          <w:bCs/>
          <w:color w:val="auto"/>
          <w:sz w:val="24"/>
          <w:szCs w:val="24"/>
          <w:lang w:val="en-US" w:eastAsia="zh-CN"/>
        </w:rPr>
        <w:t>2</w:t>
      </w:r>
      <w:r>
        <w:rPr>
          <w:rFonts w:hint="eastAsia"/>
          <w:b w:val="0"/>
          <w:bCs/>
          <w:color w:val="auto"/>
          <w:sz w:val="24"/>
          <w:szCs w:val="24"/>
          <w:lang w:eastAsia="zh-CN"/>
        </w:rPr>
        <w:t>.3投标人对采购内容中规定的技术参数、规格、数量和要求等最大限度的满足招标文件的要求。</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1</w:t>
      </w:r>
      <w:r>
        <w:rPr>
          <w:rFonts w:hint="eastAsia"/>
          <w:b w:val="0"/>
          <w:bCs/>
          <w:color w:val="auto"/>
          <w:sz w:val="24"/>
          <w:szCs w:val="24"/>
          <w:lang w:val="en-US" w:eastAsia="zh-CN"/>
        </w:rPr>
        <w:t>2</w:t>
      </w:r>
      <w:r>
        <w:rPr>
          <w:rFonts w:hint="eastAsia"/>
          <w:b w:val="0"/>
          <w:bCs/>
          <w:color w:val="auto"/>
          <w:sz w:val="24"/>
          <w:szCs w:val="24"/>
          <w:lang w:eastAsia="zh-CN"/>
        </w:rPr>
        <w:t>.</w:t>
      </w:r>
      <w:r>
        <w:rPr>
          <w:rFonts w:hint="eastAsia"/>
          <w:b w:val="0"/>
          <w:bCs/>
          <w:color w:val="auto"/>
          <w:sz w:val="24"/>
          <w:szCs w:val="24"/>
          <w:lang w:val="en-US" w:eastAsia="zh-CN"/>
        </w:rPr>
        <w:t>4</w:t>
      </w:r>
      <w:r>
        <w:rPr>
          <w:rFonts w:hint="eastAsia"/>
          <w:b w:val="0"/>
          <w:bCs/>
          <w:color w:val="auto"/>
          <w:sz w:val="24"/>
          <w:szCs w:val="24"/>
          <w:lang w:eastAsia="zh-CN"/>
        </w:rPr>
        <w:t>法定代表人为同一个人的两个及两个以上法人，母公司、全资子公司及其控股公司，均不得同时参加本项目的投标。</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本招标文件不再对上述情况进行描述。</w:t>
      </w:r>
    </w:p>
    <w:p>
      <w:pPr>
        <w:numPr>
          <w:ilvl w:val="0"/>
          <w:numId w:val="8"/>
        </w:numPr>
        <w:spacing w:line="360" w:lineRule="auto"/>
        <w:ind w:left="0" w:leftChars="0" w:firstLine="482" w:firstLineChars="200"/>
        <w:rPr>
          <w:rFonts w:hint="eastAsia"/>
          <w:b w:val="0"/>
          <w:bCs/>
          <w:color w:val="auto"/>
          <w:sz w:val="24"/>
          <w:szCs w:val="24"/>
          <w:lang w:eastAsia="zh-CN"/>
        </w:rPr>
      </w:pPr>
      <w:r>
        <w:rPr>
          <w:b/>
          <w:color w:val="auto"/>
          <w:sz w:val="24"/>
          <w:szCs w:val="24"/>
        </w:rPr>
        <w:t>需要补充的其它内容</w:t>
      </w:r>
    </w:p>
    <w:p>
      <w:pPr>
        <w:numPr>
          <w:ilvl w:val="0"/>
          <w:numId w:val="0"/>
        </w:numPr>
        <w:spacing w:line="360" w:lineRule="auto"/>
        <w:ind w:firstLine="480" w:firstLineChars="200"/>
        <w:rPr>
          <w:rFonts w:hint="eastAsia"/>
          <w:b w:val="0"/>
          <w:bCs/>
          <w:color w:val="auto"/>
          <w:sz w:val="24"/>
          <w:szCs w:val="24"/>
          <w:lang w:eastAsia="zh-CN"/>
        </w:rPr>
      </w:pPr>
      <w:r>
        <w:rPr>
          <w:rFonts w:hint="eastAsia"/>
          <w:b w:val="0"/>
          <w:bCs/>
          <w:color w:val="auto"/>
          <w:sz w:val="24"/>
          <w:szCs w:val="24"/>
          <w:lang w:eastAsia="zh-CN"/>
        </w:rPr>
        <w:t>投标企业被行业行政主管部门或招投标综合监督管理部门暂停投标资格且开标日在处罚期限内的，一律限制投标资格，不得参加本项目招投标活动，若中标取消中标资格。</w:t>
      </w:r>
    </w:p>
    <w:p>
      <w:pPr>
        <w:spacing w:line="360" w:lineRule="auto"/>
        <w:jc w:val="center"/>
        <w:rPr>
          <w:b/>
          <w:color w:val="auto"/>
          <w:sz w:val="28"/>
          <w:szCs w:val="28"/>
        </w:rPr>
      </w:pPr>
    </w:p>
    <w:p>
      <w:pPr>
        <w:spacing w:line="360" w:lineRule="auto"/>
        <w:jc w:val="center"/>
        <w:rPr>
          <w:b/>
          <w:color w:val="auto"/>
          <w:sz w:val="28"/>
          <w:szCs w:val="28"/>
        </w:rPr>
      </w:pPr>
      <w:r>
        <w:rPr>
          <w:b/>
          <w:color w:val="auto"/>
          <w:sz w:val="28"/>
          <w:szCs w:val="28"/>
        </w:rPr>
        <w:t>（二）招标文件</w:t>
      </w:r>
    </w:p>
    <w:p>
      <w:pPr>
        <w:spacing w:line="360" w:lineRule="auto"/>
        <w:ind w:firstLine="482" w:firstLineChars="200"/>
        <w:rPr>
          <w:b/>
          <w:color w:val="auto"/>
          <w:sz w:val="24"/>
          <w:szCs w:val="24"/>
        </w:rPr>
      </w:pPr>
      <w:r>
        <w:rPr>
          <w:b/>
          <w:color w:val="auto"/>
          <w:sz w:val="24"/>
          <w:szCs w:val="24"/>
        </w:rPr>
        <w:t>15. 招标文件的编制依据</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根据《中华人民共和国招标投标法及其实施条例》、《中华人民共和国政府采购法及其实施条例》、《政府采购货物和服务招标投标管理办法》和《中华人民共和国合同法》等相关法律法规和规章及部、自治区、市级规范性文件的规定，编制本招标文件。</w:t>
      </w:r>
    </w:p>
    <w:p>
      <w:pPr>
        <w:spacing w:line="360" w:lineRule="auto"/>
        <w:ind w:firstLine="482" w:firstLineChars="200"/>
        <w:rPr>
          <w:b/>
          <w:color w:val="auto"/>
          <w:sz w:val="24"/>
          <w:szCs w:val="24"/>
        </w:rPr>
      </w:pPr>
      <w:r>
        <w:rPr>
          <w:b/>
          <w:color w:val="auto"/>
          <w:sz w:val="24"/>
          <w:szCs w:val="24"/>
        </w:rPr>
        <w:t>16. 招标文件的组成</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16.1招标文件包括内容：</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第一章  招标公告</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第二章  投标须知</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第三章  评标办法</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第四章  采购内容及要求</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第五章  合同条款及格式</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第六章  投标文件格式文本</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第七章  招标单位、招标代理机构对本文件的确认</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16.2除16.1内容外，招标答疑亦为招标文件的组成部分，对招标人和投标人起约束作用。</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16.3投标人应仔细阅读和检查招标文件的全部内容。如发现缺页或附件不全，应及时向招标人提出，以便补齐。如有疑问，应在投标人须知前附表规定的时间前，要求招标人对招标文件予以澄清。</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16.4招标文件的澄清，但不指明澄清问题的来源。如果澄清内容影响投标文件编制的，将相应延长投标截止时间。</w:t>
      </w:r>
    </w:p>
    <w:p>
      <w:pPr>
        <w:spacing w:line="360" w:lineRule="auto"/>
        <w:ind w:firstLine="482" w:firstLineChars="200"/>
        <w:rPr>
          <w:b/>
          <w:bCs/>
          <w:color w:val="auto"/>
          <w:sz w:val="24"/>
          <w:szCs w:val="24"/>
        </w:rPr>
      </w:pPr>
      <w:r>
        <w:rPr>
          <w:b/>
          <w:bCs/>
          <w:color w:val="auto"/>
          <w:sz w:val="24"/>
          <w:szCs w:val="24"/>
        </w:rPr>
        <w:t>17. 招标文件的修改、补充、解释</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17.1招标文件发出后，招标人在规定的投标截止时间前可对招标文件进行必要的修改和补充，请各位投标人注意查看有关澄清内容，如不及时查看、下载造成后果由投标人自负。招标文件的修改、补充等内容作为招标文件的组成部分，具有约束作用。</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17.2招标文件的解释</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本招标文件由招标人（或其委托的招标代理机构）负责解释。</w:t>
      </w:r>
    </w:p>
    <w:p>
      <w:pPr>
        <w:spacing w:line="360" w:lineRule="auto"/>
        <w:ind w:firstLine="482" w:firstLineChars="200"/>
        <w:rPr>
          <w:b/>
          <w:color w:val="auto"/>
          <w:sz w:val="24"/>
          <w:szCs w:val="24"/>
        </w:rPr>
      </w:pPr>
      <w:r>
        <w:rPr>
          <w:b/>
          <w:color w:val="auto"/>
          <w:sz w:val="24"/>
          <w:szCs w:val="24"/>
        </w:rPr>
        <w:t>18. 招标文件的发出</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18.1招标文件、招标文件的澄清、修改、补充及招标答疑等均应报招投标监督管理机构备案后，方可发出。</w:t>
      </w:r>
    </w:p>
    <w:p>
      <w:pPr>
        <w:spacing w:line="360" w:lineRule="auto"/>
        <w:ind w:firstLine="482" w:firstLineChars="200"/>
        <w:rPr>
          <w:b/>
          <w:color w:val="auto"/>
          <w:sz w:val="24"/>
          <w:szCs w:val="24"/>
        </w:rPr>
      </w:pPr>
      <w:r>
        <w:rPr>
          <w:b/>
          <w:color w:val="auto"/>
          <w:sz w:val="24"/>
          <w:szCs w:val="24"/>
        </w:rPr>
        <w:t>19.最高限价的作用和说明</w:t>
      </w:r>
    </w:p>
    <w:p>
      <w:pPr>
        <w:spacing w:line="360" w:lineRule="auto"/>
        <w:ind w:firstLine="468" w:firstLineChars="195"/>
        <w:rPr>
          <w:b/>
          <w:color w:val="auto"/>
          <w:sz w:val="28"/>
          <w:szCs w:val="28"/>
        </w:rPr>
      </w:pPr>
      <w:r>
        <w:rPr>
          <w:rFonts w:hint="eastAsia"/>
          <w:b w:val="0"/>
          <w:bCs/>
          <w:color w:val="auto"/>
          <w:sz w:val="24"/>
          <w:szCs w:val="24"/>
          <w:lang w:eastAsia="zh-CN"/>
        </w:rPr>
        <w:t>19.1本项目最高限价见投标人须知前附表。</w:t>
      </w:r>
    </w:p>
    <w:p>
      <w:pPr>
        <w:spacing w:line="360" w:lineRule="auto"/>
        <w:jc w:val="center"/>
        <w:rPr>
          <w:b/>
          <w:color w:val="auto"/>
          <w:sz w:val="28"/>
          <w:szCs w:val="28"/>
        </w:rPr>
      </w:pPr>
      <w:r>
        <w:rPr>
          <w:b/>
          <w:color w:val="auto"/>
          <w:sz w:val="28"/>
          <w:szCs w:val="28"/>
        </w:rPr>
        <w:t>（三）投标文件的编制</w:t>
      </w:r>
    </w:p>
    <w:p>
      <w:pPr>
        <w:spacing w:line="360" w:lineRule="auto"/>
        <w:ind w:firstLine="482" w:firstLineChars="200"/>
        <w:rPr>
          <w:b/>
          <w:color w:val="auto"/>
          <w:sz w:val="24"/>
          <w:szCs w:val="24"/>
        </w:rPr>
      </w:pPr>
      <w:r>
        <w:rPr>
          <w:b/>
          <w:color w:val="auto"/>
          <w:sz w:val="24"/>
          <w:szCs w:val="24"/>
        </w:rPr>
        <w:t>20. 投标的语言及度量衡单位</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20.1投标人的投标文件、以及投标人与招标人就投标的所有往来函电，均须使用简体中文。</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20.2除招标文件中另有规定外，投标书所使用的度量衡均须采用法定计量单位。</w:t>
      </w:r>
    </w:p>
    <w:p>
      <w:pPr>
        <w:spacing w:line="360" w:lineRule="auto"/>
        <w:ind w:firstLine="477" w:firstLineChars="198"/>
        <w:rPr>
          <w:b/>
          <w:color w:val="auto"/>
          <w:sz w:val="24"/>
          <w:szCs w:val="24"/>
        </w:rPr>
      </w:pPr>
      <w:r>
        <w:rPr>
          <w:b/>
          <w:color w:val="auto"/>
          <w:sz w:val="24"/>
          <w:szCs w:val="24"/>
        </w:rPr>
        <w:t>21. 投标文件的组成</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投标文件由</w:t>
      </w:r>
      <w:r>
        <w:rPr>
          <w:rFonts w:hint="eastAsia"/>
          <w:b w:val="0"/>
          <w:bCs/>
          <w:color w:val="auto"/>
          <w:sz w:val="24"/>
          <w:szCs w:val="24"/>
          <w:lang w:val="en-US" w:eastAsia="zh-CN"/>
        </w:rPr>
        <w:t>商务标</w:t>
      </w:r>
      <w:r>
        <w:rPr>
          <w:rFonts w:hint="eastAsia"/>
          <w:b w:val="0"/>
          <w:bCs/>
          <w:color w:val="auto"/>
          <w:sz w:val="24"/>
          <w:szCs w:val="24"/>
          <w:lang w:eastAsia="zh-CN"/>
        </w:rPr>
        <w:t>、技术</w:t>
      </w:r>
      <w:r>
        <w:rPr>
          <w:rFonts w:hint="eastAsia"/>
          <w:b w:val="0"/>
          <w:bCs/>
          <w:color w:val="auto"/>
          <w:sz w:val="24"/>
          <w:szCs w:val="24"/>
          <w:lang w:val="en-US" w:eastAsia="zh-CN"/>
        </w:rPr>
        <w:t>标</w:t>
      </w:r>
      <w:r>
        <w:rPr>
          <w:rFonts w:hint="eastAsia"/>
          <w:b w:val="0"/>
          <w:bCs/>
          <w:color w:val="auto"/>
          <w:sz w:val="24"/>
          <w:szCs w:val="24"/>
          <w:lang w:eastAsia="zh-CN"/>
        </w:rPr>
        <w:t>、</w:t>
      </w:r>
      <w:r>
        <w:rPr>
          <w:rFonts w:hint="eastAsia"/>
          <w:b w:val="0"/>
          <w:bCs/>
          <w:color w:val="auto"/>
          <w:sz w:val="24"/>
          <w:szCs w:val="24"/>
          <w:lang w:val="en-US" w:eastAsia="zh-CN"/>
        </w:rPr>
        <w:t>经济标</w:t>
      </w:r>
      <w:r>
        <w:rPr>
          <w:rFonts w:hint="eastAsia"/>
          <w:b w:val="0"/>
          <w:bCs/>
          <w:color w:val="auto"/>
          <w:sz w:val="24"/>
          <w:szCs w:val="24"/>
          <w:lang w:eastAsia="zh-CN"/>
        </w:rPr>
        <w:t>，按以下顺序须死页装订成一册（务必按以下顺序装订，每页加盖公章）</w:t>
      </w:r>
    </w:p>
    <w:p>
      <w:pPr>
        <w:spacing w:line="360" w:lineRule="auto"/>
        <w:ind w:firstLine="482" w:firstLineChars="200"/>
        <w:rPr>
          <w:rFonts w:hint="eastAsia" w:eastAsia="宋体"/>
          <w:b/>
          <w:color w:val="auto"/>
          <w:sz w:val="24"/>
          <w:szCs w:val="24"/>
          <w:lang w:eastAsia="zh-CN"/>
        </w:rPr>
      </w:pPr>
      <w:r>
        <w:rPr>
          <w:b/>
          <w:color w:val="auto"/>
          <w:sz w:val="24"/>
          <w:szCs w:val="24"/>
        </w:rPr>
        <w:t>21.1</w:t>
      </w:r>
      <w:r>
        <w:rPr>
          <w:rFonts w:hint="eastAsia"/>
          <w:b/>
          <w:color w:val="auto"/>
          <w:sz w:val="24"/>
          <w:szCs w:val="24"/>
          <w:lang w:val="en-US" w:eastAsia="zh-CN"/>
        </w:rPr>
        <w:t>商务标</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（1）法定代表人身份证明及其有效身份证复印件（或法人代表授权委托书及其有效身份证）（格式见附表）；</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（2）营业执照及企业相关证件；</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（3）投标人及其法定代表人无失信被执行行为承诺书（格式见附表）；</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（4）社会法人无失信被执行行为承诺书（格式见附表）；</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 xml:space="preserve">（5）无重大税收违法行为承诺书（格式见附表）； </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w:t>
      </w:r>
      <w:r>
        <w:rPr>
          <w:rFonts w:hint="eastAsia"/>
          <w:b w:val="0"/>
          <w:bCs/>
          <w:color w:val="auto"/>
          <w:sz w:val="24"/>
          <w:szCs w:val="24"/>
          <w:lang w:val="en-US" w:eastAsia="zh-CN"/>
        </w:rPr>
        <w:t>6</w:t>
      </w:r>
      <w:r>
        <w:rPr>
          <w:rFonts w:hint="eastAsia"/>
          <w:b w:val="0"/>
          <w:bCs/>
          <w:color w:val="auto"/>
          <w:sz w:val="24"/>
          <w:szCs w:val="24"/>
          <w:lang w:eastAsia="zh-CN"/>
        </w:rPr>
        <w:t>）参加政府采购活动前三年内在经营活动中没有重大违法记录的书面声明；</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w:t>
      </w:r>
      <w:r>
        <w:rPr>
          <w:rFonts w:hint="eastAsia"/>
          <w:b w:val="0"/>
          <w:bCs/>
          <w:color w:val="auto"/>
          <w:sz w:val="24"/>
          <w:szCs w:val="24"/>
          <w:lang w:val="en-US" w:eastAsia="zh-CN"/>
        </w:rPr>
        <w:t>7</w:t>
      </w:r>
      <w:r>
        <w:rPr>
          <w:rFonts w:hint="eastAsia"/>
          <w:b w:val="0"/>
          <w:bCs/>
          <w:color w:val="auto"/>
          <w:sz w:val="24"/>
          <w:szCs w:val="24"/>
          <w:lang w:eastAsia="zh-CN"/>
        </w:rPr>
        <w:t>）“信用中国”网站（http://www.creditchina.gov.cn/）及其他要求网站信用查询纪录；</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w:t>
      </w:r>
      <w:r>
        <w:rPr>
          <w:rFonts w:hint="eastAsia"/>
          <w:b w:val="0"/>
          <w:bCs/>
          <w:color w:val="auto"/>
          <w:sz w:val="24"/>
          <w:szCs w:val="24"/>
          <w:lang w:val="en-US" w:eastAsia="zh-CN"/>
        </w:rPr>
        <w:t>8</w:t>
      </w:r>
      <w:r>
        <w:rPr>
          <w:rFonts w:hint="eastAsia"/>
          <w:b w:val="0"/>
          <w:bCs/>
          <w:color w:val="auto"/>
          <w:sz w:val="24"/>
          <w:szCs w:val="24"/>
          <w:lang w:eastAsia="zh-CN"/>
        </w:rPr>
        <w:t>）售后服务情况（包含售后服务方案、场地、设备、人员等）</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w:t>
      </w:r>
      <w:r>
        <w:rPr>
          <w:rFonts w:hint="eastAsia"/>
          <w:b w:val="0"/>
          <w:bCs/>
          <w:color w:val="auto"/>
          <w:sz w:val="24"/>
          <w:szCs w:val="24"/>
          <w:lang w:val="en-US" w:eastAsia="zh-CN"/>
        </w:rPr>
        <w:t>9</w:t>
      </w:r>
      <w:r>
        <w:rPr>
          <w:rFonts w:hint="eastAsia"/>
          <w:b w:val="0"/>
          <w:bCs/>
          <w:color w:val="auto"/>
          <w:sz w:val="24"/>
          <w:szCs w:val="24"/>
          <w:lang w:eastAsia="zh-CN"/>
        </w:rPr>
        <w:t>）商务标评分细则里需要提供的相关材料；</w:t>
      </w:r>
    </w:p>
    <w:p>
      <w:pPr>
        <w:spacing w:line="360" w:lineRule="auto"/>
        <w:ind w:firstLine="468" w:firstLineChars="195"/>
        <w:rPr>
          <w:b/>
          <w:color w:val="auto"/>
          <w:sz w:val="24"/>
          <w:szCs w:val="24"/>
        </w:rPr>
      </w:pPr>
      <w:r>
        <w:rPr>
          <w:rFonts w:hint="eastAsia"/>
          <w:b w:val="0"/>
          <w:bCs/>
          <w:color w:val="auto"/>
          <w:sz w:val="24"/>
          <w:szCs w:val="24"/>
          <w:lang w:eastAsia="zh-CN"/>
        </w:rPr>
        <w:t>注：凡提供复印件的资料需加盖投标人印章，提供营业执照加盖印章复印件的，投标企业自行承担复印件二维码不清晰可能导致投标人证件审查不通过的后果。</w:t>
      </w:r>
    </w:p>
    <w:p>
      <w:pPr>
        <w:spacing w:line="360" w:lineRule="auto"/>
        <w:ind w:firstLine="482" w:firstLineChars="200"/>
        <w:rPr>
          <w:rFonts w:hint="eastAsia" w:eastAsia="宋体"/>
          <w:b/>
          <w:color w:val="auto"/>
          <w:sz w:val="24"/>
          <w:szCs w:val="24"/>
          <w:lang w:eastAsia="zh-CN"/>
        </w:rPr>
      </w:pPr>
      <w:r>
        <w:rPr>
          <w:b/>
          <w:color w:val="auto"/>
          <w:sz w:val="24"/>
          <w:szCs w:val="24"/>
        </w:rPr>
        <w:t>21.2技术</w:t>
      </w:r>
      <w:r>
        <w:rPr>
          <w:rFonts w:hint="eastAsia"/>
          <w:b/>
          <w:color w:val="auto"/>
          <w:sz w:val="24"/>
          <w:szCs w:val="24"/>
          <w:lang w:val="en-US" w:eastAsia="zh-CN"/>
        </w:rPr>
        <w:t>标</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（1）详细的货物、规格、型号、技术参数等（附技术参数响应表、货物的详细清单，格式见附表）；</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w:t>
      </w:r>
      <w:r>
        <w:rPr>
          <w:rFonts w:hint="eastAsia"/>
          <w:b w:val="0"/>
          <w:bCs/>
          <w:color w:val="auto"/>
          <w:sz w:val="24"/>
          <w:szCs w:val="24"/>
          <w:lang w:val="en-US" w:eastAsia="zh-CN"/>
        </w:rPr>
        <w:t>实施方案</w:t>
      </w:r>
      <w:r>
        <w:rPr>
          <w:rFonts w:hint="eastAsia"/>
          <w:b w:val="0"/>
          <w:bCs/>
          <w:color w:val="auto"/>
          <w:sz w:val="24"/>
          <w:szCs w:val="24"/>
          <w:lang w:eastAsia="zh-CN"/>
        </w:rPr>
        <w:t>：为本项目实施所采用的技术措施和实施方案等；</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（3）服务承诺：针对本项目的服务承诺书（格式见附表）；</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（4）技术标评分细则里需要提供的相关材料；</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（5）货物符合招标文件规定的证明文件 ；</w:t>
      </w:r>
    </w:p>
    <w:p>
      <w:pPr>
        <w:spacing w:line="360" w:lineRule="auto"/>
        <w:rPr>
          <w:rFonts w:hint="eastAsia"/>
          <w:b w:val="0"/>
          <w:bCs/>
          <w:color w:val="auto"/>
          <w:sz w:val="24"/>
          <w:szCs w:val="24"/>
          <w:lang w:eastAsia="zh-CN"/>
        </w:rPr>
      </w:pPr>
      <w:r>
        <w:rPr>
          <w:rFonts w:hint="eastAsia"/>
          <w:b w:val="0"/>
          <w:bCs/>
          <w:color w:val="auto"/>
          <w:sz w:val="24"/>
          <w:szCs w:val="24"/>
          <w:lang w:eastAsia="zh-CN"/>
        </w:rPr>
        <w:t xml:space="preserve">注：投标人应提交其货物和服务符合招标文件规定的证明，作为投标文件的一部分。 </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 xml:space="preserve">货物和服务与招标文件的要求相一致的证明，可以是文字资料、图纸、数据、检测报告等，包括： </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 xml:space="preserve">1、所投货物主要技术指标和性能的详细说明。 </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 xml:space="preserve">2、对照招标文件技术规范要求，逐条说明所提供货物和服务已对招标文件的技术规范要求作出了实质性响应，或申明与技术规范要求的偏差和例外。特别对于有具体参数要求的指标，投标人必须提供所投货物的具体参数。 </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 xml:space="preserve">3、商务条款的偏差和例外。 </w:t>
      </w:r>
    </w:p>
    <w:p>
      <w:pPr>
        <w:spacing w:line="360" w:lineRule="auto"/>
        <w:ind w:firstLine="468" w:firstLineChars="195"/>
        <w:rPr>
          <w:bCs/>
          <w:color w:val="auto"/>
          <w:sz w:val="24"/>
          <w:szCs w:val="24"/>
        </w:rPr>
      </w:pPr>
      <w:r>
        <w:rPr>
          <w:rFonts w:hint="eastAsia"/>
          <w:b w:val="0"/>
          <w:bCs/>
          <w:color w:val="auto"/>
          <w:sz w:val="24"/>
          <w:szCs w:val="24"/>
          <w:lang w:eastAsia="zh-CN"/>
        </w:rPr>
        <w:t>4、投标人的技术规范应符合招标文件设备清单的要求，投标人可提出改进建议，但该建议应相当于或优于招标文件设备清单的技术规范要求的规定，以使招标人满意并得到招标人的同意。</w:t>
      </w:r>
      <w:r>
        <w:rPr>
          <w:bCs/>
          <w:color w:val="auto"/>
          <w:sz w:val="24"/>
          <w:szCs w:val="24"/>
        </w:rPr>
        <w:t xml:space="preserve"> </w:t>
      </w:r>
    </w:p>
    <w:p>
      <w:pPr>
        <w:spacing w:line="360" w:lineRule="auto"/>
        <w:ind w:firstLine="482" w:firstLineChars="200"/>
        <w:rPr>
          <w:rFonts w:hint="eastAsia" w:eastAsia="宋体"/>
          <w:b/>
          <w:color w:val="auto"/>
          <w:sz w:val="24"/>
          <w:szCs w:val="24"/>
          <w:lang w:val="en-US" w:eastAsia="zh-CN"/>
        </w:rPr>
      </w:pPr>
      <w:r>
        <w:rPr>
          <w:b/>
          <w:color w:val="auto"/>
          <w:sz w:val="24"/>
          <w:szCs w:val="24"/>
        </w:rPr>
        <w:t>21.</w:t>
      </w:r>
      <w:r>
        <w:rPr>
          <w:rFonts w:hint="eastAsia"/>
          <w:b/>
          <w:color w:val="auto"/>
          <w:sz w:val="24"/>
          <w:szCs w:val="24"/>
          <w:lang w:val="en-US" w:eastAsia="zh-CN"/>
        </w:rPr>
        <w:t>3经济标</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（1）开标一览表（格式见附表）；</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（2）投标函（格式见附表）；</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（3）诚信投标承诺书（格式见附表）；</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（4）报价明细表（格式见附表）；</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（5）招标文件中要求提供的其他相关资料；</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（6）投标人认为需要提供的其他材料。</w:t>
      </w:r>
    </w:p>
    <w:p>
      <w:pPr>
        <w:tabs>
          <w:tab w:val="left" w:pos="14"/>
        </w:tabs>
        <w:spacing w:line="360" w:lineRule="auto"/>
        <w:ind w:right="-512" w:rightChars="-244" w:firstLine="482" w:firstLineChars="200"/>
        <w:rPr>
          <w:b/>
          <w:color w:val="auto"/>
          <w:sz w:val="24"/>
          <w:szCs w:val="24"/>
        </w:rPr>
      </w:pPr>
      <w:r>
        <w:rPr>
          <w:b/>
          <w:color w:val="auto"/>
          <w:sz w:val="24"/>
          <w:szCs w:val="24"/>
        </w:rPr>
        <w:t>22.</w:t>
      </w:r>
      <w:r>
        <w:rPr>
          <w:rFonts w:hint="eastAsia"/>
          <w:b/>
          <w:color w:val="auto"/>
          <w:sz w:val="24"/>
          <w:szCs w:val="24"/>
          <w:lang w:val="en-US" w:eastAsia="zh-CN"/>
        </w:rPr>
        <w:t xml:space="preserve"> </w:t>
      </w:r>
      <w:r>
        <w:rPr>
          <w:b/>
          <w:color w:val="auto"/>
          <w:sz w:val="24"/>
          <w:szCs w:val="24"/>
        </w:rPr>
        <w:t>投标报价</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22.1投标报价文件中的单价和总价全部采用人民币表示。</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22.2投标报价表上应清楚地标明投标人拟提供货物的名称、型号、数量、单价和总价等。</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22.3投标人只允许有一个方案、一个报价。</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22.4投标人应按“采购内容及要求”所列货物逐项进行报价，并最终按货物总量乘以货物单价报总价，不得采用总价下浮的方式进行报价。</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22.5投标报价的价格是货物交货地验收价格，其总价即为履行合同的固定总价。</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22.7投标报价应由法定代表人或被授权人签署。</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22.8投标人的报价不得高于本次招标最高限价。</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22.9总投标价中不得包含招标文件要求以外的内容，否则，在评标时不予核减，但在授予合同时，招标人有权将这部分价格从其中标价格中扣除。</w:t>
      </w:r>
    </w:p>
    <w:p>
      <w:pPr>
        <w:spacing w:line="360" w:lineRule="auto"/>
        <w:ind w:firstLine="468" w:firstLineChars="195"/>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22.10投标</w:t>
      </w:r>
      <w:r>
        <w:rPr>
          <w:rFonts w:hint="eastAsia" w:ascii="Times New Roman" w:hAnsi="Times New Roman" w:eastAsia="宋体" w:cs="Times New Roman"/>
          <w:b w:val="0"/>
          <w:bCs/>
          <w:color w:val="auto"/>
          <w:sz w:val="24"/>
          <w:szCs w:val="24"/>
          <w:lang w:eastAsia="zh-CN"/>
        </w:rPr>
        <w:t>文件中所需产品报价（含税金）、人工费、运输费、保险费用、验收、售后服务、税款等直至交付业主正常使用前的一切费用，业主后期不再支付中标价之外的任何费用。计算评标总价时，以产品到达采购人指定交货地点为依据。</w:t>
      </w:r>
    </w:p>
    <w:p>
      <w:pPr>
        <w:spacing w:line="360" w:lineRule="auto"/>
        <w:ind w:firstLine="482" w:firstLineChars="200"/>
        <w:rPr>
          <w:b/>
          <w:color w:val="auto"/>
          <w:sz w:val="24"/>
          <w:szCs w:val="24"/>
        </w:rPr>
      </w:pPr>
      <w:r>
        <w:rPr>
          <w:b/>
          <w:color w:val="auto"/>
          <w:sz w:val="24"/>
          <w:szCs w:val="24"/>
        </w:rPr>
        <w:t>23. 投标有效期</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23.1除投标人须知前附表另有规定外，投标有效期为</w:t>
      </w:r>
      <w:r>
        <w:rPr>
          <w:rFonts w:hint="eastAsia"/>
          <w:b w:val="0"/>
          <w:bCs/>
          <w:color w:val="auto"/>
          <w:sz w:val="24"/>
          <w:szCs w:val="24"/>
          <w:lang w:val="en-US" w:eastAsia="zh-CN"/>
        </w:rPr>
        <w:t>60</w:t>
      </w:r>
      <w:r>
        <w:rPr>
          <w:rFonts w:hint="eastAsia"/>
          <w:b w:val="0"/>
          <w:bCs/>
          <w:color w:val="auto"/>
          <w:sz w:val="24"/>
          <w:szCs w:val="24"/>
          <w:lang w:eastAsia="zh-CN"/>
        </w:rPr>
        <w:t>天。</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23.2在投标有效期内，投标人撤销或修改其投标文件的，应承担招标文件和法律规定的责任。</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23.3出现特殊情况需要延长投标有效期的，招标人以书面形式通知所有投标人延长投标有效期。投标人同意延长的，不得要求或被允许修改或撤销其投标文件；投标人拒绝延长的，其投标失效。</w:t>
      </w:r>
    </w:p>
    <w:p>
      <w:pPr>
        <w:spacing w:line="360" w:lineRule="auto"/>
        <w:ind w:firstLine="463" w:firstLineChars="192"/>
        <w:rPr>
          <w:b/>
          <w:color w:val="auto"/>
          <w:sz w:val="24"/>
          <w:szCs w:val="24"/>
        </w:rPr>
      </w:pPr>
      <w:r>
        <w:rPr>
          <w:b/>
          <w:color w:val="auto"/>
          <w:sz w:val="24"/>
          <w:szCs w:val="24"/>
        </w:rPr>
        <w:t>24. 投标保证金</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24.1投标人须知前附表规定递交投标保证金的，投标人在递交投标文件的同时，应按投标人须知前附表规定的金额、担保形式和第六章“投标文件格式”规定的或者事先经过招标人认可的投标保证金格式递交投标保证金，并作为其投标文件的组成部分。</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24.2投标人不按本章24.1项要求提交保证金的，评标委员会按无效标处理。</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24.3中标通知书发出之日起5个工作日内，向未中标的投标人退还投标保证金；招标人与中标人签订合同后5个工作日内，向中标人退还投标保证金。</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24.4有下列情形之一的，投标保证金将不予退还：</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（1）投标人在规定的投标有效期内撤销或修改其投标文件；</w:t>
      </w:r>
    </w:p>
    <w:p>
      <w:pPr>
        <w:spacing w:line="360" w:lineRule="auto"/>
        <w:ind w:firstLine="468" w:firstLineChars="195"/>
        <w:rPr>
          <w:b/>
          <w:color w:val="auto"/>
          <w:sz w:val="28"/>
          <w:szCs w:val="28"/>
        </w:rPr>
      </w:pPr>
      <w:r>
        <w:rPr>
          <w:rFonts w:hint="eastAsia"/>
          <w:b w:val="0"/>
          <w:bCs/>
          <w:color w:val="auto"/>
          <w:sz w:val="24"/>
          <w:szCs w:val="24"/>
          <w:lang w:eastAsia="zh-CN"/>
        </w:rPr>
        <w:t>（2）中标人无正当理由拒签合同协议书或未按招标文件规定提交履约保证金。</w:t>
      </w:r>
    </w:p>
    <w:p>
      <w:pPr>
        <w:spacing w:line="360" w:lineRule="auto"/>
        <w:jc w:val="center"/>
        <w:rPr>
          <w:b/>
          <w:color w:val="auto"/>
          <w:sz w:val="28"/>
          <w:szCs w:val="28"/>
        </w:rPr>
      </w:pPr>
      <w:r>
        <w:rPr>
          <w:b/>
          <w:color w:val="auto"/>
          <w:sz w:val="28"/>
          <w:szCs w:val="28"/>
        </w:rPr>
        <w:t>（四）投标文件的密封和递交</w:t>
      </w:r>
    </w:p>
    <w:p>
      <w:pPr>
        <w:spacing w:line="360" w:lineRule="auto"/>
        <w:ind w:firstLine="482" w:firstLineChars="200"/>
        <w:rPr>
          <w:b/>
          <w:color w:val="auto"/>
          <w:sz w:val="24"/>
          <w:szCs w:val="24"/>
        </w:rPr>
      </w:pPr>
      <w:r>
        <w:rPr>
          <w:b/>
          <w:color w:val="auto"/>
          <w:sz w:val="24"/>
          <w:szCs w:val="24"/>
        </w:rPr>
        <w:t>25. 投标文件的份数和签署</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25.1投标文件：按书面文件（</w:t>
      </w:r>
      <w:r>
        <w:rPr>
          <w:rFonts w:hint="eastAsia"/>
          <w:b w:val="0"/>
          <w:bCs/>
          <w:color w:val="auto"/>
          <w:sz w:val="24"/>
          <w:szCs w:val="24"/>
          <w:lang w:val="en-US" w:eastAsia="zh-CN"/>
        </w:rPr>
        <w:t>商务标</w:t>
      </w:r>
      <w:r>
        <w:rPr>
          <w:rFonts w:hint="eastAsia"/>
          <w:b w:val="0"/>
          <w:bCs/>
          <w:color w:val="auto"/>
          <w:sz w:val="24"/>
          <w:szCs w:val="24"/>
          <w:lang w:eastAsia="zh-CN"/>
        </w:rPr>
        <w:t>、技术</w:t>
      </w:r>
      <w:r>
        <w:rPr>
          <w:rFonts w:hint="eastAsia"/>
          <w:b w:val="0"/>
          <w:bCs/>
          <w:color w:val="auto"/>
          <w:sz w:val="24"/>
          <w:szCs w:val="24"/>
          <w:lang w:val="en-US" w:eastAsia="zh-CN"/>
        </w:rPr>
        <w:t>标</w:t>
      </w:r>
      <w:r>
        <w:rPr>
          <w:rFonts w:hint="eastAsia"/>
          <w:b w:val="0"/>
          <w:bCs/>
          <w:color w:val="auto"/>
          <w:sz w:val="24"/>
          <w:szCs w:val="24"/>
          <w:lang w:eastAsia="zh-CN"/>
        </w:rPr>
        <w:t>和</w:t>
      </w:r>
      <w:r>
        <w:rPr>
          <w:rFonts w:hint="eastAsia"/>
          <w:b w:val="0"/>
          <w:bCs/>
          <w:color w:val="auto"/>
          <w:sz w:val="24"/>
          <w:szCs w:val="24"/>
          <w:lang w:val="en-US" w:eastAsia="zh-CN"/>
        </w:rPr>
        <w:t>经济标</w:t>
      </w:r>
      <w:r>
        <w:rPr>
          <w:rFonts w:hint="eastAsia"/>
          <w:b w:val="0"/>
          <w:bCs/>
          <w:color w:val="auto"/>
          <w:sz w:val="24"/>
          <w:szCs w:val="24"/>
          <w:lang w:eastAsia="zh-CN"/>
        </w:rPr>
        <w:t>顺序胶装成一册）一式五份，正本一份，副本四份。</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25.2投标文件的正本和副本均需打印或使用不褪色的蓝、黑墨水笔书写，字迹应清晰易于辩认，并应在投标文件封面的右上角清楚地注明“正本”或“副本”。正本和副本如不符，以正本为准。</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25.3投标文件中的授权书、投标函及报价一览表等应当在格式文本要求的相应位置签字和盖章。</w:t>
      </w:r>
    </w:p>
    <w:p>
      <w:pPr>
        <w:spacing w:line="360" w:lineRule="auto"/>
        <w:ind w:firstLine="468" w:firstLineChars="195"/>
        <w:rPr>
          <w:rFonts w:hint="eastAsia" w:ascii="Times New Roman" w:hAnsi="Times New Roman" w:eastAsia="宋体" w:cs="Times New Roman"/>
          <w:b w:val="0"/>
          <w:bCs/>
          <w:color w:val="auto"/>
          <w:sz w:val="24"/>
          <w:szCs w:val="24"/>
          <w:lang w:eastAsia="zh-CN"/>
        </w:rPr>
      </w:pPr>
      <w:r>
        <w:rPr>
          <w:rFonts w:hint="eastAsia"/>
          <w:b w:val="0"/>
          <w:bCs/>
          <w:color w:val="auto"/>
          <w:sz w:val="24"/>
          <w:szCs w:val="24"/>
          <w:lang w:eastAsia="zh-CN"/>
        </w:rPr>
        <w:t>25.4全套</w:t>
      </w:r>
      <w:r>
        <w:rPr>
          <w:rFonts w:hint="eastAsia" w:ascii="Times New Roman" w:hAnsi="Times New Roman" w:eastAsia="宋体" w:cs="Times New Roman"/>
          <w:b w:val="0"/>
          <w:bCs/>
          <w:color w:val="auto"/>
          <w:sz w:val="24"/>
          <w:szCs w:val="24"/>
          <w:lang w:eastAsia="zh-CN"/>
        </w:rPr>
        <w:t>投标文件应无修改和行间插字。如有修改，须在修改处加盖投标单位法定代表人或其委托代理人的印鉴。</w:t>
      </w:r>
    </w:p>
    <w:p>
      <w:pPr>
        <w:spacing w:line="360" w:lineRule="auto"/>
        <w:ind w:firstLine="468" w:firstLineChars="195"/>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25.5</w:t>
      </w:r>
      <w:r>
        <w:rPr>
          <w:rFonts w:hint="eastAsia" w:ascii="宋体" w:hAnsi="宋体" w:eastAsia="宋体" w:cs="宋体"/>
          <w:sz w:val="24"/>
          <w:szCs w:val="24"/>
        </w:rPr>
        <w:t>电报、电话、传真、电子邮件等形式的投标概不接受。</w:t>
      </w:r>
    </w:p>
    <w:p>
      <w:pPr>
        <w:numPr>
          <w:ilvl w:val="0"/>
          <w:numId w:val="9"/>
        </w:numPr>
        <w:spacing w:line="360" w:lineRule="auto"/>
        <w:ind w:firstLine="482" w:firstLineChars="200"/>
        <w:rPr>
          <w:b/>
          <w:color w:val="auto"/>
          <w:sz w:val="24"/>
          <w:szCs w:val="24"/>
        </w:rPr>
      </w:pPr>
      <w:r>
        <w:rPr>
          <w:b/>
          <w:color w:val="auto"/>
          <w:sz w:val="24"/>
          <w:szCs w:val="24"/>
        </w:rPr>
        <w:t>投标文件的装订、密封和标记</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26.1投标文件的装订</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26.1.1投标文件应按A4纸大小进行装订，对于较大图表，可采用A3纸，但需要按A4纸大小进行折叠、装订成一册。投标文件的正本与副本应分别装订成册，具体装订要求见投标人须知前附表规定。</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26.2投标文件的密封和标记</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26.2.1投标文件应进行包装，并在封套的封口处加盖投标人单位公章。</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26.2.2投标文件封套上应写明的内容及具体密封要求见投标人须知前附表。</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26.2.3应按本章第26.2.1项或26.2.2项中大包装袋要求密封和加写标记的投标文件。</w:t>
      </w:r>
    </w:p>
    <w:p>
      <w:pPr>
        <w:numPr>
          <w:ilvl w:val="0"/>
          <w:numId w:val="10"/>
        </w:numPr>
        <w:spacing w:line="360" w:lineRule="auto"/>
        <w:ind w:firstLine="482" w:firstLineChars="200"/>
        <w:jc w:val="left"/>
        <w:rPr>
          <w:b/>
          <w:color w:val="auto"/>
          <w:sz w:val="24"/>
          <w:szCs w:val="24"/>
        </w:rPr>
      </w:pPr>
      <w:r>
        <w:rPr>
          <w:b/>
          <w:color w:val="auto"/>
          <w:sz w:val="24"/>
          <w:szCs w:val="24"/>
        </w:rPr>
        <w:t>投标文件的提交</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27.1投标人应在投标人须知前附表规定的投标截止时间前递交投标文件。</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27.2投标人递交投标文件的地点：见投标人须知前附表。</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27.3除投标人须知前附表另有规定外，投标人所递交的投标文件不予退还。</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27.</w:t>
      </w:r>
      <w:r>
        <w:rPr>
          <w:rFonts w:hint="eastAsia"/>
          <w:b w:val="0"/>
          <w:bCs/>
          <w:color w:val="auto"/>
          <w:sz w:val="24"/>
          <w:szCs w:val="24"/>
          <w:lang w:val="en-US" w:eastAsia="zh-CN"/>
        </w:rPr>
        <w:t>4</w:t>
      </w:r>
      <w:r>
        <w:rPr>
          <w:rFonts w:hint="eastAsia"/>
          <w:b w:val="0"/>
          <w:bCs/>
          <w:color w:val="auto"/>
          <w:sz w:val="24"/>
          <w:szCs w:val="24"/>
          <w:lang w:eastAsia="zh-CN"/>
        </w:rPr>
        <w:t>逾期送达的或者未送达指定地点的投标文件，招标人不予受理。</w:t>
      </w:r>
    </w:p>
    <w:p>
      <w:pPr>
        <w:spacing w:line="360" w:lineRule="auto"/>
        <w:ind w:firstLine="468" w:firstLineChars="195"/>
        <w:rPr>
          <w:rFonts w:hint="default"/>
          <w:b w:val="0"/>
          <w:bCs/>
          <w:color w:val="auto"/>
          <w:sz w:val="24"/>
          <w:szCs w:val="24"/>
          <w:lang w:val="en-US" w:eastAsia="zh-CN"/>
        </w:rPr>
      </w:pPr>
      <w:r>
        <w:rPr>
          <w:rFonts w:hint="eastAsia"/>
          <w:b w:val="0"/>
          <w:bCs/>
          <w:color w:val="auto"/>
          <w:sz w:val="24"/>
          <w:szCs w:val="24"/>
          <w:lang w:val="en-US" w:eastAsia="zh-CN"/>
        </w:rPr>
        <w:t>27.5</w:t>
      </w:r>
      <w:r>
        <w:rPr>
          <w:rFonts w:hint="eastAsia" w:ascii="宋体" w:hAnsi="宋体" w:eastAsia="宋体" w:cs="宋体"/>
          <w:b/>
          <w:bCs w:val="0"/>
          <w:sz w:val="24"/>
          <w:szCs w:val="24"/>
          <w:lang w:eastAsia="zh-CN"/>
        </w:rPr>
        <w:t>请使用CA数字证书登录博州公共资源交易平台于投标截止时间前上传加密版投标文件；开标时请携带制作投标文件的CA数字证书和纸质投标书：1份正本4份副本参与开标解密，请使用CA数字证书登录博州公共资源交易平台（http://xzfw.xjboz.gov.cn/TPBidder）递交投标文件，并于开标前1小时内递交纸质投标文件到现场指定开标室。投标人上传电子投标文件的时间不得迟于招标公告中规定的投标截止时间。投标人应充分考虑到网络环境、网络带宽等风险因素，如因投标人自身原因造成的电子投标文件上传不成功由投标人自行承担全部责任。交易中心（代理机构）拒绝接收在其规定的投标截止时间后上传的任何投标文件。（CA数字证书办理联系电话：18799600165）。电子加密投标文件的制作方法详见博州公共资源交易平台服务指南中</w:t>
      </w:r>
      <w:r>
        <w:rPr>
          <w:rFonts w:hint="eastAsia" w:ascii="宋体" w:hAnsi="宋体" w:eastAsia="宋体" w:cs="宋体"/>
          <w:b/>
          <w:bCs w:val="0"/>
          <w:sz w:val="24"/>
          <w:szCs w:val="24"/>
          <w:lang w:eastAsia="zh-CN"/>
        </w:rPr>
        <w:fldChar w:fldCharType="begin"/>
      </w:r>
      <w:r>
        <w:rPr>
          <w:rFonts w:hint="eastAsia" w:ascii="宋体" w:hAnsi="宋体" w:eastAsia="宋体" w:cs="宋体"/>
          <w:b/>
          <w:bCs w:val="0"/>
          <w:sz w:val="24"/>
          <w:szCs w:val="24"/>
          <w:lang w:eastAsia="zh-CN"/>
        </w:rPr>
        <w:instrText xml:space="preserve"> HYPERLINK "http://xzfw.xjboz.gov.cn/fwzn/003003/20201201/1e256438-0668-4d69-b10a-8459b1a788b5.html" \o "博州公共资源交易平台政府采购供应商操作手册" \t "http://xzfw.xjboz.gov.cn/fwzn/_blank" </w:instrText>
      </w:r>
      <w:r>
        <w:rPr>
          <w:rFonts w:hint="eastAsia" w:ascii="宋体" w:hAnsi="宋体" w:eastAsia="宋体" w:cs="宋体"/>
          <w:b/>
          <w:bCs w:val="0"/>
          <w:sz w:val="24"/>
          <w:szCs w:val="24"/>
          <w:lang w:eastAsia="zh-CN"/>
        </w:rPr>
        <w:fldChar w:fldCharType="separate"/>
      </w:r>
      <w:r>
        <w:rPr>
          <w:rFonts w:hint="eastAsia" w:ascii="宋体" w:hAnsi="宋体" w:eastAsia="宋体" w:cs="宋体"/>
          <w:b/>
          <w:bCs w:val="0"/>
          <w:sz w:val="24"/>
          <w:szCs w:val="24"/>
          <w:lang w:eastAsia="zh-CN"/>
        </w:rPr>
        <w:t>博州公共资源交易平台政府采购供应商操作手册</w:t>
      </w:r>
      <w:r>
        <w:rPr>
          <w:rFonts w:hint="eastAsia" w:ascii="宋体" w:hAnsi="宋体" w:eastAsia="宋体" w:cs="宋体"/>
          <w:b/>
          <w:bCs w:val="0"/>
          <w:sz w:val="24"/>
          <w:szCs w:val="24"/>
          <w:lang w:eastAsia="zh-CN"/>
        </w:rPr>
        <w:fldChar w:fldCharType="end"/>
      </w:r>
      <w:r>
        <w:rPr>
          <w:rFonts w:hint="eastAsia" w:ascii="宋体" w:hAnsi="宋体" w:eastAsia="宋体" w:cs="宋体"/>
          <w:b/>
          <w:bCs w:val="0"/>
          <w:sz w:val="24"/>
          <w:szCs w:val="24"/>
          <w:lang w:eastAsia="zh-CN"/>
        </w:rPr>
        <w:t>。</w:t>
      </w:r>
    </w:p>
    <w:p>
      <w:pPr>
        <w:numPr>
          <w:ilvl w:val="0"/>
          <w:numId w:val="10"/>
        </w:numPr>
        <w:spacing w:line="360" w:lineRule="auto"/>
        <w:ind w:left="0" w:leftChars="0" w:firstLine="482" w:firstLineChars="200"/>
        <w:rPr>
          <w:b/>
          <w:color w:val="auto"/>
          <w:sz w:val="24"/>
          <w:szCs w:val="24"/>
        </w:rPr>
      </w:pPr>
      <w:r>
        <w:rPr>
          <w:b/>
          <w:color w:val="auto"/>
          <w:sz w:val="24"/>
          <w:szCs w:val="24"/>
        </w:rPr>
        <w:t>投标文件的补充、修改与撤回</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28.1投标人在提交投标文件以后，在规定的投标截止时间之前，可以补充、修改或撤回已提交的投标文件。补充、修改的内容为投标文件的组成部分。</w:t>
      </w:r>
    </w:p>
    <w:p>
      <w:pPr>
        <w:spacing w:line="360" w:lineRule="auto"/>
        <w:ind w:firstLine="468" w:firstLineChars="195"/>
        <w:rPr>
          <w:b/>
          <w:color w:val="auto"/>
          <w:sz w:val="28"/>
          <w:szCs w:val="28"/>
        </w:rPr>
      </w:pPr>
      <w:r>
        <w:rPr>
          <w:rFonts w:hint="eastAsia"/>
          <w:b w:val="0"/>
          <w:bCs/>
          <w:color w:val="auto"/>
          <w:sz w:val="24"/>
          <w:szCs w:val="24"/>
          <w:lang w:eastAsia="zh-CN"/>
        </w:rPr>
        <w:t>28.</w:t>
      </w:r>
      <w:r>
        <w:rPr>
          <w:rFonts w:hint="eastAsia"/>
          <w:b w:val="0"/>
          <w:bCs/>
          <w:color w:val="auto"/>
          <w:sz w:val="24"/>
          <w:szCs w:val="24"/>
          <w:lang w:val="en-US" w:eastAsia="zh-CN"/>
        </w:rPr>
        <w:t>2</w:t>
      </w:r>
      <w:r>
        <w:rPr>
          <w:rFonts w:hint="eastAsia"/>
          <w:b w:val="0"/>
          <w:bCs/>
          <w:color w:val="auto"/>
          <w:sz w:val="24"/>
          <w:szCs w:val="24"/>
          <w:lang w:eastAsia="zh-CN"/>
        </w:rPr>
        <w:t>在投标截止时间之后，投标人不得补充、修改投标文件。</w:t>
      </w:r>
    </w:p>
    <w:p>
      <w:pPr>
        <w:spacing w:line="360" w:lineRule="auto"/>
        <w:jc w:val="center"/>
        <w:rPr>
          <w:b/>
          <w:color w:val="auto"/>
          <w:sz w:val="28"/>
          <w:szCs w:val="28"/>
        </w:rPr>
      </w:pPr>
      <w:r>
        <w:rPr>
          <w:b/>
          <w:color w:val="auto"/>
          <w:sz w:val="28"/>
          <w:szCs w:val="28"/>
        </w:rPr>
        <w:t>（五）开标、评标和定标</w:t>
      </w:r>
    </w:p>
    <w:p>
      <w:pPr>
        <w:spacing w:line="360" w:lineRule="auto"/>
        <w:ind w:firstLine="482" w:firstLineChars="200"/>
        <w:rPr>
          <w:b/>
          <w:color w:val="auto"/>
          <w:sz w:val="24"/>
          <w:szCs w:val="24"/>
        </w:rPr>
      </w:pPr>
      <w:r>
        <w:rPr>
          <w:b/>
          <w:color w:val="auto"/>
          <w:sz w:val="24"/>
          <w:szCs w:val="24"/>
        </w:rPr>
        <w:t>29. 开标</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29.1开标的时间和地点</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29.1.1招标人按本须知第27条提交投标文件的截止时间和地点公开开标，并邀请所有投标人参加。</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29.2投标人法定代表人或被授权代理人必须到场参加开标会议，并出示法定代表人有效身份证原件或被授权代理人有效身份证原件，以便开标会议上证明其身份及投标资格。</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29.3开标程序</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开标会议由</w:t>
      </w:r>
      <w:r>
        <w:rPr>
          <w:rFonts w:hint="eastAsia"/>
          <w:b w:val="0"/>
          <w:bCs/>
          <w:color w:val="auto"/>
          <w:sz w:val="24"/>
          <w:szCs w:val="24"/>
          <w:u w:val="single" w:color="auto"/>
          <w:lang w:eastAsia="zh-CN"/>
        </w:rPr>
        <w:t xml:space="preserve"> </w:t>
      </w:r>
      <w:r>
        <w:rPr>
          <w:rFonts w:hint="eastAsia"/>
          <w:b w:val="0"/>
          <w:bCs/>
          <w:color w:val="auto"/>
          <w:sz w:val="24"/>
          <w:szCs w:val="24"/>
          <w:u w:val="single" w:color="auto"/>
          <w:lang w:val="en-US" w:eastAsia="zh-CN"/>
        </w:rPr>
        <w:t xml:space="preserve">新疆喀大建设项目管理咨询有限公司 </w:t>
      </w:r>
      <w:r>
        <w:rPr>
          <w:rFonts w:hint="eastAsia"/>
          <w:b w:val="0"/>
          <w:bCs/>
          <w:color w:val="auto"/>
          <w:sz w:val="24"/>
          <w:szCs w:val="24"/>
          <w:lang w:eastAsia="zh-CN"/>
        </w:rPr>
        <w:t>或招标人主持。</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w:t>
      </w:r>
      <w:r>
        <w:rPr>
          <w:rFonts w:hint="eastAsia"/>
          <w:b w:val="0"/>
          <w:bCs/>
          <w:color w:val="auto"/>
          <w:sz w:val="24"/>
          <w:szCs w:val="24"/>
          <w:lang w:val="en-US" w:eastAsia="zh-CN"/>
        </w:rPr>
        <w:t>1</w:t>
      </w:r>
      <w:r>
        <w:rPr>
          <w:rFonts w:hint="eastAsia"/>
          <w:b w:val="0"/>
          <w:bCs/>
          <w:color w:val="auto"/>
          <w:sz w:val="24"/>
          <w:szCs w:val="24"/>
          <w:lang w:eastAsia="zh-CN"/>
        </w:rPr>
        <w:t>）公布在投标截止时间前递交投标文件的投标单位名称，并确认投标单位相关人员是否到场；</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（2）宣布开标人、唱标人、记录人、监标人等有关人员姓名，并宣读开标会议纪律和要求；</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（3）由投标单位或其推选的代表检查投标文件的密封情况；</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（4）招标人对各投标单位资格条件进行审查；</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（5）主持人宣布审查结果，招标人接受投标人质疑并复议；</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（6）宣布开标顺序并唱标；</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（7）评标委员会对各投标单位标书进行初评；</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（8）评标委员会对通过初审的标书进行评价和比较；</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（9）评标委员会根据需要要求有关投标人就投标文件进行澄清；</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（10）评标委员会根据评审结果推荐中标候选人，主持人宣布评审结果；</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（1</w:t>
      </w:r>
      <w:r>
        <w:rPr>
          <w:rFonts w:hint="eastAsia"/>
          <w:b w:val="0"/>
          <w:bCs/>
          <w:color w:val="auto"/>
          <w:sz w:val="24"/>
          <w:szCs w:val="24"/>
          <w:lang w:val="en-US" w:eastAsia="zh-CN"/>
        </w:rPr>
        <w:t>1</w:t>
      </w:r>
      <w:r>
        <w:rPr>
          <w:rFonts w:hint="eastAsia"/>
          <w:b w:val="0"/>
          <w:bCs/>
          <w:color w:val="auto"/>
          <w:sz w:val="24"/>
          <w:szCs w:val="24"/>
          <w:lang w:eastAsia="zh-CN"/>
        </w:rPr>
        <w:t>）有关人员在开标记录上签字确认；</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w:t>
      </w:r>
      <w:r>
        <w:rPr>
          <w:rFonts w:hint="eastAsia"/>
          <w:b w:val="0"/>
          <w:bCs/>
          <w:color w:val="auto"/>
          <w:sz w:val="24"/>
          <w:szCs w:val="24"/>
          <w:lang w:val="en-US" w:eastAsia="zh-CN"/>
        </w:rPr>
        <w:t>12</w:t>
      </w:r>
      <w:r>
        <w:rPr>
          <w:rFonts w:hint="eastAsia"/>
          <w:b w:val="0"/>
          <w:bCs/>
          <w:color w:val="auto"/>
          <w:sz w:val="24"/>
          <w:szCs w:val="24"/>
          <w:lang w:eastAsia="zh-CN"/>
        </w:rPr>
        <w:t>）开标结束。</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29.4开标异议</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投标人对开标有异议的，应当在开标现场提出，招标人当场作出答复，并制作记录。</w:t>
      </w:r>
    </w:p>
    <w:p>
      <w:pPr>
        <w:spacing w:line="360" w:lineRule="auto"/>
        <w:ind w:firstLine="482" w:firstLineChars="200"/>
        <w:jc w:val="left"/>
        <w:rPr>
          <w:b/>
          <w:color w:val="auto"/>
          <w:sz w:val="24"/>
          <w:szCs w:val="24"/>
        </w:rPr>
      </w:pPr>
      <w:r>
        <w:rPr>
          <w:b/>
          <w:color w:val="auto"/>
          <w:sz w:val="24"/>
          <w:szCs w:val="24"/>
        </w:rPr>
        <w:t>30. 评标委员会</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30.1评标委员会的组成</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30.1.1评标由招标人依法组建的评标委员会负责。</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30.1.2评标委员会负责人依法推荐或确定。</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30.2评标委员会成员名单在中标结果确定前应当保密。</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30.3评标委员会成员有下述情形的，应当主动提出回避：</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w:t>
      </w:r>
      <w:r>
        <w:rPr>
          <w:rFonts w:hint="eastAsia"/>
          <w:b w:val="0"/>
          <w:bCs/>
          <w:color w:val="auto"/>
          <w:sz w:val="24"/>
          <w:szCs w:val="24"/>
          <w:lang w:val="en-US" w:eastAsia="zh-CN"/>
        </w:rPr>
        <w:t>1</w:t>
      </w:r>
      <w:r>
        <w:rPr>
          <w:rFonts w:hint="eastAsia"/>
          <w:b w:val="0"/>
          <w:bCs/>
          <w:color w:val="auto"/>
          <w:sz w:val="24"/>
          <w:szCs w:val="24"/>
          <w:lang w:eastAsia="zh-CN"/>
        </w:rPr>
        <w:t>）投标人或投标人主要负责人的近亲属；</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w:t>
      </w:r>
      <w:r>
        <w:rPr>
          <w:rFonts w:hint="eastAsia"/>
          <w:b w:val="0"/>
          <w:bCs/>
          <w:color w:val="auto"/>
          <w:sz w:val="24"/>
          <w:szCs w:val="24"/>
          <w:lang w:val="en-US" w:eastAsia="zh-CN"/>
        </w:rPr>
        <w:t>2</w:t>
      </w:r>
      <w:r>
        <w:rPr>
          <w:rFonts w:hint="eastAsia"/>
          <w:b w:val="0"/>
          <w:bCs/>
          <w:color w:val="auto"/>
          <w:sz w:val="24"/>
          <w:szCs w:val="24"/>
          <w:lang w:eastAsia="zh-CN"/>
        </w:rPr>
        <w:t>）项目主管部门或者行政监督部门的人员；</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w:t>
      </w:r>
      <w:r>
        <w:rPr>
          <w:rFonts w:hint="eastAsia"/>
          <w:b w:val="0"/>
          <w:bCs/>
          <w:color w:val="auto"/>
          <w:sz w:val="24"/>
          <w:szCs w:val="24"/>
          <w:lang w:val="en-US" w:eastAsia="zh-CN"/>
        </w:rPr>
        <w:t>3</w:t>
      </w:r>
      <w:r>
        <w:rPr>
          <w:rFonts w:hint="eastAsia"/>
          <w:b w:val="0"/>
          <w:bCs/>
          <w:color w:val="auto"/>
          <w:sz w:val="24"/>
          <w:szCs w:val="24"/>
          <w:lang w:eastAsia="zh-CN"/>
        </w:rPr>
        <w:t>）与投标人有经济利益关系；</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w:t>
      </w:r>
      <w:r>
        <w:rPr>
          <w:rFonts w:hint="eastAsia"/>
          <w:b w:val="0"/>
          <w:bCs/>
          <w:color w:val="auto"/>
          <w:sz w:val="24"/>
          <w:szCs w:val="24"/>
          <w:lang w:val="en-US" w:eastAsia="zh-CN"/>
        </w:rPr>
        <w:t>4</w:t>
      </w:r>
      <w:r>
        <w:rPr>
          <w:rFonts w:hint="eastAsia"/>
          <w:b w:val="0"/>
          <w:bCs/>
          <w:color w:val="auto"/>
          <w:sz w:val="24"/>
          <w:szCs w:val="24"/>
          <w:lang w:eastAsia="zh-CN"/>
        </w:rPr>
        <w:t>）曾因在招标、评标以及其他与招标投标有关活动中从事违法行为而受过行政处罚或刑事处罚的；</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w:t>
      </w:r>
      <w:r>
        <w:rPr>
          <w:rFonts w:hint="eastAsia"/>
          <w:b w:val="0"/>
          <w:bCs/>
          <w:color w:val="auto"/>
          <w:sz w:val="24"/>
          <w:szCs w:val="24"/>
          <w:lang w:val="en-US" w:eastAsia="zh-CN"/>
        </w:rPr>
        <w:t>5</w:t>
      </w:r>
      <w:r>
        <w:rPr>
          <w:rFonts w:hint="eastAsia"/>
          <w:b w:val="0"/>
          <w:bCs/>
          <w:color w:val="auto"/>
          <w:sz w:val="24"/>
          <w:szCs w:val="24"/>
          <w:lang w:eastAsia="zh-CN"/>
        </w:rPr>
        <w:t>）与投标人有其他利害关系。</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30.4评标委员会应当向招标人提出书面评标报告，并抄送有关行政监督部门。</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30.5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p>
    <w:p>
      <w:pPr>
        <w:spacing w:line="360" w:lineRule="auto"/>
        <w:ind w:firstLine="482" w:firstLineChars="200"/>
        <w:jc w:val="left"/>
        <w:rPr>
          <w:b/>
          <w:color w:val="auto"/>
          <w:sz w:val="24"/>
          <w:szCs w:val="24"/>
        </w:rPr>
      </w:pPr>
      <w:r>
        <w:rPr>
          <w:b/>
          <w:color w:val="auto"/>
          <w:sz w:val="24"/>
          <w:szCs w:val="24"/>
        </w:rPr>
        <w:t>31. 评标</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31.1评标准备工作</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31.1.1阅读由招标人或招标代理单位编写的招标项目情况的说明材料；</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31.1.2阅读、研究招标文件和相关评标资料，获取评标所需要的重要信息和数据；</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31.1.3熟悉招标文件规定的评标方法及在评标过程中需要考虑的相关因素；</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31.1.4核对评标工作用表。</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31.2评标办法</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31.2.1评标委员会按照第三章“评标办法”规定的方法、评审因素、标准和程序对投标文件进行评审。第三章“评标办法”没有规定的方法、评审因素和标准，不作为评标依据。</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31.3评标原则：</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31.3.1遵循公平、公正、科学和择优的原则。</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31.4评标报告的签署</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31.4.1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31.5投标文件的澄清</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eastAsia="zh-CN"/>
        </w:rPr>
        <w:t>31.5.1在评标过程中，评标委员会认为需要，在招投标监督管理部门的监督下，可要求投标人对投标文件中的有关问题进行澄清或提供补充说明及有关资料，投标人应做出书面答复。</w:t>
      </w:r>
      <w:r>
        <w:rPr>
          <w:rFonts w:hint="eastAsia"/>
          <w:b w:val="0"/>
          <w:bCs/>
          <w:color w:val="auto"/>
          <w:sz w:val="24"/>
          <w:szCs w:val="24"/>
          <w:lang w:val="en-US" w:eastAsia="zh-CN"/>
        </w:rPr>
        <w:t xml:space="preserve">  </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31.5.2书面答复须经投标人法定代表人或其委托代理人签字或盖章，签字或盖章的书面答复将被视为投标文件的组成部分。</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31.6评审意见分歧的处理办法：</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（1）评标委员会应当对投标人提供的报告、证明材料及详细说明认真研究。对存在意见分歧的，可采用投票方式表决决定（按多数评委意见为准）；</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（2）招标投标当事人对评标结果提出异议或者投诉，招投标监督机构认为需要重新进行评标的，评标委员会成员应当按照招投标监督机构要求重新评标。</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31.7评标过程的保密</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31.7.1 开标后，直至授予中标人合同为止，凡属于对投标文件的审查、澄清、评价和比较有关的资料以及中标候选人的推荐情况及与评标有关的其他任何情况均须严格保密。</w:t>
      </w:r>
    </w:p>
    <w:p>
      <w:pPr>
        <w:spacing w:line="360" w:lineRule="auto"/>
        <w:ind w:firstLine="482" w:firstLineChars="200"/>
        <w:jc w:val="left"/>
        <w:rPr>
          <w:b/>
          <w:color w:val="auto"/>
          <w:sz w:val="24"/>
          <w:szCs w:val="24"/>
        </w:rPr>
      </w:pPr>
      <w:r>
        <w:rPr>
          <w:b/>
          <w:color w:val="auto"/>
          <w:sz w:val="24"/>
          <w:szCs w:val="24"/>
        </w:rPr>
        <w:t>32. 定标</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32.1 中标候选人的确定</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32.1.1除投标人须知前附表规定评标委员会直接确定中标人外，招标人依据评标委员会推荐的中标候选人确定中标人，评标委员会推荐中标候选人的人数见投标人须知前附表。评审结束后，根据评标委员会评审初步结论，招标人（或代理公司）将对推荐的中标候选人及其法定代表人、项目负责人是否是人民法院公布的失信被执行人进行网上核查，若核查结果与投标人承诺不一致，则提交评标委员会取消其预中标候选人资格，依次替补，并再次对替补单位进行核查。</w:t>
      </w:r>
    </w:p>
    <w:p>
      <w:pPr>
        <w:spacing w:line="360" w:lineRule="auto"/>
        <w:ind w:firstLine="468" w:firstLineChars="195"/>
        <w:rPr>
          <w:color w:val="auto"/>
          <w:spacing w:val="-6"/>
          <w:sz w:val="24"/>
          <w:szCs w:val="24"/>
        </w:rPr>
      </w:pPr>
      <w:r>
        <w:rPr>
          <w:rFonts w:hint="eastAsia"/>
          <w:b w:val="0"/>
          <w:bCs/>
          <w:color w:val="auto"/>
          <w:sz w:val="24"/>
          <w:szCs w:val="24"/>
          <w:lang w:eastAsia="zh-CN"/>
        </w:rPr>
        <w:t>32.1.2中标候选人确定后，招标人应将中标候选人名单在</w:t>
      </w:r>
      <w:r>
        <w:rPr>
          <w:color w:val="auto"/>
          <w:spacing w:val="-6"/>
          <w:sz w:val="24"/>
          <w:szCs w:val="24"/>
        </w:rPr>
        <w:t>招标人应将中标候选人名单新疆政府采购网</w:t>
      </w:r>
      <w:r>
        <w:rPr>
          <w:rFonts w:hint="eastAsia"/>
          <w:color w:val="auto"/>
          <w:spacing w:val="-6"/>
          <w:sz w:val="24"/>
          <w:szCs w:val="24"/>
          <w:lang w:eastAsia="zh-CN"/>
        </w:rPr>
        <w:t>、博州公共资源交易网</w:t>
      </w:r>
      <w:r>
        <w:rPr>
          <w:color w:val="auto"/>
          <w:spacing w:val="-6"/>
          <w:sz w:val="24"/>
          <w:szCs w:val="24"/>
        </w:rPr>
        <w:t>上公示</w:t>
      </w:r>
      <w:r>
        <w:rPr>
          <w:rFonts w:hint="eastAsia"/>
          <w:color w:val="auto"/>
          <w:spacing w:val="-6"/>
          <w:sz w:val="24"/>
          <w:szCs w:val="24"/>
          <w:lang w:val="en-US" w:eastAsia="zh-CN"/>
        </w:rPr>
        <w:t>1个工作</w:t>
      </w:r>
      <w:r>
        <w:rPr>
          <w:color w:val="auto"/>
          <w:spacing w:val="-6"/>
          <w:sz w:val="24"/>
          <w:szCs w:val="24"/>
        </w:rPr>
        <w:t>日。</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32.2 中标人的确定</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32.2.1若招标人未接到投诉或公共资源监督管理部门未通知招标人中标候选人在招标投标活动中有违法行为的，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或重新组织招标。排名第二的中标候选人因前款规定的同样原因不能签订合同的，招标人可以确定排名第三的中标候选人为中标人或重新组织招标。</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32.3 中标通知书</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32.3.1中标人确定后，招标人将向中标人发出中标通知书。</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32.3.2中标通知书须加盖招标人、招标代理机构公章，方可发出。</w:t>
      </w:r>
    </w:p>
    <w:p>
      <w:pPr>
        <w:spacing w:line="360" w:lineRule="auto"/>
        <w:ind w:firstLine="482" w:firstLineChars="200"/>
        <w:jc w:val="left"/>
        <w:rPr>
          <w:b/>
          <w:color w:val="auto"/>
          <w:sz w:val="24"/>
          <w:szCs w:val="24"/>
        </w:rPr>
      </w:pPr>
      <w:r>
        <w:rPr>
          <w:b/>
          <w:color w:val="auto"/>
          <w:sz w:val="24"/>
          <w:szCs w:val="24"/>
        </w:rPr>
        <w:t>33. 开评标异常情况处理</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 xml:space="preserve">33.1重新招标 </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有下列情形之一的，招标人将重新招标：</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（1）经评标委员会评审后否决所有投标的；</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（2）出现影响采购公正的违法、违规行为的；</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（3）投标人的报价均脱离实际且无充分证据的；</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（4）因重大变故，采购任务取消的。</w:t>
      </w:r>
    </w:p>
    <w:p>
      <w:pPr>
        <w:spacing w:line="360" w:lineRule="auto"/>
        <w:ind w:firstLine="468" w:firstLineChars="195"/>
        <w:rPr>
          <w:b/>
          <w:color w:val="auto"/>
          <w:sz w:val="28"/>
          <w:szCs w:val="28"/>
        </w:rPr>
      </w:pPr>
      <w:r>
        <w:rPr>
          <w:rFonts w:hint="eastAsia"/>
          <w:b w:val="0"/>
          <w:bCs/>
          <w:color w:val="auto"/>
          <w:sz w:val="24"/>
          <w:szCs w:val="24"/>
          <w:lang w:eastAsia="zh-CN"/>
        </w:rPr>
        <w:t>（5）法律、法规规定的其他情形。</w:t>
      </w:r>
    </w:p>
    <w:p>
      <w:pPr>
        <w:spacing w:line="360" w:lineRule="auto"/>
        <w:ind w:right="-512" w:rightChars="-244"/>
        <w:jc w:val="center"/>
        <w:rPr>
          <w:b/>
          <w:color w:val="auto"/>
          <w:sz w:val="28"/>
          <w:szCs w:val="28"/>
        </w:rPr>
      </w:pPr>
      <w:r>
        <w:rPr>
          <w:b/>
          <w:color w:val="auto"/>
          <w:sz w:val="28"/>
          <w:szCs w:val="28"/>
        </w:rPr>
        <w:t>（六）合同的授予</w:t>
      </w:r>
    </w:p>
    <w:p>
      <w:pPr>
        <w:spacing w:line="360" w:lineRule="auto"/>
        <w:ind w:firstLine="482" w:firstLineChars="200"/>
        <w:jc w:val="left"/>
        <w:rPr>
          <w:rFonts w:hint="eastAsia"/>
          <w:b/>
          <w:color w:val="auto"/>
          <w:sz w:val="24"/>
          <w:szCs w:val="24"/>
          <w:lang w:eastAsia="zh-CN"/>
        </w:rPr>
      </w:pPr>
      <w:r>
        <w:rPr>
          <w:rFonts w:hint="eastAsia"/>
          <w:b/>
          <w:color w:val="auto"/>
          <w:sz w:val="24"/>
          <w:szCs w:val="24"/>
          <w:lang w:val="en-US" w:eastAsia="zh-CN"/>
        </w:rPr>
        <w:t xml:space="preserve">34. </w:t>
      </w:r>
      <w:r>
        <w:rPr>
          <w:rFonts w:hint="eastAsia"/>
          <w:b/>
          <w:color w:val="auto"/>
          <w:sz w:val="24"/>
          <w:szCs w:val="24"/>
          <w:lang w:eastAsia="zh-CN"/>
        </w:rPr>
        <w:t>合同</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w:t>
      </w:r>
      <w:r>
        <w:rPr>
          <w:rFonts w:hint="eastAsia"/>
          <w:b w:val="0"/>
          <w:bCs/>
          <w:color w:val="auto"/>
          <w:sz w:val="24"/>
          <w:szCs w:val="24"/>
          <w:lang w:val="en-US" w:eastAsia="zh-CN"/>
        </w:rPr>
        <w:t>4</w:t>
      </w:r>
      <w:r>
        <w:rPr>
          <w:rFonts w:hint="eastAsia"/>
          <w:b w:val="0"/>
          <w:bCs/>
          <w:color w:val="auto"/>
          <w:sz w:val="24"/>
          <w:szCs w:val="24"/>
          <w:lang w:eastAsia="zh-CN"/>
        </w:rPr>
        <w:t>.1招标人与中标人将于中标通知书发出之日起30日内，按照招标文件和投标文件和中标人订立书面采购合同。合同双方不得再行订立背离合同实质性内容的其他协议。合同价款按招标文件前附表规定。</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w:t>
      </w:r>
      <w:r>
        <w:rPr>
          <w:rFonts w:hint="eastAsia"/>
          <w:b w:val="0"/>
          <w:bCs/>
          <w:color w:val="auto"/>
          <w:sz w:val="24"/>
          <w:szCs w:val="24"/>
          <w:lang w:val="en-US" w:eastAsia="zh-CN"/>
        </w:rPr>
        <w:t>4</w:t>
      </w:r>
      <w:r>
        <w:rPr>
          <w:rFonts w:hint="eastAsia"/>
          <w:b w:val="0"/>
          <w:bCs/>
          <w:color w:val="auto"/>
          <w:sz w:val="24"/>
          <w:szCs w:val="24"/>
          <w:lang w:eastAsia="zh-CN"/>
        </w:rPr>
        <w:t>.2招标人如不按招标文件第3</w:t>
      </w:r>
      <w:r>
        <w:rPr>
          <w:rFonts w:hint="eastAsia"/>
          <w:b w:val="0"/>
          <w:bCs/>
          <w:color w:val="auto"/>
          <w:sz w:val="24"/>
          <w:szCs w:val="24"/>
          <w:lang w:val="en-US" w:eastAsia="zh-CN"/>
        </w:rPr>
        <w:t>4</w:t>
      </w:r>
      <w:r>
        <w:rPr>
          <w:rFonts w:hint="eastAsia"/>
          <w:b w:val="0"/>
          <w:bCs/>
          <w:color w:val="auto"/>
          <w:sz w:val="24"/>
          <w:szCs w:val="24"/>
          <w:lang w:eastAsia="zh-CN"/>
        </w:rPr>
        <w:t>.1条的规定与中标人订立合同，或者招标人、中标人订立背离合同实质性内容的协议，招标人应当按投标保证金的数额对投标人进行赔偿，给投标人造成的损失超过投标保证金数额的，还应当对超过部分予以赔偿，同时依法承担相应法律责任。</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w:t>
      </w:r>
      <w:r>
        <w:rPr>
          <w:rFonts w:hint="eastAsia"/>
          <w:b w:val="0"/>
          <w:bCs/>
          <w:color w:val="auto"/>
          <w:sz w:val="24"/>
          <w:szCs w:val="24"/>
          <w:lang w:val="en-US" w:eastAsia="zh-CN"/>
        </w:rPr>
        <w:t>4</w:t>
      </w:r>
      <w:r>
        <w:rPr>
          <w:rFonts w:hint="eastAsia"/>
          <w:b w:val="0"/>
          <w:bCs/>
          <w:color w:val="auto"/>
          <w:sz w:val="24"/>
          <w:szCs w:val="24"/>
          <w:lang w:eastAsia="zh-CN"/>
        </w:rPr>
        <w:t>.3 中标人如不按本投标须知第3</w:t>
      </w:r>
      <w:r>
        <w:rPr>
          <w:rFonts w:hint="eastAsia"/>
          <w:b w:val="0"/>
          <w:bCs/>
          <w:color w:val="auto"/>
          <w:sz w:val="24"/>
          <w:szCs w:val="24"/>
          <w:lang w:val="en-US" w:eastAsia="zh-CN"/>
        </w:rPr>
        <w:t>4</w:t>
      </w:r>
      <w:r>
        <w:rPr>
          <w:rFonts w:hint="eastAsia"/>
          <w:b w:val="0"/>
          <w:bCs/>
          <w:color w:val="auto"/>
          <w:sz w:val="24"/>
          <w:szCs w:val="24"/>
          <w:lang w:eastAsia="zh-CN"/>
        </w:rPr>
        <w:t>.1条的规定与招标人订立合同，招标人将取消其中标资格，投标保证金不予退还，给招标人造成的损失超过投标保证金数额的，还应当对超过部分予以赔偿，同时依法承担相应法律责任。</w:t>
      </w:r>
    </w:p>
    <w:p>
      <w:pPr>
        <w:spacing w:line="360" w:lineRule="auto"/>
        <w:ind w:firstLine="468" w:firstLineChars="195"/>
        <w:rPr>
          <w:color w:val="auto"/>
          <w:sz w:val="24"/>
          <w:szCs w:val="24"/>
        </w:rPr>
      </w:pPr>
      <w:r>
        <w:rPr>
          <w:rFonts w:hint="eastAsia"/>
          <w:b w:val="0"/>
          <w:bCs/>
          <w:color w:val="auto"/>
          <w:sz w:val="24"/>
          <w:szCs w:val="24"/>
          <w:lang w:eastAsia="zh-CN"/>
        </w:rPr>
        <w:t>3</w:t>
      </w:r>
      <w:r>
        <w:rPr>
          <w:rFonts w:hint="eastAsia"/>
          <w:b w:val="0"/>
          <w:bCs/>
          <w:color w:val="auto"/>
          <w:sz w:val="24"/>
          <w:szCs w:val="24"/>
          <w:lang w:val="en-US" w:eastAsia="zh-CN"/>
        </w:rPr>
        <w:t>4</w:t>
      </w:r>
      <w:r>
        <w:rPr>
          <w:rFonts w:hint="eastAsia"/>
          <w:b w:val="0"/>
          <w:bCs/>
          <w:color w:val="auto"/>
          <w:sz w:val="24"/>
          <w:szCs w:val="24"/>
          <w:lang w:eastAsia="zh-CN"/>
        </w:rPr>
        <w:t>.4中标人应当按照合同约定履行义务，完成中标项目，不得将中标项目转让（转包）给他人。</w:t>
      </w:r>
    </w:p>
    <w:p>
      <w:pPr>
        <w:numPr>
          <w:ilvl w:val="0"/>
          <w:numId w:val="11"/>
        </w:numPr>
        <w:spacing w:line="360" w:lineRule="auto"/>
        <w:ind w:firstLine="482" w:firstLineChars="200"/>
        <w:jc w:val="left"/>
        <w:rPr>
          <w:b/>
          <w:color w:val="auto"/>
          <w:sz w:val="24"/>
          <w:szCs w:val="24"/>
        </w:rPr>
      </w:pPr>
      <w:r>
        <w:rPr>
          <w:b/>
          <w:color w:val="auto"/>
          <w:sz w:val="24"/>
          <w:szCs w:val="24"/>
        </w:rPr>
        <w:t>履约保证金</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w:t>
      </w:r>
      <w:r>
        <w:rPr>
          <w:rFonts w:hint="eastAsia"/>
          <w:b w:val="0"/>
          <w:bCs/>
          <w:color w:val="auto"/>
          <w:sz w:val="24"/>
          <w:szCs w:val="24"/>
          <w:lang w:val="en-US" w:eastAsia="zh-CN"/>
        </w:rPr>
        <w:t>5</w:t>
      </w:r>
      <w:r>
        <w:rPr>
          <w:rFonts w:hint="eastAsia"/>
          <w:b w:val="0"/>
          <w:bCs/>
          <w:color w:val="auto"/>
          <w:sz w:val="24"/>
          <w:szCs w:val="24"/>
          <w:lang w:eastAsia="zh-CN"/>
        </w:rPr>
        <w:t>.1在签订合同后五日内，中标人应按投标人须知前附表规定的金额、担保形式向招标人提交履约保证金。</w:t>
      </w:r>
    </w:p>
    <w:p>
      <w:pPr>
        <w:spacing w:line="360" w:lineRule="auto"/>
        <w:ind w:firstLine="468" w:firstLineChars="195"/>
        <w:rPr>
          <w:color w:val="auto"/>
          <w:sz w:val="24"/>
          <w:szCs w:val="24"/>
        </w:rPr>
      </w:pPr>
      <w:r>
        <w:rPr>
          <w:rFonts w:hint="eastAsia"/>
          <w:b w:val="0"/>
          <w:bCs/>
          <w:color w:val="auto"/>
          <w:sz w:val="24"/>
          <w:szCs w:val="24"/>
          <w:lang w:eastAsia="zh-CN"/>
        </w:rPr>
        <w:t>3</w:t>
      </w:r>
      <w:r>
        <w:rPr>
          <w:rFonts w:hint="eastAsia"/>
          <w:b w:val="0"/>
          <w:bCs/>
          <w:color w:val="auto"/>
          <w:sz w:val="24"/>
          <w:szCs w:val="24"/>
          <w:lang w:val="en-US" w:eastAsia="zh-CN"/>
        </w:rPr>
        <w:t>5</w:t>
      </w:r>
      <w:r>
        <w:rPr>
          <w:rFonts w:hint="eastAsia"/>
          <w:b w:val="0"/>
          <w:bCs/>
          <w:color w:val="auto"/>
          <w:sz w:val="24"/>
          <w:szCs w:val="24"/>
          <w:lang w:eastAsia="zh-CN"/>
        </w:rPr>
        <w:t>.2中标人不能按本章第</w:t>
      </w:r>
      <w:r>
        <w:rPr>
          <w:rFonts w:hint="eastAsia"/>
          <w:b w:val="0"/>
          <w:bCs/>
          <w:color w:val="auto"/>
          <w:sz w:val="24"/>
          <w:szCs w:val="24"/>
          <w:lang w:val="en-US" w:eastAsia="zh-CN"/>
        </w:rPr>
        <w:t>35.1</w:t>
      </w:r>
      <w:r>
        <w:rPr>
          <w:rFonts w:hint="eastAsia"/>
          <w:b w:val="0"/>
          <w:bCs/>
          <w:color w:val="auto"/>
          <w:sz w:val="24"/>
          <w:szCs w:val="24"/>
          <w:lang w:eastAsia="zh-CN"/>
        </w:rPr>
        <w:t>项要求提交履约保证金的，视为放弃中标，其投标保证金不予退还，给招标人造成的损失超过投标保证金数额的，中标人还应当对超过部分予以赔偿。</w:t>
      </w:r>
    </w:p>
    <w:p>
      <w:pPr>
        <w:spacing w:line="360" w:lineRule="auto"/>
        <w:ind w:right="-512" w:rightChars="-244" w:firstLine="480" w:firstLineChars="200"/>
        <w:jc w:val="left"/>
        <w:rPr>
          <w:color w:val="auto"/>
          <w:sz w:val="24"/>
          <w:szCs w:val="24"/>
        </w:rPr>
      </w:pPr>
    </w:p>
    <w:p>
      <w:pPr>
        <w:widowControl w:val="0"/>
        <w:spacing w:line="360" w:lineRule="auto"/>
        <w:jc w:val="center"/>
        <w:textAlignment w:val="auto"/>
        <w:rPr>
          <w:b/>
          <w:color w:val="auto"/>
          <w:sz w:val="28"/>
          <w:szCs w:val="28"/>
        </w:rPr>
      </w:pPr>
      <w:r>
        <w:rPr>
          <w:b/>
          <w:color w:val="auto"/>
          <w:sz w:val="28"/>
          <w:szCs w:val="28"/>
        </w:rPr>
        <w:t>（七）纪律和监督</w:t>
      </w:r>
    </w:p>
    <w:p>
      <w:pPr>
        <w:spacing w:line="360" w:lineRule="auto"/>
        <w:ind w:firstLine="482" w:firstLineChars="200"/>
        <w:jc w:val="left"/>
        <w:rPr>
          <w:b/>
          <w:color w:val="auto"/>
          <w:sz w:val="24"/>
          <w:szCs w:val="24"/>
        </w:rPr>
      </w:pPr>
      <w:r>
        <w:rPr>
          <w:b/>
          <w:color w:val="auto"/>
          <w:sz w:val="24"/>
          <w:szCs w:val="24"/>
        </w:rPr>
        <w:t>3</w:t>
      </w:r>
      <w:r>
        <w:rPr>
          <w:rFonts w:hint="eastAsia"/>
          <w:b/>
          <w:color w:val="auto"/>
          <w:sz w:val="24"/>
          <w:szCs w:val="24"/>
          <w:lang w:val="en-US" w:eastAsia="zh-CN"/>
        </w:rPr>
        <w:t>6</w:t>
      </w:r>
      <w:r>
        <w:rPr>
          <w:b/>
          <w:color w:val="auto"/>
          <w:sz w:val="24"/>
          <w:szCs w:val="24"/>
        </w:rPr>
        <w:t xml:space="preserve">. 对招标人的纪律要求 </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w:t>
      </w:r>
      <w:r>
        <w:rPr>
          <w:rFonts w:hint="eastAsia"/>
          <w:b w:val="0"/>
          <w:bCs/>
          <w:color w:val="auto"/>
          <w:sz w:val="24"/>
          <w:szCs w:val="24"/>
          <w:lang w:val="en-US" w:eastAsia="zh-CN"/>
        </w:rPr>
        <w:t>6</w:t>
      </w:r>
      <w:r>
        <w:rPr>
          <w:rFonts w:hint="eastAsia"/>
          <w:b w:val="0"/>
          <w:bCs/>
          <w:color w:val="auto"/>
          <w:sz w:val="24"/>
          <w:szCs w:val="24"/>
          <w:lang w:eastAsia="zh-CN"/>
        </w:rPr>
        <w:t xml:space="preserve">.1招标人不得泄漏招标投标活动中应当保密的情况和资料，不得与投标人串通损害国家利益，社会公共利益或者他人合法权益。 </w:t>
      </w:r>
    </w:p>
    <w:p>
      <w:pPr>
        <w:spacing w:line="360" w:lineRule="auto"/>
        <w:ind w:firstLine="482" w:firstLineChars="200"/>
        <w:jc w:val="left"/>
        <w:rPr>
          <w:b/>
          <w:color w:val="auto"/>
          <w:sz w:val="24"/>
          <w:szCs w:val="24"/>
        </w:rPr>
      </w:pPr>
      <w:r>
        <w:rPr>
          <w:b/>
          <w:color w:val="auto"/>
          <w:sz w:val="24"/>
          <w:szCs w:val="24"/>
        </w:rPr>
        <w:t>3</w:t>
      </w:r>
      <w:r>
        <w:rPr>
          <w:rFonts w:hint="eastAsia"/>
          <w:b/>
          <w:color w:val="auto"/>
          <w:sz w:val="24"/>
          <w:szCs w:val="24"/>
          <w:lang w:val="en-US" w:eastAsia="zh-CN"/>
        </w:rPr>
        <w:t>7</w:t>
      </w:r>
      <w:r>
        <w:rPr>
          <w:b/>
          <w:color w:val="auto"/>
          <w:sz w:val="24"/>
          <w:szCs w:val="24"/>
        </w:rPr>
        <w:t xml:space="preserve">. 对投标人的纪律要求 </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w:t>
      </w:r>
      <w:r>
        <w:rPr>
          <w:rFonts w:hint="eastAsia"/>
          <w:b w:val="0"/>
          <w:bCs/>
          <w:color w:val="auto"/>
          <w:sz w:val="24"/>
          <w:szCs w:val="24"/>
          <w:lang w:val="en-US" w:eastAsia="zh-CN"/>
        </w:rPr>
        <w:t>7</w:t>
      </w:r>
      <w:r>
        <w:rPr>
          <w:rFonts w:hint="eastAsia"/>
          <w:b w:val="0"/>
          <w:bCs/>
          <w:color w:val="auto"/>
          <w:sz w:val="24"/>
          <w:szCs w:val="24"/>
          <w:lang w:eastAsia="zh-CN"/>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82" w:firstLineChars="200"/>
        <w:jc w:val="left"/>
        <w:rPr>
          <w:b/>
          <w:color w:val="auto"/>
          <w:sz w:val="24"/>
          <w:szCs w:val="24"/>
        </w:rPr>
      </w:pPr>
      <w:r>
        <w:rPr>
          <w:b/>
          <w:color w:val="auto"/>
          <w:sz w:val="24"/>
          <w:szCs w:val="24"/>
        </w:rPr>
        <w:t>3</w:t>
      </w:r>
      <w:r>
        <w:rPr>
          <w:rFonts w:hint="eastAsia"/>
          <w:b/>
          <w:color w:val="auto"/>
          <w:sz w:val="24"/>
          <w:szCs w:val="24"/>
          <w:lang w:val="en-US" w:eastAsia="zh-CN"/>
        </w:rPr>
        <w:t>8</w:t>
      </w:r>
      <w:r>
        <w:rPr>
          <w:b/>
          <w:color w:val="auto"/>
          <w:sz w:val="24"/>
          <w:szCs w:val="24"/>
        </w:rPr>
        <w:t xml:space="preserve">. 对评标委员会成员的纪律要求 </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eastAsia="zh-CN"/>
        </w:rPr>
        <w:t>3</w:t>
      </w:r>
      <w:r>
        <w:rPr>
          <w:rFonts w:hint="eastAsia"/>
          <w:b w:val="0"/>
          <w:bCs/>
          <w:color w:val="auto"/>
          <w:sz w:val="24"/>
          <w:szCs w:val="24"/>
          <w:lang w:val="en-US" w:eastAsia="zh-CN"/>
        </w:rPr>
        <w:t>8</w:t>
      </w:r>
      <w:r>
        <w:rPr>
          <w:rFonts w:hint="eastAsia"/>
          <w:b w:val="0"/>
          <w:bCs/>
          <w:color w:val="auto"/>
          <w:sz w:val="24"/>
          <w:szCs w:val="24"/>
          <w:lang w:eastAsia="zh-CN"/>
        </w:rPr>
        <w:t>.1标委员会成员不得收受他人的财物或者其他好处，不得向他人透漏对投标文件的评审和比较、中标候选人的推荐情况以及评标有关的其他情况。</w:t>
      </w:r>
    </w:p>
    <w:p>
      <w:pPr>
        <w:spacing w:line="360" w:lineRule="auto"/>
        <w:ind w:firstLine="468" w:firstLineChars="195"/>
        <w:rPr>
          <w:color w:val="auto"/>
          <w:kern w:val="10"/>
          <w:sz w:val="24"/>
          <w:szCs w:val="24"/>
        </w:rPr>
      </w:pPr>
      <w:r>
        <w:rPr>
          <w:rFonts w:hint="eastAsia"/>
          <w:b w:val="0"/>
          <w:bCs/>
          <w:color w:val="auto"/>
          <w:sz w:val="24"/>
          <w:szCs w:val="24"/>
          <w:lang w:eastAsia="zh-CN"/>
        </w:rPr>
        <w:t>3</w:t>
      </w:r>
      <w:r>
        <w:rPr>
          <w:rFonts w:hint="eastAsia"/>
          <w:b w:val="0"/>
          <w:bCs/>
          <w:color w:val="auto"/>
          <w:sz w:val="24"/>
          <w:szCs w:val="24"/>
          <w:lang w:val="en-US" w:eastAsia="zh-CN"/>
        </w:rPr>
        <w:t>8</w:t>
      </w:r>
      <w:r>
        <w:rPr>
          <w:rFonts w:hint="eastAsia"/>
          <w:b w:val="0"/>
          <w:bCs/>
          <w:color w:val="auto"/>
          <w:sz w:val="24"/>
          <w:szCs w:val="24"/>
          <w:lang w:eastAsia="zh-CN"/>
        </w:rPr>
        <w:t>.2在评标活动中，评标委员会成员不得擅离职守，影响评标程序正常进行，不得使用第三章“评标办法”没有规定的评审因素和标准进行评标。</w:t>
      </w:r>
      <w:r>
        <w:rPr>
          <w:color w:val="auto"/>
          <w:kern w:val="10"/>
          <w:sz w:val="24"/>
          <w:szCs w:val="24"/>
        </w:rPr>
        <w:t xml:space="preserve"> </w:t>
      </w:r>
    </w:p>
    <w:p>
      <w:pPr>
        <w:spacing w:line="360" w:lineRule="auto"/>
        <w:ind w:firstLine="482" w:firstLineChars="200"/>
        <w:jc w:val="left"/>
        <w:rPr>
          <w:b/>
          <w:color w:val="auto"/>
          <w:sz w:val="24"/>
          <w:szCs w:val="24"/>
        </w:rPr>
      </w:pPr>
      <w:r>
        <w:rPr>
          <w:rFonts w:hint="eastAsia"/>
          <w:b/>
          <w:color w:val="auto"/>
          <w:sz w:val="24"/>
          <w:szCs w:val="24"/>
          <w:lang w:val="en-US" w:eastAsia="zh-CN"/>
        </w:rPr>
        <w:t>39</w:t>
      </w:r>
      <w:r>
        <w:rPr>
          <w:b/>
          <w:color w:val="auto"/>
          <w:sz w:val="24"/>
          <w:szCs w:val="24"/>
        </w:rPr>
        <w:t xml:space="preserve">. 对与评标活动有关的工作人员的纪律要求 </w:t>
      </w:r>
    </w:p>
    <w:p>
      <w:pPr>
        <w:spacing w:line="360" w:lineRule="auto"/>
        <w:ind w:firstLine="468" w:firstLineChars="195"/>
        <w:rPr>
          <w:rFonts w:hint="eastAsia"/>
          <w:b w:val="0"/>
          <w:bCs/>
          <w:color w:val="auto"/>
          <w:sz w:val="24"/>
          <w:szCs w:val="24"/>
          <w:lang w:eastAsia="zh-CN"/>
        </w:rPr>
      </w:pPr>
      <w:r>
        <w:rPr>
          <w:rFonts w:hint="eastAsia"/>
          <w:b w:val="0"/>
          <w:bCs/>
          <w:color w:val="auto"/>
          <w:sz w:val="24"/>
          <w:szCs w:val="24"/>
          <w:lang w:val="en-US" w:eastAsia="zh-CN"/>
        </w:rPr>
        <w:t>39</w:t>
      </w:r>
      <w:r>
        <w:rPr>
          <w:rFonts w:hint="eastAsia"/>
          <w:b w:val="0"/>
          <w:bCs/>
          <w:color w:val="auto"/>
          <w:sz w:val="24"/>
          <w:szCs w:val="24"/>
          <w:lang w:eastAsia="zh-CN"/>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djustRightInd w:val="0"/>
        <w:snapToGrid w:val="0"/>
        <w:spacing w:line="360" w:lineRule="auto"/>
        <w:jc w:val="center"/>
        <w:rPr>
          <w:b/>
          <w:color w:val="auto"/>
          <w:sz w:val="28"/>
          <w:szCs w:val="28"/>
        </w:rPr>
      </w:pPr>
    </w:p>
    <w:p>
      <w:pPr>
        <w:adjustRightInd w:val="0"/>
        <w:snapToGrid w:val="0"/>
        <w:spacing w:line="360" w:lineRule="auto"/>
        <w:jc w:val="center"/>
        <w:rPr>
          <w:b/>
          <w:color w:val="auto"/>
          <w:sz w:val="28"/>
          <w:szCs w:val="28"/>
        </w:rPr>
      </w:pPr>
      <w:r>
        <w:rPr>
          <w:b/>
          <w:color w:val="auto"/>
          <w:sz w:val="28"/>
          <w:szCs w:val="28"/>
        </w:rPr>
        <w:t>（八）质疑与投诉</w:t>
      </w:r>
    </w:p>
    <w:p>
      <w:pPr>
        <w:spacing w:line="360" w:lineRule="auto"/>
        <w:ind w:firstLine="482" w:firstLineChars="200"/>
        <w:jc w:val="left"/>
        <w:rPr>
          <w:b/>
          <w:color w:val="auto"/>
          <w:sz w:val="24"/>
          <w:szCs w:val="24"/>
        </w:rPr>
      </w:pPr>
      <w:r>
        <w:rPr>
          <w:b/>
          <w:color w:val="auto"/>
          <w:sz w:val="24"/>
          <w:szCs w:val="24"/>
        </w:rPr>
        <w:t>4</w:t>
      </w:r>
      <w:r>
        <w:rPr>
          <w:rFonts w:hint="eastAsia"/>
          <w:b/>
          <w:color w:val="auto"/>
          <w:sz w:val="24"/>
          <w:szCs w:val="24"/>
          <w:lang w:val="en-US" w:eastAsia="zh-CN"/>
        </w:rPr>
        <w:t>0</w:t>
      </w:r>
      <w:r>
        <w:rPr>
          <w:b/>
          <w:color w:val="auto"/>
          <w:sz w:val="24"/>
          <w:szCs w:val="24"/>
        </w:rPr>
        <w:t>. 质疑</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40.1招标文件发售后，参与采购活动的投标人如发现招标文件的商务条款、技术要求存在倾向性、错误、遗漏、含混不清等问题，可在招标文件规定的时间之前，请与招标人联系，提出质疑，要求修改或澄清。</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40.2中标公告发布后，参与投标的投标人对中标公告有异议的，应该在中标公告发布之日起七个工作日内向招标人书面提出质疑。但属于第41.1条问题，且未在规定时间提出质疑的，不予受理。</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40.3参与投标的投标人对中标公告提出的书面质疑，负有举证的责任。在质疑函中应清楚地写明所质疑的项目名称、编号、标包号标包名、质疑的事项与事实等内容，并附上质疑事项、事实的证明文件。投标人在经其法定代表人签字并盖上投标人公章后，将该质疑函当面递交至招标人。</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40.4招标人在收到投标人的质疑函后，将审查质疑函的格式、内容以及所附的证明文件是否符合要求。如不符合，说明原因退回投标人；如符合要求，则接受该质疑函并向投标人出具受理证明。</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40.5处理质疑的时间，从实际接受投标人质疑函、出具受理证明的时间开始计算。</w:t>
      </w:r>
    </w:p>
    <w:p>
      <w:pPr>
        <w:spacing w:line="360" w:lineRule="auto"/>
        <w:ind w:firstLine="468" w:firstLineChars="195"/>
        <w:rPr>
          <w:color w:val="auto"/>
          <w:sz w:val="24"/>
          <w:szCs w:val="24"/>
        </w:rPr>
      </w:pPr>
      <w:r>
        <w:rPr>
          <w:rFonts w:hint="eastAsia"/>
          <w:b w:val="0"/>
          <w:bCs/>
          <w:color w:val="auto"/>
          <w:sz w:val="24"/>
          <w:szCs w:val="24"/>
          <w:lang w:val="en-US" w:eastAsia="zh-CN"/>
        </w:rPr>
        <w:t>40.6投标人对招标人的答复不满意，或者招标人未在规定的时间内答复的，可以在答复期满后十五个工作日内按有关规定，向同级人民政府招标采购监管部门进行投诉。</w:t>
      </w:r>
    </w:p>
    <w:p>
      <w:pPr>
        <w:pStyle w:val="39"/>
        <w:rPr>
          <w:b/>
          <w:color w:val="auto"/>
          <w:sz w:val="32"/>
          <w:szCs w:val="32"/>
        </w:rPr>
      </w:pPr>
      <w:bookmarkStart w:id="41" w:name="_Toc25803"/>
    </w:p>
    <w:p>
      <w:pPr>
        <w:spacing w:line="360" w:lineRule="auto"/>
        <w:jc w:val="center"/>
        <w:outlineLvl w:val="0"/>
        <w:rPr>
          <w:b/>
          <w:color w:val="auto"/>
          <w:sz w:val="28"/>
          <w:szCs w:val="28"/>
        </w:rPr>
      </w:pPr>
      <w:r>
        <w:rPr>
          <w:b/>
          <w:color w:val="auto"/>
          <w:sz w:val="32"/>
          <w:szCs w:val="32"/>
        </w:rPr>
        <w:t>第三章  评标办法</w:t>
      </w:r>
      <w:bookmarkEnd w:id="41"/>
    </w:p>
    <w:p>
      <w:pPr>
        <w:spacing w:line="360" w:lineRule="auto"/>
        <w:jc w:val="left"/>
        <w:outlineLvl w:val="1"/>
        <w:rPr>
          <w:b/>
          <w:color w:val="auto"/>
          <w:sz w:val="24"/>
          <w:szCs w:val="24"/>
        </w:rPr>
      </w:pPr>
      <w:bookmarkStart w:id="42" w:name="_Toc14894"/>
      <w:r>
        <w:rPr>
          <w:b/>
          <w:color w:val="auto"/>
          <w:sz w:val="24"/>
          <w:szCs w:val="24"/>
        </w:rPr>
        <w:t>一 、总则</w:t>
      </w:r>
      <w:bookmarkEnd w:id="42"/>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 xml:space="preserve">1.评标方法 </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1.1综合评分法是指投标文件满足招标文件全部实质性要求且按照评审因素的量化指标评审得分最高的供应商为中标候选人的评标方法。</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1.2综合评分法一般适用于较为复杂、评价指标难以量化且价格为非主要因素的非标准定制商品和非通用服务项目的项目评审。</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第一步：先进行投标人证件审查，只有投标人证件审查评审合格后，才能进入下一阶段评审；</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第二步：通过技术标和商务标评审，在满足招标文件实质性要求前提下，由评标委员会评审技术标和商务标得分，计算总得分。</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评标委员会按总得分从高到低按顺序推荐三名中标候选人，若总得分最高有两个及以上时，以报价低者优先；得分且投标报价相同的，按技术指标优劣顺序排列。技术标也相同时由招标人现场采取随机摇号的方式确定中标候选人。</w:t>
      </w:r>
    </w:p>
    <w:p>
      <w:pPr>
        <w:spacing w:line="360" w:lineRule="auto"/>
        <w:jc w:val="left"/>
        <w:outlineLvl w:val="1"/>
        <w:rPr>
          <w:b/>
          <w:color w:val="auto"/>
          <w:sz w:val="24"/>
          <w:szCs w:val="24"/>
        </w:rPr>
      </w:pPr>
      <w:bookmarkStart w:id="43" w:name="_Toc20943"/>
      <w:r>
        <w:rPr>
          <w:b/>
          <w:color w:val="auto"/>
          <w:sz w:val="24"/>
          <w:szCs w:val="24"/>
        </w:rPr>
        <w:t>二 、投标文件初审</w:t>
      </w:r>
      <w:bookmarkEnd w:id="43"/>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2.1.投标人证件审查（投标人须知前附表21）</w:t>
      </w:r>
    </w:p>
    <w:p>
      <w:pPr>
        <w:spacing w:line="360" w:lineRule="auto"/>
        <w:ind w:firstLine="468" w:firstLineChars="195"/>
        <w:rPr>
          <w:b/>
          <w:bCs/>
          <w:color w:val="auto"/>
          <w:sz w:val="24"/>
          <w:szCs w:val="24"/>
        </w:rPr>
      </w:pPr>
      <w:r>
        <w:rPr>
          <w:rFonts w:hint="eastAsia"/>
          <w:b w:val="0"/>
          <w:bCs/>
          <w:color w:val="auto"/>
          <w:sz w:val="24"/>
          <w:szCs w:val="24"/>
          <w:lang w:val="en-US" w:eastAsia="zh-CN"/>
        </w:rPr>
        <w:t>2.2.符合性审查</w:t>
      </w:r>
    </w:p>
    <w:tbl>
      <w:tblPr>
        <w:tblStyle w:val="30"/>
        <w:tblW w:w="971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096"/>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65"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color w:val="auto"/>
                <w:szCs w:val="21"/>
              </w:rPr>
            </w:pPr>
            <w:r>
              <w:rPr>
                <w:color w:val="auto"/>
                <w:szCs w:val="21"/>
              </w:rPr>
              <w:t>审查因素</w:t>
            </w:r>
          </w:p>
        </w:tc>
        <w:tc>
          <w:tcPr>
            <w:tcW w:w="5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color w:val="auto"/>
                <w:szCs w:val="21"/>
              </w:rPr>
            </w:pPr>
            <w:r>
              <w:rPr>
                <w:color w:val="auto"/>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9"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rPr>
                <w:color w:val="auto"/>
                <w:szCs w:val="21"/>
                <w:lang w:val="zh-CN"/>
              </w:rPr>
            </w:pPr>
            <w:r>
              <w:rPr>
                <w:rFonts w:hint="eastAsia"/>
                <w:color w:val="auto"/>
                <w:szCs w:val="21"/>
                <w:lang w:val="zh-CN"/>
              </w:rPr>
              <w:t>投标文件</w:t>
            </w:r>
            <w:r>
              <w:rPr>
                <w:color w:val="auto"/>
                <w:szCs w:val="21"/>
                <w:lang w:val="zh-CN"/>
              </w:rPr>
              <w:t>的有效 性</w:t>
            </w:r>
          </w:p>
          <w:p>
            <w:pPr>
              <w:keepNext w:val="0"/>
              <w:keepLines w:val="0"/>
              <w:pageBreakBefore w:val="0"/>
              <w:widowControl/>
              <w:kinsoku/>
              <w:wordWrap/>
              <w:overflowPunct/>
              <w:topLinePunct w:val="0"/>
              <w:autoSpaceDE/>
              <w:autoSpaceDN/>
              <w:bidi w:val="0"/>
              <w:adjustRightInd/>
              <w:snapToGrid/>
              <w:spacing w:line="240" w:lineRule="auto"/>
              <w:rPr>
                <w:color w:val="auto"/>
                <w:szCs w:val="21"/>
                <w:lang w:val="zh-CN"/>
              </w:rPr>
            </w:pPr>
            <w:r>
              <w:rPr>
                <w:rFonts w:hint="eastAsia"/>
                <w:color w:val="auto"/>
                <w:szCs w:val="21"/>
                <w:lang w:val="zh-CN"/>
              </w:rPr>
              <w:t>及</w:t>
            </w:r>
            <w:r>
              <w:rPr>
                <w:color w:val="auto"/>
                <w:szCs w:val="21"/>
                <w:lang w:val="zh-CN"/>
              </w:rPr>
              <w:t>完整 性</w:t>
            </w:r>
          </w:p>
        </w:tc>
        <w:tc>
          <w:tcPr>
            <w:tcW w:w="3096" w:type="dxa"/>
            <w:tcBorders>
              <w:top w:val="single" w:color="auto" w:sz="4" w:space="0"/>
            </w:tcBorders>
            <w:vAlign w:val="center"/>
          </w:tcPr>
          <w:p>
            <w:pPr>
              <w:pStyle w:val="17"/>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auto"/>
                <w:szCs w:val="21"/>
                <w:lang w:val="zh-CN" w:eastAsia="zh-CN"/>
              </w:rPr>
            </w:pPr>
            <w:r>
              <w:rPr>
                <w:rFonts w:hint="eastAsia" w:ascii="Times New Roman" w:hAnsi="Times New Roman" w:cs="Times New Roman"/>
                <w:color w:val="auto"/>
                <w:szCs w:val="21"/>
                <w:lang w:val="zh-CN" w:eastAsia="zh-CN"/>
              </w:rPr>
              <w:t>（</w:t>
            </w:r>
            <w:r>
              <w:rPr>
                <w:rFonts w:hint="eastAsia" w:ascii="Times New Roman" w:hAnsi="Times New Roman" w:cs="Times New Roman"/>
                <w:color w:val="auto"/>
                <w:szCs w:val="21"/>
                <w:lang w:val="en-US" w:eastAsia="zh-CN"/>
              </w:rPr>
              <w:t>1）</w:t>
            </w:r>
            <w:r>
              <w:rPr>
                <w:rFonts w:hint="eastAsia" w:ascii="Times New Roman" w:hAnsi="Times New Roman" w:eastAsia="宋体" w:cs="Times New Roman"/>
                <w:color w:val="auto"/>
                <w:szCs w:val="21"/>
                <w:lang w:val="zh-CN" w:eastAsia="zh-CN"/>
              </w:rPr>
              <w:t>投标文件签署</w:t>
            </w:r>
          </w:p>
        </w:tc>
        <w:tc>
          <w:tcPr>
            <w:tcW w:w="5850"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签字、盖章符合要求。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rPr>
                <w:color w:val="auto"/>
                <w:szCs w:val="21"/>
                <w:lang w:val="zh-CN"/>
              </w:rPr>
            </w:pPr>
          </w:p>
        </w:tc>
        <w:tc>
          <w:tcPr>
            <w:tcW w:w="3096" w:type="dxa"/>
            <w:tcBorders>
              <w:top w:val="nil"/>
              <w:bottom w:val="single" w:color="auto" w:sz="4" w:space="0"/>
            </w:tcBorders>
            <w:vAlign w:val="center"/>
          </w:tcPr>
          <w:p>
            <w:pPr>
              <w:pStyle w:val="17"/>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auto"/>
                <w:szCs w:val="21"/>
                <w:lang w:val="zh-CN" w:eastAsia="zh-CN"/>
              </w:rPr>
            </w:pPr>
            <w:r>
              <w:rPr>
                <w:rFonts w:hint="eastAsia" w:ascii="Times New Roman" w:hAnsi="Times New Roman" w:cs="Times New Roman"/>
                <w:color w:val="auto"/>
                <w:szCs w:val="21"/>
                <w:lang w:val="zh-CN" w:eastAsia="zh-CN"/>
              </w:rPr>
              <w:t>（</w:t>
            </w:r>
            <w:r>
              <w:rPr>
                <w:rFonts w:hint="eastAsia" w:ascii="Times New Roman" w:hAnsi="Times New Roman" w:cs="Times New Roman"/>
                <w:color w:val="auto"/>
                <w:szCs w:val="21"/>
                <w:lang w:val="en-US" w:eastAsia="zh-CN"/>
              </w:rPr>
              <w:t>2）</w:t>
            </w:r>
            <w:r>
              <w:rPr>
                <w:rFonts w:hint="eastAsia" w:ascii="Times New Roman" w:hAnsi="Times New Roman" w:eastAsia="宋体" w:cs="Times New Roman"/>
                <w:color w:val="auto"/>
                <w:szCs w:val="21"/>
                <w:lang w:val="zh-CN" w:eastAsia="zh-CN"/>
              </w:rPr>
              <w:t>投标方案</w:t>
            </w:r>
          </w:p>
        </w:tc>
        <w:tc>
          <w:tcPr>
            <w:tcW w:w="5850"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zh-CN" w:eastAsia="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7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rPr>
                <w:color w:val="auto"/>
                <w:szCs w:val="21"/>
                <w:lang w:val="zh-CN"/>
              </w:rPr>
            </w:pPr>
          </w:p>
        </w:tc>
        <w:tc>
          <w:tcPr>
            <w:tcW w:w="3096" w:type="dxa"/>
            <w:tcBorders>
              <w:top w:val="nil"/>
              <w:bottom w:val="single" w:color="auto" w:sz="4" w:space="0"/>
            </w:tcBorders>
            <w:vAlign w:val="center"/>
          </w:tcPr>
          <w:p>
            <w:pPr>
              <w:pStyle w:val="17"/>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auto"/>
                <w:szCs w:val="21"/>
                <w:lang w:val="zh-CN" w:eastAsia="zh-CN"/>
              </w:rPr>
            </w:pPr>
            <w:r>
              <w:rPr>
                <w:rFonts w:hint="eastAsia" w:ascii="Times New Roman" w:hAnsi="Times New Roman" w:cs="Times New Roman"/>
                <w:color w:val="auto"/>
                <w:szCs w:val="21"/>
                <w:lang w:val="zh-CN" w:eastAsia="zh-CN"/>
              </w:rPr>
              <w:t>（</w:t>
            </w:r>
            <w:r>
              <w:rPr>
                <w:rFonts w:hint="eastAsia" w:ascii="Times New Roman" w:hAnsi="Times New Roman" w:cs="Times New Roman"/>
                <w:color w:val="auto"/>
                <w:szCs w:val="21"/>
                <w:lang w:val="en-US" w:eastAsia="zh-CN"/>
              </w:rPr>
              <w:t>3）</w:t>
            </w:r>
            <w:r>
              <w:rPr>
                <w:rFonts w:hint="eastAsia" w:ascii="Times New Roman" w:hAnsi="Times New Roman" w:eastAsia="宋体" w:cs="Times New Roman"/>
                <w:color w:val="auto"/>
                <w:szCs w:val="21"/>
                <w:lang w:eastAsia="zh-CN"/>
              </w:rPr>
              <w:t>报价唯一</w:t>
            </w:r>
          </w:p>
        </w:tc>
        <w:tc>
          <w:tcPr>
            <w:tcW w:w="5850"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zh-CN" w:eastAsia="zh-CN"/>
              </w:rPr>
              <w:t>只能在限价范围内报价，</w:t>
            </w:r>
            <w:r>
              <w:rPr>
                <w:rFonts w:hint="eastAsia" w:ascii="Times New Roman" w:hAnsi="Times New Roman" w:eastAsia="宋体" w:cs="Times New Roman"/>
                <w:color w:val="auto"/>
                <w:szCs w:val="21"/>
                <w:lang w:eastAsia="zh-CN"/>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rPr>
                <w:color w:val="auto"/>
                <w:szCs w:val="21"/>
                <w:lang w:val="zh-CN"/>
              </w:rPr>
            </w:pPr>
          </w:p>
        </w:tc>
        <w:tc>
          <w:tcPr>
            <w:tcW w:w="3096" w:type="dxa"/>
            <w:tcBorders>
              <w:top w:val="nil"/>
              <w:bottom w:val="single" w:color="auto" w:sz="4" w:space="0"/>
            </w:tcBorders>
            <w:vAlign w:val="center"/>
          </w:tcPr>
          <w:p>
            <w:pPr>
              <w:pStyle w:val="17"/>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val="zh-CN" w:eastAsia="zh-CN"/>
              </w:rPr>
              <w:t>（</w:t>
            </w:r>
            <w:r>
              <w:rPr>
                <w:rFonts w:hint="eastAsia" w:ascii="Times New Roman" w:hAnsi="Times New Roman" w:cs="Times New Roman"/>
                <w:color w:val="auto"/>
                <w:szCs w:val="21"/>
                <w:lang w:val="en-US" w:eastAsia="zh-CN"/>
              </w:rPr>
              <w:t>4）</w:t>
            </w:r>
            <w:r>
              <w:rPr>
                <w:rFonts w:hint="eastAsia" w:ascii="Times New Roman" w:hAnsi="Times New Roman" w:eastAsia="宋体" w:cs="Times New Roman"/>
                <w:color w:val="auto"/>
                <w:szCs w:val="21"/>
                <w:lang w:eastAsia="zh-CN"/>
              </w:rPr>
              <w:t>投标文件的有效期</w:t>
            </w:r>
          </w:p>
        </w:tc>
        <w:tc>
          <w:tcPr>
            <w:tcW w:w="5850"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响应招标文件。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rPr>
                <w:color w:val="auto"/>
                <w:szCs w:val="21"/>
                <w:lang w:val="zh-CN"/>
              </w:rPr>
            </w:pPr>
          </w:p>
        </w:tc>
        <w:tc>
          <w:tcPr>
            <w:tcW w:w="3096"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auto"/>
                <w:szCs w:val="21"/>
                <w:lang w:val="zh-CN" w:eastAsia="zh-CN"/>
              </w:rPr>
            </w:pPr>
            <w:r>
              <w:rPr>
                <w:rFonts w:hint="eastAsia" w:ascii="Times New Roman" w:hAnsi="Times New Roman" w:cs="Times New Roman"/>
                <w:color w:val="auto"/>
                <w:szCs w:val="21"/>
                <w:lang w:val="zh-CN" w:eastAsia="zh-CN"/>
              </w:rPr>
              <w:t>（</w:t>
            </w:r>
            <w:r>
              <w:rPr>
                <w:rFonts w:hint="eastAsia" w:ascii="Times New Roman" w:hAnsi="Times New Roman" w:cs="Times New Roman"/>
                <w:color w:val="auto"/>
                <w:szCs w:val="21"/>
                <w:lang w:val="en-US" w:eastAsia="zh-CN"/>
              </w:rPr>
              <w:t>5）</w:t>
            </w:r>
            <w:r>
              <w:rPr>
                <w:rFonts w:hint="eastAsia" w:ascii="Times New Roman" w:hAnsi="Times New Roman" w:eastAsia="宋体" w:cs="Times New Roman"/>
                <w:color w:val="auto"/>
                <w:szCs w:val="21"/>
                <w:lang w:val="zh-CN" w:eastAsia="zh-CN"/>
              </w:rPr>
              <w:t>投标文件形式内容</w:t>
            </w:r>
          </w:p>
        </w:tc>
        <w:tc>
          <w:tcPr>
            <w:tcW w:w="5850"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rPr>
                <w:color w:val="auto"/>
                <w:szCs w:val="21"/>
                <w:lang w:val="zh-CN"/>
              </w:rPr>
            </w:pPr>
          </w:p>
        </w:tc>
        <w:tc>
          <w:tcPr>
            <w:tcW w:w="3096"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auto"/>
                <w:szCs w:val="21"/>
                <w:lang w:val="zh-CN" w:eastAsia="zh-CN"/>
              </w:rPr>
            </w:pPr>
            <w:r>
              <w:rPr>
                <w:rFonts w:hint="eastAsia" w:ascii="Times New Roman" w:hAnsi="Times New Roman" w:cs="Times New Roman"/>
                <w:color w:val="auto"/>
                <w:szCs w:val="21"/>
                <w:lang w:val="zh-CN" w:eastAsia="zh-CN"/>
              </w:rPr>
              <w:t>（</w:t>
            </w:r>
            <w:r>
              <w:rPr>
                <w:rFonts w:hint="eastAsia" w:ascii="Times New Roman" w:hAnsi="Times New Roman" w:cs="Times New Roman"/>
                <w:color w:val="auto"/>
                <w:szCs w:val="21"/>
                <w:lang w:val="en-US" w:eastAsia="zh-CN"/>
              </w:rPr>
              <w:t>6）</w:t>
            </w:r>
            <w:r>
              <w:rPr>
                <w:rFonts w:hint="eastAsia" w:ascii="Times New Roman" w:hAnsi="Times New Roman" w:eastAsia="宋体" w:cs="Times New Roman"/>
                <w:color w:val="auto"/>
                <w:szCs w:val="21"/>
                <w:lang w:val="zh-CN" w:eastAsia="zh-CN"/>
              </w:rPr>
              <w:t>技术条款响应程度</w:t>
            </w:r>
          </w:p>
        </w:tc>
        <w:tc>
          <w:tcPr>
            <w:tcW w:w="5850"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响应招标文件。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7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rPr>
                <w:color w:val="auto"/>
                <w:szCs w:val="21"/>
                <w:lang w:val="zh-CN"/>
              </w:rPr>
            </w:pPr>
          </w:p>
        </w:tc>
        <w:tc>
          <w:tcPr>
            <w:tcW w:w="3096" w:type="dxa"/>
            <w:tcBorders>
              <w:top w:val="single" w:color="auto" w:sz="4" w:space="0"/>
            </w:tcBorders>
            <w:vAlign w:val="center"/>
          </w:tcPr>
          <w:p>
            <w:pPr>
              <w:pStyle w:val="17"/>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auto"/>
                <w:szCs w:val="21"/>
                <w:lang w:val="zh-CN" w:eastAsia="zh-CN"/>
              </w:rPr>
            </w:pPr>
            <w:r>
              <w:rPr>
                <w:rFonts w:hint="eastAsia" w:ascii="Times New Roman" w:hAnsi="Times New Roman" w:cs="Times New Roman"/>
                <w:color w:val="auto"/>
                <w:szCs w:val="21"/>
                <w:lang w:val="zh-CN" w:eastAsia="zh-CN"/>
              </w:rPr>
              <w:t>（</w:t>
            </w:r>
            <w:r>
              <w:rPr>
                <w:rFonts w:hint="eastAsia" w:ascii="Times New Roman" w:hAnsi="Times New Roman" w:cs="Times New Roman"/>
                <w:color w:val="auto"/>
                <w:szCs w:val="21"/>
                <w:lang w:val="en-US" w:eastAsia="zh-CN"/>
              </w:rPr>
              <w:t>7）</w:t>
            </w:r>
            <w:r>
              <w:rPr>
                <w:rFonts w:hint="eastAsia" w:ascii="Times New Roman" w:hAnsi="Times New Roman" w:eastAsia="宋体" w:cs="Times New Roman"/>
                <w:color w:val="auto"/>
                <w:szCs w:val="21"/>
                <w:lang w:val="zh-CN" w:eastAsia="zh-CN"/>
              </w:rPr>
              <w:t>商务条款响应程度（包括但不限于供货期、售后服务等）</w:t>
            </w:r>
          </w:p>
        </w:tc>
        <w:tc>
          <w:tcPr>
            <w:tcW w:w="5850"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响应招标文件。</w:t>
            </w:r>
          </w:p>
        </w:tc>
      </w:tr>
    </w:tbl>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2.3评标委员会判定投标文件的响应性只根据投标文件本身的内容，而不寻求外部的证据，但投标有不真实不正确的内容时除外。</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2.4如果投标文件实质上没有响应招标文件的要求，评标委员会将予以拒绝，投标人不得通过修正或撤销不符合要求的偏离或保留，而使其投标成为实质上响应的投标。</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2.5只有通过初审的投标人才能进入下一步评标程序。</w:t>
      </w:r>
    </w:p>
    <w:p>
      <w:pPr>
        <w:spacing w:line="360" w:lineRule="auto"/>
        <w:jc w:val="left"/>
        <w:outlineLvl w:val="1"/>
        <w:rPr>
          <w:b/>
          <w:color w:val="auto"/>
          <w:sz w:val="24"/>
          <w:szCs w:val="24"/>
        </w:rPr>
      </w:pPr>
      <w:bookmarkStart w:id="44" w:name="_Toc16831"/>
      <w:r>
        <w:rPr>
          <w:b/>
          <w:color w:val="auto"/>
          <w:sz w:val="24"/>
          <w:szCs w:val="24"/>
        </w:rPr>
        <w:t>三 、投标文件的澄清和补正</w:t>
      </w:r>
      <w:bookmarkEnd w:id="44"/>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3.1评审阶段，评委可能会要求有关投标人就其投标书中含义不明确、同类问题表述不一致或者有明显文字和计算错误的内容进行澄清。</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3.2投标人的澄清、说明不得超出投标书的范围或者改变投标书的实质性内容，并由其法定代表人或被授权的代表签字。</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3.3评委会修正错误的原则：</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3.3.1如果数字表示的金额和用文字表示的金额不一致时，以文字表示的金额为准；当投标函与开标一览表不一致时，以开标一览表为准。</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3.3.2如果单价与数量的乘积和总价不一致，以单价为准，修正总价及开标一览表；当单价小数点有明显的错位时，评标委员会将以总价为准，并修正其单价。</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3.4评委会将按上述修正错误的方法调整投标文件中的投标报价，调整后的价格应对投标人具有约束力。无论投标人是接受或是拒绝调整后的价格，都应当由委托代理人签字予以书面确认。</w:t>
      </w:r>
    </w:p>
    <w:p>
      <w:pPr>
        <w:spacing w:line="360" w:lineRule="auto"/>
        <w:jc w:val="left"/>
        <w:outlineLvl w:val="1"/>
        <w:rPr>
          <w:b/>
          <w:color w:val="auto"/>
          <w:sz w:val="24"/>
          <w:szCs w:val="24"/>
        </w:rPr>
      </w:pPr>
      <w:bookmarkStart w:id="45" w:name="_Toc4840"/>
      <w:r>
        <w:rPr>
          <w:rFonts w:hint="eastAsia"/>
          <w:b/>
          <w:color w:val="auto"/>
          <w:sz w:val="24"/>
          <w:szCs w:val="24"/>
          <w:lang w:val="en-US" w:eastAsia="zh-CN"/>
        </w:rPr>
        <w:t>四、</w:t>
      </w:r>
      <w:r>
        <w:rPr>
          <w:b/>
          <w:color w:val="auto"/>
          <w:sz w:val="24"/>
          <w:szCs w:val="24"/>
        </w:rPr>
        <w:t>比较与评价</w:t>
      </w:r>
      <w:bookmarkEnd w:id="45"/>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详细评审即按招标文件中规定的评标方法和标准，评标委员会将对通过初审的投标文件，进行经济标和技术标和商务标的评分、综合比较与评价。</w:t>
      </w:r>
    </w:p>
    <w:p>
      <w:pPr>
        <w:spacing w:line="360" w:lineRule="auto"/>
        <w:ind w:firstLine="468" w:firstLineChars="195"/>
        <w:rPr>
          <w:b/>
          <w:bCs/>
          <w:color w:val="auto"/>
          <w:sz w:val="24"/>
          <w:szCs w:val="24"/>
        </w:rPr>
      </w:pPr>
      <w:r>
        <w:rPr>
          <w:rFonts w:hint="eastAsia"/>
          <w:b w:val="0"/>
          <w:bCs/>
          <w:color w:val="auto"/>
          <w:sz w:val="24"/>
          <w:szCs w:val="24"/>
          <w:lang w:val="en-US" w:eastAsia="zh-CN"/>
        </w:rPr>
        <w:t>综合评分满分100分，各投标人的最终得分由商务标、技术标和经济标汇总组成。</w:t>
      </w:r>
    </w:p>
    <w:p>
      <w:pPr>
        <w:spacing w:line="360" w:lineRule="auto"/>
        <w:ind w:right="-512" w:rightChars="-244"/>
        <w:jc w:val="center"/>
        <w:rPr>
          <w:b/>
          <w:bCs/>
          <w:color w:val="auto"/>
          <w:sz w:val="24"/>
          <w:szCs w:val="24"/>
        </w:rPr>
      </w:pPr>
      <w:r>
        <w:rPr>
          <w:b/>
          <w:bCs/>
          <w:color w:val="auto"/>
          <w:sz w:val="24"/>
          <w:szCs w:val="24"/>
        </w:rPr>
        <w:t>评分标准（</w:t>
      </w:r>
      <w:r>
        <w:rPr>
          <w:b/>
          <w:bCs/>
          <w:color w:val="auto"/>
          <w:sz w:val="24"/>
          <w:szCs w:val="24"/>
          <w:lang w:val="zh-CN"/>
        </w:rPr>
        <w:t>评分采用百分制 ，计算结果精确到小数点后两位）</w:t>
      </w:r>
    </w:p>
    <w:tbl>
      <w:tblPr>
        <w:tblStyle w:val="30"/>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209"/>
        <w:gridCol w:w="5801"/>
        <w:gridCol w:w="649"/>
        <w:gridCol w:w="510"/>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700" w:type="dxa"/>
            <w:gridSpan w:val="3"/>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一、</w:t>
            </w:r>
            <w:r>
              <w:rPr>
                <w:rFonts w:hint="eastAsia" w:ascii="Times New Roman" w:hAnsi="Times New Roman" w:eastAsia="宋体" w:cs="Times New Roman"/>
                <w:color w:val="auto"/>
                <w:szCs w:val="21"/>
                <w:lang w:val="en-US" w:eastAsia="zh-CN"/>
              </w:rPr>
              <w:t>经济标</w:t>
            </w:r>
            <w:r>
              <w:rPr>
                <w:rFonts w:hint="eastAsia" w:ascii="Times New Roman" w:hAnsi="Times New Roman" w:eastAsia="宋体" w:cs="Times New Roman"/>
                <w:color w:val="auto"/>
                <w:szCs w:val="21"/>
                <w:lang w:val="zh-CN" w:eastAsia="zh-CN"/>
              </w:rPr>
              <w:t>（30分）</w:t>
            </w:r>
          </w:p>
        </w:tc>
        <w:tc>
          <w:tcPr>
            <w:tcW w:w="649"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小计</w:t>
            </w:r>
          </w:p>
        </w:tc>
        <w:tc>
          <w:tcPr>
            <w:tcW w:w="522" w:type="dxa"/>
            <w:gridSpan w:val="2"/>
            <w:vMerge w:val="restart"/>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90"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序号</w:t>
            </w:r>
          </w:p>
        </w:tc>
        <w:tc>
          <w:tcPr>
            <w:tcW w:w="2209"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评审内容</w:t>
            </w:r>
          </w:p>
        </w:tc>
        <w:tc>
          <w:tcPr>
            <w:tcW w:w="5801"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评分标准及方法</w:t>
            </w:r>
          </w:p>
        </w:tc>
        <w:tc>
          <w:tcPr>
            <w:tcW w:w="649"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分值</w:t>
            </w:r>
          </w:p>
        </w:tc>
        <w:tc>
          <w:tcPr>
            <w:tcW w:w="522" w:type="dxa"/>
            <w:gridSpan w:val="2"/>
            <w:vMerge w:val="continue"/>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690"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1</w:t>
            </w:r>
          </w:p>
        </w:tc>
        <w:tc>
          <w:tcPr>
            <w:tcW w:w="2209"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en-US" w:eastAsia="zh-CN"/>
              </w:rPr>
              <w:t>经济标</w:t>
            </w:r>
          </w:p>
        </w:tc>
        <w:tc>
          <w:tcPr>
            <w:tcW w:w="5801" w:type="dxa"/>
            <w:shd w:val="clear" w:color="auto" w:fill="FFFFFF"/>
          </w:tcPr>
          <w:p>
            <w:pPr>
              <w:pStyle w:val="1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评标基准价为有效报价的最低价，即所有算术修正后的投标报价由低到高进行排序，除报价明显低于其他通过符合性审查投标人的报价又不能做出合理解释的投标报价被拒绝外，其满足磋商文件要求且投标价格最低的投标报价为评标基准价，其价格分为满分。其他投标人的价格分统一按照下列公式计算：</w:t>
            </w:r>
          </w:p>
          <w:p>
            <w:pPr>
              <w:pStyle w:val="1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 xml:space="preserve">投标报价得分=(评标基准价／投标报价)×价格分值×100% </w:t>
            </w:r>
          </w:p>
          <w:p>
            <w:pPr>
              <w:pStyle w:val="1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注：在经济标评审阶段，经评标委员会小组认为无效的投标报价，经济标按零分。</w:t>
            </w:r>
          </w:p>
          <w:p>
            <w:pPr>
              <w:pStyle w:val="1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结果保留两位小数。</w:t>
            </w:r>
          </w:p>
        </w:tc>
        <w:tc>
          <w:tcPr>
            <w:tcW w:w="649" w:type="dxa"/>
            <w:shd w:val="clear" w:color="auto" w:fill="FFFFFF"/>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highlight w:val="none"/>
                <w:shd w:val="clear" w:color="auto" w:fill="auto"/>
                <w:lang w:val="zh-CN" w:eastAsia="zh-CN"/>
              </w:rPr>
            </w:pPr>
            <w:r>
              <w:rPr>
                <w:rFonts w:hint="eastAsia" w:ascii="Times New Roman" w:hAnsi="Times New Roman" w:eastAsia="宋体" w:cs="Times New Roman"/>
                <w:color w:val="auto"/>
                <w:szCs w:val="21"/>
                <w:highlight w:val="none"/>
                <w:shd w:val="clear" w:color="auto" w:fill="auto"/>
                <w:lang w:val="zh-CN" w:eastAsia="zh-CN"/>
              </w:rPr>
              <w:t>0-30</w:t>
            </w:r>
          </w:p>
        </w:tc>
        <w:tc>
          <w:tcPr>
            <w:tcW w:w="522"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700" w:type="dxa"/>
            <w:gridSpan w:val="3"/>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二、</w:t>
            </w:r>
            <w:r>
              <w:rPr>
                <w:rFonts w:hint="eastAsia" w:ascii="Times New Roman" w:hAnsi="Times New Roman" w:eastAsia="宋体" w:cs="Times New Roman"/>
                <w:color w:val="auto"/>
                <w:szCs w:val="21"/>
                <w:lang w:val="en-US" w:eastAsia="zh-CN"/>
              </w:rPr>
              <w:t>商务标</w:t>
            </w:r>
            <w:r>
              <w:rPr>
                <w:rFonts w:hint="eastAsia" w:ascii="Times New Roman" w:hAnsi="Times New Roman" w:eastAsia="宋体" w:cs="Times New Roman"/>
                <w:color w:val="auto"/>
                <w:szCs w:val="21"/>
                <w:lang w:val="zh-CN" w:eastAsia="zh-CN"/>
              </w:rPr>
              <w:t>（</w:t>
            </w:r>
            <w:r>
              <w:rPr>
                <w:rFonts w:hint="eastAsia" w:ascii="Times New Roman" w:hAnsi="Times New Roman" w:cs="Times New Roman"/>
                <w:color w:val="auto"/>
                <w:szCs w:val="21"/>
                <w:lang w:val="en-US" w:eastAsia="zh-CN"/>
              </w:rPr>
              <w:t>23</w:t>
            </w:r>
            <w:r>
              <w:rPr>
                <w:rFonts w:hint="eastAsia" w:ascii="Times New Roman" w:hAnsi="Times New Roman" w:eastAsia="宋体" w:cs="Times New Roman"/>
                <w:color w:val="auto"/>
                <w:szCs w:val="21"/>
                <w:lang w:val="zh-CN" w:eastAsia="zh-CN"/>
              </w:rPr>
              <w:t>分）</w:t>
            </w:r>
          </w:p>
        </w:tc>
        <w:tc>
          <w:tcPr>
            <w:tcW w:w="649" w:type="dxa"/>
            <w:shd w:val="clear" w:color="auto" w:fill="FFFFFF"/>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p>
        </w:tc>
        <w:tc>
          <w:tcPr>
            <w:tcW w:w="522"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90"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w:t>
            </w:r>
          </w:p>
        </w:tc>
        <w:tc>
          <w:tcPr>
            <w:tcW w:w="2209"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u w:color="000000"/>
                <w:lang w:val="en-US" w:eastAsia="zh-CN" w:bidi="ar-SA"/>
              </w:rPr>
            </w:pPr>
            <w:r>
              <w:rPr>
                <w:rFonts w:hint="eastAsia" w:hAnsi="宋体"/>
                <w:color w:val="auto"/>
                <w:sz w:val="22"/>
                <w:szCs w:val="22"/>
              </w:rPr>
              <w:t>售后服务方案</w:t>
            </w:r>
          </w:p>
        </w:tc>
        <w:tc>
          <w:tcPr>
            <w:tcW w:w="5801" w:type="dxa"/>
            <w:shd w:val="clear" w:color="auto" w:fill="FFFFFF"/>
            <w:vAlign w:val="center"/>
          </w:tcPr>
          <w:p>
            <w:pPr>
              <w:spacing w:line="276" w:lineRule="auto"/>
              <w:rPr>
                <w:rFonts w:hAnsi="宋体"/>
                <w:color w:val="auto"/>
                <w:sz w:val="22"/>
                <w:szCs w:val="22"/>
              </w:rPr>
            </w:pPr>
            <w:r>
              <w:rPr>
                <w:rFonts w:hint="eastAsia" w:hAnsi="宋体"/>
                <w:color w:val="auto"/>
                <w:sz w:val="22"/>
                <w:szCs w:val="22"/>
              </w:rPr>
              <w:t>供应商针对本项目结合采购需求制定售后服务方案，内容包括但不限于：</w:t>
            </w:r>
          </w:p>
          <w:p>
            <w:pPr>
              <w:spacing w:line="276" w:lineRule="auto"/>
              <w:ind w:left="0" w:leftChars="0" w:firstLine="0" w:firstLineChars="0"/>
              <w:rPr>
                <w:rFonts w:hAnsi="宋体"/>
                <w:color w:val="auto"/>
                <w:sz w:val="22"/>
                <w:szCs w:val="22"/>
              </w:rPr>
            </w:pPr>
            <w:r>
              <w:rPr>
                <w:rFonts w:hint="eastAsia" w:hAnsi="宋体"/>
                <w:color w:val="auto"/>
                <w:sz w:val="22"/>
                <w:szCs w:val="22"/>
              </w:rPr>
              <w:t>①售后服务承诺方案；</w:t>
            </w:r>
          </w:p>
          <w:p>
            <w:pPr>
              <w:spacing w:line="276" w:lineRule="auto"/>
              <w:ind w:left="0" w:leftChars="0" w:firstLine="0" w:firstLineChars="0"/>
              <w:rPr>
                <w:rFonts w:hAnsi="宋体"/>
                <w:color w:val="auto"/>
                <w:sz w:val="22"/>
                <w:szCs w:val="22"/>
              </w:rPr>
            </w:pPr>
            <w:r>
              <w:rPr>
                <w:rFonts w:hint="eastAsia" w:hAnsi="宋体"/>
                <w:color w:val="auto"/>
                <w:sz w:val="22"/>
                <w:szCs w:val="22"/>
              </w:rPr>
              <w:t>②后期管护人员配置及安排；</w:t>
            </w:r>
          </w:p>
          <w:p>
            <w:pPr>
              <w:spacing w:line="276" w:lineRule="auto"/>
              <w:ind w:left="0" w:leftChars="0" w:firstLine="0" w:firstLineChars="0"/>
              <w:rPr>
                <w:rFonts w:hAnsi="宋体"/>
                <w:color w:val="auto"/>
                <w:sz w:val="22"/>
                <w:szCs w:val="22"/>
              </w:rPr>
            </w:pPr>
            <w:r>
              <w:rPr>
                <w:rFonts w:hint="eastAsia" w:hAnsi="宋体"/>
                <w:color w:val="auto"/>
                <w:sz w:val="22"/>
                <w:szCs w:val="22"/>
              </w:rPr>
              <w:t>③售后服务质量保证方案；</w:t>
            </w:r>
          </w:p>
          <w:p>
            <w:pPr>
              <w:pStyle w:val="1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szCs w:val="21"/>
                <w:lang w:val="en-US" w:eastAsia="zh-CN"/>
              </w:rPr>
            </w:pPr>
            <w:r>
              <w:rPr>
                <w:rFonts w:hint="eastAsia" w:hAnsi="宋体"/>
                <w:color w:val="auto"/>
                <w:sz w:val="22"/>
                <w:szCs w:val="22"/>
              </w:rPr>
              <w:t>以上方案内容完整清晰明确且科学合理、可行性高具有针对性并满足采购需求的得</w:t>
            </w:r>
            <w:r>
              <w:rPr>
                <w:rFonts w:hint="eastAsia" w:hAnsi="宋体"/>
                <w:color w:val="auto"/>
                <w:sz w:val="22"/>
                <w:szCs w:val="22"/>
                <w:lang w:val="en-US" w:eastAsia="zh-CN"/>
              </w:rPr>
              <w:t>8</w:t>
            </w:r>
            <w:r>
              <w:rPr>
                <w:rFonts w:hint="eastAsia" w:hAnsi="宋体"/>
                <w:color w:val="auto"/>
                <w:sz w:val="22"/>
                <w:szCs w:val="22"/>
              </w:rPr>
              <w:t>分，每缺少一项内容扣</w:t>
            </w:r>
            <w:r>
              <w:rPr>
                <w:rFonts w:hAnsi="宋体"/>
                <w:color w:val="auto"/>
                <w:sz w:val="22"/>
                <w:szCs w:val="22"/>
              </w:rPr>
              <w:t>2</w:t>
            </w:r>
            <w:r>
              <w:rPr>
                <w:rFonts w:hint="eastAsia" w:hAnsi="宋体"/>
                <w:color w:val="auto"/>
                <w:sz w:val="22"/>
                <w:szCs w:val="22"/>
              </w:rPr>
              <w:t>分；每有一项内容不完整或未能满足采购需求的或每有一处不具有针对性或逻辑性错误且不完整的扣</w:t>
            </w:r>
            <w:r>
              <w:rPr>
                <w:rFonts w:hAnsi="宋体"/>
                <w:color w:val="auto"/>
                <w:sz w:val="22"/>
                <w:szCs w:val="22"/>
              </w:rPr>
              <w:t>1</w:t>
            </w:r>
            <w:r>
              <w:rPr>
                <w:rFonts w:hint="eastAsia" w:hAnsi="宋体"/>
                <w:color w:val="auto"/>
                <w:sz w:val="22"/>
                <w:szCs w:val="22"/>
              </w:rPr>
              <w:t>分；扣完为止。</w:t>
            </w:r>
          </w:p>
        </w:tc>
        <w:tc>
          <w:tcPr>
            <w:tcW w:w="649" w:type="dxa"/>
            <w:shd w:val="clear" w:color="auto" w:fill="FFFFFF"/>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highlight w:val="none"/>
                <w:u w:color="000000"/>
                <w:lang w:val="zh-CN" w:eastAsia="zh-CN" w:bidi="ar-SA"/>
              </w:rPr>
            </w:pPr>
            <w:r>
              <w:rPr>
                <w:rFonts w:hint="eastAsia" w:ascii="Times New Roman" w:hAnsi="Times New Roman" w:eastAsia="宋体" w:cs="Times New Roman"/>
                <w:color w:val="auto"/>
                <w:szCs w:val="21"/>
                <w:highlight w:val="none"/>
                <w:lang w:val="zh-CN" w:eastAsia="zh-CN"/>
              </w:rPr>
              <w:t>0-</w:t>
            </w:r>
            <w:r>
              <w:rPr>
                <w:rFonts w:hint="eastAsia" w:ascii="Times New Roman" w:hAnsi="Times New Roman" w:cs="Times New Roman"/>
                <w:color w:val="auto"/>
                <w:szCs w:val="21"/>
                <w:highlight w:val="none"/>
                <w:lang w:val="en-US" w:eastAsia="zh-CN"/>
              </w:rPr>
              <w:t>8</w:t>
            </w:r>
          </w:p>
        </w:tc>
        <w:tc>
          <w:tcPr>
            <w:tcW w:w="522"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90"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r>
              <w:rPr>
                <w:rFonts w:hint="eastAsia" w:ascii="Times New Roman" w:hAnsi="Times New Roman" w:cs="Times New Roman"/>
                <w:color w:val="auto"/>
                <w:szCs w:val="21"/>
                <w:lang w:val="en-US" w:eastAsia="zh-CN"/>
              </w:rPr>
              <w:t>2</w:t>
            </w:r>
          </w:p>
        </w:tc>
        <w:tc>
          <w:tcPr>
            <w:tcW w:w="2209"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en-US" w:eastAsia="zh-CN"/>
              </w:rPr>
            </w:pPr>
            <w:r>
              <w:rPr>
                <w:rFonts w:hint="eastAsia" w:ascii="宋体" w:hAnsi="宋体" w:eastAsia="宋体" w:cs="宋体"/>
                <w:i w:val="0"/>
                <w:color w:val="000000"/>
                <w:kern w:val="0"/>
                <w:sz w:val="22"/>
                <w:szCs w:val="22"/>
                <w:u w:val="none"/>
                <w:lang w:val="en-US" w:eastAsia="zh-CN" w:bidi="ar"/>
              </w:rPr>
              <w:t>投标文件的制作质量及完整性</w:t>
            </w:r>
          </w:p>
        </w:tc>
        <w:tc>
          <w:tcPr>
            <w:tcW w:w="5801" w:type="dxa"/>
            <w:shd w:val="clear" w:color="auto" w:fill="FFFFFF"/>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根据标书的内容、印刷、装订、目录、页码标识、错漏字、提供完备资料等，内容一致性等进行评分。由专家综合对比评价，酌情打分</w:t>
            </w:r>
          </w:p>
        </w:tc>
        <w:tc>
          <w:tcPr>
            <w:tcW w:w="649" w:type="dxa"/>
            <w:shd w:val="clear" w:color="auto" w:fill="FFFFFF"/>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u w:color="000000"/>
                <w:lang w:val="en-US" w:eastAsia="zh-CN" w:bidi="ar-SA"/>
              </w:rPr>
            </w:pPr>
            <w:r>
              <w:rPr>
                <w:rFonts w:hint="eastAsia" w:ascii="Times New Roman" w:hAnsi="Times New Roman" w:cs="Times New Roman"/>
                <w:color w:val="auto"/>
                <w:szCs w:val="21"/>
                <w:lang w:val="en-US" w:eastAsia="zh-CN"/>
              </w:rPr>
              <w:t>0-5</w:t>
            </w:r>
          </w:p>
        </w:tc>
        <w:tc>
          <w:tcPr>
            <w:tcW w:w="522"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90"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w:t>
            </w:r>
          </w:p>
        </w:tc>
        <w:tc>
          <w:tcPr>
            <w:tcW w:w="2209"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其他优惠条件</w:t>
            </w:r>
          </w:p>
        </w:tc>
        <w:tc>
          <w:tcPr>
            <w:tcW w:w="5801" w:type="dxa"/>
            <w:shd w:val="clear" w:color="auto" w:fill="FFFFFF"/>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文件规定之外的其他优势及优惠条件有得，得</w:t>
            </w:r>
            <w:r>
              <w:rPr>
                <w:rFonts w:hint="eastAsia" w:ascii="Times New Roman" w:hAnsi="Times New Roman" w:cs="Times New Roman"/>
                <w:color w:val="auto"/>
                <w:szCs w:val="21"/>
                <w:lang w:val="en-US" w:eastAsia="zh-CN"/>
              </w:rPr>
              <w:t>5</w:t>
            </w:r>
            <w:r>
              <w:rPr>
                <w:rFonts w:hint="eastAsia" w:ascii="Times New Roman" w:hAnsi="Times New Roman" w:eastAsia="宋体" w:cs="Times New Roman"/>
                <w:color w:val="auto"/>
                <w:szCs w:val="21"/>
                <w:lang w:val="en-US" w:eastAsia="zh-CN"/>
              </w:rPr>
              <w:t>分，没有不得分。由专家综合对比评价，酌情打分</w:t>
            </w:r>
          </w:p>
        </w:tc>
        <w:tc>
          <w:tcPr>
            <w:tcW w:w="649" w:type="dxa"/>
            <w:shd w:val="clear" w:color="auto" w:fill="FFFFFF"/>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0-5</w:t>
            </w:r>
          </w:p>
        </w:tc>
        <w:tc>
          <w:tcPr>
            <w:tcW w:w="522"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90"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4</w:t>
            </w:r>
          </w:p>
        </w:tc>
        <w:tc>
          <w:tcPr>
            <w:tcW w:w="2209"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业</w:t>
            </w:r>
            <w:r>
              <w:rPr>
                <w:rFonts w:hint="eastAsia" w:hAnsi="宋体" w:eastAsia="宋体" w:cs="Times New Roman"/>
                <w:color w:val="auto"/>
                <w:sz w:val="22"/>
                <w:szCs w:val="22"/>
                <w:lang w:val="en-US" w:eastAsia="zh-CN"/>
              </w:rPr>
              <w:t>绩证明</w:t>
            </w:r>
          </w:p>
        </w:tc>
        <w:tc>
          <w:tcPr>
            <w:tcW w:w="5801" w:type="dxa"/>
            <w:shd w:val="clear" w:color="auto" w:fill="FFFFFF"/>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szCs w:val="21"/>
                <w:lang w:val="en-US" w:eastAsia="zh-CN"/>
              </w:rPr>
            </w:pPr>
            <w:r>
              <w:rPr>
                <w:rFonts w:hint="eastAsia" w:ascii="宋体" w:hAnsi="宋体" w:eastAsia="宋体" w:cs="宋体"/>
                <w:i w:val="0"/>
                <w:color w:val="000000"/>
                <w:kern w:val="0"/>
                <w:sz w:val="22"/>
                <w:szCs w:val="22"/>
                <w:u w:val="none"/>
                <w:lang w:val="en-US" w:eastAsia="zh-CN" w:bidi="ar"/>
              </w:rPr>
              <w:t>根据供应商 2019年至今（以合同签订时间为准）具有的工程类似项目业绩进行评审，每提供一个项目业绩得 1分，最高得5分。注：须同时提供项目中标通知书、合同关键页（名称页、金额页、盖章页）复印件加盖供应商公章。</w:t>
            </w:r>
          </w:p>
        </w:tc>
        <w:tc>
          <w:tcPr>
            <w:tcW w:w="649" w:type="dxa"/>
            <w:shd w:val="clear" w:color="auto" w:fill="FFFFFF"/>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0-5</w:t>
            </w:r>
          </w:p>
        </w:tc>
        <w:tc>
          <w:tcPr>
            <w:tcW w:w="522"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871" w:type="dxa"/>
            <w:gridSpan w:val="6"/>
            <w:vAlign w:val="center"/>
          </w:tcPr>
          <w:p>
            <w:pPr>
              <w:pStyle w:val="1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注：</w:t>
            </w:r>
            <w:r>
              <w:rPr>
                <w:rFonts w:hint="eastAsia" w:ascii="Times New Roman" w:hAnsi="Times New Roman" w:eastAsia="宋体" w:cs="Times New Roman"/>
                <w:color w:val="auto"/>
                <w:szCs w:val="21"/>
                <w:lang w:val="en-US" w:eastAsia="zh-CN"/>
              </w:rPr>
              <w:t>商务标</w:t>
            </w:r>
            <w:r>
              <w:rPr>
                <w:rFonts w:hint="eastAsia" w:ascii="Times New Roman" w:hAnsi="Times New Roman" w:eastAsia="宋体" w:cs="Times New Roman"/>
                <w:color w:val="auto"/>
                <w:szCs w:val="21"/>
                <w:lang w:val="zh-CN" w:eastAsia="zh-CN"/>
              </w:rPr>
              <w:t>得分由评标委员会负责对每位合格的投标人的商务情况按以上标准进行独立打分，评分汇总时按评委有效打分的算术平均值作为此投标人的</w:t>
            </w:r>
            <w:r>
              <w:rPr>
                <w:rFonts w:hint="eastAsia" w:ascii="Times New Roman" w:hAnsi="Times New Roman" w:eastAsia="宋体" w:cs="Times New Roman"/>
                <w:color w:val="auto"/>
                <w:szCs w:val="21"/>
                <w:lang w:val="en-US" w:eastAsia="zh-CN"/>
              </w:rPr>
              <w:t>商务标</w:t>
            </w:r>
            <w:r>
              <w:rPr>
                <w:rFonts w:hint="eastAsia" w:ascii="Times New Roman" w:hAnsi="Times New Roman" w:eastAsia="宋体" w:cs="Times New Roman"/>
                <w:color w:val="auto"/>
                <w:szCs w:val="21"/>
                <w:lang w:val="zh-CN"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6" w:hRule="atLeast"/>
        </w:trPr>
        <w:tc>
          <w:tcPr>
            <w:tcW w:w="9859" w:type="dxa"/>
            <w:gridSpan w:val="5"/>
            <w:vAlign w:val="center"/>
          </w:tcPr>
          <w:p>
            <w:pPr>
              <w:pStyle w:val="1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二、</w:t>
            </w:r>
            <w:r>
              <w:rPr>
                <w:rFonts w:hint="eastAsia" w:ascii="Times New Roman" w:hAnsi="Times New Roman" w:eastAsia="宋体" w:cs="Times New Roman"/>
                <w:color w:val="auto"/>
                <w:szCs w:val="21"/>
                <w:lang w:val="en-US" w:eastAsia="zh-CN"/>
              </w:rPr>
              <w:t>技术标</w:t>
            </w:r>
            <w:r>
              <w:rPr>
                <w:rFonts w:hint="eastAsia" w:ascii="Times New Roman" w:hAnsi="Times New Roman" w:eastAsia="宋体" w:cs="Times New Roman"/>
                <w:color w:val="auto"/>
                <w:szCs w:val="21"/>
                <w:lang w:val="zh-CN" w:eastAsia="zh-CN"/>
              </w:rPr>
              <w:t>（</w:t>
            </w:r>
            <w:r>
              <w:rPr>
                <w:rFonts w:hint="eastAsia" w:ascii="Times New Roman" w:hAnsi="Times New Roman" w:cs="Times New Roman"/>
                <w:color w:val="auto"/>
                <w:szCs w:val="21"/>
                <w:lang w:val="en-US" w:eastAsia="zh-CN"/>
              </w:rPr>
              <w:t>47</w:t>
            </w:r>
            <w:r>
              <w:rPr>
                <w:rFonts w:hint="eastAsia" w:ascii="Times New Roman" w:hAnsi="Times New Roman" w:eastAsia="宋体" w:cs="Times New Roman"/>
                <w:color w:val="auto"/>
                <w:szCs w:val="21"/>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55" w:hRule="atLeast"/>
        </w:trPr>
        <w:tc>
          <w:tcPr>
            <w:tcW w:w="690" w:type="dxa"/>
            <w:tcBorders>
              <w:bottom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1</w:t>
            </w:r>
          </w:p>
        </w:tc>
        <w:tc>
          <w:tcPr>
            <w:tcW w:w="2209" w:type="dxa"/>
            <w:tcBorders>
              <w:bottom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en-US" w:eastAsia="zh-CN"/>
              </w:rPr>
            </w:pPr>
            <w:r>
              <w:rPr>
                <w:rFonts w:hint="eastAsia" w:ascii="宋体" w:hAnsi="宋体" w:eastAsia="宋体" w:cs="宋体"/>
                <w:i w:val="0"/>
                <w:color w:val="000000"/>
                <w:kern w:val="0"/>
                <w:sz w:val="22"/>
                <w:szCs w:val="22"/>
                <w:u w:val="none"/>
                <w:lang w:val="en-US" w:eastAsia="zh-CN" w:bidi="ar"/>
              </w:rPr>
              <w:t>货物技术参数响应</w:t>
            </w:r>
          </w:p>
        </w:tc>
        <w:tc>
          <w:tcPr>
            <w:tcW w:w="5801" w:type="dxa"/>
            <w:tcBorders>
              <w:bottom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szCs w:val="21"/>
                <w:lang w:val="en-US" w:eastAsia="zh-CN"/>
              </w:rPr>
            </w:pPr>
            <w:r>
              <w:rPr>
                <w:rFonts w:hint="eastAsia" w:ascii="宋体" w:hAnsi="宋体" w:eastAsia="宋体" w:cs="宋体"/>
                <w:i w:val="0"/>
                <w:color w:val="000000"/>
                <w:kern w:val="0"/>
                <w:sz w:val="22"/>
                <w:szCs w:val="22"/>
                <w:u w:val="none"/>
                <w:lang w:val="en-US" w:eastAsia="zh-CN" w:bidi="ar"/>
              </w:rPr>
              <w:t>投标货物满足磋商文件技术指标，由专家综合对比评价，酌情打分</w:t>
            </w:r>
          </w:p>
        </w:tc>
        <w:tc>
          <w:tcPr>
            <w:tcW w:w="649" w:type="dxa"/>
            <w:tcBorders>
              <w:bottom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CN" w:eastAsia="zh-CN"/>
              </w:rPr>
              <w:t>0-</w:t>
            </w:r>
            <w:r>
              <w:rPr>
                <w:rFonts w:hint="eastAsia" w:ascii="Times New Roman" w:hAnsi="Times New Roman" w:cs="Times New Roman"/>
                <w:color w:val="auto"/>
                <w:szCs w:val="21"/>
                <w:lang w:val="en-US" w:eastAsia="zh-CN"/>
              </w:rPr>
              <w:t>8</w:t>
            </w:r>
          </w:p>
        </w:tc>
        <w:tc>
          <w:tcPr>
            <w:tcW w:w="510" w:type="dxa"/>
            <w:tcBorders>
              <w:bottom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0" w:hRule="atLeast"/>
        </w:trPr>
        <w:tc>
          <w:tcPr>
            <w:tcW w:w="690"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w:t>
            </w:r>
          </w:p>
        </w:tc>
        <w:tc>
          <w:tcPr>
            <w:tcW w:w="2209"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en-US" w:eastAsia="zh-CN"/>
              </w:rPr>
            </w:pPr>
            <w:r>
              <w:rPr>
                <w:rFonts w:hint="eastAsia" w:ascii="宋体" w:hAnsi="宋体" w:eastAsia="宋体" w:cs="宋体"/>
                <w:i w:val="0"/>
                <w:color w:val="000000"/>
                <w:kern w:val="0"/>
                <w:sz w:val="22"/>
                <w:szCs w:val="22"/>
                <w:u w:val="none"/>
                <w:lang w:val="en-US" w:eastAsia="zh-CN" w:bidi="ar"/>
              </w:rPr>
              <w:t>林地</w:t>
            </w:r>
            <w:r>
              <w:rPr>
                <w:rFonts w:hint="eastAsia" w:ascii="宋体" w:hAnsi="宋体" w:cs="宋体"/>
                <w:i w:val="0"/>
                <w:color w:val="000000"/>
                <w:kern w:val="0"/>
                <w:sz w:val="22"/>
                <w:szCs w:val="22"/>
                <w:u w:val="none"/>
                <w:lang w:val="en-US" w:eastAsia="zh-CN" w:bidi="ar"/>
              </w:rPr>
              <w:t>修复</w:t>
            </w:r>
            <w:r>
              <w:rPr>
                <w:rFonts w:hint="eastAsia" w:ascii="宋体" w:hAnsi="宋体" w:eastAsia="宋体" w:cs="宋体"/>
                <w:i w:val="0"/>
                <w:color w:val="000000"/>
                <w:kern w:val="0"/>
                <w:sz w:val="22"/>
                <w:szCs w:val="22"/>
                <w:u w:val="none"/>
                <w:lang w:val="en-US" w:eastAsia="zh-CN" w:bidi="ar"/>
              </w:rPr>
              <w:t>清理实施方案</w:t>
            </w:r>
          </w:p>
        </w:tc>
        <w:tc>
          <w:tcPr>
            <w:tcW w:w="5801"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szCs w:val="21"/>
                <w:lang w:val="en-US" w:eastAsia="zh-CN"/>
              </w:rPr>
            </w:pPr>
            <w:r>
              <w:rPr>
                <w:rFonts w:hint="eastAsia" w:ascii="宋体" w:hAnsi="宋体" w:eastAsia="宋体" w:cs="宋体"/>
                <w:i w:val="0"/>
                <w:color w:val="000000"/>
                <w:kern w:val="0"/>
                <w:sz w:val="22"/>
                <w:szCs w:val="22"/>
                <w:u w:val="none"/>
                <w:lang w:val="en-US" w:eastAsia="zh-CN" w:bidi="ar"/>
              </w:rPr>
              <w:t>针对本项目更新修复、补造修复、抚育修复林地清理实施方案科学合理、完整全面、细节详尽的，由专家综合对比评价，酌情打分</w:t>
            </w:r>
          </w:p>
        </w:tc>
        <w:tc>
          <w:tcPr>
            <w:tcW w:w="649"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CN" w:eastAsia="zh-CN"/>
              </w:rPr>
              <w:t>0-</w:t>
            </w:r>
            <w:r>
              <w:rPr>
                <w:rFonts w:hint="eastAsia" w:ascii="Times New Roman" w:hAnsi="Times New Roman" w:cs="Times New Roman"/>
                <w:color w:val="auto"/>
                <w:szCs w:val="21"/>
                <w:lang w:val="en-US" w:eastAsia="zh-CN"/>
              </w:rPr>
              <w:t>15</w:t>
            </w:r>
          </w:p>
        </w:tc>
        <w:tc>
          <w:tcPr>
            <w:tcW w:w="510"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0" w:hRule="atLeast"/>
        </w:trPr>
        <w:tc>
          <w:tcPr>
            <w:tcW w:w="690"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3</w:t>
            </w:r>
          </w:p>
        </w:tc>
        <w:tc>
          <w:tcPr>
            <w:tcW w:w="2209"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en-US" w:eastAsia="zh-CN"/>
              </w:rPr>
            </w:pPr>
            <w:r>
              <w:rPr>
                <w:rFonts w:hint="eastAsia" w:ascii="宋体" w:hAnsi="宋体" w:cs="宋体"/>
                <w:i w:val="0"/>
                <w:color w:val="000000"/>
                <w:kern w:val="0"/>
                <w:sz w:val="22"/>
                <w:szCs w:val="22"/>
                <w:u w:val="none"/>
                <w:lang w:val="en-US" w:eastAsia="zh-CN" w:bidi="ar"/>
              </w:rPr>
              <w:t>人工及</w:t>
            </w:r>
            <w:r>
              <w:rPr>
                <w:rFonts w:hint="eastAsia" w:ascii="宋体" w:hAnsi="宋体" w:eastAsia="宋体" w:cs="宋体"/>
                <w:i w:val="0"/>
                <w:color w:val="000000"/>
                <w:kern w:val="0"/>
                <w:sz w:val="22"/>
                <w:szCs w:val="22"/>
                <w:u w:val="none"/>
                <w:lang w:val="en-US" w:eastAsia="zh-CN" w:bidi="ar"/>
              </w:rPr>
              <w:t>机械安排</w:t>
            </w:r>
          </w:p>
        </w:tc>
        <w:tc>
          <w:tcPr>
            <w:tcW w:w="5801"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szCs w:val="21"/>
                <w:lang w:val="en-US" w:eastAsia="zh-CN"/>
              </w:rPr>
            </w:pPr>
            <w:r>
              <w:rPr>
                <w:rFonts w:hint="eastAsia" w:ascii="宋体" w:hAnsi="宋体" w:eastAsia="宋体" w:cs="宋体"/>
                <w:i w:val="0"/>
                <w:color w:val="000000"/>
                <w:kern w:val="0"/>
                <w:sz w:val="22"/>
                <w:szCs w:val="22"/>
                <w:u w:val="none"/>
                <w:lang w:val="en-US" w:eastAsia="zh-CN" w:bidi="ar"/>
              </w:rPr>
              <w:t>拟投入</w:t>
            </w:r>
            <w:r>
              <w:rPr>
                <w:rFonts w:hint="eastAsia" w:ascii="宋体" w:hAnsi="宋体" w:cs="宋体"/>
                <w:i w:val="0"/>
                <w:color w:val="000000"/>
                <w:kern w:val="0"/>
                <w:sz w:val="22"/>
                <w:szCs w:val="22"/>
                <w:u w:val="none"/>
                <w:lang w:val="en-US" w:eastAsia="zh-CN" w:bidi="ar"/>
              </w:rPr>
              <w:t>的人工及</w:t>
            </w:r>
            <w:r>
              <w:rPr>
                <w:rFonts w:hint="eastAsia" w:ascii="宋体" w:hAnsi="宋体" w:eastAsia="宋体" w:cs="宋体"/>
                <w:i w:val="0"/>
                <w:color w:val="000000"/>
                <w:kern w:val="0"/>
                <w:sz w:val="22"/>
                <w:szCs w:val="22"/>
                <w:u w:val="none"/>
                <w:lang w:val="en-US" w:eastAsia="zh-CN" w:bidi="ar"/>
              </w:rPr>
              <w:t>机械设备配备充足，由专家综合对比评价，酌情打分</w:t>
            </w:r>
          </w:p>
        </w:tc>
        <w:tc>
          <w:tcPr>
            <w:tcW w:w="649"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CN" w:eastAsia="zh-CN"/>
              </w:rPr>
              <w:t>0-</w:t>
            </w:r>
            <w:r>
              <w:rPr>
                <w:rFonts w:hint="eastAsia" w:ascii="Times New Roman" w:hAnsi="Times New Roman" w:eastAsia="宋体" w:cs="Times New Roman"/>
                <w:color w:val="auto"/>
                <w:szCs w:val="21"/>
                <w:lang w:val="en-US" w:eastAsia="zh-CN"/>
              </w:rPr>
              <w:t>6</w:t>
            </w:r>
          </w:p>
        </w:tc>
        <w:tc>
          <w:tcPr>
            <w:tcW w:w="510"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0" w:hRule="atLeast"/>
        </w:trPr>
        <w:tc>
          <w:tcPr>
            <w:tcW w:w="690"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w:t>
            </w:r>
          </w:p>
        </w:tc>
        <w:tc>
          <w:tcPr>
            <w:tcW w:w="220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u w:color="000000"/>
                <w:lang w:val="zh-CN" w:eastAsia="zh-CN" w:bidi="ar-SA"/>
              </w:rPr>
            </w:pPr>
            <w:r>
              <w:rPr>
                <w:rFonts w:hint="eastAsia" w:ascii="宋体" w:hAnsi="宋体" w:cs="宋体"/>
                <w:i w:val="0"/>
                <w:color w:val="000000"/>
                <w:kern w:val="0"/>
                <w:sz w:val="22"/>
                <w:szCs w:val="22"/>
                <w:u w:val="none"/>
                <w:lang w:val="en-US" w:eastAsia="zh-CN" w:bidi="ar"/>
              </w:rPr>
              <w:t>苗木养护实施方案</w:t>
            </w:r>
          </w:p>
        </w:tc>
        <w:tc>
          <w:tcPr>
            <w:tcW w:w="5801"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szCs w:val="21"/>
                <w:lang w:val="zh-CN" w:eastAsia="zh-CN"/>
              </w:rPr>
            </w:pPr>
            <w:r>
              <w:rPr>
                <w:rFonts w:hint="eastAsia" w:ascii="宋体" w:hAnsi="宋体" w:cs="宋体"/>
                <w:i w:val="0"/>
                <w:color w:val="000000"/>
                <w:kern w:val="0"/>
                <w:sz w:val="22"/>
                <w:szCs w:val="22"/>
                <w:u w:val="none"/>
                <w:lang w:val="en-US" w:eastAsia="zh-CN" w:bidi="ar"/>
              </w:rPr>
              <w:t>针对本项目所有苗木养护实施方案等做详细说明。</w:t>
            </w:r>
            <w:r>
              <w:rPr>
                <w:rFonts w:hint="eastAsia" w:ascii="宋体" w:hAnsi="宋体" w:eastAsia="宋体" w:cs="宋体"/>
                <w:i w:val="0"/>
                <w:color w:val="000000"/>
                <w:kern w:val="0"/>
                <w:sz w:val="22"/>
                <w:szCs w:val="22"/>
                <w:u w:val="none"/>
                <w:lang w:val="en-US" w:eastAsia="zh-CN" w:bidi="ar"/>
              </w:rPr>
              <w:t>由专家综合对比评价，酌情打分</w:t>
            </w:r>
            <w:r>
              <w:rPr>
                <w:rFonts w:hint="eastAsia" w:ascii="宋体" w:hAnsi="宋体" w:cs="宋体"/>
                <w:i w:val="0"/>
                <w:color w:val="000000"/>
                <w:kern w:val="0"/>
                <w:sz w:val="22"/>
                <w:szCs w:val="22"/>
                <w:u w:val="none"/>
                <w:lang w:val="en-US" w:eastAsia="zh-CN" w:bidi="ar"/>
              </w:rPr>
              <w:t>。</w:t>
            </w:r>
          </w:p>
        </w:tc>
        <w:tc>
          <w:tcPr>
            <w:tcW w:w="649"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0-</w:t>
            </w:r>
            <w:r>
              <w:rPr>
                <w:rFonts w:hint="eastAsia" w:ascii="Times New Roman" w:hAnsi="Times New Roman" w:cs="Times New Roman"/>
                <w:color w:val="auto"/>
                <w:szCs w:val="21"/>
                <w:lang w:val="en-US" w:eastAsia="zh-CN"/>
              </w:rPr>
              <w:t>5</w:t>
            </w:r>
          </w:p>
        </w:tc>
        <w:tc>
          <w:tcPr>
            <w:tcW w:w="510"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0" w:hRule="atLeast"/>
        </w:trPr>
        <w:tc>
          <w:tcPr>
            <w:tcW w:w="690"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w:t>
            </w:r>
          </w:p>
        </w:tc>
        <w:tc>
          <w:tcPr>
            <w:tcW w:w="220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u w:color="000000"/>
                <w:lang w:val="zh-CN" w:eastAsia="zh-CN" w:bidi="ar-SA"/>
              </w:rPr>
            </w:pPr>
            <w:r>
              <w:rPr>
                <w:rFonts w:hint="eastAsia" w:ascii="宋体" w:hAnsi="宋体" w:eastAsia="宋体" w:cs="宋体"/>
                <w:i w:val="0"/>
                <w:color w:val="000000"/>
                <w:kern w:val="0"/>
                <w:sz w:val="22"/>
                <w:szCs w:val="22"/>
                <w:u w:val="none"/>
                <w:lang w:val="en-US" w:eastAsia="zh-CN" w:bidi="ar"/>
              </w:rPr>
              <w:t>针对本项目的苗木采购、运输、供货计划方案及验收标准</w:t>
            </w:r>
          </w:p>
        </w:tc>
        <w:tc>
          <w:tcPr>
            <w:tcW w:w="5801"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szCs w:val="21"/>
                <w:lang w:val="zh-CN" w:eastAsia="zh-CN"/>
              </w:rPr>
            </w:pPr>
            <w:r>
              <w:rPr>
                <w:rFonts w:hint="eastAsia" w:ascii="宋体" w:hAnsi="宋体" w:eastAsia="宋体" w:cs="宋体"/>
                <w:i w:val="0"/>
                <w:color w:val="000000"/>
                <w:kern w:val="0"/>
                <w:sz w:val="22"/>
                <w:szCs w:val="22"/>
                <w:u w:val="none"/>
                <w:lang w:val="en-US" w:eastAsia="zh-CN" w:bidi="ar"/>
              </w:rPr>
              <w:t>计划方案明确、科学、可行、针对性强，验收标准符合国家有关要的，由专家综合对比评价，酌情打分</w:t>
            </w:r>
          </w:p>
        </w:tc>
        <w:tc>
          <w:tcPr>
            <w:tcW w:w="649"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en-US" w:eastAsia="zh-CN"/>
              </w:rPr>
              <w:t>0</w:t>
            </w:r>
            <w:r>
              <w:rPr>
                <w:rFonts w:hint="eastAsia" w:ascii="Times New Roman" w:hAnsi="Times New Roman" w:cs="Times New Roman"/>
                <w:color w:val="auto"/>
                <w:szCs w:val="21"/>
                <w:lang w:val="en-US" w:eastAsia="zh-CN"/>
              </w:rPr>
              <w:t>-8</w:t>
            </w:r>
          </w:p>
        </w:tc>
        <w:tc>
          <w:tcPr>
            <w:tcW w:w="510"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0" w:hRule="atLeast"/>
        </w:trPr>
        <w:tc>
          <w:tcPr>
            <w:tcW w:w="690"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6</w:t>
            </w:r>
          </w:p>
        </w:tc>
        <w:tc>
          <w:tcPr>
            <w:tcW w:w="220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u w:color="000000"/>
                <w:lang w:val="en-US" w:eastAsia="zh-CN" w:bidi="ar-SA"/>
              </w:rPr>
            </w:pPr>
            <w:r>
              <w:rPr>
                <w:rFonts w:hint="eastAsia" w:ascii="宋体" w:hAnsi="宋体" w:eastAsia="宋体" w:cs="宋体"/>
                <w:i w:val="0"/>
                <w:color w:val="000000"/>
                <w:kern w:val="0"/>
                <w:sz w:val="22"/>
                <w:szCs w:val="22"/>
                <w:u w:val="none"/>
                <w:lang w:val="en-US" w:eastAsia="zh-CN" w:bidi="ar"/>
              </w:rPr>
              <w:t>应急措施</w:t>
            </w:r>
          </w:p>
        </w:tc>
        <w:tc>
          <w:tcPr>
            <w:tcW w:w="5801"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szCs w:val="21"/>
                <w:lang w:val="zh-CN" w:eastAsia="zh-CN"/>
              </w:rPr>
            </w:pPr>
            <w:r>
              <w:rPr>
                <w:rFonts w:hint="eastAsia" w:ascii="宋体" w:hAnsi="宋体" w:eastAsia="宋体" w:cs="宋体"/>
                <w:i w:val="0"/>
                <w:color w:val="000000"/>
                <w:kern w:val="0"/>
                <w:sz w:val="22"/>
                <w:szCs w:val="22"/>
                <w:u w:val="none"/>
                <w:lang w:val="en-US" w:eastAsia="zh-CN" w:bidi="ar"/>
              </w:rPr>
              <w:t>根据投标人对作业过程中车辆、人员等突发状况的应急处理措施，由专家综合对比评价，酌情打分</w:t>
            </w:r>
          </w:p>
        </w:tc>
        <w:tc>
          <w:tcPr>
            <w:tcW w:w="649"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zh-CN" w:eastAsia="zh-CN"/>
              </w:rPr>
              <w:t>0-</w:t>
            </w:r>
            <w:r>
              <w:rPr>
                <w:rFonts w:hint="eastAsia" w:ascii="Times New Roman" w:hAnsi="Times New Roman" w:cs="Times New Roman"/>
                <w:color w:val="auto"/>
                <w:szCs w:val="21"/>
                <w:lang w:val="en-US" w:eastAsia="zh-CN"/>
              </w:rPr>
              <w:t>5</w:t>
            </w:r>
          </w:p>
        </w:tc>
        <w:tc>
          <w:tcPr>
            <w:tcW w:w="510"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0" w:hRule="atLeast"/>
        </w:trPr>
        <w:tc>
          <w:tcPr>
            <w:tcW w:w="9859" w:type="dxa"/>
            <w:gridSpan w:val="5"/>
            <w:tcBorders>
              <w:bottom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auto"/>
                <w:szCs w:val="21"/>
                <w:lang w:val="zh-CN" w:eastAsia="zh-CN"/>
              </w:rPr>
            </w:pPr>
            <w:r>
              <w:rPr>
                <w:rFonts w:hint="eastAsia" w:ascii="Times New Roman" w:hAnsi="Times New Roman" w:eastAsia="宋体" w:cs="Times New Roman"/>
                <w:color w:val="auto"/>
                <w:szCs w:val="21"/>
                <w:lang w:val="zh-CN" w:eastAsia="zh-CN"/>
              </w:rPr>
              <w:t>注：</w:t>
            </w:r>
            <w:r>
              <w:rPr>
                <w:rFonts w:hint="eastAsia" w:ascii="Times New Roman" w:hAnsi="Times New Roman" w:eastAsia="宋体" w:cs="Times New Roman"/>
                <w:color w:val="auto"/>
                <w:szCs w:val="21"/>
                <w:lang w:val="en-US" w:eastAsia="zh-CN"/>
              </w:rPr>
              <w:t>技术标</w:t>
            </w:r>
            <w:r>
              <w:rPr>
                <w:rFonts w:hint="eastAsia" w:ascii="Times New Roman" w:hAnsi="Times New Roman" w:eastAsia="宋体" w:cs="Times New Roman"/>
                <w:color w:val="auto"/>
                <w:szCs w:val="21"/>
                <w:lang w:val="zh-CN" w:eastAsia="zh-CN"/>
              </w:rPr>
              <w:t>由评标委员会负责对每位合格的投标人的技术情况按以上标准进行独立打分，评分汇总时按评委有效打分的算术平均值作为此投标人的</w:t>
            </w:r>
            <w:r>
              <w:rPr>
                <w:rFonts w:hint="eastAsia" w:ascii="Times New Roman" w:hAnsi="Times New Roman" w:eastAsia="宋体" w:cs="Times New Roman"/>
                <w:color w:val="auto"/>
                <w:szCs w:val="21"/>
                <w:lang w:val="en-US" w:eastAsia="zh-CN"/>
              </w:rPr>
              <w:t>技术标</w:t>
            </w:r>
            <w:r>
              <w:rPr>
                <w:rFonts w:hint="eastAsia" w:ascii="Times New Roman" w:hAnsi="Times New Roman" w:eastAsia="宋体" w:cs="Times New Roman"/>
                <w:color w:val="auto"/>
                <w:szCs w:val="21"/>
                <w:lang w:val="zh-CN" w:eastAsia="zh-CN"/>
              </w:rPr>
              <w:t>得分。保留小数点后两位，第三位四舍五入。</w:t>
            </w:r>
          </w:p>
        </w:tc>
      </w:tr>
    </w:tbl>
    <w:p>
      <w:pPr>
        <w:spacing w:line="360" w:lineRule="auto"/>
        <w:jc w:val="left"/>
        <w:rPr>
          <w:color w:val="auto"/>
          <w:sz w:val="24"/>
          <w:szCs w:val="24"/>
        </w:rPr>
      </w:pP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注：评标总得分=F1×A1+F2×A2+…+Fn×An</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F1、F2...分别为各项评审因素得分：</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A1、A2...An分别为各项评审因素所占的权重（A1+A2+...+An=1）</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评标过程中，不得去掉报价中的最高报价和最低报价。</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因落实政府政策进行价格调整，以调整后的价格计算评标基准价和投标报价。</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推荐原则：评标委员会评审后，按照综合得分由高到低顺序推荐三位中标候选人。投标人的综合得分若相同，以投标报价低者顺序在先。</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注：1、经济标：得分分值由招标代理机构汇总，汇总结果由评标委员会复核确认。</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2、评标委员会按技术、商务和综合三项得分之和从高到低按顺序推荐三名中标候选投标人。</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3、投标人所供设备的技术规格、参数、质量等最大限度的满足招标人要求。</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4、投标人最终得分=技术标得分+经济标得分+商务标得分。</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5、投标产品技术规格、参数、数量必须最大限度的满足招标文件的要求；</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6、评审中涉及评分因素的证明文件、材料，如要求提供原件的，开标时必须携带原件校验。</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7、因落实政府采购政策进行价格调整的，以调整后的价格计算评标基准价和投标报价。</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8、</w:t>
      </w:r>
      <w:r>
        <w:rPr>
          <w:rFonts w:hint="eastAsia"/>
          <w:b w:val="0"/>
          <w:bCs/>
          <w:color w:val="auto"/>
          <w:sz w:val="24"/>
          <w:szCs w:val="24"/>
          <w:lang w:val="zh-CN" w:eastAsia="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9、本项目将对小型和微型企业产品的价格给予6%的扣除，用扣除后的价格参与评审打分。</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若供应商和小微企业产品/服务制造商均符合小微企业条件，则最后产品价格=供应商报价中属于小型和微型企业产品的价格部分×（100%-6%）+供应商报价中不属于小型和微型企业产品的价格部分；否则，最后产品报价不予变化。</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根据中华人民共和国财政部、中华人民共和国工业和信息化部《政府采购促进中小企业发展暂行办法》（财库[2020] 46号）文件的规定，属于中小企业评审优惠内容及幅度如下：</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1.中小企业（含中型、小型、微型企业）应当同时符合以下条件：</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1.1符合中小企业划分标准（按《关于印发中小企业划型标准规定的通知》（工信部联企业（2011）300号）执行）；</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1.2提供本企业制造的货物、承担的项目或者服务，或者提供其他中小企业制造的货物。本项所称货物不包括使用大型企业注册商标的货物；</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1.3小型、微型企业提供中型企业制造的货物的，视同为中型企业。</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2.价格扣除办法：</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对于非专门面向中小企业的项目，对小型和微型企业（或联合体各方均为小型、微型企业的）产品的价格给予6%的扣除，用扣除后的价格参与价格分的评审。</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3.小型和微型企业适用价格扣除办法时应提供的相关资料：</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3.1《中小企业声明函》；</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3.2提供投标供应商工商行政登记所在地管理部门出具的小微企业证明文件。</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3.3提供所代理产品生产厂家的属地主管部门出具的小微企业证明文件。</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3.4供应商应同时提供以上二个材料，否则将不给予价格扣除。</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3.5供应商需在响应文件报价部分中“报价明细表”中逐项注明所投产品的生产厂家具体名称并备注是否属于小型、微型企业。</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3.6若所投标产品为进口产品的，不适用《政府采购促进中小企业发展暂行办法》。</w:t>
      </w:r>
      <w:bookmarkStart w:id="46" w:name="_Toc11316"/>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10、</w:t>
      </w:r>
      <w:r>
        <w:rPr>
          <w:rFonts w:hint="eastAsia"/>
          <w:b w:val="0"/>
          <w:bCs/>
          <w:color w:val="auto"/>
          <w:sz w:val="24"/>
          <w:szCs w:val="24"/>
          <w:lang w:val="zh-CN" w:eastAsia="zh-CN"/>
        </w:rPr>
        <w:t>根据财政部、民政部、中国残疾人联合会出台的《关于促进残疾人就业政府采购政策的通知》（财库[2017]141号），属残疾人福利性单位的，投标人须提供《残疾人福利性单位声明函》，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spacing w:line="360" w:lineRule="auto"/>
        <w:jc w:val="left"/>
        <w:outlineLvl w:val="1"/>
        <w:rPr>
          <w:rFonts w:hint="eastAsia"/>
          <w:b/>
          <w:color w:val="auto"/>
          <w:sz w:val="24"/>
          <w:szCs w:val="24"/>
          <w:lang w:val="en-US" w:eastAsia="zh-CN"/>
        </w:rPr>
      </w:pPr>
      <w:r>
        <w:rPr>
          <w:rFonts w:hint="eastAsia"/>
          <w:b/>
          <w:color w:val="auto"/>
          <w:sz w:val="24"/>
          <w:szCs w:val="24"/>
          <w:lang w:val="en-US" w:eastAsia="zh-CN"/>
        </w:rPr>
        <w:t>五 、推荐中标候选人</w:t>
      </w:r>
      <w:bookmarkEnd w:id="46"/>
    </w:p>
    <w:p>
      <w:pPr>
        <w:spacing w:line="360" w:lineRule="auto"/>
        <w:ind w:firstLine="468" w:firstLineChars="195"/>
        <w:rPr>
          <w:rFonts w:hint="eastAsia"/>
          <w:b w:val="0"/>
          <w:bCs/>
          <w:color w:val="auto"/>
          <w:sz w:val="24"/>
          <w:szCs w:val="24"/>
          <w:lang w:val="en-US" w:eastAsia="zh-CN"/>
        </w:rPr>
      </w:pPr>
      <w:bookmarkStart w:id="47" w:name="_Toc267320058"/>
      <w:r>
        <w:rPr>
          <w:rFonts w:hint="eastAsia"/>
          <w:b w:val="0"/>
          <w:bCs/>
          <w:color w:val="auto"/>
          <w:sz w:val="24"/>
          <w:szCs w:val="24"/>
          <w:lang w:val="en-US" w:eastAsia="zh-CN"/>
        </w:rPr>
        <w:t>5.1评标委员会按资信、技术和商务三项得分之和从高到低按顺序推荐三名中标候选投标人。</w:t>
      </w:r>
    </w:p>
    <w:p>
      <w:pPr>
        <w:spacing w:line="360" w:lineRule="auto"/>
        <w:ind w:firstLine="468" w:firstLineChars="195"/>
        <w:rPr>
          <w:rFonts w:hint="eastAsia"/>
          <w:b w:val="0"/>
          <w:bCs/>
          <w:color w:val="auto"/>
          <w:sz w:val="24"/>
          <w:szCs w:val="24"/>
          <w:lang w:val="en-US" w:eastAsia="zh-CN"/>
        </w:rPr>
      </w:pPr>
      <w:r>
        <w:rPr>
          <w:rFonts w:hint="eastAsia"/>
          <w:b w:val="0"/>
          <w:bCs/>
          <w:color w:val="auto"/>
          <w:sz w:val="24"/>
          <w:szCs w:val="24"/>
          <w:lang w:val="en-US" w:eastAsia="zh-CN"/>
        </w:rPr>
        <w:t>5.2得分相同的，按投标报价由低到高顺序排列；得分且投标报价相同的，按技术指标优劣顺序排列。技术标也相同时由招标人抽签确定中标候选人名次。</w:t>
      </w:r>
    </w:p>
    <w:bookmarkEnd w:id="47"/>
    <w:p>
      <w:pPr>
        <w:spacing w:line="360" w:lineRule="auto"/>
        <w:jc w:val="left"/>
        <w:outlineLvl w:val="1"/>
        <w:rPr>
          <w:rFonts w:hint="eastAsia"/>
          <w:b/>
          <w:color w:val="auto"/>
          <w:sz w:val="24"/>
          <w:szCs w:val="24"/>
          <w:lang w:val="en-US" w:eastAsia="zh-CN"/>
        </w:rPr>
      </w:pPr>
      <w:r>
        <w:rPr>
          <w:rFonts w:hint="eastAsia"/>
          <w:b/>
          <w:color w:val="auto"/>
          <w:sz w:val="24"/>
          <w:szCs w:val="24"/>
          <w:lang w:val="en-US" w:eastAsia="zh-CN"/>
        </w:rPr>
        <w:t>六 、无效标条款</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en-US" w:eastAsia="zh-CN"/>
        </w:rPr>
        <w:t>6</w:t>
      </w:r>
      <w:r>
        <w:rPr>
          <w:rFonts w:hint="eastAsia"/>
          <w:b w:val="0"/>
          <w:bCs/>
          <w:color w:val="auto"/>
          <w:sz w:val="24"/>
          <w:szCs w:val="24"/>
          <w:lang w:val="zh-CN" w:eastAsia="zh-CN"/>
        </w:rPr>
        <w:t>.1投标文件有下列情形之一的其投标文件拒收：</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投标文件逾期送达的或未送达指定地点的；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招标文件未按要求密封，招标人及代理公司应报经监督部门批准后拒收；</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其它情形，经招标人和代理公司提出拒收，并经监督部门批准的；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en-US" w:eastAsia="zh-CN"/>
        </w:rPr>
        <w:t>6</w:t>
      </w:r>
      <w:r>
        <w:rPr>
          <w:rFonts w:hint="eastAsia"/>
          <w:b w:val="0"/>
          <w:bCs/>
          <w:color w:val="auto"/>
          <w:sz w:val="24"/>
          <w:szCs w:val="24"/>
          <w:lang w:val="zh-CN" w:eastAsia="zh-CN"/>
        </w:rPr>
        <w:t>.2投标人有下列情形之一的，投标人证件审查后其投标作无效标处理：</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（1）法定代表人（或授权委托人）未准时参加会议；</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（2）法定代表人参加开标会议未携带有效的法定代表人身份证明原件和本人身份证的；委托代理人参加开标会议未携带有效的法定代表人授权书和本人身份证；</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（3）投标人为本项目提供招标代理服务的；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（4）投标人与在本项目代理机构存在相互任职或工作的；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（5）投标保证金未按规定要求缴纳的；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（6） 投标人超出营业范围投标的；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（7） 联合体投标未提交联合体协议的；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（8） 被暂停营业的；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（9） 被暂停或取消投标资格的；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（10） 财产被接管或冻结的；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（11） 在最近三年内有骗取中标或严重违约的；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（12） 投标人单位负责人为同一人或者存在控股、管理关系的不同单位的。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（13） 投标人基本资格条件和特定资格条件中有一项及以上不符合要求的；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（14）其它情形，经评标委员会委提出无效标，并经招投标监督部门批准的；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en-US" w:eastAsia="zh-CN"/>
        </w:rPr>
        <w:t>6</w:t>
      </w:r>
      <w:r>
        <w:rPr>
          <w:rFonts w:hint="eastAsia"/>
          <w:b w:val="0"/>
          <w:bCs/>
          <w:color w:val="auto"/>
          <w:sz w:val="24"/>
          <w:szCs w:val="24"/>
          <w:lang w:val="zh-CN" w:eastAsia="zh-CN"/>
        </w:rPr>
        <w:t>.3 投标人有下列情形之一的，符合性审查后其投标作无效标处理：</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（1）投标文件正、副本数量不符合要求或正、副本无法区分；经监督部门批准的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（2）投标文件签字、盖章不全，经评标委员会一致认定对开评标内容有实质性影响并经、监督部门批准的；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（3）未按规定的格式填写，实质性内容不全或关键字迹模糊、无法辨认；经监督部门批准的；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（4）同一投标人提交两个以上不同的投标文件或者投标报价，但招标文件规定提交备选方案的除外；</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（5）投标文件没有对招标文件的实质性要求和条件作出响应;</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（6）投标报价超出规定的投标限价或公布的采购预算的；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（7）改变采购清单中工程量的；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（8）不按评标委员会要求澄清、说明或补正的，或者评标委员会根据招标文件的规定对招标文件的计算错误进行修正后，投标人不接受修正的投标报价的。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9）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（10）其它情形，经评标委员会委提出无效标，并经监督部门批准的；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en-US" w:eastAsia="zh-CN"/>
        </w:rPr>
        <w:t>6</w:t>
      </w:r>
      <w:r>
        <w:rPr>
          <w:rFonts w:hint="eastAsia"/>
          <w:b w:val="0"/>
          <w:bCs/>
          <w:color w:val="auto"/>
          <w:sz w:val="24"/>
          <w:szCs w:val="24"/>
          <w:lang w:val="zh-CN" w:eastAsia="zh-CN"/>
        </w:rPr>
        <w:t>.4 投标人有下列情形之一的， 详细评审后其投标作无效标处理：</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（1）投标产品不符合必须强制执行的国家标准的；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（2）投标人有串通投标、弄虚作假、行贿等违法行为；</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（3）投标文件含有违反国家法律、法规的内容，或附有招标人不能接受的条件的。</w:t>
      </w:r>
    </w:p>
    <w:p>
      <w:pPr>
        <w:spacing w:line="360" w:lineRule="auto"/>
        <w:ind w:firstLine="468" w:firstLineChars="195"/>
        <w:rPr>
          <w:b/>
          <w:color w:val="auto"/>
          <w:sz w:val="32"/>
          <w:szCs w:val="32"/>
        </w:rPr>
      </w:pPr>
      <w:r>
        <w:rPr>
          <w:rFonts w:hint="eastAsia"/>
          <w:b w:val="0"/>
          <w:bCs/>
          <w:color w:val="auto"/>
          <w:sz w:val="24"/>
          <w:szCs w:val="24"/>
          <w:lang w:val="zh-CN" w:eastAsia="zh-CN"/>
        </w:rPr>
        <w:t>（4）其它情形，经评标委员会委提出无效标，并经招投标监督部门批准的；</w:t>
      </w:r>
      <w:bookmarkStart w:id="48" w:name="_Toc451410636"/>
      <w:bookmarkStart w:id="49" w:name="_Toc15403"/>
    </w:p>
    <w:p>
      <w:pPr>
        <w:spacing w:line="360" w:lineRule="auto"/>
        <w:jc w:val="center"/>
        <w:outlineLvl w:val="0"/>
        <w:rPr>
          <w:b/>
          <w:color w:val="auto"/>
          <w:sz w:val="32"/>
          <w:szCs w:val="32"/>
        </w:rPr>
      </w:pPr>
    </w:p>
    <w:p>
      <w:pPr>
        <w:spacing w:line="360" w:lineRule="auto"/>
        <w:jc w:val="center"/>
        <w:outlineLvl w:val="0"/>
        <w:rPr>
          <w:b/>
          <w:color w:val="auto"/>
          <w:sz w:val="32"/>
          <w:szCs w:val="32"/>
        </w:rPr>
      </w:pPr>
    </w:p>
    <w:p>
      <w:pPr>
        <w:spacing w:line="360" w:lineRule="auto"/>
        <w:jc w:val="center"/>
        <w:outlineLvl w:val="0"/>
        <w:rPr>
          <w:b/>
          <w:color w:val="auto"/>
          <w:sz w:val="32"/>
          <w:szCs w:val="32"/>
        </w:rPr>
      </w:pPr>
    </w:p>
    <w:p>
      <w:pPr>
        <w:spacing w:line="360" w:lineRule="auto"/>
        <w:jc w:val="center"/>
        <w:outlineLvl w:val="0"/>
        <w:rPr>
          <w:b/>
          <w:color w:val="auto"/>
          <w:sz w:val="32"/>
          <w:szCs w:val="32"/>
        </w:rPr>
      </w:pPr>
    </w:p>
    <w:p>
      <w:pPr>
        <w:spacing w:line="360" w:lineRule="auto"/>
        <w:jc w:val="center"/>
        <w:outlineLvl w:val="0"/>
        <w:rPr>
          <w:b/>
          <w:color w:val="auto"/>
          <w:sz w:val="32"/>
          <w:szCs w:val="32"/>
        </w:rPr>
      </w:pPr>
    </w:p>
    <w:p>
      <w:pPr>
        <w:spacing w:line="360" w:lineRule="auto"/>
        <w:jc w:val="center"/>
        <w:outlineLvl w:val="0"/>
        <w:rPr>
          <w:b/>
          <w:color w:val="auto"/>
          <w:sz w:val="32"/>
          <w:szCs w:val="32"/>
        </w:rPr>
      </w:pPr>
    </w:p>
    <w:p>
      <w:pPr>
        <w:spacing w:line="360" w:lineRule="auto"/>
        <w:jc w:val="both"/>
        <w:outlineLvl w:val="0"/>
        <w:rPr>
          <w:b/>
          <w:color w:val="auto"/>
          <w:sz w:val="32"/>
          <w:szCs w:val="32"/>
        </w:rPr>
      </w:pPr>
    </w:p>
    <w:p>
      <w:pPr>
        <w:keepNext w:val="0"/>
        <w:keepLines w:val="0"/>
        <w:pageBreakBefore w:val="0"/>
        <w:widowControl/>
        <w:kinsoku/>
        <w:wordWrap/>
        <w:overflowPunct/>
        <w:topLinePunct w:val="0"/>
        <w:autoSpaceDE/>
        <w:autoSpaceDN/>
        <w:bidi w:val="0"/>
        <w:adjustRightInd/>
        <w:snapToGrid/>
        <w:spacing w:line="450" w:lineRule="exact"/>
        <w:jc w:val="center"/>
        <w:textAlignment w:val="baseline"/>
        <w:outlineLvl w:val="0"/>
        <w:rPr>
          <w:b/>
          <w:color w:val="auto"/>
          <w:sz w:val="32"/>
          <w:szCs w:val="32"/>
        </w:rPr>
      </w:pPr>
      <w:r>
        <w:rPr>
          <w:b/>
          <w:color w:val="auto"/>
          <w:sz w:val="32"/>
          <w:szCs w:val="32"/>
        </w:rPr>
        <w:t xml:space="preserve">第四章  </w:t>
      </w:r>
      <w:r>
        <w:rPr>
          <w:rFonts w:hint="eastAsia"/>
          <w:b/>
          <w:color w:val="auto"/>
          <w:sz w:val="32"/>
          <w:szCs w:val="32"/>
          <w:lang w:eastAsia="zh-CN"/>
        </w:rPr>
        <w:t>采购清单及技术要求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对博尔塔拉河温泉段河谷林区域内14791亩的林木采用林分抚育修枝（包含人工修枝、剩余物处理、松土除草、林地清理等工程量）；疏伐清林（包含枯死树木采伐、人力集材、机械装车、树根处理、整地等工程量）；人工引水（包含人工集水灌溉、挖凿打梗引水渠系等工程量）等修复方式，促进河谷区域内的林木正常生长，从而提高林木成活率、蓄积量。</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修复类型与方式选择</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根据项目区林分退化程度及立地条件，修复类型为抚育修复、综合修复和更替修复，修复方式叙述如下：</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b/>
          <w:bCs/>
          <w:sz w:val="24"/>
          <w:szCs w:val="24"/>
          <w:lang w:val="en-US" w:eastAsia="zh-CN"/>
        </w:rPr>
        <w:t>1.抚育修复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抚育修复适用于中（幼）龄阶段的退化林分。根据林分退化状况修复方式分为间伐和补植两种方式。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（1）间伐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对于中龄林林分，由于设计株行距多为1.5×1.5 m或1.5×2 m,树木生长到一定阶段时，树冠相叠、林中密集、通透性差，一些树木成为被压木、生长不良，甚至枯死。按照间伐株数强度的8％伐除被压木、枯死木，根据农区用材需求也可适当伐除霸王木，伐后清理林下枝丫运出林外，改善林分生长状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（2）补植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对于幼中龄林由于疏于灌溉等森林经营管理工作，林木缺株断带或林木枯死、林相残缺。本次作业应先伐除濒死木、枯死木，清除伐根，应补植与林木年龄相近的带土球苗木，促进林分整齐、发挥防护效能。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技术要求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①间伐对象应为枯死木、濒死木、受害木，需调整林分密度、树种组成和林分结构,促进天然落种或林下幼苗幼树生长、培育更新层等情况时可进行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②间伐强度为单位面积择伐株数应控制在8%左右(采伐林业检疫性有害生物危害木不受此强度限制)。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③补植前应伐除枯梢木、濒死木和枯死木，清除伐根，进行林地清理等作业。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树种选择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根据“适地适树，因地制宜”的原则，选择在本地能够良好生长，较好的起到防风固沙、庇护农田路网作用的树种，补植树种选择杨树、其他灌木等。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⑶补植方式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补植造林方式为人工植苗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⑷建设布局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项目区现有优势树种为杨树、榆树、紫叶稠李等，补植树种主要有杨树、榆树、紫叶稠李、野山杏等，补植株行距为1.5×2 m、2×2 m、2×3 m。</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b/>
          <w:bCs/>
          <w:sz w:val="24"/>
          <w:szCs w:val="24"/>
          <w:lang w:val="en-US" w:eastAsia="zh-CN"/>
        </w:rPr>
        <w:t>2.综合修复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综合修复适用于用一种修复方式难以完全恢复林分生态功能和生态系统的退化防护林。根据林分退化状况修复方式分为补植和林分抚育两种方式。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对于河谷天然林进行修枝、清理濒死木和枯死木及倒木、枝丫，实施生态补水。利用林中空地，自然式栽植密叶杨、沙棘等原生植被，群团状定植引种试验成熟的红叶海棠、紫叶稠李、苹果、山楂等。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（1）补植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由于疏于灌溉等森林经营管理工作，林木缺株断带或林木枯死、林相残缺。本次作业应先伐除濒死木、枯死木，清除伐根，应补植与林木年龄相近的带土球苗木，同时修筑田埂、修枝、松土除草、树干涂白、清理剩余物等，保护林地整齐整洁，减少有害生物危害，促进形成复层、异龄，培育健康稳定、优质高效的森林生态系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（2）林分抚育</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对于人工防护林应采取修筑田埂、修枝、松土除草、树干涂白、清理剩余物等，保护林地整齐整洁，减少有害生物危害，促进形成复层、异龄，培育健康稳定、优质高效的森林生态系统。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技术要求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①松土除草：在天然落种且萌发能力强的母树周围，局部去除杂草和枯枝落叶层、松动表层土壤，使种子与土壤充分接触并生根发芽，促进其自然生长。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②修枝:修枝后阔叶树的保留冠≥当前树高2/3。</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③补植：对河谷林区域自然形成的空地进行补植，选用乡土树种，形成混交林。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具体措施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①松土除草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松土除草一般同时局部进行，也可根据实际情况单独进行。松土除草的深度，应根据林木生长情况和土壤条件确定。一般松土除草的深度为5～15cm，加深时可增加到20～30cm。</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总的原则是：（与树体的距离）里浅外深；树小浅松，树大深松；沙土浅松，黏土深松；湿土浅松，干土深松。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②修枝</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--修枝的对象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选择整枝不良、枝条影响林内通风和光照的树木进行修枝，主要有以下几种修枝对象：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a除去树冠下部已枯死或濒临枯死的枝条；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b修去林木下部1轮活枝，以消除死节，减少活节，有利于培育树干通直饱满，促进林木生长；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c剪除树木被病虫害侵染的病弱枝条；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d修去树干的干枝、枯梢等枝条；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e对影响干形的侧枝和重叠枝也一并剪除。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--修枝高度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以《森林抚育规程》“中龄林阶段修枝后保留冠长不低于树高的1/2、枝桩尽量修平，剪口不能伤害树干的韧皮部和木质部。”为原则，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--修枝强度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修枝时根据现地林分分布疏密合理掌握修枝强度。在林木分布较均匀的小班，可均匀进行透光修枝抚育；在林分分布不均匀的小班可根据现地林分情况采用团状透光抚育或带状透光抚育，树木密度大则可多修枝，树木密度小的区域可少修枝。</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--修枝方法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掌握“轻修枝、留大冠、控制竞争、利于辅养”原则。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采取平切法，即贴近树干修枝。修枝要求切口平滑，不撕裂树皮。修枝时应紧贴枝条基部，修枝后切面与树干平，不留茬；尽量少去枝，防止一次修枝过重，以免造成伤疤过多，难以愈合，影响到树木的生长。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--剩余物处理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对没有利用价值的修枝作业剩余物，如剪除的病枝、干枝、枯梢等作业剩余物，以及林间风折木、枯倒木、枯腐木等，采取运出，或平铺在林内，或按一定间距均匀堆放在林内等方式处理；有条件时，可粉碎后堆放于目标树根部鱼鳞坑中；对于感染林业检疫性有害生物及林业补充检疫性有害生物的林木、采伐剩余物等，要全株清理出林分，集中烧毁或集中深埋，以减少森林火灾和病虫害传播的隐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剩余物清理时应注重枯落物的重要性：凋落物分解后，可以增加土壤营养物质的含量；保持土壤水分，减少水土流失；使土壤疏松并呈团粒结构；缓和土壤温度的变化；在空旷处和疏林地可以防止杂草滋生。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③补植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对各乡镇场树种因管理不善造成的缺行断带，选择防护性能好、抗逆性强、生长稳定的榆树、杨树和沙枣等，株行距2×2 m或2×3 m。河谷林区域由于自然因素形成的空地进行补植，采用近自然式，补植乡土树种密叶杨、沙棘，局部区域可种植苹果等经济树种。补植整地方式为穴状整地，人工栽植。</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b/>
          <w:bCs/>
          <w:sz w:val="24"/>
          <w:szCs w:val="24"/>
          <w:lang w:val="en-US" w:eastAsia="zh-CN"/>
        </w:rPr>
        <w:t>3.更替修复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对于人工防护林林木枯梢严重、濒死木、枯死木现象普遍，水土条件不良的林地，应伐除林木、清理伐根，重新整地开沟、修筑田埂、完善灌溉渠系和挖穴植树，实施皆伐更新造林。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⑴技术要求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①相邻作业区应保留不小于采伐面积（宽度）的保留林地（带），以维护生态防护功能的相对稳定。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②采伐后及时更新并适时开展抚育管护，待幼树生长稳定后（≥3年）再以同样方式修复剩余林分。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⑵更新树种选择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根据“适地适树，因地制宜”的原则，选择在本地能够良好生长，较好的起到防风固沙、庇护农田路网作用的树种，更新树种选择杨树、榆树、紫叶稠李、野山杏、沙棘等。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⑶更新造林方式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更新造林方式为人工植苗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⑷建设布局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eastAsia="仿宋_GB2312"/>
          <w:sz w:val="24"/>
        </w:rPr>
      </w:pPr>
      <w:r>
        <w:rPr>
          <w:rFonts w:hint="eastAsia" w:ascii="宋体" w:hAnsi="宋体" w:eastAsia="宋体" w:cs="宋体"/>
          <w:sz w:val="24"/>
          <w:szCs w:val="24"/>
          <w:lang w:val="en-US" w:eastAsia="zh-CN"/>
        </w:rPr>
        <w:t>皆伐更新修复作业区现有优势树种杨树、榆树等，更新树种主要以杨树、榆树、紫叶稠李、野山杏、沙棘为主，株行距为2×2 m、2×3 m、3×4 m。</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4.栽植技术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栽植时将苗木放置在栽植穴的最中央，先表土后心土填埋，栽植后踏实整平穴面，并在穴面覆一层虚土，以利保墒，采用“三埋二踩一提苗”的造林方法，根际深栽10 cm，做到科学规范，密度合理，苗端行直，根系舒展，踩踏结实。</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第一“埋”，埋肥料和表土，接着放入树苗。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埋”，树苗放入后培入心土，培土到一半时，暂停培土，将树苗稍微向上提一下，防止树苗窝根，影响成活和生长。提苗后，将已埋的土向下踩实，使树苗的根须和土壤紧密接触，尽快吸收水分和营养元素，以便扎根生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第三“埋”，将剩下的心土埋入，一直埋到与地面平齐，进行第二次踩实，使树苗树干挺直，与土壤紧密结合，以防被风吹斜。最后在苗木基部再覆盖一层松土。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栽植后立即浇一次透水，待水渗透后，扶正树干，填平下陷部位，表层覆一层细土。</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5.苗木规格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⑴苗木规格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种苗是更新、补植造林的物质基础，种苗质量直接关系到林木栽植后的成活率和林分质量，必须选用良种壮苗，无折断，无劈裂、无病虫害感染，要求随起、随运、随栽，注意根系保鲜。运至更新、补植造林地后，来不及栽植时要进行假植，即挖坑用湿土覆盖、踏实、修枝。</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苗木规格与质量严格按《新疆主要造林树种苗木质量分级》（DB65/T2201-2014），选择2～3年生的主根发达、侧根完整、无病虫害、枝干充实并无机械损伤的Ⅰ、Ⅱ级苗木。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在作业中尽量做到随起、随选、随运、随栽，防止失水，以提高造林成活率，坚持“一签两证”制度，严禁使用不合格苗木和有病虫害的苗木补植造林。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6.栽后管护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护的主要任务是加强对林地的管理、森林防火与病虫鼠害防治工作。病虫草害防治采用物理的、生物的方法，优先采用农业措施，在以上方法不能有效控制病虫草害的时候，允许使用一些动植物源的生物制剂、矿物源的制剂以及微生物的制剂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①加强肥水管理。氮肥过多，而磷钾肥不足，土壤积水或干旱，能间接地促使病虫害发生。所以，要根据各种树种生长发育的需求和土壤肥力，合理用肥，施用有机肥和复合肥，提高抵抗病虫害的能力。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②树木涂白可有效避免树体日烧、日灼现象的发生，减少越冬病虫害，同时还能防止牛羊等牲畜啃食树木，保护树体。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⑴涂白剂配方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①硫酸铜石灰涂白剂：硫酸铜500 g、生石灰10 kg、水30～40 kg（硫酸铜、生石灰、水的比例为1:20:60～80）用少量开水将硫酸铜充分溶解，加入总用水量2/3的水稀释；用另外1/3的水将生石灰化开，调成浓石灰乳，等温度下降后倒入硫酸铜溶液，搅拌均匀即可。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②石灰硫磺涂白剂配比方法：生石灰100 kg、硫磺10 kg、食盐2 kg、动（植）物油2 kg、热水400 kg。配料中要求生石灰色白、质轻、无杂质，如采用不纯熟石灰作原料时，要先用少量水泡数小时，使其变成膏状无颗粒最好。把消化不完全的颗粒石灰刷到树杆上，会在树干上继续消化吸收水分放热而烧伤树皮，对光皮或薄皮的果树林木就更该引起注意。硫磺粉越细越好，最好再加一些中性洗衣粉，约占水重的0.2%～0.3%。</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调制方法：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--先用40～50℃的热水将硫磺粉与食盐分别泡溶化，并在硫磺粉液里加入洗衣粉。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--将生石灰慢慢放入80～90℃的开水慢慢搅动，充分溶化。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--将石灰乳和硫磺液充分混合。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--加入盐和油脂充分搅匀即成。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③石硫合剂生石灰涂白剂：石硫合剂原液0.25 kg、食盐0.25 kg、生石灰1.5 kg、油脂适量、水5 kg。将生石灰加水熟化，加入油脂搅拌后加水制成石灰乳再倒入石硫合剂原液和盐水，充分搅拌即成。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④熟石灰水泥黄泥涂白剂。熟石灰1 kg、水泥1 kg、黄泥1.25 kg。将熟石灰、水泥和黄泥加水混合后搅拌成浆液状即可使用，可酌情加入杀虫剂、杀菌剂以兼治果树林木枝干病虫，随配随用。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树木涂白实施前，根据实际情况和树木情况，选择上述其中一种。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⑵涂白剂主要成分及其效果分析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石灰：石灰使树体涂白后显现白色，白色具有反光作用，不仅能减少植株对太阳热能的吸收，缩小昼夜温差，起到保护皮层，防止日灼、冻害作用，而且还能防止天牛、吉丁虫、大青叶蝉等害虫在枝干上产卵危害。石灰的质量直接关系涂白剂的质量。石灰质量不好，配制出的涂白剂维持的时间短且不能起到应有的作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杀菌、杀虫成分：一般为硫磺、硫酸铜、石硫合剂等。其主要作用物质同石硫合剂一样都是有活性的硫元素。涂白剂呈碱性，可以溶解昆虫上表皮的蜡质和真菌的繁殖体，可有效地防治害虫。可以在害虫体壁形成一层薄膜，封塞昆虫的气门，造成害虫窒息死亡。</w:t>
      </w:r>
    </w:p>
    <w:p>
      <w:pPr>
        <w:keepNext w:val="0"/>
        <w:keepLines w:val="0"/>
        <w:pageBreakBefore w:val="0"/>
        <w:widowControl/>
        <w:kinsoku/>
        <w:wordWrap/>
        <w:overflowPunct/>
        <w:topLinePunct w:val="0"/>
        <w:autoSpaceDE/>
        <w:autoSpaceDN/>
        <w:bidi w:val="0"/>
        <w:adjustRightInd/>
        <w:snapToGrid/>
        <w:spacing w:line="450" w:lineRule="exact"/>
        <w:ind w:firstLine="468" w:firstLineChars="195"/>
        <w:textAlignment w:val="baseline"/>
        <w:rPr>
          <w:b/>
          <w:color w:val="auto"/>
          <w:sz w:val="32"/>
          <w:szCs w:val="32"/>
        </w:rPr>
      </w:pPr>
      <w:r>
        <w:rPr>
          <w:rFonts w:hint="eastAsia" w:ascii="宋体" w:hAnsi="宋体" w:eastAsia="宋体" w:cs="宋体"/>
          <w:sz w:val="24"/>
          <w:szCs w:val="24"/>
          <w:lang w:val="en-US" w:eastAsia="zh-CN"/>
        </w:rPr>
        <w:t>③辅助剂：一般为食盐、动物油、豆粉或洗衣粉等。起乳化、分散作用。</w:t>
      </w: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outlineLvl w:val="0"/>
        <w:rPr>
          <w:b/>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outlineLvl w:val="0"/>
        <w:rPr>
          <w:b/>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outlineLvl w:val="0"/>
        <w:rPr>
          <w:b/>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outlineLvl w:val="0"/>
        <w:rPr>
          <w:b/>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outlineLvl w:val="0"/>
        <w:rPr>
          <w:b/>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outlineLvl w:val="0"/>
        <w:rPr>
          <w:b/>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outlineLvl w:val="0"/>
        <w:rPr>
          <w:b/>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outlineLvl w:val="0"/>
        <w:rPr>
          <w:b/>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outlineLvl w:val="0"/>
        <w:rPr>
          <w:b/>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outlineLvl w:val="0"/>
        <w:rPr>
          <w:b/>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outlineLvl w:val="0"/>
        <w:rPr>
          <w:b/>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outlineLvl w:val="0"/>
        <w:rPr>
          <w:b/>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outlineLvl w:val="0"/>
        <w:rPr>
          <w:b/>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outlineLvl w:val="0"/>
        <w:rPr>
          <w:b/>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outlineLvl w:val="0"/>
        <w:rPr>
          <w:b/>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outlineLvl w:val="0"/>
        <w:rPr>
          <w:b/>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outlineLvl w:val="0"/>
        <w:rPr>
          <w:b/>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outlineLvl w:val="0"/>
        <w:rPr>
          <w:b/>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outlineLvl w:val="0"/>
        <w:rPr>
          <w:b/>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outlineLvl w:val="0"/>
        <w:rPr>
          <w:b/>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outlineLvl w:val="0"/>
        <w:rPr>
          <w:b/>
          <w:color w:val="auto"/>
          <w:sz w:val="32"/>
          <w:szCs w:val="32"/>
        </w:rPr>
      </w:pPr>
    </w:p>
    <w:p>
      <w:pPr>
        <w:keepNext w:val="0"/>
        <w:keepLines w:val="0"/>
        <w:pageBreakBefore w:val="0"/>
        <w:widowControl/>
        <w:kinsoku/>
        <w:wordWrap/>
        <w:overflowPunct/>
        <w:topLinePunct w:val="0"/>
        <w:autoSpaceDE/>
        <w:autoSpaceDN/>
        <w:bidi w:val="0"/>
        <w:adjustRightInd/>
        <w:snapToGrid/>
        <w:spacing w:line="440" w:lineRule="exact"/>
        <w:jc w:val="center"/>
        <w:textAlignment w:val="baseline"/>
        <w:outlineLvl w:val="0"/>
        <w:rPr>
          <w:b/>
          <w:color w:val="auto"/>
          <w:sz w:val="32"/>
          <w:szCs w:val="32"/>
        </w:rPr>
      </w:pPr>
      <w:r>
        <w:rPr>
          <w:b/>
          <w:color w:val="auto"/>
          <w:sz w:val="32"/>
          <w:szCs w:val="32"/>
        </w:rPr>
        <w:t>第五章  合同条款及格式</w:t>
      </w:r>
      <w:bookmarkEnd w:id="48"/>
      <w:bookmarkEnd w:id="49"/>
    </w:p>
    <w:p>
      <w:pPr>
        <w:keepNext w:val="0"/>
        <w:keepLines w:val="0"/>
        <w:pageBreakBefore w:val="0"/>
        <w:widowControl/>
        <w:kinsoku/>
        <w:wordWrap/>
        <w:overflowPunct/>
        <w:topLinePunct w:val="0"/>
        <w:autoSpaceDE/>
        <w:autoSpaceDN/>
        <w:bidi w:val="0"/>
        <w:adjustRightInd/>
        <w:snapToGrid/>
        <w:spacing w:line="440" w:lineRule="exact"/>
        <w:ind w:firstLine="470" w:firstLineChars="195"/>
        <w:jc w:val="center"/>
        <w:textAlignment w:val="baseline"/>
        <w:rPr>
          <w:rFonts w:hint="eastAsia"/>
          <w:b/>
          <w:bCs w:val="0"/>
          <w:color w:val="auto"/>
          <w:sz w:val="24"/>
          <w:szCs w:val="24"/>
          <w:lang w:val="zh-CN" w:eastAsia="zh-CN"/>
        </w:rPr>
      </w:pPr>
      <w:bookmarkStart w:id="50" w:name="_Toc451410637"/>
      <w:bookmarkStart w:id="51" w:name="_Toc22700"/>
      <w:r>
        <w:rPr>
          <w:rFonts w:hint="eastAsia"/>
          <w:b/>
          <w:bCs w:val="0"/>
          <w:color w:val="auto"/>
          <w:sz w:val="24"/>
          <w:szCs w:val="24"/>
          <w:lang w:val="zh-CN" w:eastAsia="zh-CN"/>
        </w:rPr>
        <w:t>一、合同协议书（格式）</w:t>
      </w:r>
      <w:bookmarkEnd w:id="50"/>
      <w:bookmarkEnd w:id="51"/>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合同名称                                           编号</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甲    方：                                   乙    方：</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电    话：                                   电    话：</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b w:val="0"/>
          <w:bCs/>
          <w:color w:val="auto"/>
          <w:sz w:val="24"/>
          <w:szCs w:val="24"/>
          <w:lang w:val="zh-CN" w:eastAsia="zh-CN"/>
        </w:rPr>
      </w:pPr>
      <w:r>
        <w:rPr>
          <w:rFonts w:hint="eastAsia"/>
          <w:b w:val="0"/>
          <w:bCs/>
          <w:color w:val="auto"/>
          <w:sz w:val="24"/>
          <w:szCs w:val="24"/>
          <w:u w:val="single" w:color="auto"/>
          <w:lang w:val="zh-CN" w:eastAsia="zh-CN"/>
        </w:rPr>
        <w:t>（甲方）</w:t>
      </w:r>
      <w:r>
        <w:rPr>
          <w:rFonts w:hint="eastAsia"/>
          <w:b w:val="0"/>
          <w:bCs/>
          <w:color w:val="auto"/>
          <w:sz w:val="24"/>
          <w:szCs w:val="24"/>
          <w:lang w:val="zh-CN" w:eastAsia="zh-CN"/>
        </w:rPr>
        <w:t>的</w:t>
      </w:r>
      <w:r>
        <w:rPr>
          <w:rFonts w:hint="eastAsia"/>
          <w:b w:val="0"/>
          <w:bCs/>
          <w:color w:val="auto"/>
          <w:sz w:val="24"/>
          <w:szCs w:val="24"/>
          <w:u w:val="single" w:color="auto"/>
          <w:lang w:val="zh-CN" w:eastAsia="zh-CN"/>
        </w:rPr>
        <w:t>（项目名称）</w:t>
      </w:r>
      <w:r>
        <w:rPr>
          <w:rFonts w:hint="eastAsia"/>
          <w:b w:val="0"/>
          <w:bCs/>
          <w:color w:val="auto"/>
          <w:sz w:val="24"/>
          <w:szCs w:val="24"/>
          <w:lang w:val="zh-CN" w:eastAsia="zh-CN"/>
        </w:rPr>
        <w:t>中所需</w:t>
      </w:r>
      <w:r>
        <w:rPr>
          <w:rFonts w:hint="eastAsia"/>
          <w:b w:val="0"/>
          <w:bCs/>
          <w:color w:val="auto"/>
          <w:sz w:val="24"/>
          <w:szCs w:val="24"/>
          <w:u w:val="single" w:color="auto"/>
          <w:lang w:val="zh-CN" w:eastAsia="zh-CN"/>
        </w:rPr>
        <w:t>（产品名称）</w:t>
      </w:r>
      <w:r>
        <w:rPr>
          <w:rFonts w:hint="eastAsia"/>
          <w:b w:val="0"/>
          <w:bCs/>
          <w:color w:val="auto"/>
          <w:sz w:val="24"/>
          <w:szCs w:val="24"/>
          <w:lang w:val="zh-CN" w:eastAsia="zh-CN"/>
        </w:rPr>
        <w:t>经公开招标，确定</w:t>
      </w:r>
      <w:r>
        <w:rPr>
          <w:rFonts w:hint="eastAsia"/>
          <w:b w:val="0"/>
          <w:bCs/>
          <w:color w:val="auto"/>
          <w:sz w:val="24"/>
          <w:szCs w:val="24"/>
          <w:u w:val="single" w:color="auto"/>
          <w:lang w:val="zh-CN" w:eastAsia="zh-CN"/>
        </w:rPr>
        <w:t>（乙方）</w:t>
      </w:r>
      <w:r>
        <w:rPr>
          <w:rFonts w:hint="eastAsia"/>
          <w:b w:val="0"/>
          <w:bCs/>
          <w:color w:val="auto"/>
          <w:sz w:val="24"/>
          <w:szCs w:val="24"/>
          <w:lang w:val="zh-CN" w:eastAsia="zh-CN"/>
        </w:rPr>
        <w:t>为中标人。按照中华人民共和国合同法的规定，甲乙双方同意按照下述的条款和条件，签署本合同。</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1、本合同文件</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下列每一文件均应作为合同的组成部分进行阅读和解释：</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（1）招标文件（2）投标文件（3）中标通知书</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（4）经双方确认进入合同的其它文件、补充条款或说明</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2、合同总价</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合同总价为</w:t>
      </w:r>
      <w:r>
        <w:rPr>
          <w:rFonts w:hint="eastAsia"/>
          <w:b w:val="0"/>
          <w:bCs/>
          <w:color w:val="auto"/>
          <w:sz w:val="24"/>
          <w:szCs w:val="24"/>
          <w:u w:val="single" w:color="auto"/>
          <w:lang w:val="zh-CN" w:eastAsia="zh-CN"/>
        </w:rPr>
        <w:t xml:space="preserve">               </w:t>
      </w:r>
      <w:r>
        <w:rPr>
          <w:rFonts w:hint="eastAsia"/>
          <w:b w:val="0"/>
          <w:bCs/>
          <w:color w:val="auto"/>
          <w:sz w:val="24"/>
          <w:szCs w:val="24"/>
          <w:lang w:val="zh-CN" w:eastAsia="zh-CN"/>
        </w:rPr>
        <w:t>元人民币。</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3、付款方式：</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4、合同交货工期</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自签订合同之日起</w:t>
      </w:r>
      <w:r>
        <w:rPr>
          <w:rFonts w:hint="eastAsia"/>
          <w:b w:val="0"/>
          <w:bCs/>
          <w:color w:val="auto"/>
          <w:sz w:val="24"/>
          <w:szCs w:val="24"/>
          <w:u w:val="single" w:color="auto"/>
          <w:lang w:val="zh-CN" w:eastAsia="zh-CN"/>
        </w:rPr>
        <w:t xml:space="preserve">    </w:t>
      </w:r>
      <w:r>
        <w:rPr>
          <w:rFonts w:hint="eastAsia"/>
          <w:b w:val="0"/>
          <w:bCs/>
          <w:color w:val="auto"/>
          <w:sz w:val="24"/>
          <w:szCs w:val="24"/>
          <w:lang w:val="zh-CN" w:eastAsia="zh-CN"/>
        </w:rPr>
        <w:t>个日历天内开始供货。投标人自报的承诺工期为考核标准，每推迟一天，</w:t>
      </w:r>
      <w:r>
        <w:rPr>
          <w:rFonts w:hint="eastAsia"/>
          <w:b w:val="0"/>
          <w:bCs/>
          <w:color w:val="auto"/>
          <w:sz w:val="24"/>
          <w:szCs w:val="24"/>
          <w:u w:val="single" w:color="auto"/>
          <w:lang w:val="en-US" w:eastAsia="zh-CN"/>
        </w:rPr>
        <w:t xml:space="preserve">  </w:t>
      </w:r>
      <w:r>
        <w:rPr>
          <w:rFonts w:hint="eastAsia"/>
          <w:b w:val="0"/>
          <w:bCs/>
          <w:color w:val="auto"/>
          <w:sz w:val="24"/>
          <w:szCs w:val="24"/>
          <w:u w:val="single" w:color="auto"/>
          <w:lang w:val="zh-CN" w:eastAsia="zh-CN"/>
        </w:rPr>
        <w:t xml:space="preserve"> / </w:t>
      </w:r>
      <w:r>
        <w:rPr>
          <w:rFonts w:hint="eastAsia"/>
          <w:b w:val="0"/>
          <w:bCs/>
          <w:color w:val="auto"/>
          <w:sz w:val="24"/>
          <w:szCs w:val="24"/>
          <w:u w:val="single" w:color="auto"/>
          <w:lang w:val="en-US" w:eastAsia="zh-CN"/>
        </w:rPr>
        <w:t xml:space="preserve">  </w:t>
      </w:r>
      <w:r>
        <w:rPr>
          <w:rFonts w:hint="eastAsia"/>
          <w:b w:val="0"/>
          <w:bCs/>
          <w:color w:val="auto"/>
          <w:sz w:val="24"/>
          <w:szCs w:val="24"/>
          <w:lang w:val="zh-CN"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5、保密条款</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签定保密协议等</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6、合同的生效</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合同经双方授权代表签署，甲乙双方加盖印章之后生效。</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本合同一式     份，双方各执     份。</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买  方：                          卖  方：</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名  称：（盖章）                  名  称：（盖章）</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法定代表人（或委托代理人）：       法定代表人（或委托代理人）：</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（签字）                        （签字）</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地    址：                        地    址：</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邮政编码：                        邮政编码：</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电    话：                        电    话：</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hint="eastAsia"/>
          <w:b w:val="0"/>
          <w:bCs/>
          <w:color w:val="auto"/>
          <w:sz w:val="24"/>
          <w:szCs w:val="24"/>
          <w:lang w:val="zh-CN" w:eastAsia="zh-CN"/>
        </w:rPr>
      </w:pPr>
      <w:r>
        <w:rPr>
          <w:rFonts w:hint="eastAsia"/>
          <w:b w:val="0"/>
          <w:bCs/>
          <w:color w:val="auto"/>
          <w:sz w:val="24"/>
          <w:szCs w:val="24"/>
          <w:lang w:val="zh-CN" w:eastAsia="zh-CN"/>
        </w:rPr>
        <w:t>开户银行：                        开户银行：</w:t>
      </w:r>
    </w:p>
    <w:p>
      <w:pPr>
        <w:keepNext w:val="0"/>
        <w:keepLines w:val="0"/>
        <w:pageBreakBefore w:val="0"/>
        <w:widowControl/>
        <w:kinsoku/>
        <w:wordWrap/>
        <w:overflowPunct/>
        <w:topLinePunct w:val="0"/>
        <w:autoSpaceDE/>
        <w:autoSpaceDN/>
        <w:bidi w:val="0"/>
        <w:adjustRightInd/>
        <w:snapToGrid/>
        <w:spacing w:line="440" w:lineRule="exact"/>
        <w:ind w:firstLine="468" w:firstLineChars="195"/>
        <w:textAlignment w:val="baseline"/>
        <w:rPr>
          <w:rFonts w:eastAsia="宋体"/>
          <w:b/>
          <w:color w:val="auto"/>
          <w:sz w:val="30"/>
          <w:szCs w:val="30"/>
        </w:rPr>
      </w:pPr>
      <w:r>
        <w:rPr>
          <w:rFonts w:hint="eastAsia"/>
          <w:b w:val="0"/>
          <w:bCs/>
          <w:color w:val="auto"/>
          <w:sz w:val="24"/>
          <w:szCs w:val="24"/>
          <w:lang w:val="zh-CN" w:eastAsia="zh-CN"/>
        </w:rPr>
        <w:t>帐    号：                        帐    号：</w:t>
      </w:r>
      <w:bookmarkStart w:id="52" w:name="_Toc152042388"/>
      <w:bookmarkStart w:id="53" w:name="_Toc247085768"/>
      <w:bookmarkStart w:id="54" w:name="_Toc451410638"/>
      <w:bookmarkStart w:id="55" w:name="_Toc246996996"/>
      <w:bookmarkStart w:id="56" w:name="_Toc296602498"/>
      <w:bookmarkStart w:id="57" w:name="_Toc144974578"/>
      <w:bookmarkStart w:id="58" w:name="_Toc179632628"/>
      <w:bookmarkStart w:id="59" w:name="_Toc246996253"/>
      <w:bookmarkStart w:id="60" w:name="_Toc152045610"/>
      <w:bookmarkStart w:id="61" w:name="_Toc26887"/>
    </w:p>
    <w:p>
      <w:pPr>
        <w:spacing w:line="360" w:lineRule="auto"/>
        <w:ind w:firstLine="470" w:firstLineChars="195"/>
        <w:jc w:val="center"/>
        <w:rPr>
          <w:rFonts w:hint="eastAsia"/>
          <w:b/>
          <w:bCs w:val="0"/>
          <w:color w:val="auto"/>
          <w:sz w:val="24"/>
          <w:szCs w:val="24"/>
          <w:lang w:val="zh-CN" w:eastAsia="zh-CN"/>
        </w:rPr>
      </w:pPr>
    </w:p>
    <w:p>
      <w:pPr>
        <w:spacing w:line="360" w:lineRule="auto"/>
        <w:ind w:firstLine="470" w:firstLineChars="195"/>
        <w:jc w:val="center"/>
        <w:rPr>
          <w:rFonts w:hint="eastAsia"/>
          <w:b/>
          <w:bCs w:val="0"/>
          <w:color w:val="auto"/>
          <w:sz w:val="24"/>
          <w:szCs w:val="24"/>
          <w:lang w:val="zh-CN" w:eastAsia="zh-CN"/>
        </w:rPr>
      </w:pPr>
      <w:r>
        <w:rPr>
          <w:rFonts w:hint="eastAsia"/>
          <w:b/>
          <w:bCs w:val="0"/>
          <w:color w:val="auto"/>
          <w:sz w:val="24"/>
          <w:szCs w:val="24"/>
          <w:lang w:val="zh-CN" w:eastAsia="zh-CN"/>
        </w:rPr>
        <w:t>二 、合同条款</w:t>
      </w:r>
      <w:bookmarkEnd w:id="52"/>
      <w:bookmarkEnd w:id="53"/>
      <w:bookmarkEnd w:id="54"/>
      <w:bookmarkEnd w:id="55"/>
      <w:bookmarkEnd w:id="56"/>
      <w:bookmarkEnd w:id="57"/>
      <w:bookmarkEnd w:id="58"/>
      <w:bookmarkEnd w:id="59"/>
      <w:bookmarkEnd w:id="60"/>
      <w:bookmarkEnd w:id="61"/>
    </w:p>
    <w:p>
      <w:pPr>
        <w:spacing w:line="360" w:lineRule="auto"/>
        <w:jc w:val="center"/>
        <w:rPr>
          <w:b/>
          <w:color w:val="auto"/>
          <w:sz w:val="24"/>
        </w:rPr>
      </w:pPr>
      <w:bookmarkStart w:id="62" w:name="_Toc451410639"/>
      <w:r>
        <w:rPr>
          <w:b/>
          <w:color w:val="auto"/>
          <w:sz w:val="24"/>
        </w:rPr>
        <w:t>合同格式</w:t>
      </w:r>
    </w:p>
    <w:p>
      <w:pPr>
        <w:spacing w:line="360" w:lineRule="auto"/>
        <w:ind w:firstLine="482" w:firstLineChars="200"/>
        <w:rPr>
          <w:b/>
          <w:color w:val="auto"/>
          <w:sz w:val="28"/>
          <w:szCs w:val="28"/>
        </w:rPr>
      </w:pPr>
      <w:r>
        <w:rPr>
          <w:b/>
          <w:color w:val="auto"/>
          <w:sz w:val="24"/>
        </w:rPr>
        <w:t>1、定义</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1.1“合同”系指买方和卖方（以下简称合同双方）已达成的协议，即由双方签订的合同格式文件，包括所有的招标文件、投标文件、答疑纪录、澄清说明、附件、附录和组成合同的所有其他文件。</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1</w:t>
      </w:r>
      <w:r>
        <w:rPr>
          <w:rFonts w:hint="eastAsia"/>
          <w:b w:val="0"/>
          <w:bCs/>
          <w:color w:val="auto"/>
          <w:sz w:val="24"/>
          <w:szCs w:val="24"/>
          <w:lang w:val="en-US" w:eastAsia="zh-CN"/>
        </w:rPr>
        <w:t>.2</w:t>
      </w:r>
      <w:r>
        <w:rPr>
          <w:rFonts w:hint="eastAsia"/>
          <w:b w:val="0"/>
          <w:bCs/>
          <w:color w:val="auto"/>
          <w:sz w:val="24"/>
          <w:szCs w:val="24"/>
          <w:lang w:val="zh-CN" w:eastAsia="zh-CN"/>
        </w:rPr>
        <w:t>“合同价格”系指根据合同规定，在卖方全面正确地履行合同义务时，买方应支付给卖方的款项。</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1</w:t>
      </w:r>
      <w:r>
        <w:rPr>
          <w:rFonts w:hint="eastAsia"/>
          <w:b w:val="0"/>
          <w:bCs/>
          <w:color w:val="auto"/>
          <w:sz w:val="24"/>
          <w:szCs w:val="24"/>
          <w:lang w:val="en-US" w:eastAsia="zh-CN"/>
        </w:rPr>
        <w:t>.3</w:t>
      </w:r>
      <w:r>
        <w:rPr>
          <w:rFonts w:hint="eastAsia"/>
          <w:b w:val="0"/>
          <w:bCs/>
          <w:color w:val="auto"/>
          <w:sz w:val="24"/>
          <w:szCs w:val="24"/>
          <w:lang w:val="zh-CN" w:eastAsia="zh-CN"/>
        </w:rPr>
        <w:t>“货物”系指卖方按合同要求，须向买方提供的一切设备、机械、仪器仪表、备品备件、工具、手册、其它技术资料和其它材料。</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1</w:t>
      </w:r>
      <w:r>
        <w:rPr>
          <w:rFonts w:hint="eastAsia"/>
          <w:b w:val="0"/>
          <w:bCs/>
          <w:color w:val="auto"/>
          <w:sz w:val="24"/>
          <w:szCs w:val="24"/>
          <w:lang w:val="en-US" w:eastAsia="zh-CN"/>
        </w:rPr>
        <w:t>.4</w:t>
      </w:r>
      <w:r>
        <w:rPr>
          <w:rFonts w:hint="eastAsia"/>
          <w:b w:val="0"/>
          <w:bCs/>
          <w:color w:val="auto"/>
          <w:sz w:val="24"/>
          <w:szCs w:val="24"/>
          <w:lang w:val="zh-CN" w:eastAsia="zh-CN"/>
        </w:rPr>
        <w:t>“服务”系指合同规定卖方必须承担的安装、调试、技术协助、校准、培训以及其他类似义务。</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1</w:t>
      </w:r>
      <w:r>
        <w:rPr>
          <w:rFonts w:hint="eastAsia"/>
          <w:b w:val="0"/>
          <w:bCs/>
          <w:color w:val="auto"/>
          <w:sz w:val="24"/>
          <w:szCs w:val="24"/>
          <w:lang w:val="en-US" w:eastAsia="zh-CN"/>
        </w:rPr>
        <w:t>.5</w:t>
      </w:r>
      <w:r>
        <w:rPr>
          <w:rFonts w:hint="eastAsia"/>
          <w:b w:val="0"/>
          <w:bCs/>
          <w:color w:val="auto"/>
          <w:sz w:val="24"/>
          <w:szCs w:val="24"/>
          <w:lang w:val="zh-CN" w:eastAsia="zh-CN"/>
        </w:rPr>
        <w:t>“甲方”、“买方”、“招标方”均系指通过采购，接受合同货物及服务的自治区本级各行政事业单位、社会团体（采购单位）及社会招标代理机构。</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1</w:t>
      </w:r>
      <w:r>
        <w:rPr>
          <w:rFonts w:hint="eastAsia"/>
          <w:b w:val="0"/>
          <w:bCs/>
          <w:color w:val="auto"/>
          <w:sz w:val="24"/>
          <w:szCs w:val="24"/>
          <w:lang w:val="en-US" w:eastAsia="zh-CN"/>
        </w:rPr>
        <w:t>.6</w:t>
      </w:r>
      <w:r>
        <w:rPr>
          <w:rFonts w:hint="eastAsia"/>
          <w:b w:val="0"/>
          <w:bCs/>
          <w:color w:val="auto"/>
          <w:sz w:val="24"/>
          <w:szCs w:val="24"/>
          <w:lang w:val="zh-CN" w:eastAsia="zh-CN"/>
        </w:rPr>
        <w:t>“乙方”、“卖方”系指中标后提供合同货物和服务的经济实体。</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 xml:space="preserve">    1</w:t>
      </w:r>
      <w:r>
        <w:rPr>
          <w:rFonts w:hint="eastAsia"/>
          <w:b w:val="0"/>
          <w:bCs/>
          <w:color w:val="auto"/>
          <w:sz w:val="24"/>
          <w:szCs w:val="24"/>
          <w:lang w:val="en-US" w:eastAsia="zh-CN"/>
        </w:rPr>
        <w:t>.7</w:t>
      </w:r>
      <w:r>
        <w:rPr>
          <w:rFonts w:hint="eastAsia"/>
          <w:b w:val="0"/>
          <w:bCs/>
          <w:color w:val="auto"/>
          <w:sz w:val="24"/>
          <w:szCs w:val="24"/>
          <w:lang w:val="zh-CN" w:eastAsia="zh-CN"/>
        </w:rPr>
        <w:t xml:space="preserve"> “现场”系指将要进行货物安装和运转的地点。</w:t>
      </w:r>
    </w:p>
    <w:p>
      <w:pPr>
        <w:spacing w:line="360" w:lineRule="auto"/>
        <w:ind w:firstLine="468" w:firstLineChars="195"/>
        <w:rPr>
          <w:rFonts w:hint="eastAsia"/>
          <w:b w:val="0"/>
          <w:bCs/>
          <w:color w:val="auto"/>
          <w:sz w:val="24"/>
          <w:szCs w:val="24"/>
          <w:lang w:val="zh-CN" w:eastAsia="zh-CN"/>
        </w:rPr>
      </w:pPr>
      <w:r>
        <w:rPr>
          <w:rFonts w:hint="eastAsia"/>
          <w:b w:val="0"/>
          <w:bCs/>
          <w:color w:val="auto"/>
          <w:sz w:val="24"/>
          <w:szCs w:val="24"/>
          <w:lang w:val="zh-CN" w:eastAsia="zh-CN"/>
        </w:rPr>
        <w:t>1</w:t>
      </w:r>
      <w:r>
        <w:rPr>
          <w:rFonts w:hint="eastAsia"/>
          <w:b w:val="0"/>
          <w:bCs/>
          <w:color w:val="auto"/>
          <w:sz w:val="24"/>
          <w:szCs w:val="24"/>
          <w:lang w:val="en-US" w:eastAsia="zh-CN"/>
        </w:rPr>
        <w:t>.8</w:t>
      </w:r>
      <w:r>
        <w:rPr>
          <w:rFonts w:hint="eastAsia"/>
          <w:b w:val="0"/>
          <w:bCs/>
          <w:color w:val="auto"/>
          <w:sz w:val="24"/>
          <w:szCs w:val="24"/>
          <w:lang w:val="zh-CN" w:eastAsia="zh-CN"/>
        </w:rPr>
        <w:t>“验收”系指买方依据国家技术规范及本合同的约定，对内技术规格规定接受合同货物所依据的程序和条件。</w:t>
      </w:r>
    </w:p>
    <w:p>
      <w:pPr>
        <w:spacing w:line="360" w:lineRule="auto"/>
        <w:ind w:firstLine="482" w:firstLineChars="200"/>
        <w:rPr>
          <w:b/>
          <w:color w:val="auto"/>
          <w:sz w:val="24"/>
        </w:rPr>
      </w:pPr>
      <w:r>
        <w:rPr>
          <w:b/>
          <w:color w:val="auto"/>
          <w:sz w:val="24"/>
        </w:rPr>
        <w:t>2、适用范围</w:t>
      </w:r>
    </w:p>
    <w:p>
      <w:pPr>
        <w:spacing w:line="360" w:lineRule="auto"/>
        <w:ind w:firstLine="480" w:firstLineChars="200"/>
        <w:rPr>
          <w:color w:val="auto"/>
          <w:sz w:val="24"/>
        </w:rPr>
      </w:pPr>
      <w:r>
        <w:rPr>
          <w:color w:val="auto"/>
          <w:sz w:val="24"/>
        </w:rPr>
        <w:t>2</w:t>
      </w:r>
      <w:r>
        <w:rPr>
          <w:rFonts w:hint="eastAsia"/>
          <w:color w:val="auto"/>
          <w:sz w:val="24"/>
          <w:lang w:eastAsia="zh-CN"/>
        </w:rPr>
        <w:t>.</w:t>
      </w:r>
      <w:r>
        <w:rPr>
          <w:color w:val="auto"/>
          <w:sz w:val="24"/>
        </w:rPr>
        <w:t>1 本合同条款仅适用于本次采购活动。</w:t>
      </w:r>
    </w:p>
    <w:p>
      <w:pPr>
        <w:spacing w:line="360" w:lineRule="auto"/>
        <w:ind w:firstLine="482" w:firstLineChars="200"/>
        <w:rPr>
          <w:b/>
          <w:color w:val="auto"/>
          <w:sz w:val="24"/>
        </w:rPr>
      </w:pPr>
      <w:r>
        <w:rPr>
          <w:b/>
          <w:color w:val="auto"/>
          <w:sz w:val="24"/>
        </w:rPr>
        <w:t>3、原产地</w:t>
      </w:r>
    </w:p>
    <w:p>
      <w:pPr>
        <w:spacing w:line="360" w:lineRule="auto"/>
        <w:ind w:firstLine="480" w:firstLineChars="200"/>
        <w:rPr>
          <w:color w:val="auto"/>
          <w:sz w:val="24"/>
        </w:rPr>
      </w:pPr>
      <w:r>
        <w:rPr>
          <w:color w:val="auto"/>
          <w:sz w:val="24"/>
        </w:rPr>
        <w:t>3</w:t>
      </w:r>
      <w:r>
        <w:rPr>
          <w:rFonts w:hint="eastAsia"/>
          <w:color w:val="auto"/>
          <w:sz w:val="24"/>
          <w:lang w:eastAsia="zh-CN"/>
        </w:rPr>
        <w:t>.</w:t>
      </w:r>
      <w:r>
        <w:rPr>
          <w:color w:val="auto"/>
          <w:sz w:val="24"/>
        </w:rPr>
        <w:t>1 原产地系指货物的生产地，或提供辅助服务的来源地。</w:t>
      </w:r>
    </w:p>
    <w:p>
      <w:pPr>
        <w:spacing w:line="360" w:lineRule="auto"/>
        <w:ind w:firstLine="482" w:firstLineChars="200"/>
        <w:rPr>
          <w:b/>
          <w:color w:val="auto"/>
          <w:sz w:val="24"/>
        </w:rPr>
      </w:pPr>
      <w:r>
        <w:rPr>
          <w:b/>
          <w:color w:val="auto"/>
          <w:sz w:val="24"/>
        </w:rPr>
        <w:t>4、技术规格和标准</w:t>
      </w:r>
    </w:p>
    <w:p>
      <w:pPr>
        <w:spacing w:line="360" w:lineRule="auto"/>
        <w:ind w:firstLine="480" w:firstLineChars="200"/>
        <w:rPr>
          <w:color w:val="auto"/>
          <w:sz w:val="24"/>
        </w:rPr>
      </w:pPr>
      <w:r>
        <w:rPr>
          <w:color w:val="auto"/>
          <w:sz w:val="24"/>
        </w:rPr>
        <w:t>4</w:t>
      </w:r>
      <w:r>
        <w:rPr>
          <w:rFonts w:hint="eastAsia"/>
          <w:color w:val="auto"/>
          <w:sz w:val="24"/>
          <w:lang w:eastAsia="zh-CN"/>
        </w:rPr>
        <w:t>.</w:t>
      </w:r>
      <w:r>
        <w:rPr>
          <w:color w:val="auto"/>
          <w:sz w:val="24"/>
        </w:rPr>
        <w:t>1本合同项下所供货物的技术规格应与本招标文件技术规格规定的标准相一致。若技术规格中无相应规定，货物则应符合相应的国家标准或有关权威部门最新颁布的相应的正式标准。</w:t>
      </w:r>
    </w:p>
    <w:p>
      <w:pPr>
        <w:spacing w:line="360" w:lineRule="auto"/>
        <w:ind w:firstLine="482" w:firstLineChars="200"/>
        <w:rPr>
          <w:b/>
          <w:color w:val="auto"/>
          <w:sz w:val="24"/>
        </w:rPr>
      </w:pPr>
      <w:r>
        <w:rPr>
          <w:b/>
          <w:color w:val="auto"/>
          <w:sz w:val="24"/>
        </w:rPr>
        <w:t>5、专利权</w:t>
      </w:r>
    </w:p>
    <w:p>
      <w:pPr>
        <w:spacing w:line="360" w:lineRule="auto"/>
        <w:rPr>
          <w:color w:val="auto"/>
          <w:sz w:val="24"/>
        </w:rPr>
      </w:pPr>
      <w:r>
        <w:rPr>
          <w:color w:val="auto"/>
          <w:sz w:val="24"/>
        </w:rPr>
        <w:t xml:space="preserve">    5</w:t>
      </w:r>
      <w:r>
        <w:rPr>
          <w:rFonts w:hint="eastAsia"/>
          <w:color w:val="auto"/>
          <w:sz w:val="24"/>
          <w:lang w:eastAsia="zh-CN"/>
        </w:rPr>
        <w:t>.</w:t>
      </w:r>
      <w:r>
        <w:rPr>
          <w:color w:val="auto"/>
          <w:sz w:val="24"/>
        </w:rPr>
        <w:t>1 卖方须保障买方在使用其提供的货物、服务及其任何部分时不受到第三方关于侵犯专利权、商标权或工业设计权的指控。任何第三方如果提出侵权指控，卖方须与第三方交涉并承担由此而引起的一切法律责任和费用。</w:t>
      </w:r>
    </w:p>
    <w:p>
      <w:pPr>
        <w:spacing w:line="360" w:lineRule="auto"/>
        <w:rPr>
          <w:b/>
          <w:color w:val="auto"/>
          <w:sz w:val="24"/>
        </w:rPr>
      </w:pPr>
      <w:r>
        <w:rPr>
          <w:color w:val="auto"/>
          <w:sz w:val="24"/>
        </w:rPr>
        <w:t xml:space="preserve">   </w:t>
      </w:r>
      <w:r>
        <w:rPr>
          <w:b/>
          <w:color w:val="auto"/>
          <w:sz w:val="24"/>
        </w:rPr>
        <w:t xml:space="preserve"> 6、保险</w:t>
      </w:r>
    </w:p>
    <w:p>
      <w:pPr>
        <w:spacing w:line="360" w:lineRule="auto"/>
        <w:ind w:firstLine="240" w:firstLineChars="100"/>
        <w:rPr>
          <w:color w:val="auto"/>
          <w:sz w:val="24"/>
        </w:rPr>
      </w:pPr>
      <w:r>
        <w:rPr>
          <w:color w:val="auto"/>
          <w:sz w:val="24"/>
        </w:rPr>
        <w:t xml:space="preserve">  6</w:t>
      </w:r>
      <w:r>
        <w:rPr>
          <w:rFonts w:hint="eastAsia"/>
          <w:color w:val="auto"/>
          <w:sz w:val="24"/>
          <w:lang w:eastAsia="zh-CN"/>
        </w:rPr>
        <w:t>.</w:t>
      </w:r>
      <w:r>
        <w:rPr>
          <w:color w:val="auto"/>
          <w:sz w:val="24"/>
        </w:rPr>
        <w:t>1在合同价条件下，由卖方负责办理保险。</w:t>
      </w:r>
    </w:p>
    <w:p>
      <w:pPr>
        <w:spacing w:line="360" w:lineRule="auto"/>
        <w:rPr>
          <w:b/>
          <w:color w:val="auto"/>
          <w:sz w:val="24"/>
        </w:rPr>
      </w:pPr>
      <w:r>
        <w:rPr>
          <w:color w:val="auto"/>
          <w:sz w:val="24"/>
        </w:rPr>
        <w:t xml:space="preserve">   </w:t>
      </w:r>
      <w:r>
        <w:rPr>
          <w:b/>
          <w:color w:val="auto"/>
          <w:sz w:val="24"/>
        </w:rPr>
        <w:t xml:space="preserve"> 7、合同价款的支付方式</w:t>
      </w:r>
    </w:p>
    <w:p>
      <w:pPr>
        <w:spacing w:line="360" w:lineRule="auto"/>
        <w:ind w:firstLine="480"/>
        <w:jc w:val="left"/>
        <w:rPr>
          <w:color w:val="auto"/>
          <w:sz w:val="24"/>
        </w:rPr>
      </w:pPr>
      <w:r>
        <w:rPr>
          <w:color w:val="auto"/>
          <w:sz w:val="24"/>
        </w:rPr>
        <w:t>7</w:t>
      </w:r>
      <w:r>
        <w:rPr>
          <w:rFonts w:hint="eastAsia"/>
          <w:color w:val="auto"/>
          <w:sz w:val="24"/>
          <w:lang w:eastAsia="zh-CN"/>
        </w:rPr>
        <w:t>.</w:t>
      </w:r>
      <w:r>
        <w:rPr>
          <w:color w:val="auto"/>
          <w:sz w:val="24"/>
        </w:rPr>
        <w:t>1除另有规定者外，本合同价款将由买方向卖方支付。</w:t>
      </w:r>
    </w:p>
    <w:p>
      <w:pPr>
        <w:spacing w:line="360" w:lineRule="auto"/>
        <w:ind w:firstLine="480"/>
        <w:jc w:val="left"/>
        <w:rPr>
          <w:b/>
          <w:color w:val="auto"/>
          <w:sz w:val="24"/>
        </w:rPr>
      </w:pPr>
      <w:r>
        <w:rPr>
          <w:b/>
          <w:color w:val="auto"/>
          <w:sz w:val="24"/>
        </w:rPr>
        <w:t>8、技术资料</w:t>
      </w:r>
    </w:p>
    <w:p>
      <w:pPr>
        <w:spacing w:line="360" w:lineRule="auto"/>
        <w:ind w:firstLine="480"/>
        <w:jc w:val="left"/>
        <w:rPr>
          <w:color w:val="auto"/>
          <w:sz w:val="24"/>
        </w:rPr>
      </w:pPr>
      <w:r>
        <w:rPr>
          <w:color w:val="auto"/>
          <w:sz w:val="24"/>
        </w:rPr>
        <w:t>8</w:t>
      </w:r>
      <w:r>
        <w:rPr>
          <w:rFonts w:hint="eastAsia"/>
          <w:color w:val="auto"/>
          <w:sz w:val="24"/>
          <w:lang w:eastAsia="zh-CN"/>
        </w:rPr>
        <w:t>.</w:t>
      </w:r>
      <w:r>
        <w:rPr>
          <w:color w:val="auto"/>
          <w:sz w:val="24"/>
        </w:rPr>
        <w:t>1除招标文件的技术规范书中另有规定的外，卖方应准备与合同设备或仪器相符的中文技术资料，并于合同生效后15天内寄送到买方，如样本、图纸、操作手册、使用说明、维修指南或服务手册等。如本条款所述资料寄送不完整或丢失，卖方应在收到买方通知后立即免费另寄。</w:t>
      </w:r>
    </w:p>
    <w:p>
      <w:pPr>
        <w:spacing w:line="360" w:lineRule="auto"/>
        <w:ind w:firstLine="480"/>
        <w:rPr>
          <w:color w:val="auto"/>
          <w:sz w:val="24"/>
        </w:rPr>
      </w:pPr>
      <w:r>
        <w:rPr>
          <w:color w:val="auto"/>
          <w:sz w:val="24"/>
        </w:rPr>
        <w:t>8</w:t>
      </w:r>
      <w:r>
        <w:rPr>
          <w:rFonts w:hint="eastAsia"/>
          <w:color w:val="auto"/>
          <w:sz w:val="24"/>
          <w:lang w:eastAsia="zh-CN"/>
        </w:rPr>
        <w:t>.</w:t>
      </w:r>
      <w:r>
        <w:rPr>
          <w:color w:val="auto"/>
          <w:sz w:val="24"/>
        </w:rPr>
        <w:t>2上述一套完整的资料应包装好随每批货物一起发运。</w:t>
      </w:r>
    </w:p>
    <w:p>
      <w:pPr>
        <w:spacing w:line="360" w:lineRule="auto"/>
        <w:rPr>
          <w:b/>
          <w:color w:val="auto"/>
          <w:sz w:val="24"/>
        </w:rPr>
      </w:pPr>
      <w:r>
        <w:rPr>
          <w:b/>
          <w:color w:val="auto"/>
          <w:sz w:val="24"/>
        </w:rPr>
        <w:t xml:space="preserve">    9、价格</w:t>
      </w:r>
    </w:p>
    <w:p>
      <w:pPr>
        <w:spacing w:line="360" w:lineRule="auto"/>
        <w:rPr>
          <w:color w:val="auto"/>
          <w:sz w:val="24"/>
        </w:rPr>
      </w:pPr>
      <w:r>
        <w:rPr>
          <w:color w:val="auto"/>
          <w:sz w:val="24"/>
        </w:rPr>
        <w:t xml:space="preserve">    9</w:t>
      </w:r>
      <w:r>
        <w:rPr>
          <w:rFonts w:hint="eastAsia"/>
          <w:color w:val="auto"/>
          <w:sz w:val="24"/>
          <w:lang w:eastAsia="zh-CN"/>
        </w:rPr>
        <w:t>.</w:t>
      </w:r>
      <w:r>
        <w:rPr>
          <w:color w:val="auto"/>
          <w:sz w:val="24"/>
        </w:rPr>
        <w:t>1除合同中另有规定者外，卖方为其所供货物和服务而要求买方支付的金额应与其报价一致。</w:t>
      </w:r>
    </w:p>
    <w:p>
      <w:pPr>
        <w:spacing w:line="360" w:lineRule="auto"/>
        <w:rPr>
          <w:b/>
          <w:color w:val="auto"/>
          <w:sz w:val="24"/>
        </w:rPr>
      </w:pPr>
      <w:r>
        <w:rPr>
          <w:b/>
          <w:color w:val="auto"/>
          <w:sz w:val="24"/>
        </w:rPr>
        <w:t xml:space="preserve">    10、质量保证</w:t>
      </w:r>
    </w:p>
    <w:p>
      <w:pPr>
        <w:spacing w:line="360" w:lineRule="auto"/>
        <w:ind w:firstLine="480" w:firstLineChars="200"/>
        <w:rPr>
          <w:color w:val="auto"/>
          <w:sz w:val="24"/>
        </w:rPr>
      </w:pPr>
      <w:r>
        <w:rPr>
          <w:color w:val="auto"/>
          <w:sz w:val="24"/>
        </w:rPr>
        <w:t>10</w:t>
      </w:r>
      <w:r>
        <w:rPr>
          <w:rFonts w:hint="eastAsia"/>
          <w:color w:val="auto"/>
          <w:sz w:val="24"/>
          <w:lang w:eastAsia="zh-CN"/>
        </w:rPr>
        <w:t>.</w:t>
      </w:r>
      <w:r>
        <w:rPr>
          <w:color w:val="auto"/>
          <w:sz w:val="24"/>
        </w:rPr>
        <w:t>1卖方应保证其提供货品检验报告及相关资料；到货后，由甲方检测，达不到要求者，予以退货。并在各个方面符合合同规定的质量、规格和性能要求。在规定的质量保证期内，卖方应对所供货品任何的缺陷或质量问题负责。</w:t>
      </w:r>
    </w:p>
    <w:p>
      <w:pPr>
        <w:spacing w:line="360" w:lineRule="auto"/>
        <w:ind w:firstLine="482" w:firstLineChars="200"/>
        <w:rPr>
          <w:b/>
          <w:color w:val="auto"/>
          <w:sz w:val="24"/>
        </w:rPr>
      </w:pPr>
      <w:r>
        <w:rPr>
          <w:b/>
          <w:color w:val="auto"/>
          <w:sz w:val="24"/>
        </w:rPr>
        <w:t>11、履约保证金</w:t>
      </w:r>
    </w:p>
    <w:p>
      <w:pPr>
        <w:spacing w:line="360" w:lineRule="auto"/>
        <w:ind w:firstLine="480" w:firstLineChars="200"/>
        <w:rPr>
          <w:color w:val="auto"/>
          <w:sz w:val="24"/>
        </w:rPr>
      </w:pPr>
      <w:r>
        <w:rPr>
          <w:color w:val="auto"/>
          <w:sz w:val="24"/>
        </w:rPr>
        <w:t>11</w:t>
      </w:r>
      <w:r>
        <w:rPr>
          <w:rFonts w:hint="eastAsia"/>
          <w:color w:val="auto"/>
          <w:sz w:val="24"/>
          <w:lang w:eastAsia="zh-CN"/>
        </w:rPr>
        <w:t>.</w:t>
      </w:r>
      <w:r>
        <w:rPr>
          <w:color w:val="auto"/>
          <w:sz w:val="24"/>
        </w:rPr>
        <w:t>1合同签订后，卖方须向买方提供</w:t>
      </w:r>
      <w:r>
        <w:rPr>
          <w:color w:val="auto"/>
          <w:sz w:val="24"/>
          <w:u w:val="single"/>
        </w:rPr>
        <w:t xml:space="preserve">   </w:t>
      </w:r>
      <w:r>
        <w:rPr>
          <w:color w:val="auto"/>
          <w:sz w:val="24"/>
        </w:rPr>
        <w:t>％（合同中约定）的履约保证金。</w:t>
      </w:r>
    </w:p>
    <w:p>
      <w:pPr>
        <w:spacing w:line="360" w:lineRule="auto"/>
        <w:ind w:firstLine="480" w:firstLineChars="200"/>
        <w:rPr>
          <w:color w:val="auto"/>
          <w:sz w:val="24"/>
        </w:rPr>
      </w:pPr>
      <w:r>
        <w:rPr>
          <w:color w:val="auto"/>
          <w:sz w:val="24"/>
        </w:rPr>
        <w:t>11</w:t>
      </w:r>
      <w:r>
        <w:rPr>
          <w:rFonts w:hint="eastAsia"/>
          <w:color w:val="auto"/>
          <w:sz w:val="24"/>
          <w:lang w:eastAsia="zh-CN"/>
        </w:rPr>
        <w:t>.</w:t>
      </w:r>
      <w:r>
        <w:rPr>
          <w:color w:val="auto"/>
          <w:sz w:val="24"/>
        </w:rPr>
        <w:t>2卖方在收到买方的货物验收合格的报告后，买方在七个工作日内无息退还履约保证金。</w:t>
      </w:r>
    </w:p>
    <w:p>
      <w:pPr>
        <w:spacing w:line="360" w:lineRule="auto"/>
        <w:ind w:firstLine="482" w:firstLineChars="200"/>
        <w:rPr>
          <w:b/>
          <w:color w:val="auto"/>
          <w:sz w:val="24"/>
        </w:rPr>
      </w:pPr>
      <w:r>
        <w:rPr>
          <w:b/>
          <w:color w:val="auto"/>
          <w:sz w:val="24"/>
        </w:rPr>
        <w:t>12、检验</w:t>
      </w:r>
    </w:p>
    <w:p>
      <w:pPr>
        <w:spacing w:line="360" w:lineRule="auto"/>
        <w:ind w:firstLine="480" w:firstLineChars="200"/>
        <w:rPr>
          <w:color w:val="auto"/>
          <w:sz w:val="24"/>
        </w:rPr>
      </w:pPr>
      <w:r>
        <w:rPr>
          <w:color w:val="auto"/>
          <w:sz w:val="24"/>
        </w:rPr>
        <w:t>12</w:t>
      </w:r>
      <w:r>
        <w:rPr>
          <w:rFonts w:hint="eastAsia"/>
          <w:color w:val="auto"/>
          <w:sz w:val="24"/>
          <w:lang w:eastAsia="zh-CN"/>
        </w:rPr>
        <w:t>.</w:t>
      </w:r>
      <w:r>
        <w:rPr>
          <w:color w:val="auto"/>
          <w:sz w:val="24"/>
        </w:rPr>
        <w:t>1  卖方应在发货之前，对货物的有关内在和外观质量、规格、性能、数量和重量进行准确和全面的检验，并出具其货物符合合同规定的质量证书。该证书将作为提交付款单据的组成部分，但不应视为是对质量、规格、性能、数量或重量的最终定论。质量证书应附有写明制造商检验的细节和结果的说明。</w:t>
      </w:r>
    </w:p>
    <w:p>
      <w:pPr>
        <w:spacing w:line="360" w:lineRule="auto"/>
        <w:ind w:firstLine="480" w:firstLineChars="200"/>
        <w:rPr>
          <w:color w:val="auto"/>
          <w:sz w:val="24"/>
        </w:rPr>
      </w:pPr>
      <w:r>
        <w:rPr>
          <w:color w:val="auto"/>
          <w:sz w:val="24"/>
        </w:rPr>
        <w:t>12</w:t>
      </w:r>
      <w:r>
        <w:rPr>
          <w:rFonts w:hint="eastAsia"/>
          <w:color w:val="auto"/>
          <w:sz w:val="24"/>
          <w:lang w:eastAsia="zh-CN"/>
        </w:rPr>
        <w:t>.</w:t>
      </w:r>
      <w:r>
        <w:rPr>
          <w:color w:val="auto"/>
          <w:sz w:val="24"/>
        </w:rPr>
        <w:t>2  在合同规定的质量保证期内，如果发现货物的质量或规格与合同规定不符，或证明货物有缺陷，包括潜在的缺陷或使用不合适的原材料等，买方应申请质检部门进行检验，并有权根据检验证书及质量保证条款立即向卖方提出索赔。</w:t>
      </w:r>
    </w:p>
    <w:p>
      <w:pPr>
        <w:spacing w:line="360" w:lineRule="auto"/>
        <w:rPr>
          <w:b/>
          <w:color w:val="auto"/>
          <w:sz w:val="24"/>
        </w:rPr>
      </w:pPr>
      <w:r>
        <w:rPr>
          <w:color w:val="auto"/>
          <w:sz w:val="24"/>
        </w:rPr>
        <w:t xml:space="preserve">   </w:t>
      </w:r>
      <w:r>
        <w:rPr>
          <w:b/>
          <w:color w:val="auto"/>
          <w:sz w:val="24"/>
        </w:rPr>
        <w:t xml:space="preserve"> 13、索赔   </w:t>
      </w:r>
    </w:p>
    <w:p>
      <w:pPr>
        <w:spacing w:line="360" w:lineRule="auto"/>
        <w:rPr>
          <w:color w:val="auto"/>
          <w:sz w:val="24"/>
        </w:rPr>
      </w:pPr>
      <w:r>
        <w:rPr>
          <w:color w:val="auto"/>
          <w:sz w:val="24"/>
        </w:rPr>
        <w:t xml:space="preserve">    13</w:t>
      </w:r>
      <w:r>
        <w:rPr>
          <w:rFonts w:hint="eastAsia"/>
          <w:color w:val="auto"/>
          <w:sz w:val="24"/>
          <w:lang w:eastAsia="zh-CN"/>
        </w:rPr>
        <w:t>.</w:t>
      </w:r>
      <w:r>
        <w:rPr>
          <w:color w:val="auto"/>
          <w:sz w:val="24"/>
        </w:rPr>
        <w:t>1 卖方对所供货物与合同约定相一致负完全责任。在买方已于规定的检验、安装、调试和验收测试期限内和质量保证期内提出索赔时，卖方应按买方同意的下述一种或多种方法解决索赔事宜。</w:t>
      </w:r>
    </w:p>
    <w:p>
      <w:pPr>
        <w:spacing w:line="360" w:lineRule="auto"/>
        <w:rPr>
          <w:color w:val="auto"/>
          <w:sz w:val="24"/>
        </w:rPr>
      </w:pPr>
      <w:r>
        <w:rPr>
          <w:color w:val="auto"/>
          <w:sz w:val="24"/>
        </w:rPr>
        <w:t xml:space="preserve">   </w:t>
      </w:r>
      <w:r>
        <w:rPr>
          <w:rFonts w:hint="eastAsia"/>
          <w:color w:val="auto"/>
          <w:sz w:val="24"/>
          <w:lang w:eastAsia="zh-CN"/>
        </w:rPr>
        <w:t>（</w:t>
      </w:r>
      <w:r>
        <w:rPr>
          <w:color w:val="auto"/>
          <w:sz w:val="24"/>
        </w:rPr>
        <w:t>1</w:t>
      </w:r>
      <w:r>
        <w:rPr>
          <w:rFonts w:hint="eastAsia"/>
          <w:color w:val="auto"/>
          <w:sz w:val="24"/>
          <w:lang w:eastAsia="zh-CN"/>
        </w:rPr>
        <w:t>）</w:t>
      </w:r>
      <w:r>
        <w:rPr>
          <w:color w:val="auto"/>
          <w:sz w:val="24"/>
        </w:rPr>
        <w:t>卖方同意买方拒收货物并把被拒收货物的金额以合同规定的同类货币还付给买方，卖方负担发生的一切损失和费用，包括利息、银行费用、运输和保险费、检验费、仓储和装卸费以及为保管和保护被拒绝货物所需的其它必要费用。</w:t>
      </w:r>
    </w:p>
    <w:p>
      <w:pPr>
        <w:spacing w:line="360" w:lineRule="auto"/>
        <w:rPr>
          <w:color w:val="auto"/>
          <w:sz w:val="24"/>
        </w:rPr>
      </w:pPr>
      <w:r>
        <w:rPr>
          <w:color w:val="auto"/>
          <w:sz w:val="24"/>
        </w:rPr>
        <w:t xml:space="preserve">   </w:t>
      </w:r>
      <w:r>
        <w:rPr>
          <w:rFonts w:hint="eastAsia"/>
          <w:color w:val="auto"/>
          <w:sz w:val="24"/>
          <w:lang w:eastAsia="zh-CN"/>
        </w:rPr>
        <w:t>（</w:t>
      </w:r>
      <w:r>
        <w:rPr>
          <w:color w:val="auto"/>
          <w:sz w:val="24"/>
        </w:rPr>
        <w:t>2</w:t>
      </w:r>
      <w:r>
        <w:rPr>
          <w:rFonts w:hint="eastAsia"/>
          <w:color w:val="auto"/>
          <w:sz w:val="24"/>
          <w:lang w:eastAsia="zh-CN"/>
        </w:rPr>
        <w:t>）</w:t>
      </w:r>
      <w:r>
        <w:rPr>
          <w:color w:val="auto"/>
          <w:sz w:val="24"/>
        </w:rPr>
        <w:t>根据货物的疵劣和受损程度以及买方遭受损失的金额，经双方同意降低货价。</w:t>
      </w:r>
    </w:p>
    <w:p>
      <w:pPr>
        <w:spacing w:line="360" w:lineRule="auto"/>
        <w:rPr>
          <w:color w:val="auto"/>
          <w:sz w:val="24"/>
        </w:rPr>
      </w:pPr>
      <w:r>
        <w:rPr>
          <w:color w:val="auto"/>
          <w:sz w:val="24"/>
        </w:rPr>
        <w:t xml:space="preserve">   </w:t>
      </w:r>
      <w:r>
        <w:rPr>
          <w:rFonts w:hint="eastAsia"/>
          <w:color w:val="auto"/>
          <w:sz w:val="24"/>
          <w:lang w:eastAsia="zh-CN"/>
        </w:rPr>
        <w:t>（</w:t>
      </w:r>
      <w:r>
        <w:rPr>
          <w:color w:val="auto"/>
          <w:sz w:val="24"/>
        </w:rPr>
        <w:t>3</w:t>
      </w:r>
      <w:r>
        <w:rPr>
          <w:rFonts w:hint="eastAsia"/>
          <w:color w:val="auto"/>
          <w:sz w:val="24"/>
          <w:lang w:eastAsia="zh-CN"/>
        </w:rPr>
        <w:t>）</w:t>
      </w:r>
      <w:r>
        <w:rPr>
          <w:color w:val="auto"/>
          <w:sz w:val="24"/>
        </w:rPr>
        <w:t>更换有质量问题的货物，以达到合同规定的规格、质量和性能，卖方承担一切费用和风险并负担买方遭受的一切直接费用。同时卖方应相应延长被更换货物的质量保证期。</w:t>
      </w:r>
    </w:p>
    <w:p>
      <w:pPr>
        <w:spacing w:line="360" w:lineRule="auto"/>
        <w:rPr>
          <w:color w:val="auto"/>
          <w:sz w:val="24"/>
        </w:rPr>
      </w:pPr>
      <w:r>
        <w:rPr>
          <w:color w:val="auto"/>
          <w:sz w:val="24"/>
        </w:rPr>
        <w:t xml:space="preserve">    13</w:t>
      </w:r>
      <w:r>
        <w:rPr>
          <w:rFonts w:hint="eastAsia"/>
          <w:color w:val="auto"/>
          <w:sz w:val="24"/>
          <w:lang w:eastAsia="zh-CN"/>
        </w:rPr>
        <w:t>.</w:t>
      </w:r>
      <w:r>
        <w:rPr>
          <w:color w:val="auto"/>
          <w:sz w:val="24"/>
        </w:rPr>
        <w:t>2如果买方提出索赔通知后30天内卖方未能予以答复，该索赔应视为已被卖方接受。若卖方未能在买方提出索赔通知的30天内或买方同意的更长时间内，按买方同意的上述任何一种方式处理索赔事宜，买方将从未付款或卖方提供的履约保证金中扣回索赔金额，同时保留进一步要求赔偿的权利。</w:t>
      </w:r>
    </w:p>
    <w:p>
      <w:pPr>
        <w:spacing w:line="360" w:lineRule="auto"/>
        <w:rPr>
          <w:b/>
          <w:color w:val="auto"/>
          <w:sz w:val="24"/>
        </w:rPr>
      </w:pPr>
      <w:r>
        <w:rPr>
          <w:color w:val="auto"/>
          <w:sz w:val="24"/>
        </w:rPr>
        <w:t xml:space="preserve">   </w:t>
      </w:r>
      <w:r>
        <w:rPr>
          <w:b/>
          <w:color w:val="auto"/>
          <w:sz w:val="24"/>
        </w:rPr>
        <w:t xml:space="preserve"> 14、延期交货与核定损失额</w:t>
      </w:r>
    </w:p>
    <w:p>
      <w:pPr>
        <w:spacing w:line="360" w:lineRule="auto"/>
        <w:rPr>
          <w:color w:val="auto"/>
          <w:sz w:val="24"/>
        </w:rPr>
      </w:pPr>
      <w:r>
        <w:rPr>
          <w:color w:val="auto"/>
          <w:sz w:val="24"/>
        </w:rPr>
        <w:t xml:space="preserve">    14</w:t>
      </w:r>
      <w:r>
        <w:rPr>
          <w:rFonts w:hint="eastAsia"/>
          <w:color w:val="auto"/>
          <w:sz w:val="24"/>
          <w:lang w:eastAsia="zh-CN"/>
        </w:rPr>
        <w:t>.</w:t>
      </w:r>
      <w:r>
        <w:rPr>
          <w:color w:val="auto"/>
          <w:sz w:val="24"/>
        </w:rPr>
        <w:t>1如果卖方未能按合同规定的时间按期交货</w:t>
      </w:r>
      <w:r>
        <w:rPr>
          <w:rFonts w:hint="eastAsia"/>
          <w:color w:val="auto"/>
          <w:sz w:val="24"/>
          <w:lang w:eastAsia="zh-CN"/>
        </w:rPr>
        <w:t>（</w:t>
      </w:r>
      <w:r>
        <w:rPr>
          <w:color w:val="auto"/>
          <w:sz w:val="24"/>
        </w:rPr>
        <w:t>不可抗力除外</w:t>
      </w:r>
      <w:r>
        <w:rPr>
          <w:rFonts w:hint="eastAsia"/>
          <w:color w:val="auto"/>
          <w:sz w:val="24"/>
          <w:lang w:eastAsia="zh-CN"/>
        </w:rPr>
        <w:t>）</w:t>
      </w:r>
      <w:r>
        <w:rPr>
          <w:color w:val="auto"/>
          <w:sz w:val="24"/>
        </w:rPr>
        <w:t xml:space="preserve">，在卖方同意支付核定损失额的条件下，买方将同意延长交货期。核定损失额的支付将从未付款或从履约保证金中扣除。核定损失额比率为每迟交1天，按迟交货物金额的0.2％，但是，核定损失额的支付不得超过迟交货物部分合同金额的10％。如果卖方在达到核定损失额的最高限额后仍不能交货，买方有权因卖方违约终止合同，而卖方仍有义务支付上述迟交核定损失金额。          </w:t>
      </w:r>
    </w:p>
    <w:p>
      <w:pPr>
        <w:spacing w:line="360" w:lineRule="auto"/>
        <w:ind w:firstLine="570"/>
        <w:rPr>
          <w:b/>
          <w:color w:val="auto"/>
          <w:sz w:val="24"/>
        </w:rPr>
      </w:pPr>
      <w:r>
        <w:rPr>
          <w:b/>
          <w:color w:val="auto"/>
          <w:sz w:val="24"/>
        </w:rPr>
        <w:t>15、不可抗力</w:t>
      </w:r>
    </w:p>
    <w:p>
      <w:pPr>
        <w:spacing w:line="360" w:lineRule="auto"/>
        <w:ind w:firstLine="570"/>
        <w:rPr>
          <w:color w:val="auto"/>
          <w:sz w:val="24"/>
        </w:rPr>
      </w:pPr>
      <w:r>
        <w:rPr>
          <w:color w:val="auto"/>
          <w:sz w:val="24"/>
        </w:rPr>
        <w:t>15.1签约任何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事故。</w:t>
      </w:r>
    </w:p>
    <w:p>
      <w:pPr>
        <w:spacing w:line="360" w:lineRule="auto"/>
        <w:ind w:firstLine="480" w:firstLineChars="200"/>
        <w:rPr>
          <w:color w:val="auto"/>
          <w:sz w:val="24"/>
        </w:rPr>
      </w:pPr>
      <w:r>
        <w:rPr>
          <w:color w:val="auto"/>
          <w:sz w:val="24"/>
        </w:rPr>
        <w:t>15.2受阻一方应在不可抗力事故发生后尽快用电报、传真或电传通知对方，并于事故发生后15天内将有关部门出具的证明文件用特快专递或挂号信等形式寄给对方审阅确认。一旦不可抗力事故的影响持续120天以上，双方应通过友好协商在合理的时间内达成进一步履行合同的协议。</w:t>
      </w:r>
    </w:p>
    <w:p>
      <w:pPr>
        <w:spacing w:line="360" w:lineRule="auto"/>
        <w:ind w:firstLine="482" w:firstLineChars="200"/>
        <w:rPr>
          <w:b/>
          <w:color w:val="auto"/>
          <w:sz w:val="24"/>
        </w:rPr>
      </w:pPr>
      <w:r>
        <w:rPr>
          <w:b/>
          <w:color w:val="auto"/>
          <w:sz w:val="24"/>
        </w:rPr>
        <w:t>16、仲裁</w:t>
      </w:r>
    </w:p>
    <w:p>
      <w:pPr>
        <w:spacing w:line="360" w:lineRule="auto"/>
        <w:ind w:firstLine="480" w:firstLineChars="200"/>
        <w:rPr>
          <w:color w:val="auto"/>
          <w:sz w:val="24"/>
        </w:rPr>
      </w:pPr>
      <w:r>
        <w:rPr>
          <w:color w:val="auto"/>
          <w:sz w:val="24"/>
        </w:rPr>
        <w:t>16.1在执行本合同中发生的或与本合同有关的争端，双方应通过友好协商解决，经协商在30天内不能达成协议时，应提交仲裁。</w:t>
      </w:r>
    </w:p>
    <w:p>
      <w:pPr>
        <w:spacing w:line="360" w:lineRule="auto"/>
        <w:ind w:firstLine="480" w:firstLineChars="200"/>
        <w:rPr>
          <w:color w:val="auto"/>
          <w:sz w:val="24"/>
        </w:rPr>
      </w:pPr>
      <w:r>
        <w:rPr>
          <w:color w:val="auto"/>
          <w:sz w:val="24"/>
        </w:rPr>
        <w:t>16.2仲裁应由买方所在地仲裁机构，根据其仲裁程序和规则进行。</w:t>
      </w:r>
    </w:p>
    <w:p>
      <w:pPr>
        <w:spacing w:line="360" w:lineRule="auto"/>
        <w:ind w:firstLine="480" w:firstLineChars="200"/>
        <w:rPr>
          <w:color w:val="auto"/>
          <w:sz w:val="24"/>
        </w:rPr>
      </w:pPr>
      <w:r>
        <w:rPr>
          <w:color w:val="auto"/>
          <w:sz w:val="24"/>
        </w:rPr>
        <w:t>16.3仲裁裁决为最终决定，并对双方具有约束力。</w:t>
      </w:r>
    </w:p>
    <w:p>
      <w:pPr>
        <w:spacing w:line="360" w:lineRule="auto"/>
        <w:ind w:firstLine="480" w:firstLineChars="200"/>
        <w:rPr>
          <w:color w:val="auto"/>
          <w:sz w:val="24"/>
        </w:rPr>
      </w:pPr>
      <w:r>
        <w:rPr>
          <w:color w:val="auto"/>
          <w:sz w:val="24"/>
        </w:rPr>
        <w:t>16.4除另有裁决外，仲裁费应由败诉方负担。</w:t>
      </w:r>
    </w:p>
    <w:p>
      <w:pPr>
        <w:spacing w:line="360" w:lineRule="auto"/>
        <w:ind w:firstLine="480" w:firstLineChars="200"/>
        <w:rPr>
          <w:color w:val="auto"/>
          <w:sz w:val="24"/>
        </w:rPr>
      </w:pPr>
      <w:r>
        <w:rPr>
          <w:color w:val="auto"/>
          <w:sz w:val="24"/>
        </w:rPr>
        <w:t>16.5在仲裁期间，除正在进行的仲裁部分外，合同其它部分继续执行。</w:t>
      </w:r>
    </w:p>
    <w:p>
      <w:pPr>
        <w:spacing w:line="360" w:lineRule="auto"/>
        <w:ind w:firstLine="482" w:firstLineChars="200"/>
        <w:rPr>
          <w:b/>
          <w:color w:val="auto"/>
          <w:sz w:val="24"/>
        </w:rPr>
      </w:pPr>
      <w:r>
        <w:rPr>
          <w:b/>
          <w:color w:val="auto"/>
          <w:sz w:val="24"/>
        </w:rPr>
        <w:t>17、违约终止合同</w:t>
      </w:r>
    </w:p>
    <w:p>
      <w:pPr>
        <w:spacing w:line="360" w:lineRule="auto"/>
        <w:ind w:firstLine="480" w:firstLineChars="200"/>
        <w:rPr>
          <w:color w:val="auto"/>
          <w:sz w:val="24"/>
        </w:rPr>
      </w:pPr>
      <w:r>
        <w:rPr>
          <w:color w:val="auto"/>
          <w:sz w:val="24"/>
        </w:rPr>
        <w:t>17</w:t>
      </w:r>
      <w:r>
        <w:rPr>
          <w:rFonts w:hint="eastAsia"/>
          <w:color w:val="auto"/>
          <w:sz w:val="24"/>
          <w:lang w:eastAsia="zh-CN"/>
        </w:rPr>
        <w:t>.</w:t>
      </w:r>
      <w:r>
        <w:rPr>
          <w:color w:val="auto"/>
          <w:sz w:val="24"/>
        </w:rPr>
        <w:t>1在补救违约而采取的任何其他措施未能实现的情况下，即在卖方收到买方发出的违约通知后30天内</w:t>
      </w:r>
      <w:r>
        <w:rPr>
          <w:rFonts w:hint="eastAsia"/>
          <w:color w:val="auto"/>
          <w:sz w:val="24"/>
          <w:lang w:eastAsia="zh-CN"/>
        </w:rPr>
        <w:t>（</w:t>
      </w:r>
      <w:r>
        <w:rPr>
          <w:color w:val="auto"/>
          <w:sz w:val="24"/>
        </w:rPr>
        <w:t>或经买方书面确认的更长时间内</w:t>
      </w:r>
      <w:r>
        <w:rPr>
          <w:rFonts w:hint="eastAsia"/>
          <w:color w:val="auto"/>
          <w:sz w:val="24"/>
          <w:lang w:eastAsia="zh-CN"/>
        </w:rPr>
        <w:t>）</w:t>
      </w:r>
      <w:r>
        <w:rPr>
          <w:color w:val="auto"/>
          <w:sz w:val="24"/>
        </w:rPr>
        <w:t>仍未纠正其下述任何一种违约行为，买方可向卖方发出书面违约通知，终止全部或部分合同：</w:t>
      </w:r>
    </w:p>
    <w:p>
      <w:pPr>
        <w:spacing w:line="360" w:lineRule="auto"/>
        <w:rPr>
          <w:color w:val="auto"/>
          <w:sz w:val="24"/>
        </w:rPr>
      </w:pPr>
      <w:r>
        <w:rPr>
          <w:color w:val="auto"/>
          <w:sz w:val="24"/>
        </w:rPr>
        <w:t xml:space="preserve">   </w:t>
      </w:r>
      <w:r>
        <w:rPr>
          <w:rFonts w:hint="eastAsia"/>
          <w:color w:val="auto"/>
          <w:sz w:val="24"/>
          <w:lang w:eastAsia="zh-CN"/>
        </w:rPr>
        <w:t>（</w:t>
      </w:r>
      <w:r>
        <w:rPr>
          <w:color w:val="auto"/>
          <w:sz w:val="24"/>
        </w:rPr>
        <w:t>1</w:t>
      </w:r>
      <w:r>
        <w:rPr>
          <w:rFonts w:hint="eastAsia"/>
          <w:color w:val="auto"/>
          <w:sz w:val="24"/>
          <w:lang w:eastAsia="zh-CN"/>
        </w:rPr>
        <w:t>）</w:t>
      </w:r>
      <w:r>
        <w:rPr>
          <w:color w:val="auto"/>
          <w:sz w:val="24"/>
        </w:rPr>
        <w:t>如果卖方未能在合同规定的期限内或买方准许的任何延期内交付部分或全部货物。</w:t>
      </w:r>
    </w:p>
    <w:p>
      <w:pPr>
        <w:spacing w:line="360" w:lineRule="auto"/>
        <w:rPr>
          <w:color w:val="auto"/>
          <w:sz w:val="24"/>
        </w:rPr>
      </w:pPr>
      <w:r>
        <w:rPr>
          <w:color w:val="auto"/>
          <w:sz w:val="24"/>
        </w:rPr>
        <w:t xml:space="preserve">   </w:t>
      </w:r>
      <w:r>
        <w:rPr>
          <w:rFonts w:hint="eastAsia"/>
          <w:color w:val="auto"/>
          <w:sz w:val="24"/>
          <w:lang w:eastAsia="zh-CN"/>
        </w:rPr>
        <w:t>（</w:t>
      </w:r>
      <w:r>
        <w:rPr>
          <w:color w:val="auto"/>
          <w:sz w:val="24"/>
        </w:rPr>
        <w:t>2</w:t>
      </w:r>
      <w:r>
        <w:rPr>
          <w:rFonts w:hint="eastAsia"/>
          <w:color w:val="auto"/>
          <w:sz w:val="24"/>
          <w:lang w:eastAsia="zh-CN"/>
        </w:rPr>
        <w:t>）</w:t>
      </w:r>
      <w:r>
        <w:rPr>
          <w:color w:val="auto"/>
          <w:sz w:val="24"/>
        </w:rPr>
        <w:t>卖方未能履行合同项下的其它义务。</w:t>
      </w:r>
    </w:p>
    <w:p>
      <w:pPr>
        <w:spacing w:line="360" w:lineRule="auto"/>
        <w:ind w:firstLine="480" w:firstLineChars="200"/>
        <w:rPr>
          <w:color w:val="auto"/>
          <w:sz w:val="24"/>
        </w:rPr>
      </w:pPr>
      <w:r>
        <w:rPr>
          <w:color w:val="auto"/>
          <w:sz w:val="24"/>
        </w:rPr>
        <w:t>17</w:t>
      </w:r>
      <w:r>
        <w:rPr>
          <w:rFonts w:hint="eastAsia"/>
          <w:color w:val="auto"/>
          <w:sz w:val="24"/>
          <w:lang w:eastAsia="zh-CN"/>
        </w:rPr>
        <w:t>.</w:t>
      </w:r>
      <w:r>
        <w:rPr>
          <w:color w:val="auto"/>
          <w:sz w:val="24"/>
        </w:rPr>
        <w:t>2 一旦买方根据第20.1款终止部分或全部合同，买方可以按其认为适当的条件和方式采购类似未交付部分的货物。卖方应承担买方购买类似货物的价格差及额外费用。但是，卖方应继续履行合同中未终止的部分。</w:t>
      </w:r>
    </w:p>
    <w:p>
      <w:pPr>
        <w:spacing w:line="360" w:lineRule="auto"/>
        <w:ind w:firstLine="570"/>
        <w:rPr>
          <w:b/>
          <w:color w:val="auto"/>
          <w:sz w:val="24"/>
        </w:rPr>
      </w:pPr>
      <w:r>
        <w:rPr>
          <w:b/>
          <w:color w:val="auto"/>
          <w:sz w:val="24"/>
        </w:rPr>
        <w:t>18、变更指示</w:t>
      </w:r>
    </w:p>
    <w:p>
      <w:pPr>
        <w:spacing w:line="360" w:lineRule="auto"/>
        <w:ind w:left="479" w:leftChars="228" w:firstLine="0" w:firstLineChars="0"/>
        <w:rPr>
          <w:color w:val="auto"/>
          <w:sz w:val="24"/>
        </w:rPr>
      </w:pPr>
      <w:r>
        <w:rPr>
          <w:color w:val="auto"/>
          <w:sz w:val="24"/>
        </w:rPr>
        <w:t>18.1买方可以随时向卖方发出书面指示，在合同总体范围内对如下一点或几点提出变更：</w:t>
      </w:r>
      <w:r>
        <w:rPr>
          <w:rFonts w:hint="eastAsia"/>
          <w:color w:val="auto"/>
          <w:sz w:val="24"/>
          <w:lang w:eastAsia="zh-CN"/>
        </w:rPr>
        <w:t>（</w:t>
      </w:r>
      <w:r>
        <w:rPr>
          <w:color w:val="auto"/>
          <w:sz w:val="24"/>
        </w:rPr>
        <w:t>1</w:t>
      </w:r>
      <w:r>
        <w:rPr>
          <w:rFonts w:hint="eastAsia"/>
          <w:color w:val="auto"/>
          <w:sz w:val="24"/>
          <w:lang w:eastAsia="zh-CN"/>
        </w:rPr>
        <w:t>）</w:t>
      </w:r>
      <w:r>
        <w:rPr>
          <w:color w:val="auto"/>
          <w:sz w:val="24"/>
        </w:rPr>
        <w:t>合同项下需为买方特殊制造货物的图纸、设计或规格；</w:t>
      </w:r>
    </w:p>
    <w:p>
      <w:pPr>
        <w:numPr>
          <w:ilvl w:val="0"/>
          <w:numId w:val="12"/>
        </w:numPr>
        <w:spacing w:line="360" w:lineRule="auto"/>
        <w:ind w:left="479" w:leftChars="228" w:firstLine="0" w:firstLineChars="0"/>
        <w:rPr>
          <w:color w:val="auto"/>
          <w:sz w:val="24"/>
        </w:rPr>
      </w:pPr>
      <w:r>
        <w:rPr>
          <w:color w:val="auto"/>
          <w:sz w:val="24"/>
        </w:rPr>
        <w:t>装运方式和包装方式；</w:t>
      </w:r>
    </w:p>
    <w:p>
      <w:pPr>
        <w:numPr>
          <w:ilvl w:val="0"/>
          <w:numId w:val="12"/>
        </w:numPr>
        <w:spacing w:line="360" w:lineRule="auto"/>
        <w:ind w:left="479" w:leftChars="228" w:firstLine="0" w:firstLineChars="0"/>
        <w:rPr>
          <w:color w:val="auto"/>
          <w:sz w:val="24"/>
        </w:rPr>
      </w:pPr>
      <w:r>
        <w:rPr>
          <w:color w:val="auto"/>
          <w:sz w:val="24"/>
        </w:rPr>
        <w:t>交货地点；</w:t>
      </w:r>
    </w:p>
    <w:p>
      <w:pPr>
        <w:numPr>
          <w:ilvl w:val="0"/>
          <w:numId w:val="0"/>
        </w:numPr>
        <w:spacing w:line="360" w:lineRule="auto"/>
        <w:ind w:leftChars="228"/>
        <w:rPr>
          <w:color w:val="auto"/>
          <w:sz w:val="24"/>
        </w:rPr>
      </w:pPr>
      <w:r>
        <w:rPr>
          <w:rFonts w:hint="eastAsia"/>
          <w:color w:val="auto"/>
          <w:sz w:val="24"/>
          <w:lang w:eastAsia="zh-CN"/>
        </w:rPr>
        <w:t>（</w:t>
      </w:r>
      <w:r>
        <w:rPr>
          <w:color w:val="auto"/>
          <w:sz w:val="24"/>
        </w:rPr>
        <w:t>4</w:t>
      </w:r>
      <w:r>
        <w:rPr>
          <w:rFonts w:hint="eastAsia"/>
          <w:color w:val="auto"/>
          <w:sz w:val="24"/>
          <w:lang w:eastAsia="zh-CN"/>
        </w:rPr>
        <w:t>）</w:t>
      </w:r>
      <w:r>
        <w:rPr>
          <w:color w:val="auto"/>
          <w:sz w:val="24"/>
        </w:rPr>
        <w:t>卖方须提供的服务。</w:t>
      </w:r>
    </w:p>
    <w:p>
      <w:pPr>
        <w:spacing w:line="360" w:lineRule="auto"/>
        <w:ind w:firstLine="570"/>
        <w:rPr>
          <w:color w:val="auto"/>
          <w:sz w:val="24"/>
        </w:rPr>
      </w:pPr>
      <w:r>
        <w:rPr>
          <w:color w:val="auto"/>
          <w:sz w:val="24"/>
        </w:rPr>
        <w:t>18.2若上述变更导致了卖方履行合同项下任何部分义务的费用或所需时间的增减，应对合同价格或交货进度进行合理的调整，同时相应地修改合同。卖方必须在接到买方的变更指示后30天内根据本款提出调整的实施意见。</w:t>
      </w:r>
    </w:p>
    <w:p>
      <w:pPr>
        <w:spacing w:line="360" w:lineRule="auto"/>
        <w:ind w:firstLine="570"/>
        <w:rPr>
          <w:b/>
          <w:color w:val="auto"/>
          <w:sz w:val="24"/>
        </w:rPr>
      </w:pPr>
      <w:r>
        <w:rPr>
          <w:b/>
          <w:color w:val="auto"/>
          <w:sz w:val="24"/>
        </w:rPr>
        <w:t>19、合同修改</w:t>
      </w:r>
    </w:p>
    <w:p>
      <w:pPr>
        <w:spacing w:line="360" w:lineRule="auto"/>
        <w:ind w:firstLine="480" w:firstLineChars="200"/>
        <w:rPr>
          <w:b/>
          <w:color w:val="auto"/>
          <w:sz w:val="24"/>
        </w:rPr>
      </w:pPr>
      <w:r>
        <w:rPr>
          <w:color w:val="auto"/>
          <w:sz w:val="24"/>
        </w:rPr>
        <w:t>欲对合同条款做出任何改动或偏离，均须由买卖双方签署书面的合同修改书。</w:t>
      </w:r>
    </w:p>
    <w:p>
      <w:pPr>
        <w:spacing w:line="360" w:lineRule="auto"/>
        <w:ind w:firstLine="570"/>
        <w:rPr>
          <w:b/>
          <w:color w:val="auto"/>
          <w:sz w:val="24"/>
        </w:rPr>
      </w:pPr>
      <w:r>
        <w:rPr>
          <w:b/>
          <w:color w:val="auto"/>
          <w:sz w:val="24"/>
        </w:rPr>
        <w:t>20、转让与分包</w:t>
      </w:r>
    </w:p>
    <w:p>
      <w:pPr>
        <w:spacing w:line="360" w:lineRule="auto"/>
        <w:ind w:firstLine="570"/>
        <w:rPr>
          <w:color w:val="auto"/>
          <w:sz w:val="24"/>
        </w:rPr>
      </w:pPr>
      <w:r>
        <w:rPr>
          <w:color w:val="auto"/>
          <w:sz w:val="24"/>
        </w:rPr>
        <w:t>20</w:t>
      </w:r>
      <w:r>
        <w:rPr>
          <w:rFonts w:hint="eastAsia"/>
          <w:color w:val="auto"/>
          <w:sz w:val="24"/>
          <w:lang w:eastAsia="zh-CN"/>
        </w:rPr>
        <w:t>.</w:t>
      </w:r>
      <w:r>
        <w:rPr>
          <w:color w:val="auto"/>
          <w:sz w:val="24"/>
        </w:rPr>
        <w:t>1除买方事先同意外，卖方不得部分转让或全部转让其应履行的合同项下的义务。</w:t>
      </w:r>
    </w:p>
    <w:p>
      <w:pPr>
        <w:spacing w:line="360" w:lineRule="auto"/>
        <w:ind w:firstLine="570"/>
        <w:rPr>
          <w:color w:val="auto"/>
          <w:sz w:val="24"/>
        </w:rPr>
      </w:pPr>
      <w:r>
        <w:rPr>
          <w:color w:val="auto"/>
          <w:sz w:val="24"/>
        </w:rPr>
        <w:t>20</w:t>
      </w:r>
      <w:r>
        <w:rPr>
          <w:rFonts w:hint="eastAsia"/>
          <w:color w:val="auto"/>
          <w:sz w:val="24"/>
          <w:lang w:eastAsia="zh-CN"/>
        </w:rPr>
        <w:t>.</w:t>
      </w:r>
      <w:r>
        <w:rPr>
          <w:color w:val="auto"/>
          <w:sz w:val="24"/>
        </w:rPr>
        <w:t>2卖方应书面通知买方本合同项下所授予的所有分包合同。但该通知不解除卖方承担的本合同项下的任何责任或义务。</w:t>
      </w:r>
    </w:p>
    <w:p>
      <w:pPr>
        <w:spacing w:line="360" w:lineRule="auto"/>
        <w:ind w:firstLine="570"/>
        <w:rPr>
          <w:b/>
          <w:color w:val="auto"/>
          <w:sz w:val="24"/>
        </w:rPr>
      </w:pPr>
      <w:r>
        <w:rPr>
          <w:b/>
          <w:color w:val="auto"/>
          <w:sz w:val="24"/>
        </w:rPr>
        <w:t>21、适用法律</w:t>
      </w:r>
    </w:p>
    <w:p>
      <w:pPr>
        <w:spacing w:line="360" w:lineRule="auto"/>
        <w:ind w:firstLine="570"/>
        <w:rPr>
          <w:color w:val="auto"/>
          <w:sz w:val="24"/>
        </w:rPr>
      </w:pPr>
      <w:r>
        <w:rPr>
          <w:color w:val="auto"/>
          <w:sz w:val="24"/>
        </w:rPr>
        <w:t>21</w:t>
      </w:r>
      <w:r>
        <w:rPr>
          <w:rFonts w:hint="eastAsia"/>
          <w:color w:val="auto"/>
          <w:sz w:val="24"/>
          <w:lang w:eastAsia="zh-CN"/>
        </w:rPr>
        <w:t>.</w:t>
      </w:r>
      <w:r>
        <w:rPr>
          <w:color w:val="auto"/>
          <w:sz w:val="24"/>
        </w:rPr>
        <w:t>1本合同应按中华人民共和国的相关法律解释。</w:t>
      </w:r>
    </w:p>
    <w:p>
      <w:pPr>
        <w:spacing w:line="360" w:lineRule="auto"/>
        <w:ind w:firstLine="570"/>
        <w:rPr>
          <w:b/>
          <w:color w:val="auto"/>
          <w:sz w:val="24"/>
        </w:rPr>
      </w:pPr>
      <w:r>
        <w:rPr>
          <w:b/>
          <w:color w:val="auto"/>
          <w:sz w:val="24"/>
        </w:rPr>
        <w:t>22、通知</w:t>
      </w:r>
    </w:p>
    <w:p>
      <w:pPr>
        <w:spacing w:line="360" w:lineRule="auto"/>
        <w:ind w:firstLine="570"/>
        <w:rPr>
          <w:color w:val="auto"/>
          <w:sz w:val="24"/>
        </w:rPr>
      </w:pPr>
      <w:r>
        <w:rPr>
          <w:color w:val="auto"/>
          <w:sz w:val="24"/>
        </w:rPr>
        <w:t>22</w:t>
      </w:r>
      <w:r>
        <w:rPr>
          <w:rFonts w:hint="eastAsia"/>
          <w:color w:val="auto"/>
          <w:sz w:val="24"/>
          <w:lang w:eastAsia="zh-CN"/>
        </w:rPr>
        <w:t>.</w:t>
      </w:r>
      <w:r>
        <w:rPr>
          <w:color w:val="auto"/>
          <w:sz w:val="24"/>
        </w:rPr>
        <w:t>1本合同任何一方给另一方的通知都应以书面或电传、电报、传真的形式发送，而另一方应以书面形式确认并发送到对方明确的地址。</w:t>
      </w:r>
    </w:p>
    <w:p>
      <w:pPr>
        <w:spacing w:line="360" w:lineRule="auto"/>
        <w:ind w:firstLine="570"/>
        <w:rPr>
          <w:b/>
          <w:color w:val="auto"/>
          <w:sz w:val="24"/>
        </w:rPr>
      </w:pPr>
      <w:r>
        <w:rPr>
          <w:b/>
          <w:color w:val="auto"/>
          <w:sz w:val="24"/>
        </w:rPr>
        <w:t>23、合同文件及资料的使用</w:t>
      </w:r>
    </w:p>
    <w:p>
      <w:pPr>
        <w:spacing w:line="360" w:lineRule="auto"/>
        <w:ind w:firstLine="570"/>
        <w:rPr>
          <w:color w:val="auto"/>
          <w:sz w:val="24"/>
        </w:rPr>
      </w:pPr>
      <w:r>
        <w:rPr>
          <w:color w:val="auto"/>
          <w:sz w:val="24"/>
        </w:rPr>
        <w:t>23</w:t>
      </w:r>
      <w:r>
        <w:rPr>
          <w:rFonts w:hint="eastAsia"/>
          <w:color w:val="auto"/>
          <w:sz w:val="24"/>
          <w:lang w:eastAsia="zh-CN"/>
        </w:rPr>
        <w:t>.</w:t>
      </w:r>
      <w:r>
        <w:rPr>
          <w:color w:val="auto"/>
          <w:sz w:val="24"/>
        </w:rPr>
        <w:t>1  除了卖方为执行合同所雇人员外，在未经买方同意的情况下，卖方不得将合同、合同中的规定、有关规格、计划、图纸、式样、样本或买方为上述内容向卖方提供的资料透露给任何人。卖方须在对外保密的前提下，对其雇用人员提供有关情况，所提供的情况仅限于执行本合同必不可少的范围内。</w:t>
      </w:r>
    </w:p>
    <w:p>
      <w:pPr>
        <w:spacing w:line="360" w:lineRule="auto"/>
        <w:ind w:firstLine="570"/>
        <w:rPr>
          <w:color w:val="auto"/>
          <w:sz w:val="24"/>
        </w:rPr>
      </w:pPr>
      <w:r>
        <w:rPr>
          <w:color w:val="auto"/>
          <w:sz w:val="24"/>
        </w:rPr>
        <w:t>23</w:t>
      </w:r>
      <w:r>
        <w:rPr>
          <w:rFonts w:hint="eastAsia"/>
          <w:color w:val="auto"/>
          <w:sz w:val="24"/>
          <w:lang w:eastAsia="zh-CN"/>
        </w:rPr>
        <w:t>.</w:t>
      </w:r>
      <w:r>
        <w:rPr>
          <w:color w:val="auto"/>
          <w:sz w:val="24"/>
        </w:rPr>
        <w:t>2除非执行合同需要，在事先末得到买方同意的情况下，卖方不得将与本合同有关的任何文件和资料给第三方使用。</w:t>
      </w:r>
    </w:p>
    <w:p>
      <w:pPr>
        <w:spacing w:line="360" w:lineRule="auto"/>
        <w:ind w:firstLine="570"/>
        <w:rPr>
          <w:color w:val="auto"/>
          <w:sz w:val="24"/>
        </w:rPr>
      </w:pPr>
      <w:r>
        <w:rPr>
          <w:color w:val="auto"/>
          <w:sz w:val="24"/>
        </w:rPr>
        <w:t>23</w:t>
      </w:r>
      <w:r>
        <w:rPr>
          <w:rFonts w:hint="eastAsia"/>
          <w:color w:val="auto"/>
          <w:sz w:val="24"/>
          <w:lang w:eastAsia="zh-CN"/>
        </w:rPr>
        <w:t>.</w:t>
      </w:r>
      <w:r>
        <w:rPr>
          <w:color w:val="auto"/>
          <w:sz w:val="24"/>
        </w:rPr>
        <w:t>3除合同本身以外，若买方要求，卖方应于其合同义务履行完毕以后将这些资料</w:t>
      </w:r>
      <w:r>
        <w:rPr>
          <w:rFonts w:hint="eastAsia"/>
          <w:color w:val="auto"/>
          <w:sz w:val="24"/>
          <w:lang w:eastAsia="zh-CN"/>
        </w:rPr>
        <w:t>（</w:t>
      </w:r>
      <w:r>
        <w:rPr>
          <w:color w:val="auto"/>
          <w:sz w:val="24"/>
        </w:rPr>
        <w:t>包括所有副本</w:t>
      </w:r>
      <w:r>
        <w:rPr>
          <w:rFonts w:hint="eastAsia"/>
          <w:color w:val="auto"/>
          <w:sz w:val="24"/>
          <w:lang w:eastAsia="zh-CN"/>
        </w:rPr>
        <w:t>）</w:t>
      </w:r>
      <w:r>
        <w:rPr>
          <w:color w:val="auto"/>
          <w:sz w:val="24"/>
        </w:rPr>
        <w:t>退还买方。</w:t>
      </w:r>
    </w:p>
    <w:p>
      <w:pPr>
        <w:spacing w:line="360" w:lineRule="auto"/>
        <w:ind w:firstLine="570"/>
        <w:rPr>
          <w:b/>
          <w:color w:val="auto"/>
          <w:sz w:val="24"/>
        </w:rPr>
      </w:pPr>
      <w:r>
        <w:rPr>
          <w:b/>
          <w:color w:val="auto"/>
          <w:sz w:val="24"/>
        </w:rPr>
        <w:t>24、合同生效及其他</w:t>
      </w:r>
    </w:p>
    <w:p>
      <w:pPr>
        <w:spacing w:line="360" w:lineRule="auto"/>
        <w:ind w:firstLine="570"/>
        <w:rPr>
          <w:color w:val="auto"/>
          <w:sz w:val="24"/>
        </w:rPr>
      </w:pPr>
      <w:r>
        <w:rPr>
          <w:color w:val="auto"/>
          <w:sz w:val="24"/>
        </w:rPr>
        <w:t>24.1本合同应在买方和卖方签字后，双方加盖鉴证章后生效。</w:t>
      </w:r>
    </w:p>
    <w:p>
      <w:pPr>
        <w:spacing w:line="360" w:lineRule="auto"/>
        <w:ind w:firstLine="570"/>
        <w:rPr>
          <w:color w:val="auto"/>
          <w:sz w:val="24"/>
        </w:rPr>
      </w:pPr>
      <w:r>
        <w:rPr>
          <w:color w:val="auto"/>
          <w:sz w:val="24"/>
        </w:rPr>
        <w:t>24.2卖方须按技术规格中的规定，向买方提供与合同项下货物有关的现场安装调试、技术服务、培训等其他相关服务。</w:t>
      </w:r>
    </w:p>
    <w:p>
      <w:pPr>
        <w:spacing w:line="360" w:lineRule="auto"/>
        <w:ind w:firstLine="570"/>
        <w:rPr>
          <w:color w:val="auto"/>
          <w:sz w:val="24"/>
        </w:rPr>
      </w:pPr>
      <w:r>
        <w:rPr>
          <w:color w:val="auto"/>
          <w:sz w:val="24"/>
        </w:rPr>
        <w:t>24.3 商务合同应包括买方最后确认的价格条款和付款方式。</w:t>
      </w:r>
    </w:p>
    <w:p>
      <w:pPr>
        <w:spacing w:line="360" w:lineRule="auto"/>
        <w:ind w:firstLine="570"/>
        <w:rPr>
          <w:color w:val="auto"/>
          <w:sz w:val="24"/>
        </w:rPr>
      </w:pPr>
      <w:r>
        <w:rPr>
          <w:color w:val="auto"/>
          <w:sz w:val="24"/>
        </w:rPr>
        <w:t>24.4下述文件将作为合同附件，为本合同不可分割的组成部分，并与本合具有同等效力；</w:t>
      </w:r>
    </w:p>
    <w:p>
      <w:pPr>
        <w:numPr>
          <w:ilvl w:val="0"/>
          <w:numId w:val="13"/>
        </w:numPr>
        <w:spacing w:line="360" w:lineRule="auto"/>
        <w:ind w:firstLine="570"/>
        <w:rPr>
          <w:color w:val="auto"/>
          <w:sz w:val="24"/>
        </w:rPr>
      </w:pPr>
      <w:r>
        <w:rPr>
          <w:color w:val="auto"/>
          <w:sz w:val="24"/>
        </w:rPr>
        <w:t>招标文件</w:t>
      </w:r>
    </w:p>
    <w:p>
      <w:pPr>
        <w:numPr>
          <w:ilvl w:val="0"/>
          <w:numId w:val="13"/>
        </w:numPr>
        <w:spacing w:line="360" w:lineRule="auto"/>
        <w:ind w:left="0" w:leftChars="0" w:firstLine="570" w:firstLineChars="0"/>
        <w:rPr>
          <w:color w:val="auto"/>
          <w:sz w:val="24"/>
        </w:rPr>
      </w:pPr>
      <w:r>
        <w:rPr>
          <w:color w:val="auto"/>
          <w:sz w:val="24"/>
        </w:rPr>
        <w:t>中标通知书</w:t>
      </w:r>
    </w:p>
    <w:p>
      <w:pPr>
        <w:numPr>
          <w:ilvl w:val="0"/>
          <w:numId w:val="13"/>
        </w:numPr>
        <w:spacing w:line="360" w:lineRule="auto"/>
        <w:ind w:left="0" w:leftChars="0" w:firstLine="570" w:firstLineChars="0"/>
        <w:rPr>
          <w:color w:val="auto"/>
          <w:sz w:val="24"/>
        </w:rPr>
      </w:pPr>
      <w:r>
        <w:rPr>
          <w:color w:val="auto"/>
          <w:sz w:val="24"/>
        </w:rPr>
        <w:t>中标方的投标文件及招标过程中的书面答疑记录</w:t>
      </w:r>
    </w:p>
    <w:p>
      <w:pPr>
        <w:spacing w:line="360" w:lineRule="auto"/>
        <w:jc w:val="center"/>
        <w:rPr>
          <w:b/>
          <w:color w:val="auto"/>
          <w:sz w:val="30"/>
          <w:szCs w:val="30"/>
        </w:rPr>
      </w:pPr>
    </w:p>
    <w:p>
      <w:pPr>
        <w:spacing w:line="360" w:lineRule="auto"/>
        <w:jc w:val="center"/>
        <w:rPr>
          <w:b/>
          <w:color w:val="auto"/>
          <w:sz w:val="30"/>
          <w:szCs w:val="30"/>
        </w:rPr>
      </w:pPr>
    </w:p>
    <w:p>
      <w:pPr>
        <w:spacing w:line="360" w:lineRule="auto"/>
        <w:jc w:val="center"/>
        <w:rPr>
          <w:b/>
          <w:color w:val="auto"/>
          <w:sz w:val="30"/>
          <w:szCs w:val="30"/>
        </w:rPr>
      </w:pPr>
    </w:p>
    <w:p>
      <w:pPr>
        <w:spacing w:line="360" w:lineRule="auto"/>
        <w:jc w:val="center"/>
        <w:rPr>
          <w:b/>
          <w:color w:val="auto"/>
          <w:sz w:val="30"/>
          <w:szCs w:val="30"/>
        </w:rPr>
      </w:pPr>
    </w:p>
    <w:p>
      <w:pPr>
        <w:spacing w:line="360" w:lineRule="auto"/>
        <w:jc w:val="center"/>
        <w:rPr>
          <w:b/>
          <w:color w:val="auto"/>
          <w:sz w:val="30"/>
          <w:szCs w:val="30"/>
        </w:rPr>
      </w:pPr>
    </w:p>
    <w:p>
      <w:pPr>
        <w:spacing w:line="360" w:lineRule="auto"/>
        <w:jc w:val="center"/>
        <w:rPr>
          <w:b/>
          <w:color w:val="auto"/>
          <w:sz w:val="30"/>
          <w:szCs w:val="30"/>
        </w:rPr>
      </w:pPr>
    </w:p>
    <w:p>
      <w:pPr>
        <w:spacing w:line="360" w:lineRule="auto"/>
        <w:jc w:val="center"/>
        <w:rPr>
          <w:b/>
          <w:color w:val="auto"/>
          <w:sz w:val="30"/>
          <w:szCs w:val="30"/>
        </w:rPr>
      </w:pPr>
      <w:r>
        <w:rPr>
          <w:b/>
          <w:color w:val="auto"/>
          <w:sz w:val="30"/>
          <w:szCs w:val="30"/>
        </w:rPr>
        <w:t>第二部分  合同特殊条款</w:t>
      </w:r>
    </w:p>
    <w:p>
      <w:pPr>
        <w:spacing w:line="360" w:lineRule="auto"/>
        <w:jc w:val="center"/>
        <w:rPr>
          <w:b/>
          <w:color w:val="auto"/>
          <w:sz w:val="30"/>
          <w:szCs w:val="30"/>
        </w:rPr>
      </w:pPr>
    </w:p>
    <w:p>
      <w:pPr>
        <w:spacing w:line="360" w:lineRule="auto"/>
        <w:ind w:firstLine="480" w:firstLineChars="200"/>
        <w:rPr>
          <w:color w:val="auto"/>
          <w:sz w:val="24"/>
        </w:rPr>
      </w:pPr>
      <w:r>
        <w:rPr>
          <w:color w:val="auto"/>
          <w:sz w:val="24"/>
        </w:rPr>
        <w:t>合同特殊条款是对合同一般条款的补充和修改，如果两者之间有不一致之处时，应以特殊条款为准。</w:t>
      </w:r>
    </w:p>
    <w:p>
      <w:pPr>
        <w:spacing w:line="360" w:lineRule="auto"/>
        <w:ind w:firstLine="482" w:firstLineChars="200"/>
        <w:rPr>
          <w:b/>
          <w:color w:val="auto"/>
          <w:sz w:val="24"/>
        </w:rPr>
      </w:pPr>
      <w:r>
        <w:rPr>
          <w:b/>
          <w:color w:val="auto"/>
          <w:sz w:val="24"/>
        </w:rPr>
        <w:t>1、培训</w:t>
      </w:r>
    </w:p>
    <w:p>
      <w:pPr>
        <w:spacing w:line="360" w:lineRule="auto"/>
        <w:ind w:firstLine="480" w:firstLineChars="200"/>
        <w:rPr>
          <w:color w:val="auto"/>
          <w:sz w:val="24"/>
        </w:rPr>
      </w:pPr>
      <w:r>
        <w:rPr>
          <w:color w:val="auto"/>
          <w:sz w:val="24"/>
        </w:rPr>
        <w:t>1</w:t>
      </w:r>
      <w:r>
        <w:rPr>
          <w:rFonts w:hint="eastAsia"/>
          <w:color w:val="auto"/>
          <w:sz w:val="24"/>
          <w:lang w:eastAsia="zh-CN"/>
        </w:rPr>
        <w:t>.</w:t>
      </w:r>
      <w:r>
        <w:rPr>
          <w:color w:val="auto"/>
          <w:sz w:val="24"/>
        </w:rPr>
        <w:t>1 卖方的安装调试人员有义务对买方的设备维修人员进行培训，使维修人员能对设备进行日常维护和一般性故障的查找及故障的排除；</w:t>
      </w:r>
    </w:p>
    <w:p>
      <w:pPr>
        <w:spacing w:line="360" w:lineRule="auto"/>
        <w:ind w:firstLine="482" w:firstLineChars="200"/>
        <w:rPr>
          <w:b/>
          <w:color w:val="auto"/>
          <w:sz w:val="24"/>
        </w:rPr>
      </w:pPr>
      <w:r>
        <w:rPr>
          <w:b/>
          <w:color w:val="auto"/>
          <w:sz w:val="24"/>
        </w:rPr>
        <w:t xml:space="preserve">2、检验   </w:t>
      </w:r>
    </w:p>
    <w:p>
      <w:pPr>
        <w:spacing w:line="360" w:lineRule="auto"/>
        <w:ind w:firstLine="480" w:firstLineChars="200"/>
        <w:rPr>
          <w:color w:val="auto"/>
          <w:sz w:val="24"/>
        </w:rPr>
      </w:pPr>
      <w:r>
        <w:rPr>
          <w:color w:val="auto"/>
          <w:sz w:val="24"/>
        </w:rPr>
        <w:t>2</w:t>
      </w:r>
      <w:r>
        <w:rPr>
          <w:rFonts w:hint="eastAsia"/>
          <w:color w:val="auto"/>
          <w:sz w:val="24"/>
          <w:lang w:eastAsia="zh-CN"/>
        </w:rPr>
        <w:t>.</w:t>
      </w:r>
      <w:r>
        <w:rPr>
          <w:color w:val="auto"/>
          <w:sz w:val="24"/>
        </w:rPr>
        <w:t>1 卖方提供的所有货物应符合国际及国内通行的标准，并应附有相应的测试报告和合同证书；</w:t>
      </w:r>
    </w:p>
    <w:p>
      <w:pPr>
        <w:spacing w:line="360" w:lineRule="auto"/>
        <w:ind w:firstLine="480" w:firstLineChars="200"/>
        <w:rPr>
          <w:color w:val="auto"/>
          <w:sz w:val="24"/>
        </w:rPr>
      </w:pPr>
      <w:r>
        <w:rPr>
          <w:color w:val="auto"/>
          <w:sz w:val="24"/>
        </w:rPr>
        <w:t>2</w:t>
      </w:r>
      <w:r>
        <w:rPr>
          <w:rFonts w:hint="eastAsia"/>
          <w:color w:val="auto"/>
          <w:sz w:val="24"/>
          <w:lang w:eastAsia="zh-CN"/>
        </w:rPr>
        <w:t>.</w:t>
      </w:r>
      <w:r>
        <w:rPr>
          <w:color w:val="auto"/>
          <w:sz w:val="24"/>
        </w:rPr>
        <w:t>2 对于卖方提供的所有货物，买方可按货物的一定比例委托自治区质量监督部门进行抽检，验收会格后，所产生的费用由买方承担，经检验不合格时，所产生的费用由卖方承担。</w:t>
      </w:r>
    </w:p>
    <w:p>
      <w:pPr>
        <w:spacing w:line="360" w:lineRule="auto"/>
        <w:ind w:firstLine="480" w:firstLineChars="200"/>
        <w:rPr>
          <w:color w:val="auto"/>
          <w:sz w:val="24"/>
        </w:rPr>
      </w:pPr>
      <w:r>
        <w:rPr>
          <w:color w:val="auto"/>
          <w:sz w:val="24"/>
        </w:rPr>
        <w:t>2</w:t>
      </w:r>
      <w:r>
        <w:rPr>
          <w:rFonts w:hint="eastAsia"/>
          <w:color w:val="auto"/>
          <w:sz w:val="24"/>
          <w:lang w:eastAsia="zh-CN"/>
        </w:rPr>
        <w:t>.</w:t>
      </w:r>
      <w:r>
        <w:rPr>
          <w:color w:val="auto"/>
          <w:sz w:val="24"/>
        </w:rPr>
        <w:t>3 具体的国际或国内检验标准按卖方在投标文件中承诺的并经买方确认的规定执行。</w:t>
      </w:r>
    </w:p>
    <w:p>
      <w:pPr>
        <w:spacing w:line="360" w:lineRule="auto"/>
        <w:ind w:firstLine="480" w:firstLineChars="200"/>
        <w:rPr>
          <w:bCs/>
          <w:color w:val="auto"/>
          <w:sz w:val="24"/>
        </w:rPr>
      </w:pPr>
      <w:r>
        <w:rPr>
          <w:bCs/>
          <w:color w:val="auto"/>
          <w:sz w:val="24"/>
        </w:rPr>
        <w:t>最终的测试验收报告由买卖双方代表签字认可后生效。</w:t>
      </w:r>
    </w:p>
    <w:p>
      <w:pPr>
        <w:spacing w:line="360" w:lineRule="auto"/>
        <w:ind w:firstLine="482" w:firstLineChars="200"/>
        <w:rPr>
          <w:b/>
          <w:color w:val="auto"/>
          <w:sz w:val="24"/>
        </w:rPr>
      </w:pPr>
      <w:r>
        <w:rPr>
          <w:b/>
          <w:color w:val="auto"/>
          <w:sz w:val="24"/>
        </w:rPr>
        <w:t>3、质量保证</w:t>
      </w:r>
    </w:p>
    <w:p>
      <w:pPr>
        <w:spacing w:line="360" w:lineRule="auto"/>
        <w:ind w:firstLine="480" w:firstLineChars="200"/>
        <w:rPr>
          <w:color w:val="auto"/>
          <w:sz w:val="24"/>
        </w:rPr>
      </w:pPr>
      <w:r>
        <w:rPr>
          <w:color w:val="auto"/>
          <w:sz w:val="24"/>
        </w:rPr>
        <w:t>3</w:t>
      </w:r>
      <w:r>
        <w:rPr>
          <w:rFonts w:hint="eastAsia"/>
          <w:color w:val="auto"/>
          <w:sz w:val="24"/>
          <w:lang w:eastAsia="zh-CN"/>
        </w:rPr>
        <w:t>.</w:t>
      </w:r>
      <w:r>
        <w:rPr>
          <w:color w:val="auto"/>
          <w:sz w:val="24"/>
        </w:rPr>
        <w:t>1 因卖方原因造成买方不能按时使用</w:t>
      </w:r>
      <w:r>
        <w:rPr>
          <w:rFonts w:hint="eastAsia"/>
          <w:color w:val="auto"/>
          <w:sz w:val="24"/>
          <w:lang w:eastAsia="zh-CN"/>
        </w:rPr>
        <w:t>（</w:t>
      </w:r>
      <w:r>
        <w:rPr>
          <w:color w:val="auto"/>
          <w:sz w:val="24"/>
        </w:rPr>
        <w:t>根据合同有关条款</w:t>
      </w:r>
      <w:r>
        <w:rPr>
          <w:rFonts w:hint="eastAsia"/>
          <w:color w:val="auto"/>
          <w:sz w:val="24"/>
          <w:lang w:eastAsia="zh-CN"/>
        </w:rPr>
        <w:t>）</w:t>
      </w:r>
      <w:r>
        <w:rPr>
          <w:color w:val="auto"/>
          <w:sz w:val="24"/>
        </w:rPr>
        <w:t>所购买货物</w:t>
      </w:r>
      <w:r>
        <w:rPr>
          <w:rFonts w:hint="eastAsia"/>
          <w:color w:val="auto"/>
          <w:sz w:val="24"/>
          <w:lang w:eastAsia="zh-CN"/>
        </w:rPr>
        <w:t>（</w:t>
      </w:r>
      <w:r>
        <w:rPr>
          <w:color w:val="auto"/>
          <w:sz w:val="24"/>
        </w:rPr>
        <w:t>设备</w:t>
      </w:r>
      <w:r>
        <w:rPr>
          <w:rFonts w:hint="eastAsia"/>
          <w:color w:val="auto"/>
          <w:sz w:val="24"/>
          <w:lang w:eastAsia="zh-CN"/>
        </w:rPr>
        <w:t>）</w:t>
      </w:r>
      <w:r>
        <w:rPr>
          <w:color w:val="auto"/>
          <w:sz w:val="24"/>
        </w:rPr>
        <w:t>时，卖方应根据合同规定向买方做出赔偿；</w:t>
      </w:r>
    </w:p>
    <w:p>
      <w:pPr>
        <w:spacing w:line="360" w:lineRule="auto"/>
        <w:ind w:firstLine="480" w:firstLineChars="200"/>
        <w:rPr>
          <w:color w:val="auto"/>
          <w:sz w:val="24"/>
        </w:rPr>
      </w:pPr>
      <w:r>
        <w:rPr>
          <w:bCs/>
          <w:color w:val="auto"/>
          <w:sz w:val="24"/>
        </w:rPr>
        <w:t>3. 4 最终的测试验收报告由买卖双方代表签字认可后生效。</w:t>
      </w:r>
    </w:p>
    <w:p>
      <w:pPr>
        <w:spacing w:line="360" w:lineRule="auto"/>
        <w:ind w:firstLine="482" w:firstLineChars="200"/>
        <w:rPr>
          <w:b/>
          <w:color w:val="auto"/>
          <w:sz w:val="24"/>
        </w:rPr>
      </w:pPr>
      <w:r>
        <w:rPr>
          <w:b/>
          <w:color w:val="auto"/>
          <w:sz w:val="24"/>
        </w:rPr>
        <w:t>5、售后服务</w:t>
      </w:r>
    </w:p>
    <w:p>
      <w:pPr>
        <w:spacing w:line="360" w:lineRule="auto"/>
        <w:ind w:firstLine="480" w:firstLineChars="200"/>
        <w:rPr>
          <w:color w:val="auto"/>
          <w:sz w:val="24"/>
        </w:rPr>
      </w:pPr>
      <w:r>
        <w:rPr>
          <w:color w:val="auto"/>
          <w:sz w:val="24"/>
        </w:rPr>
        <w:t>5</w:t>
      </w:r>
      <w:r>
        <w:rPr>
          <w:rFonts w:hint="eastAsia"/>
          <w:color w:val="auto"/>
          <w:sz w:val="24"/>
          <w:lang w:eastAsia="zh-CN"/>
        </w:rPr>
        <w:t>.</w:t>
      </w:r>
      <w:r>
        <w:rPr>
          <w:color w:val="auto"/>
          <w:sz w:val="24"/>
        </w:rPr>
        <w:t>1 提供给买方详细的货物清单及相应的技术参数；</w:t>
      </w:r>
    </w:p>
    <w:p>
      <w:pPr>
        <w:spacing w:line="360" w:lineRule="auto"/>
        <w:ind w:firstLine="480" w:firstLineChars="200"/>
        <w:rPr>
          <w:color w:val="auto"/>
          <w:sz w:val="24"/>
        </w:rPr>
      </w:pPr>
      <w:r>
        <w:rPr>
          <w:color w:val="auto"/>
          <w:sz w:val="24"/>
        </w:rPr>
        <w:t>5</w:t>
      </w:r>
      <w:r>
        <w:rPr>
          <w:rFonts w:hint="eastAsia"/>
          <w:color w:val="auto"/>
          <w:sz w:val="24"/>
          <w:lang w:eastAsia="zh-CN"/>
        </w:rPr>
        <w:t>.</w:t>
      </w:r>
      <w:r>
        <w:rPr>
          <w:color w:val="auto"/>
          <w:sz w:val="24"/>
        </w:rPr>
        <w:t>2 在买方发出要求服务通知的24小时内，卖方指派的服务人员必须到达买方现场，对货物出现的较大问题，解决时间不应超过5个日历日；</w:t>
      </w:r>
    </w:p>
    <w:p>
      <w:pPr>
        <w:spacing w:line="360" w:lineRule="auto"/>
        <w:ind w:firstLine="480" w:firstLineChars="200"/>
        <w:rPr>
          <w:color w:val="auto"/>
          <w:sz w:val="24"/>
        </w:rPr>
      </w:pPr>
      <w:r>
        <w:rPr>
          <w:color w:val="auto"/>
          <w:sz w:val="24"/>
        </w:rPr>
        <w:t>5</w:t>
      </w:r>
      <w:r>
        <w:rPr>
          <w:rFonts w:hint="eastAsia"/>
          <w:color w:val="auto"/>
          <w:sz w:val="24"/>
          <w:lang w:eastAsia="zh-CN"/>
        </w:rPr>
        <w:t>.</w:t>
      </w:r>
      <w:r>
        <w:rPr>
          <w:color w:val="auto"/>
          <w:sz w:val="24"/>
        </w:rPr>
        <w:t>3 在保质期内，如货物出现质量问题，必须在甲方提出合理的时间解决；</w:t>
      </w:r>
    </w:p>
    <w:p>
      <w:pPr>
        <w:spacing w:line="360" w:lineRule="auto"/>
        <w:ind w:firstLine="480" w:firstLineChars="200"/>
        <w:rPr>
          <w:color w:val="auto"/>
          <w:sz w:val="24"/>
        </w:rPr>
      </w:pPr>
      <w:r>
        <w:rPr>
          <w:color w:val="auto"/>
          <w:sz w:val="24"/>
        </w:rPr>
        <w:t>5</w:t>
      </w:r>
      <w:r>
        <w:rPr>
          <w:rFonts w:hint="eastAsia"/>
          <w:color w:val="auto"/>
          <w:sz w:val="24"/>
          <w:lang w:eastAsia="zh-CN"/>
        </w:rPr>
        <w:t>.</w:t>
      </w:r>
      <w:r>
        <w:rPr>
          <w:color w:val="auto"/>
          <w:sz w:val="24"/>
        </w:rPr>
        <w:t>4 提供相应的售后服务承诺</w:t>
      </w:r>
      <w:r>
        <w:rPr>
          <w:rFonts w:hint="eastAsia"/>
          <w:color w:val="auto"/>
          <w:sz w:val="24"/>
          <w:lang w:eastAsia="zh-CN"/>
        </w:rPr>
        <w:t>（</w:t>
      </w:r>
      <w:r>
        <w:rPr>
          <w:color w:val="auto"/>
          <w:sz w:val="24"/>
        </w:rPr>
        <w:t>需要设备生产企业协助的部分，须由该生产企业做出相应的服务承诺</w:t>
      </w:r>
      <w:r>
        <w:rPr>
          <w:rFonts w:hint="eastAsia"/>
          <w:color w:val="auto"/>
          <w:sz w:val="24"/>
          <w:lang w:eastAsia="zh-CN"/>
        </w:rPr>
        <w:t>）</w:t>
      </w:r>
      <w:r>
        <w:rPr>
          <w:color w:val="auto"/>
          <w:sz w:val="24"/>
        </w:rPr>
        <w:t>，并附在投标文件中。</w:t>
      </w:r>
    </w:p>
    <w:p>
      <w:pPr>
        <w:spacing w:line="360" w:lineRule="auto"/>
        <w:ind w:firstLine="480" w:firstLineChars="200"/>
        <w:rPr>
          <w:color w:val="auto"/>
          <w:sz w:val="24"/>
        </w:rPr>
      </w:pPr>
    </w:p>
    <w:bookmarkEnd w:id="62"/>
    <w:p>
      <w:pPr>
        <w:pageBreakBefore/>
        <w:spacing w:line="360" w:lineRule="auto"/>
        <w:jc w:val="center"/>
        <w:outlineLvl w:val="0"/>
        <w:rPr>
          <w:b/>
          <w:color w:val="auto"/>
          <w:sz w:val="30"/>
          <w:szCs w:val="30"/>
        </w:rPr>
      </w:pPr>
      <w:bookmarkStart w:id="63" w:name="_Toc16971"/>
      <w:r>
        <w:rPr>
          <w:b/>
          <w:color w:val="auto"/>
          <w:sz w:val="30"/>
          <w:szCs w:val="30"/>
        </w:rPr>
        <w:t>第六章  投标文件格式</w:t>
      </w:r>
      <w:bookmarkEnd w:id="63"/>
    </w:p>
    <w:p>
      <w:pPr>
        <w:pStyle w:val="22"/>
        <w:rPr>
          <w:color w:val="auto"/>
        </w:rPr>
      </w:pPr>
    </w:p>
    <w:p>
      <w:pPr>
        <w:pStyle w:val="22"/>
        <w:rPr>
          <w:color w:val="auto"/>
        </w:rPr>
      </w:pPr>
    </w:p>
    <w:p>
      <w:pPr>
        <w:spacing w:line="360" w:lineRule="auto"/>
        <w:jc w:val="right"/>
        <w:rPr>
          <w:color w:val="auto"/>
          <w:sz w:val="28"/>
          <w:szCs w:val="28"/>
          <w:bdr w:val="single" w:color="000000" w:sz="4" w:space="0"/>
        </w:rPr>
      </w:pPr>
      <w:r>
        <w:rPr>
          <w:color w:val="auto"/>
          <w:sz w:val="28"/>
          <w:szCs w:val="28"/>
          <w:bdr w:val="single" w:color="000000" w:sz="4" w:space="0"/>
        </w:rPr>
        <w:t>正本或副本</w:t>
      </w:r>
    </w:p>
    <w:p>
      <w:pPr>
        <w:spacing w:line="360" w:lineRule="auto"/>
        <w:jc w:val="center"/>
        <w:rPr>
          <w:rFonts w:eastAsia="黑体"/>
          <w:color w:val="auto"/>
          <w:sz w:val="20"/>
        </w:rPr>
      </w:pPr>
    </w:p>
    <w:p>
      <w:pPr>
        <w:spacing w:line="360" w:lineRule="auto"/>
        <w:rPr>
          <w:rFonts w:eastAsia="黑体"/>
          <w:color w:val="auto"/>
          <w:sz w:val="20"/>
        </w:rPr>
      </w:pPr>
    </w:p>
    <w:p>
      <w:pPr>
        <w:spacing w:line="360" w:lineRule="auto"/>
        <w:jc w:val="center"/>
        <w:rPr>
          <w:rFonts w:eastAsia="黑体"/>
          <w:color w:val="auto"/>
          <w:sz w:val="44"/>
          <w:szCs w:val="44"/>
        </w:rPr>
      </w:pPr>
    </w:p>
    <w:p>
      <w:pPr>
        <w:spacing w:line="360" w:lineRule="auto"/>
        <w:jc w:val="center"/>
        <w:outlineLvl w:val="1"/>
        <w:rPr>
          <w:color w:val="auto"/>
          <w:sz w:val="32"/>
          <w:szCs w:val="32"/>
        </w:rPr>
      </w:pPr>
      <w:r>
        <w:rPr>
          <w:color w:val="auto"/>
          <w:sz w:val="32"/>
          <w:szCs w:val="32"/>
          <w:u w:val="single"/>
        </w:rPr>
        <w:t xml:space="preserve">        </w:t>
      </w:r>
      <w:bookmarkStart w:id="64" w:name="_Toc9136"/>
      <w:r>
        <w:rPr>
          <w:color w:val="auto"/>
          <w:sz w:val="32"/>
          <w:szCs w:val="32"/>
        </w:rPr>
        <w:t>项目名称</w:t>
      </w:r>
      <w:bookmarkStart w:id="65" w:name="_Toc350698753"/>
      <w:bookmarkStart w:id="66" w:name="_Toc451410640"/>
      <w:r>
        <w:rPr>
          <w:color w:val="auto"/>
          <w:sz w:val="32"/>
          <w:szCs w:val="32"/>
        </w:rPr>
        <w:t>（</w:t>
      </w:r>
      <w:r>
        <w:rPr>
          <w:color w:val="auto"/>
          <w:sz w:val="32"/>
          <w:szCs w:val="32"/>
          <w:u w:val="single"/>
        </w:rPr>
        <w:t xml:space="preserve">   </w:t>
      </w:r>
      <w:r>
        <w:rPr>
          <w:color w:val="auto"/>
          <w:sz w:val="32"/>
          <w:szCs w:val="32"/>
        </w:rPr>
        <w:t>标段）</w:t>
      </w:r>
      <w:bookmarkEnd w:id="64"/>
    </w:p>
    <w:p>
      <w:pPr>
        <w:spacing w:line="360" w:lineRule="auto"/>
        <w:jc w:val="center"/>
        <w:outlineLvl w:val="1"/>
        <w:rPr>
          <w:color w:val="auto"/>
          <w:sz w:val="32"/>
          <w:szCs w:val="32"/>
        </w:rPr>
      </w:pPr>
    </w:p>
    <w:p>
      <w:pPr>
        <w:spacing w:line="360" w:lineRule="auto"/>
        <w:jc w:val="center"/>
        <w:outlineLvl w:val="1"/>
        <w:rPr>
          <w:color w:val="auto"/>
          <w:sz w:val="32"/>
          <w:szCs w:val="32"/>
        </w:rPr>
      </w:pPr>
    </w:p>
    <w:p>
      <w:pPr>
        <w:spacing w:line="360" w:lineRule="auto"/>
        <w:jc w:val="center"/>
        <w:outlineLvl w:val="1"/>
        <w:rPr>
          <w:b/>
          <w:color w:val="auto"/>
          <w:sz w:val="52"/>
          <w:szCs w:val="52"/>
        </w:rPr>
      </w:pPr>
      <w:bookmarkStart w:id="67" w:name="_Toc21347"/>
      <w:r>
        <w:rPr>
          <w:b/>
          <w:color w:val="auto"/>
          <w:sz w:val="52"/>
          <w:szCs w:val="52"/>
        </w:rPr>
        <w:t>投标文件</w:t>
      </w:r>
      <w:bookmarkEnd w:id="65"/>
      <w:bookmarkEnd w:id="66"/>
      <w:bookmarkEnd w:id="67"/>
    </w:p>
    <w:p>
      <w:pPr>
        <w:spacing w:line="360" w:lineRule="auto"/>
        <w:jc w:val="center"/>
        <w:rPr>
          <w:color w:val="auto"/>
          <w:sz w:val="28"/>
          <w:szCs w:val="28"/>
        </w:rPr>
      </w:pPr>
    </w:p>
    <w:p>
      <w:pPr>
        <w:spacing w:line="360" w:lineRule="auto"/>
        <w:jc w:val="center"/>
        <w:rPr>
          <w:color w:val="auto"/>
          <w:sz w:val="28"/>
          <w:szCs w:val="28"/>
          <w:u w:val="single"/>
        </w:rPr>
      </w:pPr>
      <w:r>
        <w:rPr>
          <w:color w:val="auto"/>
          <w:sz w:val="28"/>
          <w:szCs w:val="28"/>
        </w:rPr>
        <w:t>项目编号：</w:t>
      </w:r>
      <w:r>
        <w:rPr>
          <w:color w:val="auto"/>
          <w:sz w:val="28"/>
          <w:szCs w:val="28"/>
          <w:u w:val="single"/>
        </w:rPr>
        <w:t xml:space="preserve">   </w:t>
      </w: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jc w:val="center"/>
        <w:rPr>
          <w:color w:val="auto"/>
          <w:sz w:val="28"/>
          <w:szCs w:val="28"/>
          <w:u w:val="single"/>
        </w:rPr>
      </w:pPr>
      <w:r>
        <w:rPr>
          <w:color w:val="auto"/>
          <w:sz w:val="28"/>
          <w:szCs w:val="28"/>
        </w:rPr>
        <w:t>投标人：</w:t>
      </w:r>
      <w:r>
        <w:rPr>
          <w:color w:val="auto"/>
          <w:sz w:val="28"/>
          <w:szCs w:val="28"/>
          <w:u w:val="single"/>
        </w:rPr>
        <w:t xml:space="preserve">                              </w:t>
      </w:r>
      <w:r>
        <w:rPr>
          <w:color w:val="auto"/>
          <w:sz w:val="28"/>
          <w:szCs w:val="28"/>
        </w:rPr>
        <w:t>（盖单位章）</w:t>
      </w:r>
    </w:p>
    <w:p>
      <w:pPr>
        <w:spacing w:line="360" w:lineRule="auto"/>
        <w:jc w:val="center"/>
        <w:rPr>
          <w:color w:val="auto"/>
          <w:sz w:val="28"/>
          <w:szCs w:val="28"/>
        </w:rPr>
      </w:pPr>
      <w:r>
        <w:rPr>
          <w:color w:val="auto"/>
          <w:sz w:val="28"/>
          <w:szCs w:val="28"/>
        </w:rPr>
        <w:t>法定代表人或其委托代理人：</w:t>
      </w:r>
      <w:r>
        <w:rPr>
          <w:color w:val="auto"/>
          <w:sz w:val="28"/>
          <w:szCs w:val="28"/>
          <w:u w:val="single"/>
        </w:rPr>
        <w:t xml:space="preserve">                </w:t>
      </w:r>
      <w:r>
        <w:rPr>
          <w:color w:val="auto"/>
          <w:sz w:val="28"/>
          <w:szCs w:val="28"/>
        </w:rPr>
        <w:t>（签字）</w:t>
      </w:r>
    </w:p>
    <w:p>
      <w:pPr>
        <w:spacing w:line="360" w:lineRule="auto"/>
        <w:jc w:val="center"/>
        <w:rPr>
          <w:color w:val="auto"/>
          <w:sz w:val="28"/>
          <w:szCs w:val="28"/>
        </w:rPr>
      </w:pPr>
      <w:r>
        <w:rPr>
          <w:color w:val="auto"/>
          <w:sz w:val="28"/>
          <w:szCs w:val="28"/>
          <w:u w:val="single"/>
        </w:rPr>
        <w:t xml:space="preserve">        </w:t>
      </w:r>
      <w:r>
        <w:rPr>
          <w:color w:val="auto"/>
          <w:sz w:val="28"/>
          <w:szCs w:val="28"/>
        </w:rPr>
        <w:t>年</w:t>
      </w:r>
      <w:r>
        <w:rPr>
          <w:color w:val="auto"/>
          <w:sz w:val="28"/>
          <w:szCs w:val="28"/>
          <w:u w:val="single"/>
        </w:rPr>
        <w:t xml:space="preserve">        </w:t>
      </w:r>
      <w:r>
        <w:rPr>
          <w:color w:val="auto"/>
          <w:sz w:val="28"/>
          <w:szCs w:val="28"/>
        </w:rPr>
        <w:t>月</w:t>
      </w:r>
      <w:r>
        <w:rPr>
          <w:color w:val="auto"/>
          <w:sz w:val="28"/>
          <w:szCs w:val="28"/>
          <w:u w:val="single"/>
        </w:rPr>
        <w:t xml:space="preserve">        </w:t>
      </w:r>
      <w:r>
        <w:rPr>
          <w:color w:val="auto"/>
          <w:sz w:val="28"/>
          <w:szCs w:val="28"/>
        </w:rPr>
        <w:t>日</w:t>
      </w:r>
    </w:p>
    <w:p>
      <w:pPr>
        <w:spacing w:line="360" w:lineRule="auto"/>
        <w:jc w:val="center"/>
        <w:rPr>
          <w:b/>
          <w:color w:val="auto"/>
          <w:sz w:val="36"/>
          <w:szCs w:val="36"/>
        </w:rPr>
      </w:pPr>
    </w:p>
    <w:p>
      <w:pPr>
        <w:spacing w:line="360" w:lineRule="auto"/>
        <w:rPr>
          <w:b/>
          <w:color w:val="auto"/>
          <w:sz w:val="28"/>
          <w:szCs w:val="28"/>
        </w:rPr>
        <w:sectPr>
          <w:headerReference r:id="rId7" w:type="default"/>
          <w:footerReference r:id="rId8" w:type="default"/>
          <w:pgSz w:w="11906" w:h="16838"/>
          <w:pgMar w:top="1440" w:right="1134" w:bottom="1440" w:left="1134" w:header="851" w:footer="992" w:gutter="0"/>
          <w:pgBorders>
            <w:top w:val="none" w:sz="0" w:space="0"/>
            <w:left w:val="none" w:sz="0" w:space="0"/>
            <w:bottom w:val="none" w:sz="0" w:space="0"/>
            <w:right w:val="none" w:sz="0" w:space="0"/>
          </w:pgBorders>
          <w:pgNumType w:fmt="decimal" w:start="1"/>
          <w:cols w:space="0" w:num="1"/>
          <w:docGrid w:linePitch="312" w:charSpace="0"/>
        </w:sectPr>
      </w:pPr>
    </w:p>
    <w:p>
      <w:pPr>
        <w:spacing w:line="360" w:lineRule="auto"/>
        <w:rPr>
          <w:b/>
          <w:color w:val="auto"/>
          <w:sz w:val="28"/>
          <w:szCs w:val="28"/>
        </w:rPr>
      </w:pPr>
    </w:p>
    <w:p>
      <w:pPr>
        <w:spacing w:line="360" w:lineRule="auto"/>
        <w:rPr>
          <w:b/>
          <w:color w:val="auto"/>
          <w:sz w:val="28"/>
          <w:szCs w:val="28"/>
        </w:rPr>
      </w:pPr>
    </w:p>
    <w:p>
      <w:pPr>
        <w:spacing w:line="360" w:lineRule="auto"/>
        <w:rPr>
          <w:b/>
          <w:color w:val="auto"/>
          <w:sz w:val="28"/>
          <w:szCs w:val="28"/>
        </w:rPr>
      </w:pPr>
    </w:p>
    <w:p>
      <w:pPr>
        <w:spacing w:line="360" w:lineRule="auto"/>
        <w:rPr>
          <w:b/>
          <w:color w:val="auto"/>
          <w:sz w:val="28"/>
          <w:szCs w:val="28"/>
        </w:rPr>
      </w:pPr>
    </w:p>
    <w:p>
      <w:pPr>
        <w:spacing w:line="360" w:lineRule="auto"/>
        <w:rPr>
          <w:b/>
          <w:color w:val="auto"/>
          <w:sz w:val="28"/>
          <w:szCs w:val="28"/>
        </w:rPr>
      </w:pPr>
    </w:p>
    <w:p>
      <w:pPr>
        <w:spacing w:line="360" w:lineRule="auto"/>
        <w:rPr>
          <w:b/>
          <w:color w:val="auto"/>
          <w:sz w:val="28"/>
          <w:szCs w:val="28"/>
        </w:rPr>
      </w:pPr>
    </w:p>
    <w:p>
      <w:pPr>
        <w:spacing w:line="360" w:lineRule="auto"/>
        <w:rPr>
          <w:b/>
          <w:color w:val="auto"/>
          <w:sz w:val="28"/>
          <w:szCs w:val="28"/>
        </w:rPr>
      </w:pPr>
    </w:p>
    <w:p>
      <w:pPr>
        <w:spacing w:line="360" w:lineRule="auto"/>
        <w:rPr>
          <w:b/>
          <w:color w:val="auto"/>
          <w:sz w:val="28"/>
          <w:szCs w:val="28"/>
        </w:rPr>
      </w:pP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rFonts w:hint="eastAsia" w:eastAsia="宋体"/>
          <w:b/>
          <w:color w:val="auto"/>
          <w:sz w:val="44"/>
          <w:szCs w:val="44"/>
          <w:lang w:eastAsia="zh-CN"/>
        </w:rPr>
      </w:pPr>
      <w:r>
        <w:rPr>
          <w:b/>
          <w:color w:val="auto"/>
          <w:sz w:val="44"/>
          <w:szCs w:val="44"/>
        </w:rPr>
        <w:t>第一部分：</w:t>
      </w:r>
      <w:r>
        <w:rPr>
          <w:rFonts w:hint="eastAsia"/>
          <w:b/>
          <w:color w:val="auto"/>
          <w:sz w:val="44"/>
          <w:szCs w:val="44"/>
          <w:lang w:val="en-US" w:eastAsia="zh-CN"/>
        </w:rPr>
        <w:t>商务标</w:t>
      </w:r>
    </w:p>
    <w:p>
      <w:pPr>
        <w:spacing w:line="360" w:lineRule="auto"/>
        <w:rPr>
          <w:b/>
          <w:color w:val="auto"/>
          <w:sz w:val="28"/>
          <w:szCs w:val="28"/>
        </w:rPr>
      </w:pPr>
    </w:p>
    <w:p>
      <w:pPr>
        <w:spacing w:line="360" w:lineRule="auto"/>
        <w:rPr>
          <w:b/>
          <w:color w:val="auto"/>
          <w:sz w:val="28"/>
          <w:szCs w:val="28"/>
        </w:rPr>
      </w:pPr>
    </w:p>
    <w:p>
      <w:pPr>
        <w:spacing w:line="360" w:lineRule="auto"/>
        <w:ind w:firstLine="420" w:firstLineChars="200"/>
        <w:rPr>
          <w:color w:val="auto"/>
          <w:szCs w:val="21"/>
        </w:rPr>
      </w:pPr>
    </w:p>
    <w:p>
      <w:pPr>
        <w:spacing w:line="360" w:lineRule="auto"/>
        <w:rPr>
          <w:b/>
          <w:color w:val="auto"/>
          <w:sz w:val="28"/>
          <w:szCs w:val="28"/>
        </w:rPr>
      </w:pPr>
    </w:p>
    <w:p>
      <w:pPr>
        <w:spacing w:line="360" w:lineRule="auto"/>
        <w:rPr>
          <w:b/>
          <w:color w:val="auto"/>
          <w:sz w:val="28"/>
          <w:szCs w:val="28"/>
        </w:rPr>
      </w:pPr>
    </w:p>
    <w:p>
      <w:pPr>
        <w:spacing w:line="360" w:lineRule="auto"/>
        <w:rPr>
          <w:b/>
          <w:color w:val="auto"/>
          <w:sz w:val="28"/>
          <w:szCs w:val="28"/>
        </w:rPr>
      </w:pPr>
    </w:p>
    <w:p>
      <w:pPr>
        <w:spacing w:line="360" w:lineRule="auto"/>
        <w:rPr>
          <w:b/>
          <w:color w:val="auto"/>
          <w:sz w:val="28"/>
          <w:szCs w:val="28"/>
        </w:rPr>
      </w:pPr>
    </w:p>
    <w:p>
      <w:pPr>
        <w:spacing w:line="360" w:lineRule="auto"/>
        <w:rPr>
          <w:b/>
          <w:color w:val="auto"/>
          <w:sz w:val="28"/>
          <w:szCs w:val="28"/>
        </w:rPr>
      </w:pPr>
    </w:p>
    <w:p>
      <w:pPr>
        <w:spacing w:line="360" w:lineRule="auto"/>
        <w:rPr>
          <w:b/>
          <w:color w:val="auto"/>
          <w:sz w:val="28"/>
          <w:szCs w:val="28"/>
        </w:rPr>
      </w:pPr>
    </w:p>
    <w:p>
      <w:pPr>
        <w:spacing w:line="360" w:lineRule="auto"/>
        <w:rPr>
          <w:b/>
          <w:color w:val="auto"/>
          <w:sz w:val="28"/>
          <w:szCs w:val="28"/>
        </w:rPr>
      </w:pPr>
    </w:p>
    <w:p>
      <w:pPr>
        <w:spacing w:line="360" w:lineRule="auto"/>
        <w:rPr>
          <w:b/>
          <w:color w:val="auto"/>
          <w:sz w:val="28"/>
          <w:szCs w:val="28"/>
        </w:rPr>
      </w:pPr>
    </w:p>
    <w:p>
      <w:pPr>
        <w:spacing w:line="360" w:lineRule="auto"/>
        <w:rPr>
          <w:b/>
          <w:color w:val="auto"/>
          <w:sz w:val="28"/>
          <w:szCs w:val="28"/>
        </w:rPr>
      </w:pPr>
    </w:p>
    <w:p>
      <w:pPr>
        <w:spacing w:line="360" w:lineRule="auto"/>
        <w:rPr>
          <w:b/>
          <w:color w:val="auto"/>
          <w:sz w:val="28"/>
          <w:szCs w:val="28"/>
        </w:rPr>
      </w:pPr>
    </w:p>
    <w:p>
      <w:pPr>
        <w:spacing w:line="360" w:lineRule="auto"/>
        <w:rPr>
          <w:b/>
          <w:color w:val="auto"/>
          <w:sz w:val="28"/>
          <w:szCs w:val="28"/>
        </w:rPr>
      </w:pPr>
    </w:p>
    <w:p>
      <w:pPr>
        <w:spacing w:line="360" w:lineRule="auto"/>
        <w:rPr>
          <w:b/>
          <w:color w:val="auto"/>
          <w:sz w:val="28"/>
          <w:szCs w:val="28"/>
        </w:rPr>
      </w:pPr>
    </w:p>
    <w:p>
      <w:pPr>
        <w:spacing w:line="360" w:lineRule="auto"/>
        <w:rPr>
          <w:b/>
          <w:color w:val="auto"/>
          <w:sz w:val="28"/>
          <w:szCs w:val="28"/>
        </w:rPr>
      </w:pPr>
    </w:p>
    <w:p>
      <w:pPr>
        <w:spacing w:line="360" w:lineRule="auto"/>
        <w:ind w:left="720"/>
        <w:jc w:val="center"/>
        <w:rPr>
          <w:b/>
          <w:color w:val="auto"/>
          <w:sz w:val="28"/>
          <w:szCs w:val="28"/>
        </w:rPr>
      </w:pPr>
    </w:p>
    <w:p>
      <w:pPr>
        <w:spacing w:line="360" w:lineRule="auto"/>
        <w:jc w:val="center"/>
        <w:rPr>
          <w:b/>
          <w:color w:val="auto"/>
          <w:sz w:val="28"/>
          <w:szCs w:val="28"/>
        </w:rPr>
      </w:pPr>
      <w:r>
        <w:rPr>
          <w:b/>
          <w:color w:val="auto"/>
          <w:sz w:val="28"/>
          <w:szCs w:val="28"/>
        </w:rPr>
        <w:t>法定代表人身份证明或授权委托书</w:t>
      </w:r>
    </w:p>
    <w:p>
      <w:pPr>
        <w:spacing w:beforeLines="100" w:afterLines="100" w:line="360" w:lineRule="auto"/>
        <w:jc w:val="center"/>
        <w:rPr>
          <w:b/>
          <w:bCs/>
          <w:color w:val="auto"/>
          <w:sz w:val="28"/>
          <w:szCs w:val="28"/>
        </w:rPr>
      </w:pPr>
      <w:r>
        <w:rPr>
          <w:b/>
          <w:bCs/>
          <w:color w:val="auto"/>
          <w:sz w:val="28"/>
          <w:szCs w:val="28"/>
        </w:rPr>
        <w:t>1、法定代表人身份证明</w:t>
      </w:r>
    </w:p>
    <w:p>
      <w:pPr>
        <w:spacing w:line="360" w:lineRule="auto"/>
        <w:ind w:firstLine="480" w:firstLineChars="200"/>
        <w:rPr>
          <w:color w:val="auto"/>
          <w:sz w:val="24"/>
        </w:rPr>
      </w:pPr>
      <w:r>
        <w:rPr>
          <w:color w:val="auto"/>
          <w:sz w:val="24"/>
        </w:rPr>
        <w:t>投标人名称：</w:t>
      </w:r>
      <w:r>
        <w:rPr>
          <w:color w:val="auto"/>
          <w:sz w:val="24"/>
          <w:u w:val="single"/>
        </w:rPr>
        <w:t xml:space="preserve">                                </w:t>
      </w:r>
      <w:r>
        <w:rPr>
          <w:color w:val="auto"/>
          <w:sz w:val="24"/>
        </w:rPr>
        <w:t xml:space="preserve"> </w:t>
      </w:r>
    </w:p>
    <w:p>
      <w:pPr>
        <w:spacing w:line="360" w:lineRule="auto"/>
        <w:ind w:firstLine="480" w:firstLineChars="200"/>
        <w:rPr>
          <w:color w:val="auto"/>
          <w:sz w:val="24"/>
        </w:rPr>
      </w:pPr>
      <w:r>
        <w:rPr>
          <w:color w:val="auto"/>
          <w:sz w:val="24"/>
        </w:rPr>
        <w:t xml:space="preserve">单位性质： </w:t>
      </w:r>
      <w:r>
        <w:rPr>
          <w:color w:val="auto"/>
          <w:sz w:val="24"/>
          <w:u w:val="single"/>
        </w:rPr>
        <w:t xml:space="preserve">                                  </w:t>
      </w:r>
      <w:r>
        <w:rPr>
          <w:color w:val="auto"/>
          <w:sz w:val="24"/>
        </w:rPr>
        <w:t xml:space="preserve"> </w:t>
      </w:r>
    </w:p>
    <w:p>
      <w:pPr>
        <w:spacing w:line="360" w:lineRule="auto"/>
        <w:ind w:firstLine="480" w:firstLineChars="200"/>
        <w:rPr>
          <w:color w:val="auto"/>
          <w:sz w:val="24"/>
        </w:rPr>
      </w:pPr>
      <w:r>
        <w:rPr>
          <w:color w:val="auto"/>
          <w:sz w:val="24"/>
        </w:rPr>
        <w:t>地    址：</w:t>
      </w:r>
      <w:r>
        <w:rPr>
          <w:color w:val="auto"/>
          <w:sz w:val="24"/>
          <w:u w:val="single"/>
        </w:rPr>
        <w:t xml:space="preserve">                                   </w:t>
      </w:r>
      <w:r>
        <w:rPr>
          <w:color w:val="auto"/>
          <w:sz w:val="24"/>
        </w:rPr>
        <w:t xml:space="preserve"> </w:t>
      </w:r>
    </w:p>
    <w:p>
      <w:pPr>
        <w:spacing w:line="360" w:lineRule="auto"/>
        <w:ind w:firstLine="480" w:firstLineChars="200"/>
        <w:rPr>
          <w:color w:val="auto"/>
          <w:sz w:val="24"/>
        </w:rPr>
      </w:pPr>
      <w:r>
        <w:rPr>
          <w:color w:val="auto"/>
          <w:sz w:val="24"/>
        </w:rPr>
        <w:t>成立时间：</w:t>
      </w: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＿日</w:t>
      </w:r>
    </w:p>
    <w:p>
      <w:pPr>
        <w:spacing w:line="360" w:lineRule="auto"/>
        <w:ind w:firstLine="480" w:firstLineChars="200"/>
        <w:rPr>
          <w:color w:val="auto"/>
          <w:sz w:val="24"/>
        </w:rPr>
      </w:pPr>
      <w:r>
        <w:rPr>
          <w:color w:val="auto"/>
          <w:sz w:val="24"/>
        </w:rPr>
        <w:t>经营期限：</w:t>
      </w:r>
      <w:r>
        <w:rPr>
          <w:color w:val="auto"/>
          <w:sz w:val="24"/>
          <w:u w:val="single"/>
        </w:rPr>
        <w:t xml:space="preserve">                                </w:t>
      </w:r>
      <w:r>
        <w:rPr>
          <w:color w:val="auto"/>
          <w:sz w:val="24"/>
        </w:rPr>
        <w:t xml:space="preserve"> </w:t>
      </w:r>
    </w:p>
    <w:p>
      <w:pPr>
        <w:spacing w:line="360" w:lineRule="auto"/>
        <w:ind w:firstLine="1440" w:firstLineChars="200"/>
        <w:rPr>
          <w:color w:val="auto"/>
          <w:sz w:val="24"/>
        </w:rPr>
      </w:pPr>
      <w:r>
        <w:rPr>
          <w:color w:val="auto"/>
          <w:spacing w:val="240"/>
          <w:sz w:val="24"/>
        </w:rPr>
        <w:t>姓</w:t>
      </w:r>
      <w:r>
        <w:rPr>
          <w:color w:val="auto"/>
          <w:sz w:val="24"/>
        </w:rPr>
        <w:t>名：</w:t>
      </w:r>
      <w:r>
        <w:rPr>
          <w:color w:val="auto"/>
          <w:sz w:val="24"/>
          <w:u w:val="single"/>
        </w:rPr>
        <w:t xml:space="preserve">           </w:t>
      </w:r>
      <w:r>
        <w:rPr>
          <w:color w:val="auto"/>
          <w:sz w:val="24"/>
        </w:rPr>
        <w:t>性别：</w:t>
      </w:r>
      <w:r>
        <w:rPr>
          <w:color w:val="auto"/>
          <w:sz w:val="24"/>
          <w:u w:val="single"/>
        </w:rPr>
        <w:t xml:space="preserve">        </w:t>
      </w:r>
      <w:r>
        <w:rPr>
          <w:color w:val="auto"/>
          <w:sz w:val="24"/>
        </w:rPr>
        <w:t>年龄：</w:t>
      </w:r>
      <w:r>
        <w:rPr>
          <w:color w:val="auto"/>
          <w:sz w:val="24"/>
          <w:u w:val="single"/>
        </w:rPr>
        <w:t xml:space="preserve">       </w:t>
      </w:r>
      <w:r>
        <w:rPr>
          <w:color w:val="auto"/>
          <w:sz w:val="24"/>
        </w:rPr>
        <w:t>_职务：</w:t>
      </w:r>
      <w:r>
        <w:rPr>
          <w:color w:val="auto"/>
          <w:sz w:val="24"/>
          <w:u w:val="single"/>
        </w:rPr>
        <w:t xml:space="preserve">       </w:t>
      </w:r>
      <w:r>
        <w:rPr>
          <w:color w:val="auto"/>
          <w:sz w:val="24"/>
        </w:rPr>
        <w:t>_</w:t>
      </w:r>
    </w:p>
    <w:p>
      <w:pPr>
        <w:spacing w:line="360" w:lineRule="auto"/>
        <w:ind w:firstLine="480" w:firstLineChars="200"/>
        <w:rPr>
          <w:color w:val="auto"/>
          <w:sz w:val="24"/>
        </w:rPr>
      </w:pPr>
      <w:r>
        <w:rPr>
          <w:color w:val="auto"/>
          <w:sz w:val="24"/>
        </w:rPr>
        <w:t>系</w:t>
      </w:r>
      <w:r>
        <w:rPr>
          <w:color w:val="auto"/>
          <w:sz w:val="24"/>
          <w:u w:val="single"/>
        </w:rPr>
        <w:t xml:space="preserve">                                </w:t>
      </w:r>
      <w:r>
        <w:rPr>
          <w:color w:val="auto"/>
          <w:sz w:val="24"/>
        </w:rPr>
        <w:t>（投标人名称）的法定代表人。</w:t>
      </w:r>
    </w:p>
    <w:p>
      <w:pPr>
        <w:spacing w:line="360" w:lineRule="auto"/>
        <w:ind w:firstLine="960" w:firstLineChars="400"/>
        <w:rPr>
          <w:color w:val="auto"/>
          <w:sz w:val="24"/>
        </w:rPr>
      </w:pPr>
      <w:r>
        <w:rPr>
          <w:color w:val="auto"/>
          <w:sz w:val="24"/>
        </w:rPr>
        <w:t>特此证明。</w:t>
      </w:r>
    </w:p>
    <w:p>
      <w:pPr>
        <w:spacing w:line="360" w:lineRule="auto"/>
        <w:ind w:firstLine="3480" w:firstLineChars="1450"/>
        <w:rPr>
          <w:color w:val="auto"/>
          <w:sz w:val="24"/>
        </w:rPr>
      </w:pPr>
      <w:r>
        <w:rPr>
          <w:color w:val="auto"/>
          <w:sz w:val="24"/>
        </w:rPr>
        <w:t>投标人：</w:t>
      </w:r>
      <w:r>
        <w:rPr>
          <w:color w:val="auto"/>
          <w:sz w:val="24"/>
          <w:u w:val="single"/>
        </w:rPr>
        <w:t xml:space="preserve">                 </w:t>
      </w:r>
      <w:r>
        <w:rPr>
          <w:color w:val="auto"/>
          <w:sz w:val="24"/>
        </w:rPr>
        <w:t>（盖单位章）</w:t>
      </w:r>
    </w:p>
    <w:p>
      <w:pPr>
        <w:spacing w:line="360" w:lineRule="auto"/>
        <w:rPr>
          <w:color w:val="auto"/>
          <w:sz w:val="24"/>
        </w:rPr>
      </w:pPr>
      <w:r>
        <w:rPr>
          <w:color w:val="auto"/>
          <w:sz w:val="24"/>
        </w:rPr>
        <w:t xml:space="preserve">                                        </w:t>
      </w: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jc w:val="right"/>
        <w:rPr>
          <w:color w:val="auto"/>
          <w:sz w:val="24"/>
        </w:rPr>
      </w:pPr>
      <w:r>
        <w:rPr>
          <w:color w:val="auto"/>
          <w:sz w:val="24"/>
        </w:rPr>
        <w:t>年    月     日</w:t>
      </w: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beforeLines="100" w:afterLines="100" w:line="360" w:lineRule="auto"/>
        <w:jc w:val="center"/>
        <w:rPr>
          <w:b/>
          <w:bCs/>
          <w:color w:val="auto"/>
          <w:sz w:val="28"/>
          <w:szCs w:val="28"/>
        </w:rPr>
      </w:pPr>
    </w:p>
    <w:p>
      <w:pPr>
        <w:spacing w:beforeLines="100" w:afterLines="100" w:line="360" w:lineRule="auto"/>
        <w:jc w:val="center"/>
        <w:rPr>
          <w:b/>
          <w:bCs/>
          <w:color w:val="auto"/>
          <w:sz w:val="28"/>
          <w:szCs w:val="28"/>
        </w:rPr>
      </w:pPr>
      <w:r>
        <w:rPr>
          <w:b/>
          <w:bCs/>
          <w:color w:val="auto"/>
          <w:sz w:val="28"/>
          <w:szCs w:val="28"/>
        </w:rPr>
        <w:t>2、授权委托书</w:t>
      </w:r>
    </w:p>
    <w:p>
      <w:pPr>
        <w:spacing w:line="360" w:lineRule="auto"/>
        <w:ind w:firstLine="480" w:firstLineChars="200"/>
        <w:rPr>
          <w:color w:val="auto"/>
          <w:sz w:val="24"/>
        </w:rPr>
      </w:pPr>
      <w:r>
        <w:rPr>
          <w:color w:val="auto"/>
          <w:sz w:val="24"/>
        </w:rPr>
        <w:t xml:space="preserve">本人 </w:t>
      </w:r>
      <w:r>
        <w:rPr>
          <w:color w:val="auto"/>
          <w:sz w:val="24"/>
          <w:u w:val="single"/>
        </w:rPr>
        <w:t xml:space="preserve">   （姓名）   </w:t>
      </w:r>
      <w:r>
        <w:rPr>
          <w:color w:val="auto"/>
          <w:sz w:val="24"/>
        </w:rPr>
        <w:t>系</w:t>
      </w:r>
      <w:r>
        <w:rPr>
          <w:color w:val="auto"/>
          <w:sz w:val="24"/>
          <w:u w:val="single"/>
        </w:rPr>
        <w:t xml:space="preserve">       </w:t>
      </w:r>
      <w:r>
        <w:rPr>
          <w:color w:val="auto"/>
          <w:sz w:val="24"/>
        </w:rPr>
        <w:t>（投标人）的法定代表人，现委托</w:t>
      </w:r>
      <w:r>
        <w:rPr>
          <w:color w:val="auto"/>
          <w:sz w:val="24"/>
          <w:u w:val="single"/>
        </w:rPr>
        <w:t xml:space="preserve">   </w:t>
      </w:r>
      <w:r>
        <w:rPr>
          <w:color w:val="auto"/>
          <w:sz w:val="24"/>
        </w:rPr>
        <w:t>（姓名）为我方代理人。代理人根据授权，以我方名义签署、澄清、说明、补正、递交、撤回、修改 “</w:t>
      </w:r>
      <w:r>
        <w:rPr>
          <w:color w:val="auto"/>
          <w:sz w:val="24"/>
          <w:u w:val="single"/>
        </w:rPr>
        <w:t xml:space="preserve">      </w:t>
      </w:r>
      <w:r>
        <w:rPr>
          <w:color w:val="auto"/>
          <w:sz w:val="24"/>
        </w:rPr>
        <w:t xml:space="preserve"> ”</w:t>
      </w:r>
      <w:r>
        <w:rPr>
          <w:rFonts w:hint="eastAsia"/>
          <w:color w:val="auto"/>
          <w:sz w:val="24"/>
          <w:lang w:eastAsia="zh-CN"/>
        </w:rPr>
        <w:t>（</w:t>
      </w:r>
      <w:r>
        <w:rPr>
          <w:color w:val="auto"/>
          <w:sz w:val="24"/>
        </w:rPr>
        <w:t>项目名称、编号）招标文件，全权处理与该项目投标、评审答疑、签订合同以及与合同执行有关的一切事务，其法律后果由我方承担。</w:t>
      </w:r>
    </w:p>
    <w:p>
      <w:pPr>
        <w:spacing w:line="360" w:lineRule="auto"/>
        <w:ind w:firstLine="480" w:firstLineChars="200"/>
        <w:rPr>
          <w:color w:val="auto"/>
          <w:sz w:val="24"/>
        </w:rPr>
      </w:pPr>
      <w:r>
        <w:rPr>
          <w:color w:val="auto"/>
          <w:sz w:val="24"/>
        </w:rPr>
        <w:t xml:space="preserve">委托期限：                                </w:t>
      </w:r>
    </w:p>
    <w:p>
      <w:pPr>
        <w:spacing w:line="360" w:lineRule="auto"/>
        <w:ind w:firstLine="480" w:firstLineChars="200"/>
        <w:rPr>
          <w:color w:val="auto"/>
          <w:sz w:val="24"/>
        </w:rPr>
      </w:pPr>
      <w:r>
        <w:rPr>
          <w:color w:val="auto"/>
          <w:sz w:val="24"/>
        </w:rPr>
        <w:t>代理人无转委托权。</w:t>
      </w:r>
    </w:p>
    <w:p>
      <w:pPr>
        <w:spacing w:line="360" w:lineRule="auto"/>
        <w:ind w:firstLine="480" w:firstLineChars="200"/>
        <w:rPr>
          <w:color w:val="auto"/>
          <w:sz w:val="24"/>
        </w:rPr>
      </w:pPr>
      <w:r>
        <w:rPr>
          <w:color w:val="auto"/>
          <w:sz w:val="24"/>
        </w:rPr>
        <w:t>附：委托代理人身份证明</w:t>
      </w:r>
    </w:p>
    <w:p>
      <w:pPr>
        <w:spacing w:line="360" w:lineRule="auto"/>
        <w:rPr>
          <w:color w:val="auto"/>
          <w:sz w:val="24"/>
        </w:rPr>
      </w:pPr>
      <w:r>
        <w:rPr>
          <w:color w:val="auto"/>
          <w:sz w:val="24"/>
        </w:rPr>
        <w:t xml:space="preserve">                        </w:t>
      </w:r>
    </w:p>
    <w:p>
      <w:pPr>
        <w:spacing w:line="360" w:lineRule="auto"/>
        <w:rPr>
          <w:color w:val="auto"/>
          <w:sz w:val="24"/>
        </w:rPr>
      </w:pPr>
    </w:p>
    <w:p>
      <w:pPr>
        <w:spacing w:line="360" w:lineRule="auto"/>
        <w:rPr>
          <w:color w:val="auto"/>
          <w:sz w:val="24"/>
        </w:rPr>
      </w:pPr>
    </w:p>
    <w:p>
      <w:pPr>
        <w:spacing w:line="360" w:lineRule="auto"/>
        <w:rPr>
          <w:color w:val="auto"/>
          <w:sz w:val="24"/>
        </w:rPr>
      </w:pPr>
      <w:r>
        <w:rPr>
          <w:color w:val="auto"/>
          <w:sz w:val="24"/>
        </w:rPr>
        <w:t xml:space="preserve">                   投标人（盖单位章）：</w:t>
      </w:r>
    </w:p>
    <w:p>
      <w:pPr>
        <w:spacing w:line="360" w:lineRule="auto"/>
        <w:ind w:firstLine="2280" w:firstLineChars="950"/>
        <w:rPr>
          <w:color w:val="auto"/>
          <w:sz w:val="24"/>
        </w:rPr>
      </w:pPr>
      <w:r>
        <w:rPr>
          <w:color w:val="auto"/>
          <w:sz w:val="24"/>
        </w:rPr>
        <w:t>法定代表人（身份证号码）：             （签字或盖章）</w:t>
      </w:r>
    </w:p>
    <w:p>
      <w:pPr>
        <w:spacing w:line="360" w:lineRule="auto"/>
        <w:ind w:firstLine="2280" w:firstLineChars="950"/>
        <w:rPr>
          <w:color w:val="auto"/>
          <w:sz w:val="24"/>
        </w:rPr>
      </w:pPr>
      <w:r>
        <w:rPr>
          <w:color w:val="auto"/>
          <w:sz w:val="24"/>
        </w:rPr>
        <w:t>委托代理人（身份证号码）：             （签字或盖章）</w:t>
      </w:r>
    </w:p>
    <w:p>
      <w:pPr>
        <w:spacing w:line="360" w:lineRule="auto"/>
        <w:ind w:firstLine="2820" w:firstLineChars="1175"/>
        <w:rPr>
          <w:color w:val="auto"/>
          <w:sz w:val="24"/>
        </w:rPr>
      </w:pPr>
      <w:r>
        <w:rPr>
          <w:color w:val="auto"/>
          <w:sz w:val="24"/>
        </w:rPr>
        <w:t xml:space="preserve">             </w:t>
      </w:r>
    </w:p>
    <w:p>
      <w:pPr>
        <w:spacing w:line="360" w:lineRule="auto"/>
        <w:ind w:firstLine="2820" w:firstLineChars="1175"/>
        <w:rPr>
          <w:color w:val="auto"/>
          <w:sz w:val="24"/>
        </w:rPr>
      </w:pPr>
    </w:p>
    <w:p>
      <w:pPr>
        <w:spacing w:line="360" w:lineRule="auto"/>
        <w:ind w:firstLine="2820" w:firstLineChars="1175"/>
        <w:rPr>
          <w:color w:val="auto"/>
          <w:sz w:val="24"/>
        </w:rPr>
      </w:pPr>
    </w:p>
    <w:p>
      <w:pPr>
        <w:spacing w:line="360" w:lineRule="auto"/>
        <w:ind w:firstLine="2820" w:firstLineChars="1175"/>
        <w:rPr>
          <w:color w:val="auto"/>
          <w:sz w:val="24"/>
        </w:rPr>
      </w:pPr>
    </w:p>
    <w:p>
      <w:pPr>
        <w:spacing w:line="360" w:lineRule="auto"/>
        <w:ind w:firstLine="2820" w:firstLineChars="1175"/>
        <w:rPr>
          <w:color w:val="auto"/>
          <w:sz w:val="24"/>
        </w:rPr>
      </w:pPr>
    </w:p>
    <w:p>
      <w:pPr>
        <w:spacing w:line="360" w:lineRule="auto"/>
        <w:ind w:firstLine="2820" w:firstLineChars="1175"/>
        <w:jc w:val="right"/>
        <w:rPr>
          <w:color w:val="auto"/>
          <w:sz w:val="24"/>
        </w:rPr>
      </w:pPr>
      <w:r>
        <w:rPr>
          <w:color w:val="auto"/>
          <w:sz w:val="24"/>
        </w:rPr>
        <w:t xml:space="preserve"> 年    月    日</w:t>
      </w:r>
    </w:p>
    <w:p>
      <w:pPr>
        <w:wordWrap w:val="0"/>
        <w:spacing w:before="100" w:beforeAutospacing="1" w:after="100" w:afterAutospacing="1" w:line="360" w:lineRule="auto"/>
        <w:jc w:val="center"/>
        <w:rPr>
          <w:b/>
          <w:bCs/>
          <w:color w:val="auto"/>
          <w:sz w:val="27"/>
          <w:szCs w:val="27"/>
        </w:rPr>
      </w:pPr>
    </w:p>
    <w:p>
      <w:pPr>
        <w:wordWrap w:val="0"/>
        <w:spacing w:before="100" w:beforeAutospacing="1" w:after="100" w:afterAutospacing="1" w:line="360" w:lineRule="auto"/>
        <w:jc w:val="center"/>
        <w:rPr>
          <w:b/>
          <w:bCs/>
          <w:color w:val="auto"/>
          <w:sz w:val="27"/>
          <w:szCs w:val="27"/>
        </w:rPr>
      </w:pPr>
    </w:p>
    <w:p>
      <w:pPr>
        <w:wordWrap w:val="0"/>
        <w:spacing w:before="100" w:beforeAutospacing="1" w:after="100" w:afterAutospacing="1" w:line="360" w:lineRule="auto"/>
        <w:jc w:val="center"/>
        <w:rPr>
          <w:b/>
          <w:bCs/>
          <w:color w:val="auto"/>
          <w:sz w:val="27"/>
          <w:szCs w:val="27"/>
        </w:rPr>
      </w:pPr>
    </w:p>
    <w:p>
      <w:pPr>
        <w:wordWrap w:val="0"/>
        <w:spacing w:before="100" w:beforeAutospacing="1" w:after="100" w:afterAutospacing="1" w:line="360" w:lineRule="auto"/>
        <w:jc w:val="center"/>
        <w:rPr>
          <w:b/>
          <w:bCs/>
          <w:color w:val="auto"/>
          <w:sz w:val="27"/>
          <w:szCs w:val="27"/>
        </w:rPr>
      </w:pPr>
    </w:p>
    <w:p>
      <w:pPr>
        <w:wordWrap w:val="0"/>
        <w:spacing w:before="100" w:beforeAutospacing="1" w:after="100" w:afterAutospacing="1" w:line="360" w:lineRule="auto"/>
        <w:jc w:val="center"/>
        <w:rPr>
          <w:b/>
          <w:bCs/>
          <w:color w:val="auto"/>
          <w:sz w:val="27"/>
          <w:szCs w:val="27"/>
        </w:rPr>
      </w:pPr>
    </w:p>
    <w:p>
      <w:pPr>
        <w:pStyle w:val="22"/>
        <w:rPr>
          <w:color w:val="auto"/>
        </w:rPr>
      </w:pPr>
    </w:p>
    <w:p>
      <w:pPr>
        <w:rPr>
          <w:b/>
          <w:bCs/>
          <w:color w:val="auto"/>
          <w:sz w:val="28"/>
          <w:szCs w:val="28"/>
        </w:rPr>
      </w:pPr>
      <w:r>
        <w:rPr>
          <w:b/>
          <w:bCs/>
          <w:color w:val="auto"/>
          <w:sz w:val="28"/>
          <w:szCs w:val="28"/>
        </w:rPr>
        <w:br w:type="page"/>
      </w:r>
    </w:p>
    <w:p>
      <w:pPr>
        <w:numPr>
          <w:ilvl w:val="0"/>
          <w:numId w:val="0"/>
        </w:numPr>
        <w:spacing w:before="240" w:beforeLines="100" w:after="240" w:afterLines="100" w:line="360" w:lineRule="auto"/>
        <w:ind w:leftChars="0"/>
        <w:jc w:val="center"/>
        <w:rPr>
          <w:rFonts w:hint="eastAsia"/>
          <w:b/>
          <w:bCs/>
          <w:color w:val="auto"/>
          <w:sz w:val="28"/>
          <w:szCs w:val="28"/>
          <w:lang w:val="en-US" w:eastAsia="zh-CN"/>
        </w:rPr>
      </w:pPr>
      <w:r>
        <w:rPr>
          <w:rFonts w:hint="eastAsia"/>
          <w:b/>
          <w:bCs/>
          <w:color w:val="auto"/>
          <w:sz w:val="28"/>
          <w:szCs w:val="28"/>
          <w:lang w:val="en-US" w:eastAsia="zh-CN"/>
        </w:rPr>
        <w:t>3、企业基本情况</w:t>
      </w:r>
    </w:p>
    <w:p>
      <w:pPr>
        <w:pStyle w:val="13"/>
        <w:numPr>
          <w:ilvl w:val="0"/>
          <w:numId w:val="0"/>
        </w:numPr>
        <w:spacing w:line="360" w:lineRule="auto"/>
        <w:ind w:leftChars="0"/>
        <w:rPr>
          <w:rFonts w:hint="eastAsia" w:ascii="Times New Roman" w:hAnsi="Times New Roman" w:eastAsia="宋体" w:cs="Times New Roman"/>
          <w:color w:val="auto"/>
          <w:sz w:val="24"/>
          <w:u w:color="000000"/>
          <w:lang w:val="en-US" w:eastAsia="zh-CN" w:bidi="ar-SA"/>
        </w:rPr>
      </w:pPr>
      <w:r>
        <w:rPr>
          <w:rFonts w:hint="eastAsia" w:ascii="Times New Roman" w:hAnsi="Times New Roman" w:eastAsia="宋体" w:cs="Times New Roman"/>
          <w:color w:val="auto"/>
          <w:sz w:val="24"/>
          <w:u w:color="000000"/>
          <w:lang w:val="en-US" w:eastAsia="zh-CN" w:bidi="ar-SA"/>
        </w:rPr>
        <w:t>（1）企业基本信息；</w:t>
      </w:r>
    </w:p>
    <w:p>
      <w:pPr>
        <w:pStyle w:val="13"/>
        <w:numPr>
          <w:ilvl w:val="0"/>
          <w:numId w:val="0"/>
        </w:numPr>
        <w:spacing w:line="360" w:lineRule="auto"/>
        <w:ind w:leftChars="0"/>
        <w:rPr>
          <w:rFonts w:hint="eastAsia" w:ascii="Times New Roman" w:hAnsi="Times New Roman" w:eastAsia="宋体" w:cs="Times New Roman"/>
          <w:color w:val="0000FF"/>
          <w:sz w:val="24"/>
          <w:u w:color="000000"/>
          <w:lang w:val="en-US" w:eastAsia="zh-CN" w:bidi="ar-SA"/>
        </w:rPr>
      </w:pPr>
      <w:r>
        <w:rPr>
          <w:rFonts w:hint="eastAsia" w:ascii="Times New Roman" w:hAnsi="Times New Roman" w:eastAsia="宋体" w:cs="Times New Roman"/>
          <w:color w:val="auto"/>
          <w:sz w:val="24"/>
          <w:u w:color="000000"/>
          <w:lang w:val="en-US" w:eastAsia="zh-CN" w:bidi="ar-SA"/>
        </w:rPr>
        <w:t>（2）营业执照</w:t>
      </w:r>
    </w:p>
    <w:p>
      <w:pPr>
        <w:pStyle w:val="17"/>
        <w:spacing w:line="360" w:lineRule="auto"/>
        <w:rPr>
          <w:rFonts w:hint="eastAsia" w:ascii="Times New Roman" w:hAnsi="Times New Roman" w:eastAsia="宋体" w:cs="Times New Roman"/>
          <w:color w:val="0000FF"/>
          <w:sz w:val="24"/>
          <w:u w:color="000000"/>
          <w:lang w:val="zh-CN" w:eastAsia="zh-CN" w:bidi="ar-SA"/>
        </w:rPr>
      </w:pPr>
      <w:r>
        <w:rPr>
          <w:rFonts w:hint="eastAsia" w:ascii="Times New Roman" w:hAnsi="Times New Roman" w:eastAsia="宋体" w:cs="Times New Roman"/>
          <w:color w:val="auto"/>
          <w:sz w:val="24"/>
          <w:u w:color="000000"/>
          <w:lang w:val="en-US" w:eastAsia="zh-CN" w:bidi="ar-SA"/>
        </w:rPr>
        <w:t>（3）业绩：近三年2019年</w:t>
      </w:r>
      <w:r>
        <w:rPr>
          <w:rFonts w:hint="eastAsia" w:ascii="Times New Roman" w:hAnsi="Times New Roman" w:cs="Times New Roman"/>
          <w:color w:val="auto"/>
          <w:sz w:val="24"/>
          <w:u w:color="000000"/>
          <w:lang w:val="en-US" w:eastAsia="zh-CN" w:bidi="ar-SA"/>
        </w:rPr>
        <w:t>1</w:t>
      </w:r>
      <w:r>
        <w:rPr>
          <w:rFonts w:hint="eastAsia" w:ascii="Times New Roman" w:hAnsi="Times New Roman" w:eastAsia="宋体" w:cs="Times New Roman"/>
          <w:color w:val="auto"/>
          <w:sz w:val="24"/>
          <w:u w:color="000000"/>
          <w:lang w:val="en-US" w:eastAsia="zh-CN" w:bidi="ar-SA"/>
        </w:rPr>
        <w:t>月至今有类似项目业绩；</w:t>
      </w:r>
    </w:p>
    <w:p>
      <w:pPr>
        <w:pStyle w:val="26"/>
        <w:spacing w:line="360" w:lineRule="auto"/>
        <w:rPr>
          <w:rFonts w:hint="eastAsia" w:ascii="Times New Roman" w:hAnsi="Times New Roman" w:eastAsia="宋体" w:cs="Times New Roman"/>
          <w:color w:val="auto"/>
          <w:sz w:val="24"/>
          <w:u w:color="000000"/>
          <w:lang w:val="en-US" w:eastAsia="zh-CN" w:bidi="ar-SA"/>
        </w:rPr>
      </w:pPr>
      <w:r>
        <w:rPr>
          <w:rFonts w:hint="eastAsia" w:ascii="Times New Roman" w:hAnsi="Times New Roman" w:eastAsia="宋体" w:cs="Times New Roman"/>
          <w:color w:val="auto"/>
          <w:sz w:val="24"/>
          <w:u w:color="000000"/>
          <w:lang w:val="zh-CN" w:eastAsia="zh-CN" w:bidi="ar-SA"/>
        </w:rPr>
        <w:t>（</w:t>
      </w:r>
      <w:r>
        <w:rPr>
          <w:rFonts w:hint="eastAsia" w:ascii="Times New Roman" w:hAnsi="Times New Roman" w:eastAsia="宋体" w:cs="Times New Roman"/>
          <w:color w:val="auto"/>
          <w:sz w:val="24"/>
          <w:u w:color="000000"/>
          <w:lang w:val="en-US" w:eastAsia="zh-CN" w:bidi="ar-SA"/>
        </w:rPr>
        <w:t>4</w:t>
      </w:r>
      <w:r>
        <w:rPr>
          <w:rFonts w:hint="eastAsia" w:ascii="Times New Roman" w:hAnsi="Times New Roman" w:eastAsia="宋体" w:cs="Times New Roman"/>
          <w:color w:val="auto"/>
          <w:sz w:val="24"/>
          <w:u w:color="000000"/>
          <w:lang w:val="zh-CN" w:eastAsia="zh-CN" w:bidi="ar-SA"/>
        </w:rPr>
        <w:t>）</w:t>
      </w:r>
      <w:r>
        <w:rPr>
          <w:rFonts w:hint="eastAsia" w:ascii="Times New Roman" w:hAnsi="Times New Roman" w:eastAsia="宋体" w:cs="Times New Roman"/>
          <w:color w:val="auto"/>
          <w:sz w:val="24"/>
          <w:u w:color="000000"/>
          <w:lang w:val="en-US" w:eastAsia="zh-CN" w:bidi="ar-SA"/>
        </w:rPr>
        <w:t>信誉要求：投标人须提供在“信用中国”（www.creditchina.gov.cn）和中国政府采购网（www.ccgp.gov.cn）网站、国家企业信用信息公示系统（http://www.gsxt.gov.cn）上未被列入失信被执行人、重大税收违法案件当事人名单并下载信用报告以及政府采购严重违法失信行为记录名单的网页打印件（查询结果截图日期必须在发布公告日期之后且加盖公司公章当原件）；</w:t>
      </w:r>
    </w:p>
    <w:p>
      <w:pPr>
        <w:pStyle w:val="26"/>
        <w:spacing w:line="360" w:lineRule="auto"/>
        <w:rPr>
          <w:rFonts w:hint="eastAsia" w:ascii="Times New Roman" w:hAnsi="Times New Roman" w:eastAsia="宋体" w:cs="Times New Roman"/>
          <w:color w:val="auto"/>
          <w:sz w:val="24"/>
          <w:u w:color="000000"/>
          <w:lang w:val="zh-CN" w:eastAsia="zh-CN" w:bidi="ar-SA"/>
        </w:rPr>
      </w:pPr>
      <w:r>
        <w:rPr>
          <w:rFonts w:hint="eastAsia" w:ascii="Times New Roman" w:hAnsi="Times New Roman" w:eastAsia="宋体" w:cs="Times New Roman"/>
          <w:color w:val="auto"/>
          <w:sz w:val="24"/>
          <w:u w:color="000000"/>
          <w:lang w:val="en-US" w:eastAsia="zh-CN" w:bidi="ar-SA"/>
        </w:rPr>
        <w:t>（5）商务标评分细则里需要提供的相关材料。</w:t>
      </w:r>
    </w:p>
    <w:p>
      <w:pPr>
        <w:rPr>
          <w:b/>
          <w:bCs/>
          <w:color w:val="auto"/>
          <w:sz w:val="28"/>
          <w:szCs w:val="28"/>
        </w:rPr>
      </w:pPr>
    </w:p>
    <w:p>
      <w:pPr>
        <w:rPr>
          <w:b/>
          <w:bCs/>
          <w:color w:val="auto"/>
          <w:sz w:val="28"/>
          <w:szCs w:val="28"/>
        </w:rPr>
      </w:pPr>
      <w:r>
        <w:rPr>
          <w:b/>
          <w:bCs/>
          <w:color w:val="auto"/>
          <w:sz w:val="28"/>
          <w:szCs w:val="28"/>
        </w:rPr>
        <w:br w:type="page"/>
      </w:r>
    </w:p>
    <w:p>
      <w:pPr>
        <w:spacing w:beforeLines="100" w:afterLines="100" w:line="360" w:lineRule="auto"/>
        <w:jc w:val="center"/>
        <w:rPr>
          <w:b/>
          <w:bCs/>
          <w:color w:val="auto"/>
          <w:sz w:val="28"/>
          <w:szCs w:val="28"/>
        </w:rPr>
      </w:pPr>
      <w:r>
        <w:rPr>
          <w:rFonts w:hint="eastAsia"/>
          <w:b/>
          <w:bCs/>
          <w:color w:val="auto"/>
          <w:sz w:val="28"/>
          <w:szCs w:val="28"/>
          <w:lang w:val="en-US" w:eastAsia="zh-CN"/>
        </w:rPr>
        <w:t>4</w:t>
      </w:r>
      <w:r>
        <w:rPr>
          <w:b/>
          <w:bCs/>
          <w:color w:val="auto"/>
          <w:sz w:val="28"/>
          <w:szCs w:val="28"/>
        </w:rPr>
        <w:t>、无失信被执行行为承诺书 </w:t>
      </w:r>
    </w:p>
    <w:p>
      <w:pPr>
        <w:wordWrap w:val="0"/>
        <w:spacing w:before="100" w:beforeAutospacing="1" w:after="100" w:afterAutospacing="1" w:line="360" w:lineRule="auto"/>
        <w:jc w:val="left"/>
        <w:rPr>
          <w:color w:val="auto"/>
          <w:sz w:val="24"/>
        </w:rPr>
      </w:pPr>
      <w:r>
        <w:rPr>
          <w:color w:val="auto"/>
          <w:sz w:val="24"/>
        </w:rPr>
        <w:t>本人以企业法定代表人的身份郑重承诺：</w:t>
      </w:r>
    </w:p>
    <w:p>
      <w:pPr>
        <w:wordWrap w:val="0"/>
        <w:spacing w:before="100" w:beforeAutospacing="1" w:after="100" w:afterAutospacing="1" w:line="360" w:lineRule="auto"/>
        <w:ind w:firstLine="720" w:firstLineChars="300"/>
        <w:jc w:val="left"/>
        <w:rPr>
          <w:color w:val="auto"/>
          <w:sz w:val="24"/>
        </w:rPr>
      </w:pPr>
      <w:r>
        <w:rPr>
          <w:color w:val="auto"/>
          <w:sz w:val="24"/>
        </w:rPr>
        <w:t>本公司、公司法定代表人及项目负责人行为遵守法律法规规定，不在人民法院公布的失信被执行人名单中，愿意接受社会各界监督。</w:t>
      </w:r>
    </w:p>
    <w:p>
      <w:pPr>
        <w:wordWrap w:val="0"/>
        <w:spacing w:before="100" w:beforeAutospacing="1" w:after="100" w:afterAutospacing="1" w:line="360" w:lineRule="auto"/>
        <w:ind w:firstLine="480"/>
        <w:jc w:val="left"/>
        <w:rPr>
          <w:color w:val="auto"/>
          <w:sz w:val="24"/>
        </w:rPr>
      </w:pPr>
      <w:r>
        <w:rPr>
          <w:color w:val="auto"/>
          <w:sz w:val="24"/>
        </w:rPr>
        <w:t> 本公司、法定代表人及项目负责人若有违反承诺内容的行为，自愿依法接受取消投标资格、记入信用档案、取消中标资格、没收投标保证金等有关处理，愿意承担法律责任，给招标人造成损失的，依法承担赔偿责任。</w:t>
      </w:r>
    </w:p>
    <w:p>
      <w:pPr>
        <w:wordWrap w:val="0"/>
        <w:spacing w:before="100" w:beforeAutospacing="1" w:after="100" w:afterAutospacing="1" w:line="360" w:lineRule="auto"/>
        <w:ind w:firstLine="480"/>
        <w:jc w:val="left"/>
        <w:rPr>
          <w:color w:val="auto"/>
          <w:sz w:val="24"/>
        </w:rPr>
      </w:pPr>
    </w:p>
    <w:p>
      <w:pPr>
        <w:wordWrap w:val="0"/>
        <w:spacing w:before="100" w:beforeAutospacing="1" w:after="100" w:afterAutospacing="1" w:line="360" w:lineRule="auto"/>
        <w:ind w:firstLine="480"/>
        <w:jc w:val="left"/>
        <w:rPr>
          <w:color w:val="auto"/>
          <w:sz w:val="24"/>
        </w:rPr>
      </w:pPr>
      <w:r>
        <w:rPr>
          <w:color w:val="auto"/>
          <w:sz w:val="24"/>
        </w:rPr>
        <w:t xml:space="preserve">                 </w:t>
      </w:r>
      <w:r>
        <w:rPr>
          <w:rFonts w:hint="eastAsia"/>
          <w:color w:val="auto"/>
          <w:sz w:val="24"/>
        </w:rPr>
        <w:t xml:space="preserve">           </w:t>
      </w:r>
      <w:r>
        <w:rPr>
          <w:color w:val="auto"/>
          <w:sz w:val="24"/>
        </w:rPr>
        <w:t xml:space="preserve">   投标单位（盖章）</w:t>
      </w:r>
    </w:p>
    <w:p>
      <w:pPr>
        <w:wordWrap w:val="0"/>
        <w:spacing w:before="100" w:beforeAutospacing="1" w:after="100" w:afterAutospacing="1" w:line="360" w:lineRule="auto"/>
        <w:ind w:firstLine="2880" w:firstLineChars="1200"/>
        <w:jc w:val="left"/>
        <w:rPr>
          <w:color w:val="auto"/>
          <w:sz w:val="24"/>
        </w:rPr>
      </w:pPr>
      <w:r>
        <w:rPr>
          <w:color w:val="auto"/>
          <w:sz w:val="24"/>
        </w:rPr>
        <w:t xml:space="preserve">      </w:t>
      </w:r>
      <w:r>
        <w:rPr>
          <w:rFonts w:hint="eastAsia"/>
          <w:color w:val="auto"/>
          <w:sz w:val="24"/>
          <w:lang w:val="en-US" w:eastAsia="zh-CN"/>
        </w:rPr>
        <w:t xml:space="preserve">  </w:t>
      </w:r>
      <w:r>
        <w:rPr>
          <w:color w:val="auto"/>
          <w:sz w:val="24"/>
        </w:rPr>
        <w:t>法定代表人（签字或盖章）</w:t>
      </w:r>
    </w:p>
    <w:p>
      <w:pPr>
        <w:wordWrap w:val="0"/>
        <w:spacing w:before="100" w:beforeAutospacing="1" w:after="100" w:afterAutospacing="1" w:line="360" w:lineRule="auto"/>
        <w:ind w:firstLine="2880" w:firstLineChars="1200"/>
        <w:jc w:val="left"/>
        <w:rPr>
          <w:color w:val="auto"/>
          <w:sz w:val="24"/>
        </w:rPr>
      </w:pPr>
    </w:p>
    <w:p>
      <w:pPr>
        <w:wordWrap w:val="0"/>
        <w:spacing w:before="100" w:beforeAutospacing="1" w:after="100" w:afterAutospacing="1" w:line="360" w:lineRule="auto"/>
        <w:ind w:firstLine="2880" w:firstLineChars="1200"/>
        <w:jc w:val="left"/>
        <w:rPr>
          <w:color w:val="auto"/>
          <w:sz w:val="24"/>
        </w:rPr>
      </w:pPr>
    </w:p>
    <w:p>
      <w:pPr>
        <w:wordWrap w:val="0"/>
        <w:spacing w:before="100" w:beforeAutospacing="1" w:after="100" w:afterAutospacing="1" w:line="360" w:lineRule="auto"/>
        <w:ind w:firstLine="2880" w:firstLineChars="1200"/>
        <w:jc w:val="left"/>
        <w:rPr>
          <w:color w:val="auto"/>
          <w:sz w:val="24"/>
        </w:rPr>
      </w:pPr>
    </w:p>
    <w:p>
      <w:pPr>
        <w:wordWrap w:val="0"/>
        <w:spacing w:before="100" w:beforeAutospacing="1" w:after="100" w:afterAutospacing="1" w:line="360" w:lineRule="auto"/>
        <w:ind w:firstLine="2880" w:firstLineChars="1200"/>
        <w:jc w:val="left"/>
        <w:rPr>
          <w:color w:val="auto"/>
          <w:sz w:val="24"/>
        </w:rPr>
      </w:pPr>
    </w:p>
    <w:p>
      <w:pPr>
        <w:wordWrap w:val="0"/>
        <w:spacing w:before="100" w:beforeAutospacing="1" w:after="100" w:afterAutospacing="1" w:line="360" w:lineRule="auto"/>
        <w:ind w:firstLine="2880" w:firstLineChars="1200"/>
        <w:jc w:val="left"/>
        <w:rPr>
          <w:color w:val="auto"/>
          <w:sz w:val="24"/>
        </w:rPr>
      </w:pPr>
    </w:p>
    <w:p>
      <w:pPr>
        <w:wordWrap w:val="0"/>
        <w:spacing w:before="100" w:beforeAutospacing="1" w:after="100" w:afterAutospacing="1" w:line="360" w:lineRule="auto"/>
        <w:ind w:firstLine="2880" w:firstLineChars="1200"/>
        <w:jc w:val="left"/>
        <w:rPr>
          <w:color w:val="auto"/>
          <w:sz w:val="24"/>
        </w:rPr>
      </w:pPr>
    </w:p>
    <w:p>
      <w:pPr>
        <w:wordWrap w:val="0"/>
        <w:spacing w:before="100" w:beforeAutospacing="1" w:after="100" w:afterAutospacing="1" w:line="360" w:lineRule="auto"/>
        <w:ind w:firstLine="2880" w:firstLineChars="1200"/>
        <w:jc w:val="left"/>
        <w:rPr>
          <w:color w:val="auto"/>
          <w:sz w:val="24"/>
        </w:rPr>
      </w:pPr>
    </w:p>
    <w:p>
      <w:pPr>
        <w:wordWrap w:val="0"/>
        <w:spacing w:before="100" w:beforeAutospacing="1" w:after="100" w:afterAutospacing="1" w:line="360" w:lineRule="auto"/>
        <w:ind w:firstLine="2880" w:firstLineChars="1200"/>
        <w:jc w:val="left"/>
        <w:rPr>
          <w:color w:val="auto"/>
          <w:sz w:val="24"/>
        </w:rPr>
      </w:pPr>
    </w:p>
    <w:p>
      <w:pPr>
        <w:wordWrap w:val="0"/>
        <w:spacing w:before="100" w:beforeAutospacing="1" w:after="100" w:afterAutospacing="1" w:line="360" w:lineRule="auto"/>
        <w:ind w:firstLine="2880" w:firstLineChars="1200"/>
        <w:jc w:val="left"/>
        <w:rPr>
          <w:color w:val="auto"/>
          <w:sz w:val="24"/>
        </w:rPr>
      </w:pPr>
    </w:p>
    <w:p>
      <w:pPr>
        <w:spacing w:beforeLines="100" w:afterLines="100" w:line="360" w:lineRule="auto"/>
        <w:jc w:val="center"/>
        <w:rPr>
          <w:b/>
          <w:bCs/>
          <w:color w:val="auto"/>
          <w:sz w:val="28"/>
          <w:szCs w:val="28"/>
        </w:rPr>
      </w:pPr>
      <w:bookmarkStart w:id="68" w:name="_Toc445387678"/>
      <w:bookmarkStart w:id="69" w:name="_Toc445318778"/>
      <w:bookmarkStart w:id="70" w:name="_Toc445319388"/>
    </w:p>
    <w:p>
      <w:pPr>
        <w:spacing w:beforeLines="100" w:afterLines="100" w:line="360" w:lineRule="auto"/>
        <w:jc w:val="center"/>
        <w:rPr>
          <w:b/>
          <w:bCs/>
          <w:color w:val="auto"/>
          <w:sz w:val="28"/>
          <w:szCs w:val="28"/>
        </w:rPr>
      </w:pPr>
      <w:r>
        <w:rPr>
          <w:rFonts w:hint="eastAsia"/>
          <w:b/>
          <w:bCs/>
          <w:color w:val="auto"/>
          <w:sz w:val="28"/>
          <w:szCs w:val="28"/>
          <w:lang w:val="en-US" w:eastAsia="zh-CN"/>
        </w:rPr>
        <w:t>5</w:t>
      </w:r>
      <w:r>
        <w:rPr>
          <w:b/>
          <w:bCs/>
          <w:color w:val="auto"/>
          <w:sz w:val="28"/>
          <w:szCs w:val="28"/>
        </w:rPr>
        <w:t>、社会法人无失信被执行行为承诺书</w:t>
      </w:r>
      <w:bookmarkEnd w:id="68"/>
      <w:bookmarkEnd w:id="69"/>
      <w:bookmarkEnd w:id="70"/>
    </w:p>
    <w:p>
      <w:pPr>
        <w:wordWrap w:val="0"/>
        <w:snapToGrid w:val="0"/>
        <w:spacing w:before="100" w:beforeAutospacing="1" w:after="100" w:afterAutospacing="1" w:line="360" w:lineRule="auto"/>
        <w:jc w:val="left"/>
        <w:rPr>
          <w:color w:val="auto"/>
          <w:sz w:val="24"/>
        </w:rPr>
      </w:pPr>
      <w:r>
        <w:rPr>
          <w:color w:val="auto"/>
          <w:sz w:val="24"/>
        </w:rPr>
        <w:t>本公司郑重承诺：</w:t>
      </w:r>
    </w:p>
    <w:p>
      <w:pPr>
        <w:wordWrap w:val="0"/>
        <w:snapToGrid w:val="0"/>
        <w:spacing w:before="100" w:beforeAutospacing="1" w:after="100" w:afterAutospacing="1" w:line="360" w:lineRule="auto"/>
        <w:ind w:firstLine="720"/>
        <w:jc w:val="left"/>
        <w:rPr>
          <w:color w:val="auto"/>
          <w:sz w:val="24"/>
        </w:rPr>
      </w:pPr>
      <w:r>
        <w:rPr>
          <w:color w:val="auto"/>
          <w:sz w:val="24"/>
        </w:rPr>
        <w:t>本公司遵守法律法规规定，愿意接受社会各界监督，若有违反《中华人民共和国招标投标法》、《中华人民共和国政府采购法》中对投标人应遵守的规定，自愿依法接受取消投标资格、记入信用档案、取消中标资格、没收投标保证金等有关处理，愿意承担法律责任，给招标人造成损失的，依法承担赔偿责任。</w:t>
      </w:r>
    </w:p>
    <w:p>
      <w:pPr>
        <w:spacing w:line="360" w:lineRule="auto"/>
        <w:ind w:firstLine="3240" w:firstLineChars="1350"/>
        <w:rPr>
          <w:bCs/>
          <w:color w:val="auto"/>
          <w:sz w:val="24"/>
        </w:rPr>
      </w:pPr>
    </w:p>
    <w:p>
      <w:pPr>
        <w:spacing w:line="360" w:lineRule="auto"/>
        <w:ind w:firstLine="3240" w:firstLineChars="1350"/>
        <w:rPr>
          <w:bCs/>
          <w:color w:val="auto"/>
          <w:sz w:val="24"/>
        </w:rPr>
      </w:pPr>
    </w:p>
    <w:p>
      <w:pPr>
        <w:spacing w:line="360" w:lineRule="auto"/>
        <w:ind w:firstLine="3240" w:firstLineChars="1350"/>
        <w:rPr>
          <w:bCs/>
          <w:color w:val="auto"/>
          <w:sz w:val="24"/>
        </w:rPr>
      </w:pPr>
    </w:p>
    <w:p>
      <w:pPr>
        <w:spacing w:line="360" w:lineRule="auto"/>
        <w:ind w:firstLine="3240" w:firstLineChars="1350"/>
        <w:rPr>
          <w:bCs/>
          <w:color w:val="auto"/>
          <w:sz w:val="24"/>
        </w:rPr>
      </w:pPr>
      <w:r>
        <w:rPr>
          <w:bCs/>
          <w:color w:val="auto"/>
          <w:sz w:val="24"/>
        </w:rPr>
        <w:t>法定代表人（签字或盖章）：</w:t>
      </w:r>
    </w:p>
    <w:p>
      <w:pPr>
        <w:spacing w:line="360" w:lineRule="auto"/>
        <w:ind w:firstLine="3240" w:firstLineChars="1350"/>
        <w:rPr>
          <w:bCs/>
          <w:color w:val="auto"/>
          <w:sz w:val="24"/>
        </w:rPr>
      </w:pPr>
      <w:r>
        <w:rPr>
          <w:bCs/>
          <w:color w:val="auto"/>
          <w:sz w:val="24"/>
        </w:rPr>
        <w:t>投标单位（公章）：</w:t>
      </w:r>
    </w:p>
    <w:p>
      <w:pPr>
        <w:spacing w:line="360" w:lineRule="auto"/>
        <w:ind w:firstLine="3300" w:firstLineChars="1375"/>
        <w:rPr>
          <w:bCs/>
          <w:color w:val="auto"/>
          <w:sz w:val="24"/>
        </w:rPr>
      </w:pPr>
      <w:r>
        <w:rPr>
          <w:bCs/>
          <w:color w:val="auto"/>
          <w:sz w:val="24"/>
        </w:rPr>
        <w:t xml:space="preserve"> </w:t>
      </w:r>
    </w:p>
    <w:p>
      <w:pPr>
        <w:spacing w:line="360" w:lineRule="auto"/>
        <w:ind w:firstLine="3300" w:firstLineChars="1375"/>
        <w:rPr>
          <w:bCs/>
          <w:color w:val="auto"/>
          <w:sz w:val="24"/>
        </w:rPr>
      </w:pPr>
    </w:p>
    <w:p>
      <w:pPr>
        <w:spacing w:line="360" w:lineRule="auto"/>
        <w:ind w:firstLine="3300" w:firstLineChars="1375"/>
        <w:rPr>
          <w:bCs/>
          <w:color w:val="auto"/>
          <w:sz w:val="24"/>
        </w:rPr>
      </w:pPr>
    </w:p>
    <w:p>
      <w:pPr>
        <w:spacing w:line="360" w:lineRule="auto"/>
        <w:ind w:firstLine="3300" w:firstLineChars="1375"/>
        <w:rPr>
          <w:bCs/>
          <w:color w:val="auto"/>
          <w:sz w:val="24"/>
        </w:rPr>
      </w:pPr>
    </w:p>
    <w:p>
      <w:pPr>
        <w:spacing w:line="360" w:lineRule="auto"/>
        <w:ind w:firstLine="3300" w:firstLineChars="1375"/>
        <w:jc w:val="right"/>
        <w:rPr>
          <w:bCs/>
          <w:color w:val="auto"/>
          <w:sz w:val="24"/>
        </w:rPr>
      </w:pPr>
      <w:r>
        <w:rPr>
          <w:bCs/>
          <w:color w:val="auto"/>
          <w:sz w:val="24"/>
        </w:rPr>
        <w:t>年      月      日</w:t>
      </w:r>
    </w:p>
    <w:p>
      <w:pPr>
        <w:spacing w:line="360" w:lineRule="auto"/>
        <w:ind w:firstLine="2820" w:firstLineChars="1175"/>
        <w:rPr>
          <w:bCs/>
          <w:color w:val="auto"/>
          <w:sz w:val="24"/>
        </w:rPr>
      </w:pPr>
    </w:p>
    <w:p>
      <w:pPr>
        <w:spacing w:line="360" w:lineRule="auto"/>
        <w:ind w:firstLine="2820" w:firstLineChars="1175"/>
        <w:rPr>
          <w:bCs/>
          <w:color w:val="auto"/>
          <w:sz w:val="24"/>
        </w:rPr>
      </w:pPr>
    </w:p>
    <w:p>
      <w:pPr>
        <w:spacing w:line="360" w:lineRule="auto"/>
        <w:ind w:firstLine="2820" w:firstLineChars="1175"/>
        <w:rPr>
          <w:bCs/>
          <w:color w:val="auto"/>
          <w:sz w:val="24"/>
        </w:rPr>
      </w:pPr>
    </w:p>
    <w:p>
      <w:pPr>
        <w:spacing w:line="360" w:lineRule="auto"/>
        <w:ind w:firstLine="2820" w:firstLineChars="1175"/>
        <w:rPr>
          <w:bCs/>
          <w:color w:val="auto"/>
          <w:sz w:val="24"/>
        </w:rPr>
      </w:pPr>
    </w:p>
    <w:p>
      <w:pPr>
        <w:spacing w:line="360" w:lineRule="auto"/>
        <w:ind w:firstLine="2820" w:firstLineChars="1175"/>
        <w:rPr>
          <w:bCs/>
          <w:color w:val="auto"/>
          <w:sz w:val="24"/>
        </w:rPr>
      </w:pPr>
    </w:p>
    <w:p>
      <w:pPr>
        <w:spacing w:line="360" w:lineRule="auto"/>
        <w:ind w:firstLine="2820" w:firstLineChars="1175"/>
        <w:rPr>
          <w:bCs/>
          <w:color w:val="auto"/>
          <w:sz w:val="24"/>
        </w:rPr>
      </w:pPr>
    </w:p>
    <w:p>
      <w:pPr>
        <w:spacing w:line="360" w:lineRule="auto"/>
        <w:ind w:firstLine="2820" w:firstLineChars="1175"/>
        <w:rPr>
          <w:bCs/>
          <w:color w:val="auto"/>
          <w:sz w:val="24"/>
        </w:rPr>
      </w:pPr>
    </w:p>
    <w:p>
      <w:pPr>
        <w:spacing w:line="360" w:lineRule="auto"/>
        <w:ind w:firstLine="2820" w:firstLineChars="1175"/>
        <w:rPr>
          <w:bCs/>
          <w:color w:val="auto"/>
          <w:sz w:val="24"/>
        </w:rPr>
      </w:pPr>
    </w:p>
    <w:p>
      <w:pPr>
        <w:spacing w:line="360" w:lineRule="auto"/>
        <w:ind w:firstLine="2820" w:firstLineChars="1175"/>
        <w:rPr>
          <w:bCs/>
          <w:color w:val="auto"/>
          <w:sz w:val="24"/>
        </w:rPr>
      </w:pPr>
    </w:p>
    <w:p>
      <w:pPr>
        <w:spacing w:line="360" w:lineRule="auto"/>
        <w:ind w:firstLine="2820" w:firstLineChars="1175"/>
        <w:rPr>
          <w:bCs/>
          <w:color w:val="auto"/>
          <w:sz w:val="24"/>
        </w:rPr>
      </w:pPr>
    </w:p>
    <w:p>
      <w:pPr>
        <w:spacing w:line="360" w:lineRule="auto"/>
        <w:ind w:firstLine="2820" w:firstLineChars="1175"/>
        <w:rPr>
          <w:bCs/>
          <w:color w:val="auto"/>
          <w:sz w:val="24"/>
        </w:rPr>
      </w:pPr>
    </w:p>
    <w:p>
      <w:pPr>
        <w:pStyle w:val="22"/>
        <w:rPr>
          <w:rFonts w:ascii="Times New Roman" w:hAnsi="Times New Roman"/>
          <w:bCs/>
          <w:color w:val="auto"/>
          <w:sz w:val="24"/>
        </w:rPr>
      </w:pPr>
    </w:p>
    <w:p>
      <w:pPr>
        <w:pStyle w:val="22"/>
        <w:rPr>
          <w:rFonts w:ascii="Times New Roman" w:hAnsi="Times New Roman"/>
          <w:bCs/>
          <w:color w:val="auto"/>
          <w:sz w:val="24"/>
        </w:rPr>
      </w:pPr>
    </w:p>
    <w:p>
      <w:pPr>
        <w:spacing w:line="360" w:lineRule="auto"/>
        <w:ind w:firstLine="2820" w:firstLineChars="1175"/>
        <w:rPr>
          <w:bCs/>
          <w:color w:val="auto"/>
          <w:sz w:val="24"/>
        </w:rPr>
      </w:pPr>
    </w:p>
    <w:p>
      <w:pPr>
        <w:spacing w:beforeLines="100" w:afterLines="100" w:line="360" w:lineRule="auto"/>
        <w:jc w:val="center"/>
        <w:rPr>
          <w:b/>
          <w:bCs/>
          <w:color w:val="auto"/>
          <w:sz w:val="28"/>
          <w:szCs w:val="28"/>
        </w:rPr>
      </w:pPr>
      <w:r>
        <w:rPr>
          <w:rFonts w:hint="eastAsia"/>
          <w:b/>
          <w:bCs/>
          <w:color w:val="auto"/>
          <w:sz w:val="28"/>
          <w:szCs w:val="28"/>
          <w:lang w:val="en-US" w:eastAsia="zh-CN"/>
        </w:rPr>
        <w:t>6</w:t>
      </w:r>
      <w:r>
        <w:rPr>
          <w:b/>
          <w:bCs/>
          <w:color w:val="auto"/>
          <w:sz w:val="28"/>
          <w:szCs w:val="28"/>
        </w:rPr>
        <w:t>、无重大税收违法行为承诺书</w:t>
      </w:r>
    </w:p>
    <w:p>
      <w:pPr>
        <w:spacing w:before="100" w:beforeAutospacing="1" w:after="100" w:afterAutospacing="1" w:line="360" w:lineRule="auto"/>
        <w:jc w:val="left"/>
        <w:rPr>
          <w:rFonts w:eastAsia="仿宋"/>
          <w:b/>
          <w:bCs/>
          <w:color w:val="auto"/>
          <w:sz w:val="28"/>
          <w:szCs w:val="28"/>
        </w:rPr>
      </w:pPr>
      <w:bookmarkStart w:id="71" w:name="_Toc465177287"/>
      <w:r>
        <w:rPr>
          <w:color w:val="auto"/>
          <w:sz w:val="24"/>
        </w:rPr>
        <w:t>本人以企业法定代表人的身份郑重承诺：</w:t>
      </w:r>
      <w:bookmarkEnd w:id="71"/>
    </w:p>
    <w:p>
      <w:pPr>
        <w:wordWrap w:val="0"/>
        <w:spacing w:before="100" w:beforeAutospacing="1" w:after="100" w:afterAutospacing="1" w:line="360" w:lineRule="auto"/>
        <w:ind w:firstLine="600" w:firstLineChars="250"/>
        <w:jc w:val="left"/>
        <w:rPr>
          <w:color w:val="auto"/>
          <w:sz w:val="24"/>
        </w:rPr>
      </w:pPr>
      <w:r>
        <w:rPr>
          <w:color w:val="auto"/>
          <w:sz w:val="24"/>
        </w:rPr>
        <w:t>本公司近三年无重大税收违法行为，愿意接受社会各界监督。</w:t>
      </w:r>
    </w:p>
    <w:p>
      <w:pPr>
        <w:wordWrap w:val="0"/>
        <w:spacing w:before="100" w:beforeAutospacing="1" w:after="100" w:afterAutospacing="1" w:line="360" w:lineRule="auto"/>
        <w:ind w:firstLine="480"/>
        <w:jc w:val="left"/>
        <w:rPr>
          <w:color w:val="auto"/>
          <w:sz w:val="24"/>
        </w:rPr>
      </w:pPr>
      <w:r>
        <w:rPr>
          <w:color w:val="auto"/>
          <w:sz w:val="24"/>
        </w:rPr>
        <w:t> 本公司及法定代表人若有违反承诺内容的行为，自愿依法接受取消投标资格、记入信用档案、取消中标资格、没收投标保证金等有关处理，愿意承担法律责任，给招标人造成损失的，依法承担赔偿责任。</w:t>
      </w:r>
    </w:p>
    <w:p>
      <w:pPr>
        <w:wordWrap w:val="0"/>
        <w:spacing w:before="100" w:beforeAutospacing="1" w:after="100" w:afterAutospacing="1" w:line="360" w:lineRule="auto"/>
        <w:ind w:firstLine="480"/>
        <w:jc w:val="left"/>
        <w:rPr>
          <w:color w:val="auto"/>
          <w:sz w:val="24"/>
        </w:rPr>
      </w:pPr>
      <w:r>
        <w:rPr>
          <w:color w:val="auto"/>
          <w:sz w:val="24"/>
        </w:rPr>
        <w:t>                                     </w:t>
      </w:r>
    </w:p>
    <w:p>
      <w:pPr>
        <w:wordWrap w:val="0"/>
        <w:spacing w:before="100" w:beforeAutospacing="1" w:after="100" w:afterAutospacing="1" w:line="360" w:lineRule="auto"/>
        <w:ind w:firstLine="480"/>
        <w:jc w:val="left"/>
        <w:rPr>
          <w:color w:val="auto"/>
          <w:sz w:val="24"/>
        </w:rPr>
      </w:pPr>
    </w:p>
    <w:p>
      <w:pPr>
        <w:wordWrap w:val="0"/>
        <w:spacing w:before="100" w:beforeAutospacing="1" w:after="100" w:afterAutospacing="1" w:line="360" w:lineRule="auto"/>
        <w:ind w:firstLine="480"/>
        <w:jc w:val="left"/>
        <w:rPr>
          <w:color w:val="auto"/>
          <w:sz w:val="24"/>
        </w:rPr>
      </w:pPr>
    </w:p>
    <w:p>
      <w:pPr>
        <w:wordWrap w:val="0"/>
        <w:spacing w:before="100" w:beforeAutospacing="1" w:after="100" w:afterAutospacing="1" w:line="360" w:lineRule="auto"/>
        <w:ind w:firstLine="480"/>
        <w:jc w:val="left"/>
        <w:rPr>
          <w:color w:val="auto"/>
          <w:sz w:val="24"/>
        </w:rPr>
      </w:pPr>
    </w:p>
    <w:p>
      <w:pPr>
        <w:wordWrap w:val="0"/>
        <w:spacing w:before="100" w:beforeAutospacing="1" w:after="100" w:afterAutospacing="1" w:line="360" w:lineRule="auto"/>
        <w:ind w:firstLine="480"/>
        <w:jc w:val="center"/>
        <w:rPr>
          <w:color w:val="auto"/>
          <w:sz w:val="24"/>
        </w:rPr>
      </w:pPr>
      <w:r>
        <w:rPr>
          <w:color w:val="auto"/>
          <w:sz w:val="24"/>
        </w:rPr>
        <w:t xml:space="preserve">                           投标单位（盖章）</w:t>
      </w:r>
    </w:p>
    <w:p>
      <w:pPr>
        <w:spacing w:before="100" w:beforeAutospacing="1" w:after="100" w:afterAutospacing="1" w:line="360" w:lineRule="auto"/>
        <w:ind w:firstLine="480"/>
        <w:jc w:val="left"/>
        <w:rPr>
          <w:color w:val="auto"/>
          <w:sz w:val="24"/>
        </w:rPr>
      </w:pPr>
      <w:r>
        <w:rPr>
          <w:color w:val="auto"/>
          <w:sz w:val="24"/>
        </w:rPr>
        <w:t xml:space="preserve">                              </w:t>
      </w:r>
      <w:r>
        <w:rPr>
          <w:rFonts w:hint="eastAsia"/>
          <w:color w:val="auto"/>
          <w:sz w:val="24"/>
        </w:rPr>
        <w:t xml:space="preserve">     </w:t>
      </w:r>
      <w:r>
        <w:rPr>
          <w:color w:val="auto"/>
          <w:sz w:val="24"/>
        </w:rPr>
        <w:t xml:space="preserve">   法定代表人（签字或盖章）</w:t>
      </w:r>
    </w:p>
    <w:p>
      <w:pPr>
        <w:spacing w:line="360" w:lineRule="auto"/>
        <w:ind w:right="600" w:firstLine="3120" w:firstLineChars="1300"/>
        <w:jc w:val="right"/>
        <w:rPr>
          <w:bCs/>
          <w:color w:val="auto"/>
          <w:sz w:val="24"/>
        </w:rPr>
      </w:pPr>
    </w:p>
    <w:p>
      <w:pPr>
        <w:spacing w:line="360" w:lineRule="auto"/>
        <w:ind w:right="480" w:firstLine="3120" w:firstLineChars="1300"/>
        <w:jc w:val="right"/>
        <w:rPr>
          <w:bCs/>
          <w:color w:val="auto"/>
          <w:sz w:val="24"/>
        </w:rPr>
      </w:pPr>
    </w:p>
    <w:p>
      <w:pPr>
        <w:spacing w:line="360" w:lineRule="auto"/>
        <w:ind w:right="480" w:firstLine="3120" w:firstLineChars="1300"/>
        <w:jc w:val="right"/>
        <w:rPr>
          <w:bCs/>
          <w:color w:val="auto"/>
          <w:sz w:val="24"/>
        </w:rPr>
      </w:pPr>
      <w:r>
        <w:rPr>
          <w:bCs/>
          <w:color w:val="auto"/>
          <w:sz w:val="24"/>
        </w:rPr>
        <w:t>年      月      日</w:t>
      </w:r>
    </w:p>
    <w:p>
      <w:pPr>
        <w:spacing w:line="360" w:lineRule="auto"/>
        <w:ind w:firstLine="2820" w:firstLineChars="1175"/>
        <w:rPr>
          <w:bCs/>
          <w:color w:val="auto"/>
          <w:sz w:val="24"/>
        </w:rPr>
      </w:pPr>
    </w:p>
    <w:p>
      <w:pPr>
        <w:spacing w:line="360" w:lineRule="auto"/>
        <w:ind w:firstLine="2820" w:firstLineChars="1175"/>
        <w:rPr>
          <w:bCs/>
          <w:color w:val="auto"/>
          <w:sz w:val="24"/>
        </w:rPr>
      </w:pPr>
    </w:p>
    <w:p>
      <w:pPr>
        <w:spacing w:line="360" w:lineRule="auto"/>
        <w:rPr>
          <w:bCs/>
          <w:color w:val="auto"/>
          <w:sz w:val="24"/>
        </w:rPr>
      </w:pPr>
    </w:p>
    <w:p>
      <w:pPr>
        <w:spacing w:line="360" w:lineRule="auto"/>
        <w:rPr>
          <w:bCs/>
          <w:color w:val="auto"/>
          <w:sz w:val="24"/>
        </w:rPr>
      </w:pPr>
    </w:p>
    <w:p>
      <w:pPr>
        <w:spacing w:beforeLines="100" w:afterLines="100" w:line="360" w:lineRule="auto"/>
        <w:jc w:val="center"/>
        <w:rPr>
          <w:bCs/>
          <w:color w:val="auto"/>
          <w:sz w:val="24"/>
        </w:rPr>
      </w:pPr>
    </w:p>
    <w:p>
      <w:pPr>
        <w:pStyle w:val="22"/>
        <w:rPr>
          <w:rFonts w:ascii="Times New Roman" w:hAnsi="Times New Roman"/>
          <w:bCs/>
          <w:color w:val="auto"/>
          <w:sz w:val="24"/>
        </w:rPr>
      </w:pPr>
    </w:p>
    <w:p>
      <w:pPr>
        <w:pStyle w:val="22"/>
        <w:rPr>
          <w:rFonts w:ascii="Times New Roman" w:hAnsi="Times New Roman"/>
          <w:bCs/>
          <w:color w:val="auto"/>
          <w:sz w:val="24"/>
        </w:rPr>
      </w:pPr>
    </w:p>
    <w:p>
      <w:pPr>
        <w:spacing w:beforeLines="100" w:afterLines="100" w:line="360" w:lineRule="auto"/>
        <w:jc w:val="center"/>
        <w:rPr>
          <w:b/>
          <w:bCs/>
          <w:color w:val="auto"/>
          <w:sz w:val="28"/>
          <w:szCs w:val="28"/>
        </w:rPr>
      </w:pPr>
    </w:p>
    <w:p>
      <w:pPr>
        <w:jc w:val="center"/>
        <w:rPr>
          <w:b/>
          <w:bCs/>
          <w:color w:val="auto"/>
          <w:sz w:val="28"/>
          <w:szCs w:val="28"/>
        </w:rPr>
      </w:pPr>
      <w:r>
        <w:rPr>
          <w:rFonts w:hint="eastAsia"/>
          <w:b/>
          <w:bCs/>
          <w:color w:val="auto"/>
          <w:sz w:val="28"/>
          <w:szCs w:val="28"/>
          <w:lang w:val="en-US" w:eastAsia="zh-CN"/>
        </w:rPr>
        <w:t>8、参加政府采购活动前三年内在经营活动中没有重大违法记录的书面声明</w:t>
      </w:r>
    </w:p>
    <w:p>
      <w:pPr>
        <w:rPr>
          <w:b/>
          <w:bCs/>
          <w:color w:val="auto"/>
          <w:sz w:val="28"/>
          <w:szCs w:val="28"/>
        </w:rPr>
      </w:pPr>
    </w:p>
    <w:p>
      <w:pPr>
        <w:spacing w:before="120" w:beforeLines="50" w:after="120" w:afterLines="50" w:line="300" w:lineRule="auto"/>
        <w:ind w:firstLine="492"/>
        <w:rPr>
          <w:rFonts w:hint="eastAsia" w:ascii="宋体" w:hAnsi="宋体" w:eastAsia="宋体" w:cs="宋体"/>
          <w:sz w:val="24"/>
          <w:szCs w:val="24"/>
        </w:rPr>
      </w:pPr>
      <w:r>
        <w:rPr>
          <w:rFonts w:hint="eastAsia" w:ascii="宋体" w:hAnsi="宋体" w:eastAsia="宋体" w:cs="宋体"/>
          <w:sz w:val="24"/>
          <w:szCs w:val="24"/>
        </w:rPr>
        <w:t>我单位郑重声明：参加本次政府采购活动前 3 年内，我单位在经营活动中没有因违法经营受到刑事处罚或者责令停产停业、吊销许可证或者执照、较大数额罚款等行政处罚。</w:t>
      </w:r>
    </w:p>
    <w:p>
      <w:pPr>
        <w:spacing w:before="120" w:beforeLines="50" w:after="120" w:afterLines="50" w:line="300" w:lineRule="auto"/>
        <w:ind w:firstLine="492"/>
        <w:rPr>
          <w:rFonts w:hint="eastAsia" w:ascii="宋体" w:hAnsi="宋体" w:eastAsia="宋体" w:cs="宋体"/>
          <w:sz w:val="24"/>
          <w:szCs w:val="24"/>
        </w:rPr>
      </w:pPr>
    </w:p>
    <w:p>
      <w:pPr>
        <w:spacing w:before="120" w:beforeLines="50" w:after="120" w:afterLines="50" w:line="300" w:lineRule="auto"/>
        <w:ind w:firstLine="492"/>
        <w:jc w:val="center"/>
        <w:rPr>
          <w:rFonts w:hint="eastAsia" w:ascii="宋体" w:hAnsi="宋体" w:eastAsia="宋体" w:cs="宋体"/>
          <w:sz w:val="24"/>
          <w:szCs w:val="24"/>
        </w:rPr>
      </w:pPr>
      <w:r>
        <w:rPr>
          <w:rFonts w:hint="eastAsia" w:ascii="宋体" w:hAnsi="宋体" w:eastAsia="宋体" w:cs="宋体"/>
          <w:sz w:val="24"/>
          <w:szCs w:val="24"/>
        </w:rPr>
        <w:t>投标人名称（盖章）：</w:t>
      </w:r>
    </w:p>
    <w:p>
      <w:pPr>
        <w:jc w:val="center"/>
        <w:rPr>
          <w:rFonts w:hint="eastAsia" w:ascii="宋体" w:hAnsi="宋体" w:eastAsia="宋体" w:cs="宋体"/>
          <w:sz w:val="24"/>
          <w:szCs w:val="24"/>
        </w:rPr>
      </w:pPr>
      <w:r>
        <w:rPr>
          <w:rFonts w:hint="eastAsia" w:ascii="宋体" w:hAnsi="宋体" w:eastAsia="宋体" w:cs="宋体"/>
          <w:sz w:val="24"/>
          <w:szCs w:val="24"/>
        </w:rPr>
        <w:t>______年____月____日</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left"/>
        <w:rPr>
          <w:b/>
          <w:bCs/>
          <w:color w:val="auto"/>
          <w:sz w:val="28"/>
          <w:szCs w:val="28"/>
        </w:rPr>
      </w:pPr>
      <w:r>
        <w:rPr>
          <w:rFonts w:hint="eastAsia"/>
          <w:b/>
          <w:bCs/>
          <w:color w:val="auto"/>
          <w:sz w:val="28"/>
          <w:szCs w:val="28"/>
          <w:lang w:val="en-US" w:eastAsia="zh-CN"/>
        </w:rPr>
        <w:t>9</w:t>
      </w:r>
      <w:r>
        <w:rPr>
          <w:b/>
          <w:bCs/>
          <w:color w:val="auto"/>
          <w:sz w:val="28"/>
          <w:szCs w:val="28"/>
        </w:rPr>
        <w:t>、投标人认为需要提供的其他材料</w:t>
      </w: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both"/>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p>
    <w:p>
      <w:pPr>
        <w:pStyle w:val="40"/>
        <w:ind w:firstLine="420"/>
        <w:rPr>
          <w:color w:val="auto"/>
          <w:lang w:val="en-US"/>
        </w:rPr>
      </w:pPr>
    </w:p>
    <w:p>
      <w:pPr>
        <w:pStyle w:val="40"/>
        <w:ind w:firstLine="420"/>
        <w:rPr>
          <w:color w:val="auto"/>
          <w:lang w:val="en-US"/>
        </w:rPr>
      </w:pPr>
    </w:p>
    <w:p>
      <w:pPr>
        <w:pStyle w:val="40"/>
        <w:ind w:firstLine="420"/>
        <w:rPr>
          <w:color w:val="auto"/>
          <w:lang w:val="en-US"/>
        </w:rPr>
      </w:pPr>
    </w:p>
    <w:p>
      <w:pPr>
        <w:pStyle w:val="40"/>
        <w:ind w:firstLine="420"/>
        <w:rPr>
          <w:color w:val="auto"/>
          <w:lang w:val="en-US"/>
        </w:rPr>
      </w:pPr>
    </w:p>
    <w:p>
      <w:pPr>
        <w:pStyle w:val="40"/>
        <w:ind w:firstLine="420"/>
        <w:rPr>
          <w:color w:val="auto"/>
          <w:lang w:val="en-US"/>
        </w:rPr>
      </w:pPr>
    </w:p>
    <w:p>
      <w:pPr>
        <w:pStyle w:val="40"/>
        <w:ind w:firstLine="420"/>
        <w:rPr>
          <w:color w:val="auto"/>
          <w:lang w:val="en-US"/>
        </w:rPr>
      </w:pPr>
    </w:p>
    <w:p>
      <w:pPr>
        <w:pStyle w:val="40"/>
        <w:ind w:firstLine="420"/>
        <w:rPr>
          <w:color w:val="auto"/>
          <w:lang w:val="en-US"/>
        </w:rPr>
      </w:pPr>
    </w:p>
    <w:p>
      <w:pPr>
        <w:pStyle w:val="40"/>
        <w:ind w:firstLine="420"/>
        <w:rPr>
          <w:color w:val="auto"/>
          <w:lang w:val="en-US"/>
        </w:rPr>
      </w:pPr>
    </w:p>
    <w:p>
      <w:pPr>
        <w:pStyle w:val="40"/>
        <w:ind w:firstLine="420"/>
        <w:rPr>
          <w:color w:val="auto"/>
          <w:lang w:val="en-US"/>
        </w:rPr>
      </w:pPr>
    </w:p>
    <w:p>
      <w:pPr>
        <w:pStyle w:val="40"/>
        <w:ind w:firstLine="420"/>
        <w:rPr>
          <w:color w:val="auto"/>
          <w:lang w:val="en-US"/>
        </w:rPr>
      </w:pPr>
    </w:p>
    <w:p>
      <w:pPr>
        <w:pStyle w:val="40"/>
        <w:ind w:firstLine="420"/>
        <w:rPr>
          <w:color w:val="auto"/>
          <w:lang w:val="en-US"/>
        </w:rPr>
      </w:pPr>
    </w:p>
    <w:p>
      <w:pPr>
        <w:spacing w:line="360" w:lineRule="auto"/>
        <w:jc w:val="center"/>
        <w:rPr>
          <w:b/>
          <w:color w:val="auto"/>
          <w:sz w:val="44"/>
          <w:szCs w:val="44"/>
        </w:rPr>
      </w:pPr>
    </w:p>
    <w:p>
      <w:pPr>
        <w:spacing w:line="360" w:lineRule="auto"/>
        <w:jc w:val="center"/>
        <w:rPr>
          <w:rFonts w:hint="eastAsia" w:eastAsia="宋体"/>
          <w:b/>
          <w:color w:val="auto"/>
          <w:sz w:val="44"/>
          <w:szCs w:val="44"/>
          <w:lang w:eastAsia="zh-CN"/>
        </w:rPr>
      </w:pPr>
      <w:r>
        <w:rPr>
          <w:b/>
          <w:color w:val="auto"/>
          <w:sz w:val="44"/>
          <w:szCs w:val="44"/>
        </w:rPr>
        <w:t>第二部分：技术</w:t>
      </w:r>
      <w:r>
        <w:rPr>
          <w:rFonts w:hint="eastAsia"/>
          <w:b/>
          <w:color w:val="auto"/>
          <w:sz w:val="44"/>
          <w:szCs w:val="44"/>
          <w:lang w:val="en-US" w:eastAsia="zh-CN"/>
        </w:rPr>
        <w:t>标</w:t>
      </w:r>
    </w:p>
    <w:p>
      <w:pPr>
        <w:spacing w:line="360" w:lineRule="auto"/>
        <w:ind w:firstLine="2628" w:firstLineChars="935"/>
        <w:rPr>
          <w:b/>
          <w:color w:val="auto"/>
          <w:sz w:val="28"/>
          <w:szCs w:val="28"/>
        </w:rPr>
      </w:pPr>
    </w:p>
    <w:p>
      <w:pPr>
        <w:spacing w:line="360" w:lineRule="auto"/>
        <w:ind w:firstLine="2628" w:firstLineChars="935"/>
        <w:rPr>
          <w:b/>
          <w:color w:val="auto"/>
          <w:sz w:val="28"/>
          <w:szCs w:val="28"/>
        </w:rPr>
      </w:pPr>
    </w:p>
    <w:p>
      <w:pPr>
        <w:spacing w:line="360" w:lineRule="auto"/>
        <w:ind w:firstLine="2628" w:firstLineChars="935"/>
        <w:rPr>
          <w:b/>
          <w:color w:val="auto"/>
          <w:sz w:val="28"/>
          <w:szCs w:val="28"/>
        </w:rPr>
      </w:pPr>
    </w:p>
    <w:p>
      <w:pPr>
        <w:spacing w:line="360" w:lineRule="auto"/>
        <w:ind w:firstLine="2628" w:firstLineChars="935"/>
        <w:rPr>
          <w:b/>
          <w:color w:val="auto"/>
          <w:sz w:val="28"/>
          <w:szCs w:val="28"/>
        </w:rPr>
      </w:pPr>
    </w:p>
    <w:p>
      <w:pPr>
        <w:spacing w:line="360" w:lineRule="auto"/>
        <w:ind w:firstLine="2628" w:firstLineChars="935"/>
        <w:rPr>
          <w:b/>
          <w:color w:val="auto"/>
          <w:sz w:val="28"/>
          <w:szCs w:val="28"/>
        </w:rPr>
      </w:pPr>
    </w:p>
    <w:p>
      <w:pPr>
        <w:spacing w:line="360" w:lineRule="auto"/>
        <w:ind w:firstLine="2628" w:firstLineChars="935"/>
        <w:rPr>
          <w:b/>
          <w:color w:val="auto"/>
          <w:sz w:val="28"/>
          <w:szCs w:val="28"/>
        </w:rPr>
      </w:pPr>
    </w:p>
    <w:p>
      <w:pPr>
        <w:spacing w:line="360" w:lineRule="auto"/>
        <w:ind w:firstLine="2628" w:firstLineChars="935"/>
        <w:rPr>
          <w:b/>
          <w:color w:val="auto"/>
          <w:sz w:val="28"/>
          <w:szCs w:val="28"/>
        </w:rPr>
      </w:pPr>
    </w:p>
    <w:p>
      <w:pPr>
        <w:spacing w:line="360" w:lineRule="auto"/>
        <w:ind w:firstLine="2628" w:firstLineChars="935"/>
        <w:rPr>
          <w:b/>
          <w:color w:val="auto"/>
          <w:sz w:val="28"/>
          <w:szCs w:val="28"/>
        </w:rPr>
      </w:pPr>
    </w:p>
    <w:p>
      <w:pPr>
        <w:spacing w:line="360" w:lineRule="auto"/>
        <w:ind w:firstLine="2628" w:firstLineChars="935"/>
        <w:rPr>
          <w:b/>
          <w:color w:val="auto"/>
          <w:sz w:val="28"/>
          <w:szCs w:val="28"/>
        </w:rPr>
      </w:pPr>
    </w:p>
    <w:p>
      <w:pPr>
        <w:spacing w:line="360" w:lineRule="auto"/>
        <w:ind w:firstLine="2628" w:firstLineChars="935"/>
        <w:rPr>
          <w:b/>
          <w:color w:val="auto"/>
          <w:sz w:val="28"/>
          <w:szCs w:val="28"/>
        </w:rPr>
      </w:pPr>
    </w:p>
    <w:p>
      <w:pPr>
        <w:spacing w:line="360" w:lineRule="auto"/>
        <w:ind w:firstLine="2628" w:firstLineChars="935"/>
        <w:rPr>
          <w:b/>
          <w:color w:val="auto"/>
          <w:sz w:val="28"/>
          <w:szCs w:val="28"/>
        </w:rPr>
      </w:pPr>
    </w:p>
    <w:p>
      <w:pPr>
        <w:spacing w:line="360" w:lineRule="auto"/>
        <w:ind w:firstLine="2628" w:firstLineChars="935"/>
        <w:rPr>
          <w:b/>
          <w:color w:val="auto"/>
          <w:sz w:val="28"/>
          <w:szCs w:val="28"/>
        </w:rPr>
      </w:pPr>
    </w:p>
    <w:p>
      <w:pPr>
        <w:spacing w:line="360" w:lineRule="auto"/>
        <w:ind w:firstLine="2628" w:firstLineChars="935"/>
        <w:rPr>
          <w:b/>
          <w:color w:val="auto"/>
          <w:sz w:val="28"/>
          <w:szCs w:val="28"/>
        </w:rPr>
      </w:pPr>
    </w:p>
    <w:p>
      <w:pPr>
        <w:spacing w:beforeLines="100" w:afterLines="100" w:line="360" w:lineRule="auto"/>
        <w:jc w:val="center"/>
        <w:rPr>
          <w:b/>
          <w:bCs/>
          <w:color w:val="auto"/>
          <w:sz w:val="28"/>
          <w:szCs w:val="28"/>
        </w:rPr>
      </w:pPr>
      <w:r>
        <w:rPr>
          <w:b/>
          <w:bCs/>
          <w:color w:val="auto"/>
          <w:sz w:val="28"/>
          <w:szCs w:val="28"/>
        </w:rPr>
        <w:t>1、技术参数响应表（格式）</w:t>
      </w:r>
    </w:p>
    <w:p>
      <w:pPr>
        <w:spacing w:line="360" w:lineRule="auto"/>
        <w:rPr>
          <w:color w:val="auto"/>
          <w:sz w:val="24"/>
        </w:rPr>
      </w:pPr>
    </w:p>
    <w:tbl>
      <w:tblPr>
        <w:tblStyle w:val="30"/>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84"/>
        <w:gridCol w:w="1608"/>
        <w:gridCol w:w="1624"/>
        <w:gridCol w:w="1648"/>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12" w:type="dxa"/>
            <w:vMerge w:val="restart"/>
            <w:vAlign w:val="center"/>
          </w:tcPr>
          <w:p>
            <w:pPr>
              <w:spacing w:line="360" w:lineRule="auto"/>
              <w:ind w:firstLine="120" w:firstLineChars="50"/>
              <w:jc w:val="center"/>
              <w:rPr>
                <w:color w:val="auto"/>
                <w:sz w:val="24"/>
              </w:rPr>
            </w:pPr>
          </w:p>
          <w:p>
            <w:pPr>
              <w:spacing w:line="360" w:lineRule="auto"/>
              <w:jc w:val="center"/>
              <w:rPr>
                <w:color w:val="auto"/>
                <w:sz w:val="24"/>
              </w:rPr>
            </w:pPr>
            <w:r>
              <w:rPr>
                <w:color w:val="auto"/>
                <w:sz w:val="24"/>
              </w:rPr>
              <w:t>序号</w:t>
            </w:r>
          </w:p>
          <w:p>
            <w:pPr>
              <w:spacing w:line="360" w:lineRule="auto"/>
              <w:ind w:firstLine="120" w:firstLineChars="50"/>
              <w:jc w:val="center"/>
              <w:rPr>
                <w:color w:val="auto"/>
                <w:sz w:val="24"/>
              </w:rPr>
            </w:pPr>
          </w:p>
        </w:tc>
        <w:tc>
          <w:tcPr>
            <w:tcW w:w="1484" w:type="dxa"/>
            <w:vMerge w:val="restart"/>
            <w:vAlign w:val="center"/>
          </w:tcPr>
          <w:p>
            <w:pPr>
              <w:spacing w:line="360" w:lineRule="auto"/>
              <w:jc w:val="center"/>
              <w:rPr>
                <w:color w:val="auto"/>
                <w:sz w:val="24"/>
              </w:rPr>
            </w:pPr>
            <w:r>
              <w:rPr>
                <w:color w:val="auto"/>
                <w:sz w:val="24"/>
              </w:rPr>
              <w:t>名称</w:t>
            </w:r>
          </w:p>
        </w:tc>
        <w:tc>
          <w:tcPr>
            <w:tcW w:w="3232" w:type="dxa"/>
            <w:gridSpan w:val="2"/>
            <w:vAlign w:val="center"/>
          </w:tcPr>
          <w:p>
            <w:pPr>
              <w:spacing w:line="360" w:lineRule="auto"/>
              <w:ind w:firstLine="120" w:firstLineChars="50"/>
              <w:jc w:val="center"/>
              <w:rPr>
                <w:color w:val="auto"/>
                <w:sz w:val="24"/>
              </w:rPr>
            </w:pPr>
            <w:r>
              <w:rPr>
                <w:color w:val="auto"/>
                <w:sz w:val="24"/>
              </w:rPr>
              <w:t>规格型号及参数配置</w:t>
            </w:r>
          </w:p>
        </w:tc>
        <w:tc>
          <w:tcPr>
            <w:tcW w:w="1648" w:type="dxa"/>
            <w:vMerge w:val="restart"/>
            <w:vAlign w:val="center"/>
          </w:tcPr>
          <w:p>
            <w:pPr>
              <w:spacing w:line="360" w:lineRule="auto"/>
              <w:jc w:val="center"/>
              <w:rPr>
                <w:color w:val="auto"/>
                <w:sz w:val="24"/>
              </w:rPr>
            </w:pPr>
            <w:r>
              <w:rPr>
                <w:color w:val="auto"/>
                <w:sz w:val="24"/>
              </w:rPr>
              <w:t>是否响应</w:t>
            </w:r>
          </w:p>
        </w:tc>
        <w:tc>
          <w:tcPr>
            <w:tcW w:w="2050" w:type="dxa"/>
            <w:vMerge w:val="restart"/>
            <w:vAlign w:val="center"/>
          </w:tcPr>
          <w:p>
            <w:pPr>
              <w:spacing w:line="360" w:lineRule="auto"/>
              <w:jc w:val="center"/>
              <w:rPr>
                <w:color w:val="auto"/>
                <w:sz w:val="24"/>
              </w:rPr>
            </w:pPr>
            <w:r>
              <w:rPr>
                <w:color w:val="auto"/>
                <w:sz w:val="24"/>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12" w:type="dxa"/>
            <w:vMerge w:val="continue"/>
          </w:tcPr>
          <w:p>
            <w:pPr>
              <w:spacing w:line="360" w:lineRule="auto"/>
              <w:ind w:firstLine="120" w:firstLineChars="50"/>
              <w:rPr>
                <w:color w:val="auto"/>
                <w:sz w:val="24"/>
              </w:rPr>
            </w:pPr>
          </w:p>
        </w:tc>
        <w:tc>
          <w:tcPr>
            <w:tcW w:w="1484" w:type="dxa"/>
            <w:vMerge w:val="continue"/>
          </w:tcPr>
          <w:p>
            <w:pPr>
              <w:spacing w:line="360" w:lineRule="auto"/>
              <w:jc w:val="center"/>
              <w:rPr>
                <w:color w:val="auto"/>
                <w:sz w:val="24"/>
              </w:rPr>
            </w:pPr>
          </w:p>
        </w:tc>
        <w:tc>
          <w:tcPr>
            <w:tcW w:w="1608" w:type="dxa"/>
            <w:vAlign w:val="center"/>
          </w:tcPr>
          <w:p>
            <w:pPr>
              <w:spacing w:line="360" w:lineRule="auto"/>
              <w:jc w:val="center"/>
              <w:rPr>
                <w:color w:val="auto"/>
                <w:sz w:val="24"/>
              </w:rPr>
            </w:pPr>
            <w:r>
              <w:rPr>
                <w:color w:val="auto"/>
                <w:sz w:val="24"/>
              </w:rPr>
              <w:t>招标要求规格型号技术参数</w:t>
            </w:r>
          </w:p>
        </w:tc>
        <w:tc>
          <w:tcPr>
            <w:tcW w:w="1624" w:type="dxa"/>
            <w:vAlign w:val="center"/>
          </w:tcPr>
          <w:p>
            <w:pPr>
              <w:spacing w:line="360" w:lineRule="auto"/>
              <w:jc w:val="center"/>
              <w:rPr>
                <w:color w:val="auto"/>
                <w:sz w:val="24"/>
              </w:rPr>
            </w:pPr>
            <w:r>
              <w:rPr>
                <w:color w:val="auto"/>
                <w:sz w:val="24"/>
              </w:rPr>
              <w:t>投标货物规格型号技术参数</w:t>
            </w:r>
          </w:p>
        </w:tc>
        <w:tc>
          <w:tcPr>
            <w:tcW w:w="1648" w:type="dxa"/>
            <w:vMerge w:val="continue"/>
          </w:tcPr>
          <w:p>
            <w:pPr>
              <w:spacing w:line="360" w:lineRule="auto"/>
              <w:jc w:val="center"/>
              <w:rPr>
                <w:color w:val="auto"/>
                <w:sz w:val="24"/>
              </w:rPr>
            </w:pPr>
          </w:p>
        </w:tc>
        <w:tc>
          <w:tcPr>
            <w:tcW w:w="2050" w:type="dxa"/>
            <w:vMerge w:val="continue"/>
          </w:tcPr>
          <w:p>
            <w:pPr>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112" w:type="dxa"/>
          </w:tcPr>
          <w:p>
            <w:pPr>
              <w:spacing w:line="360" w:lineRule="auto"/>
              <w:ind w:firstLine="360" w:firstLineChars="150"/>
              <w:rPr>
                <w:color w:val="auto"/>
                <w:sz w:val="24"/>
              </w:rPr>
            </w:pPr>
          </w:p>
        </w:tc>
        <w:tc>
          <w:tcPr>
            <w:tcW w:w="1484" w:type="dxa"/>
          </w:tcPr>
          <w:p>
            <w:pPr>
              <w:spacing w:line="360" w:lineRule="auto"/>
              <w:rPr>
                <w:color w:val="auto"/>
                <w:sz w:val="24"/>
              </w:rPr>
            </w:pPr>
          </w:p>
        </w:tc>
        <w:tc>
          <w:tcPr>
            <w:tcW w:w="1608" w:type="dxa"/>
          </w:tcPr>
          <w:p>
            <w:pPr>
              <w:spacing w:line="360" w:lineRule="auto"/>
              <w:ind w:firstLine="720" w:firstLineChars="300"/>
              <w:rPr>
                <w:color w:val="auto"/>
                <w:sz w:val="24"/>
              </w:rPr>
            </w:pPr>
          </w:p>
        </w:tc>
        <w:tc>
          <w:tcPr>
            <w:tcW w:w="1624" w:type="dxa"/>
          </w:tcPr>
          <w:p>
            <w:pPr>
              <w:spacing w:line="360" w:lineRule="auto"/>
              <w:ind w:firstLine="720" w:firstLineChars="300"/>
              <w:rPr>
                <w:color w:val="auto"/>
                <w:sz w:val="24"/>
              </w:rPr>
            </w:pPr>
          </w:p>
        </w:tc>
        <w:tc>
          <w:tcPr>
            <w:tcW w:w="1648" w:type="dxa"/>
          </w:tcPr>
          <w:p>
            <w:pPr>
              <w:spacing w:line="360" w:lineRule="auto"/>
              <w:ind w:firstLine="480" w:firstLineChars="200"/>
              <w:rPr>
                <w:color w:val="auto"/>
                <w:sz w:val="24"/>
              </w:rPr>
            </w:pPr>
          </w:p>
          <w:p>
            <w:pPr>
              <w:spacing w:line="360" w:lineRule="auto"/>
              <w:jc w:val="center"/>
              <w:rPr>
                <w:color w:val="auto"/>
                <w:sz w:val="24"/>
              </w:rPr>
            </w:pPr>
            <w:r>
              <w:rPr>
                <w:color w:val="auto"/>
                <w:sz w:val="24"/>
              </w:rPr>
              <w:t>是/否</w:t>
            </w:r>
          </w:p>
        </w:tc>
        <w:tc>
          <w:tcPr>
            <w:tcW w:w="2050" w:type="dxa"/>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112" w:type="dxa"/>
          </w:tcPr>
          <w:p>
            <w:pPr>
              <w:spacing w:line="360" w:lineRule="auto"/>
              <w:rPr>
                <w:color w:val="auto"/>
                <w:sz w:val="24"/>
              </w:rPr>
            </w:pPr>
          </w:p>
        </w:tc>
        <w:tc>
          <w:tcPr>
            <w:tcW w:w="1484" w:type="dxa"/>
          </w:tcPr>
          <w:p>
            <w:pPr>
              <w:spacing w:line="360" w:lineRule="auto"/>
              <w:rPr>
                <w:color w:val="auto"/>
                <w:sz w:val="24"/>
              </w:rPr>
            </w:pPr>
          </w:p>
        </w:tc>
        <w:tc>
          <w:tcPr>
            <w:tcW w:w="1608" w:type="dxa"/>
          </w:tcPr>
          <w:p>
            <w:pPr>
              <w:spacing w:line="360" w:lineRule="auto"/>
              <w:ind w:firstLine="720" w:firstLineChars="300"/>
              <w:rPr>
                <w:color w:val="auto"/>
                <w:sz w:val="24"/>
              </w:rPr>
            </w:pPr>
          </w:p>
        </w:tc>
        <w:tc>
          <w:tcPr>
            <w:tcW w:w="1624" w:type="dxa"/>
          </w:tcPr>
          <w:p>
            <w:pPr>
              <w:spacing w:line="360" w:lineRule="auto"/>
              <w:ind w:firstLine="720" w:firstLineChars="300"/>
              <w:rPr>
                <w:color w:val="auto"/>
                <w:sz w:val="24"/>
              </w:rPr>
            </w:pPr>
          </w:p>
        </w:tc>
        <w:tc>
          <w:tcPr>
            <w:tcW w:w="1648" w:type="dxa"/>
          </w:tcPr>
          <w:p>
            <w:pPr>
              <w:spacing w:line="360" w:lineRule="auto"/>
              <w:ind w:firstLine="480" w:firstLineChars="200"/>
              <w:rPr>
                <w:color w:val="auto"/>
                <w:sz w:val="24"/>
              </w:rPr>
            </w:pPr>
          </w:p>
        </w:tc>
        <w:tc>
          <w:tcPr>
            <w:tcW w:w="2050" w:type="dxa"/>
          </w:tcPr>
          <w:p>
            <w:pPr>
              <w:spacing w:line="360" w:lineRule="auto"/>
              <w:rPr>
                <w:color w:val="auto"/>
                <w:sz w:val="24"/>
              </w:rPr>
            </w:pPr>
          </w:p>
        </w:tc>
      </w:tr>
    </w:tbl>
    <w:p>
      <w:pPr>
        <w:spacing w:line="360" w:lineRule="auto"/>
        <w:ind w:firstLine="480" w:firstLineChars="200"/>
        <w:rPr>
          <w:color w:val="auto"/>
          <w:sz w:val="24"/>
        </w:rPr>
      </w:pPr>
    </w:p>
    <w:p>
      <w:pPr>
        <w:spacing w:line="360" w:lineRule="auto"/>
        <w:rPr>
          <w:color w:val="auto"/>
          <w:sz w:val="24"/>
        </w:rPr>
      </w:pPr>
      <w:r>
        <w:rPr>
          <w:color w:val="auto"/>
          <w:sz w:val="24"/>
        </w:rPr>
        <w:t>投标人名称（盖章）：</w:t>
      </w:r>
      <w:r>
        <w:rPr>
          <w:color w:val="auto"/>
          <w:sz w:val="24"/>
          <w:u w:val="single"/>
        </w:rPr>
        <w:t xml:space="preserve">                                </w:t>
      </w:r>
    </w:p>
    <w:p>
      <w:pPr>
        <w:spacing w:line="360" w:lineRule="auto"/>
        <w:rPr>
          <w:color w:val="auto"/>
          <w:sz w:val="24"/>
        </w:rPr>
      </w:pPr>
      <w:r>
        <w:rPr>
          <w:color w:val="auto"/>
          <w:sz w:val="24"/>
        </w:rPr>
        <w:t>法定代表人或授权代理人</w:t>
      </w:r>
      <w:r>
        <w:rPr>
          <w:rFonts w:hint="eastAsia"/>
          <w:color w:val="auto"/>
          <w:sz w:val="24"/>
          <w:lang w:eastAsia="zh-CN"/>
        </w:rPr>
        <w:t>（</w:t>
      </w:r>
      <w:r>
        <w:rPr>
          <w:color w:val="auto"/>
          <w:sz w:val="24"/>
        </w:rPr>
        <w:t>签字或盖章</w:t>
      </w:r>
      <w:r>
        <w:rPr>
          <w:rFonts w:hint="eastAsia"/>
          <w:color w:val="auto"/>
          <w:sz w:val="24"/>
          <w:lang w:eastAsia="zh-CN"/>
        </w:rPr>
        <w:t>）</w:t>
      </w:r>
      <w:r>
        <w:rPr>
          <w:color w:val="auto"/>
          <w:sz w:val="24"/>
        </w:rPr>
        <w:t>：</w:t>
      </w:r>
      <w:r>
        <w:rPr>
          <w:color w:val="auto"/>
          <w:sz w:val="24"/>
          <w:u w:val="single"/>
        </w:rPr>
        <w:t xml:space="preserve">                          </w:t>
      </w:r>
    </w:p>
    <w:p>
      <w:pPr>
        <w:spacing w:line="360" w:lineRule="auto"/>
        <w:rPr>
          <w:color w:val="auto"/>
          <w:sz w:val="24"/>
        </w:rPr>
      </w:pPr>
      <w:r>
        <w:rPr>
          <w:color w:val="auto"/>
          <w:sz w:val="24"/>
        </w:rPr>
        <w:t xml:space="preserve">                                 </w:t>
      </w: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jc w:val="right"/>
        <w:rPr>
          <w:color w:val="auto"/>
          <w:sz w:val="24"/>
        </w:rPr>
      </w:pPr>
      <w:r>
        <w:rPr>
          <w:color w:val="auto"/>
          <w:sz w:val="24"/>
        </w:rPr>
        <w:t>日    期：</w:t>
      </w: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日</w:t>
      </w:r>
    </w:p>
    <w:p>
      <w:pPr>
        <w:spacing w:line="360" w:lineRule="auto"/>
        <w:rPr>
          <w:b/>
          <w:color w:val="auto"/>
          <w:sz w:val="24"/>
        </w:rPr>
      </w:pPr>
    </w:p>
    <w:p>
      <w:pPr>
        <w:spacing w:line="360" w:lineRule="auto"/>
        <w:jc w:val="center"/>
        <w:rPr>
          <w:b/>
          <w:bCs/>
          <w:color w:val="auto"/>
          <w:sz w:val="27"/>
          <w:szCs w:val="27"/>
        </w:rPr>
      </w:pPr>
    </w:p>
    <w:p>
      <w:pPr>
        <w:spacing w:line="360" w:lineRule="auto"/>
        <w:jc w:val="center"/>
        <w:rPr>
          <w:b/>
          <w:bCs/>
          <w:color w:val="auto"/>
          <w:sz w:val="27"/>
          <w:szCs w:val="27"/>
        </w:rPr>
      </w:pPr>
    </w:p>
    <w:p>
      <w:pPr>
        <w:spacing w:line="360" w:lineRule="auto"/>
        <w:jc w:val="center"/>
        <w:rPr>
          <w:b/>
          <w:bCs/>
          <w:color w:val="auto"/>
          <w:sz w:val="27"/>
          <w:szCs w:val="27"/>
        </w:rPr>
      </w:pPr>
    </w:p>
    <w:p>
      <w:pPr>
        <w:spacing w:line="360" w:lineRule="auto"/>
        <w:jc w:val="center"/>
        <w:rPr>
          <w:b/>
          <w:bCs/>
          <w:color w:val="auto"/>
          <w:sz w:val="27"/>
          <w:szCs w:val="27"/>
        </w:rPr>
      </w:pPr>
    </w:p>
    <w:p>
      <w:pPr>
        <w:pStyle w:val="22"/>
        <w:rPr>
          <w:rFonts w:ascii="Times New Roman" w:hAnsi="Times New Roman"/>
          <w:b/>
          <w:bCs/>
          <w:color w:val="auto"/>
          <w:sz w:val="27"/>
          <w:szCs w:val="27"/>
        </w:rPr>
      </w:pPr>
    </w:p>
    <w:p>
      <w:pPr>
        <w:pStyle w:val="22"/>
        <w:rPr>
          <w:rFonts w:ascii="Times New Roman" w:hAnsi="Times New Roman"/>
          <w:b/>
          <w:bCs/>
          <w:color w:val="auto"/>
          <w:sz w:val="27"/>
          <w:szCs w:val="27"/>
        </w:rPr>
      </w:pPr>
    </w:p>
    <w:p>
      <w:pPr>
        <w:spacing w:line="360" w:lineRule="auto"/>
        <w:jc w:val="center"/>
        <w:rPr>
          <w:b/>
          <w:bCs/>
          <w:color w:val="auto"/>
          <w:sz w:val="27"/>
          <w:szCs w:val="27"/>
        </w:rPr>
      </w:pPr>
    </w:p>
    <w:p>
      <w:pPr>
        <w:spacing w:line="360" w:lineRule="auto"/>
        <w:jc w:val="center"/>
        <w:rPr>
          <w:b/>
          <w:bCs/>
          <w:color w:val="auto"/>
          <w:sz w:val="27"/>
          <w:szCs w:val="27"/>
        </w:rPr>
      </w:pPr>
    </w:p>
    <w:p>
      <w:pPr>
        <w:pStyle w:val="22"/>
        <w:rPr>
          <w:color w:val="auto"/>
        </w:rPr>
      </w:pPr>
    </w:p>
    <w:p>
      <w:pPr>
        <w:spacing w:beforeLines="100" w:afterLines="100" w:line="360" w:lineRule="auto"/>
        <w:jc w:val="center"/>
        <w:rPr>
          <w:b/>
          <w:bCs/>
          <w:color w:val="auto"/>
          <w:sz w:val="28"/>
          <w:szCs w:val="28"/>
        </w:rPr>
      </w:pPr>
      <w:r>
        <w:rPr>
          <w:b/>
          <w:bCs/>
          <w:color w:val="auto"/>
          <w:sz w:val="28"/>
          <w:szCs w:val="28"/>
        </w:rPr>
        <w:t>2、货物的详细配置清单</w:t>
      </w:r>
    </w:p>
    <w:tbl>
      <w:tblPr>
        <w:tblStyle w:val="30"/>
        <w:tblpPr w:leftFromText="180" w:rightFromText="180" w:vertAnchor="text" w:horzAnchor="margin" w:tblpXSpec="left" w:tblpY="125"/>
        <w:tblW w:w="9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637"/>
        <w:gridCol w:w="1908"/>
        <w:gridCol w:w="1256"/>
        <w:gridCol w:w="1861"/>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43" w:type="dxa"/>
            <w:vAlign w:val="center"/>
          </w:tcPr>
          <w:p>
            <w:pPr>
              <w:spacing w:line="360" w:lineRule="auto"/>
              <w:jc w:val="center"/>
              <w:rPr>
                <w:color w:val="auto"/>
                <w:sz w:val="24"/>
              </w:rPr>
            </w:pPr>
            <w:r>
              <w:rPr>
                <w:color w:val="auto"/>
                <w:sz w:val="24"/>
              </w:rPr>
              <w:t>序号</w:t>
            </w:r>
          </w:p>
        </w:tc>
        <w:tc>
          <w:tcPr>
            <w:tcW w:w="1637" w:type="dxa"/>
            <w:vAlign w:val="center"/>
          </w:tcPr>
          <w:p>
            <w:pPr>
              <w:spacing w:line="360" w:lineRule="auto"/>
              <w:jc w:val="center"/>
              <w:rPr>
                <w:color w:val="auto"/>
                <w:sz w:val="24"/>
              </w:rPr>
            </w:pPr>
            <w:r>
              <w:rPr>
                <w:color w:val="auto"/>
                <w:sz w:val="24"/>
              </w:rPr>
              <w:t>名称</w:t>
            </w:r>
          </w:p>
        </w:tc>
        <w:tc>
          <w:tcPr>
            <w:tcW w:w="1908" w:type="dxa"/>
            <w:vAlign w:val="center"/>
          </w:tcPr>
          <w:p>
            <w:pPr>
              <w:spacing w:line="360" w:lineRule="auto"/>
              <w:jc w:val="center"/>
              <w:rPr>
                <w:color w:val="auto"/>
                <w:sz w:val="24"/>
              </w:rPr>
            </w:pPr>
            <w:r>
              <w:rPr>
                <w:color w:val="auto"/>
                <w:sz w:val="24"/>
              </w:rPr>
              <w:t>品牌</w:t>
            </w:r>
          </w:p>
        </w:tc>
        <w:tc>
          <w:tcPr>
            <w:tcW w:w="1256" w:type="dxa"/>
            <w:vAlign w:val="center"/>
          </w:tcPr>
          <w:p>
            <w:pPr>
              <w:spacing w:line="360" w:lineRule="auto"/>
              <w:jc w:val="center"/>
              <w:rPr>
                <w:color w:val="auto"/>
                <w:sz w:val="24"/>
              </w:rPr>
            </w:pPr>
            <w:r>
              <w:rPr>
                <w:color w:val="auto"/>
                <w:sz w:val="24"/>
              </w:rPr>
              <w:t>产地</w:t>
            </w:r>
          </w:p>
        </w:tc>
        <w:tc>
          <w:tcPr>
            <w:tcW w:w="1861" w:type="dxa"/>
            <w:vAlign w:val="center"/>
          </w:tcPr>
          <w:p>
            <w:pPr>
              <w:spacing w:line="360" w:lineRule="auto"/>
              <w:ind w:left="261"/>
              <w:jc w:val="center"/>
              <w:rPr>
                <w:color w:val="auto"/>
                <w:sz w:val="24"/>
              </w:rPr>
            </w:pPr>
            <w:r>
              <w:rPr>
                <w:color w:val="auto"/>
                <w:sz w:val="24"/>
              </w:rPr>
              <w:t>生产厂家</w:t>
            </w:r>
          </w:p>
        </w:tc>
        <w:tc>
          <w:tcPr>
            <w:tcW w:w="2286" w:type="dxa"/>
            <w:vAlign w:val="center"/>
          </w:tcPr>
          <w:p>
            <w:pPr>
              <w:spacing w:line="360" w:lineRule="auto"/>
              <w:jc w:val="center"/>
              <w:rPr>
                <w:color w:val="auto"/>
                <w:sz w:val="24"/>
              </w:rPr>
            </w:pPr>
            <w:r>
              <w:rPr>
                <w:color w:val="auto"/>
                <w:sz w:val="24"/>
              </w:rPr>
              <w:t>详细配置清单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43" w:type="dxa"/>
          </w:tcPr>
          <w:p>
            <w:pPr>
              <w:spacing w:line="360" w:lineRule="auto"/>
              <w:rPr>
                <w:color w:val="auto"/>
                <w:sz w:val="24"/>
              </w:rPr>
            </w:pPr>
          </w:p>
        </w:tc>
        <w:tc>
          <w:tcPr>
            <w:tcW w:w="1637" w:type="dxa"/>
          </w:tcPr>
          <w:p>
            <w:pPr>
              <w:spacing w:line="360" w:lineRule="auto"/>
              <w:rPr>
                <w:color w:val="auto"/>
                <w:sz w:val="24"/>
              </w:rPr>
            </w:pPr>
          </w:p>
        </w:tc>
        <w:tc>
          <w:tcPr>
            <w:tcW w:w="1908" w:type="dxa"/>
          </w:tcPr>
          <w:p>
            <w:pPr>
              <w:spacing w:line="360" w:lineRule="auto"/>
              <w:rPr>
                <w:color w:val="auto"/>
                <w:sz w:val="24"/>
              </w:rPr>
            </w:pPr>
          </w:p>
        </w:tc>
        <w:tc>
          <w:tcPr>
            <w:tcW w:w="1256" w:type="dxa"/>
          </w:tcPr>
          <w:p>
            <w:pPr>
              <w:spacing w:line="360" w:lineRule="auto"/>
              <w:rPr>
                <w:color w:val="auto"/>
                <w:sz w:val="24"/>
              </w:rPr>
            </w:pPr>
          </w:p>
        </w:tc>
        <w:tc>
          <w:tcPr>
            <w:tcW w:w="1861" w:type="dxa"/>
          </w:tcPr>
          <w:p>
            <w:pPr>
              <w:spacing w:line="360" w:lineRule="auto"/>
              <w:rPr>
                <w:color w:val="auto"/>
                <w:sz w:val="24"/>
              </w:rPr>
            </w:pPr>
          </w:p>
        </w:tc>
        <w:tc>
          <w:tcPr>
            <w:tcW w:w="2286" w:type="dxa"/>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43" w:type="dxa"/>
          </w:tcPr>
          <w:p>
            <w:pPr>
              <w:spacing w:line="360" w:lineRule="auto"/>
              <w:rPr>
                <w:color w:val="auto"/>
                <w:sz w:val="24"/>
              </w:rPr>
            </w:pPr>
          </w:p>
        </w:tc>
        <w:tc>
          <w:tcPr>
            <w:tcW w:w="1637" w:type="dxa"/>
          </w:tcPr>
          <w:p>
            <w:pPr>
              <w:spacing w:line="360" w:lineRule="auto"/>
              <w:rPr>
                <w:color w:val="auto"/>
                <w:sz w:val="24"/>
              </w:rPr>
            </w:pPr>
          </w:p>
        </w:tc>
        <w:tc>
          <w:tcPr>
            <w:tcW w:w="1908" w:type="dxa"/>
          </w:tcPr>
          <w:p>
            <w:pPr>
              <w:spacing w:line="360" w:lineRule="auto"/>
              <w:rPr>
                <w:color w:val="auto"/>
                <w:sz w:val="24"/>
              </w:rPr>
            </w:pPr>
          </w:p>
        </w:tc>
        <w:tc>
          <w:tcPr>
            <w:tcW w:w="1256" w:type="dxa"/>
          </w:tcPr>
          <w:p>
            <w:pPr>
              <w:spacing w:line="360" w:lineRule="auto"/>
              <w:rPr>
                <w:color w:val="auto"/>
                <w:sz w:val="24"/>
              </w:rPr>
            </w:pPr>
          </w:p>
        </w:tc>
        <w:tc>
          <w:tcPr>
            <w:tcW w:w="1861" w:type="dxa"/>
          </w:tcPr>
          <w:p>
            <w:pPr>
              <w:spacing w:line="360" w:lineRule="auto"/>
              <w:rPr>
                <w:color w:val="auto"/>
                <w:sz w:val="24"/>
              </w:rPr>
            </w:pPr>
          </w:p>
        </w:tc>
        <w:tc>
          <w:tcPr>
            <w:tcW w:w="2286" w:type="dxa"/>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43" w:type="dxa"/>
          </w:tcPr>
          <w:p>
            <w:pPr>
              <w:spacing w:line="360" w:lineRule="auto"/>
              <w:rPr>
                <w:color w:val="auto"/>
                <w:sz w:val="24"/>
              </w:rPr>
            </w:pPr>
          </w:p>
        </w:tc>
        <w:tc>
          <w:tcPr>
            <w:tcW w:w="1637" w:type="dxa"/>
          </w:tcPr>
          <w:p>
            <w:pPr>
              <w:spacing w:line="360" w:lineRule="auto"/>
              <w:rPr>
                <w:color w:val="auto"/>
                <w:sz w:val="24"/>
              </w:rPr>
            </w:pPr>
          </w:p>
        </w:tc>
        <w:tc>
          <w:tcPr>
            <w:tcW w:w="1908" w:type="dxa"/>
          </w:tcPr>
          <w:p>
            <w:pPr>
              <w:spacing w:line="360" w:lineRule="auto"/>
              <w:rPr>
                <w:color w:val="auto"/>
                <w:sz w:val="24"/>
              </w:rPr>
            </w:pPr>
          </w:p>
        </w:tc>
        <w:tc>
          <w:tcPr>
            <w:tcW w:w="1256" w:type="dxa"/>
          </w:tcPr>
          <w:p>
            <w:pPr>
              <w:spacing w:line="360" w:lineRule="auto"/>
              <w:rPr>
                <w:color w:val="auto"/>
                <w:sz w:val="24"/>
              </w:rPr>
            </w:pPr>
          </w:p>
        </w:tc>
        <w:tc>
          <w:tcPr>
            <w:tcW w:w="1861" w:type="dxa"/>
          </w:tcPr>
          <w:p>
            <w:pPr>
              <w:spacing w:line="360" w:lineRule="auto"/>
              <w:rPr>
                <w:color w:val="auto"/>
                <w:sz w:val="24"/>
              </w:rPr>
            </w:pPr>
          </w:p>
        </w:tc>
        <w:tc>
          <w:tcPr>
            <w:tcW w:w="2286" w:type="dxa"/>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43" w:type="dxa"/>
          </w:tcPr>
          <w:p>
            <w:pPr>
              <w:spacing w:line="360" w:lineRule="auto"/>
              <w:rPr>
                <w:color w:val="auto"/>
                <w:sz w:val="24"/>
              </w:rPr>
            </w:pPr>
          </w:p>
        </w:tc>
        <w:tc>
          <w:tcPr>
            <w:tcW w:w="1637" w:type="dxa"/>
          </w:tcPr>
          <w:p>
            <w:pPr>
              <w:spacing w:line="360" w:lineRule="auto"/>
              <w:rPr>
                <w:color w:val="auto"/>
                <w:sz w:val="24"/>
              </w:rPr>
            </w:pPr>
          </w:p>
        </w:tc>
        <w:tc>
          <w:tcPr>
            <w:tcW w:w="1908" w:type="dxa"/>
          </w:tcPr>
          <w:p>
            <w:pPr>
              <w:spacing w:line="360" w:lineRule="auto"/>
              <w:rPr>
                <w:color w:val="auto"/>
                <w:sz w:val="24"/>
              </w:rPr>
            </w:pPr>
          </w:p>
        </w:tc>
        <w:tc>
          <w:tcPr>
            <w:tcW w:w="1256" w:type="dxa"/>
          </w:tcPr>
          <w:p>
            <w:pPr>
              <w:spacing w:line="360" w:lineRule="auto"/>
              <w:rPr>
                <w:color w:val="auto"/>
                <w:sz w:val="24"/>
              </w:rPr>
            </w:pPr>
          </w:p>
        </w:tc>
        <w:tc>
          <w:tcPr>
            <w:tcW w:w="1861" w:type="dxa"/>
          </w:tcPr>
          <w:p>
            <w:pPr>
              <w:spacing w:line="360" w:lineRule="auto"/>
              <w:rPr>
                <w:color w:val="auto"/>
                <w:sz w:val="24"/>
              </w:rPr>
            </w:pPr>
          </w:p>
        </w:tc>
        <w:tc>
          <w:tcPr>
            <w:tcW w:w="2286" w:type="dxa"/>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43" w:type="dxa"/>
          </w:tcPr>
          <w:p>
            <w:pPr>
              <w:spacing w:line="360" w:lineRule="auto"/>
              <w:rPr>
                <w:color w:val="auto"/>
                <w:sz w:val="24"/>
              </w:rPr>
            </w:pPr>
          </w:p>
        </w:tc>
        <w:tc>
          <w:tcPr>
            <w:tcW w:w="1637" w:type="dxa"/>
          </w:tcPr>
          <w:p>
            <w:pPr>
              <w:spacing w:line="360" w:lineRule="auto"/>
              <w:rPr>
                <w:color w:val="auto"/>
                <w:sz w:val="24"/>
              </w:rPr>
            </w:pPr>
          </w:p>
        </w:tc>
        <w:tc>
          <w:tcPr>
            <w:tcW w:w="1908" w:type="dxa"/>
          </w:tcPr>
          <w:p>
            <w:pPr>
              <w:spacing w:line="360" w:lineRule="auto"/>
              <w:rPr>
                <w:color w:val="auto"/>
                <w:sz w:val="24"/>
              </w:rPr>
            </w:pPr>
          </w:p>
        </w:tc>
        <w:tc>
          <w:tcPr>
            <w:tcW w:w="1256" w:type="dxa"/>
          </w:tcPr>
          <w:p>
            <w:pPr>
              <w:spacing w:line="360" w:lineRule="auto"/>
              <w:rPr>
                <w:color w:val="auto"/>
                <w:sz w:val="24"/>
              </w:rPr>
            </w:pPr>
          </w:p>
        </w:tc>
        <w:tc>
          <w:tcPr>
            <w:tcW w:w="1861" w:type="dxa"/>
          </w:tcPr>
          <w:p>
            <w:pPr>
              <w:spacing w:line="360" w:lineRule="auto"/>
              <w:rPr>
                <w:color w:val="auto"/>
                <w:sz w:val="24"/>
              </w:rPr>
            </w:pPr>
          </w:p>
        </w:tc>
        <w:tc>
          <w:tcPr>
            <w:tcW w:w="2286" w:type="dxa"/>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43" w:type="dxa"/>
          </w:tcPr>
          <w:p>
            <w:pPr>
              <w:spacing w:line="360" w:lineRule="auto"/>
              <w:rPr>
                <w:color w:val="auto"/>
                <w:sz w:val="24"/>
              </w:rPr>
            </w:pPr>
          </w:p>
        </w:tc>
        <w:tc>
          <w:tcPr>
            <w:tcW w:w="1637" w:type="dxa"/>
          </w:tcPr>
          <w:p>
            <w:pPr>
              <w:spacing w:line="360" w:lineRule="auto"/>
              <w:rPr>
                <w:color w:val="auto"/>
                <w:sz w:val="24"/>
              </w:rPr>
            </w:pPr>
          </w:p>
        </w:tc>
        <w:tc>
          <w:tcPr>
            <w:tcW w:w="1908" w:type="dxa"/>
          </w:tcPr>
          <w:p>
            <w:pPr>
              <w:spacing w:line="360" w:lineRule="auto"/>
              <w:rPr>
                <w:color w:val="auto"/>
                <w:sz w:val="24"/>
              </w:rPr>
            </w:pPr>
          </w:p>
        </w:tc>
        <w:tc>
          <w:tcPr>
            <w:tcW w:w="1256" w:type="dxa"/>
          </w:tcPr>
          <w:p>
            <w:pPr>
              <w:spacing w:line="360" w:lineRule="auto"/>
              <w:rPr>
                <w:color w:val="auto"/>
                <w:sz w:val="24"/>
              </w:rPr>
            </w:pPr>
          </w:p>
        </w:tc>
        <w:tc>
          <w:tcPr>
            <w:tcW w:w="1861" w:type="dxa"/>
          </w:tcPr>
          <w:p>
            <w:pPr>
              <w:spacing w:line="360" w:lineRule="auto"/>
              <w:rPr>
                <w:color w:val="auto"/>
                <w:sz w:val="24"/>
              </w:rPr>
            </w:pPr>
          </w:p>
        </w:tc>
        <w:tc>
          <w:tcPr>
            <w:tcW w:w="2286" w:type="dxa"/>
          </w:tcPr>
          <w:p>
            <w:pPr>
              <w:spacing w:line="360" w:lineRule="auto"/>
              <w:rPr>
                <w:color w:val="auto"/>
                <w:sz w:val="24"/>
              </w:rPr>
            </w:pPr>
          </w:p>
        </w:tc>
      </w:tr>
    </w:tbl>
    <w:p>
      <w:pPr>
        <w:spacing w:line="360" w:lineRule="auto"/>
        <w:rPr>
          <w:color w:val="auto"/>
          <w:sz w:val="24"/>
        </w:rPr>
      </w:pPr>
    </w:p>
    <w:p>
      <w:pPr>
        <w:pStyle w:val="22"/>
        <w:rPr>
          <w:rFonts w:ascii="Times New Roman" w:hAnsi="Times New Roman"/>
          <w:color w:val="auto"/>
          <w:sz w:val="24"/>
        </w:rPr>
      </w:pPr>
    </w:p>
    <w:p>
      <w:pPr>
        <w:pStyle w:val="22"/>
        <w:rPr>
          <w:rFonts w:ascii="Times New Roman" w:hAnsi="Times New Roman"/>
          <w:color w:val="auto"/>
          <w:sz w:val="24"/>
        </w:rPr>
      </w:pPr>
    </w:p>
    <w:p>
      <w:pPr>
        <w:pStyle w:val="22"/>
        <w:rPr>
          <w:rFonts w:ascii="Times New Roman" w:hAnsi="Times New Roman"/>
          <w:color w:val="auto"/>
          <w:sz w:val="24"/>
        </w:rPr>
      </w:pPr>
    </w:p>
    <w:p>
      <w:pPr>
        <w:pStyle w:val="22"/>
        <w:rPr>
          <w:rFonts w:ascii="Times New Roman" w:hAnsi="Times New Roman"/>
          <w:color w:val="auto"/>
          <w:sz w:val="24"/>
        </w:rPr>
      </w:pPr>
    </w:p>
    <w:p>
      <w:pPr>
        <w:pStyle w:val="22"/>
        <w:rPr>
          <w:rFonts w:ascii="Times New Roman" w:hAnsi="Times New Roman"/>
          <w:color w:val="auto"/>
          <w:sz w:val="24"/>
        </w:rPr>
      </w:pPr>
    </w:p>
    <w:p>
      <w:pPr>
        <w:pStyle w:val="22"/>
        <w:rPr>
          <w:rFonts w:ascii="Times New Roman" w:hAnsi="Times New Roman"/>
          <w:color w:val="auto"/>
          <w:sz w:val="24"/>
        </w:rPr>
      </w:pPr>
    </w:p>
    <w:p>
      <w:pPr>
        <w:pStyle w:val="22"/>
        <w:rPr>
          <w:rFonts w:ascii="Times New Roman" w:hAnsi="Times New Roman"/>
          <w:color w:val="auto"/>
          <w:sz w:val="24"/>
        </w:rPr>
      </w:pPr>
    </w:p>
    <w:p>
      <w:pPr>
        <w:pStyle w:val="22"/>
        <w:rPr>
          <w:rFonts w:ascii="Times New Roman" w:hAnsi="Times New Roman"/>
          <w:color w:val="auto"/>
          <w:sz w:val="24"/>
        </w:rPr>
      </w:pPr>
    </w:p>
    <w:p>
      <w:pPr>
        <w:pStyle w:val="22"/>
        <w:rPr>
          <w:rFonts w:ascii="Times New Roman" w:hAnsi="Times New Roman"/>
          <w:color w:val="auto"/>
          <w:sz w:val="24"/>
        </w:rPr>
      </w:pPr>
    </w:p>
    <w:p>
      <w:pPr>
        <w:pStyle w:val="22"/>
        <w:rPr>
          <w:rFonts w:ascii="Times New Roman" w:hAnsi="Times New Roman"/>
          <w:color w:val="auto"/>
          <w:sz w:val="24"/>
        </w:rPr>
      </w:pPr>
    </w:p>
    <w:p>
      <w:pPr>
        <w:pStyle w:val="22"/>
        <w:rPr>
          <w:rFonts w:ascii="Times New Roman" w:hAnsi="Times New Roman"/>
          <w:color w:val="auto"/>
          <w:sz w:val="24"/>
        </w:rPr>
      </w:pPr>
    </w:p>
    <w:p>
      <w:pPr>
        <w:spacing w:line="360" w:lineRule="auto"/>
        <w:rPr>
          <w:color w:val="auto"/>
          <w:sz w:val="24"/>
        </w:rPr>
      </w:pPr>
    </w:p>
    <w:p>
      <w:pPr>
        <w:spacing w:line="360" w:lineRule="auto"/>
        <w:rPr>
          <w:color w:val="auto"/>
          <w:sz w:val="24"/>
        </w:rPr>
      </w:pPr>
      <w:r>
        <w:rPr>
          <w:color w:val="auto"/>
          <w:sz w:val="24"/>
        </w:rPr>
        <w:t>法定代表人（或其委托代理人）签字或盖章：</w:t>
      </w:r>
      <w:r>
        <w:rPr>
          <w:color w:val="auto"/>
          <w:sz w:val="28"/>
          <w:szCs w:val="28"/>
        </w:rPr>
        <w:t xml:space="preserve"> </w:t>
      </w:r>
      <w:r>
        <w:rPr>
          <w:color w:val="auto"/>
          <w:sz w:val="24"/>
        </w:rPr>
        <w:t xml:space="preserve">                    </w:t>
      </w:r>
    </w:p>
    <w:p>
      <w:pPr>
        <w:spacing w:line="360" w:lineRule="auto"/>
        <w:rPr>
          <w:color w:val="auto"/>
          <w:sz w:val="24"/>
        </w:rPr>
      </w:pPr>
      <w:r>
        <w:rPr>
          <w:color w:val="auto"/>
          <w:sz w:val="24"/>
        </w:rPr>
        <w:t>投标人（盖章）：</w:t>
      </w:r>
    </w:p>
    <w:p>
      <w:pPr>
        <w:spacing w:line="360" w:lineRule="auto"/>
        <w:ind w:firstLine="480" w:firstLineChars="200"/>
        <w:jc w:val="right"/>
        <w:rPr>
          <w:bCs/>
          <w:color w:val="auto"/>
          <w:sz w:val="24"/>
        </w:rPr>
      </w:pPr>
    </w:p>
    <w:p>
      <w:pPr>
        <w:spacing w:line="360" w:lineRule="auto"/>
        <w:ind w:firstLine="480" w:firstLineChars="200"/>
        <w:jc w:val="right"/>
        <w:rPr>
          <w:bCs/>
          <w:color w:val="auto"/>
          <w:sz w:val="24"/>
        </w:rPr>
      </w:pPr>
    </w:p>
    <w:p>
      <w:pPr>
        <w:spacing w:line="360" w:lineRule="auto"/>
        <w:ind w:firstLine="480" w:firstLineChars="200"/>
        <w:jc w:val="right"/>
        <w:rPr>
          <w:bCs/>
          <w:color w:val="auto"/>
          <w:sz w:val="24"/>
        </w:rPr>
      </w:pPr>
    </w:p>
    <w:p>
      <w:pPr>
        <w:spacing w:line="360" w:lineRule="auto"/>
        <w:ind w:firstLine="480" w:firstLineChars="200"/>
        <w:jc w:val="right"/>
        <w:rPr>
          <w:bCs/>
          <w:color w:val="auto"/>
          <w:sz w:val="24"/>
        </w:rPr>
      </w:pPr>
    </w:p>
    <w:p>
      <w:pPr>
        <w:spacing w:line="360" w:lineRule="auto"/>
        <w:ind w:firstLine="480" w:firstLineChars="200"/>
        <w:jc w:val="right"/>
        <w:rPr>
          <w:bCs/>
          <w:color w:val="auto"/>
          <w:sz w:val="24"/>
        </w:rPr>
      </w:pPr>
    </w:p>
    <w:p>
      <w:pPr>
        <w:spacing w:line="360" w:lineRule="auto"/>
        <w:ind w:firstLine="480" w:firstLineChars="200"/>
        <w:jc w:val="right"/>
        <w:rPr>
          <w:bCs/>
          <w:color w:val="auto"/>
          <w:sz w:val="24"/>
        </w:rPr>
      </w:pPr>
    </w:p>
    <w:p>
      <w:pPr>
        <w:spacing w:line="360" w:lineRule="auto"/>
        <w:ind w:firstLine="480" w:firstLineChars="200"/>
        <w:jc w:val="right"/>
        <w:rPr>
          <w:bCs/>
          <w:color w:val="auto"/>
          <w:sz w:val="24"/>
        </w:rPr>
      </w:pPr>
      <w:r>
        <w:rPr>
          <w:bCs/>
          <w:color w:val="auto"/>
          <w:sz w:val="24"/>
        </w:rPr>
        <w:t>年  月  日</w:t>
      </w:r>
    </w:p>
    <w:p>
      <w:pPr>
        <w:spacing w:line="360" w:lineRule="auto"/>
        <w:ind w:firstLine="562" w:firstLineChars="200"/>
        <w:rPr>
          <w:b/>
          <w:color w:val="auto"/>
          <w:sz w:val="28"/>
          <w:szCs w:val="28"/>
        </w:rPr>
      </w:pPr>
    </w:p>
    <w:p>
      <w:pPr>
        <w:spacing w:line="360" w:lineRule="auto"/>
        <w:ind w:firstLine="4680" w:firstLineChars="1950"/>
        <w:rPr>
          <w:color w:val="auto"/>
          <w:sz w:val="24"/>
          <w:u w:val="single"/>
        </w:rPr>
      </w:pPr>
    </w:p>
    <w:p>
      <w:pPr>
        <w:spacing w:line="360" w:lineRule="auto"/>
        <w:jc w:val="center"/>
        <w:rPr>
          <w:b/>
          <w:color w:val="auto"/>
          <w:sz w:val="28"/>
          <w:szCs w:val="28"/>
        </w:rPr>
      </w:pPr>
    </w:p>
    <w:p>
      <w:pPr>
        <w:spacing w:line="360" w:lineRule="auto"/>
        <w:jc w:val="center"/>
        <w:rPr>
          <w:b/>
          <w:color w:val="auto"/>
          <w:sz w:val="28"/>
          <w:szCs w:val="28"/>
        </w:rPr>
      </w:pPr>
    </w:p>
    <w:p>
      <w:pPr>
        <w:spacing w:beforeLines="100" w:afterLines="100" w:line="360" w:lineRule="auto"/>
        <w:jc w:val="center"/>
        <w:rPr>
          <w:b/>
          <w:bCs/>
          <w:color w:val="auto"/>
          <w:sz w:val="28"/>
          <w:szCs w:val="28"/>
        </w:rPr>
      </w:pPr>
      <w:r>
        <w:rPr>
          <w:b/>
          <w:bCs/>
          <w:color w:val="auto"/>
          <w:sz w:val="28"/>
          <w:szCs w:val="28"/>
        </w:rPr>
        <w:t>3、服务承诺书</w:t>
      </w:r>
    </w:p>
    <w:p>
      <w:pPr>
        <w:spacing w:line="360" w:lineRule="auto"/>
        <w:rPr>
          <w:b/>
          <w:bCs/>
          <w:color w:val="auto"/>
          <w:sz w:val="27"/>
          <w:szCs w:val="27"/>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b/>
          <w:color w:val="auto"/>
          <w:sz w:val="24"/>
        </w:rPr>
      </w:pPr>
      <w:r>
        <w:rPr>
          <w:color w:val="auto"/>
          <w:sz w:val="24"/>
        </w:rPr>
        <w:t>致：</w:t>
      </w:r>
      <w:r>
        <w:rPr>
          <w:color w:val="auto"/>
          <w:sz w:val="24"/>
          <w:u w:val="single"/>
        </w:rPr>
        <w:t xml:space="preserve">          （招标人）     ：</w:t>
      </w:r>
    </w:p>
    <w:p>
      <w:pPr>
        <w:spacing w:line="360" w:lineRule="auto"/>
        <w:ind w:firstLine="480" w:firstLineChars="200"/>
        <w:rPr>
          <w:color w:val="auto"/>
          <w:sz w:val="24"/>
        </w:rPr>
      </w:pPr>
      <w:r>
        <w:rPr>
          <w:color w:val="auto"/>
          <w:sz w:val="24"/>
        </w:rPr>
        <w:t>本承诺声明：</w:t>
      </w:r>
      <w:r>
        <w:rPr>
          <w:color w:val="auto"/>
          <w:sz w:val="24"/>
          <w:u w:val="single"/>
        </w:rPr>
        <w:t xml:space="preserve"> （投标人名称）</w:t>
      </w:r>
      <w:r>
        <w:rPr>
          <w:color w:val="auto"/>
          <w:sz w:val="24"/>
        </w:rPr>
        <w:t>对本招标文件的相关要求完全响应。若有幸中标将严格按照以上承诺进行服务。</w:t>
      </w:r>
    </w:p>
    <w:p>
      <w:pPr>
        <w:spacing w:line="360" w:lineRule="auto"/>
        <w:rPr>
          <w:color w:val="auto"/>
          <w:sz w:val="24"/>
        </w:rPr>
      </w:pPr>
    </w:p>
    <w:p>
      <w:pPr>
        <w:spacing w:line="360" w:lineRule="auto"/>
        <w:rPr>
          <w:color w:val="auto"/>
          <w:sz w:val="24"/>
        </w:rPr>
      </w:pPr>
      <w:r>
        <w:rPr>
          <w:color w:val="auto"/>
          <w:sz w:val="24"/>
        </w:rPr>
        <w:t>特此声明</w:t>
      </w:r>
    </w:p>
    <w:p>
      <w:pPr>
        <w:spacing w:line="360" w:lineRule="auto"/>
        <w:rPr>
          <w:color w:val="auto"/>
          <w:sz w:val="24"/>
        </w:rPr>
      </w:pPr>
      <w:r>
        <w:rPr>
          <w:color w:val="auto"/>
          <w:sz w:val="24"/>
        </w:rPr>
        <w:t> </w:t>
      </w:r>
    </w:p>
    <w:p>
      <w:pPr>
        <w:spacing w:line="360" w:lineRule="auto"/>
        <w:rPr>
          <w:color w:val="auto"/>
          <w:sz w:val="24"/>
        </w:rPr>
      </w:pPr>
      <w:r>
        <w:rPr>
          <w:color w:val="auto"/>
          <w:sz w:val="24"/>
        </w:rPr>
        <w:t xml:space="preserve">          法定代表人或代理人（被授权人）签字或盖章：</w:t>
      </w:r>
      <w:r>
        <w:rPr>
          <w:color w:val="auto"/>
          <w:sz w:val="24"/>
          <w:u w:val="single"/>
        </w:rPr>
        <w:t xml:space="preserve">                  </w:t>
      </w:r>
    </w:p>
    <w:p>
      <w:pPr>
        <w:spacing w:line="360" w:lineRule="auto"/>
        <w:rPr>
          <w:color w:val="auto"/>
          <w:sz w:val="24"/>
          <w:u w:val="single"/>
        </w:rPr>
      </w:pPr>
      <w:r>
        <w:rPr>
          <w:color w:val="auto"/>
          <w:sz w:val="24"/>
        </w:rPr>
        <w:t xml:space="preserve">                                     </w:t>
      </w:r>
    </w:p>
    <w:p>
      <w:pPr>
        <w:spacing w:line="360" w:lineRule="auto"/>
        <w:rPr>
          <w:color w:val="auto"/>
          <w:sz w:val="24"/>
        </w:rPr>
      </w:pPr>
      <w:r>
        <w:rPr>
          <w:color w:val="auto"/>
          <w:sz w:val="24"/>
        </w:rPr>
        <w:t xml:space="preserve">                                   </w:t>
      </w: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jc w:val="center"/>
        <w:rPr>
          <w:color w:val="auto"/>
          <w:sz w:val="24"/>
        </w:rPr>
      </w:pPr>
      <w:r>
        <w:rPr>
          <w:color w:val="auto"/>
          <w:sz w:val="24"/>
        </w:rPr>
        <w:t xml:space="preserve">                                      投标单位名称：</w:t>
      </w:r>
      <w:r>
        <w:rPr>
          <w:color w:val="auto"/>
          <w:sz w:val="24"/>
          <w:u w:val="single"/>
        </w:rPr>
        <w:t xml:space="preserve">        （公章）              </w:t>
      </w:r>
    </w:p>
    <w:p>
      <w:pPr>
        <w:spacing w:line="360" w:lineRule="auto"/>
        <w:ind w:firstLine="4680" w:firstLineChars="1950"/>
        <w:rPr>
          <w:color w:val="auto"/>
          <w:sz w:val="24"/>
        </w:rPr>
      </w:pPr>
    </w:p>
    <w:p>
      <w:pPr>
        <w:spacing w:line="360" w:lineRule="auto"/>
        <w:ind w:firstLine="4680" w:firstLineChars="1950"/>
        <w:rPr>
          <w:color w:val="auto"/>
          <w:sz w:val="24"/>
        </w:rPr>
      </w:pPr>
    </w:p>
    <w:p>
      <w:pPr>
        <w:spacing w:line="360" w:lineRule="auto"/>
        <w:ind w:firstLine="5400" w:firstLineChars="2250"/>
        <w:rPr>
          <w:b/>
          <w:color w:val="auto"/>
          <w:sz w:val="24"/>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r>
        <w:rPr>
          <w:color w:val="auto"/>
          <w:sz w:val="24"/>
        </w:rPr>
        <w:t>日    期：</w:t>
      </w:r>
      <w:r>
        <w:rPr>
          <w:color w:val="auto"/>
          <w:sz w:val="24"/>
          <w:u w:val="single"/>
        </w:rPr>
        <w:t xml:space="preserve">                    </w:t>
      </w:r>
    </w:p>
    <w:p>
      <w:pPr>
        <w:spacing w:beforeLines="100" w:afterLines="100" w:line="360" w:lineRule="auto"/>
        <w:jc w:val="center"/>
        <w:rPr>
          <w:b/>
          <w:bCs/>
          <w:color w:val="auto"/>
          <w:sz w:val="28"/>
          <w:szCs w:val="28"/>
        </w:rPr>
      </w:pPr>
      <w:bookmarkStart w:id="72" w:name="_Toc451410641"/>
      <w:r>
        <w:rPr>
          <w:b/>
          <w:bCs/>
          <w:color w:val="auto"/>
          <w:sz w:val="28"/>
          <w:szCs w:val="28"/>
        </w:rPr>
        <w:t xml:space="preserve">4、招标文件规定或投标人认为应提供的其它材料  </w:t>
      </w:r>
    </w:p>
    <w:p>
      <w:pPr>
        <w:spacing w:line="360" w:lineRule="auto"/>
        <w:jc w:val="center"/>
        <w:rPr>
          <w:color w:val="auto"/>
          <w:sz w:val="28"/>
          <w:szCs w:val="28"/>
        </w:rPr>
      </w:pPr>
      <w:r>
        <w:rPr>
          <w:color w:val="auto"/>
          <w:sz w:val="28"/>
          <w:szCs w:val="28"/>
        </w:rPr>
        <w:t xml:space="preserve"> </w:t>
      </w:r>
    </w:p>
    <w:p>
      <w:pPr>
        <w:spacing w:line="360" w:lineRule="auto"/>
        <w:rPr>
          <w:color w:val="auto"/>
          <w:sz w:val="24"/>
          <w:szCs w:val="24"/>
        </w:rPr>
      </w:pPr>
      <w:r>
        <w:rPr>
          <w:color w:val="auto"/>
          <w:sz w:val="24"/>
          <w:szCs w:val="24"/>
        </w:rPr>
        <w:t xml:space="preserve">1、包括所投产品情况 </w:t>
      </w:r>
    </w:p>
    <w:p>
      <w:pPr>
        <w:spacing w:line="360" w:lineRule="auto"/>
        <w:rPr>
          <w:color w:val="auto"/>
          <w:sz w:val="24"/>
          <w:szCs w:val="24"/>
        </w:rPr>
      </w:pPr>
      <w:r>
        <w:rPr>
          <w:color w:val="auto"/>
          <w:sz w:val="24"/>
          <w:szCs w:val="24"/>
        </w:rPr>
        <w:t xml:space="preserve">2、其它资料 </w:t>
      </w:r>
    </w:p>
    <w:p>
      <w:pPr>
        <w:pStyle w:val="22"/>
        <w:rPr>
          <w:color w:val="auto"/>
        </w:rPr>
      </w:pPr>
      <w:r>
        <w:rPr>
          <w:rFonts w:hint="eastAsia" w:ascii="Times New Roman" w:hAnsi="Times New Roman" w:eastAsia="宋体" w:cs="Times New Roman"/>
          <w:color w:val="auto"/>
          <w:sz w:val="24"/>
          <w:u w:color="000000"/>
          <w:lang w:val="en-US" w:eastAsia="zh-CN" w:bidi="ar-SA"/>
        </w:rPr>
        <w:t>3、技术标评分细则里需要提供的相关材料。</w:t>
      </w:r>
    </w:p>
    <w:p>
      <w:pPr>
        <w:rPr>
          <w:color w:val="auto"/>
        </w:rPr>
      </w:pPr>
      <w:r>
        <w:rPr>
          <w:color w:val="auto"/>
        </w:rPr>
        <w:br w:type="page"/>
      </w:r>
    </w:p>
    <w:p>
      <w:pPr>
        <w:numPr>
          <w:ilvl w:val="0"/>
          <w:numId w:val="14"/>
        </w:numPr>
        <w:jc w:val="center"/>
        <w:rPr>
          <w:b/>
          <w:bCs/>
          <w:color w:val="auto"/>
          <w:sz w:val="28"/>
          <w:szCs w:val="28"/>
        </w:rPr>
      </w:pPr>
      <w:r>
        <w:rPr>
          <w:rFonts w:hint="eastAsia"/>
          <w:b/>
          <w:bCs/>
          <w:color w:val="auto"/>
          <w:sz w:val="28"/>
          <w:szCs w:val="28"/>
          <w:lang w:val="en-US" w:eastAsia="zh-CN"/>
        </w:rPr>
        <w:t>实施方案</w:t>
      </w:r>
    </w:p>
    <w:p>
      <w:pPr>
        <w:widowControl w:val="0"/>
        <w:numPr>
          <w:ilvl w:val="0"/>
          <w:numId w:val="0"/>
        </w:numPr>
        <w:spacing w:line="360" w:lineRule="auto"/>
        <w:textAlignment w:val="auto"/>
        <w:rPr>
          <w:rFonts w:hint="eastAsia"/>
          <w:color w:val="auto"/>
          <w:sz w:val="24"/>
          <w:szCs w:val="24"/>
          <w:lang w:eastAsia="zh-CN"/>
        </w:rPr>
      </w:pPr>
    </w:p>
    <w:p>
      <w:pPr>
        <w:widowControl w:val="0"/>
        <w:numPr>
          <w:ilvl w:val="0"/>
          <w:numId w:val="0"/>
        </w:numPr>
        <w:spacing w:line="360" w:lineRule="auto"/>
        <w:textAlignment w:val="auto"/>
        <w:rPr>
          <w:color w:val="auto"/>
          <w:sz w:val="24"/>
          <w:szCs w:val="24"/>
        </w:rPr>
      </w:pPr>
      <w:r>
        <w:rPr>
          <w:rFonts w:hint="eastAsia"/>
          <w:color w:val="auto"/>
          <w:sz w:val="24"/>
          <w:szCs w:val="24"/>
          <w:lang w:eastAsia="zh-CN"/>
        </w:rPr>
        <w:t>（</w:t>
      </w:r>
      <w:r>
        <w:rPr>
          <w:color w:val="auto"/>
          <w:sz w:val="24"/>
          <w:szCs w:val="24"/>
        </w:rPr>
        <w:t>为本项目实施所采用的技术措施和实施方案等</w:t>
      </w:r>
      <w:r>
        <w:rPr>
          <w:rFonts w:hint="eastAsia"/>
          <w:color w:val="auto"/>
          <w:sz w:val="24"/>
          <w:szCs w:val="24"/>
          <w:lang w:eastAsia="zh-CN"/>
        </w:rPr>
        <w:t>）</w:t>
      </w:r>
    </w:p>
    <w:p>
      <w:pPr>
        <w:rPr>
          <w:color w:val="auto"/>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rFonts w:hint="eastAsia" w:eastAsia="宋体"/>
          <w:b/>
          <w:color w:val="auto"/>
          <w:sz w:val="44"/>
          <w:szCs w:val="44"/>
          <w:lang w:eastAsia="zh-CN"/>
        </w:rPr>
      </w:pPr>
      <w:r>
        <w:rPr>
          <w:b/>
          <w:color w:val="auto"/>
          <w:sz w:val="44"/>
          <w:szCs w:val="44"/>
        </w:rPr>
        <w:t>第三部分：</w:t>
      </w:r>
      <w:bookmarkEnd w:id="72"/>
      <w:r>
        <w:rPr>
          <w:rFonts w:hint="eastAsia"/>
          <w:b/>
          <w:color w:val="auto"/>
          <w:sz w:val="44"/>
          <w:szCs w:val="44"/>
          <w:lang w:val="en-US" w:eastAsia="zh-CN"/>
        </w:rPr>
        <w:t>经济标</w:t>
      </w: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pStyle w:val="22"/>
        <w:rPr>
          <w:rFonts w:ascii="Times New Roman" w:hAnsi="Times New Roman"/>
          <w:color w:val="auto"/>
          <w:szCs w:val="28"/>
        </w:rPr>
      </w:pPr>
    </w:p>
    <w:p>
      <w:pPr>
        <w:pStyle w:val="22"/>
        <w:rPr>
          <w:rFonts w:ascii="Times New Roman" w:hAnsi="Times New Roman"/>
          <w:color w:val="auto"/>
          <w:szCs w:val="28"/>
        </w:rPr>
      </w:pPr>
    </w:p>
    <w:p>
      <w:pPr>
        <w:spacing w:line="360" w:lineRule="auto"/>
        <w:ind w:firstLine="562" w:firstLineChars="200"/>
        <w:rPr>
          <w:b/>
          <w:color w:val="auto"/>
          <w:sz w:val="28"/>
          <w:szCs w:val="28"/>
        </w:rPr>
      </w:pPr>
    </w:p>
    <w:p>
      <w:pPr>
        <w:spacing w:line="360" w:lineRule="auto"/>
        <w:ind w:firstLine="562" w:firstLineChars="200"/>
        <w:rPr>
          <w:b/>
          <w:color w:val="auto"/>
          <w:sz w:val="28"/>
          <w:szCs w:val="28"/>
        </w:rPr>
      </w:pPr>
    </w:p>
    <w:p>
      <w:pPr>
        <w:spacing w:beforeLines="100" w:afterLines="100" w:line="360" w:lineRule="auto"/>
        <w:jc w:val="center"/>
        <w:rPr>
          <w:b/>
          <w:bCs/>
          <w:color w:val="auto"/>
          <w:sz w:val="28"/>
          <w:szCs w:val="28"/>
        </w:rPr>
      </w:pPr>
      <w:r>
        <w:rPr>
          <w:b/>
          <w:bCs/>
          <w:color w:val="auto"/>
          <w:sz w:val="28"/>
          <w:szCs w:val="28"/>
        </w:rPr>
        <w:t>1、开标一览表</w:t>
      </w:r>
    </w:p>
    <w:p>
      <w:pPr>
        <w:spacing w:line="360" w:lineRule="auto"/>
        <w:ind w:firstLine="354" w:firstLineChars="147"/>
        <w:rPr>
          <w:b/>
          <w:color w:val="auto"/>
          <w:sz w:val="24"/>
        </w:rPr>
      </w:pPr>
    </w:p>
    <w:p>
      <w:pPr>
        <w:spacing w:line="360" w:lineRule="auto"/>
        <w:rPr>
          <w:color w:val="auto"/>
          <w:sz w:val="24"/>
        </w:rPr>
      </w:pPr>
      <w:r>
        <w:rPr>
          <w:color w:val="auto"/>
          <w:sz w:val="24"/>
        </w:rPr>
        <w:t>（注：开标一览表必须编入投标文件，与投标文件一起装订，唱标时，以投标文件正本中的开标一览表进行唱标）</w:t>
      </w:r>
    </w:p>
    <w:p>
      <w:pPr>
        <w:snapToGrid w:val="0"/>
        <w:spacing w:line="360" w:lineRule="auto"/>
        <w:ind w:left="2940" w:leftChars="1400" w:firstLine="720" w:firstLineChars="300"/>
        <w:rPr>
          <w:color w:val="auto"/>
          <w:sz w:val="24"/>
        </w:rPr>
      </w:pPr>
    </w:p>
    <w:tbl>
      <w:tblPr>
        <w:tblStyle w:val="30"/>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69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8" w:hRule="exact"/>
          <w:jc w:val="center"/>
        </w:trPr>
        <w:tc>
          <w:tcPr>
            <w:tcW w:w="1602" w:type="dxa"/>
            <w:tcBorders>
              <w:top w:val="single" w:color="auto" w:sz="12" w:space="0"/>
              <w:bottom w:val="single" w:color="auto" w:sz="12" w:space="0"/>
              <w:right w:val="single" w:color="auto" w:sz="12" w:space="0"/>
            </w:tcBorders>
            <w:vAlign w:val="center"/>
          </w:tcPr>
          <w:p>
            <w:pPr>
              <w:spacing w:line="360" w:lineRule="auto"/>
              <w:ind w:right="-512" w:rightChars="-244" w:firstLine="240" w:firstLineChars="100"/>
              <w:rPr>
                <w:color w:val="auto"/>
                <w:sz w:val="24"/>
              </w:rPr>
            </w:pPr>
            <w:r>
              <w:rPr>
                <w:color w:val="auto"/>
                <w:sz w:val="24"/>
              </w:rPr>
              <w:t>项目名称</w:t>
            </w:r>
          </w:p>
        </w:tc>
        <w:tc>
          <w:tcPr>
            <w:tcW w:w="6926" w:type="dxa"/>
            <w:tcBorders>
              <w:top w:val="single" w:color="auto" w:sz="12" w:space="0"/>
              <w:left w:val="single" w:color="auto" w:sz="12" w:space="0"/>
              <w:bottom w:val="single" w:color="auto" w:sz="12" w:space="0"/>
            </w:tcBorders>
            <w:vAlign w:val="center"/>
          </w:tcPr>
          <w:p>
            <w:pPr>
              <w:spacing w:line="360" w:lineRule="auto"/>
              <w:ind w:right="-512" w:rightChars="-244"/>
              <w:jc w:val="left"/>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3" w:hRule="exact"/>
          <w:jc w:val="center"/>
        </w:trPr>
        <w:tc>
          <w:tcPr>
            <w:tcW w:w="1602" w:type="dxa"/>
            <w:tcBorders>
              <w:top w:val="single" w:color="auto" w:sz="12" w:space="0"/>
              <w:right w:val="single" w:color="auto" w:sz="12" w:space="0"/>
            </w:tcBorders>
            <w:vAlign w:val="center"/>
          </w:tcPr>
          <w:p>
            <w:pPr>
              <w:spacing w:line="360" w:lineRule="auto"/>
              <w:ind w:right="-512" w:rightChars="-244" w:firstLine="240" w:firstLineChars="100"/>
              <w:rPr>
                <w:color w:val="auto"/>
                <w:sz w:val="24"/>
              </w:rPr>
            </w:pPr>
            <w:r>
              <w:rPr>
                <w:color w:val="auto"/>
                <w:sz w:val="24"/>
              </w:rPr>
              <w:t>项目编号</w:t>
            </w:r>
          </w:p>
        </w:tc>
        <w:tc>
          <w:tcPr>
            <w:tcW w:w="6926" w:type="dxa"/>
            <w:tcBorders>
              <w:top w:val="single" w:color="auto" w:sz="12" w:space="0"/>
              <w:left w:val="single" w:color="auto" w:sz="12" w:space="0"/>
            </w:tcBorders>
            <w:vAlign w:val="center"/>
          </w:tcPr>
          <w:p>
            <w:pPr>
              <w:spacing w:line="360" w:lineRule="auto"/>
              <w:ind w:right="-512" w:rightChars="-244"/>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9" w:hRule="exact"/>
          <w:jc w:val="center"/>
        </w:trPr>
        <w:tc>
          <w:tcPr>
            <w:tcW w:w="1602" w:type="dxa"/>
            <w:tcBorders>
              <w:right w:val="single" w:color="auto" w:sz="12" w:space="0"/>
            </w:tcBorders>
            <w:vAlign w:val="center"/>
          </w:tcPr>
          <w:p>
            <w:pPr>
              <w:spacing w:line="360" w:lineRule="auto"/>
              <w:ind w:right="-512" w:rightChars="-244" w:firstLine="120" w:firstLineChars="50"/>
              <w:rPr>
                <w:color w:val="auto"/>
                <w:sz w:val="24"/>
              </w:rPr>
            </w:pPr>
            <w:r>
              <w:rPr>
                <w:color w:val="auto"/>
                <w:sz w:val="24"/>
              </w:rPr>
              <w:t>投标人名称</w:t>
            </w:r>
          </w:p>
        </w:tc>
        <w:tc>
          <w:tcPr>
            <w:tcW w:w="6926" w:type="dxa"/>
            <w:tcBorders>
              <w:left w:val="single" w:color="auto" w:sz="12" w:space="0"/>
            </w:tcBorders>
          </w:tcPr>
          <w:p>
            <w:pPr>
              <w:pStyle w:val="14"/>
              <w:spacing w:line="360" w:lineRule="auto"/>
              <w:ind w:left="86" w:leftChars="41" w:right="-512" w:rightChars="-244"/>
              <w:rPr>
                <w:rFonts w:ascii="Times New Roman" w:hAnsi="Times New Roman" w:eastAsia="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21" w:hRule="exact"/>
          <w:jc w:val="center"/>
        </w:trPr>
        <w:tc>
          <w:tcPr>
            <w:tcW w:w="1602" w:type="dxa"/>
            <w:tcBorders>
              <w:right w:val="single" w:color="auto" w:sz="12" w:space="0"/>
            </w:tcBorders>
            <w:vAlign w:val="center"/>
          </w:tcPr>
          <w:p>
            <w:pPr>
              <w:spacing w:line="360" w:lineRule="auto"/>
              <w:ind w:right="-512" w:rightChars="-244" w:firstLine="240" w:firstLineChars="100"/>
              <w:rPr>
                <w:color w:val="auto"/>
                <w:sz w:val="24"/>
              </w:rPr>
            </w:pPr>
            <w:r>
              <w:rPr>
                <w:color w:val="auto"/>
                <w:sz w:val="24"/>
              </w:rPr>
              <w:t>总投标价</w:t>
            </w:r>
          </w:p>
          <w:p>
            <w:pPr>
              <w:spacing w:line="360" w:lineRule="auto"/>
              <w:ind w:right="-512" w:rightChars="-244" w:firstLine="240" w:firstLineChars="100"/>
              <w:rPr>
                <w:color w:val="auto"/>
                <w:sz w:val="24"/>
              </w:rPr>
            </w:pPr>
            <w:r>
              <w:rPr>
                <w:color w:val="auto"/>
                <w:sz w:val="24"/>
              </w:rPr>
              <w:t>供货期限</w:t>
            </w:r>
          </w:p>
          <w:p>
            <w:pPr>
              <w:spacing w:line="360" w:lineRule="auto"/>
              <w:ind w:right="-512" w:rightChars="-244"/>
              <w:rPr>
                <w:color w:val="auto"/>
                <w:sz w:val="24"/>
              </w:rPr>
            </w:pPr>
          </w:p>
        </w:tc>
        <w:tc>
          <w:tcPr>
            <w:tcW w:w="6926" w:type="dxa"/>
            <w:tcBorders>
              <w:left w:val="single" w:color="auto" w:sz="12" w:space="0"/>
            </w:tcBorders>
            <w:vAlign w:val="center"/>
          </w:tcPr>
          <w:p>
            <w:pPr>
              <w:spacing w:line="360" w:lineRule="auto"/>
              <w:ind w:right="-512" w:rightChars="-244"/>
              <w:rPr>
                <w:color w:val="auto"/>
                <w:sz w:val="24"/>
              </w:rPr>
            </w:pPr>
            <w:r>
              <w:rPr>
                <w:color w:val="auto"/>
                <w:sz w:val="24"/>
              </w:rPr>
              <w:t>投标总价：</w:t>
            </w:r>
          </w:p>
          <w:p>
            <w:pPr>
              <w:spacing w:line="360" w:lineRule="auto"/>
              <w:ind w:right="-512" w:rightChars="-244"/>
              <w:rPr>
                <w:color w:val="auto"/>
                <w:sz w:val="24"/>
              </w:rPr>
            </w:pPr>
            <w:r>
              <w:rPr>
                <w:color w:val="auto"/>
                <w:sz w:val="24"/>
              </w:rPr>
              <w:t>大写</w:t>
            </w:r>
            <w:r>
              <w:rPr>
                <w:color w:val="auto"/>
                <w:sz w:val="24"/>
                <w:u w:val="single"/>
              </w:rPr>
              <w:t xml:space="preserve">            </w:t>
            </w:r>
            <w:r>
              <w:rPr>
                <w:color w:val="auto"/>
                <w:sz w:val="24"/>
              </w:rPr>
              <w:t xml:space="preserve"> 元，小写</w:t>
            </w:r>
            <w:r>
              <w:rPr>
                <w:color w:val="auto"/>
                <w:sz w:val="24"/>
                <w:u w:val="single"/>
              </w:rPr>
              <w:t xml:space="preserve">          </w:t>
            </w:r>
            <w:r>
              <w:rPr>
                <w:color w:val="auto"/>
                <w:sz w:val="24"/>
              </w:rPr>
              <w:t>元。</w:t>
            </w:r>
          </w:p>
          <w:p>
            <w:pPr>
              <w:pStyle w:val="28"/>
              <w:spacing w:before="0" w:beforeAutospacing="0" w:after="0" w:afterAutospacing="0" w:line="360" w:lineRule="auto"/>
              <w:rPr>
                <w:rFonts w:ascii="Times New Roman" w:hAnsi="Times New Roman" w:cs="Times New Roman"/>
                <w:color w:val="auto"/>
                <w:szCs w:val="22"/>
              </w:rPr>
            </w:pPr>
            <w:r>
              <w:rPr>
                <w:rFonts w:ascii="Times New Roman" w:hAnsi="Times New Roman" w:cs="Times New Roman"/>
                <w:color w:val="auto"/>
                <w:szCs w:val="22"/>
              </w:rPr>
              <w:t>供货期限：</w:t>
            </w:r>
          </w:p>
          <w:p>
            <w:pPr>
              <w:pStyle w:val="28"/>
              <w:spacing w:before="0" w:beforeAutospacing="0" w:after="0" w:afterAutospacing="0" w:line="360" w:lineRule="auto"/>
              <w:rPr>
                <w:rFonts w:ascii="Times New Roman" w:hAnsi="Times New Roman" w:cs="Times New Roman"/>
                <w:color w:val="auto"/>
              </w:rPr>
            </w:pPr>
            <w:r>
              <w:rPr>
                <w:rFonts w:ascii="Times New Roman" w:hAnsi="Times New Roman" w:cs="Times New Roman"/>
                <w:color w:val="auto"/>
                <w:szCs w:val="22"/>
                <w:u w:val="single"/>
              </w:rPr>
              <w:t xml:space="preserve"> </w:t>
            </w:r>
            <w:r>
              <w:rPr>
                <w:rFonts w:ascii="Times New Roman" w:hAnsi="Times New Roman" w:cs="Times New Roman"/>
                <w:color w:val="auto"/>
                <w:szCs w:val="22"/>
              </w:rPr>
              <w:t xml:space="preserve">       </w:t>
            </w:r>
            <w:r>
              <w:rPr>
                <w:rFonts w:ascii="Times New Roman" w:hAnsi="Times New Roman" w:cs="Times New Roman"/>
                <w:color w:val="auto"/>
                <w:szCs w:val="22"/>
                <w:u w:val="single"/>
              </w:rPr>
              <w:t xml:space="preserve">    </w:t>
            </w:r>
          </w:p>
        </w:tc>
      </w:tr>
    </w:tbl>
    <w:p>
      <w:pPr>
        <w:snapToGrid w:val="0"/>
        <w:spacing w:line="360" w:lineRule="auto"/>
        <w:ind w:left="2940" w:leftChars="1400" w:firstLine="723" w:firstLineChars="300"/>
        <w:rPr>
          <w:b/>
          <w:color w:val="auto"/>
          <w:sz w:val="24"/>
        </w:rPr>
      </w:pPr>
    </w:p>
    <w:p>
      <w:pPr>
        <w:spacing w:line="360" w:lineRule="auto"/>
        <w:rPr>
          <w:color w:val="auto"/>
          <w:sz w:val="24"/>
        </w:rPr>
      </w:pPr>
      <w:r>
        <w:rPr>
          <w:color w:val="auto"/>
          <w:sz w:val="24"/>
        </w:rPr>
        <w:t>法定代表人或其委托代理人签字：             投标人盖章：</w:t>
      </w:r>
    </w:p>
    <w:p>
      <w:pPr>
        <w:snapToGrid w:val="0"/>
        <w:spacing w:beforeLines="100" w:afterLines="100" w:line="360" w:lineRule="auto"/>
        <w:jc w:val="center"/>
        <w:rPr>
          <w:color w:val="auto"/>
          <w:sz w:val="24"/>
        </w:rPr>
      </w:pPr>
      <w:r>
        <w:rPr>
          <w:color w:val="auto"/>
          <w:sz w:val="24"/>
        </w:rPr>
        <w:t xml:space="preserve">                                      </w:t>
      </w:r>
    </w:p>
    <w:p>
      <w:pPr>
        <w:snapToGrid w:val="0"/>
        <w:spacing w:beforeLines="100" w:afterLines="100" w:line="360" w:lineRule="auto"/>
        <w:jc w:val="center"/>
        <w:rPr>
          <w:color w:val="auto"/>
          <w:sz w:val="24"/>
        </w:rPr>
      </w:pPr>
    </w:p>
    <w:p>
      <w:pPr>
        <w:snapToGrid w:val="0"/>
        <w:spacing w:beforeLines="100" w:afterLines="100" w:line="360" w:lineRule="auto"/>
        <w:jc w:val="right"/>
        <w:rPr>
          <w:color w:val="auto"/>
          <w:sz w:val="24"/>
        </w:rPr>
      </w:pPr>
      <w:r>
        <w:rPr>
          <w:color w:val="auto"/>
          <w:sz w:val="24"/>
        </w:rPr>
        <w:t xml:space="preserve">日  期：    年  月  日 </w:t>
      </w:r>
    </w:p>
    <w:p>
      <w:pPr>
        <w:spacing w:line="360" w:lineRule="auto"/>
        <w:jc w:val="center"/>
        <w:rPr>
          <w:b/>
          <w:bCs/>
          <w:color w:val="auto"/>
          <w:sz w:val="30"/>
          <w:szCs w:val="30"/>
        </w:rPr>
      </w:pPr>
    </w:p>
    <w:p>
      <w:pPr>
        <w:spacing w:line="360" w:lineRule="auto"/>
        <w:jc w:val="center"/>
        <w:rPr>
          <w:b/>
          <w:bCs/>
          <w:color w:val="auto"/>
          <w:sz w:val="30"/>
          <w:szCs w:val="30"/>
        </w:rPr>
      </w:pPr>
    </w:p>
    <w:p>
      <w:pPr>
        <w:spacing w:beforeLines="100" w:afterLines="100" w:line="360" w:lineRule="auto"/>
        <w:jc w:val="center"/>
        <w:rPr>
          <w:b/>
          <w:bCs/>
          <w:color w:val="auto"/>
          <w:sz w:val="28"/>
          <w:szCs w:val="28"/>
        </w:rPr>
      </w:pPr>
      <w:r>
        <w:rPr>
          <w:b/>
          <w:bCs/>
          <w:color w:val="auto"/>
          <w:sz w:val="28"/>
          <w:szCs w:val="28"/>
        </w:rPr>
        <w:t>2、投  标  函</w:t>
      </w:r>
    </w:p>
    <w:p>
      <w:pPr>
        <w:spacing w:line="360" w:lineRule="auto"/>
        <w:rPr>
          <w:color w:val="auto"/>
          <w:sz w:val="24"/>
        </w:rPr>
      </w:pPr>
    </w:p>
    <w:p>
      <w:pPr>
        <w:spacing w:line="360" w:lineRule="auto"/>
        <w:rPr>
          <w:color w:val="auto"/>
          <w:sz w:val="24"/>
        </w:rPr>
      </w:pPr>
      <w:r>
        <w:rPr>
          <w:color w:val="auto"/>
          <w:sz w:val="24"/>
        </w:rPr>
        <w:t>致：</w:t>
      </w:r>
      <w:r>
        <w:rPr>
          <w:color w:val="auto"/>
          <w:sz w:val="24"/>
          <w:u w:val="single"/>
        </w:rPr>
        <w:t xml:space="preserve">      </w:t>
      </w:r>
      <w:r>
        <w:rPr>
          <w:rFonts w:hint="eastAsia"/>
          <w:color w:val="auto"/>
          <w:sz w:val="24"/>
          <w:u w:val="single"/>
          <w:lang w:eastAsia="zh-CN"/>
        </w:rPr>
        <w:t>（</w:t>
      </w:r>
      <w:r>
        <w:rPr>
          <w:color w:val="auto"/>
          <w:sz w:val="24"/>
          <w:u w:val="single"/>
        </w:rPr>
        <w:t>招标人</w:t>
      </w:r>
      <w:r>
        <w:rPr>
          <w:rFonts w:hint="eastAsia"/>
          <w:color w:val="auto"/>
          <w:sz w:val="24"/>
          <w:u w:val="single"/>
          <w:lang w:eastAsia="zh-CN"/>
        </w:rPr>
        <w:t>）</w:t>
      </w:r>
      <w:r>
        <w:rPr>
          <w:color w:val="auto"/>
          <w:sz w:val="24"/>
          <w:u w:val="single"/>
        </w:rPr>
        <w:t xml:space="preserve">       </w:t>
      </w:r>
      <w:r>
        <w:rPr>
          <w:color w:val="auto"/>
          <w:sz w:val="24"/>
        </w:rPr>
        <w:t xml:space="preserve"> </w:t>
      </w:r>
    </w:p>
    <w:p>
      <w:pPr>
        <w:spacing w:line="360" w:lineRule="auto"/>
        <w:ind w:firstLine="480" w:firstLineChars="200"/>
        <w:rPr>
          <w:color w:val="auto"/>
          <w:sz w:val="24"/>
        </w:rPr>
      </w:pPr>
      <w:r>
        <w:rPr>
          <w:color w:val="auto"/>
          <w:sz w:val="24"/>
        </w:rPr>
        <w:t>1、我们决定参加贵单位组织的“</w:t>
      </w:r>
      <w:r>
        <w:rPr>
          <w:color w:val="auto"/>
          <w:sz w:val="24"/>
          <w:u w:val="single"/>
        </w:rPr>
        <w:t xml:space="preserve"> （项目名称）</w:t>
      </w:r>
      <w:r>
        <w:rPr>
          <w:color w:val="auto"/>
          <w:sz w:val="24"/>
        </w:rPr>
        <w:t>（编号：</w:t>
      </w:r>
      <w:r>
        <w:rPr>
          <w:color w:val="auto"/>
          <w:sz w:val="24"/>
          <w:u w:val="single"/>
        </w:rPr>
        <w:t xml:space="preserve">             </w:t>
      </w:r>
      <w:r>
        <w:rPr>
          <w:color w:val="auto"/>
          <w:sz w:val="24"/>
        </w:rPr>
        <w:t xml:space="preserve">）”的采购。我方授权 </w:t>
      </w:r>
      <w:r>
        <w:rPr>
          <w:color w:val="auto"/>
          <w:sz w:val="24"/>
          <w:u w:val="single"/>
        </w:rPr>
        <w:t xml:space="preserve">             </w:t>
      </w:r>
      <w:r>
        <w:rPr>
          <w:rFonts w:hint="eastAsia"/>
          <w:color w:val="auto"/>
          <w:sz w:val="24"/>
          <w:u w:val="single"/>
          <w:lang w:eastAsia="zh-CN"/>
        </w:rPr>
        <w:t>（</w:t>
      </w:r>
      <w:r>
        <w:rPr>
          <w:color w:val="auto"/>
          <w:sz w:val="24"/>
        </w:rPr>
        <w:t>姓名和职务</w:t>
      </w:r>
      <w:r>
        <w:rPr>
          <w:rFonts w:hint="eastAsia"/>
          <w:color w:val="auto"/>
          <w:sz w:val="24"/>
          <w:lang w:eastAsia="zh-CN"/>
        </w:rPr>
        <w:t>）</w:t>
      </w:r>
      <w:r>
        <w:rPr>
          <w:color w:val="auto"/>
          <w:sz w:val="24"/>
        </w:rPr>
        <w:t>代表我方</w:t>
      </w:r>
      <w:r>
        <w:rPr>
          <w:color w:val="auto"/>
          <w:sz w:val="24"/>
          <w:u w:val="single"/>
        </w:rPr>
        <w:t xml:space="preserve">               </w:t>
      </w:r>
      <w:r>
        <w:rPr>
          <w:color w:val="auto"/>
          <w:sz w:val="24"/>
        </w:rPr>
        <w:t>（投标单位的名称）全权处理本项目投标的有关事宜。</w:t>
      </w:r>
    </w:p>
    <w:p>
      <w:pPr>
        <w:spacing w:line="360" w:lineRule="auto"/>
        <w:ind w:firstLine="480" w:firstLineChars="200"/>
        <w:rPr>
          <w:color w:val="auto"/>
          <w:sz w:val="24"/>
        </w:rPr>
      </w:pPr>
      <w:r>
        <w:rPr>
          <w:color w:val="auto"/>
          <w:sz w:val="24"/>
        </w:rPr>
        <w:t xml:space="preserve">2、我方愿意按照采购文件规定的各项要求，向招标人提供“ </w:t>
      </w:r>
      <w:r>
        <w:rPr>
          <w:color w:val="auto"/>
          <w:sz w:val="24"/>
          <w:u w:val="single"/>
        </w:rPr>
        <w:t>（项目编号）</w:t>
      </w:r>
      <w:r>
        <w:rPr>
          <w:color w:val="auto"/>
          <w:sz w:val="24"/>
        </w:rPr>
        <w:t>”项目的货物与服务，总投标价为人民币（大写）</w:t>
      </w:r>
      <w:r>
        <w:rPr>
          <w:color w:val="auto"/>
          <w:sz w:val="24"/>
          <w:u w:val="single"/>
        </w:rPr>
        <w:t xml:space="preserve">           </w:t>
      </w:r>
      <w:r>
        <w:rPr>
          <w:color w:val="auto"/>
          <w:sz w:val="24"/>
        </w:rPr>
        <w:t xml:space="preserve"> ；自签订合同之日起</w:t>
      </w:r>
      <w:r>
        <w:rPr>
          <w:color w:val="auto"/>
          <w:sz w:val="24"/>
          <w:u w:val="single"/>
        </w:rPr>
        <w:t xml:space="preserve">    </w:t>
      </w:r>
      <w:r>
        <w:rPr>
          <w:color w:val="auto"/>
          <w:sz w:val="24"/>
        </w:rPr>
        <w:t>个日历天内完成供货并安装调试完毕；投标文件有效期：</w:t>
      </w:r>
      <w:r>
        <w:rPr>
          <w:color w:val="auto"/>
          <w:sz w:val="24"/>
          <w:u w:val="single"/>
        </w:rPr>
        <w:t xml:space="preserve">      </w:t>
      </w:r>
      <w:r>
        <w:rPr>
          <w:color w:val="auto"/>
          <w:sz w:val="24"/>
        </w:rPr>
        <w:t>日历天。</w:t>
      </w:r>
    </w:p>
    <w:p>
      <w:pPr>
        <w:spacing w:line="360" w:lineRule="auto"/>
        <w:ind w:firstLine="480" w:firstLineChars="200"/>
        <w:rPr>
          <w:color w:val="auto"/>
          <w:sz w:val="24"/>
        </w:rPr>
      </w:pPr>
      <w:r>
        <w:rPr>
          <w:color w:val="auto"/>
          <w:sz w:val="24"/>
        </w:rPr>
        <w:t>3、一旦我方成为合同签字人，我方将严格履行合同规定的责任和义务。</w:t>
      </w:r>
    </w:p>
    <w:p>
      <w:pPr>
        <w:spacing w:line="360" w:lineRule="auto"/>
        <w:ind w:firstLine="480" w:firstLineChars="200"/>
        <w:rPr>
          <w:color w:val="auto"/>
          <w:sz w:val="24"/>
        </w:rPr>
      </w:pPr>
      <w:r>
        <w:rPr>
          <w:color w:val="auto"/>
          <w:sz w:val="24"/>
        </w:rPr>
        <w:t>4、我方同意按照采购文件的要求，缴纳投标保证金。并且承诺，在采购有效期内如果我方撤回采购投标书或成为合同签字人后拒绝签订合同，我方将放弃要求退还该保证金的权力。</w:t>
      </w:r>
    </w:p>
    <w:p>
      <w:pPr>
        <w:spacing w:line="360" w:lineRule="auto"/>
        <w:ind w:firstLine="480" w:firstLineChars="200"/>
        <w:rPr>
          <w:color w:val="auto"/>
          <w:sz w:val="24"/>
        </w:rPr>
      </w:pPr>
      <w:r>
        <w:rPr>
          <w:color w:val="auto"/>
          <w:sz w:val="24"/>
        </w:rPr>
        <w:t>5、我方为本项目提交的投标书一式</w:t>
      </w:r>
      <w:r>
        <w:rPr>
          <w:rFonts w:hint="eastAsia"/>
          <w:color w:val="auto"/>
          <w:sz w:val="24"/>
          <w:lang w:eastAsia="zh-CN"/>
        </w:rPr>
        <w:t>五</w:t>
      </w:r>
      <w:r>
        <w:rPr>
          <w:color w:val="auto"/>
          <w:sz w:val="24"/>
        </w:rPr>
        <w:t>份，其中正本一份、副本</w:t>
      </w:r>
      <w:r>
        <w:rPr>
          <w:rFonts w:hint="eastAsia"/>
          <w:color w:val="auto"/>
          <w:sz w:val="24"/>
          <w:lang w:eastAsia="zh-CN"/>
        </w:rPr>
        <w:t>四</w:t>
      </w:r>
      <w:r>
        <w:rPr>
          <w:color w:val="auto"/>
          <w:sz w:val="24"/>
        </w:rPr>
        <w:t>份。</w:t>
      </w:r>
    </w:p>
    <w:p>
      <w:pPr>
        <w:spacing w:line="360" w:lineRule="auto"/>
        <w:ind w:firstLine="480" w:firstLineChars="200"/>
        <w:rPr>
          <w:color w:val="auto"/>
          <w:sz w:val="24"/>
        </w:rPr>
      </w:pPr>
      <w:r>
        <w:rPr>
          <w:color w:val="auto"/>
          <w:sz w:val="24"/>
        </w:rPr>
        <w:t>6、我方愿意提供可能另外要求的、与采购投标有关的文件资料，并保证我方已提供和将要提供的文件是真实的、准确的。</w:t>
      </w:r>
    </w:p>
    <w:p>
      <w:pPr>
        <w:spacing w:line="360" w:lineRule="auto"/>
        <w:rPr>
          <w:color w:val="auto"/>
          <w:sz w:val="24"/>
        </w:rPr>
      </w:pPr>
      <w:r>
        <w:rPr>
          <w:color w:val="auto"/>
          <w:sz w:val="24"/>
        </w:rPr>
        <w:t> </w:t>
      </w:r>
    </w:p>
    <w:p>
      <w:pPr>
        <w:spacing w:line="360" w:lineRule="auto"/>
        <w:rPr>
          <w:color w:val="auto"/>
          <w:sz w:val="24"/>
        </w:rPr>
      </w:pPr>
      <w:r>
        <w:rPr>
          <w:color w:val="auto"/>
          <w:sz w:val="24"/>
        </w:rPr>
        <w:t>投标单位名称</w:t>
      </w:r>
      <w:r>
        <w:rPr>
          <w:color w:val="auto"/>
          <w:sz w:val="24"/>
          <w:u w:val="single"/>
        </w:rPr>
        <w:t xml:space="preserve">：                                </w:t>
      </w:r>
      <w:r>
        <w:rPr>
          <w:color w:val="auto"/>
          <w:sz w:val="24"/>
        </w:rPr>
        <w:t>（公    章）</w:t>
      </w:r>
    </w:p>
    <w:p>
      <w:pPr>
        <w:spacing w:line="360" w:lineRule="auto"/>
        <w:rPr>
          <w:color w:val="auto"/>
          <w:sz w:val="24"/>
        </w:rPr>
      </w:pPr>
      <w:r>
        <w:rPr>
          <w:color w:val="auto"/>
          <w:sz w:val="24"/>
        </w:rPr>
        <w:t xml:space="preserve">                        </w:t>
      </w:r>
    </w:p>
    <w:p>
      <w:pPr>
        <w:spacing w:line="360" w:lineRule="auto"/>
        <w:rPr>
          <w:color w:val="auto"/>
          <w:sz w:val="24"/>
          <w:u w:val="single"/>
        </w:rPr>
      </w:pPr>
      <w:r>
        <w:rPr>
          <w:color w:val="auto"/>
          <w:sz w:val="24"/>
        </w:rPr>
        <w:t>投标单位授权代表姓名（签字）：</w:t>
      </w:r>
      <w:r>
        <w:rPr>
          <w:color w:val="auto"/>
          <w:sz w:val="24"/>
          <w:u w:val="single"/>
        </w:rPr>
        <w:t xml:space="preserve">                  </w:t>
      </w:r>
    </w:p>
    <w:p>
      <w:pPr>
        <w:spacing w:line="360" w:lineRule="auto"/>
        <w:ind w:firstLine="2520" w:firstLineChars="1050"/>
        <w:rPr>
          <w:color w:val="auto"/>
          <w:sz w:val="24"/>
        </w:rPr>
      </w:pPr>
    </w:p>
    <w:p>
      <w:pPr>
        <w:spacing w:line="360" w:lineRule="auto"/>
        <w:ind w:firstLine="2520" w:firstLineChars="1050"/>
        <w:rPr>
          <w:color w:val="auto"/>
          <w:sz w:val="24"/>
        </w:rPr>
      </w:pPr>
      <w:r>
        <w:rPr>
          <w:color w:val="auto"/>
          <w:sz w:val="24"/>
        </w:rPr>
        <w:t>日  期：</w:t>
      </w:r>
      <w:r>
        <w:rPr>
          <w:color w:val="auto"/>
          <w:sz w:val="24"/>
          <w:u w:val="single"/>
        </w:rPr>
        <w:t xml:space="preserve">                   </w:t>
      </w:r>
    </w:p>
    <w:p>
      <w:pPr>
        <w:spacing w:line="360" w:lineRule="auto"/>
        <w:ind w:firstLine="2520" w:firstLineChars="1050"/>
        <w:rPr>
          <w:color w:val="auto"/>
          <w:sz w:val="24"/>
        </w:rPr>
      </w:pPr>
    </w:p>
    <w:p>
      <w:pPr>
        <w:spacing w:line="360" w:lineRule="auto"/>
        <w:ind w:firstLine="2520" w:firstLineChars="1050"/>
        <w:rPr>
          <w:color w:val="auto"/>
          <w:sz w:val="24"/>
        </w:rPr>
      </w:pPr>
      <w:r>
        <w:rPr>
          <w:color w:val="auto"/>
          <w:sz w:val="24"/>
        </w:rPr>
        <w:t>通讯地址：</w:t>
      </w:r>
      <w:r>
        <w:rPr>
          <w:color w:val="auto"/>
          <w:sz w:val="24"/>
          <w:u w:val="single"/>
        </w:rPr>
        <w:t xml:space="preserve">                  </w:t>
      </w:r>
      <w:r>
        <w:rPr>
          <w:color w:val="auto"/>
          <w:sz w:val="24"/>
        </w:rPr>
        <w:t xml:space="preserve">                </w:t>
      </w:r>
    </w:p>
    <w:p>
      <w:pPr>
        <w:spacing w:line="360" w:lineRule="auto"/>
        <w:ind w:firstLine="2520" w:firstLineChars="1050"/>
        <w:rPr>
          <w:color w:val="auto"/>
          <w:sz w:val="24"/>
        </w:rPr>
      </w:pPr>
    </w:p>
    <w:p>
      <w:pPr>
        <w:spacing w:line="360" w:lineRule="auto"/>
        <w:ind w:firstLine="2520" w:firstLineChars="1050"/>
        <w:rPr>
          <w:color w:val="auto"/>
          <w:sz w:val="24"/>
        </w:rPr>
      </w:pPr>
      <w:r>
        <w:rPr>
          <w:color w:val="auto"/>
          <w:sz w:val="24"/>
        </w:rPr>
        <w:t>电   话：</w:t>
      </w:r>
      <w:r>
        <w:rPr>
          <w:color w:val="auto"/>
          <w:sz w:val="24"/>
          <w:u w:val="single"/>
        </w:rPr>
        <w:t xml:space="preserve">                   </w:t>
      </w:r>
    </w:p>
    <w:p>
      <w:pPr>
        <w:spacing w:line="360" w:lineRule="auto"/>
        <w:ind w:right="-178" w:rightChars="-85" w:firstLine="2520" w:firstLineChars="1050"/>
        <w:rPr>
          <w:color w:val="auto"/>
          <w:sz w:val="24"/>
        </w:rPr>
      </w:pPr>
    </w:p>
    <w:p>
      <w:pPr>
        <w:spacing w:line="360" w:lineRule="auto"/>
        <w:ind w:right="-178" w:rightChars="-85" w:firstLine="2520" w:firstLineChars="1050"/>
        <w:rPr>
          <w:color w:val="auto"/>
          <w:sz w:val="24"/>
          <w:u w:val="single"/>
        </w:rPr>
      </w:pPr>
      <w:r>
        <w:rPr>
          <w:color w:val="auto"/>
          <w:sz w:val="24"/>
        </w:rPr>
        <w:t>传   真：</w:t>
      </w:r>
      <w:r>
        <w:rPr>
          <w:color w:val="auto"/>
          <w:sz w:val="24"/>
          <w:u w:val="single"/>
        </w:rPr>
        <w:t xml:space="preserve">                   </w:t>
      </w:r>
    </w:p>
    <w:p>
      <w:pPr>
        <w:spacing w:line="360" w:lineRule="auto"/>
        <w:ind w:right="-178" w:rightChars="-85" w:firstLine="2520" w:firstLineChars="1050"/>
        <w:rPr>
          <w:color w:val="auto"/>
          <w:sz w:val="24"/>
          <w:u w:val="single"/>
        </w:rPr>
      </w:pPr>
    </w:p>
    <w:p>
      <w:pPr>
        <w:pStyle w:val="22"/>
        <w:rPr>
          <w:rFonts w:ascii="Times New Roman" w:hAnsi="Times New Roman"/>
          <w:color w:val="auto"/>
          <w:sz w:val="24"/>
          <w:u w:val="single"/>
        </w:rPr>
      </w:pPr>
    </w:p>
    <w:p>
      <w:pPr>
        <w:pStyle w:val="22"/>
        <w:rPr>
          <w:rFonts w:ascii="Times New Roman" w:hAnsi="Times New Roman"/>
          <w:color w:val="auto"/>
          <w:sz w:val="24"/>
          <w:u w:val="single"/>
        </w:rPr>
      </w:pPr>
    </w:p>
    <w:p>
      <w:pPr>
        <w:spacing w:beforeLines="100" w:afterLines="100" w:line="360" w:lineRule="auto"/>
        <w:jc w:val="center"/>
        <w:rPr>
          <w:b/>
          <w:bCs/>
          <w:color w:val="auto"/>
          <w:sz w:val="28"/>
          <w:szCs w:val="28"/>
        </w:rPr>
      </w:pPr>
      <w:r>
        <w:rPr>
          <w:b/>
          <w:bCs/>
          <w:color w:val="auto"/>
          <w:sz w:val="28"/>
          <w:szCs w:val="28"/>
        </w:rPr>
        <w:t>3、诚信投标承诺书 </w:t>
      </w:r>
    </w:p>
    <w:p>
      <w:pPr>
        <w:spacing w:line="360" w:lineRule="auto"/>
        <w:ind w:firstLine="480" w:firstLineChars="200"/>
        <w:rPr>
          <w:color w:val="auto"/>
          <w:sz w:val="24"/>
        </w:rPr>
      </w:pPr>
    </w:p>
    <w:p>
      <w:pPr>
        <w:spacing w:line="360" w:lineRule="auto"/>
        <w:ind w:firstLine="480" w:firstLineChars="200"/>
        <w:rPr>
          <w:color w:val="auto"/>
          <w:sz w:val="24"/>
        </w:rPr>
      </w:pPr>
      <w:r>
        <w:rPr>
          <w:color w:val="auto"/>
          <w:sz w:val="24"/>
        </w:rPr>
        <w:t>本人以企业法定代表人的身份郑重承诺：</w:t>
      </w:r>
    </w:p>
    <w:p>
      <w:pPr>
        <w:spacing w:line="360" w:lineRule="auto"/>
        <w:ind w:firstLine="480" w:firstLineChars="200"/>
        <w:rPr>
          <w:color w:val="auto"/>
          <w:sz w:val="24"/>
        </w:rPr>
      </w:pPr>
      <w:r>
        <w:rPr>
          <w:color w:val="auto"/>
          <w:sz w:val="24"/>
        </w:rPr>
        <w:t>一、将遵循公开、公正和诚实信用的原则自愿参加</w:t>
      </w:r>
      <w:r>
        <w:rPr>
          <w:color w:val="auto"/>
          <w:sz w:val="24"/>
          <w:u w:val="single"/>
        </w:rPr>
        <w:t xml:space="preserve">                   </w:t>
      </w:r>
      <w:r>
        <w:rPr>
          <w:color w:val="auto"/>
          <w:sz w:val="24"/>
        </w:rPr>
        <w:t>项目的投标；</w:t>
      </w:r>
    </w:p>
    <w:p>
      <w:pPr>
        <w:spacing w:line="360" w:lineRule="auto"/>
        <w:ind w:firstLine="480" w:firstLineChars="200"/>
        <w:rPr>
          <w:color w:val="auto"/>
          <w:sz w:val="24"/>
        </w:rPr>
      </w:pPr>
      <w:r>
        <w:rPr>
          <w:color w:val="auto"/>
          <w:sz w:val="24"/>
        </w:rPr>
        <w:t>二、所提供的一切材料都是真实、有效、合法的；</w:t>
      </w:r>
    </w:p>
    <w:p>
      <w:pPr>
        <w:spacing w:line="360" w:lineRule="auto"/>
        <w:ind w:firstLine="480" w:firstLineChars="200"/>
        <w:rPr>
          <w:color w:val="auto"/>
          <w:sz w:val="24"/>
        </w:rPr>
      </w:pPr>
      <w:r>
        <w:rPr>
          <w:color w:val="auto"/>
          <w:sz w:val="24"/>
        </w:rPr>
        <w:t>三、不出借、转让资质证书，不让他人挂靠投标，不以他人名义投标或者以其他方式弄虚作假，骗取中标；</w:t>
      </w:r>
    </w:p>
    <w:p>
      <w:pPr>
        <w:spacing w:line="360" w:lineRule="auto"/>
        <w:ind w:firstLine="480" w:firstLineChars="200"/>
        <w:rPr>
          <w:color w:val="auto"/>
          <w:sz w:val="24"/>
        </w:rPr>
      </w:pPr>
      <w:r>
        <w:rPr>
          <w:color w:val="auto"/>
          <w:sz w:val="24"/>
        </w:rPr>
        <w:t>四、不与其他投标人相互串通投标报价，不排挤其他投标人的公平竞争、损害招标人的合法权益；</w:t>
      </w:r>
    </w:p>
    <w:p>
      <w:pPr>
        <w:spacing w:line="360" w:lineRule="auto"/>
        <w:ind w:firstLine="480" w:firstLineChars="200"/>
        <w:rPr>
          <w:color w:val="auto"/>
          <w:sz w:val="24"/>
        </w:rPr>
      </w:pPr>
      <w:r>
        <w:rPr>
          <w:color w:val="auto"/>
          <w:sz w:val="24"/>
        </w:rPr>
        <w:t>五、不与招标人、招标代理机构或其他投标人串通投标，损害国家利益、社会公共利益或者他人的合法权益；</w:t>
      </w:r>
    </w:p>
    <w:p>
      <w:pPr>
        <w:spacing w:line="360" w:lineRule="auto"/>
        <w:ind w:firstLine="480" w:firstLineChars="200"/>
        <w:rPr>
          <w:color w:val="auto"/>
          <w:sz w:val="24"/>
        </w:rPr>
      </w:pPr>
      <w:r>
        <w:rPr>
          <w:color w:val="auto"/>
          <w:sz w:val="24"/>
        </w:rPr>
        <w:t>六、严格遵守开标现场纪律，服从监管人员管理；</w:t>
      </w:r>
    </w:p>
    <w:p>
      <w:pPr>
        <w:spacing w:line="360" w:lineRule="auto"/>
        <w:ind w:firstLine="480" w:firstLineChars="200"/>
        <w:rPr>
          <w:color w:val="auto"/>
          <w:sz w:val="24"/>
        </w:rPr>
      </w:pPr>
      <w:r>
        <w:rPr>
          <w:color w:val="auto"/>
          <w:sz w:val="24"/>
        </w:rPr>
        <w:t>七、保证中标后不转包，若有分包征得招标人同意；</w:t>
      </w:r>
    </w:p>
    <w:p>
      <w:pPr>
        <w:spacing w:line="360" w:lineRule="auto"/>
        <w:ind w:firstLine="480" w:firstLineChars="200"/>
        <w:rPr>
          <w:color w:val="auto"/>
          <w:sz w:val="24"/>
        </w:rPr>
      </w:pPr>
      <w:r>
        <w:rPr>
          <w:color w:val="auto"/>
          <w:sz w:val="24"/>
        </w:rPr>
        <w:t>八、保证中标之后，按照投标文件要求提供相关后续服务；</w:t>
      </w:r>
    </w:p>
    <w:p>
      <w:pPr>
        <w:spacing w:line="360" w:lineRule="auto"/>
        <w:ind w:firstLine="480" w:firstLineChars="200"/>
        <w:rPr>
          <w:color w:val="auto"/>
          <w:sz w:val="24"/>
        </w:rPr>
      </w:pPr>
      <w:r>
        <w:rPr>
          <w:color w:val="auto"/>
          <w:sz w:val="24"/>
        </w:rPr>
        <w:t>九、保证企业及所属相关人员在本次投标中无行贿等犯罪行为；</w:t>
      </w:r>
    </w:p>
    <w:p>
      <w:pPr>
        <w:spacing w:line="360" w:lineRule="auto"/>
        <w:ind w:firstLine="480" w:firstLineChars="200"/>
        <w:rPr>
          <w:color w:val="auto"/>
          <w:sz w:val="24"/>
        </w:rPr>
      </w:pPr>
      <w:r>
        <w:rPr>
          <w:color w:val="auto"/>
          <w:sz w:val="24"/>
        </w:rPr>
        <w:t>十、如在投标过程和公示期间发生投诉行为，保证按照《伊犁州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spacing w:line="360" w:lineRule="auto"/>
        <w:ind w:firstLine="480" w:firstLineChars="200"/>
        <w:rPr>
          <w:color w:val="auto"/>
          <w:sz w:val="24"/>
        </w:rPr>
      </w:pPr>
      <w:r>
        <w:rPr>
          <w:color w:val="auto"/>
          <w:sz w:val="24"/>
        </w:rPr>
        <w:t>以上内容我已仔细阅读，本公司若有违反承诺内容的行为，自愿依法接受取消投标资格、记入不良信用档案、取消中标资格、没收投标保证金等有关处理，愿意承担法律责任，给招标人造成损失的，依法承担赔偿责任。</w:t>
      </w:r>
    </w:p>
    <w:p>
      <w:pPr>
        <w:spacing w:line="360" w:lineRule="auto"/>
        <w:ind w:firstLine="480" w:firstLineChars="200"/>
        <w:rPr>
          <w:color w:val="auto"/>
          <w:sz w:val="24"/>
        </w:rPr>
      </w:pPr>
      <w:r>
        <w:rPr>
          <w:color w:val="auto"/>
          <w:sz w:val="24"/>
        </w:rPr>
        <w:t> </w:t>
      </w:r>
    </w:p>
    <w:p>
      <w:pPr>
        <w:spacing w:line="360" w:lineRule="auto"/>
        <w:ind w:firstLine="480" w:firstLineChars="200"/>
        <w:rPr>
          <w:color w:val="auto"/>
          <w:sz w:val="24"/>
        </w:rPr>
      </w:pPr>
    </w:p>
    <w:p>
      <w:pPr>
        <w:spacing w:line="360" w:lineRule="auto"/>
        <w:ind w:firstLine="480" w:firstLineChars="200"/>
        <w:rPr>
          <w:color w:val="auto"/>
          <w:sz w:val="24"/>
        </w:rPr>
      </w:pPr>
      <w:r>
        <w:rPr>
          <w:color w:val="auto"/>
          <w:sz w:val="24"/>
        </w:rPr>
        <w:t>开户银行：                   基本账户：</w:t>
      </w:r>
    </w:p>
    <w:p>
      <w:pPr>
        <w:spacing w:line="360" w:lineRule="auto"/>
        <w:ind w:firstLine="480" w:firstLineChars="200"/>
        <w:rPr>
          <w:color w:val="auto"/>
          <w:sz w:val="24"/>
        </w:rPr>
      </w:pPr>
      <w:r>
        <w:rPr>
          <w:color w:val="auto"/>
          <w:sz w:val="24"/>
        </w:rPr>
        <w:t>投标单位（公章）：          法定代表人（签字或盖章）：</w:t>
      </w:r>
    </w:p>
    <w:p>
      <w:pPr>
        <w:spacing w:line="360" w:lineRule="auto"/>
        <w:rPr>
          <w:color w:val="auto"/>
          <w:sz w:val="24"/>
          <w:lang w:val="en-GB"/>
        </w:rPr>
      </w:pPr>
    </w:p>
    <w:p>
      <w:pPr>
        <w:spacing w:line="360" w:lineRule="auto"/>
        <w:rPr>
          <w:b/>
          <w:color w:val="auto"/>
          <w:sz w:val="28"/>
          <w:szCs w:val="28"/>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beforeLines="100" w:afterLines="100" w:line="360" w:lineRule="auto"/>
        <w:jc w:val="center"/>
        <w:rPr>
          <w:b/>
          <w:bCs/>
          <w:color w:val="auto"/>
          <w:sz w:val="28"/>
          <w:szCs w:val="28"/>
        </w:rPr>
      </w:pPr>
      <w:r>
        <w:rPr>
          <w:b/>
          <w:bCs/>
          <w:color w:val="auto"/>
          <w:sz w:val="28"/>
          <w:szCs w:val="28"/>
        </w:rPr>
        <w:t>4、报价明细表</w:t>
      </w:r>
    </w:p>
    <w:p>
      <w:pPr>
        <w:spacing w:line="360" w:lineRule="auto"/>
        <w:ind w:firstLine="482" w:firstLineChars="200"/>
        <w:rPr>
          <w:b/>
          <w:bCs/>
          <w:color w:val="auto"/>
          <w:sz w:val="24"/>
          <w:szCs w:val="22"/>
        </w:rPr>
      </w:pPr>
    </w:p>
    <w:p>
      <w:pPr>
        <w:spacing w:line="360" w:lineRule="auto"/>
        <w:ind w:firstLine="482" w:firstLineChars="200"/>
        <w:rPr>
          <w:b/>
          <w:bCs/>
          <w:color w:val="auto"/>
          <w:sz w:val="24"/>
          <w:szCs w:val="22"/>
        </w:rPr>
      </w:pPr>
    </w:p>
    <w:p>
      <w:pPr>
        <w:spacing w:line="360" w:lineRule="auto"/>
        <w:ind w:firstLine="482" w:firstLineChars="200"/>
        <w:rPr>
          <w:b/>
          <w:bCs/>
          <w:color w:val="auto"/>
          <w:sz w:val="24"/>
          <w:szCs w:val="22"/>
        </w:rPr>
      </w:pPr>
      <w:r>
        <w:rPr>
          <w:b/>
          <w:bCs/>
          <w:color w:val="auto"/>
          <w:sz w:val="24"/>
          <w:szCs w:val="22"/>
        </w:rPr>
        <w:t xml:space="preserve">注：投标人不可更改采购清单中的数量，否侧投标将被否决。招标人清标时发现报价数量不一致，可取消投标人中标资格。 </w:t>
      </w:r>
    </w:p>
    <w:p>
      <w:pPr>
        <w:spacing w:line="360" w:lineRule="auto"/>
        <w:ind w:firstLine="482" w:firstLineChars="200"/>
        <w:rPr>
          <w:b/>
          <w:bCs/>
          <w:color w:val="auto"/>
          <w:sz w:val="24"/>
          <w:szCs w:val="22"/>
        </w:rPr>
      </w:pPr>
      <w:r>
        <w:rPr>
          <w:b/>
          <w:bCs/>
          <w:color w:val="auto"/>
          <w:sz w:val="24"/>
          <w:szCs w:val="22"/>
        </w:rPr>
        <w:t>投标人按照采购清单的格式填写投标报价，并加盖公章，表中的“投标总报价”应与“投标函附录”及投标函中的投标总报价一致。</w:t>
      </w:r>
    </w:p>
    <w:p>
      <w:pPr>
        <w:spacing w:line="360" w:lineRule="auto"/>
        <w:ind w:firstLine="482" w:firstLineChars="200"/>
        <w:rPr>
          <w:rFonts w:hint="eastAsia" w:ascii="Times New Roman" w:hAnsi="Times New Roman" w:eastAsia="宋体" w:cs="Times New Roman"/>
          <w:b/>
          <w:bCs/>
          <w:color w:val="auto"/>
          <w:sz w:val="24"/>
          <w:szCs w:val="22"/>
        </w:rPr>
      </w:pPr>
      <w:r>
        <w:rPr>
          <w:rFonts w:hint="eastAsia" w:cs="Times New Roman"/>
          <w:b/>
          <w:bCs/>
          <w:color w:val="auto"/>
          <w:sz w:val="24"/>
          <w:szCs w:val="22"/>
          <w:lang w:eastAsia="zh-CN"/>
        </w:rPr>
        <w:t>投标</w:t>
      </w:r>
      <w:r>
        <w:rPr>
          <w:rFonts w:hint="eastAsia" w:ascii="Times New Roman" w:hAnsi="Times New Roman" w:eastAsia="宋体" w:cs="Times New Roman"/>
          <w:b/>
          <w:bCs/>
          <w:color w:val="auto"/>
          <w:sz w:val="24"/>
          <w:szCs w:val="22"/>
        </w:rPr>
        <w:t>总报价为投标人完成招标范围所述的全部工程内容的体现和完成该工程项目的成本、管理费、技术措施费、利润、风险费及政策性文件规定的不可竞争费用、规费和税金等所有费用，以及所有根据合同或其它原因由投标人支付的税金和其它应缴纳的费用。</w:t>
      </w:r>
    </w:p>
    <w:p>
      <w:pPr>
        <w:rPr>
          <w:rFonts w:hint="eastAsia"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br w:type="page"/>
      </w:r>
    </w:p>
    <w:p>
      <w:pPr>
        <w:spacing w:line="360" w:lineRule="auto"/>
        <w:jc w:val="center"/>
        <w:rPr>
          <w:rFonts w:hint="eastAsia" w:ascii="宋体" w:hAnsi="宋体" w:cs="宋体"/>
          <w:b/>
          <w:sz w:val="30"/>
          <w:szCs w:val="30"/>
        </w:rPr>
      </w:pPr>
      <w:r>
        <w:rPr>
          <w:rFonts w:hint="eastAsia" w:ascii="宋体" w:hAnsi="宋体" w:cs="宋体"/>
          <w:b/>
          <w:sz w:val="30"/>
          <w:szCs w:val="30"/>
          <w:lang w:val="en-US" w:eastAsia="zh-CN"/>
        </w:rPr>
        <w:t>5、</w:t>
      </w:r>
      <w:r>
        <w:rPr>
          <w:rFonts w:hint="eastAsia" w:ascii="宋体" w:hAnsi="宋体" w:cs="宋体"/>
          <w:b/>
          <w:sz w:val="30"/>
          <w:szCs w:val="30"/>
        </w:rPr>
        <w:t>中小企业声明函</w:t>
      </w:r>
    </w:p>
    <w:p>
      <w:pPr>
        <w:spacing w:line="360" w:lineRule="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rPr>
      </w:pPr>
      <w:r>
        <w:rPr>
          <w:rFonts w:hint="eastAsia" w:ascii="宋体" w:hAnsi="宋体" w:cs="宋体"/>
          <w:sz w:val="24"/>
        </w:rPr>
        <w:t>致</w:t>
      </w:r>
      <w:r>
        <w:rPr>
          <w:rFonts w:hint="eastAsia" w:ascii="宋体" w:hAnsi="宋体" w:cs="宋体"/>
          <w:sz w:val="24"/>
          <w:lang w:val="en-US" w:eastAsia="zh-CN"/>
        </w:rPr>
        <w:t>新疆喀大建设项目管理咨询有限公司</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u w:val="single"/>
        </w:rPr>
      </w:pPr>
      <w:r>
        <w:rPr>
          <w:rFonts w:hint="eastAsia" w:ascii="宋体" w:hAnsi="宋体" w:cs="宋体"/>
          <w:sz w:val="24"/>
        </w:rPr>
        <w:t>根据《政府采购促进中小企业发展暂行办法》（财库【2011】181号）的规定，本公司为</w:t>
      </w:r>
      <w:r>
        <w:rPr>
          <w:rFonts w:hint="eastAsia" w:ascii="宋体" w:hAnsi="宋体" w:cs="宋体"/>
          <w:sz w:val="24"/>
          <w:u w:val="single"/>
        </w:rPr>
        <w:t xml:space="preserve">         </w:t>
      </w:r>
      <w:r>
        <w:rPr>
          <w:rFonts w:hint="eastAsia" w:ascii="宋体" w:hAnsi="宋体" w:cs="宋体"/>
          <w:sz w:val="24"/>
        </w:rPr>
        <w:t>(请填写：中型、小型、微型)企业。即本公司同时满足以下条件：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u w:val="single"/>
        </w:rPr>
      </w:pPr>
      <w:r>
        <w:rPr>
          <w:rFonts w:hint="eastAsia" w:ascii="宋体" w:hAnsi="宋体" w:cs="宋体"/>
          <w:sz w:val="24"/>
        </w:rPr>
        <w:t>1、根据《工业和信息化部、国家统计局、国家发展和改革委员会、财政部关于印发中小企业划型标准规定的通知》（工信部联企业【2011】300号）规定的划分标准，本公司为</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u w:val="single"/>
        </w:rPr>
      </w:pPr>
      <w:r>
        <w:rPr>
          <w:rFonts w:hint="eastAsia" w:ascii="宋体" w:hAnsi="宋体" w:cs="宋体"/>
          <w:sz w:val="24"/>
        </w:rPr>
        <w:t>（请填写：中型、小型、微型）企业。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u w:val="single"/>
        </w:rPr>
      </w:pPr>
      <w:r>
        <w:rPr>
          <w:rFonts w:hint="eastAsia" w:ascii="宋体" w:hAnsi="宋体" w:cs="宋体"/>
          <w:sz w:val="24"/>
        </w:rPr>
        <w:t>2、本公司参加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项目采购活动提供本企业制造的货物，由本企业承担工程、提供服务，或者提供其他</w:t>
      </w:r>
      <w:r>
        <w:rPr>
          <w:rFonts w:hint="eastAsia" w:ascii="宋体" w:hAnsi="宋体" w:cs="宋体"/>
          <w:sz w:val="24"/>
          <w:u w:val="single"/>
        </w:rPr>
        <w:t xml:space="preserve">        </w:t>
      </w:r>
      <w:r>
        <w:rPr>
          <w:rFonts w:hint="eastAsia" w:ascii="宋体" w:hAnsi="宋体" w:cs="宋体"/>
          <w:sz w:val="24"/>
        </w:rPr>
        <w:t xml:space="preserve"> （请填写：中型、小型、微型）企业制造的货物。本条所称货物不包括使用大型企业注册商标的货物。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3、本公司对上述声明的真实性负责。如有虚假，将依法承担相应责任。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sz w:val="24"/>
        </w:rPr>
      </w:pPr>
      <w:r>
        <w:rPr>
          <w:rFonts w:hint="eastAsia" w:ascii="宋体" w:hAnsi="宋体" w:cs="宋体"/>
          <w:b/>
          <w:sz w:val="24"/>
        </w:rPr>
        <w:t>注：</w:t>
      </w:r>
      <w:r>
        <w:rPr>
          <w:rFonts w:hint="eastAsia" w:ascii="宋体" w:hAnsi="宋体" w:cs="宋体"/>
          <w:sz w:val="24"/>
        </w:rPr>
        <w:t>中小微企业划分标准按《工业和信息化部、国家统计局、国家发展和改革委员会、财政部关于印发中小企业划型标准规定的通知》（工信部联企业【2011】300号）规定执行。</w:t>
      </w:r>
      <w:r>
        <w:rPr>
          <w:rFonts w:hint="eastAsia" w:ascii="宋体" w:hAnsi="宋体" w:cs="宋体"/>
          <w:b/>
        </w:rPr>
        <w:t xml:space="preserve"> </w:t>
      </w:r>
    </w:p>
    <w:p>
      <w:pPr>
        <w:pStyle w:val="13"/>
        <w:rPr>
          <w:rFonts w:hint="eastAsia" w:ascii="宋体" w:hAnsi="宋体" w:cs="宋体"/>
          <w:b/>
          <w:sz w:val="24"/>
        </w:rPr>
      </w:pPr>
      <w:r>
        <w:rPr>
          <w:rFonts w:hint="eastAsia" w:ascii="宋体" w:hAnsi="宋体" w:cs="宋体"/>
          <w:b/>
          <w:sz w:val="24"/>
        </w:rPr>
        <w:t xml:space="preserve">附：相关部门确认的证明材料。 </w:t>
      </w:r>
    </w:p>
    <w:p>
      <w:pPr>
        <w:pStyle w:val="14"/>
        <w:rPr>
          <w:rFonts w:hint="eastAsia" w:ascii="宋体" w:hAnsi="宋体" w:cs="宋体"/>
          <w:b/>
          <w:sz w:val="24"/>
        </w:rPr>
      </w:pPr>
    </w:p>
    <w:p>
      <w:pPr>
        <w:spacing w:line="440" w:lineRule="exact"/>
        <w:rPr>
          <w:rFonts w:hint="eastAsia" w:ascii="宋体" w:hAnsi="宋体" w:eastAsia="宋体" w:cs="宋体"/>
          <w:b/>
          <w:color w:val="auto"/>
          <w:sz w:val="28"/>
          <w:szCs w:val="28"/>
        </w:rPr>
      </w:pPr>
    </w:p>
    <w:p>
      <w:pPr>
        <w:spacing w:line="440" w:lineRule="exact"/>
        <w:rPr>
          <w:rFonts w:hint="eastAsia" w:ascii="宋体" w:hAnsi="宋体" w:eastAsia="宋体" w:cs="宋体"/>
          <w:b/>
          <w:color w:val="auto"/>
          <w:sz w:val="28"/>
          <w:szCs w:val="28"/>
        </w:rPr>
      </w:pPr>
    </w:p>
    <w:p>
      <w:pPr>
        <w:spacing w:line="440" w:lineRule="exact"/>
        <w:rPr>
          <w:rFonts w:hint="eastAsia" w:ascii="宋体" w:hAnsi="宋体" w:eastAsia="宋体" w:cs="宋体"/>
          <w:b/>
          <w:color w:val="auto"/>
          <w:sz w:val="28"/>
          <w:szCs w:val="28"/>
        </w:rPr>
      </w:pPr>
    </w:p>
    <w:p>
      <w:pPr>
        <w:spacing w:line="440" w:lineRule="exact"/>
        <w:rPr>
          <w:rFonts w:hint="eastAsia" w:ascii="宋体" w:hAnsi="宋体" w:eastAsia="宋体" w:cs="宋体"/>
          <w:b/>
          <w:color w:val="auto"/>
          <w:sz w:val="28"/>
          <w:szCs w:val="28"/>
        </w:rPr>
      </w:pPr>
    </w:p>
    <w:p>
      <w:pPr>
        <w:spacing w:line="440" w:lineRule="exact"/>
        <w:rPr>
          <w:rFonts w:hint="eastAsia" w:ascii="宋体" w:hAnsi="宋体" w:eastAsia="宋体" w:cs="宋体"/>
          <w:b/>
          <w:color w:val="auto"/>
          <w:sz w:val="28"/>
          <w:szCs w:val="28"/>
        </w:rPr>
      </w:pPr>
    </w:p>
    <w:p>
      <w:pPr>
        <w:spacing w:line="440" w:lineRule="exact"/>
        <w:rPr>
          <w:rFonts w:hint="eastAsia" w:ascii="宋体" w:hAnsi="宋体" w:eastAsia="宋体" w:cs="宋体"/>
          <w:b/>
          <w:color w:val="auto"/>
          <w:sz w:val="28"/>
          <w:szCs w:val="28"/>
        </w:rPr>
      </w:pPr>
    </w:p>
    <w:p>
      <w:pPr>
        <w:spacing w:line="440" w:lineRule="exact"/>
        <w:rPr>
          <w:rFonts w:hint="eastAsia" w:ascii="宋体" w:hAnsi="宋体" w:eastAsia="宋体" w:cs="宋体"/>
          <w:b/>
          <w:color w:val="auto"/>
          <w:sz w:val="28"/>
          <w:szCs w:val="28"/>
        </w:rPr>
      </w:pPr>
    </w:p>
    <w:p>
      <w:pPr>
        <w:spacing w:line="440" w:lineRule="exact"/>
        <w:rPr>
          <w:rFonts w:hint="eastAsia" w:ascii="宋体" w:hAnsi="宋体" w:eastAsia="宋体" w:cs="宋体"/>
          <w:b/>
          <w:color w:val="auto"/>
          <w:sz w:val="28"/>
          <w:szCs w:val="28"/>
        </w:rPr>
      </w:pPr>
    </w:p>
    <w:p>
      <w:pPr>
        <w:spacing w:line="440" w:lineRule="exact"/>
        <w:rPr>
          <w:rFonts w:hint="eastAsia" w:ascii="宋体" w:hAnsi="宋体" w:eastAsia="宋体" w:cs="宋体"/>
          <w:b/>
          <w:color w:val="auto"/>
          <w:sz w:val="28"/>
          <w:szCs w:val="28"/>
        </w:rPr>
      </w:pPr>
    </w:p>
    <w:p>
      <w:pPr>
        <w:spacing w:line="440" w:lineRule="exact"/>
        <w:rPr>
          <w:rFonts w:hint="eastAsia" w:ascii="宋体" w:hAnsi="宋体" w:eastAsia="宋体" w:cs="宋体"/>
          <w:b/>
          <w:color w:val="auto"/>
          <w:sz w:val="28"/>
          <w:szCs w:val="28"/>
        </w:rPr>
      </w:pPr>
    </w:p>
    <w:p>
      <w:pPr>
        <w:spacing w:line="440" w:lineRule="exact"/>
        <w:rPr>
          <w:rFonts w:hint="eastAsia" w:ascii="宋体" w:hAnsi="宋体" w:eastAsia="宋体" w:cs="宋体"/>
          <w:b/>
          <w:color w:val="auto"/>
          <w:sz w:val="28"/>
          <w:szCs w:val="28"/>
        </w:rPr>
      </w:pPr>
    </w:p>
    <w:p>
      <w:pPr>
        <w:spacing w:line="440" w:lineRule="exact"/>
        <w:rPr>
          <w:rFonts w:hint="eastAsia" w:ascii="宋体" w:hAnsi="宋体" w:eastAsia="宋体" w:cs="宋体"/>
          <w:b/>
          <w:color w:val="auto"/>
          <w:sz w:val="28"/>
          <w:szCs w:val="28"/>
        </w:rPr>
      </w:pPr>
    </w:p>
    <w:p>
      <w:pPr>
        <w:spacing w:line="440" w:lineRule="exact"/>
        <w:rPr>
          <w:rFonts w:hint="eastAsia" w:ascii="宋体" w:hAnsi="宋体" w:eastAsia="宋体" w:cs="宋体"/>
          <w:b/>
          <w:color w:val="auto"/>
          <w:sz w:val="28"/>
          <w:szCs w:val="28"/>
        </w:rPr>
      </w:pPr>
    </w:p>
    <w:p>
      <w:pPr>
        <w:spacing w:line="440" w:lineRule="exact"/>
        <w:jc w:val="center"/>
        <w:rPr>
          <w:rFonts w:hint="eastAsia" w:ascii="宋体" w:hAnsi="宋体" w:cs="宋体"/>
          <w:b/>
          <w:sz w:val="32"/>
          <w:szCs w:val="32"/>
          <w:lang w:val="en-US" w:eastAsia="zh-CN"/>
        </w:rPr>
      </w:pPr>
    </w:p>
    <w:p>
      <w:pPr>
        <w:spacing w:line="440" w:lineRule="exact"/>
        <w:jc w:val="center"/>
        <w:rPr>
          <w:rFonts w:hint="eastAsia" w:ascii="宋体" w:hAnsi="宋体" w:cs="宋体"/>
          <w:b/>
          <w:sz w:val="32"/>
          <w:szCs w:val="32"/>
          <w:lang w:val="en-US" w:eastAsia="zh-CN"/>
        </w:rPr>
      </w:pPr>
      <w:r>
        <w:rPr>
          <w:rFonts w:hint="eastAsia" w:ascii="宋体" w:hAnsi="宋体" w:cs="宋体"/>
          <w:b/>
          <w:sz w:val="32"/>
          <w:szCs w:val="32"/>
          <w:lang w:val="en-US" w:eastAsia="zh-CN"/>
        </w:rPr>
        <w:t>6、监狱企业证明材料（如有，可选）</w:t>
      </w:r>
    </w:p>
    <w:p>
      <w:pPr>
        <w:pStyle w:val="8"/>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cs="宋体"/>
          <w:b/>
          <w:color w:val="auto"/>
          <w:sz w:val="28"/>
          <w:szCs w:val="28"/>
          <w:lang w:val="en-US" w:eastAsia="zh-CN"/>
        </w:rPr>
        <w:t xml:space="preserve"> </w:t>
      </w:r>
      <w:r>
        <w:rPr>
          <w:rFonts w:hint="eastAsia" w:ascii="宋体" w:hAnsi="宋体" w:eastAsia="宋体" w:cs="宋体"/>
          <w:color w:val="auto"/>
          <w:kern w:val="2"/>
          <w:sz w:val="24"/>
          <w:szCs w:val="24"/>
          <w:lang w:val="en-US" w:eastAsia="zh-CN" w:bidi="ar-SA"/>
        </w:rPr>
        <w:t xml:space="preserve">   </w:t>
      </w:r>
    </w:p>
    <w:p>
      <w:pPr>
        <w:pStyle w:val="8"/>
        <w:ind w:left="0" w:leftChars="0" w:firstLine="0" w:firstLineChars="0"/>
        <w:rPr>
          <w:rFonts w:hint="eastAsia" w:ascii="宋体" w:hAnsi="宋体" w:eastAsia="宋体" w:cs="宋体"/>
          <w:color w:val="auto"/>
          <w:kern w:val="2"/>
          <w:sz w:val="24"/>
          <w:szCs w:val="24"/>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用供应商提供由省级以上监狱管理局、戒毒管理局（含新疆生产建设兵团）出具的属于监狱企业的证明文件。</w:t>
      </w:r>
    </w:p>
    <w:p>
      <w:pPr>
        <w:spacing w:line="440" w:lineRule="exact"/>
        <w:rPr>
          <w:rFonts w:hint="eastAsia" w:ascii="宋体" w:hAnsi="宋体" w:cs="宋体"/>
          <w:b/>
          <w:sz w:val="28"/>
          <w:szCs w:val="28"/>
        </w:rPr>
      </w:pPr>
    </w:p>
    <w:p>
      <w:pPr>
        <w:spacing w:line="360" w:lineRule="auto"/>
        <w:rPr>
          <w:rFonts w:hint="eastAsia" w:ascii="宋体" w:hAnsi="宋体" w:cs="宋体"/>
          <w:b/>
          <w:sz w:val="24"/>
        </w:rPr>
      </w:pPr>
    </w:p>
    <w:p>
      <w:pPr>
        <w:pStyle w:val="13"/>
        <w:rPr>
          <w:rFonts w:hint="eastAsia"/>
        </w:rPr>
      </w:pPr>
    </w:p>
    <w:p>
      <w:pPr>
        <w:spacing w:line="440" w:lineRule="exact"/>
        <w:ind w:firstLine="4620" w:firstLineChars="2200"/>
        <w:rPr>
          <w:rFonts w:hint="eastAsia" w:ascii="宋体" w:hAnsi="宋体" w:cs="宋体"/>
          <w:sz w:val="24"/>
          <w:lang w:val="en-US" w:eastAsia="zh-CN"/>
        </w:rPr>
      </w:pPr>
      <w:r>
        <w:rPr>
          <w:rFonts w:hint="eastAsia" w:ascii="宋体" w:hAnsi="宋体" w:eastAsia="宋体" w:cs="宋体"/>
          <w:b w:val="0"/>
          <w:color w:val="auto"/>
          <w:lang w:val="en-US" w:eastAsia="zh-CN"/>
        </w:rPr>
        <w:t xml:space="preserve">         </w:t>
      </w:r>
      <w:r>
        <w:rPr>
          <w:rFonts w:hint="eastAsia" w:ascii="宋体" w:hAnsi="宋体" w:cs="宋体"/>
          <w:sz w:val="24"/>
          <w:lang w:val="en-US" w:eastAsia="zh-CN"/>
        </w:rPr>
        <w:t>供应商名称(盖章)：</w:t>
      </w:r>
    </w:p>
    <w:p>
      <w:pPr>
        <w:spacing w:line="440" w:lineRule="exact"/>
        <w:ind w:left="5267" w:leftChars="2508" w:firstLine="0" w:firstLineChars="0"/>
        <w:rPr>
          <w:rFonts w:hint="eastAsia" w:ascii="宋体" w:hAnsi="宋体" w:eastAsia="宋体" w:cs="宋体"/>
          <w:sz w:val="24"/>
          <w:lang w:val="en-US" w:eastAsia="zh-CN"/>
        </w:rPr>
      </w:pPr>
      <w:r>
        <w:rPr>
          <w:rFonts w:hint="eastAsia" w:ascii="宋体" w:hAnsi="宋体" w:cs="宋体"/>
          <w:sz w:val="24"/>
          <w:lang w:val="en-US" w:eastAsia="zh-CN"/>
        </w:rPr>
        <w:t xml:space="preserve">                                              供应商授</w:t>
      </w:r>
      <w:r>
        <w:rPr>
          <w:rFonts w:hint="eastAsia" w:ascii="宋体" w:hAnsi="宋体" w:eastAsia="宋体" w:cs="宋体"/>
          <w:sz w:val="24"/>
          <w:lang w:val="en-US" w:eastAsia="zh-CN"/>
        </w:rPr>
        <w:t>权代表（签字或盖章）：</w:t>
      </w:r>
    </w:p>
    <w:p>
      <w:pPr>
        <w:spacing w:line="440" w:lineRule="exact"/>
        <w:ind w:firstLine="5280" w:firstLineChars="2200"/>
        <w:rPr>
          <w:rFonts w:hint="eastAsia" w:ascii="宋体" w:hAnsi="宋体" w:cs="宋体"/>
          <w:b w:val="0"/>
          <w:sz w:val="28"/>
          <w:szCs w:val="28"/>
        </w:rPr>
      </w:pPr>
      <w:r>
        <w:rPr>
          <w:rFonts w:hint="eastAsia" w:ascii="宋体" w:hAnsi="宋体" w:eastAsia="宋体" w:cs="宋体"/>
          <w:sz w:val="24"/>
          <w:lang w:val="en-US" w:eastAsia="zh-CN"/>
        </w:rPr>
        <w:t xml:space="preserve">   日期：  </w:t>
      </w:r>
      <w:r>
        <w:rPr>
          <w:rFonts w:hint="eastAsia" w:ascii="宋体" w:hAnsi="宋体" w:cs="宋体"/>
          <w:b w:val="0"/>
          <w:kern w:val="2"/>
          <w:sz w:val="24"/>
          <w:szCs w:val="24"/>
          <w:lang w:val="en-US" w:eastAsia="zh-CN" w:bidi="ar-SA"/>
        </w:rPr>
        <w:t xml:space="preserve">  年   月   日</w:t>
      </w:r>
    </w:p>
    <w:p>
      <w:pPr>
        <w:spacing w:line="360" w:lineRule="auto"/>
        <w:rPr>
          <w:rFonts w:hint="eastAsia" w:ascii="宋体" w:hAnsi="宋体" w:eastAsia="宋体" w:cs="宋体"/>
          <w:color w:val="auto"/>
          <w:sz w:val="24"/>
          <w:u w:val="single"/>
        </w:rPr>
      </w:pPr>
    </w:p>
    <w:p>
      <w:pPr>
        <w:pStyle w:val="64"/>
        <w:numPr>
          <w:ilvl w:val="0"/>
          <w:numId w:val="0"/>
        </w:numPr>
        <w:spacing w:line="380" w:lineRule="exact"/>
        <w:jc w:val="center"/>
        <w:rPr>
          <w:rFonts w:hint="eastAsia" w:ascii="宋体" w:hAnsi="宋体" w:eastAsia="宋体" w:cs="宋体"/>
          <w:b/>
          <w:color w:val="auto"/>
          <w:sz w:val="30"/>
          <w:szCs w:val="30"/>
        </w:rPr>
      </w:pPr>
    </w:p>
    <w:p>
      <w:pPr>
        <w:pStyle w:val="13"/>
        <w:rPr>
          <w:rFonts w:hint="eastAsia"/>
        </w:rPr>
      </w:pPr>
    </w:p>
    <w:p>
      <w:pPr>
        <w:spacing w:line="440" w:lineRule="exact"/>
        <w:jc w:val="center"/>
        <w:rPr>
          <w:rFonts w:hint="eastAsia" w:ascii="宋体" w:hAnsi="宋体" w:cs="宋体"/>
          <w:b/>
          <w:sz w:val="32"/>
          <w:szCs w:val="32"/>
          <w:lang w:val="en-US" w:eastAsia="zh-CN"/>
        </w:rPr>
      </w:pPr>
      <w:r>
        <w:rPr>
          <w:rFonts w:hint="eastAsia" w:ascii="宋体" w:hAnsi="宋体" w:cs="宋体"/>
          <w:b/>
          <w:sz w:val="32"/>
          <w:szCs w:val="32"/>
          <w:lang w:val="en-US" w:eastAsia="zh-CN"/>
        </w:rPr>
        <w:t>7、残疾人福利性单位声明函</w:t>
      </w:r>
    </w:p>
    <w:p>
      <w:pPr>
        <w:pStyle w:val="13"/>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单位的</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项目采购活动提供本单位制造的货物（由本单位承担/提供服务），或者提供其他残疾人福利性单位制造的货物（不包括使用非残疾人福利性单位注册商标的货物）。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rPr>
          <w:rFonts w:hint="eastAsia" w:ascii="宋体" w:hAnsi="宋体" w:eastAsia="宋体" w:cs="宋体"/>
          <w:color w:val="auto"/>
          <w:sz w:val="24"/>
        </w:rPr>
      </w:pPr>
    </w:p>
    <w:p>
      <w:pPr>
        <w:pStyle w:val="13"/>
        <w:rPr>
          <w:rFonts w:hint="eastAsia" w:ascii="宋体" w:hAnsi="宋体" w:eastAsia="宋体" w:cs="宋体"/>
          <w:color w:val="auto"/>
          <w:sz w:val="24"/>
        </w:rPr>
      </w:pPr>
    </w:p>
    <w:p>
      <w:pPr>
        <w:rPr>
          <w:rFonts w:hint="eastAsia" w:ascii="宋体" w:hAnsi="宋体" w:eastAsia="宋体" w:cs="宋体"/>
          <w:color w:val="auto"/>
          <w:sz w:val="24"/>
        </w:rPr>
      </w:pPr>
    </w:p>
    <w:p>
      <w:pPr>
        <w:spacing w:line="440" w:lineRule="exact"/>
        <w:ind w:firstLine="6000" w:firstLineChars="2500"/>
        <w:rPr>
          <w:rFonts w:hint="eastAsia" w:ascii="宋体" w:hAnsi="宋体" w:cs="宋体"/>
          <w:sz w:val="24"/>
          <w:lang w:val="en-US" w:eastAsia="zh-CN"/>
        </w:rPr>
      </w:pPr>
      <w:r>
        <w:rPr>
          <w:rFonts w:hint="eastAsia" w:ascii="宋体" w:hAnsi="宋体" w:cs="宋体"/>
          <w:sz w:val="24"/>
          <w:lang w:val="en-US" w:eastAsia="zh-CN"/>
        </w:rPr>
        <w:t>供应商名称(盖章)：</w:t>
      </w:r>
    </w:p>
    <w:p>
      <w:pPr>
        <w:spacing w:line="440" w:lineRule="exact"/>
        <w:rPr>
          <w:rFonts w:hint="eastAsia" w:ascii="宋体" w:hAnsi="宋体" w:eastAsia="宋体" w:cs="宋体"/>
          <w:sz w:val="24"/>
          <w:lang w:val="en-US" w:eastAsia="zh-CN"/>
        </w:rPr>
      </w:pPr>
      <w:r>
        <w:rPr>
          <w:rFonts w:hint="eastAsia" w:ascii="宋体" w:hAnsi="宋体" w:cs="宋体"/>
          <w:sz w:val="24"/>
          <w:lang w:val="en-US" w:eastAsia="zh-CN"/>
        </w:rPr>
        <w:t xml:space="preserve">                                              供应商授</w:t>
      </w:r>
      <w:r>
        <w:rPr>
          <w:rFonts w:hint="eastAsia" w:ascii="宋体" w:hAnsi="宋体" w:eastAsia="宋体" w:cs="宋体"/>
          <w:sz w:val="24"/>
          <w:lang w:val="en-US" w:eastAsia="zh-CN"/>
        </w:rPr>
        <w:t>权代表（签字或盖章）：</w:t>
      </w:r>
    </w:p>
    <w:p>
      <w:pPr>
        <w:spacing w:line="440" w:lineRule="exact"/>
        <w:rPr>
          <w:color w:val="auto"/>
          <w:sz w:val="24"/>
          <w:szCs w:val="24"/>
        </w:rPr>
      </w:pPr>
      <w:r>
        <w:rPr>
          <w:rFonts w:hint="eastAsia" w:ascii="宋体" w:hAnsi="宋体" w:eastAsia="宋体" w:cs="宋体"/>
          <w:sz w:val="24"/>
          <w:lang w:val="en-US" w:eastAsia="zh-CN"/>
        </w:rPr>
        <w:t xml:space="preserve">                                                日期：    年   月   日</w:t>
      </w:r>
    </w:p>
    <w:p>
      <w:pPr>
        <w:spacing w:beforeLines="100" w:afterLines="100" w:line="360" w:lineRule="auto"/>
        <w:jc w:val="center"/>
        <w:rPr>
          <w:b/>
          <w:bCs/>
          <w:color w:val="auto"/>
          <w:sz w:val="28"/>
          <w:szCs w:val="28"/>
        </w:rPr>
      </w:pPr>
      <w:r>
        <w:rPr>
          <w:rFonts w:hint="eastAsia"/>
          <w:b/>
          <w:bCs/>
          <w:color w:val="auto"/>
          <w:sz w:val="24"/>
          <w:szCs w:val="24"/>
          <w:lang w:val="en-US" w:eastAsia="zh-CN"/>
        </w:rPr>
        <w:t xml:space="preserve"> </w:t>
      </w:r>
      <w:r>
        <w:rPr>
          <w:b/>
          <w:bCs/>
          <w:color w:val="auto"/>
          <w:sz w:val="24"/>
          <w:szCs w:val="24"/>
        </w:rPr>
        <w:br w:type="page"/>
      </w:r>
      <w:r>
        <w:rPr>
          <w:b/>
          <w:bCs/>
          <w:color w:val="auto"/>
          <w:sz w:val="28"/>
          <w:szCs w:val="28"/>
        </w:rPr>
        <w:t>7、投标人认为需要提供的其他材料</w:t>
      </w:r>
    </w:p>
    <w:p>
      <w:pPr>
        <w:spacing w:line="360" w:lineRule="auto"/>
        <w:rPr>
          <w:color w:val="auto"/>
        </w:rPr>
      </w:pPr>
    </w:p>
    <w:p>
      <w:pPr>
        <w:spacing w:line="360" w:lineRule="auto"/>
        <w:rPr>
          <w:color w:val="auto"/>
        </w:rPr>
      </w:pPr>
    </w:p>
    <w:p>
      <w:pPr>
        <w:spacing w:line="360" w:lineRule="auto"/>
        <w:rPr>
          <w:color w:val="auto"/>
        </w:rPr>
      </w:pPr>
    </w:p>
    <w:sectPr>
      <w:footerReference r:id="rId12" w:type="first"/>
      <w:headerReference r:id="rId9" w:type="default"/>
      <w:footerReference r:id="rId10" w:type="default"/>
      <w:footerReference r:id="rId11" w:type="even"/>
      <w:pgSz w:w="11906" w:h="16838"/>
      <w:pgMar w:top="1440" w:right="1080" w:bottom="1440" w:left="1080" w:header="284" w:footer="680" w:gutter="0"/>
      <w:pgBorders>
        <w:top w:val="none" w:sz="0" w:space="0"/>
        <w:left w:val="none" w:sz="0" w:space="0"/>
        <w:bottom w:val="none" w:sz="0" w:space="0"/>
        <w:right w:val="none" w:sz="0" w:space="0"/>
      </w:pgBorders>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4"/>
      </w:rPr>
    </w:pPr>
    <w:r>
      <w:fldChar w:fldCharType="begin"/>
    </w:r>
    <w:r>
      <w:rPr>
        <w:rStyle w:val="34"/>
      </w:rPr>
      <w:instrText xml:space="preserve">PAGE  </w:instrText>
    </w:r>
    <w:r>
      <w:fldChar w:fldCharType="end"/>
    </w:r>
  </w:p>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E827A"/>
    <w:multiLevelType w:val="singleLevel"/>
    <w:tmpl w:val="AC9E827A"/>
    <w:lvl w:ilvl="0" w:tentative="0">
      <w:start w:val="2"/>
      <w:numFmt w:val="decimal"/>
      <w:suff w:val="space"/>
      <w:lvlText w:val="%1."/>
      <w:lvlJc w:val="left"/>
    </w:lvl>
  </w:abstractNum>
  <w:abstractNum w:abstractNumId="1">
    <w:nsid w:val="DDF14996"/>
    <w:multiLevelType w:val="singleLevel"/>
    <w:tmpl w:val="DDF14996"/>
    <w:lvl w:ilvl="0" w:tentative="0">
      <w:start w:val="7"/>
      <w:numFmt w:val="decimal"/>
      <w:suff w:val="space"/>
      <w:lvlText w:val="%1."/>
      <w:lvlJc w:val="left"/>
    </w:lvl>
  </w:abstractNum>
  <w:abstractNum w:abstractNumId="2">
    <w:nsid w:val="E77ECE5F"/>
    <w:multiLevelType w:val="singleLevel"/>
    <w:tmpl w:val="E77ECE5F"/>
    <w:lvl w:ilvl="0" w:tentative="0">
      <w:start w:val="6"/>
      <w:numFmt w:val="decimal"/>
      <w:suff w:val="space"/>
      <w:lvlText w:val="%1."/>
      <w:lvlJc w:val="left"/>
    </w:lvl>
  </w:abstractNum>
  <w:abstractNum w:abstractNumId="3">
    <w:nsid w:val="F07D9466"/>
    <w:multiLevelType w:val="singleLevel"/>
    <w:tmpl w:val="F07D9466"/>
    <w:lvl w:ilvl="0" w:tentative="0">
      <w:start w:val="13"/>
      <w:numFmt w:val="decimal"/>
      <w:suff w:val="space"/>
      <w:lvlText w:val="%1."/>
      <w:lvlJc w:val="left"/>
    </w:lvl>
  </w:abstractNum>
  <w:abstractNum w:abstractNumId="4">
    <w:nsid w:val="00000003"/>
    <w:multiLevelType w:val="singleLevel"/>
    <w:tmpl w:val="00000003"/>
    <w:lvl w:ilvl="0" w:tentative="0">
      <w:start w:val="5"/>
      <w:numFmt w:val="decimal"/>
      <w:suff w:val="nothing"/>
      <w:lvlText w:val="%1、"/>
      <w:lvlJc w:val="left"/>
    </w:lvl>
  </w:abstractNum>
  <w:abstractNum w:abstractNumId="5">
    <w:nsid w:val="00000006"/>
    <w:multiLevelType w:val="multilevel"/>
    <w:tmpl w:val="00000006"/>
    <w:lvl w:ilvl="0" w:tentative="0">
      <w:start w:val="6"/>
      <w:numFmt w:val="decimal"/>
      <w:lvlText w:val="（%1）"/>
      <w:lvlJc w:val="left"/>
      <w:pPr>
        <w:tabs>
          <w:tab w:val="left" w:pos="1500"/>
        </w:tabs>
        <w:ind w:left="1500" w:hanging="1080"/>
      </w:pPr>
      <w:rPr>
        <w:rFonts w:hint="eastAsia"/>
      </w:rPr>
    </w:lvl>
    <w:lvl w:ilvl="1" w:tentative="0">
      <w:start w:val="1"/>
      <w:numFmt w:val="decimal"/>
      <w:pStyle w:val="18"/>
      <w:lvlText w:val="（%2）"/>
      <w:lvlJc w:val="left"/>
      <w:pPr>
        <w:tabs>
          <w:tab w:val="left" w:pos="1920"/>
        </w:tabs>
        <w:ind w:left="1920" w:hanging="108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E"/>
    <w:multiLevelType w:val="multilevel"/>
    <w:tmpl w:val="0000000E"/>
    <w:lvl w:ilvl="0" w:tentative="0">
      <w:start w:val="2"/>
      <w:numFmt w:val="japaneseCounting"/>
      <w:lvlText w:val="第%1章"/>
      <w:lvlJc w:val="left"/>
      <w:pPr>
        <w:tabs>
          <w:tab w:val="left" w:pos="1770"/>
        </w:tabs>
        <w:ind w:left="1770" w:hanging="1770"/>
      </w:pPr>
      <w:rPr>
        <w:rFonts w:hint="eastAsia"/>
      </w:rPr>
    </w:lvl>
    <w:lvl w:ilvl="1" w:tentative="0">
      <w:start w:val="1"/>
      <w:numFmt w:val="decimal"/>
      <w:pStyle w:val="4"/>
      <w:lvlText w:val="%2、"/>
      <w:lvlJc w:val="left"/>
      <w:pPr>
        <w:tabs>
          <w:tab w:val="left" w:pos="2740"/>
        </w:tabs>
        <w:ind w:left="2740" w:hanging="720"/>
      </w:pPr>
      <w:rPr>
        <w:rFonts w:ascii="Times New Roman" w:hAnsi="Times New Roman" w:eastAsia="Times New Roman" w:cs="Times New Roman"/>
      </w:rPr>
    </w:lvl>
    <w:lvl w:ilvl="2" w:tentative="0">
      <w:start w:val="1"/>
      <w:numFmt w:val="upperLetter"/>
      <w:lvlText w:val="%3."/>
      <w:lvlJc w:val="left"/>
      <w:pPr>
        <w:tabs>
          <w:tab w:val="left" w:pos="1200"/>
        </w:tabs>
        <w:ind w:left="1200" w:hanging="360"/>
      </w:pPr>
      <w:rPr>
        <w:rFonts w:hint="eastAsia" w:ascii="Arial" w:hAnsi="Arial" w:cs="Arial"/>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E1E14D5"/>
    <w:multiLevelType w:val="singleLevel"/>
    <w:tmpl w:val="0E1E14D5"/>
    <w:lvl w:ilvl="0" w:tentative="0">
      <w:start w:val="27"/>
      <w:numFmt w:val="decimal"/>
      <w:suff w:val="space"/>
      <w:lvlText w:val="%1."/>
      <w:lvlJc w:val="left"/>
    </w:lvl>
  </w:abstractNum>
  <w:abstractNum w:abstractNumId="8">
    <w:nsid w:val="10CF3FFA"/>
    <w:multiLevelType w:val="singleLevel"/>
    <w:tmpl w:val="10CF3FFA"/>
    <w:lvl w:ilvl="0" w:tentative="0">
      <w:start w:val="9"/>
      <w:numFmt w:val="decimal"/>
      <w:suff w:val="space"/>
      <w:lvlText w:val="%1."/>
      <w:lvlJc w:val="left"/>
    </w:lvl>
  </w:abstractNum>
  <w:abstractNum w:abstractNumId="9">
    <w:nsid w:val="2546DBAA"/>
    <w:multiLevelType w:val="singleLevel"/>
    <w:tmpl w:val="2546DBAA"/>
    <w:lvl w:ilvl="0" w:tentative="0">
      <w:start w:val="2"/>
      <w:numFmt w:val="decimal"/>
      <w:suff w:val="nothing"/>
      <w:lvlText w:val="（%1）"/>
      <w:lvlJc w:val="left"/>
    </w:lvl>
  </w:abstractNum>
  <w:abstractNum w:abstractNumId="10">
    <w:nsid w:val="3510AF4A"/>
    <w:multiLevelType w:val="singleLevel"/>
    <w:tmpl w:val="3510AF4A"/>
    <w:lvl w:ilvl="0" w:tentative="0">
      <w:start w:val="35"/>
      <w:numFmt w:val="decimal"/>
      <w:suff w:val="space"/>
      <w:lvlText w:val="%1."/>
      <w:lvlJc w:val="left"/>
    </w:lvl>
  </w:abstractNum>
  <w:abstractNum w:abstractNumId="11">
    <w:nsid w:val="47C994B7"/>
    <w:multiLevelType w:val="singleLevel"/>
    <w:tmpl w:val="47C994B7"/>
    <w:lvl w:ilvl="0" w:tentative="0">
      <w:start w:val="1"/>
      <w:numFmt w:val="decimal"/>
      <w:suff w:val="nothing"/>
      <w:lvlText w:val="（%1）"/>
      <w:lvlJc w:val="left"/>
    </w:lvl>
  </w:abstractNum>
  <w:abstractNum w:abstractNumId="12">
    <w:nsid w:val="5F0EABA7"/>
    <w:multiLevelType w:val="singleLevel"/>
    <w:tmpl w:val="5F0EABA7"/>
    <w:lvl w:ilvl="0" w:tentative="0">
      <w:start w:val="26"/>
      <w:numFmt w:val="decimal"/>
      <w:suff w:val="space"/>
      <w:lvlText w:val="%1."/>
      <w:lvlJc w:val="left"/>
    </w:lvl>
  </w:abstractNum>
  <w:abstractNum w:abstractNumId="13">
    <w:nsid w:val="75D13340"/>
    <w:multiLevelType w:val="singleLevel"/>
    <w:tmpl w:val="75D13340"/>
    <w:lvl w:ilvl="0" w:tentative="0">
      <w:start w:val="11"/>
      <w:numFmt w:val="decimal"/>
      <w:suff w:val="space"/>
      <w:lvlText w:val="%1."/>
      <w:lvlJc w:val="left"/>
    </w:lvl>
  </w:abstractNum>
  <w:num w:numId="1">
    <w:abstractNumId w:val="6"/>
  </w:num>
  <w:num w:numId="2">
    <w:abstractNumId w:val="5"/>
  </w:num>
  <w:num w:numId="3">
    <w:abstractNumId w:val="0"/>
  </w:num>
  <w:num w:numId="4">
    <w:abstractNumId w:val="2"/>
  </w:num>
  <w:num w:numId="5">
    <w:abstractNumId w:val="1"/>
  </w:num>
  <w:num w:numId="6">
    <w:abstractNumId w:val="8"/>
  </w:num>
  <w:num w:numId="7">
    <w:abstractNumId w:val="13"/>
  </w:num>
  <w:num w:numId="8">
    <w:abstractNumId w:val="3"/>
  </w:num>
  <w:num w:numId="9">
    <w:abstractNumId w:val="12"/>
  </w:num>
  <w:num w:numId="10">
    <w:abstractNumId w:val="7"/>
  </w:num>
  <w:num w:numId="11">
    <w:abstractNumId w:val="10"/>
  </w:num>
  <w:num w:numId="12">
    <w:abstractNumId w:val="9"/>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YWU2OWEyMzgzNjZlYThjMzE1NjdiZTVmY2IyYzAifQ=="/>
  </w:docVars>
  <w:rsids>
    <w:rsidRoot w:val="00000000"/>
    <w:rsid w:val="001604FC"/>
    <w:rsid w:val="00266095"/>
    <w:rsid w:val="00714994"/>
    <w:rsid w:val="00EF7F72"/>
    <w:rsid w:val="00F5631A"/>
    <w:rsid w:val="00FB4547"/>
    <w:rsid w:val="00FD57A1"/>
    <w:rsid w:val="013C2CBD"/>
    <w:rsid w:val="01545A05"/>
    <w:rsid w:val="017F169C"/>
    <w:rsid w:val="01CA5CC8"/>
    <w:rsid w:val="01E449DA"/>
    <w:rsid w:val="027F3D47"/>
    <w:rsid w:val="02A40414"/>
    <w:rsid w:val="0306706C"/>
    <w:rsid w:val="032633D2"/>
    <w:rsid w:val="03C230FA"/>
    <w:rsid w:val="041B680B"/>
    <w:rsid w:val="046441B2"/>
    <w:rsid w:val="04921E11"/>
    <w:rsid w:val="04C95B5B"/>
    <w:rsid w:val="04DF357B"/>
    <w:rsid w:val="04ED064B"/>
    <w:rsid w:val="04FB7C9D"/>
    <w:rsid w:val="05546757"/>
    <w:rsid w:val="058D7738"/>
    <w:rsid w:val="05F81055"/>
    <w:rsid w:val="063F4ED6"/>
    <w:rsid w:val="06C66B43"/>
    <w:rsid w:val="06CB0518"/>
    <w:rsid w:val="06D23428"/>
    <w:rsid w:val="06FD0BBC"/>
    <w:rsid w:val="07021C39"/>
    <w:rsid w:val="0708176C"/>
    <w:rsid w:val="0721638A"/>
    <w:rsid w:val="07346017"/>
    <w:rsid w:val="07857678"/>
    <w:rsid w:val="07FB2DEA"/>
    <w:rsid w:val="08145EEF"/>
    <w:rsid w:val="081C3FC0"/>
    <w:rsid w:val="088D57EE"/>
    <w:rsid w:val="089661E2"/>
    <w:rsid w:val="08AD4CFB"/>
    <w:rsid w:val="08D13DE0"/>
    <w:rsid w:val="08E91129"/>
    <w:rsid w:val="08F666DA"/>
    <w:rsid w:val="08F906A5"/>
    <w:rsid w:val="09130C5B"/>
    <w:rsid w:val="09132B65"/>
    <w:rsid w:val="092F3133"/>
    <w:rsid w:val="094F6E02"/>
    <w:rsid w:val="09BC4A90"/>
    <w:rsid w:val="09C50192"/>
    <w:rsid w:val="09F713CA"/>
    <w:rsid w:val="0A0124A3"/>
    <w:rsid w:val="0A2D4F26"/>
    <w:rsid w:val="0A9E5F43"/>
    <w:rsid w:val="0ADA31AD"/>
    <w:rsid w:val="0ADB6785"/>
    <w:rsid w:val="0AE0030A"/>
    <w:rsid w:val="0B0432EA"/>
    <w:rsid w:val="0B17346B"/>
    <w:rsid w:val="0B1F52D6"/>
    <w:rsid w:val="0B3C7C36"/>
    <w:rsid w:val="0B3E26C2"/>
    <w:rsid w:val="0B431DA0"/>
    <w:rsid w:val="0BB75534"/>
    <w:rsid w:val="0C1C227E"/>
    <w:rsid w:val="0C1F443D"/>
    <w:rsid w:val="0C48260B"/>
    <w:rsid w:val="0C4A4962"/>
    <w:rsid w:val="0C4B4D8B"/>
    <w:rsid w:val="0CAC740E"/>
    <w:rsid w:val="0CE3267D"/>
    <w:rsid w:val="0CF26CF7"/>
    <w:rsid w:val="0CF72F1E"/>
    <w:rsid w:val="0D054058"/>
    <w:rsid w:val="0D6B65B1"/>
    <w:rsid w:val="0D766DC6"/>
    <w:rsid w:val="0DB02216"/>
    <w:rsid w:val="0DB279B5"/>
    <w:rsid w:val="0DBA39CE"/>
    <w:rsid w:val="0DDC6028"/>
    <w:rsid w:val="0DDD1225"/>
    <w:rsid w:val="0DE66214"/>
    <w:rsid w:val="0DF646B0"/>
    <w:rsid w:val="0E252E83"/>
    <w:rsid w:val="0E714D63"/>
    <w:rsid w:val="0E8969FD"/>
    <w:rsid w:val="0E922F09"/>
    <w:rsid w:val="0EB30B77"/>
    <w:rsid w:val="0EB35B41"/>
    <w:rsid w:val="0EE83C31"/>
    <w:rsid w:val="0F4470B9"/>
    <w:rsid w:val="0F495E5D"/>
    <w:rsid w:val="0FB46460"/>
    <w:rsid w:val="0FC71A98"/>
    <w:rsid w:val="0FD026AC"/>
    <w:rsid w:val="101D5079"/>
    <w:rsid w:val="103A394B"/>
    <w:rsid w:val="10621892"/>
    <w:rsid w:val="10680A70"/>
    <w:rsid w:val="10E072B6"/>
    <w:rsid w:val="111C7CF4"/>
    <w:rsid w:val="11716D64"/>
    <w:rsid w:val="118A0FD0"/>
    <w:rsid w:val="118B5473"/>
    <w:rsid w:val="118D1823"/>
    <w:rsid w:val="11B524F0"/>
    <w:rsid w:val="11BD076E"/>
    <w:rsid w:val="11C24D61"/>
    <w:rsid w:val="11CE074C"/>
    <w:rsid w:val="120B1BBE"/>
    <w:rsid w:val="120C0DF4"/>
    <w:rsid w:val="12503FC7"/>
    <w:rsid w:val="126B1C32"/>
    <w:rsid w:val="1279389A"/>
    <w:rsid w:val="12CA3D79"/>
    <w:rsid w:val="12F3679A"/>
    <w:rsid w:val="132C0590"/>
    <w:rsid w:val="134746BB"/>
    <w:rsid w:val="13637054"/>
    <w:rsid w:val="136F66CF"/>
    <w:rsid w:val="13A520F1"/>
    <w:rsid w:val="13AF2F6F"/>
    <w:rsid w:val="13EA184F"/>
    <w:rsid w:val="14015397"/>
    <w:rsid w:val="141D74B1"/>
    <w:rsid w:val="14233646"/>
    <w:rsid w:val="14305E5E"/>
    <w:rsid w:val="14501A52"/>
    <w:rsid w:val="146F1580"/>
    <w:rsid w:val="147026FF"/>
    <w:rsid w:val="14970FA9"/>
    <w:rsid w:val="14F137FE"/>
    <w:rsid w:val="15283EB7"/>
    <w:rsid w:val="15451BE4"/>
    <w:rsid w:val="155C3B14"/>
    <w:rsid w:val="15602773"/>
    <w:rsid w:val="15910B7E"/>
    <w:rsid w:val="15A46B04"/>
    <w:rsid w:val="15A8318D"/>
    <w:rsid w:val="15CA22E2"/>
    <w:rsid w:val="15D548CC"/>
    <w:rsid w:val="15DB03F2"/>
    <w:rsid w:val="16565924"/>
    <w:rsid w:val="167A1613"/>
    <w:rsid w:val="16A823AB"/>
    <w:rsid w:val="16B41C25"/>
    <w:rsid w:val="16BD05A9"/>
    <w:rsid w:val="170610F8"/>
    <w:rsid w:val="17575DF8"/>
    <w:rsid w:val="17784E50"/>
    <w:rsid w:val="1780461B"/>
    <w:rsid w:val="17A72937"/>
    <w:rsid w:val="17B64543"/>
    <w:rsid w:val="17DC7171"/>
    <w:rsid w:val="1838489C"/>
    <w:rsid w:val="183A4A8E"/>
    <w:rsid w:val="183A69FF"/>
    <w:rsid w:val="18C662FD"/>
    <w:rsid w:val="192166BD"/>
    <w:rsid w:val="192A4AD4"/>
    <w:rsid w:val="193312AD"/>
    <w:rsid w:val="193971DA"/>
    <w:rsid w:val="19397563"/>
    <w:rsid w:val="19944435"/>
    <w:rsid w:val="19A90B8D"/>
    <w:rsid w:val="19BB08C0"/>
    <w:rsid w:val="1A9C7A6F"/>
    <w:rsid w:val="1A9E0206"/>
    <w:rsid w:val="1AB04B09"/>
    <w:rsid w:val="1ABF1CEA"/>
    <w:rsid w:val="1AD239D9"/>
    <w:rsid w:val="1AFE5B78"/>
    <w:rsid w:val="1B241CD5"/>
    <w:rsid w:val="1B300E3A"/>
    <w:rsid w:val="1B4641B9"/>
    <w:rsid w:val="1B5026B1"/>
    <w:rsid w:val="1B891082"/>
    <w:rsid w:val="1B8D1DE8"/>
    <w:rsid w:val="1BC51582"/>
    <w:rsid w:val="1BFF759F"/>
    <w:rsid w:val="1C04244A"/>
    <w:rsid w:val="1C077731"/>
    <w:rsid w:val="1C375971"/>
    <w:rsid w:val="1C815ABE"/>
    <w:rsid w:val="1D291FE4"/>
    <w:rsid w:val="1D2971FB"/>
    <w:rsid w:val="1D6D20DE"/>
    <w:rsid w:val="1D930211"/>
    <w:rsid w:val="1DBE272D"/>
    <w:rsid w:val="1DDC7057"/>
    <w:rsid w:val="1DFC3255"/>
    <w:rsid w:val="1E171E3D"/>
    <w:rsid w:val="1E8E0DC4"/>
    <w:rsid w:val="1E9C0379"/>
    <w:rsid w:val="1EA73B9E"/>
    <w:rsid w:val="1EC5253E"/>
    <w:rsid w:val="1F02190B"/>
    <w:rsid w:val="1F100A40"/>
    <w:rsid w:val="1F3F164B"/>
    <w:rsid w:val="1F584062"/>
    <w:rsid w:val="1FA53C39"/>
    <w:rsid w:val="1FA601CB"/>
    <w:rsid w:val="1FAD16F6"/>
    <w:rsid w:val="1FB86721"/>
    <w:rsid w:val="1FE7642F"/>
    <w:rsid w:val="1FF70178"/>
    <w:rsid w:val="1FFC753C"/>
    <w:rsid w:val="204151E9"/>
    <w:rsid w:val="20415FFD"/>
    <w:rsid w:val="209C5863"/>
    <w:rsid w:val="20AE7F2E"/>
    <w:rsid w:val="20C77B4A"/>
    <w:rsid w:val="20D3029D"/>
    <w:rsid w:val="20D93CBE"/>
    <w:rsid w:val="20E1111D"/>
    <w:rsid w:val="20F765D7"/>
    <w:rsid w:val="21350F58"/>
    <w:rsid w:val="21513D9B"/>
    <w:rsid w:val="2151717A"/>
    <w:rsid w:val="215C37BA"/>
    <w:rsid w:val="21674E89"/>
    <w:rsid w:val="21994E53"/>
    <w:rsid w:val="21C66054"/>
    <w:rsid w:val="21C85928"/>
    <w:rsid w:val="21DE339D"/>
    <w:rsid w:val="21EE450F"/>
    <w:rsid w:val="22242A10"/>
    <w:rsid w:val="222A7D26"/>
    <w:rsid w:val="222D1C2F"/>
    <w:rsid w:val="2271206B"/>
    <w:rsid w:val="22821F7B"/>
    <w:rsid w:val="228F5682"/>
    <w:rsid w:val="229106B7"/>
    <w:rsid w:val="22BA4FB3"/>
    <w:rsid w:val="22D93B65"/>
    <w:rsid w:val="22E76633"/>
    <w:rsid w:val="22F17100"/>
    <w:rsid w:val="23906919"/>
    <w:rsid w:val="2396112B"/>
    <w:rsid w:val="23F33055"/>
    <w:rsid w:val="240D1D18"/>
    <w:rsid w:val="24324439"/>
    <w:rsid w:val="24401F5B"/>
    <w:rsid w:val="24783F2E"/>
    <w:rsid w:val="24B46637"/>
    <w:rsid w:val="24FF3700"/>
    <w:rsid w:val="251252B2"/>
    <w:rsid w:val="25981AB5"/>
    <w:rsid w:val="261E111D"/>
    <w:rsid w:val="2677762E"/>
    <w:rsid w:val="2685203A"/>
    <w:rsid w:val="26AD28DA"/>
    <w:rsid w:val="26F00D14"/>
    <w:rsid w:val="26FA0E6E"/>
    <w:rsid w:val="26FC0BBD"/>
    <w:rsid w:val="27247AA4"/>
    <w:rsid w:val="2750030D"/>
    <w:rsid w:val="27BF726B"/>
    <w:rsid w:val="28095A5F"/>
    <w:rsid w:val="28362877"/>
    <w:rsid w:val="2849353B"/>
    <w:rsid w:val="2852127B"/>
    <w:rsid w:val="285C74E3"/>
    <w:rsid w:val="28942A08"/>
    <w:rsid w:val="28BD075F"/>
    <w:rsid w:val="28CB7F11"/>
    <w:rsid w:val="28DE7285"/>
    <w:rsid w:val="28E16EFE"/>
    <w:rsid w:val="28E3573D"/>
    <w:rsid w:val="28EC18AC"/>
    <w:rsid w:val="29015BC3"/>
    <w:rsid w:val="293730BD"/>
    <w:rsid w:val="2949231D"/>
    <w:rsid w:val="297058A1"/>
    <w:rsid w:val="29B53D84"/>
    <w:rsid w:val="29CA3944"/>
    <w:rsid w:val="29F623F5"/>
    <w:rsid w:val="2A8820F8"/>
    <w:rsid w:val="2A8A7EAB"/>
    <w:rsid w:val="2AC00927"/>
    <w:rsid w:val="2ACD477C"/>
    <w:rsid w:val="2B1F0A6C"/>
    <w:rsid w:val="2B8C3045"/>
    <w:rsid w:val="2BBF5C96"/>
    <w:rsid w:val="2BC74B7B"/>
    <w:rsid w:val="2BD33847"/>
    <w:rsid w:val="2BF74811"/>
    <w:rsid w:val="2C4E3130"/>
    <w:rsid w:val="2C534988"/>
    <w:rsid w:val="2C595171"/>
    <w:rsid w:val="2CC9039A"/>
    <w:rsid w:val="2CE51D4D"/>
    <w:rsid w:val="2CEA2420"/>
    <w:rsid w:val="2D1A508D"/>
    <w:rsid w:val="2D4F41C3"/>
    <w:rsid w:val="2D93157A"/>
    <w:rsid w:val="2DBF7F69"/>
    <w:rsid w:val="2DC93154"/>
    <w:rsid w:val="2DF57C01"/>
    <w:rsid w:val="2E624A01"/>
    <w:rsid w:val="2F087CAC"/>
    <w:rsid w:val="2F300FB0"/>
    <w:rsid w:val="2F5A16BB"/>
    <w:rsid w:val="2FB40E42"/>
    <w:rsid w:val="2FC170F4"/>
    <w:rsid w:val="2FE7555B"/>
    <w:rsid w:val="2FE8682E"/>
    <w:rsid w:val="2FEB51AF"/>
    <w:rsid w:val="2FF36EF8"/>
    <w:rsid w:val="300A35B0"/>
    <w:rsid w:val="303D0EB6"/>
    <w:rsid w:val="306616BE"/>
    <w:rsid w:val="30F06C49"/>
    <w:rsid w:val="30FA7AC8"/>
    <w:rsid w:val="311D12A2"/>
    <w:rsid w:val="3140763A"/>
    <w:rsid w:val="314B3E80"/>
    <w:rsid w:val="31572824"/>
    <w:rsid w:val="317C0393"/>
    <w:rsid w:val="32004C6A"/>
    <w:rsid w:val="321150C9"/>
    <w:rsid w:val="321E77E6"/>
    <w:rsid w:val="32411B40"/>
    <w:rsid w:val="325D6E09"/>
    <w:rsid w:val="329F219D"/>
    <w:rsid w:val="32B97334"/>
    <w:rsid w:val="32D0606E"/>
    <w:rsid w:val="32D17F26"/>
    <w:rsid w:val="32EC48A6"/>
    <w:rsid w:val="33185FE3"/>
    <w:rsid w:val="33274478"/>
    <w:rsid w:val="33482480"/>
    <w:rsid w:val="336F21B5"/>
    <w:rsid w:val="339C0CF2"/>
    <w:rsid w:val="33E85E3D"/>
    <w:rsid w:val="33F9568F"/>
    <w:rsid w:val="344E43B3"/>
    <w:rsid w:val="346E05B1"/>
    <w:rsid w:val="347831DE"/>
    <w:rsid w:val="34784F8C"/>
    <w:rsid w:val="349F69BC"/>
    <w:rsid w:val="34C12418"/>
    <w:rsid w:val="34E43E85"/>
    <w:rsid w:val="35284C04"/>
    <w:rsid w:val="357804F0"/>
    <w:rsid w:val="359D0A22"/>
    <w:rsid w:val="36067761"/>
    <w:rsid w:val="36195DA8"/>
    <w:rsid w:val="36A302BA"/>
    <w:rsid w:val="36BE445D"/>
    <w:rsid w:val="36E4513F"/>
    <w:rsid w:val="36F06545"/>
    <w:rsid w:val="3710594F"/>
    <w:rsid w:val="371371EE"/>
    <w:rsid w:val="37517A31"/>
    <w:rsid w:val="37796952"/>
    <w:rsid w:val="37835B10"/>
    <w:rsid w:val="37D72911"/>
    <w:rsid w:val="38172D0E"/>
    <w:rsid w:val="3825367C"/>
    <w:rsid w:val="387463B2"/>
    <w:rsid w:val="38806B05"/>
    <w:rsid w:val="38832151"/>
    <w:rsid w:val="38976A7C"/>
    <w:rsid w:val="38CD199B"/>
    <w:rsid w:val="38E15393"/>
    <w:rsid w:val="38EA0CC3"/>
    <w:rsid w:val="392650DC"/>
    <w:rsid w:val="397F157E"/>
    <w:rsid w:val="399B29A2"/>
    <w:rsid w:val="39B527DE"/>
    <w:rsid w:val="39D11A2C"/>
    <w:rsid w:val="3A2A31CC"/>
    <w:rsid w:val="3A2C00DF"/>
    <w:rsid w:val="3A535369"/>
    <w:rsid w:val="3A5E0D80"/>
    <w:rsid w:val="3AB74334"/>
    <w:rsid w:val="3AC058DE"/>
    <w:rsid w:val="3AC627E4"/>
    <w:rsid w:val="3ACD7FBA"/>
    <w:rsid w:val="3AD82C28"/>
    <w:rsid w:val="3AD969A0"/>
    <w:rsid w:val="3AE62396"/>
    <w:rsid w:val="3B856CB6"/>
    <w:rsid w:val="3BB41E32"/>
    <w:rsid w:val="3BD620EB"/>
    <w:rsid w:val="3C4D4481"/>
    <w:rsid w:val="3CAB0F3C"/>
    <w:rsid w:val="3CAD55B8"/>
    <w:rsid w:val="3CC932A4"/>
    <w:rsid w:val="3CF42A8F"/>
    <w:rsid w:val="3D452C28"/>
    <w:rsid w:val="3D503914"/>
    <w:rsid w:val="3D551FF4"/>
    <w:rsid w:val="3D580A48"/>
    <w:rsid w:val="3DB74671"/>
    <w:rsid w:val="3DF75C8A"/>
    <w:rsid w:val="3E2D328B"/>
    <w:rsid w:val="3E357E77"/>
    <w:rsid w:val="3E3C4101"/>
    <w:rsid w:val="3E4305DD"/>
    <w:rsid w:val="3E5E3444"/>
    <w:rsid w:val="3E746056"/>
    <w:rsid w:val="3E7A2262"/>
    <w:rsid w:val="3EB70DA6"/>
    <w:rsid w:val="3EB72B54"/>
    <w:rsid w:val="3ECE30B7"/>
    <w:rsid w:val="3F423CF3"/>
    <w:rsid w:val="3F577CFB"/>
    <w:rsid w:val="3F654183"/>
    <w:rsid w:val="3F7922D7"/>
    <w:rsid w:val="3F7E4ACE"/>
    <w:rsid w:val="3FC25D26"/>
    <w:rsid w:val="3FE4523F"/>
    <w:rsid w:val="3FFA0F4B"/>
    <w:rsid w:val="4092104D"/>
    <w:rsid w:val="40B502FF"/>
    <w:rsid w:val="40C46EF7"/>
    <w:rsid w:val="410B34CD"/>
    <w:rsid w:val="416D2C43"/>
    <w:rsid w:val="417E6496"/>
    <w:rsid w:val="4186433F"/>
    <w:rsid w:val="41A27AEC"/>
    <w:rsid w:val="421772B4"/>
    <w:rsid w:val="42480355"/>
    <w:rsid w:val="426C1EA8"/>
    <w:rsid w:val="4278084D"/>
    <w:rsid w:val="427C20F5"/>
    <w:rsid w:val="429A7A35"/>
    <w:rsid w:val="42B62C93"/>
    <w:rsid w:val="42F94CC8"/>
    <w:rsid w:val="43471309"/>
    <w:rsid w:val="437D5B6C"/>
    <w:rsid w:val="439B456B"/>
    <w:rsid w:val="44297709"/>
    <w:rsid w:val="443A04B0"/>
    <w:rsid w:val="443A2B62"/>
    <w:rsid w:val="44586B88"/>
    <w:rsid w:val="4484172B"/>
    <w:rsid w:val="448E3E6A"/>
    <w:rsid w:val="44E328F5"/>
    <w:rsid w:val="44F248E6"/>
    <w:rsid w:val="450F3DDF"/>
    <w:rsid w:val="45243EE6"/>
    <w:rsid w:val="453F23E9"/>
    <w:rsid w:val="45497132"/>
    <w:rsid w:val="456F1F6A"/>
    <w:rsid w:val="45752D4D"/>
    <w:rsid w:val="45770A64"/>
    <w:rsid w:val="458B2362"/>
    <w:rsid w:val="45A46C77"/>
    <w:rsid w:val="45AC718B"/>
    <w:rsid w:val="45B52959"/>
    <w:rsid w:val="45B82622"/>
    <w:rsid w:val="45C83899"/>
    <w:rsid w:val="45FB6165"/>
    <w:rsid w:val="46182AB3"/>
    <w:rsid w:val="4642364B"/>
    <w:rsid w:val="466F3B42"/>
    <w:rsid w:val="467D4684"/>
    <w:rsid w:val="46E67835"/>
    <w:rsid w:val="47233C17"/>
    <w:rsid w:val="477E4AC9"/>
    <w:rsid w:val="47A125F4"/>
    <w:rsid w:val="47BA1D07"/>
    <w:rsid w:val="47ED62E0"/>
    <w:rsid w:val="4860425D"/>
    <w:rsid w:val="48A3655A"/>
    <w:rsid w:val="48AD6E21"/>
    <w:rsid w:val="48DE3CD2"/>
    <w:rsid w:val="48E11A61"/>
    <w:rsid w:val="48EE3617"/>
    <w:rsid w:val="48F069B3"/>
    <w:rsid w:val="49014067"/>
    <w:rsid w:val="49057811"/>
    <w:rsid w:val="4907372F"/>
    <w:rsid w:val="49210A45"/>
    <w:rsid w:val="49431F7D"/>
    <w:rsid w:val="496A5ECB"/>
    <w:rsid w:val="499917D4"/>
    <w:rsid w:val="499A50C2"/>
    <w:rsid w:val="49B303BC"/>
    <w:rsid w:val="49EC54BB"/>
    <w:rsid w:val="49F857C9"/>
    <w:rsid w:val="4A091E94"/>
    <w:rsid w:val="4A096910"/>
    <w:rsid w:val="4B3B005B"/>
    <w:rsid w:val="4B3C5FD8"/>
    <w:rsid w:val="4B871B00"/>
    <w:rsid w:val="4BD41A75"/>
    <w:rsid w:val="4BF21670"/>
    <w:rsid w:val="4C0630A6"/>
    <w:rsid w:val="4C8F6EBF"/>
    <w:rsid w:val="4C9427CE"/>
    <w:rsid w:val="4CBA6CC4"/>
    <w:rsid w:val="4CBB507D"/>
    <w:rsid w:val="4CC765CD"/>
    <w:rsid w:val="4D023B34"/>
    <w:rsid w:val="4D08475C"/>
    <w:rsid w:val="4D2A669C"/>
    <w:rsid w:val="4D6B2874"/>
    <w:rsid w:val="4DA85998"/>
    <w:rsid w:val="4E2B0E69"/>
    <w:rsid w:val="4F9D2FF2"/>
    <w:rsid w:val="4FCE4377"/>
    <w:rsid w:val="4FEC22E6"/>
    <w:rsid w:val="4FF05EC6"/>
    <w:rsid w:val="501264FC"/>
    <w:rsid w:val="50923421"/>
    <w:rsid w:val="510A37B4"/>
    <w:rsid w:val="51100A1F"/>
    <w:rsid w:val="511B6F73"/>
    <w:rsid w:val="511C2DB0"/>
    <w:rsid w:val="511D718F"/>
    <w:rsid w:val="5144296E"/>
    <w:rsid w:val="5153495F"/>
    <w:rsid w:val="516A1CA8"/>
    <w:rsid w:val="51986D55"/>
    <w:rsid w:val="519D2D48"/>
    <w:rsid w:val="51A728EA"/>
    <w:rsid w:val="51B86EB8"/>
    <w:rsid w:val="51E952C3"/>
    <w:rsid w:val="52055541"/>
    <w:rsid w:val="524453CE"/>
    <w:rsid w:val="52495D62"/>
    <w:rsid w:val="52B50C9E"/>
    <w:rsid w:val="52CE40CD"/>
    <w:rsid w:val="52DF7092"/>
    <w:rsid w:val="52FC3F9A"/>
    <w:rsid w:val="53206D81"/>
    <w:rsid w:val="53450996"/>
    <w:rsid w:val="53517C5D"/>
    <w:rsid w:val="53591FD4"/>
    <w:rsid w:val="53731188"/>
    <w:rsid w:val="53741B93"/>
    <w:rsid w:val="537C5C93"/>
    <w:rsid w:val="53943E1F"/>
    <w:rsid w:val="53957C99"/>
    <w:rsid w:val="53AE7F63"/>
    <w:rsid w:val="54050405"/>
    <w:rsid w:val="54BF230B"/>
    <w:rsid w:val="54DC4C6B"/>
    <w:rsid w:val="54FB77E7"/>
    <w:rsid w:val="552A7D56"/>
    <w:rsid w:val="55A43730"/>
    <w:rsid w:val="55D342C0"/>
    <w:rsid w:val="55E5223F"/>
    <w:rsid w:val="55F04E72"/>
    <w:rsid w:val="561623FF"/>
    <w:rsid w:val="5637484F"/>
    <w:rsid w:val="565D5647"/>
    <w:rsid w:val="56CD0C83"/>
    <w:rsid w:val="56F74773"/>
    <w:rsid w:val="57340F4B"/>
    <w:rsid w:val="57585C2D"/>
    <w:rsid w:val="57763155"/>
    <w:rsid w:val="57827D4C"/>
    <w:rsid w:val="57870679"/>
    <w:rsid w:val="578C2978"/>
    <w:rsid w:val="57B77B98"/>
    <w:rsid w:val="57DE61E7"/>
    <w:rsid w:val="57F4371A"/>
    <w:rsid w:val="58225E42"/>
    <w:rsid w:val="58B70469"/>
    <w:rsid w:val="58C457C3"/>
    <w:rsid w:val="58D05074"/>
    <w:rsid w:val="58EF46E7"/>
    <w:rsid w:val="58F846B0"/>
    <w:rsid w:val="591B6157"/>
    <w:rsid w:val="594943CC"/>
    <w:rsid w:val="596E19C4"/>
    <w:rsid w:val="59A876B2"/>
    <w:rsid w:val="59D232DF"/>
    <w:rsid w:val="5A08684B"/>
    <w:rsid w:val="5A092EC8"/>
    <w:rsid w:val="5A0D7479"/>
    <w:rsid w:val="5A117165"/>
    <w:rsid w:val="5A150DCB"/>
    <w:rsid w:val="5A986BC2"/>
    <w:rsid w:val="5A9C55A3"/>
    <w:rsid w:val="5AA91A93"/>
    <w:rsid w:val="5AD102F4"/>
    <w:rsid w:val="5AF22ED4"/>
    <w:rsid w:val="5AFD30B5"/>
    <w:rsid w:val="5B0A3CC5"/>
    <w:rsid w:val="5B1A5B33"/>
    <w:rsid w:val="5B2D4472"/>
    <w:rsid w:val="5B3F5F54"/>
    <w:rsid w:val="5B450011"/>
    <w:rsid w:val="5B7756EE"/>
    <w:rsid w:val="5B9C300A"/>
    <w:rsid w:val="5BA4202E"/>
    <w:rsid w:val="5BB84863"/>
    <w:rsid w:val="5BD40D92"/>
    <w:rsid w:val="5BDD7C46"/>
    <w:rsid w:val="5BE03293"/>
    <w:rsid w:val="5BE96EEF"/>
    <w:rsid w:val="5C136B67"/>
    <w:rsid w:val="5C173CB8"/>
    <w:rsid w:val="5C1F61D9"/>
    <w:rsid w:val="5C20510A"/>
    <w:rsid w:val="5C460E09"/>
    <w:rsid w:val="5CD83DA7"/>
    <w:rsid w:val="5CE802BB"/>
    <w:rsid w:val="5CFB4CC5"/>
    <w:rsid w:val="5D2147EA"/>
    <w:rsid w:val="5D3E4715"/>
    <w:rsid w:val="5D4236E3"/>
    <w:rsid w:val="5D426BB2"/>
    <w:rsid w:val="5D4B3F6A"/>
    <w:rsid w:val="5D6E5930"/>
    <w:rsid w:val="5D881E34"/>
    <w:rsid w:val="5E160396"/>
    <w:rsid w:val="5E20521A"/>
    <w:rsid w:val="5E2A4C99"/>
    <w:rsid w:val="5E4B1C4B"/>
    <w:rsid w:val="5E5F36D4"/>
    <w:rsid w:val="5E601E71"/>
    <w:rsid w:val="5E81167D"/>
    <w:rsid w:val="5E8C2D28"/>
    <w:rsid w:val="5EA17FED"/>
    <w:rsid w:val="5EF3152F"/>
    <w:rsid w:val="5EFB03E4"/>
    <w:rsid w:val="5F3C0979"/>
    <w:rsid w:val="5F5F595A"/>
    <w:rsid w:val="5F8403D9"/>
    <w:rsid w:val="5FD2383A"/>
    <w:rsid w:val="5FE10B9A"/>
    <w:rsid w:val="5FE62E42"/>
    <w:rsid w:val="5FF61CBA"/>
    <w:rsid w:val="60D249E0"/>
    <w:rsid w:val="610C68D8"/>
    <w:rsid w:val="610D6CCD"/>
    <w:rsid w:val="611759A9"/>
    <w:rsid w:val="613227E3"/>
    <w:rsid w:val="61454DE8"/>
    <w:rsid w:val="61565DA5"/>
    <w:rsid w:val="616D08A6"/>
    <w:rsid w:val="618A3826"/>
    <w:rsid w:val="61A609D3"/>
    <w:rsid w:val="62013F63"/>
    <w:rsid w:val="6220088D"/>
    <w:rsid w:val="622A34BA"/>
    <w:rsid w:val="62485716"/>
    <w:rsid w:val="624F2F20"/>
    <w:rsid w:val="62546789"/>
    <w:rsid w:val="626E7930"/>
    <w:rsid w:val="62CF1222"/>
    <w:rsid w:val="62CF7BBD"/>
    <w:rsid w:val="631F6D97"/>
    <w:rsid w:val="632324F3"/>
    <w:rsid w:val="63540793"/>
    <w:rsid w:val="63732C3E"/>
    <w:rsid w:val="637A221F"/>
    <w:rsid w:val="638766EA"/>
    <w:rsid w:val="638C5331"/>
    <w:rsid w:val="638C5FE8"/>
    <w:rsid w:val="638E7A78"/>
    <w:rsid w:val="63F62B3F"/>
    <w:rsid w:val="64061D04"/>
    <w:rsid w:val="642D0BA5"/>
    <w:rsid w:val="643A29B7"/>
    <w:rsid w:val="64413F63"/>
    <w:rsid w:val="644670BD"/>
    <w:rsid w:val="6479445C"/>
    <w:rsid w:val="6492702A"/>
    <w:rsid w:val="64C73242"/>
    <w:rsid w:val="64C82E90"/>
    <w:rsid w:val="64F14763"/>
    <w:rsid w:val="654A5C21"/>
    <w:rsid w:val="654B0103"/>
    <w:rsid w:val="65705A8A"/>
    <w:rsid w:val="65E250FE"/>
    <w:rsid w:val="66035F33"/>
    <w:rsid w:val="663A7961"/>
    <w:rsid w:val="663E7534"/>
    <w:rsid w:val="666F3B91"/>
    <w:rsid w:val="66806DB2"/>
    <w:rsid w:val="66913B76"/>
    <w:rsid w:val="669D6875"/>
    <w:rsid w:val="66AD1816"/>
    <w:rsid w:val="66D00664"/>
    <w:rsid w:val="67397CFB"/>
    <w:rsid w:val="676B67D9"/>
    <w:rsid w:val="676E0EB5"/>
    <w:rsid w:val="676E3E49"/>
    <w:rsid w:val="67967A16"/>
    <w:rsid w:val="67A4786A"/>
    <w:rsid w:val="67E82B27"/>
    <w:rsid w:val="680415E3"/>
    <w:rsid w:val="68075CD0"/>
    <w:rsid w:val="68183DB4"/>
    <w:rsid w:val="684352D5"/>
    <w:rsid w:val="68547C0D"/>
    <w:rsid w:val="6857474E"/>
    <w:rsid w:val="68622FEB"/>
    <w:rsid w:val="686446CE"/>
    <w:rsid w:val="687328F1"/>
    <w:rsid w:val="68B56499"/>
    <w:rsid w:val="68DC2B8F"/>
    <w:rsid w:val="68EC7BC2"/>
    <w:rsid w:val="68F43C20"/>
    <w:rsid w:val="69004887"/>
    <w:rsid w:val="69083E29"/>
    <w:rsid w:val="69475092"/>
    <w:rsid w:val="69632605"/>
    <w:rsid w:val="697621BF"/>
    <w:rsid w:val="69A80950"/>
    <w:rsid w:val="69AE2C22"/>
    <w:rsid w:val="6A753740"/>
    <w:rsid w:val="6A761051"/>
    <w:rsid w:val="6A805D25"/>
    <w:rsid w:val="6A9F3997"/>
    <w:rsid w:val="6AA302AD"/>
    <w:rsid w:val="6AE65E85"/>
    <w:rsid w:val="6B0A20DA"/>
    <w:rsid w:val="6BD91AAD"/>
    <w:rsid w:val="6BFD2E89"/>
    <w:rsid w:val="6C396551"/>
    <w:rsid w:val="6C3D64DF"/>
    <w:rsid w:val="6C6B5784"/>
    <w:rsid w:val="6CA13740"/>
    <w:rsid w:val="6CBE46EF"/>
    <w:rsid w:val="6CC22541"/>
    <w:rsid w:val="6CCD1611"/>
    <w:rsid w:val="6CE2101C"/>
    <w:rsid w:val="6CE768EC"/>
    <w:rsid w:val="6D3A2BDC"/>
    <w:rsid w:val="6D4A450F"/>
    <w:rsid w:val="6D854596"/>
    <w:rsid w:val="6D9F62D0"/>
    <w:rsid w:val="6DF628DC"/>
    <w:rsid w:val="6E02485F"/>
    <w:rsid w:val="6E197D4D"/>
    <w:rsid w:val="6E436F43"/>
    <w:rsid w:val="6E623FDB"/>
    <w:rsid w:val="6E82467D"/>
    <w:rsid w:val="6EA62AD1"/>
    <w:rsid w:val="6EB01616"/>
    <w:rsid w:val="6EB5235D"/>
    <w:rsid w:val="6EBE48E7"/>
    <w:rsid w:val="6ECE3975"/>
    <w:rsid w:val="6EFB4AD9"/>
    <w:rsid w:val="6F3D169F"/>
    <w:rsid w:val="6F5C0A2B"/>
    <w:rsid w:val="6F922A75"/>
    <w:rsid w:val="6F9F55CE"/>
    <w:rsid w:val="6FE86762"/>
    <w:rsid w:val="6FFF0510"/>
    <w:rsid w:val="702F27AA"/>
    <w:rsid w:val="703B200E"/>
    <w:rsid w:val="70912F14"/>
    <w:rsid w:val="711303FE"/>
    <w:rsid w:val="714300F4"/>
    <w:rsid w:val="71644D6C"/>
    <w:rsid w:val="717C53B4"/>
    <w:rsid w:val="71AA78B3"/>
    <w:rsid w:val="71EF67EF"/>
    <w:rsid w:val="720C6738"/>
    <w:rsid w:val="720F431A"/>
    <w:rsid w:val="721F1113"/>
    <w:rsid w:val="72415A14"/>
    <w:rsid w:val="72503E82"/>
    <w:rsid w:val="72620508"/>
    <w:rsid w:val="72A1574A"/>
    <w:rsid w:val="73395984"/>
    <w:rsid w:val="73656C5B"/>
    <w:rsid w:val="73AA445A"/>
    <w:rsid w:val="73C848E1"/>
    <w:rsid w:val="74192DFC"/>
    <w:rsid w:val="74307A19"/>
    <w:rsid w:val="743326A2"/>
    <w:rsid w:val="743F04AF"/>
    <w:rsid w:val="744D1529"/>
    <w:rsid w:val="74854EE2"/>
    <w:rsid w:val="749D615C"/>
    <w:rsid w:val="74BB7BBE"/>
    <w:rsid w:val="74FC6F38"/>
    <w:rsid w:val="74FD6DFA"/>
    <w:rsid w:val="7509415A"/>
    <w:rsid w:val="750A10CA"/>
    <w:rsid w:val="75114065"/>
    <w:rsid w:val="752C70F1"/>
    <w:rsid w:val="75716660"/>
    <w:rsid w:val="75743988"/>
    <w:rsid w:val="758A6FCE"/>
    <w:rsid w:val="75CA5680"/>
    <w:rsid w:val="75D532E5"/>
    <w:rsid w:val="75E26D18"/>
    <w:rsid w:val="75F83389"/>
    <w:rsid w:val="75FA1687"/>
    <w:rsid w:val="75FF0362"/>
    <w:rsid w:val="762878B8"/>
    <w:rsid w:val="76642C05"/>
    <w:rsid w:val="76911902"/>
    <w:rsid w:val="76CC0B8C"/>
    <w:rsid w:val="76E23EA6"/>
    <w:rsid w:val="76EE1333"/>
    <w:rsid w:val="7709364C"/>
    <w:rsid w:val="771F7EEC"/>
    <w:rsid w:val="775C1D35"/>
    <w:rsid w:val="77685934"/>
    <w:rsid w:val="77870DF7"/>
    <w:rsid w:val="77D07A74"/>
    <w:rsid w:val="77E2496F"/>
    <w:rsid w:val="77FC724F"/>
    <w:rsid w:val="78385680"/>
    <w:rsid w:val="78A771BA"/>
    <w:rsid w:val="78B13B3D"/>
    <w:rsid w:val="78F67CAA"/>
    <w:rsid w:val="79084528"/>
    <w:rsid w:val="792702FB"/>
    <w:rsid w:val="79827787"/>
    <w:rsid w:val="79B55907"/>
    <w:rsid w:val="7A2303E8"/>
    <w:rsid w:val="7A4E3666"/>
    <w:rsid w:val="7A8D180D"/>
    <w:rsid w:val="7ABB2DC9"/>
    <w:rsid w:val="7AD666C6"/>
    <w:rsid w:val="7B0B1FB3"/>
    <w:rsid w:val="7B0E3521"/>
    <w:rsid w:val="7B320F9C"/>
    <w:rsid w:val="7B6C46EB"/>
    <w:rsid w:val="7B87022D"/>
    <w:rsid w:val="7B98103C"/>
    <w:rsid w:val="7BE248AE"/>
    <w:rsid w:val="7BF72207"/>
    <w:rsid w:val="7C0916EE"/>
    <w:rsid w:val="7C7C270C"/>
    <w:rsid w:val="7C8B6DF3"/>
    <w:rsid w:val="7CAB2FF1"/>
    <w:rsid w:val="7CB4634A"/>
    <w:rsid w:val="7CF274B2"/>
    <w:rsid w:val="7D0F532E"/>
    <w:rsid w:val="7D2222C1"/>
    <w:rsid w:val="7D2C4132"/>
    <w:rsid w:val="7D5A6784"/>
    <w:rsid w:val="7D926AC5"/>
    <w:rsid w:val="7E386B07"/>
    <w:rsid w:val="7E4436FD"/>
    <w:rsid w:val="7E567F8D"/>
    <w:rsid w:val="7EB72C7C"/>
    <w:rsid w:val="7EC02D84"/>
    <w:rsid w:val="7EC80A00"/>
    <w:rsid w:val="7ECB1C8A"/>
    <w:rsid w:val="7F3D4DB6"/>
    <w:rsid w:val="7F532551"/>
    <w:rsid w:val="7F6317BF"/>
    <w:rsid w:val="7F635236"/>
    <w:rsid w:val="7F74591C"/>
    <w:rsid w:val="7F98785D"/>
    <w:rsid w:val="7F9D1317"/>
    <w:rsid w:val="7FA44C3C"/>
    <w:rsid w:val="7FD34D39"/>
    <w:rsid w:val="7FDB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3">
    <w:name w:val="heading 1"/>
    <w:basedOn w:val="1"/>
    <w:next w:val="1"/>
    <w:link w:val="86"/>
    <w:qFormat/>
    <w:uiPriority w:val="9"/>
    <w:pPr>
      <w:keepNext/>
      <w:keepLines/>
      <w:widowControl w:val="0"/>
      <w:spacing w:before="340" w:after="330" w:line="578" w:lineRule="auto"/>
      <w:textAlignment w:val="auto"/>
      <w:outlineLvl w:val="0"/>
    </w:pPr>
    <w:rPr>
      <w:b/>
      <w:bCs/>
      <w:color w:val="auto"/>
      <w:kern w:val="44"/>
      <w:sz w:val="44"/>
      <w:szCs w:val="44"/>
    </w:rPr>
  </w:style>
  <w:style w:type="paragraph" w:styleId="4">
    <w:name w:val="heading 2"/>
    <w:basedOn w:val="1"/>
    <w:next w:val="1"/>
    <w:qFormat/>
    <w:uiPriority w:val="0"/>
    <w:pPr>
      <w:keepNext/>
      <w:keepLines/>
      <w:widowControl w:val="0"/>
      <w:numPr>
        <w:ilvl w:val="1"/>
        <w:numId w:val="1"/>
      </w:numPr>
      <w:adjustRightInd w:val="0"/>
      <w:spacing w:line="360" w:lineRule="atLeast"/>
      <w:outlineLvl w:val="1"/>
    </w:pPr>
    <w:rPr>
      <w:color w:val="auto"/>
      <w:sz w:val="24"/>
    </w:rPr>
  </w:style>
  <w:style w:type="paragraph" w:styleId="5">
    <w:name w:val="heading 3"/>
    <w:basedOn w:val="1"/>
    <w:next w:val="1"/>
    <w:qFormat/>
    <w:uiPriority w:val="0"/>
    <w:pPr>
      <w:keepNext/>
      <w:keepLines/>
      <w:spacing w:before="260" w:after="260" w:line="416" w:lineRule="atLeast"/>
      <w:outlineLvl w:val="2"/>
    </w:pPr>
    <w:rPr>
      <w:b/>
      <w:bCs/>
      <w:sz w:val="32"/>
      <w:szCs w:val="32"/>
    </w:rPr>
  </w:style>
  <w:style w:type="paragraph" w:styleId="6">
    <w:name w:val="heading 4"/>
    <w:basedOn w:val="1"/>
    <w:next w:val="1"/>
    <w:unhideWhenUsed/>
    <w:qFormat/>
    <w:uiPriority w:val="9"/>
    <w:pPr>
      <w:keepNext/>
      <w:keepLines/>
      <w:spacing w:before="280" w:after="290" w:line="376" w:lineRule="auto"/>
      <w:outlineLvl w:val="3"/>
    </w:pPr>
    <w:rPr>
      <w:rFonts w:ascii="Calibri Light" w:hAnsi="Calibri Light"/>
      <w:b/>
      <w:bCs/>
      <w:sz w:val="28"/>
      <w:szCs w:val="28"/>
    </w:rPr>
  </w:style>
  <w:style w:type="paragraph" w:styleId="7">
    <w:name w:val="heading 6"/>
    <w:basedOn w:val="1"/>
    <w:next w:val="1"/>
    <w:link w:val="58"/>
    <w:qFormat/>
    <w:uiPriority w:val="9"/>
    <w:pPr>
      <w:keepNext/>
      <w:keepLines/>
      <w:spacing w:before="240" w:after="64" w:line="320" w:lineRule="atLeast"/>
      <w:outlineLvl w:val="5"/>
    </w:pPr>
    <w:rPr>
      <w:rFonts w:ascii="Cambria" w:hAnsi="Cambria"/>
      <w:b/>
      <w:bCs/>
      <w:sz w:val="24"/>
      <w:szCs w:val="24"/>
    </w:rPr>
  </w:style>
  <w:style w:type="character" w:default="1" w:styleId="32">
    <w:name w:val="Default Paragraph Font"/>
    <w:qFormat/>
    <w:uiPriority w:val="1"/>
  </w:style>
  <w:style w:type="table" w:default="1" w:styleId="30">
    <w:name w:val="Normal Table"/>
    <w:qFormat/>
    <w:uiPriority w:val="99"/>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Indent"/>
    <w:basedOn w:val="1"/>
    <w:qFormat/>
    <w:uiPriority w:val="0"/>
    <w:pPr>
      <w:widowControl w:val="0"/>
      <w:adjustRightInd w:val="0"/>
      <w:spacing w:line="360" w:lineRule="atLeast"/>
      <w:ind w:firstLine="482"/>
    </w:pPr>
    <w:rPr>
      <w:color w:val="auto"/>
      <w:sz w:val="24"/>
    </w:rPr>
  </w:style>
  <w:style w:type="paragraph" w:styleId="9">
    <w:name w:val="Document Map"/>
    <w:basedOn w:val="1"/>
    <w:qFormat/>
    <w:uiPriority w:val="0"/>
    <w:pPr>
      <w:shd w:val="clear" w:color="auto" w:fill="000080"/>
    </w:pPr>
  </w:style>
  <w:style w:type="paragraph" w:styleId="10">
    <w:name w:val="toa heading"/>
    <w:basedOn w:val="1"/>
    <w:next w:val="1"/>
    <w:qFormat/>
    <w:uiPriority w:val="0"/>
    <w:pPr>
      <w:spacing w:before="120"/>
    </w:pPr>
    <w:rPr>
      <w:rFonts w:ascii="Cambria" w:hAnsi="Cambria"/>
      <w:sz w:val="24"/>
    </w:rPr>
  </w:style>
  <w:style w:type="paragraph" w:styleId="11">
    <w:name w:val="annotation text"/>
    <w:basedOn w:val="1"/>
    <w:link w:val="44"/>
    <w:qFormat/>
    <w:uiPriority w:val="0"/>
    <w:pPr>
      <w:jc w:val="left"/>
    </w:pPr>
  </w:style>
  <w:style w:type="paragraph" w:styleId="12">
    <w:name w:val="Body Text 3"/>
    <w:basedOn w:val="1"/>
    <w:link w:val="50"/>
    <w:qFormat/>
    <w:uiPriority w:val="99"/>
    <w:pPr>
      <w:spacing w:after="120"/>
    </w:pPr>
    <w:rPr>
      <w:sz w:val="16"/>
      <w:szCs w:val="16"/>
    </w:rPr>
  </w:style>
  <w:style w:type="paragraph" w:styleId="13">
    <w:name w:val="Body Text"/>
    <w:basedOn w:val="1"/>
    <w:next w:val="14"/>
    <w:qFormat/>
    <w:uiPriority w:val="0"/>
    <w:pPr>
      <w:widowControl w:val="0"/>
      <w:snapToGrid w:val="0"/>
      <w:spacing w:line="360" w:lineRule="auto"/>
    </w:pPr>
    <w:rPr>
      <w:rFonts w:ascii="Arial" w:hAnsi="Arial" w:eastAsia="仿宋_GB2312"/>
      <w:sz w:val="31"/>
    </w:rPr>
  </w:style>
  <w:style w:type="paragraph" w:styleId="14">
    <w:name w:val="Date"/>
    <w:basedOn w:val="1"/>
    <w:next w:val="1"/>
    <w:link w:val="41"/>
    <w:qFormat/>
    <w:uiPriority w:val="0"/>
    <w:pPr>
      <w:widowControl w:val="0"/>
      <w:spacing w:line="240" w:lineRule="auto"/>
      <w:textAlignment w:val="auto"/>
    </w:pPr>
    <w:rPr>
      <w:rFonts w:ascii="Arial" w:hAnsi="Arial" w:eastAsia="仿宋_GB2312"/>
      <w:color w:val="auto"/>
      <w:kern w:val="2"/>
      <w:sz w:val="32"/>
    </w:rPr>
  </w:style>
  <w:style w:type="paragraph" w:styleId="15">
    <w:name w:val="Body Text Indent"/>
    <w:basedOn w:val="1"/>
    <w:qFormat/>
    <w:uiPriority w:val="99"/>
    <w:pPr>
      <w:widowControl w:val="0"/>
      <w:spacing w:after="120" w:line="240" w:lineRule="auto"/>
      <w:ind w:left="420" w:leftChars="200"/>
      <w:textAlignment w:val="auto"/>
    </w:pPr>
    <w:rPr>
      <w:color w:val="auto"/>
      <w:kern w:val="2"/>
      <w:szCs w:val="24"/>
    </w:rPr>
  </w:style>
  <w:style w:type="paragraph" w:styleId="16">
    <w:name w:val="toc 3"/>
    <w:basedOn w:val="1"/>
    <w:next w:val="1"/>
    <w:qFormat/>
    <w:uiPriority w:val="39"/>
    <w:pPr>
      <w:ind w:left="840" w:leftChars="400"/>
    </w:pPr>
  </w:style>
  <w:style w:type="paragraph" w:styleId="17">
    <w:name w:val="Plain Text"/>
    <w:basedOn w:val="1"/>
    <w:link w:val="51"/>
    <w:qFormat/>
    <w:uiPriority w:val="0"/>
    <w:pPr>
      <w:widowControl w:val="0"/>
      <w:spacing w:line="240" w:lineRule="auto"/>
      <w:textAlignment w:val="auto"/>
    </w:pPr>
    <w:rPr>
      <w:rFonts w:ascii="宋体" w:hAnsi="Courier New"/>
      <w:color w:val="auto"/>
      <w:kern w:val="2"/>
    </w:rPr>
  </w:style>
  <w:style w:type="paragraph" w:styleId="18">
    <w:name w:val="Body Text Indent 2"/>
    <w:basedOn w:val="1"/>
    <w:qFormat/>
    <w:uiPriority w:val="0"/>
    <w:pPr>
      <w:numPr>
        <w:ilvl w:val="1"/>
        <w:numId w:val="2"/>
      </w:numPr>
      <w:tabs>
        <w:tab w:val="clear" w:pos="1920"/>
      </w:tabs>
      <w:spacing w:after="120" w:line="480" w:lineRule="auto"/>
      <w:ind w:left="420" w:leftChars="200" w:firstLine="0"/>
    </w:pPr>
  </w:style>
  <w:style w:type="paragraph" w:styleId="19">
    <w:name w:val="Balloon Text"/>
    <w:basedOn w:val="1"/>
    <w:qFormat/>
    <w:uiPriority w:val="0"/>
    <w:rPr>
      <w:sz w:val="18"/>
      <w:szCs w:val="18"/>
    </w:rPr>
  </w:style>
  <w:style w:type="paragraph" w:styleId="20">
    <w:name w:val="footer"/>
    <w:basedOn w:val="1"/>
    <w:link w:val="52"/>
    <w:qFormat/>
    <w:uiPriority w:val="99"/>
    <w:pPr>
      <w:tabs>
        <w:tab w:val="center" w:pos="4153"/>
        <w:tab w:val="right" w:pos="8306"/>
      </w:tabs>
      <w:snapToGrid w:val="0"/>
      <w:spacing w:line="240" w:lineRule="atLeast"/>
      <w:jc w:val="left"/>
    </w:pPr>
    <w:rPr>
      <w:sz w:val="18"/>
      <w:szCs w:val="18"/>
    </w:rPr>
  </w:style>
  <w:style w:type="paragraph" w:styleId="21">
    <w:name w:val="toc 1"/>
    <w:basedOn w:val="1"/>
    <w:next w:val="1"/>
    <w:qFormat/>
    <w:uiPriority w:val="39"/>
  </w:style>
  <w:style w:type="paragraph" w:styleId="22">
    <w:name w:val="List"/>
    <w:basedOn w:val="1"/>
    <w:qFormat/>
    <w:uiPriority w:val="0"/>
    <w:pPr>
      <w:widowControl w:val="0"/>
      <w:spacing w:line="240" w:lineRule="auto"/>
      <w:ind w:left="420" w:hanging="420"/>
      <w:textAlignment w:val="auto"/>
    </w:pPr>
    <w:rPr>
      <w:rFonts w:ascii="Arial" w:hAnsi="Arial" w:eastAsia="楷体_GB2312"/>
      <w:color w:val="auto"/>
      <w:kern w:val="2"/>
      <w:sz w:val="28"/>
    </w:rPr>
  </w:style>
  <w:style w:type="paragraph" w:styleId="23">
    <w:name w:val="footnote text"/>
    <w:basedOn w:val="1"/>
    <w:unhideWhenUsed/>
    <w:qFormat/>
    <w:uiPriority w:val="0"/>
    <w:pPr>
      <w:snapToGrid w:val="0"/>
      <w:jc w:val="left"/>
    </w:pPr>
    <w:rPr>
      <w:rFonts w:hint="eastAsia"/>
      <w:kern w:val="0"/>
      <w:sz w:val="18"/>
      <w:szCs w:val="24"/>
    </w:rPr>
  </w:style>
  <w:style w:type="paragraph" w:styleId="24">
    <w:name w:val="Body Text Indent 3"/>
    <w:basedOn w:val="1"/>
    <w:link w:val="47"/>
    <w:qFormat/>
    <w:uiPriority w:val="0"/>
    <w:pPr>
      <w:spacing w:after="120"/>
      <w:ind w:left="420" w:leftChars="200"/>
    </w:pPr>
    <w:rPr>
      <w:sz w:val="16"/>
      <w:szCs w:val="16"/>
    </w:rPr>
  </w:style>
  <w:style w:type="paragraph" w:styleId="25">
    <w:name w:val="toc 2"/>
    <w:basedOn w:val="1"/>
    <w:next w:val="1"/>
    <w:qFormat/>
    <w:uiPriority w:val="39"/>
    <w:pPr>
      <w:ind w:left="420" w:leftChars="200"/>
    </w:pPr>
  </w:style>
  <w:style w:type="paragraph" w:styleId="26">
    <w:name w:val="Body Text 2"/>
    <w:basedOn w:val="1"/>
    <w:qFormat/>
    <w:uiPriority w:val="0"/>
    <w:rPr>
      <w:rFonts w:ascii="楷体_GB2312" w:hAnsi="Copperplate Gothic Bold" w:eastAsia="楷体_GB2312"/>
      <w:sz w:val="28"/>
    </w:rPr>
  </w:style>
  <w:style w:type="paragraph" w:styleId="27">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sz w:val="24"/>
      <w:szCs w:val="24"/>
    </w:rPr>
  </w:style>
  <w:style w:type="paragraph" w:styleId="28">
    <w:name w:val="Normal (Web)"/>
    <w:basedOn w:val="1"/>
    <w:qFormat/>
    <w:uiPriority w:val="99"/>
    <w:pPr>
      <w:spacing w:before="100" w:beforeAutospacing="1" w:after="100" w:afterAutospacing="1" w:line="240" w:lineRule="auto"/>
      <w:jc w:val="left"/>
      <w:textAlignment w:val="auto"/>
    </w:pPr>
    <w:rPr>
      <w:rFonts w:ascii="宋体" w:hAnsi="宋体" w:cs="宋体"/>
      <w:color w:val="auto"/>
      <w:sz w:val="24"/>
      <w:szCs w:val="24"/>
    </w:rPr>
  </w:style>
  <w:style w:type="paragraph" w:styleId="29">
    <w:name w:val="annotation subject"/>
    <w:basedOn w:val="11"/>
    <w:next w:val="11"/>
    <w:link w:val="55"/>
    <w:qFormat/>
    <w:uiPriority w:val="99"/>
    <w:rPr>
      <w:b/>
      <w:bCs/>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rPr>
  </w:style>
  <w:style w:type="character" w:styleId="34">
    <w:name w:val="page number"/>
    <w:basedOn w:val="32"/>
    <w:qFormat/>
    <w:uiPriority w:val="0"/>
  </w:style>
  <w:style w:type="character" w:styleId="35">
    <w:name w:val="FollowedHyperlink"/>
    <w:basedOn w:val="32"/>
    <w:qFormat/>
    <w:uiPriority w:val="99"/>
    <w:rPr>
      <w:color w:val="333333"/>
      <w:u w:val="none"/>
    </w:rPr>
  </w:style>
  <w:style w:type="character" w:styleId="36">
    <w:name w:val="Emphasis"/>
    <w:basedOn w:val="32"/>
    <w:qFormat/>
    <w:uiPriority w:val="20"/>
  </w:style>
  <w:style w:type="character" w:styleId="37">
    <w:name w:val="Hyperlink"/>
    <w:basedOn w:val="32"/>
    <w:qFormat/>
    <w:uiPriority w:val="99"/>
    <w:rPr>
      <w:color w:val="0000FF"/>
      <w:u w:val="single"/>
    </w:rPr>
  </w:style>
  <w:style w:type="character" w:styleId="38">
    <w:name w:val="annotation reference"/>
    <w:basedOn w:val="32"/>
    <w:qFormat/>
    <w:uiPriority w:val="99"/>
    <w:rPr>
      <w:sz w:val="21"/>
      <w:szCs w:val="21"/>
    </w:rPr>
  </w:style>
  <w:style w:type="paragraph" w:customStyle="1" w:styleId="39">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首行缩进"/>
    <w:basedOn w:val="1"/>
    <w:qFormat/>
    <w:uiPriority w:val="0"/>
    <w:pPr>
      <w:ind w:firstLine="480" w:firstLineChars="200"/>
    </w:pPr>
    <w:rPr>
      <w:lang w:val="zh-CN"/>
    </w:rPr>
  </w:style>
  <w:style w:type="character" w:customStyle="1" w:styleId="41">
    <w:name w:val="日期 Char"/>
    <w:link w:val="14"/>
    <w:qFormat/>
    <w:uiPriority w:val="0"/>
    <w:rPr>
      <w:rFonts w:ascii="Arial" w:hAnsi="Arial" w:eastAsia="仿宋_GB2312"/>
      <w:kern w:val="2"/>
      <w:sz w:val="32"/>
      <w:lang w:val="en-US" w:eastAsia="zh-CN" w:bidi="ar-SA"/>
    </w:rPr>
  </w:style>
  <w:style w:type="character" w:customStyle="1" w:styleId="42">
    <w:name w:val="正文缩进 Char2"/>
    <w:qFormat/>
    <w:uiPriority w:val="0"/>
    <w:rPr>
      <w:rFonts w:eastAsia="宋体"/>
      <w:sz w:val="24"/>
      <w:lang w:val="en-US" w:eastAsia="zh-CN" w:bidi="ar-SA"/>
    </w:rPr>
  </w:style>
  <w:style w:type="character" w:customStyle="1" w:styleId="43">
    <w:name w:val="页眉 Char"/>
    <w:qFormat/>
    <w:uiPriority w:val="99"/>
    <w:rPr>
      <w:rFonts w:eastAsia="宋体"/>
      <w:color w:val="000000"/>
      <w:sz w:val="18"/>
      <w:szCs w:val="18"/>
      <w:u w:color="000000"/>
      <w:lang w:val="en-US" w:eastAsia="zh-CN" w:bidi="ar-SA"/>
    </w:rPr>
  </w:style>
  <w:style w:type="character" w:customStyle="1" w:styleId="44">
    <w:name w:val="批注文字 Char"/>
    <w:basedOn w:val="32"/>
    <w:link w:val="11"/>
    <w:qFormat/>
    <w:uiPriority w:val="99"/>
    <w:rPr>
      <w:color w:val="000000"/>
      <w:sz w:val="21"/>
      <w:u w:color="000000"/>
    </w:rPr>
  </w:style>
  <w:style w:type="character" w:customStyle="1" w:styleId="45">
    <w:name w:val="无间隔 Char"/>
    <w:basedOn w:val="32"/>
    <w:link w:val="46"/>
    <w:qFormat/>
    <w:uiPriority w:val="1"/>
    <w:rPr>
      <w:rFonts w:ascii="Calibri" w:hAnsi="Calibri"/>
      <w:sz w:val="22"/>
      <w:szCs w:val="22"/>
      <w:lang w:val="en-US" w:eastAsia="zh-CN" w:bidi="ar-SA"/>
    </w:rPr>
  </w:style>
  <w:style w:type="paragraph" w:customStyle="1" w:styleId="46">
    <w:name w:val="无间隔1"/>
    <w:link w:val="45"/>
    <w:qFormat/>
    <w:uiPriority w:val="1"/>
    <w:rPr>
      <w:rFonts w:ascii="Calibri" w:hAnsi="Calibri" w:eastAsia="宋体" w:cs="Times New Roman"/>
      <w:sz w:val="22"/>
      <w:szCs w:val="22"/>
      <w:lang w:val="en-US" w:eastAsia="zh-CN" w:bidi="ar-SA"/>
    </w:rPr>
  </w:style>
  <w:style w:type="character" w:customStyle="1" w:styleId="47">
    <w:name w:val="正文文本缩进 3 Char"/>
    <w:link w:val="24"/>
    <w:qFormat/>
    <w:uiPriority w:val="0"/>
    <w:rPr>
      <w:color w:val="000000"/>
      <w:sz w:val="16"/>
      <w:szCs w:val="16"/>
      <w:u w:color="000000"/>
    </w:rPr>
  </w:style>
  <w:style w:type="character" w:customStyle="1" w:styleId="48">
    <w:name w:val="正文缩进 Char"/>
    <w:qFormat/>
    <w:uiPriority w:val="0"/>
    <w:rPr>
      <w:rFonts w:eastAsia="宋体"/>
      <w:kern w:val="2"/>
      <w:sz w:val="21"/>
      <w:szCs w:val="24"/>
      <w:lang w:val="en-US" w:eastAsia="zh-CN" w:bidi="ar-SA"/>
    </w:rPr>
  </w:style>
  <w:style w:type="character" w:customStyle="1" w:styleId="49">
    <w:name w:val="Char Char"/>
    <w:basedOn w:val="32"/>
    <w:qFormat/>
    <w:uiPriority w:val="0"/>
    <w:rPr>
      <w:rFonts w:ascii="仿宋_GB2312" w:eastAsia="仿宋_GB2312"/>
      <w:kern w:val="2"/>
      <w:sz w:val="30"/>
      <w:lang w:val="en-US" w:eastAsia="zh-CN" w:bidi="ar-SA"/>
    </w:rPr>
  </w:style>
  <w:style w:type="character" w:customStyle="1" w:styleId="50">
    <w:name w:val="正文文本 3 Char"/>
    <w:link w:val="12"/>
    <w:qFormat/>
    <w:uiPriority w:val="99"/>
    <w:rPr>
      <w:color w:val="000000"/>
      <w:sz w:val="16"/>
      <w:szCs w:val="16"/>
      <w:u w:color="000000"/>
    </w:rPr>
  </w:style>
  <w:style w:type="character" w:customStyle="1" w:styleId="51">
    <w:name w:val="纯文本 Char"/>
    <w:link w:val="17"/>
    <w:qFormat/>
    <w:uiPriority w:val="0"/>
    <w:rPr>
      <w:rFonts w:ascii="宋体" w:hAnsi="Courier New"/>
      <w:kern w:val="2"/>
      <w:sz w:val="21"/>
    </w:rPr>
  </w:style>
  <w:style w:type="character" w:customStyle="1" w:styleId="52">
    <w:name w:val="页脚 Char"/>
    <w:basedOn w:val="32"/>
    <w:link w:val="20"/>
    <w:qFormat/>
    <w:uiPriority w:val="99"/>
    <w:rPr>
      <w:color w:val="000000"/>
      <w:sz w:val="18"/>
      <w:szCs w:val="18"/>
      <w:u w:color="000000"/>
    </w:rPr>
  </w:style>
  <w:style w:type="character" w:customStyle="1" w:styleId="53">
    <w:name w:val="标题 2 Char"/>
    <w:qFormat/>
    <w:uiPriority w:val="0"/>
    <w:rPr>
      <w:rFonts w:eastAsia="宋体"/>
      <w:sz w:val="24"/>
      <w:lang w:val="en-US" w:eastAsia="zh-CN" w:bidi="ar-SA"/>
    </w:rPr>
  </w:style>
  <w:style w:type="character" w:customStyle="1" w:styleId="54">
    <w:name w:val="class1"/>
    <w:basedOn w:val="32"/>
    <w:qFormat/>
    <w:uiPriority w:val="0"/>
  </w:style>
  <w:style w:type="character" w:customStyle="1" w:styleId="55">
    <w:name w:val="批注主题 Char"/>
    <w:basedOn w:val="44"/>
    <w:link w:val="29"/>
    <w:qFormat/>
    <w:uiPriority w:val="99"/>
    <w:rPr>
      <w:b/>
      <w:bCs/>
      <w:color w:val="000000"/>
      <w:sz w:val="21"/>
      <w:u w:color="000000"/>
    </w:rPr>
  </w:style>
  <w:style w:type="character" w:customStyle="1" w:styleId="56">
    <w:name w:val="正文（缩进） Char"/>
    <w:link w:val="57"/>
    <w:qFormat/>
    <w:uiPriority w:val="0"/>
    <w:rPr>
      <w:rFonts w:eastAsia="宋体"/>
      <w:kern w:val="2"/>
      <w:sz w:val="24"/>
      <w:szCs w:val="24"/>
      <w:lang w:val="en-US" w:eastAsia="zh-CN" w:bidi="ar-SA"/>
    </w:rPr>
  </w:style>
  <w:style w:type="paragraph" w:customStyle="1" w:styleId="57">
    <w:name w:val="正文（缩进）"/>
    <w:basedOn w:val="1"/>
    <w:link w:val="56"/>
    <w:qFormat/>
    <w:uiPriority w:val="0"/>
    <w:pPr>
      <w:widowControl w:val="0"/>
      <w:spacing w:beforeLines="50" w:afterLines="50" w:line="360" w:lineRule="auto"/>
      <w:ind w:firstLine="480" w:firstLineChars="200"/>
      <w:textAlignment w:val="auto"/>
    </w:pPr>
    <w:rPr>
      <w:color w:val="auto"/>
      <w:kern w:val="2"/>
      <w:sz w:val="24"/>
      <w:szCs w:val="24"/>
    </w:rPr>
  </w:style>
  <w:style w:type="character" w:customStyle="1" w:styleId="58">
    <w:name w:val="标题 6 Char"/>
    <w:link w:val="7"/>
    <w:qFormat/>
    <w:uiPriority w:val="9"/>
    <w:rPr>
      <w:rFonts w:ascii="Cambria" w:hAnsi="Cambria" w:eastAsia="宋体" w:cs="Times New Roman"/>
      <w:b/>
      <w:bCs/>
      <w:color w:val="000000"/>
      <w:sz w:val="24"/>
      <w:szCs w:val="24"/>
      <w:u w:color="000000"/>
    </w:rPr>
  </w:style>
  <w:style w:type="paragraph" w:customStyle="1" w:styleId="59">
    <w:name w:val="head 1.1.1"/>
    <w:basedOn w:val="1"/>
    <w:qFormat/>
    <w:uiPriority w:val="0"/>
    <w:pPr>
      <w:widowControl w:val="0"/>
      <w:spacing w:before="100" w:beforeAutospacing="1" w:line="240" w:lineRule="auto"/>
      <w:ind w:left="720"/>
      <w:textAlignment w:val="auto"/>
    </w:pPr>
    <w:rPr>
      <w:rFonts w:ascii="Calibri" w:hAnsi="Calibri"/>
      <w:color w:val="auto"/>
      <w:kern w:val="2"/>
      <w:szCs w:val="21"/>
    </w:rPr>
  </w:style>
  <w:style w:type="paragraph" w:customStyle="1" w:styleId="60">
    <w:name w:val="Char Char Char Char Char Char Char"/>
    <w:basedOn w:val="1"/>
    <w:qFormat/>
    <w:uiPriority w:val="0"/>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61">
    <w:name w:val="Char Char Char Char"/>
    <w:basedOn w:val="1"/>
    <w:qFormat/>
    <w:uiPriority w:val="0"/>
    <w:pPr>
      <w:widowControl w:val="0"/>
      <w:spacing w:line="240" w:lineRule="auto"/>
      <w:textAlignment w:val="auto"/>
    </w:pPr>
    <w:rPr>
      <w:rFonts w:ascii="Tahoma" w:hAnsi="Tahoma"/>
      <w:color w:val="auto"/>
      <w:kern w:val="2"/>
      <w:sz w:val="24"/>
    </w:rPr>
  </w:style>
  <w:style w:type="paragraph" w:customStyle="1" w:styleId="62">
    <w:name w:val="Char4"/>
    <w:basedOn w:val="1"/>
    <w:qFormat/>
    <w:uiPriority w:val="0"/>
    <w:pPr>
      <w:spacing w:line="360" w:lineRule="auto"/>
      <w:ind w:firstLine="200" w:firstLineChars="200"/>
    </w:pPr>
  </w:style>
  <w:style w:type="paragraph" w:customStyle="1" w:styleId="63">
    <w:name w:val="正文文字2"/>
    <w:basedOn w:val="13"/>
    <w:qFormat/>
    <w:uiPriority w:val="0"/>
    <w:pPr>
      <w:adjustRightInd w:val="0"/>
      <w:snapToGrid/>
      <w:spacing w:after="60" w:line="360" w:lineRule="atLeast"/>
      <w:ind w:left="72" w:leftChars="30" w:right="72" w:rightChars="30"/>
      <w:jc w:val="center"/>
    </w:pPr>
    <w:rPr>
      <w:rFonts w:hAnsi="Times New Roman" w:eastAsia="黑体"/>
      <w:color w:val="auto"/>
      <w:sz w:val="21"/>
    </w:rPr>
  </w:style>
  <w:style w:type="paragraph" w:customStyle="1" w:styleId="64">
    <w:name w:val="缺省文本"/>
    <w:basedOn w:val="1"/>
    <w:qFormat/>
    <w:uiPriority w:val="0"/>
    <w:pPr>
      <w:widowControl w:val="0"/>
      <w:autoSpaceDE w:val="0"/>
      <w:autoSpaceDN w:val="0"/>
      <w:adjustRightInd w:val="0"/>
      <w:spacing w:line="240" w:lineRule="auto"/>
      <w:jc w:val="left"/>
      <w:textAlignment w:val="auto"/>
    </w:pPr>
    <w:rPr>
      <w:color w:val="auto"/>
      <w:sz w:val="24"/>
    </w:rPr>
  </w:style>
  <w:style w:type="paragraph" w:customStyle="1" w:styleId="65">
    <w:name w:val="正文文字1"/>
    <w:basedOn w:val="13"/>
    <w:qFormat/>
    <w:uiPriority w:val="0"/>
    <w:pPr>
      <w:adjustRightInd w:val="0"/>
      <w:snapToGrid/>
      <w:spacing w:line="360" w:lineRule="atLeast"/>
      <w:ind w:left="72" w:leftChars="30" w:right="72" w:rightChars="30"/>
    </w:pPr>
    <w:rPr>
      <w:rFonts w:ascii="Times New Roman" w:hAnsi="Times New Roman" w:eastAsia="宋体"/>
      <w:color w:val="auto"/>
      <w:sz w:val="21"/>
    </w:rPr>
  </w:style>
  <w:style w:type="paragraph" w:customStyle="1" w:styleId="66">
    <w:name w:val="列出段落1"/>
    <w:basedOn w:val="1"/>
    <w:qFormat/>
    <w:uiPriority w:val="99"/>
    <w:pPr>
      <w:spacing w:after="200" w:line="276" w:lineRule="auto"/>
      <w:ind w:left="720"/>
      <w:contextualSpacing/>
      <w:jc w:val="left"/>
      <w:textAlignment w:val="auto"/>
    </w:pPr>
    <w:rPr>
      <w:rFonts w:ascii="Calibri" w:hAnsi="Calibri"/>
      <w:color w:val="auto"/>
      <w:sz w:val="22"/>
      <w:szCs w:val="22"/>
    </w:rPr>
  </w:style>
  <w:style w:type="paragraph" w:customStyle="1" w:styleId="67">
    <w:name w:val="中等深浅网格 1 - 着色 21"/>
    <w:basedOn w:val="1"/>
    <w:qFormat/>
    <w:uiPriority w:val="99"/>
    <w:pPr>
      <w:widowControl w:val="0"/>
      <w:spacing w:line="240" w:lineRule="auto"/>
      <w:ind w:firstLine="420" w:firstLineChars="200"/>
      <w:textAlignment w:val="auto"/>
    </w:pPr>
    <w:rPr>
      <w:color w:val="auto"/>
      <w:kern w:val="2"/>
    </w:rPr>
  </w:style>
  <w:style w:type="paragraph" w:customStyle="1" w:styleId="68">
    <w:name w:val="reader-word-layer"/>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69">
    <w:name w:val="Char Char Char Char1"/>
    <w:basedOn w:val="1"/>
    <w:qFormat/>
    <w:uiPriority w:val="0"/>
    <w:pPr>
      <w:widowControl w:val="0"/>
      <w:spacing w:line="240" w:lineRule="auto"/>
      <w:textAlignment w:val="auto"/>
    </w:pPr>
    <w:rPr>
      <w:color w:val="auto"/>
      <w:kern w:val="2"/>
    </w:rPr>
  </w:style>
  <w:style w:type="paragraph" w:customStyle="1" w:styleId="70">
    <w:name w:val="样式1"/>
    <w:basedOn w:val="1"/>
    <w:qFormat/>
    <w:uiPriority w:val="0"/>
    <w:pPr>
      <w:widowControl w:val="0"/>
      <w:spacing w:line="240" w:lineRule="auto"/>
      <w:textAlignment w:val="auto"/>
    </w:pPr>
    <w:rPr>
      <w:rFonts w:ascii="Arial" w:hAnsi="Arial" w:eastAsia="仿宋_GB2312"/>
      <w:color w:val="auto"/>
      <w:kern w:val="2"/>
      <w:sz w:val="32"/>
    </w:rPr>
  </w:style>
  <w:style w:type="paragraph" w:customStyle="1" w:styleId="71">
    <w:name w:val="样式 正文（缩进） + (中文) 楷体_GB2312"/>
    <w:basedOn w:val="57"/>
    <w:qFormat/>
    <w:uiPriority w:val="0"/>
    <w:pPr>
      <w:ind w:left="1" w:leftChars="-1" w:hanging="3" w:hangingChars="1"/>
      <w:jc w:val="center"/>
    </w:pPr>
    <w:rPr>
      <w:rFonts w:ascii="宋体" w:hAnsi="宋体"/>
      <w:b/>
      <w:bCs/>
      <w:sz w:val="28"/>
      <w:szCs w:val="28"/>
    </w:rPr>
  </w:style>
  <w:style w:type="paragraph" w:customStyle="1" w:styleId="72">
    <w:name w:val="Char Char Char Char Char Char"/>
    <w:basedOn w:val="1"/>
    <w:qFormat/>
    <w:uiPriority w:val="0"/>
    <w:pPr>
      <w:widowControl w:val="0"/>
      <w:spacing w:line="240" w:lineRule="auto"/>
      <w:textAlignment w:val="auto"/>
    </w:pPr>
    <w:rPr>
      <w:color w:val="auto"/>
      <w:kern w:val="2"/>
      <w:szCs w:val="21"/>
    </w:rPr>
  </w:style>
  <w:style w:type="paragraph" w:customStyle="1" w:styleId="73">
    <w:name w:val="List Paragraph11"/>
    <w:basedOn w:val="1"/>
    <w:qFormat/>
    <w:uiPriority w:val="0"/>
    <w:pPr>
      <w:ind w:firstLine="420" w:firstLineChars="200"/>
    </w:pPr>
    <w:rPr>
      <w:rFonts w:ascii="Calibri" w:hAnsi="Calibri"/>
      <w:szCs w:val="22"/>
    </w:rPr>
  </w:style>
  <w:style w:type="paragraph" w:customStyle="1" w:styleId="74">
    <w:name w:val="List Paragraph1"/>
    <w:basedOn w:val="1"/>
    <w:qFormat/>
    <w:uiPriority w:val="99"/>
    <w:pPr>
      <w:ind w:firstLine="420" w:firstLineChars="200"/>
    </w:pPr>
  </w:style>
  <w:style w:type="paragraph" w:customStyle="1" w:styleId="75">
    <w:name w:val="p0 New"/>
    <w:basedOn w:val="1"/>
    <w:qFormat/>
    <w:uiPriority w:val="0"/>
    <w:pPr>
      <w:spacing w:line="240" w:lineRule="auto"/>
      <w:jc w:val="left"/>
      <w:textAlignment w:val="auto"/>
    </w:pPr>
    <w:rPr>
      <w:rFonts w:ascii="宋体" w:hAnsi="宋体" w:cs="宋体"/>
      <w:color w:val="auto"/>
      <w:sz w:val="18"/>
      <w:szCs w:val="18"/>
    </w:rPr>
  </w:style>
  <w:style w:type="paragraph" w:customStyle="1" w:styleId="76">
    <w:name w:val="flName"/>
    <w:basedOn w:val="1"/>
    <w:qFormat/>
    <w:uiPriority w:val="0"/>
    <w:pPr>
      <w:widowControl w:val="0"/>
      <w:adjustRightInd w:val="0"/>
      <w:spacing w:before="320" w:after="160" w:line="360" w:lineRule="atLeast"/>
      <w:jc w:val="center"/>
    </w:pPr>
    <w:rPr>
      <w:rFonts w:ascii="Arial" w:eastAsia="黑体"/>
      <w:color w:val="auto"/>
      <w:sz w:val="32"/>
    </w:rPr>
  </w:style>
  <w:style w:type="paragraph" w:customStyle="1" w:styleId="77">
    <w:name w:val="_Style 46"/>
    <w:basedOn w:val="1"/>
    <w:qFormat/>
    <w:uiPriority w:val="0"/>
    <w:pPr>
      <w:widowControl w:val="0"/>
      <w:spacing w:line="240" w:lineRule="auto"/>
      <w:textAlignment w:val="auto"/>
    </w:pPr>
    <w:rPr>
      <w:color w:val="auto"/>
      <w:kern w:val="2"/>
      <w:szCs w:val="24"/>
    </w:rPr>
  </w:style>
  <w:style w:type="paragraph" w:customStyle="1" w:styleId="78">
    <w:name w:val="Char"/>
    <w:basedOn w:val="1"/>
    <w:qFormat/>
    <w:uiPriority w:val="0"/>
    <w:pPr>
      <w:widowControl w:val="0"/>
      <w:spacing w:line="240" w:lineRule="auto"/>
      <w:textAlignment w:val="auto"/>
    </w:pPr>
    <w:rPr>
      <w:rFonts w:ascii="仿宋_GB2312" w:eastAsia="仿宋_GB2312"/>
      <w:b/>
      <w:color w:val="auto"/>
      <w:kern w:val="2"/>
      <w:sz w:val="32"/>
      <w:szCs w:val="32"/>
    </w:rPr>
  </w:style>
  <w:style w:type="paragraph" w:customStyle="1" w:styleId="79">
    <w:name w:val="px12black"/>
    <w:basedOn w:val="1"/>
    <w:qFormat/>
    <w:uiPriority w:val="0"/>
    <w:pPr>
      <w:spacing w:before="100" w:beforeAutospacing="1" w:after="100" w:afterAutospacing="1"/>
      <w:jc w:val="left"/>
    </w:pPr>
    <w:rPr>
      <w:rFonts w:ascii="宋体" w:hAnsi="宋体" w:cs="宋体"/>
      <w:sz w:val="24"/>
    </w:rPr>
  </w:style>
  <w:style w:type="paragraph" w:customStyle="1" w:styleId="80">
    <w:name w:val="节标题"/>
    <w:basedOn w:val="1"/>
    <w:next w:val="1"/>
    <w:qFormat/>
    <w:uiPriority w:val="0"/>
    <w:pPr>
      <w:spacing w:line="289" w:lineRule="atLeast"/>
      <w:jc w:val="center"/>
    </w:pPr>
    <w:rPr>
      <w:sz w:val="28"/>
    </w:rPr>
  </w:style>
  <w:style w:type="paragraph" w:customStyle="1" w:styleId="81">
    <w:name w:val="Biao00"/>
    <w:qFormat/>
    <w:uiPriority w:val="0"/>
    <w:pPr>
      <w:widowControl w:val="0"/>
      <w:spacing w:line="0" w:lineRule="atLeast"/>
      <w:jc w:val="center"/>
    </w:pPr>
    <w:rPr>
      <w:rFonts w:ascii="Arial" w:hAnsi="Arial" w:eastAsia="仿宋_GB2312" w:cs="Times New Roman"/>
      <w:bCs/>
      <w:w w:val="90"/>
      <w:kern w:val="18"/>
      <w:sz w:val="24"/>
      <w:szCs w:val="24"/>
      <w:lang w:val="en-US" w:eastAsia="zh-CN" w:bidi="ar-SA"/>
    </w:rPr>
  </w:style>
  <w:style w:type="paragraph" w:customStyle="1" w:styleId="82">
    <w:name w:val="_Style 2"/>
    <w:basedOn w:val="1"/>
    <w:next w:val="1"/>
    <w:qFormat/>
    <w:uiPriority w:val="34"/>
    <w:pPr>
      <w:wordWrap w:val="0"/>
      <w:spacing w:line="240" w:lineRule="auto"/>
      <w:ind w:left="850"/>
    </w:pPr>
  </w:style>
  <w:style w:type="paragraph" w:customStyle="1" w:styleId="83">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84">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85">
    <w:name w:val="Normal1"/>
    <w:qFormat/>
    <w:uiPriority w:val="0"/>
    <w:rPr>
      <w:rFonts w:ascii="Calibri" w:hAnsi="Calibri" w:eastAsia="Times New Roman" w:cs="Times New Roman"/>
      <w:sz w:val="24"/>
      <w:szCs w:val="24"/>
      <w:lang w:val="en-US" w:eastAsia="zh-CN" w:bidi="ar-SA"/>
    </w:rPr>
  </w:style>
  <w:style w:type="character" w:customStyle="1" w:styleId="86">
    <w:name w:val="标题 1 Char"/>
    <w:basedOn w:val="32"/>
    <w:link w:val="3"/>
    <w:qFormat/>
    <w:uiPriority w:val="9"/>
    <w:rPr>
      <w:rFonts w:ascii="Times New Roman" w:hAnsi="Times New Roman" w:eastAsia="宋体" w:cs="Times New Roman"/>
      <w:b/>
      <w:bCs/>
      <w:kern w:val="44"/>
      <w:sz w:val="44"/>
      <w:szCs w:val="44"/>
    </w:rPr>
  </w:style>
  <w:style w:type="character" w:customStyle="1" w:styleId="87">
    <w:name w:val="bookmark-item"/>
    <w:basedOn w:val="32"/>
    <w:qFormat/>
    <w:uiPriority w:val="0"/>
  </w:style>
  <w:style w:type="paragraph" w:customStyle="1" w:styleId="88">
    <w:name w:val="Normal2"/>
    <w:basedOn w:val="1"/>
    <w:qFormat/>
    <w:uiPriority w:val="0"/>
    <w:pPr>
      <w:spacing w:after="200" w:line="300" w:lineRule="atLeast"/>
      <w:jc w:val="left"/>
      <w:textAlignment w:val="auto"/>
    </w:pPr>
    <w:rPr>
      <w:rFonts w:ascii="Calibri" w:hAnsi="Calibri" w:cs="宋体"/>
      <w:color w:val="auto"/>
      <w:sz w:val="22"/>
      <w:szCs w:val="22"/>
    </w:rPr>
  </w:style>
  <w:style w:type="paragraph" w:styleId="89">
    <w:name w:val="List Paragraph"/>
    <w:basedOn w:val="1"/>
    <w:qFormat/>
    <w:uiPriority w:val="99"/>
    <w:pPr>
      <w:ind w:firstLine="420" w:firstLineChars="200"/>
    </w:pPr>
  </w:style>
  <w:style w:type="table" w:customStyle="1" w:styleId="90">
    <w:name w:val="网格型1"/>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1">
    <w:name w:val="NormalCharacter"/>
    <w:qFormat/>
    <w:uiPriority w:val="0"/>
  </w:style>
  <w:style w:type="table" w:customStyle="1" w:styleId="92">
    <w:name w:val="Table Normal"/>
    <w:semiHidden/>
    <w:unhideWhenUsed/>
    <w:qFormat/>
    <w:uiPriority w:val="0"/>
    <w:tblPr>
      <w:tblCellMar>
        <w:top w:w="0" w:type="dxa"/>
        <w:left w:w="0" w:type="dxa"/>
        <w:bottom w:w="0" w:type="dxa"/>
        <w:right w:w="0" w:type="dxa"/>
      </w:tblCellMar>
    </w:tblPr>
  </w:style>
  <w:style w:type="paragraph" w:customStyle="1" w:styleId="93">
    <w:name w:val="Table Paragraph"/>
    <w:basedOn w:val="1"/>
    <w:qFormat/>
    <w:uiPriority w:val="1"/>
  </w:style>
  <w:style w:type="paragraph" w:customStyle="1" w:styleId="94">
    <w:name w:val="样式 首行缩进:  0.85 厘米 段前: 2.5 磅 段后: 6 磅 行距: 1.5 倍行距"/>
    <w:basedOn w:val="1"/>
    <w:qFormat/>
    <w:uiPriority w:val="0"/>
    <w:pPr>
      <w:spacing w:before="50" w:after="120" w:line="360" w:lineRule="auto"/>
      <w:ind w:firstLine="48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30639</Words>
  <Characters>32629</Characters>
  <Paragraphs>1771</Paragraphs>
  <TotalTime>2</TotalTime>
  <ScaleCrop>false</ScaleCrop>
  <LinksUpToDate>false</LinksUpToDate>
  <CharactersWithSpaces>35304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2020-10-23T07:31:00Z</dcterms:created>
  <dc:creator>微软用户</dc:creator>
  <cp:lastModifiedBy>月</cp:lastModifiedBy>
  <cp:lastPrinted>2021-03-26T03:11:00Z</cp:lastPrinted>
  <dcterms:modified xsi:type="dcterms:W3CDTF">2022-08-21T08:52:33Z</dcterms:modified>
  <dc:subject>(代理机构名称）作者名称</dc:subject>
  <dc:title>项目编号：MASCG-HD2011030</dc:title>
  <cp:revision>597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3CFD5248C4D94D54AC0C98B1638C816C</vt:lpwstr>
  </property>
</Properties>
</file>