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lang w:eastAsia="zh-CN"/>
        </w:rPr>
        <w:t>巴楚县卫生健康委员会核酸、检测试剂、防护物资采购项目</w:t>
      </w:r>
      <w:r>
        <w:rPr>
          <w:rFonts w:hint="eastAsia" w:ascii="华文中宋" w:hAnsi="华文中宋" w:eastAsia="华文中宋" w:cs="华文中宋"/>
          <w:bCs/>
          <w:sz w:val="52"/>
          <w:szCs w:val="52"/>
        </w:rPr>
        <w:t>招标文件</w:t>
      </w:r>
    </w:p>
    <w:p>
      <w:pPr>
        <w:spacing w:line="240" w:lineRule="atLeast"/>
        <w:ind w:left="1079" w:leftChars="257" w:hanging="540"/>
        <w:jc w:val="center"/>
        <w:rPr>
          <w:rFonts w:hint="eastAsia"/>
          <w:b/>
          <w:bCs/>
          <w:kern w:val="0"/>
          <w:sz w:val="32"/>
          <w:szCs w:val="32"/>
          <w:shd w:val="clear" w:color="auto" w:fill="FFFFFF"/>
        </w:rPr>
      </w:pPr>
    </w:p>
    <w:p>
      <w:pPr>
        <w:pStyle w:val="2"/>
        <w:rPr>
          <w:rFonts w:hint="eastAsia"/>
        </w:rPr>
      </w:pPr>
    </w:p>
    <w:p>
      <w:pPr>
        <w:spacing w:line="240" w:lineRule="atLeast"/>
        <w:ind w:left="1079" w:leftChars="257" w:hanging="540"/>
        <w:jc w:val="center"/>
        <w:rPr>
          <w:rFonts w:hint="eastAsia"/>
          <w:b/>
          <w:bCs/>
          <w:kern w:val="0"/>
          <w:sz w:val="32"/>
          <w:szCs w:val="32"/>
          <w:shd w:val="clear" w:color="auto" w:fill="FFFFFF"/>
        </w:rPr>
      </w:pPr>
    </w:p>
    <w:p>
      <w:pPr>
        <w:spacing w:line="240" w:lineRule="atLeast"/>
        <w:ind w:left="1079" w:leftChars="257" w:hanging="540"/>
        <w:jc w:val="center"/>
        <w:rPr>
          <w:rFonts w:hint="eastAsia" w:ascii="仿宋_GB2312" w:eastAsia="仿宋_GB2312"/>
          <w:b/>
          <w:sz w:val="28"/>
        </w:rPr>
      </w:pPr>
      <w:r>
        <w:rPr>
          <w:rFonts w:hint="eastAsia"/>
          <w:b/>
          <w:bCs/>
          <w:kern w:val="0"/>
          <w:sz w:val="32"/>
          <w:szCs w:val="32"/>
          <w:shd w:val="clear" w:color="auto" w:fill="FFFFFF"/>
        </w:rPr>
        <w:t>项目编号：KSBCX(GK)202</w:t>
      </w:r>
      <w:r>
        <w:rPr>
          <w:rFonts w:hint="eastAsia"/>
          <w:b/>
          <w:bCs/>
          <w:kern w:val="0"/>
          <w:sz w:val="32"/>
          <w:szCs w:val="32"/>
          <w:shd w:val="clear" w:color="auto" w:fill="FFFFFF"/>
          <w:lang w:val="en-US" w:eastAsia="zh-CN"/>
        </w:rPr>
        <w:t>1</w:t>
      </w:r>
      <w:r>
        <w:rPr>
          <w:rFonts w:hint="eastAsia"/>
          <w:b/>
          <w:bCs/>
          <w:kern w:val="0"/>
          <w:sz w:val="32"/>
          <w:szCs w:val="32"/>
          <w:shd w:val="clear" w:color="auto" w:fill="FFFFFF"/>
        </w:rPr>
        <w:t>-</w:t>
      </w:r>
      <w:r>
        <w:rPr>
          <w:rFonts w:hint="eastAsia"/>
          <w:b/>
          <w:bCs/>
          <w:kern w:val="0"/>
          <w:sz w:val="32"/>
          <w:szCs w:val="32"/>
          <w:shd w:val="clear" w:color="auto" w:fill="FFFFFF"/>
          <w:lang w:val="en-US" w:eastAsia="zh-CN"/>
        </w:rPr>
        <w:t>32</w:t>
      </w:r>
      <w:r>
        <w:rPr>
          <w:rFonts w:hint="eastAsia"/>
          <w:b/>
          <w:bCs/>
          <w:kern w:val="0"/>
          <w:sz w:val="32"/>
          <w:szCs w:val="32"/>
          <w:shd w:val="clear" w:color="auto" w:fill="FFFFFF"/>
        </w:rPr>
        <w:t>号</w:t>
      </w:r>
    </w:p>
    <w:p>
      <w:pPr>
        <w:spacing w:line="240" w:lineRule="atLeast"/>
        <w:ind w:left="1079" w:leftChars="257" w:hanging="540"/>
        <w:rPr>
          <w:rFonts w:hint="eastAsia" w:ascii="仿宋_GB2312" w:eastAsia="仿宋_GB2312"/>
          <w:b/>
          <w:sz w:val="28"/>
          <w:lang w:val="en-US" w:eastAsia="zh-CN"/>
        </w:rPr>
      </w:pPr>
    </w:p>
    <w:p>
      <w:pPr>
        <w:spacing w:line="240" w:lineRule="atLeast"/>
        <w:ind w:left="1079" w:leftChars="257" w:hanging="540"/>
        <w:rPr>
          <w:rFonts w:hint="eastAsia" w:ascii="仿宋_GB2312" w:eastAsia="仿宋_GB2312"/>
          <w:b/>
          <w:sz w:val="28"/>
        </w:rPr>
      </w:pPr>
    </w:p>
    <w:p>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pPr>
        <w:spacing w:line="240" w:lineRule="atLeast"/>
        <w:ind w:left="1079" w:leftChars="257" w:hanging="540"/>
        <w:jc w:val="center"/>
        <w:rPr>
          <w:rFonts w:hint="eastAsia" w:ascii="仿宋_GB2312" w:eastAsia="仿宋_GB2312"/>
          <w:b/>
          <w:sz w:val="52"/>
        </w:rPr>
      </w:pPr>
    </w:p>
    <w:p>
      <w:pPr>
        <w:spacing w:line="240" w:lineRule="atLeast"/>
        <w:ind w:left="1079" w:leftChars="257" w:hanging="540"/>
        <w:jc w:val="center"/>
        <w:rPr>
          <w:rFonts w:hint="eastAsia" w:ascii="仿宋_GB2312" w:eastAsia="仿宋_GB2312"/>
          <w:b/>
          <w:sz w:val="52"/>
        </w:rPr>
      </w:pPr>
    </w:p>
    <w:p>
      <w:pPr>
        <w:spacing w:line="240" w:lineRule="atLeast"/>
        <w:ind w:left="1079" w:leftChars="257" w:hanging="540"/>
        <w:jc w:val="center"/>
        <w:rPr>
          <w:rFonts w:hint="eastAsia" w:ascii="仿宋_GB2312" w:eastAsia="仿宋_GB2312"/>
          <w:b/>
          <w:sz w:val="52"/>
        </w:rPr>
      </w:pPr>
    </w:p>
    <w:p>
      <w:pPr>
        <w:widowControl/>
        <w:spacing w:line="400" w:lineRule="exact"/>
        <w:ind w:firstLine="1800" w:firstLineChars="600"/>
        <w:textAlignment w:val="baseline"/>
        <w:rPr>
          <w:rFonts w:hint="eastAsia" w:ascii="仿宋" w:hAnsi="仿宋" w:eastAsia="仿宋" w:cs="黑体"/>
          <w:b/>
          <w:bCs/>
          <w:sz w:val="30"/>
          <w:szCs w:val="30"/>
          <w:u w:val="single"/>
          <w:lang w:eastAsia="zh-CN"/>
        </w:rPr>
      </w:pPr>
      <w:r>
        <w:rPr>
          <w:rFonts w:hint="eastAsia" w:ascii="仿宋" w:hAnsi="仿宋" w:eastAsia="仿宋" w:cs="黑体"/>
          <w:b/>
          <w:bCs/>
          <w:sz w:val="30"/>
          <w:szCs w:val="30"/>
        </w:rPr>
        <w:t>采   购   人：</w:t>
      </w:r>
      <w:r>
        <w:rPr>
          <w:rFonts w:hint="eastAsia" w:ascii="仿宋" w:hAnsi="仿宋" w:eastAsia="仿宋" w:cs="黑体"/>
          <w:b/>
          <w:bCs/>
          <w:kern w:val="0"/>
          <w:sz w:val="30"/>
          <w:szCs w:val="30"/>
          <w:u w:val="single"/>
          <w:lang w:eastAsia="zh-CN"/>
        </w:rPr>
        <w:t>巴楚县卫生健康委员会</w:t>
      </w:r>
    </w:p>
    <w:p>
      <w:pPr>
        <w:pStyle w:val="6"/>
        <w:spacing w:line="360" w:lineRule="auto"/>
        <w:ind w:firstLine="1800" w:firstLineChars="600"/>
        <w:rPr>
          <w:rFonts w:hint="eastAsia" w:ascii="仿宋" w:hAnsi="仿宋" w:eastAsia="仿宋" w:cs="黑体"/>
          <w:b/>
          <w:bCs/>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rPr>
        <w:t>巴楚县政府采购中心</w:t>
      </w:r>
    </w:p>
    <w:p>
      <w:pPr>
        <w:tabs>
          <w:tab w:val="left" w:pos="8400"/>
        </w:tabs>
        <w:spacing w:line="360" w:lineRule="auto"/>
        <w:ind w:firstLine="1800" w:firstLineChars="600"/>
        <w:rPr>
          <w:rFonts w:hint="eastAsia" w:ascii="仿宋" w:hAnsi="仿宋" w:eastAsia="仿宋" w:cs="黑体"/>
          <w:b/>
          <w:bCs/>
          <w:sz w:val="30"/>
          <w:szCs w:val="30"/>
          <w:u w:val="single"/>
        </w:rPr>
      </w:pPr>
      <w:r>
        <w:rPr>
          <w:rFonts w:hint="eastAsia" w:ascii="仿宋" w:hAnsi="仿宋" w:eastAsia="仿宋" w:cs="黑体"/>
          <w:b/>
          <w:bCs/>
          <w:sz w:val="30"/>
          <w:szCs w:val="30"/>
        </w:rPr>
        <w:t xml:space="preserve">发 </w:t>
      </w:r>
      <w:r>
        <w:rPr>
          <w:rFonts w:ascii="仿宋" w:hAnsi="仿宋" w:eastAsia="仿宋" w:cs="黑体"/>
          <w:b/>
          <w:bCs/>
          <w:sz w:val="30"/>
          <w:szCs w:val="30"/>
        </w:rPr>
        <w:t xml:space="preserve"> </w:t>
      </w:r>
      <w:r>
        <w:rPr>
          <w:rFonts w:hint="eastAsia" w:ascii="仿宋" w:hAnsi="仿宋" w:eastAsia="仿宋" w:cs="黑体"/>
          <w:b/>
          <w:bCs/>
          <w:sz w:val="30"/>
          <w:szCs w:val="30"/>
        </w:rPr>
        <w:t>出</w:t>
      </w:r>
      <w:r>
        <w:rPr>
          <w:rFonts w:ascii="仿宋" w:hAnsi="仿宋" w:eastAsia="仿宋" w:cs="黑体"/>
          <w:b/>
          <w:bCs/>
          <w:sz w:val="30"/>
          <w:szCs w:val="30"/>
        </w:rPr>
        <w:t xml:space="preserve"> </w:t>
      </w:r>
      <w:r>
        <w:rPr>
          <w:rFonts w:hint="eastAsia" w:ascii="仿宋" w:hAnsi="仿宋" w:eastAsia="仿宋" w:cs="黑体"/>
          <w:b/>
          <w:bCs/>
          <w:sz w:val="30"/>
          <w:szCs w:val="30"/>
        </w:rPr>
        <w:t>日</w:t>
      </w:r>
      <w:r>
        <w:rPr>
          <w:rFonts w:ascii="仿宋" w:hAnsi="仿宋" w:eastAsia="仿宋" w:cs="黑体"/>
          <w:b/>
          <w:bCs/>
          <w:sz w:val="30"/>
          <w:szCs w:val="30"/>
        </w:rPr>
        <w:t xml:space="preserve"> </w:t>
      </w:r>
      <w:r>
        <w:rPr>
          <w:rFonts w:hint="eastAsia" w:ascii="仿宋" w:hAnsi="仿宋" w:eastAsia="仿宋" w:cs="黑体"/>
          <w:b/>
          <w:bCs/>
          <w:sz w:val="30"/>
          <w:szCs w:val="30"/>
        </w:rPr>
        <w:t>期：</w:t>
      </w:r>
      <w:r>
        <w:rPr>
          <w:rFonts w:hint="eastAsia" w:ascii="仿宋" w:hAnsi="仿宋" w:eastAsia="仿宋" w:cs="黑体"/>
          <w:b/>
          <w:bCs/>
          <w:kern w:val="0"/>
          <w:sz w:val="30"/>
          <w:szCs w:val="30"/>
          <w:u w:val="single"/>
        </w:rPr>
        <w:t>202</w:t>
      </w:r>
      <w:r>
        <w:rPr>
          <w:rFonts w:hint="eastAsia" w:ascii="仿宋" w:hAnsi="仿宋" w:eastAsia="仿宋" w:cs="黑体"/>
          <w:b/>
          <w:bCs/>
          <w:kern w:val="0"/>
          <w:sz w:val="30"/>
          <w:szCs w:val="30"/>
          <w:u w:val="single"/>
          <w:lang w:val="en-US" w:eastAsia="zh-CN"/>
        </w:rPr>
        <w:t>1</w:t>
      </w:r>
      <w:r>
        <w:rPr>
          <w:rFonts w:hint="eastAsia" w:ascii="仿宋" w:hAnsi="仿宋" w:eastAsia="仿宋" w:cs="黑体"/>
          <w:b/>
          <w:bCs/>
          <w:kern w:val="0"/>
          <w:sz w:val="30"/>
          <w:szCs w:val="30"/>
          <w:u w:val="single"/>
        </w:rPr>
        <w:t>年</w:t>
      </w:r>
      <w:r>
        <w:rPr>
          <w:rFonts w:hint="eastAsia" w:ascii="仿宋" w:hAnsi="仿宋" w:eastAsia="仿宋" w:cs="黑体"/>
          <w:b/>
          <w:bCs/>
          <w:kern w:val="0"/>
          <w:sz w:val="30"/>
          <w:szCs w:val="30"/>
          <w:u w:val="single"/>
          <w:lang w:val="en-US" w:eastAsia="zh-CN"/>
        </w:rPr>
        <w:t>10</w:t>
      </w:r>
      <w:r>
        <w:rPr>
          <w:rFonts w:hint="eastAsia" w:ascii="仿宋" w:hAnsi="仿宋" w:eastAsia="仿宋" w:cs="黑体"/>
          <w:b/>
          <w:bCs/>
          <w:kern w:val="0"/>
          <w:sz w:val="30"/>
          <w:szCs w:val="30"/>
          <w:u w:val="single"/>
        </w:rPr>
        <w:t>月</w:t>
      </w:r>
      <w:r>
        <w:rPr>
          <w:rFonts w:hint="eastAsia" w:ascii="仿宋" w:hAnsi="仿宋" w:eastAsia="仿宋" w:cs="黑体"/>
          <w:b/>
          <w:bCs/>
          <w:kern w:val="0"/>
          <w:sz w:val="30"/>
          <w:szCs w:val="30"/>
          <w:u w:val="single"/>
          <w:lang w:val="en-US" w:eastAsia="zh-CN"/>
        </w:rPr>
        <w:t>10</w:t>
      </w:r>
      <w:r>
        <w:rPr>
          <w:rFonts w:hint="eastAsia" w:ascii="仿宋" w:hAnsi="仿宋" w:eastAsia="仿宋" w:cs="黑体"/>
          <w:b/>
          <w:bCs/>
          <w:kern w:val="0"/>
          <w:sz w:val="30"/>
          <w:szCs w:val="30"/>
          <w:u w:val="single"/>
        </w:rPr>
        <w:t>日</w:t>
      </w:r>
    </w:p>
    <w:p>
      <w:pPr>
        <w:spacing w:line="240" w:lineRule="atLeast"/>
        <w:ind w:left="1079" w:leftChars="257" w:hanging="540"/>
        <w:jc w:val="center"/>
        <w:rPr>
          <w:rFonts w:hint="eastAsia" w:ascii="仿宋_GB2312" w:eastAsia="仿宋_GB2312"/>
          <w:b/>
          <w:sz w:val="32"/>
        </w:rPr>
      </w:pPr>
      <w:r>
        <w:rPr>
          <w:rFonts w:ascii="仿宋_GB2312" w:eastAsia="仿宋_GB2312"/>
          <w:b/>
          <w:sz w:val="52"/>
        </w:rPr>
        <w:br w:type="page"/>
      </w:r>
      <w:r>
        <w:rPr>
          <w:rFonts w:hint="eastAsia" w:ascii="仿宋_GB2312" w:eastAsia="仿宋_GB2312"/>
          <w:b/>
          <w:sz w:val="32"/>
        </w:rPr>
        <w:t>目  录</w:t>
      </w:r>
    </w:p>
    <w:p>
      <w:pPr>
        <w:spacing w:line="240" w:lineRule="atLeast"/>
        <w:ind w:left="539" w:leftChars="257"/>
        <w:jc w:val="center"/>
        <w:rPr>
          <w:rFonts w:hint="eastAsia" w:ascii="仿宋_GB2312" w:eastAsia="仿宋_GB2312"/>
          <w:b/>
          <w:sz w:val="32"/>
        </w:rPr>
      </w:pPr>
    </w:p>
    <w:p>
      <w:pPr>
        <w:pStyle w:val="12"/>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_Toc25817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_Toc25817 </w:instrText>
      </w:r>
      <w:r>
        <w:fldChar w:fldCharType="separate"/>
      </w:r>
      <w:r>
        <w:t>1</w:t>
      </w:r>
      <w:r>
        <w:fldChar w:fldCharType="end"/>
      </w:r>
      <w:r>
        <w:rPr>
          <w:rFonts w:ascii="宋体"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_Toc22145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_Toc22145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_Toc5999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_Toc5999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_Toc4322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_Toc4322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_Toc13828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_Toc13828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_Toc32665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_Toc32665 </w:instrText>
      </w:r>
      <w:r>
        <w:fldChar w:fldCharType="separate"/>
      </w:r>
      <w:r>
        <w:t>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_Toc28572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_Toc28572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_Toc4671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_Toc4671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_Toc1922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_Toc1922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_Toc12448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_Toc12448 </w:instrText>
      </w:r>
      <w:r>
        <w:fldChar w:fldCharType="separate"/>
      </w:r>
      <w:r>
        <w:t>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_Toc31039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_Toc31039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_Toc30570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_Toc30570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_Toc18692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_Toc18692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_Toc13143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证明投标标的的合格性和符合招标文件规定的技术文件</w:t>
      </w:r>
      <w:r>
        <w:tab/>
      </w:r>
      <w:r>
        <w:fldChar w:fldCharType="begin"/>
      </w:r>
      <w:r>
        <w:instrText xml:space="preserve"> PAGEREF _Toc13143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_Toc19624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_Toc19624 </w:instrText>
      </w:r>
      <w:r>
        <w:fldChar w:fldCharType="separate"/>
      </w:r>
      <w:r>
        <w:t>4</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_Toc22212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_Toc22212 </w:instrText>
      </w:r>
      <w:r>
        <w:fldChar w:fldCharType="separate"/>
      </w:r>
      <w:r>
        <w:t>4</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_Toc22901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_Toc22901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_Toc17609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_Toc17609 </w:instrText>
      </w:r>
      <w:r>
        <w:fldChar w:fldCharType="separate"/>
      </w:r>
      <w:r>
        <w:t>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_Toc25925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_Toc25925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_Toc26195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_Toc26195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_Toc24017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_Toc24017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_Toc24785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_Toc24785 </w:instrText>
      </w:r>
      <w:r>
        <w:fldChar w:fldCharType="separate"/>
      </w:r>
      <w:r>
        <w:t>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_Toc20246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_Toc20246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_Toc17257 </w:instrText>
      </w:r>
      <w:r>
        <w:rPr>
          <w:rFonts w:hAnsi="宋体" w:cs="宋体"/>
          <w:kern w:val="0"/>
          <w:szCs w:val="21"/>
        </w:rPr>
        <w:fldChar w:fldCharType="separate"/>
      </w:r>
      <w:r>
        <w:t xml:space="preserve">18. </w:t>
      </w:r>
      <w:r>
        <w:rPr>
          <w:rFonts w:hint="eastAsia" w:ascii="仿宋_GB2312" w:hAnsi="宋体" w:eastAsia="仿宋_GB2312"/>
        </w:rPr>
        <w:t>开标</w:t>
      </w:r>
      <w:r>
        <w:tab/>
      </w:r>
      <w:r>
        <w:fldChar w:fldCharType="begin"/>
      </w:r>
      <w:r>
        <w:instrText xml:space="preserve"> PAGEREF _Toc17257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_Toc31290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_Toc31290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_Toc26332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投标文件符合性审查与澄清</w:t>
      </w:r>
      <w:r>
        <w:tab/>
      </w:r>
      <w:r>
        <w:fldChar w:fldCharType="begin"/>
      </w:r>
      <w:r>
        <w:instrText xml:space="preserve"> PAGEREF _Toc26332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_Toc18529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_Toc18529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_Toc23936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_Toc23936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_Toc8521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_Toc8521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_Toc31728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_Toc31728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_Toc11175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_Toc11175 </w:instrText>
      </w:r>
      <w:r>
        <w:fldChar w:fldCharType="separate"/>
      </w:r>
      <w:r>
        <w:t>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_Toc2153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_Toc2153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_Toc28066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_Toc28066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_Toc19950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_Toc19950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_Toc13782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_Toc13782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_Toc31142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_Toc31142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_Toc14795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_Toc14795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_Toc7188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_Toc7188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_Toc31936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_Toc31936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_Toc13588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_Toc13588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_Toc27198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_Toc27198 </w:instrText>
      </w:r>
      <w:r>
        <w:fldChar w:fldCharType="separate"/>
      </w:r>
      <w:r>
        <w:t>11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_Toc10437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_Toc10437 </w:instrText>
      </w:r>
      <w:r>
        <w:fldChar w:fldCharType="separate"/>
      </w:r>
      <w:r>
        <w:t>11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_Toc10700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_Toc10700 </w:instrText>
      </w:r>
      <w:r>
        <w:fldChar w:fldCharType="separate"/>
      </w:r>
      <w:r>
        <w:t>11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_Toc11469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_Toc11469 </w:instrText>
      </w:r>
      <w:r>
        <w:fldChar w:fldCharType="separate"/>
      </w:r>
      <w:r>
        <w:t>12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_Toc7612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_Toc7612 </w:instrText>
      </w:r>
      <w:r>
        <w:fldChar w:fldCharType="separate"/>
      </w:r>
      <w:r>
        <w:t>13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_Toc30861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_Toc30861 </w:instrText>
      </w:r>
      <w:r>
        <w:fldChar w:fldCharType="separate"/>
      </w:r>
      <w:r>
        <w:t>13</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_Toc19692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_Toc19692 </w:instrText>
      </w:r>
      <w:r>
        <w:fldChar w:fldCharType="separate"/>
      </w:r>
      <w:r>
        <w:t>15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_Toc6220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_Toc6220 </w:instrText>
      </w:r>
      <w:r>
        <w:fldChar w:fldCharType="separate"/>
      </w:r>
      <w:r>
        <w:t>15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_Toc14309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_Toc14309 </w:instrText>
      </w:r>
      <w:r>
        <w:fldChar w:fldCharType="separate"/>
      </w:r>
      <w:r>
        <w:t>16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_Toc608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_Toc608 </w:instrText>
      </w:r>
      <w:r>
        <w:fldChar w:fldCharType="separate"/>
      </w:r>
      <w:r>
        <w:t>17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_Toc23503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法定代表人授权委托书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_Toc23503 </w:instrText>
      </w:r>
      <w:r>
        <w:fldChar w:fldCharType="separate"/>
      </w:r>
      <w:r>
        <w:t>18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_Toc18130 </w:instrText>
      </w:r>
      <w:r>
        <w:rPr>
          <w:rFonts w:hAnsi="宋体" w:cs="宋体"/>
          <w:kern w:val="0"/>
          <w:szCs w:val="21"/>
        </w:rPr>
        <w:fldChar w:fldCharType="separate"/>
      </w:r>
      <w:r>
        <w:rPr>
          <w:rFonts w:ascii="仿宋_GB2312" w:hAnsi="宋体" w:eastAsia="仿宋_GB2312"/>
        </w:rPr>
        <w:t>4</w:t>
      </w:r>
      <w:r>
        <w:rPr>
          <w:rFonts w:hint="eastAsia" w:ascii="仿宋_GB2312" w:hAnsi="宋体" w:eastAsia="仿宋_GB2312"/>
        </w:rPr>
        <w:t xml:space="preserve">  具有良好</w:t>
      </w:r>
      <w:r>
        <w:rPr>
          <w:rFonts w:ascii="仿宋_GB2312" w:hAnsi="宋体" w:eastAsia="仿宋_GB2312"/>
        </w:rPr>
        <w:t>的商业信誉和健全的财务会计制度</w:t>
      </w:r>
      <w:r>
        <w:rPr>
          <w:rFonts w:hint="eastAsia" w:ascii="仿宋_GB2312" w:hAnsi="宋体" w:eastAsia="仿宋_GB2312"/>
        </w:rPr>
        <w:t>的</w:t>
      </w:r>
      <w:r>
        <w:rPr>
          <w:rFonts w:ascii="仿宋_GB2312" w:hAnsi="宋体" w:eastAsia="仿宋_GB2312"/>
        </w:rPr>
        <w:t>证明文件</w:t>
      </w:r>
      <w:r>
        <w:tab/>
      </w:r>
      <w:r>
        <w:fldChar w:fldCharType="begin"/>
      </w:r>
      <w:r>
        <w:instrText xml:space="preserve"> PAGEREF _Toc18130 </w:instrText>
      </w:r>
      <w:r>
        <w:fldChar w:fldCharType="separate"/>
      </w:r>
      <w:r>
        <w:t>19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_Toc31238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投标保证金缴纳凭证复印件或投标担保函</w:t>
      </w:r>
      <w:r>
        <w:tab/>
      </w:r>
      <w:r>
        <w:fldChar w:fldCharType="begin"/>
      </w:r>
      <w:r>
        <w:instrText xml:space="preserve"> PAGEREF _Toc31238 </w:instrText>
      </w:r>
      <w:r>
        <w:fldChar w:fldCharType="separate"/>
      </w:r>
      <w:r>
        <w:t>20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_Toc13602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社会保障资金的缴纳记录</w:t>
      </w:r>
      <w:r>
        <w:tab/>
      </w:r>
      <w:r>
        <w:fldChar w:fldCharType="begin"/>
      </w:r>
      <w:r>
        <w:instrText xml:space="preserve"> PAGEREF _Toc13602 </w:instrText>
      </w:r>
      <w:r>
        <w:fldChar w:fldCharType="separate"/>
      </w:r>
      <w:r>
        <w:t>22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_Toc12631 </w:instrText>
      </w:r>
      <w:r>
        <w:rPr>
          <w:rFonts w:hAnsi="宋体" w:cs="宋体"/>
          <w:kern w:val="0"/>
          <w:szCs w:val="21"/>
        </w:rPr>
        <w:fldChar w:fldCharType="separate"/>
      </w:r>
      <w:r>
        <w:rPr>
          <w:rFonts w:ascii="仿宋_GB2312" w:hAnsi="宋体" w:eastAsia="仿宋_GB2312"/>
        </w:rPr>
        <w:t xml:space="preserve">7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_Toc12631 </w:instrText>
      </w:r>
      <w:r>
        <w:fldChar w:fldCharType="separate"/>
      </w:r>
      <w:r>
        <w:t>23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_Toc28937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_Toc28937 </w:instrText>
      </w:r>
      <w:r>
        <w:fldChar w:fldCharType="separate"/>
      </w:r>
      <w:r>
        <w:t>24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_Toc7730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进口产品制造厂家的授权书　（</w:t>
      </w:r>
      <w:r>
        <w:rPr>
          <w:rFonts w:ascii="仿宋_GB2312" w:hAnsi="宋体" w:eastAsia="仿宋_GB2312"/>
        </w:rPr>
        <w:t>投标文件</w:t>
      </w:r>
      <w:r>
        <w:rPr>
          <w:rFonts w:hint="eastAsia" w:ascii="仿宋_GB2312" w:hAnsi="宋体" w:eastAsia="仿宋_GB2312"/>
        </w:rPr>
        <w:t>格式四）</w:t>
      </w:r>
      <w:r>
        <w:tab/>
      </w:r>
      <w:r>
        <w:fldChar w:fldCharType="begin"/>
      </w:r>
      <w:r>
        <w:instrText xml:space="preserve"> PAGEREF _Toc7730 </w:instrText>
      </w:r>
      <w:r>
        <w:fldChar w:fldCharType="separate"/>
      </w:r>
      <w:r>
        <w:t>25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_Toc30317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_Toc30317 </w:instrText>
      </w:r>
      <w:r>
        <w:fldChar w:fldCharType="separate"/>
      </w:r>
      <w:r>
        <w:t>26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_Toc8525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_Toc8525 </w:instrText>
      </w:r>
      <w:r>
        <w:fldChar w:fldCharType="separate"/>
      </w:r>
      <w:r>
        <w:t>27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_Toc19943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投标保证金缴纳凭证复印件或投标担保函</w:t>
      </w:r>
      <w:r>
        <w:tab/>
      </w:r>
      <w:r>
        <w:fldChar w:fldCharType="begin"/>
      </w:r>
      <w:r>
        <w:instrText xml:space="preserve"> PAGEREF _Toc19943 </w:instrText>
      </w:r>
      <w:r>
        <w:fldChar w:fldCharType="separate"/>
      </w:r>
      <w:r>
        <w:t>28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_Toc10388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w:t>
      </w:r>
      <w:r>
        <w:rPr>
          <w:rFonts w:hint="eastAsia" w:ascii="仿宋_GB2312" w:eastAsia="仿宋_GB2312"/>
        </w:rPr>
        <w:t>投标分项报价表（</w:t>
      </w:r>
      <w:r>
        <w:rPr>
          <w:rFonts w:ascii="仿宋_GB2312" w:eastAsia="仿宋_GB2312"/>
        </w:rPr>
        <w:t>投标文件</w:t>
      </w:r>
      <w:r>
        <w:rPr>
          <w:rFonts w:hint="eastAsia" w:ascii="仿宋_GB2312" w:eastAsia="仿宋_GB2312"/>
        </w:rPr>
        <w:t>格式七）</w:t>
      </w:r>
      <w:r>
        <w:tab/>
      </w:r>
      <w:r>
        <w:fldChar w:fldCharType="begin"/>
      </w:r>
      <w:r>
        <w:instrText xml:space="preserve"> PAGEREF _Toc10388 </w:instrText>
      </w:r>
      <w:r>
        <w:fldChar w:fldCharType="separate"/>
      </w:r>
      <w:r>
        <w:t>30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_Toc32398 </w:instrText>
      </w:r>
      <w:r>
        <w:rPr>
          <w:rFonts w:hAnsi="宋体" w:cs="宋体"/>
          <w:kern w:val="0"/>
          <w:szCs w:val="21"/>
        </w:rPr>
        <w:fldChar w:fldCharType="separate"/>
      </w:r>
      <w:r>
        <w:rPr>
          <w:rFonts w:ascii="仿宋_GB2312" w:eastAsia="仿宋_GB2312"/>
        </w:rPr>
        <w:t xml:space="preserve">4   </w:t>
      </w:r>
      <w:r>
        <w:rPr>
          <w:rFonts w:hint="eastAsia" w:ascii="仿宋_GB2312" w:eastAsia="仿宋_GB2312"/>
        </w:rPr>
        <w:t>货物说明一览表（</w:t>
      </w:r>
      <w:r>
        <w:rPr>
          <w:rFonts w:ascii="仿宋_GB2312" w:eastAsia="仿宋_GB2312"/>
        </w:rPr>
        <w:t>投标文件</w:t>
      </w:r>
      <w:r>
        <w:rPr>
          <w:rFonts w:hint="eastAsia" w:ascii="仿宋_GB2312" w:eastAsia="仿宋_GB2312"/>
        </w:rPr>
        <w:t>格式八）</w:t>
      </w:r>
      <w:r>
        <w:tab/>
      </w:r>
      <w:r>
        <w:fldChar w:fldCharType="begin"/>
      </w:r>
      <w:r>
        <w:instrText xml:space="preserve"> PAGEREF _Toc32398 </w:instrText>
      </w:r>
      <w:r>
        <w:fldChar w:fldCharType="separate"/>
      </w:r>
      <w:r>
        <w:t>31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_Toc29780 </w:instrText>
      </w:r>
      <w:r>
        <w:rPr>
          <w:rFonts w:hAnsi="宋体" w:cs="宋体"/>
          <w:kern w:val="0"/>
          <w:szCs w:val="21"/>
        </w:rPr>
        <w:fldChar w:fldCharType="separate"/>
      </w:r>
      <w:r>
        <w:rPr>
          <w:rFonts w:ascii="仿宋_GB2312" w:eastAsia="仿宋_GB2312"/>
        </w:rPr>
        <w:t>5</w:t>
      </w:r>
      <w:r>
        <w:rPr>
          <w:rFonts w:hint="eastAsia" w:ascii="仿宋_GB2312" w:eastAsia="仿宋_GB2312"/>
        </w:rPr>
        <w:t xml:space="preserve">   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_Toc29780 </w:instrText>
      </w:r>
      <w:r>
        <w:fldChar w:fldCharType="separate"/>
      </w:r>
      <w:r>
        <w:t>32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_Toc28374 </w:instrText>
      </w:r>
      <w:r>
        <w:rPr>
          <w:rFonts w:hAnsi="宋体" w:cs="宋体"/>
          <w:kern w:val="0"/>
          <w:szCs w:val="21"/>
        </w:rPr>
        <w:fldChar w:fldCharType="separate"/>
      </w:r>
      <w:r>
        <w:rPr>
          <w:rFonts w:ascii="仿宋_GB2312" w:eastAsia="仿宋_GB2312"/>
        </w:rPr>
        <w:t>6</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格式十）</w:t>
      </w:r>
      <w:r>
        <w:tab/>
      </w:r>
      <w:r>
        <w:fldChar w:fldCharType="begin"/>
      </w:r>
      <w:r>
        <w:instrText xml:space="preserve"> PAGEREF _Toc28374 </w:instrText>
      </w:r>
      <w:r>
        <w:fldChar w:fldCharType="separate"/>
      </w:r>
      <w:r>
        <w:t>33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_Toc25347 </w:instrText>
      </w:r>
      <w:r>
        <w:rPr>
          <w:rFonts w:hAnsi="宋体" w:cs="宋体"/>
          <w:kern w:val="0"/>
          <w:szCs w:val="21"/>
        </w:rPr>
        <w:fldChar w:fldCharType="separate"/>
      </w:r>
      <w:r>
        <w:rPr>
          <w:rFonts w:ascii="仿宋_GB2312" w:eastAsia="仿宋_GB2312"/>
        </w:rPr>
        <w:t>7-1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格式十一）</w:t>
      </w:r>
      <w:r>
        <w:tab/>
      </w:r>
      <w:r>
        <w:fldChar w:fldCharType="begin"/>
      </w:r>
      <w:r>
        <w:instrText xml:space="preserve"> PAGEREF _Toc25347 </w:instrText>
      </w:r>
      <w:r>
        <w:fldChar w:fldCharType="separate"/>
      </w:r>
      <w:r>
        <w:t>34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_Toc13776 </w:instrText>
      </w:r>
      <w:r>
        <w:rPr>
          <w:rFonts w:hAnsi="宋体" w:cs="宋体"/>
          <w:kern w:val="0"/>
          <w:szCs w:val="21"/>
        </w:rPr>
        <w:fldChar w:fldCharType="separate"/>
      </w:r>
      <w:r>
        <w:rPr>
          <w:rFonts w:ascii="仿宋_GB2312" w:eastAsia="仿宋_GB2312"/>
        </w:rPr>
        <w:t xml:space="preserve">7-2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格式十二）</w:t>
      </w:r>
      <w:r>
        <w:tab/>
      </w:r>
      <w:r>
        <w:fldChar w:fldCharType="begin"/>
      </w:r>
      <w:r>
        <w:instrText xml:space="preserve"> PAGEREF _Toc13776 </w:instrText>
      </w:r>
      <w:r>
        <w:fldChar w:fldCharType="separate"/>
      </w:r>
      <w:r>
        <w:t>35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_Toc24603 </w:instrText>
      </w:r>
      <w:r>
        <w:rPr>
          <w:rFonts w:hAnsi="宋体" w:cs="宋体"/>
          <w:kern w:val="0"/>
          <w:szCs w:val="21"/>
        </w:rPr>
        <w:fldChar w:fldCharType="separate"/>
      </w:r>
      <w:r>
        <w:rPr>
          <w:rFonts w:ascii="仿宋_GB2312" w:eastAsia="仿宋_GB2312"/>
        </w:rPr>
        <w:t xml:space="preserve">7-3   </w:t>
      </w:r>
      <w:r>
        <w:rPr>
          <w:rFonts w:hint="eastAsia" w:ascii="仿宋_GB2312" w:eastAsia="仿宋_GB2312"/>
        </w:rPr>
        <w:t>残疾人福利性单位声明函（</w:t>
      </w:r>
      <w:r>
        <w:rPr>
          <w:rFonts w:ascii="仿宋_GB2312" w:eastAsia="仿宋_GB2312"/>
        </w:rPr>
        <w:t>投标文件</w:t>
      </w:r>
      <w:r>
        <w:rPr>
          <w:rFonts w:hint="eastAsia" w:ascii="仿宋_GB2312" w:eastAsia="仿宋_GB2312"/>
        </w:rPr>
        <w:t>格式十三）</w:t>
      </w:r>
      <w:r>
        <w:tab/>
      </w:r>
      <w:r>
        <w:fldChar w:fldCharType="begin"/>
      </w:r>
      <w:r>
        <w:instrText xml:space="preserve"> PAGEREF _Toc24603 </w:instrText>
      </w:r>
      <w:r>
        <w:fldChar w:fldCharType="separate"/>
      </w:r>
      <w:r>
        <w:t>36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_Toc10002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_Toc10002 </w:instrText>
      </w:r>
      <w:r>
        <w:fldChar w:fldCharType="separate"/>
      </w:r>
      <w:r>
        <w:t>37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_Toc14039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投标文件还应包括投标人须知第10条的所有技术文件</w:t>
      </w:r>
      <w:r>
        <w:tab/>
      </w:r>
      <w:r>
        <w:fldChar w:fldCharType="begin"/>
      </w:r>
      <w:r>
        <w:instrText xml:space="preserve"> PAGEREF _Toc14039 </w:instrText>
      </w:r>
      <w:r>
        <w:fldChar w:fldCharType="separate"/>
      </w:r>
      <w:r>
        <w:t>38</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_Toc30462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fldChar w:fldCharType="begin"/>
      </w:r>
      <w:r>
        <w:instrText xml:space="preserve"> PAGEREF _Toc30462 </w:instrText>
      </w:r>
      <w:r>
        <w:fldChar w:fldCharType="separate"/>
      </w:r>
      <w:r>
        <w:t>40</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_Toc20439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_Toc20439 </w:instrText>
      </w:r>
      <w:r>
        <w:fldChar w:fldCharType="separate"/>
      </w:r>
      <w:r>
        <w:t>43</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_Toc22779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货物需求一览表及技术规格</w:t>
      </w:r>
      <w:r>
        <w:tab/>
      </w:r>
      <w:r>
        <w:fldChar w:fldCharType="begin"/>
      </w:r>
      <w:r>
        <w:instrText xml:space="preserve"> PAGEREF _Toc22779 </w:instrText>
      </w:r>
      <w:r>
        <w:fldChar w:fldCharType="separate"/>
      </w:r>
      <w:r>
        <w:t>48</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_Toc23331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_Toc23331 </w:instrText>
      </w:r>
      <w:r>
        <w:fldChar w:fldCharType="separate"/>
      </w:r>
      <w:r>
        <w:t>51</w:t>
      </w:r>
      <w:r>
        <w:fldChar w:fldCharType="end"/>
      </w:r>
      <w:r>
        <w:rPr>
          <w:rFonts w:hAnsi="宋体" w:cs="宋体"/>
          <w:kern w:val="0"/>
          <w:szCs w:val="21"/>
        </w:rPr>
        <w:fldChar w:fldCharType="end"/>
      </w:r>
    </w:p>
    <w:p>
      <w:pPr>
        <w:pStyle w:val="12"/>
        <w:tabs>
          <w:tab w:val="right" w:leader="dot" w:pos="8312"/>
        </w:tabs>
        <w:rPr>
          <w:rFonts w:hAnsi="宋体" w:cs="宋体"/>
          <w:kern w:val="0"/>
          <w:szCs w:val="21"/>
        </w:rPr>
      </w:pPr>
      <w:r>
        <w:rPr>
          <w:rFonts w:hAnsi="宋体" w:cs="宋体"/>
          <w:kern w:val="0"/>
          <w:szCs w:val="21"/>
        </w:rPr>
        <w:fldChar w:fldCharType="begin"/>
      </w:r>
      <w:r>
        <w:rPr>
          <w:rFonts w:hAnsi="宋体" w:cs="宋体"/>
          <w:kern w:val="0"/>
          <w:szCs w:val="21"/>
        </w:rPr>
        <w:instrText xml:space="preserve"> HYPERLINK \l _Toc4337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w:t>
      </w:r>
      <w:r>
        <w:tab/>
      </w:r>
      <w:r>
        <w:fldChar w:fldCharType="begin"/>
      </w:r>
      <w:r>
        <w:instrText xml:space="preserve"> PAGEREF _Toc4337 </w:instrText>
      </w:r>
      <w:r>
        <w:fldChar w:fldCharType="separate"/>
      </w:r>
      <w:r>
        <w:t>55</w:t>
      </w:r>
      <w:r>
        <w:fldChar w:fldCharType="end"/>
      </w:r>
      <w:r>
        <w:rPr>
          <w:rFonts w:hAnsi="宋体" w:cs="宋体"/>
          <w:kern w:val="0"/>
          <w:szCs w:val="21"/>
        </w:rPr>
        <w:fldChar w:fldCharType="end"/>
      </w:r>
    </w:p>
    <w:p>
      <w:pPr>
        <w:sectPr>
          <w:headerReference r:id="rId3" w:type="default"/>
          <w:footerReference r:id="rId4" w:type="default"/>
          <w:pgSz w:w="11906" w:h="16838"/>
          <w:pgMar w:top="1440" w:right="1134" w:bottom="1440" w:left="1134" w:header="851" w:footer="992" w:gutter="0"/>
          <w:pgNumType w:start="1"/>
          <w:cols w:space="720" w:num="1"/>
          <w:docGrid w:type="linesAndChars" w:linePitch="312" w:charSpace="0"/>
        </w:sectPr>
      </w:pPr>
    </w:p>
    <w:p>
      <w:pPr>
        <w:pStyle w:val="3"/>
        <w:numPr>
          <w:ilvl w:val="0"/>
          <w:numId w:val="1"/>
        </w:numPr>
        <w:tabs>
          <w:tab w:val="left" w:pos="0"/>
          <w:tab w:val="clear" w:pos="3134"/>
        </w:tabs>
        <w:spacing w:before="0" w:after="0" w:line="240" w:lineRule="atLeast"/>
        <w:ind w:hanging="3134"/>
        <w:rPr>
          <w:rFonts w:hint="eastAsia" w:ascii="仿宋_GB2312" w:eastAsia="仿宋_GB2312"/>
        </w:rPr>
      </w:pPr>
      <w:r>
        <w:rPr>
          <w:rFonts w:hAnsi="宋体" w:cs="宋体"/>
          <w:kern w:val="0"/>
          <w:szCs w:val="21"/>
        </w:rPr>
        <w:fldChar w:fldCharType="end"/>
      </w:r>
      <w:bookmarkStart w:id="0" w:name="_Toc22782"/>
      <w:bookmarkStart w:id="1" w:name="_Toc17230"/>
      <w:bookmarkStart w:id="2" w:name="_Toc25817"/>
      <w:bookmarkStart w:id="3" w:name="_Toc216582804"/>
      <w:r>
        <w:rPr>
          <w:rFonts w:ascii="仿宋_GB2312" w:eastAsia="仿宋_GB2312"/>
        </w:rPr>
        <w:t xml:space="preserve"> </w:t>
      </w:r>
      <w:r>
        <w:rPr>
          <w:rFonts w:hint="eastAsia" w:ascii="仿宋_GB2312" w:eastAsia="仿宋_GB2312"/>
        </w:rPr>
        <w:t xml:space="preserve"> </w:t>
      </w:r>
      <w:bookmarkStart w:id="4" w:name="_Toc515647756"/>
      <w:r>
        <w:rPr>
          <w:rFonts w:hint="eastAsia" w:ascii="仿宋_GB2312" w:eastAsia="仿宋_GB2312"/>
        </w:rPr>
        <w:t>投标人须知</w:t>
      </w:r>
      <w:bookmarkEnd w:id="0"/>
      <w:bookmarkEnd w:id="1"/>
      <w:bookmarkEnd w:id="2"/>
      <w:bookmarkEnd w:id="3"/>
      <w:bookmarkEnd w:id="4"/>
    </w:p>
    <w:p>
      <w:pPr>
        <w:pStyle w:val="4"/>
        <w:spacing w:before="0" w:line="240" w:lineRule="atLeast"/>
        <w:ind w:left="1079" w:leftChars="257" w:hanging="540"/>
        <w:rPr>
          <w:rFonts w:hint="eastAsia" w:ascii="仿宋_GB2312" w:hAnsi="宋体" w:eastAsia="仿宋_GB2312"/>
          <w:sz w:val="28"/>
        </w:rPr>
      </w:pPr>
      <w:bookmarkStart w:id="5" w:name="_Toc216582805"/>
      <w:bookmarkStart w:id="6" w:name="_Toc520356143"/>
      <w:bookmarkStart w:id="7" w:name="_Toc515647757"/>
      <w:bookmarkStart w:id="8" w:name="_Toc22145"/>
      <w:bookmarkStart w:id="9" w:name="_Toc21215"/>
      <w:bookmarkStart w:id="10" w:name="_Toc21015"/>
      <w:r>
        <w:rPr>
          <w:rFonts w:hint="eastAsia" w:ascii="仿宋_GB2312" w:hAnsi="宋体" w:eastAsia="仿宋_GB2312"/>
          <w:sz w:val="28"/>
        </w:rPr>
        <w:t xml:space="preserve">一   </w:t>
      </w:r>
      <w:bookmarkEnd w:id="5"/>
      <w:bookmarkEnd w:id="6"/>
      <w:bookmarkEnd w:id="7"/>
      <w:r>
        <w:rPr>
          <w:rFonts w:hint="eastAsia" w:ascii="仿宋_GB2312" w:hAnsi="宋体" w:eastAsia="仿宋_GB2312"/>
          <w:sz w:val="28"/>
        </w:rPr>
        <w:t>总 则</w:t>
      </w:r>
      <w:bookmarkEnd w:id="8"/>
      <w:bookmarkEnd w:id="9"/>
      <w:bookmarkEnd w:id="10"/>
    </w:p>
    <w:p>
      <w:pPr>
        <w:pStyle w:val="6"/>
        <w:rPr>
          <w:rFonts w:hint="eastAsia"/>
        </w:rPr>
      </w:pPr>
    </w:p>
    <w:p>
      <w:pPr>
        <w:pStyle w:val="5"/>
        <w:spacing w:before="0" w:after="0" w:line="240" w:lineRule="atLeast"/>
        <w:rPr>
          <w:rFonts w:ascii="仿宋_GB2312" w:hAnsi="宋体" w:eastAsia="仿宋_GB2312"/>
          <w:u w:val="none"/>
        </w:rPr>
      </w:pPr>
      <w:bookmarkStart w:id="11" w:name="_Toc520356144"/>
      <w:bookmarkStart w:id="12" w:name="_Toc32623"/>
      <w:bookmarkStart w:id="13" w:name="_Toc5999"/>
      <w:bookmarkStart w:id="14" w:name="_Toc515647758"/>
      <w:bookmarkStart w:id="15" w:name="_Toc32189"/>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11"/>
      <w:r>
        <w:rPr>
          <w:rFonts w:hint="eastAsia" w:ascii="仿宋_GB2312" w:hAnsi="宋体" w:eastAsia="仿宋_GB2312"/>
          <w:u w:val="none"/>
        </w:rPr>
        <w:t>投标人</w:t>
      </w:r>
      <w:bookmarkEnd w:id="12"/>
      <w:bookmarkEnd w:id="13"/>
      <w:bookmarkEnd w:id="14"/>
      <w:bookmarkEnd w:id="15"/>
    </w:p>
    <w:p>
      <w:pPr>
        <w:numPr>
          <w:ilvl w:val="1"/>
          <w:numId w:val="2"/>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的国家机</w:t>
      </w:r>
      <w:r>
        <w:rPr>
          <w:rFonts w:hint="eastAsia" w:ascii="仿宋_GB2312" w:hAnsi="宋体" w:eastAsia="仿宋_GB2312"/>
          <w:sz w:val="24"/>
        </w:rPr>
        <w:t>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采购代理机构：是指在集中采购机构或从事采购代理业务的社会中介机构。本项目的采购代理机构见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投标人及其投标货物须满足以下条件：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中写明允许采购进口产品，投标人应保证所投产品可履行合法报通关手续进入中国关境内。</w:t>
      </w:r>
    </w:p>
    <w:p>
      <w:pPr>
        <w:spacing w:line="240" w:lineRule="atLeast"/>
        <w:ind w:left="898" w:leftChars="428"/>
        <w:rPr>
          <w:rFonts w:hint="eastAsia" w:ascii="仿宋_GB2312" w:hAnsi="宋体" w:eastAsia="仿宋_GB2312"/>
          <w:sz w:val="24"/>
        </w:rPr>
      </w:pPr>
      <w:r>
        <w:rPr>
          <w:rFonts w:hint="eastAsia" w:ascii="仿宋_GB2312" w:hAnsi="宋体" w:eastAsia="仿宋_GB2312"/>
          <w:sz w:val="24"/>
        </w:rPr>
        <w:t>若</w:t>
      </w:r>
      <w:r>
        <w:rPr>
          <w:rFonts w:hint="eastAsia" w:ascii="仿宋_GB2312" w:hAnsi="宋体" w:eastAsia="仿宋_GB2312"/>
          <w:sz w:val="24"/>
          <w:u w:val="single"/>
        </w:rPr>
        <w:t>投标人须知资料表</w:t>
      </w:r>
      <w:r>
        <w:rPr>
          <w:rFonts w:hint="eastAsia" w:ascii="仿宋_GB2312" w:hAnsi="宋体" w:eastAsia="仿宋_GB2312"/>
          <w:sz w:val="24"/>
        </w:rPr>
        <w:t>中未写明允许采购进口产品，如投标人所投产品为进口产品，其投标将被认定为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840" w:hanging="840" w:hangingChars="35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w:t>
      </w:r>
      <w:r>
        <w:rPr>
          <w:rFonts w:ascii="仿宋_GB2312" w:hAnsi="宋体" w:eastAsia="仿宋_GB2312"/>
          <w:sz w:val="24"/>
        </w:rPr>
        <w:t>非中小企业</w:t>
      </w:r>
      <w:r>
        <w:rPr>
          <w:rFonts w:hint="eastAsia" w:ascii="仿宋_GB2312" w:hAnsi="宋体" w:eastAsia="仿宋_GB2312"/>
          <w:sz w:val="24"/>
        </w:rPr>
        <w:t>且所投产品为非中小企业产品，其投标将被认定为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w:t>
      </w:r>
      <w:r>
        <w:rPr>
          <w:rFonts w:hint="eastAsia" w:ascii="仿宋_GB2312" w:hAnsi="宋体" w:eastAsia="仿宋_GB2312"/>
          <w:sz w:val="24"/>
        </w:rPr>
        <w:t>较低的</w:t>
      </w:r>
      <w:r>
        <w:rPr>
          <w:rFonts w:ascii="仿宋_GB2312" w:hAnsi="宋体" w:eastAsia="仿宋_GB2312"/>
          <w:sz w:val="24"/>
        </w:rPr>
        <w:t>资质等级确定</w:t>
      </w:r>
      <w:r>
        <w:rPr>
          <w:rFonts w:hint="eastAsia" w:ascii="仿宋_GB2312" w:hAnsi="宋体" w:eastAsia="仿宋_GB2312"/>
          <w:sz w:val="24"/>
        </w:rPr>
        <w:t>联合体的</w:t>
      </w:r>
      <w:r>
        <w:rPr>
          <w:rFonts w:ascii="仿宋_GB2312" w:hAnsi="宋体" w:eastAsia="仿宋_GB2312"/>
          <w:sz w:val="24"/>
        </w:rPr>
        <w:t>资质等级。</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w:t>
      </w:r>
      <w:r>
        <w:rPr>
          <w:rFonts w:hint="eastAsia" w:ascii="仿宋_GB2312" w:hAnsi="宋体" w:eastAsia="仿宋_GB2312"/>
          <w:sz w:val="24"/>
          <w:highlight w:val="none"/>
        </w:rPr>
        <w:t>的供应商，不得再参加本项目上述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pPr>
        <w:pStyle w:val="5"/>
        <w:spacing w:before="0" w:after="0" w:line="240" w:lineRule="atLeast"/>
        <w:rPr>
          <w:rFonts w:hint="eastAsia" w:ascii="仿宋_GB2312" w:hAnsi="宋体" w:eastAsia="仿宋_GB2312"/>
          <w:u w:val="none"/>
        </w:rPr>
      </w:pPr>
      <w:bookmarkStart w:id="16" w:name="_Toc12139"/>
      <w:bookmarkStart w:id="17" w:name="_Toc515647759"/>
      <w:bookmarkStart w:id="18" w:name="_Toc4322"/>
      <w:bookmarkStart w:id="19" w:name="_Toc5286"/>
      <w:r>
        <w:rPr>
          <w:rFonts w:hint="eastAsia" w:ascii="仿宋_GB2312" w:hAnsi="宋体" w:eastAsia="仿宋_GB2312"/>
          <w:u w:val="none"/>
        </w:rPr>
        <w:t>2.资金来源</w:t>
      </w:r>
      <w:bookmarkEnd w:id="16"/>
      <w:bookmarkEnd w:id="17"/>
      <w:bookmarkEnd w:id="18"/>
      <w:bookmarkEnd w:id="1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20" w:name="_Toc515647760"/>
      <w:bookmarkStart w:id="21" w:name="_Toc15936"/>
      <w:bookmarkStart w:id="22" w:name="_Toc520356145"/>
      <w:bookmarkStart w:id="23" w:name="_Toc20526"/>
      <w:bookmarkStart w:id="24" w:name="_Toc13828"/>
      <w:r>
        <w:rPr>
          <w:rFonts w:hint="eastAsia" w:ascii="仿宋_GB2312" w:hAnsi="宋体" w:eastAsia="仿宋_GB2312"/>
          <w:u w:val="none"/>
        </w:rPr>
        <w:t>3.投标费用</w:t>
      </w:r>
      <w:bookmarkEnd w:id="20"/>
      <w:bookmarkEnd w:id="21"/>
      <w:bookmarkEnd w:id="22"/>
      <w:bookmarkEnd w:id="23"/>
      <w:bookmarkEnd w:id="24"/>
    </w:p>
    <w:p>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pPr>
        <w:pStyle w:val="5"/>
        <w:spacing w:before="0" w:after="0" w:line="240" w:lineRule="atLeast"/>
        <w:rPr>
          <w:rFonts w:hint="eastAsia" w:ascii="仿宋_GB2312" w:hAnsi="宋体" w:eastAsia="仿宋_GB2312"/>
          <w:u w:val="none"/>
        </w:rPr>
      </w:pPr>
      <w:bookmarkStart w:id="25" w:name="_Toc515647761"/>
      <w:bookmarkStart w:id="26" w:name="_Toc32665"/>
      <w:bookmarkStart w:id="27" w:name="_Toc4463"/>
      <w:bookmarkStart w:id="28" w:name="_Toc6116"/>
      <w:r>
        <w:rPr>
          <w:rFonts w:hint="eastAsia" w:ascii="仿宋_GB2312" w:hAnsi="宋体" w:eastAsia="仿宋_GB2312"/>
          <w:u w:val="none"/>
        </w:rPr>
        <w:t>4.适用法律</w:t>
      </w:r>
      <w:bookmarkEnd w:id="25"/>
      <w:bookmarkEnd w:id="26"/>
      <w:bookmarkEnd w:id="27"/>
      <w:bookmarkEnd w:id="28"/>
    </w:p>
    <w:p>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pPr>
        <w:spacing w:line="240" w:lineRule="atLeast"/>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8"/>
        </w:rPr>
      </w:pPr>
      <w:bookmarkStart w:id="29" w:name="_Toc21566"/>
      <w:bookmarkStart w:id="30" w:name="_Toc515647762"/>
      <w:bookmarkStart w:id="31" w:name="_Toc28572"/>
      <w:bookmarkStart w:id="32" w:name="_Toc520356146"/>
      <w:bookmarkStart w:id="33" w:name="_Toc216582806"/>
      <w:bookmarkStart w:id="34" w:name="_Toc4365"/>
      <w:r>
        <w:rPr>
          <w:rFonts w:hint="eastAsia" w:ascii="仿宋_GB2312" w:eastAsia="仿宋_GB2312"/>
          <w:sz w:val="28"/>
        </w:rPr>
        <w:t>二   招标文件</w:t>
      </w:r>
      <w:bookmarkEnd w:id="29"/>
      <w:bookmarkEnd w:id="30"/>
      <w:bookmarkEnd w:id="31"/>
      <w:bookmarkEnd w:id="32"/>
      <w:bookmarkEnd w:id="33"/>
      <w:bookmarkEnd w:id="34"/>
    </w:p>
    <w:p>
      <w:pPr>
        <w:pStyle w:val="6"/>
        <w:rPr>
          <w:rFonts w:hint="eastAsia"/>
        </w:rPr>
      </w:pPr>
    </w:p>
    <w:p>
      <w:pPr>
        <w:pStyle w:val="5"/>
        <w:spacing w:before="0" w:after="0" w:line="240" w:lineRule="atLeast"/>
        <w:rPr>
          <w:rFonts w:ascii="仿宋_GB2312" w:hAnsi="宋体" w:eastAsia="仿宋_GB2312"/>
          <w:u w:val="none"/>
        </w:rPr>
      </w:pPr>
      <w:bookmarkStart w:id="35" w:name="_Toc14084"/>
      <w:bookmarkStart w:id="36" w:name="_Toc520356147"/>
      <w:bookmarkStart w:id="37" w:name="_Toc25743"/>
      <w:bookmarkStart w:id="38" w:name="_Toc4671"/>
      <w:bookmarkStart w:id="39" w:name="_Toc515647763"/>
      <w:r>
        <w:rPr>
          <w:rFonts w:hint="eastAsia" w:ascii="仿宋_GB2312" w:hAnsi="宋体" w:eastAsia="仿宋_GB2312"/>
          <w:u w:val="none"/>
        </w:rPr>
        <w:t>5.招标文件构成</w:t>
      </w:r>
      <w:bookmarkEnd w:id="35"/>
      <w:bookmarkEnd w:id="36"/>
      <w:bookmarkEnd w:id="37"/>
      <w:bookmarkEnd w:id="38"/>
      <w:bookmarkEnd w:id="3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pPr>
        <w:numPr>
          <w:ilvl w:val="0"/>
          <w:numId w:val="3"/>
        </w:numPr>
        <w:tabs>
          <w:tab w:val="left" w:pos="0"/>
        </w:tabs>
        <w:spacing w:line="240" w:lineRule="atLeast"/>
        <w:ind w:hanging="829"/>
        <w:rPr>
          <w:rFonts w:hint="eastAsia" w:ascii="仿宋_GB2312" w:hAnsi="宋体" w:eastAsia="仿宋_GB2312"/>
          <w:sz w:val="24"/>
        </w:rPr>
      </w:pPr>
      <w:r>
        <w:rPr>
          <w:rFonts w:hint="eastAsia" w:ascii="仿宋_GB2312" w:hAnsi="宋体" w:eastAsia="仿宋_GB2312"/>
          <w:sz w:val="24"/>
        </w:rPr>
        <w:t xml:space="preserve"> 投标人须知</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投标文件格式</w:t>
      </w:r>
    </w:p>
    <w:p>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货物需求一览表及技术规格</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pPr>
        <w:numPr>
          <w:ilvl w:val="0"/>
          <w:numId w:val="3"/>
        </w:numPr>
        <w:spacing w:line="240" w:lineRule="atLeast"/>
        <w:ind w:left="718" w:leftChars="342" w:firstLine="240" w:firstLineChars="100"/>
        <w:rPr>
          <w:rFonts w:hint="eastAsia"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40" w:name="_Toc515904805"/>
      <w:bookmarkStart w:id="41" w:name="_Toc520356148"/>
      <w:bookmarkStart w:id="42" w:name="_Toc26044"/>
      <w:bookmarkStart w:id="43" w:name="_Toc9232"/>
      <w:bookmarkStart w:id="44" w:name="_Toc1922"/>
      <w:r>
        <w:rPr>
          <w:rFonts w:hint="eastAsia" w:ascii="仿宋_GB2312" w:hAnsi="宋体" w:eastAsia="仿宋_GB2312"/>
          <w:u w:val="none"/>
        </w:rPr>
        <w:t>6.招标文件的澄清</w:t>
      </w:r>
      <w:bookmarkEnd w:id="40"/>
      <w:bookmarkEnd w:id="41"/>
      <w:r>
        <w:rPr>
          <w:rFonts w:hint="eastAsia" w:ascii="仿宋_GB2312" w:hAnsi="宋体" w:eastAsia="仿宋_GB2312"/>
          <w:u w:val="none"/>
        </w:rPr>
        <w:t>与</w:t>
      </w:r>
      <w:r>
        <w:rPr>
          <w:rFonts w:ascii="仿宋_GB2312" w:hAnsi="宋体" w:eastAsia="仿宋_GB2312"/>
          <w:u w:val="none"/>
        </w:rPr>
        <w:t>修改</w:t>
      </w:r>
      <w:bookmarkEnd w:id="42"/>
      <w:bookmarkEnd w:id="43"/>
      <w:bookmarkEnd w:id="44"/>
    </w:p>
    <w:p>
      <w:pPr>
        <w:pStyle w:val="6"/>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pPr>
        <w:pStyle w:val="6"/>
        <w:ind w:left="840" w:hanging="840" w:hangingChars="350"/>
        <w:rPr>
          <w:rFonts w:hint="eastAsia" w:ascii="仿宋" w:hAnsi="仿宋" w:eastAsia="仿宋"/>
          <w:szCs w:val="24"/>
        </w:rPr>
      </w:pPr>
      <w:bookmarkStart w:id="45" w:name="_Ref467378678"/>
      <w:bookmarkStart w:id="46" w:name="_Toc515904806"/>
      <w:bookmarkStart w:id="47"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采购人可主动地或在解答投标人提出的澄清问题时对招标文件进行澄清或修改。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的方式</w:t>
      </w:r>
      <w:r>
        <w:rPr>
          <w:rFonts w:ascii="仿宋" w:hAnsi="仿宋" w:eastAsia="仿宋"/>
          <w:szCs w:val="24"/>
        </w:rPr>
        <w:t>，</w:t>
      </w:r>
      <w:r>
        <w:rPr>
          <w:rFonts w:hint="eastAsia" w:ascii="仿宋" w:hAnsi="仿宋" w:eastAsia="仿宋"/>
          <w:szCs w:val="24"/>
        </w:rPr>
        <w:t>澄清或修改招标文件，澄清或修改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pPr>
        <w:pStyle w:val="6"/>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w:t>
      </w:r>
      <w:r>
        <w:rPr>
          <w:rFonts w:hint="eastAsia" w:ascii="仿宋" w:hAnsi="仿宋" w:eastAsia="仿宋"/>
          <w:szCs w:val="24"/>
        </w:rPr>
        <w:t>采购</w:t>
      </w:r>
      <w:r>
        <w:rPr>
          <w:rFonts w:ascii="仿宋" w:hAnsi="仿宋" w:eastAsia="仿宋"/>
          <w:szCs w:val="24"/>
        </w:rPr>
        <w:t>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pPr>
        <w:pStyle w:val="5"/>
        <w:tabs>
          <w:tab w:val="left" w:pos="900"/>
        </w:tabs>
        <w:spacing w:before="0" w:after="0" w:line="240" w:lineRule="atLeast"/>
        <w:rPr>
          <w:rFonts w:hint="eastAsia" w:ascii="仿宋_GB2312" w:hAnsi="宋体" w:eastAsia="仿宋_GB2312"/>
          <w:u w:val="none"/>
        </w:rPr>
      </w:pPr>
      <w:bookmarkStart w:id="48" w:name="_Toc14569"/>
      <w:bookmarkStart w:id="49" w:name="_Toc12448"/>
      <w:bookmarkStart w:id="50" w:name="_Toc25635"/>
      <w:r>
        <w:rPr>
          <w:rFonts w:hint="eastAsia" w:ascii="仿宋_GB2312" w:hAnsi="宋体" w:eastAsia="仿宋_GB2312"/>
          <w:u w:val="none"/>
        </w:rPr>
        <w:t>7</w:t>
      </w:r>
      <w:bookmarkEnd w:id="45"/>
      <w:bookmarkEnd w:id="46"/>
      <w:bookmarkEnd w:id="47"/>
      <w:r>
        <w:rPr>
          <w:rFonts w:hint="eastAsia" w:ascii="仿宋_GB2312" w:hAnsi="宋体" w:eastAsia="仿宋_GB2312"/>
          <w:u w:val="none"/>
        </w:rPr>
        <w:t>.投标截止</w:t>
      </w:r>
      <w:r>
        <w:rPr>
          <w:rFonts w:ascii="仿宋_GB2312" w:hAnsi="宋体" w:eastAsia="仿宋_GB2312"/>
          <w:u w:val="none"/>
        </w:rPr>
        <w:t>时间的顺延</w:t>
      </w:r>
      <w:bookmarkEnd w:id="48"/>
      <w:bookmarkEnd w:id="49"/>
      <w:bookmarkEnd w:id="50"/>
    </w:p>
    <w:p>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修改部分进行研究，采购人将依法决定是否顺延投标截止时间。</w:t>
      </w:r>
    </w:p>
    <w:p>
      <w:pPr>
        <w:spacing w:line="240" w:lineRule="atLeast"/>
        <w:ind w:left="900" w:hanging="900" w:hangingChars="375"/>
        <w:rPr>
          <w:rFonts w:hint="eastAsia" w:ascii="仿宋_GB2312" w:hAnsi="宋体" w:eastAsia="仿宋_GB2312"/>
          <w:sz w:val="24"/>
        </w:rPr>
      </w:pPr>
    </w:p>
    <w:p>
      <w:pPr>
        <w:pStyle w:val="4"/>
        <w:tabs>
          <w:tab w:val="left" w:pos="900"/>
        </w:tabs>
        <w:spacing w:before="0" w:line="240" w:lineRule="atLeast"/>
        <w:ind w:left="1079" w:leftChars="257" w:hanging="540"/>
        <w:rPr>
          <w:rFonts w:hint="eastAsia" w:ascii="仿宋_GB2312" w:hAnsi="宋体" w:eastAsia="仿宋_GB2312"/>
          <w:sz w:val="28"/>
        </w:rPr>
      </w:pPr>
      <w:bookmarkStart w:id="51" w:name="_Toc516367020"/>
      <w:bookmarkStart w:id="52" w:name="_Toc7636"/>
      <w:bookmarkStart w:id="53" w:name="_Toc30808"/>
      <w:bookmarkStart w:id="54" w:name="_Toc515647766"/>
      <w:bookmarkStart w:id="55" w:name="_Toc520356150"/>
      <w:bookmarkStart w:id="56" w:name="_Toc31039"/>
      <w:bookmarkStart w:id="57" w:name="_Toc216582807"/>
      <w:r>
        <w:rPr>
          <w:rFonts w:hint="eastAsia" w:ascii="仿宋_GB2312" w:hAnsi="宋体" w:eastAsia="仿宋_GB2312"/>
          <w:sz w:val="28"/>
        </w:rPr>
        <w:t>三   投标文件</w:t>
      </w:r>
      <w:bookmarkEnd w:id="51"/>
      <w:r>
        <w:rPr>
          <w:rFonts w:hint="eastAsia" w:ascii="仿宋_GB2312" w:hAnsi="宋体" w:eastAsia="仿宋_GB2312"/>
          <w:sz w:val="28"/>
        </w:rPr>
        <w:t>的编制</w:t>
      </w:r>
      <w:bookmarkEnd w:id="52"/>
      <w:bookmarkEnd w:id="53"/>
      <w:bookmarkEnd w:id="54"/>
      <w:bookmarkEnd w:id="55"/>
      <w:bookmarkEnd w:id="56"/>
      <w:bookmarkEnd w:id="57"/>
    </w:p>
    <w:p>
      <w:pPr>
        <w:pStyle w:val="6"/>
        <w:rPr>
          <w:rFonts w:hint="eastAsia"/>
        </w:rPr>
      </w:pPr>
    </w:p>
    <w:p>
      <w:pPr>
        <w:pStyle w:val="5"/>
        <w:tabs>
          <w:tab w:val="left" w:pos="900"/>
        </w:tabs>
        <w:spacing w:before="0" w:after="0" w:line="240" w:lineRule="atLeast"/>
        <w:rPr>
          <w:rFonts w:ascii="仿宋_GB2312" w:hAnsi="宋体" w:eastAsia="仿宋_GB2312"/>
          <w:u w:val="none"/>
        </w:rPr>
      </w:pPr>
      <w:bookmarkStart w:id="58" w:name="_Toc520356151"/>
      <w:bookmarkStart w:id="59" w:name="_Toc7786"/>
      <w:bookmarkStart w:id="60" w:name="_Toc3553"/>
      <w:bookmarkStart w:id="61" w:name="_Toc30570"/>
      <w:bookmarkStart w:id="62" w:name="_Toc515647767"/>
      <w:bookmarkStart w:id="63" w:name="_Toc516367021"/>
      <w:r>
        <w:rPr>
          <w:rFonts w:hint="eastAsia" w:ascii="仿宋_GB2312" w:hAnsi="宋体" w:eastAsia="仿宋_GB2312"/>
          <w:u w:val="none"/>
        </w:rPr>
        <w:t>8</w:t>
      </w:r>
      <w:r>
        <w:rPr>
          <w:rFonts w:ascii="仿宋_GB2312" w:hAnsi="宋体" w:eastAsia="仿宋_GB2312"/>
          <w:u w:val="none"/>
        </w:rPr>
        <w:t>.</w:t>
      </w:r>
      <w:r>
        <w:rPr>
          <w:rFonts w:hint="eastAsia" w:ascii="仿宋_GB2312" w:hAnsi="宋体" w:eastAsia="仿宋_GB2312"/>
          <w:u w:val="none"/>
        </w:rPr>
        <w:t>投标范围及投标文件中标准和计量单位的使用</w:t>
      </w:r>
      <w:bookmarkEnd w:id="58"/>
      <w:bookmarkEnd w:id="59"/>
      <w:bookmarkEnd w:id="60"/>
      <w:bookmarkEnd w:id="61"/>
      <w:bookmarkEnd w:id="62"/>
      <w:bookmarkEnd w:id="63"/>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投标人可对招标文件其中某一个或几个分包货物进行投标，除非在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8.2     投标人应当</w:t>
      </w:r>
      <w:r>
        <w:rPr>
          <w:rFonts w:ascii="仿宋_GB2312" w:hAnsi="宋体" w:eastAsia="仿宋_GB2312"/>
          <w:sz w:val="24"/>
        </w:rPr>
        <w:t>对所投分包</w:t>
      </w:r>
      <w:r>
        <w:rPr>
          <w:rFonts w:hint="eastAsia" w:ascii="仿宋_GB2312" w:hAnsi="宋体" w:eastAsia="仿宋_GB2312"/>
          <w:sz w:val="24"/>
        </w:rPr>
        <w:t>招标文件中“服务需求”所列的所有内容进行投标，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某一包中的部分内容</w:t>
      </w:r>
      <w:r>
        <w:rPr>
          <w:rFonts w:ascii="仿宋_GB2312" w:hAnsi="宋体" w:eastAsia="仿宋_GB2312"/>
          <w:sz w:val="24"/>
        </w:rPr>
        <w:t>，其</w:t>
      </w:r>
      <w:r>
        <w:rPr>
          <w:rFonts w:hint="eastAsia" w:ascii="仿宋_GB2312" w:hAnsi="宋体" w:eastAsia="仿宋_GB2312"/>
          <w:sz w:val="24"/>
        </w:rPr>
        <w:t>该包</w:t>
      </w:r>
      <w:r>
        <w:rPr>
          <w:rFonts w:ascii="仿宋_GB2312" w:hAnsi="宋体" w:eastAsia="仿宋_GB2312"/>
          <w:sz w:val="24"/>
        </w:rPr>
        <w:t>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8.3</w:t>
      </w:r>
      <w:r>
        <w:rPr>
          <w:rFonts w:ascii="仿宋_GB2312" w:hAnsi="宋体" w:eastAsia="仿宋_GB2312"/>
          <w:sz w:val="24"/>
        </w:rPr>
        <w:t xml:space="preserve">     </w:t>
      </w:r>
      <w:r>
        <w:rPr>
          <w:rFonts w:hint="eastAsia" w:ascii="仿宋_GB2312" w:hAnsi="宋体" w:eastAsia="仿宋_GB2312"/>
          <w:sz w:val="24"/>
        </w:rPr>
        <w:t>无论招标文件第5章货物需求一览表及技术规格中是否要求，投标人所投货物均应符合国家强制性标准。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8.4     除招标文件中有特殊要求外，投标文件中所使用的计量单位，应采用中华人民共和国法定计量单位。</w:t>
      </w:r>
    </w:p>
    <w:p>
      <w:pPr>
        <w:pStyle w:val="5"/>
        <w:tabs>
          <w:tab w:val="left" w:pos="900"/>
        </w:tabs>
        <w:spacing w:before="0" w:after="0" w:line="240" w:lineRule="atLeast"/>
        <w:rPr>
          <w:rFonts w:ascii="仿宋_GB2312" w:hAnsi="宋体" w:eastAsia="仿宋_GB2312"/>
          <w:u w:val="none"/>
        </w:rPr>
      </w:pPr>
      <w:bookmarkStart w:id="64" w:name="_Toc516367022"/>
      <w:bookmarkStart w:id="65" w:name="_Ref467306676"/>
      <w:bookmarkStart w:id="66" w:name="_Ref467306195"/>
      <w:bookmarkStart w:id="67" w:name="_Toc520356152"/>
      <w:bookmarkStart w:id="68" w:name="_Toc18692"/>
      <w:bookmarkStart w:id="69" w:name="_Toc10364"/>
      <w:bookmarkStart w:id="70" w:name="_Toc515647768"/>
      <w:bookmarkStart w:id="71" w:name="_Toc28307"/>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64"/>
      <w:bookmarkEnd w:id="65"/>
      <w:bookmarkEnd w:id="66"/>
      <w:r>
        <w:rPr>
          <w:rFonts w:hint="eastAsia" w:ascii="仿宋_GB2312" w:hAnsi="宋体" w:eastAsia="仿宋_GB2312"/>
          <w:u w:val="none"/>
        </w:rPr>
        <w:t>构成</w:t>
      </w:r>
      <w:bookmarkEnd w:id="67"/>
      <w:bookmarkEnd w:id="68"/>
      <w:bookmarkEnd w:id="69"/>
      <w:bookmarkEnd w:id="70"/>
      <w:bookmarkEnd w:id="71"/>
    </w:p>
    <w:p>
      <w:pPr>
        <w:tabs>
          <w:tab w:val="left" w:pos="900"/>
          <w:tab w:val="left" w:pos="5580"/>
        </w:tabs>
        <w:spacing w:line="240" w:lineRule="atLeast"/>
        <w:ind w:left="960" w:hanging="960" w:hangingChars="400"/>
        <w:jc w:val="left"/>
        <w:rPr>
          <w:rFonts w:hint="eastAsia" w:ascii="仿宋_GB2312" w:hAnsi="宋体" w:eastAsia="仿宋_GB2312"/>
          <w:sz w:val="24"/>
          <w:u w:val="single"/>
        </w:rPr>
      </w:pPr>
      <w:bookmarkStart w:id="72" w:name="_Ref467052588"/>
      <w:r>
        <w:rPr>
          <w:rFonts w:hint="eastAsia" w:ascii="仿宋_GB2312" w:hAnsi="宋体" w:eastAsia="仿宋_GB2312"/>
          <w:sz w:val="24"/>
        </w:rPr>
        <w:t>9</w:t>
      </w:r>
      <w:r>
        <w:rPr>
          <w:rFonts w:ascii="仿宋_GB2312" w:hAnsi="宋体" w:eastAsia="仿宋_GB2312"/>
          <w:sz w:val="24"/>
        </w:rPr>
        <w:t xml:space="preserve">.1     </w:t>
      </w:r>
      <w:r>
        <w:rPr>
          <w:rFonts w:hint="eastAsia" w:ascii="仿宋_GB2312" w:hAnsi="宋体" w:eastAsia="仿宋_GB2312"/>
          <w:sz w:val="24"/>
          <w:u w:val="single"/>
        </w:rPr>
        <w:t>投标人应完整地按招标文件提供的投标文件格式及要求</w:t>
      </w:r>
      <w:r>
        <w:rPr>
          <w:rFonts w:hint="eastAsia" w:ascii="仿宋_GB2312" w:hAnsi="宋体" w:eastAsia="仿宋_GB2312"/>
          <w:sz w:val="24"/>
          <w:u w:val="single"/>
          <w:lang w:eastAsia="zh-CN"/>
        </w:rPr>
        <w:t>编</w:t>
      </w:r>
      <w:r>
        <w:rPr>
          <w:rFonts w:hint="eastAsia" w:ascii="仿宋_GB2312" w:hAnsi="宋体" w:eastAsia="仿宋_GB2312"/>
          <w:sz w:val="24"/>
          <w:u w:val="single"/>
        </w:rPr>
        <w:t>写投标文件，投标文件应包括</w:t>
      </w:r>
      <w:r>
        <w:rPr>
          <w:rFonts w:ascii="仿宋_GB2312" w:hAnsi="宋体" w:eastAsia="仿宋_GB2312"/>
          <w:sz w:val="24"/>
          <w:u w:val="single"/>
        </w:rPr>
        <w:t>“</w:t>
      </w:r>
      <w:r>
        <w:rPr>
          <w:rFonts w:hint="eastAsia" w:ascii="仿宋_GB2312" w:hAnsi="宋体" w:eastAsia="仿宋_GB2312"/>
          <w:sz w:val="24"/>
          <w:u w:val="single"/>
        </w:rPr>
        <w:t>开标一览表及资格证明文件</w:t>
      </w:r>
      <w:r>
        <w:rPr>
          <w:rFonts w:ascii="仿宋_GB2312" w:hAnsi="宋体" w:eastAsia="仿宋_GB2312"/>
          <w:sz w:val="24"/>
          <w:u w:val="single"/>
        </w:rPr>
        <w:t>”</w:t>
      </w:r>
      <w:r>
        <w:rPr>
          <w:rFonts w:hint="eastAsia" w:ascii="仿宋_GB2312" w:hAnsi="宋体" w:eastAsia="仿宋_GB2312"/>
          <w:sz w:val="24"/>
          <w:u w:val="single"/>
        </w:rPr>
        <w:t>和“商务及</w:t>
      </w:r>
      <w:r>
        <w:rPr>
          <w:rFonts w:ascii="仿宋_GB2312" w:hAnsi="宋体" w:eastAsia="仿宋_GB2312"/>
          <w:sz w:val="24"/>
          <w:u w:val="single"/>
        </w:rPr>
        <w:t>技术</w:t>
      </w:r>
      <w:r>
        <w:rPr>
          <w:rFonts w:hint="eastAsia" w:ascii="仿宋_GB2312" w:hAnsi="宋体" w:eastAsia="仿宋_GB2312"/>
          <w:sz w:val="24"/>
          <w:u w:val="single"/>
        </w:rPr>
        <w:t>文件”两部分。两部分单独装订</w:t>
      </w:r>
      <w:r>
        <w:rPr>
          <w:rFonts w:ascii="仿宋_GB2312" w:hAnsi="宋体" w:eastAsia="仿宋_GB2312"/>
          <w:sz w:val="24"/>
          <w:u w:val="single"/>
        </w:rPr>
        <w:t>成册，</w:t>
      </w:r>
      <w:r>
        <w:rPr>
          <w:rFonts w:hint="eastAsia" w:ascii="仿宋_GB2312" w:hAnsi="宋体" w:eastAsia="仿宋_GB2312"/>
          <w:sz w:val="24"/>
          <w:u w:val="single"/>
        </w:rPr>
        <w:t>分别密封</w:t>
      </w:r>
      <w:r>
        <w:rPr>
          <w:rFonts w:ascii="仿宋_GB2312" w:hAnsi="宋体" w:eastAsia="仿宋_GB2312"/>
          <w:sz w:val="24"/>
          <w:u w:val="single"/>
        </w:rPr>
        <w:t>递交。</w:t>
      </w:r>
      <w:r>
        <w:rPr>
          <w:rFonts w:hint="eastAsia" w:ascii="仿宋_GB2312" w:hAnsi="宋体" w:eastAsia="仿宋_GB2312"/>
          <w:sz w:val="24"/>
          <w:u w:val="single"/>
          <w:lang w:eastAsia="zh-CN"/>
        </w:rPr>
        <w:t>若</w:t>
      </w:r>
      <w:r>
        <w:rPr>
          <w:rFonts w:ascii="仿宋_GB2312" w:hAnsi="宋体" w:eastAsia="仿宋_GB2312"/>
          <w:sz w:val="24"/>
          <w:u w:val="single"/>
        </w:rPr>
        <w:t>投标人</w:t>
      </w:r>
      <w:r>
        <w:rPr>
          <w:rFonts w:hint="eastAsia" w:ascii="仿宋_GB2312" w:hAnsi="宋体" w:eastAsia="仿宋_GB2312"/>
          <w:sz w:val="24"/>
          <w:u w:val="single"/>
        </w:rPr>
        <w:t>应封</w:t>
      </w:r>
      <w:r>
        <w:rPr>
          <w:rFonts w:ascii="仿宋_GB2312" w:hAnsi="宋体" w:eastAsia="仿宋_GB2312"/>
          <w:sz w:val="24"/>
          <w:u w:val="single"/>
        </w:rPr>
        <w:t>装失误</w:t>
      </w:r>
      <w:r>
        <w:rPr>
          <w:rFonts w:hint="eastAsia" w:ascii="仿宋_GB2312" w:hAnsi="宋体" w:eastAsia="仿宋_GB2312"/>
          <w:sz w:val="24"/>
          <w:u w:val="single"/>
          <w:lang w:eastAsia="zh-CN"/>
        </w:rPr>
        <w:t>，此次投标做废标处理或代理机构拒收投标文件且投标单位自行承担投标所产生的费用</w:t>
      </w:r>
      <w:r>
        <w:rPr>
          <w:rFonts w:hint="eastAsia" w:ascii="仿宋_GB2312" w:hAnsi="宋体" w:eastAsia="仿宋_GB2312"/>
          <w:sz w:val="24"/>
          <w:u w:val="single"/>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w:t>
      </w:r>
    </w:p>
    <w:bookmarkEnd w:id="72"/>
    <w:p>
      <w:pPr>
        <w:pStyle w:val="5"/>
        <w:tabs>
          <w:tab w:val="left" w:pos="900"/>
        </w:tabs>
        <w:spacing w:before="0" w:after="0" w:line="240" w:lineRule="atLeast"/>
        <w:rPr>
          <w:rFonts w:ascii="仿宋_GB2312" w:hAnsi="宋体" w:eastAsia="仿宋_GB2312"/>
          <w:highlight w:val="none"/>
          <w:u w:val="none"/>
        </w:rPr>
      </w:pPr>
      <w:bookmarkStart w:id="73" w:name="_Toc515647769"/>
      <w:bookmarkStart w:id="74" w:name="_Toc520356153"/>
      <w:bookmarkStart w:id="75" w:name="_Toc10379"/>
      <w:bookmarkStart w:id="76" w:name="_Toc516367023"/>
      <w:bookmarkStart w:id="77" w:name="_Toc13143"/>
      <w:bookmarkStart w:id="78" w:name="_Toc4601"/>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证明投标标的的合格性和符合招标文件规定的技术文件</w:t>
      </w:r>
      <w:bookmarkEnd w:id="73"/>
      <w:bookmarkEnd w:id="74"/>
      <w:bookmarkEnd w:id="75"/>
      <w:bookmarkEnd w:id="76"/>
      <w:bookmarkEnd w:id="77"/>
      <w:bookmarkEnd w:id="7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投标人应提交证明文件，证明其投标内容符合招标文件规定。该证明文件是投标文件的一部分。</w:t>
      </w:r>
    </w:p>
    <w:p>
      <w:pPr>
        <w:spacing w:line="240" w:lineRule="atLeast"/>
        <w:ind w:left="900" w:hanging="900" w:hangingChars="375"/>
        <w:rPr>
          <w:rFonts w:ascii="仿宋_GB2312" w:hAnsi="宋体" w:eastAsia="仿宋_GB2312"/>
          <w:sz w:val="24"/>
        </w:rPr>
      </w:pPr>
      <w:bookmarkStart w:id="79"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79"/>
      <w:r>
        <w:rPr>
          <w:rFonts w:hint="eastAsia" w:ascii="仿宋_GB2312" w:hAnsi="宋体" w:eastAsia="仿宋_GB2312"/>
          <w:sz w:val="24"/>
        </w:rPr>
        <w:t>它包括：</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.2.1</w:t>
      </w:r>
      <w:r>
        <w:rPr>
          <w:rFonts w:ascii="仿宋_GB2312" w:hAnsi="宋体" w:eastAsia="仿宋_GB2312"/>
          <w:sz w:val="24"/>
        </w:rPr>
        <w:tab/>
      </w:r>
      <w:r>
        <w:rPr>
          <w:rFonts w:hint="eastAsia" w:ascii="仿宋_GB2312" w:hAnsi="宋体" w:eastAsia="仿宋_GB2312"/>
          <w:sz w:val="24"/>
        </w:rPr>
        <w:t>货物主要技术指标和性能的详细说明；</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.2.2</w:t>
      </w:r>
      <w:r>
        <w:rPr>
          <w:rFonts w:ascii="仿宋_GB2312" w:hAnsi="宋体" w:eastAsia="仿宋_GB2312"/>
          <w:sz w:val="24"/>
        </w:rPr>
        <w:tab/>
      </w:r>
      <w:r>
        <w:rPr>
          <w:rFonts w:hint="eastAsia" w:ascii="仿宋_GB2312" w:hAnsi="宋体" w:eastAsia="仿宋_GB2312"/>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.2.3</w:t>
      </w:r>
      <w:r>
        <w:rPr>
          <w:rFonts w:ascii="仿宋_GB2312" w:hAnsi="宋体" w:eastAsia="仿宋_GB2312"/>
          <w:sz w:val="24"/>
        </w:rPr>
        <w:tab/>
      </w:r>
      <w:r>
        <w:rPr>
          <w:rFonts w:hint="eastAsia" w:ascii="仿宋_GB2312" w:hAnsi="宋体" w:eastAsia="仿宋_GB2312"/>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ascii="仿宋_GB2312" w:hAnsi="宋体" w:eastAsia="仿宋_GB2312"/>
          <w:sz w:val="24"/>
          <w:highlight w:val="none"/>
        </w:rPr>
        <w:t>采购代理机构</w:t>
      </w:r>
      <w:r>
        <w:rPr>
          <w:rFonts w:hint="eastAsia" w:ascii="仿宋_GB2312" w:hAnsi="宋体" w:eastAsia="仿宋_GB2312"/>
          <w:sz w:val="24"/>
          <w:highlight w:val="none"/>
        </w:rPr>
        <w:t>承诺不以上述参照品牌型号或分类号作为评标时判定其</w:t>
      </w:r>
      <w:r>
        <w:rPr>
          <w:rFonts w:ascii="仿宋_GB2312" w:hAnsi="宋体" w:eastAsia="仿宋_GB2312"/>
          <w:sz w:val="24"/>
          <w:highlight w:val="none"/>
        </w:rPr>
        <w:t>投标是否有效</w:t>
      </w:r>
      <w:r>
        <w:rPr>
          <w:rFonts w:hint="eastAsia" w:ascii="仿宋_GB2312" w:hAnsi="宋体" w:eastAsia="仿宋_GB2312"/>
          <w:sz w:val="24"/>
          <w:highlight w:val="none"/>
        </w:rPr>
        <w:t>的标准。</w:t>
      </w:r>
    </w:p>
    <w:p>
      <w:pPr>
        <w:spacing w:line="240" w:lineRule="atLeast"/>
        <w:ind w:left="900" w:hanging="900" w:hangingChars="375"/>
        <w:rPr>
          <w:rFonts w:hint="eastAsia" w:ascii="仿宋_GB2312" w:hAnsi="宋体" w:eastAsia="仿宋_GB2312"/>
          <w:sz w:val="24"/>
        </w:rPr>
      </w:pPr>
    </w:p>
    <w:p>
      <w:pPr>
        <w:pStyle w:val="5"/>
        <w:spacing w:before="0" w:after="0" w:line="240" w:lineRule="atLeast"/>
        <w:rPr>
          <w:rFonts w:hint="eastAsia" w:ascii="仿宋_GB2312" w:hAnsi="宋体" w:eastAsia="仿宋_GB2312"/>
          <w:u w:val="none"/>
        </w:rPr>
      </w:pPr>
      <w:bookmarkStart w:id="80" w:name="_Toc2248"/>
      <w:bookmarkStart w:id="81" w:name="_Toc515647770"/>
      <w:bookmarkStart w:id="82" w:name="_Toc520356155"/>
      <w:bookmarkStart w:id="83" w:name="_Toc23231"/>
      <w:bookmarkStart w:id="84" w:name="_Toc19624"/>
      <w:r>
        <w:rPr>
          <w:rFonts w:ascii="仿宋_GB2312" w:hAnsi="宋体" w:eastAsia="仿宋_GB2312"/>
          <w:u w:val="none"/>
        </w:rPr>
        <w:t>1</w:t>
      </w:r>
      <w:r>
        <w:rPr>
          <w:rFonts w:hint="eastAsia" w:ascii="仿宋_GB2312" w:hAnsi="宋体" w:eastAsia="仿宋_GB2312"/>
          <w:u w:val="none"/>
        </w:rPr>
        <w:t>1.投标报价</w:t>
      </w:r>
      <w:bookmarkEnd w:id="80"/>
      <w:bookmarkEnd w:id="81"/>
      <w:bookmarkEnd w:id="82"/>
      <w:bookmarkEnd w:id="83"/>
      <w:bookmarkEnd w:id="84"/>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》第二条的规定，为保证公平竞争，如有货物主体部分的赠与行为，其投标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投标人应在投标分项报价表上标明投标货物及相关服务的单价（如适用）和总价，并由法定代表人或其授权代表签署。</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投标分项报价表上的价格应按下列方式填写：</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11.3.2  货物运至最终目的地的运输费和保险费用。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投标人所报的各分项投标单价在合同履行过程中是固定不变的，不得以任何理由予以变更。任何包含价格调整要求的投标，</w:t>
      </w:r>
      <w:r>
        <w:rPr>
          <w:rFonts w:hint="eastAsia" w:ascii="仿宋_GB2312"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每种货物只能有一个投标报价。采购人不接受具有附加条件的报价。</w:t>
      </w:r>
    </w:p>
    <w:p>
      <w:pPr>
        <w:pStyle w:val="5"/>
        <w:spacing w:before="0" w:after="0" w:line="240" w:lineRule="atLeast"/>
        <w:rPr>
          <w:rFonts w:ascii="仿宋_GB2312" w:hAnsi="宋体" w:eastAsia="仿宋_GB2312"/>
          <w:u w:val="none"/>
        </w:rPr>
      </w:pPr>
      <w:bookmarkStart w:id="85" w:name="_Toc11514"/>
      <w:bookmarkStart w:id="86" w:name="_Toc17788"/>
      <w:bookmarkStart w:id="87" w:name="_Toc520356156"/>
      <w:bookmarkStart w:id="88" w:name="_Toc22212"/>
      <w:bookmarkStart w:id="89" w:name="_Toc515647771"/>
      <w:bookmarkStart w:id="90" w:name="_Ref467306513"/>
      <w:r>
        <w:rPr>
          <w:rFonts w:ascii="仿宋_GB2312" w:hAnsi="宋体" w:eastAsia="仿宋_GB2312"/>
          <w:u w:val="none"/>
        </w:rPr>
        <w:t>1</w:t>
      </w:r>
      <w:r>
        <w:rPr>
          <w:rFonts w:hint="eastAsia" w:ascii="仿宋_GB2312" w:hAnsi="宋体" w:eastAsia="仿宋_GB2312"/>
          <w:u w:val="none"/>
        </w:rPr>
        <w:t>2.投标保证金</w:t>
      </w:r>
      <w:bookmarkEnd w:id="85"/>
      <w:bookmarkEnd w:id="86"/>
      <w:bookmarkEnd w:id="87"/>
      <w:bookmarkEnd w:id="88"/>
      <w:bookmarkEnd w:id="89"/>
      <w:bookmarkEnd w:id="90"/>
    </w:p>
    <w:p>
      <w:pPr>
        <w:spacing w:line="240" w:lineRule="atLeast"/>
        <w:ind w:left="900" w:hanging="900" w:hangingChars="375"/>
        <w:rPr>
          <w:rFonts w:hint="eastAsia" w:ascii="仿宋_GB2312" w:hAnsi="宋体" w:eastAsia="仿宋_GB2312"/>
          <w:sz w:val="24"/>
        </w:rPr>
      </w:pPr>
      <w:bookmarkStart w:id="91"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91"/>
      <w:r>
        <w:rPr>
          <w:rFonts w:hint="eastAsia" w:ascii="仿宋_GB2312" w:hAnsi="宋体" w:eastAsia="仿宋_GB2312"/>
          <w:sz w:val="24"/>
        </w:rPr>
        <w:t>，并作为其投标的一部分。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投标人存在下列情形的，投标保证金不予退还：</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（1）在投标有效期内，撤销投标的；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pPr>
        <w:pStyle w:val="9"/>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bookmarkStart w:id="92" w:name="_Ref467306336"/>
      <w:r>
        <w:rPr>
          <w:rFonts w:hint="eastAsia" w:ascii="仿宋_GB2312" w:hAnsi="宋体" w:eastAsia="仿宋_GB2312"/>
          <w:sz w:val="24"/>
        </w:rPr>
        <w:t>12.3</w:t>
      </w:r>
      <w:r>
        <w:rPr>
          <w:rFonts w:hint="eastAsia" w:ascii="仿宋_GB2312" w:hAnsi="宋体" w:eastAsia="仿宋_GB2312"/>
          <w:sz w:val="24"/>
        </w:rPr>
        <w:tab/>
      </w:r>
      <w:bookmarkEnd w:id="92"/>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rPr>
          <w:rFonts w:hint="eastAsia" w:ascii="仿宋_GB2312" w:hAnsi="宋体" w:eastAsia="仿宋_GB2312"/>
          <w:sz w:val="24"/>
        </w:rPr>
      </w:pPr>
      <w:r>
        <w:rPr>
          <w:rFonts w:hint="eastAsia" w:ascii="仿宋_GB2312" w:hAnsi="宋体" w:eastAsia="仿宋_GB2312"/>
          <w:sz w:val="24"/>
        </w:rPr>
        <w:t xml:space="preserve">12.4.1  </w:t>
      </w:r>
      <w:r>
        <w:rPr>
          <w:rFonts w:ascii="仿宋_GB2312" w:hAnsi="宋体" w:eastAsia="仿宋_GB2312"/>
          <w:sz w:val="24"/>
        </w:rPr>
        <w:t>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jc w:val="left"/>
        <w:rPr>
          <w:rFonts w:ascii="仿宋_GB2312" w:hAnsi="宋体" w:eastAsia="仿宋_GB2312"/>
          <w:sz w:val="24"/>
        </w:rPr>
      </w:pPr>
      <w:r>
        <w:rPr>
          <w:rFonts w:hint="eastAsia" w:ascii="仿宋_GB2312" w:hAnsi="宋体" w:eastAsia="仿宋_GB2312"/>
          <w:sz w:val="24"/>
        </w:rPr>
        <w:t xml:space="preserve">12.4.2  </w:t>
      </w:r>
      <w:r>
        <w:rPr>
          <w:rFonts w:ascii="仿宋_GB2312" w:hAnsi="宋体" w:eastAsia="仿宋_GB2312"/>
          <w:sz w:val="24"/>
        </w:rPr>
        <w:t>采用支票形式的</w:t>
      </w:r>
      <w:r>
        <w:rPr>
          <w:rFonts w:hint="eastAsia" w:ascii="仿宋_GB2312" w:hAnsi="宋体" w:eastAsia="仿宋_GB2312"/>
          <w:sz w:val="24"/>
        </w:rPr>
        <w:t>，投标人则</w:t>
      </w:r>
      <w:r>
        <w:rPr>
          <w:rFonts w:ascii="仿宋_GB2312" w:hAnsi="宋体" w:eastAsia="仿宋_GB2312"/>
          <w:sz w:val="24"/>
        </w:rPr>
        <w:t>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hint="eastAsia" w:ascii="仿宋_GB2312" w:hAnsi="宋体" w:eastAsia="仿宋_GB2312"/>
          <w:sz w:val="24"/>
        </w:rPr>
        <w:t>投标保证金的退还</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12.6.1  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12.6.2  未中标投标人的投标保证金将在中标通知书发出之日暨中标结果公告公布之日起5个工作日内无息退还。投标人应</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p>
    <w:p>
      <w:pPr>
        <w:spacing w:line="240" w:lineRule="atLeast"/>
        <w:rPr>
          <w:rFonts w:hint="eastAsia" w:ascii="仿宋_GB2312" w:hAnsi="宋体" w:eastAsia="仿宋_GB2312"/>
          <w:sz w:val="24"/>
        </w:rPr>
      </w:pPr>
      <w:r>
        <w:rPr>
          <w:rFonts w:hint="eastAsia" w:ascii="仿宋_GB2312" w:hAnsi="宋体" w:eastAsia="仿宋_GB2312"/>
          <w:sz w:val="24"/>
        </w:rPr>
        <w:t>12.6.3  政府采购投标担保函不予退回。</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 xml:space="preserve">12.7    </w:t>
      </w:r>
      <w:r>
        <w:rPr>
          <w:rFonts w:ascii="仿宋_GB2312" w:hAnsi="宋体" w:eastAsia="仿宋_GB2312"/>
          <w:sz w:val="24"/>
        </w:rPr>
        <w:t>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pStyle w:val="5"/>
        <w:spacing w:before="0" w:after="0" w:line="240" w:lineRule="atLeast"/>
        <w:rPr>
          <w:rFonts w:ascii="仿宋_GB2312" w:hAnsi="宋体" w:eastAsia="仿宋_GB2312"/>
          <w:u w:val="none"/>
        </w:rPr>
      </w:pPr>
      <w:bookmarkStart w:id="93" w:name="_Toc515647772"/>
      <w:bookmarkStart w:id="94" w:name="_Toc23590"/>
      <w:bookmarkStart w:id="95" w:name="_Toc32569"/>
      <w:bookmarkStart w:id="96" w:name="_Toc520356157"/>
      <w:bookmarkStart w:id="97" w:name="_Toc22901"/>
      <w:r>
        <w:rPr>
          <w:rFonts w:hint="eastAsia" w:ascii="仿宋_GB2312" w:hAnsi="宋体" w:eastAsia="仿宋_GB2312"/>
          <w:u w:val="none"/>
        </w:rPr>
        <w:t>13.投标有效期</w:t>
      </w:r>
      <w:bookmarkEnd w:id="93"/>
      <w:bookmarkEnd w:id="94"/>
      <w:bookmarkEnd w:id="95"/>
      <w:bookmarkEnd w:id="96"/>
      <w:bookmarkEnd w:id="97"/>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5"/>
        <w:spacing w:before="0" w:after="0" w:line="240" w:lineRule="atLeast"/>
        <w:rPr>
          <w:rFonts w:ascii="仿宋_GB2312" w:hAnsi="宋体" w:eastAsia="仿宋_GB2312"/>
          <w:u w:val="none"/>
        </w:rPr>
      </w:pPr>
      <w:bookmarkStart w:id="98" w:name="_Toc520356158"/>
      <w:bookmarkStart w:id="99" w:name="_Toc515647773"/>
      <w:bookmarkStart w:id="100" w:name="_Toc17609"/>
      <w:bookmarkStart w:id="101" w:name="_Toc17074"/>
      <w:bookmarkStart w:id="102" w:name="_Toc493"/>
      <w:r>
        <w:rPr>
          <w:rFonts w:hint="eastAsia" w:ascii="仿宋_GB2312" w:hAnsi="宋体" w:eastAsia="仿宋_GB2312"/>
          <w:u w:val="none"/>
        </w:rPr>
        <w:t>14.投标文件的签署</w:t>
      </w:r>
      <w:bookmarkEnd w:id="98"/>
      <w:r>
        <w:rPr>
          <w:rFonts w:hint="eastAsia" w:ascii="仿宋_GB2312" w:hAnsi="宋体" w:eastAsia="仿宋_GB2312"/>
          <w:u w:val="none"/>
        </w:rPr>
        <w:t>及规定</w:t>
      </w:r>
      <w:bookmarkEnd w:id="99"/>
      <w:bookmarkEnd w:id="100"/>
      <w:bookmarkEnd w:id="101"/>
      <w:bookmarkEnd w:id="102"/>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03" w:name="_Toc216582808"/>
      <w:bookmarkStart w:id="104" w:name="_Toc11179"/>
      <w:bookmarkStart w:id="105" w:name="_Toc25925"/>
      <w:bookmarkStart w:id="106" w:name="_Toc16865"/>
      <w:bookmarkStart w:id="107" w:name="_Toc515647774"/>
      <w:bookmarkStart w:id="108" w:name="_Toc520356159"/>
      <w:r>
        <w:rPr>
          <w:rFonts w:hint="eastAsia" w:ascii="仿宋_GB2312" w:hAnsi="宋体" w:eastAsia="仿宋_GB2312"/>
          <w:sz w:val="24"/>
        </w:rPr>
        <w:t>四   投标文件的递交</w:t>
      </w:r>
      <w:bookmarkEnd w:id="103"/>
      <w:bookmarkEnd w:id="104"/>
      <w:bookmarkEnd w:id="105"/>
      <w:bookmarkEnd w:id="106"/>
      <w:bookmarkEnd w:id="107"/>
      <w:bookmarkEnd w:id="108"/>
    </w:p>
    <w:p>
      <w:pPr>
        <w:pStyle w:val="6"/>
        <w:rPr>
          <w:rFonts w:hint="eastAsia"/>
        </w:rPr>
      </w:pPr>
    </w:p>
    <w:p>
      <w:pPr>
        <w:pStyle w:val="5"/>
        <w:spacing w:before="0" w:after="0" w:line="240" w:lineRule="atLeast"/>
        <w:rPr>
          <w:rFonts w:hint="eastAsia" w:ascii="仿宋_GB2312" w:hAnsi="宋体" w:eastAsia="仿宋_GB2312"/>
          <w:u w:val="none"/>
        </w:rPr>
      </w:pPr>
      <w:bookmarkStart w:id="109" w:name="_Toc515647775"/>
      <w:bookmarkStart w:id="110" w:name="_Toc32337"/>
      <w:bookmarkStart w:id="111" w:name="_Toc520356160"/>
      <w:bookmarkStart w:id="112" w:name="_Toc26195"/>
      <w:bookmarkStart w:id="113" w:name="_Toc21645"/>
      <w:r>
        <w:rPr>
          <w:rFonts w:hint="eastAsia" w:ascii="仿宋_GB2312" w:hAnsi="宋体" w:eastAsia="仿宋_GB2312"/>
          <w:u w:val="none"/>
        </w:rPr>
        <w:t>15.投标文件的密封和标记</w:t>
      </w:r>
      <w:bookmarkEnd w:id="109"/>
      <w:bookmarkEnd w:id="110"/>
      <w:bookmarkEnd w:id="111"/>
      <w:bookmarkEnd w:id="112"/>
      <w:bookmarkEnd w:id="11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15.1   为方便开标及进行资格审查，投标人应将投标文件第一部分和第二部分的内容分开单独密封提交，并在封皮正面标明“第一部分开标一览表及资格证明文件”或“第二部分商务及技术文件”字样。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15.2   所有包装封皮和信封上均应：</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（1）注明招标公告或投标邀请书中指明的项目名称、招标编号、投标人名称和“在（开标时间）之前不得启封”的字样。</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（2）在封口处加盖投标人单位章，或由法定代表人（或其委托代理人）签字。</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15.3    如果投标人未按上述要求密封的，将被拒绝接收。</w:t>
      </w:r>
    </w:p>
    <w:p>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rPr>
        <w:t xml:space="preserve">15.4   </w:t>
      </w:r>
      <w:r>
        <w:rPr>
          <w:rFonts w:hint="eastAsia" w:ascii="仿宋_GB2312" w:hAnsi="宋体" w:eastAsia="仿宋_GB2312"/>
          <w:b/>
          <w:sz w:val="24"/>
        </w:rPr>
        <w:t xml:space="preserve"> </w:t>
      </w:r>
      <w:r>
        <w:rPr>
          <w:rFonts w:ascii="仿宋_GB2312" w:hAnsi="宋体" w:eastAsia="仿宋_GB2312"/>
          <w:sz w:val="24"/>
          <w:u w:val="single"/>
        </w:rPr>
        <w:t>资格证明文件密封装订在其他投标文件中，其</w:t>
      </w:r>
      <w:r>
        <w:rPr>
          <w:rFonts w:hint="eastAsia" w:ascii="仿宋_GB2312" w:hAnsi="宋体" w:eastAsia="仿宋_GB2312"/>
          <w:sz w:val="24"/>
          <w:u w:val="single"/>
        </w:rPr>
        <w:t>投标将被认定为</w:t>
      </w:r>
      <w:r>
        <w:rPr>
          <w:rFonts w:hint="eastAsia" w:ascii="仿宋_GB2312" w:hAnsi="宋体" w:eastAsia="仿宋_GB2312"/>
          <w:bCs/>
          <w:sz w:val="24"/>
          <w:u w:val="single"/>
        </w:rPr>
        <w:t>投标无效</w:t>
      </w:r>
      <w:r>
        <w:rPr>
          <w:rFonts w:hint="eastAsia" w:ascii="仿宋_GB2312" w:hAnsi="宋体" w:eastAsia="仿宋_GB2312"/>
          <w:sz w:val="24"/>
          <w:u w:val="single"/>
        </w:rPr>
        <w:t>。</w:t>
      </w:r>
    </w:p>
    <w:p>
      <w:pPr>
        <w:pStyle w:val="5"/>
        <w:spacing w:before="0" w:after="0" w:line="240" w:lineRule="atLeast"/>
        <w:rPr>
          <w:rFonts w:ascii="仿宋_GB2312" w:hAnsi="宋体" w:eastAsia="仿宋_GB2312"/>
          <w:u w:val="none"/>
        </w:rPr>
      </w:pPr>
      <w:bookmarkStart w:id="114" w:name="_Toc515647776"/>
      <w:bookmarkStart w:id="115" w:name="_Toc24017"/>
      <w:bookmarkStart w:id="116" w:name="_Toc520356161"/>
      <w:bookmarkStart w:id="117" w:name="_Toc12751"/>
      <w:bookmarkStart w:id="118" w:name="_Toc9840"/>
      <w:r>
        <w:rPr>
          <w:rFonts w:hint="eastAsia" w:ascii="仿宋_GB2312" w:hAnsi="宋体" w:eastAsia="仿宋_GB2312"/>
          <w:u w:val="none"/>
        </w:rPr>
        <w:t>16.投标截止</w:t>
      </w:r>
      <w:bookmarkEnd w:id="114"/>
      <w:bookmarkEnd w:id="115"/>
      <w:bookmarkEnd w:id="116"/>
      <w:bookmarkEnd w:id="117"/>
      <w:bookmarkEnd w:id="11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w:t>
      </w:r>
      <w:r>
        <w:rPr>
          <w:rFonts w:hint="eastAsia" w:ascii="仿宋_GB2312" w:hAnsi="宋体" w:eastAsia="仿宋_GB2312"/>
          <w:sz w:val="24"/>
          <w:u w:val="single"/>
        </w:rPr>
        <w:t>投标人须知资料表中</w:t>
      </w:r>
      <w:r>
        <w:rPr>
          <w:rFonts w:hint="eastAsia" w:ascii="仿宋_GB2312" w:hAnsi="宋体" w:eastAsia="仿宋_GB2312"/>
          <w:sz w:val="24"/>
        </w:rPr>
        <w:t>规定的截止时间前，将投标文件递交到招标公告中规定的地点。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16.3</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将拒绝接收在投标截止时间后送达的投标文件。</w:t>
      </w:r>
    </w:p>
    <w:p>
      <w:pPr>
        <w:pStyle w:val="5"/>
        <w:spacing w:before="0" w:after="0" w:line="240" w:lineRule="atLeast"/>
        <w:rPr>
          <w:rFonts w:hint="eastAsia" w:ascii="仿宋_GB2312" w:hAnsi="宋体" w:eastAsia="仿宋_GB2312"/>
          <w:u w:val="none"/>
        </w:rPr>
      </w:pPr>
      <w:bookmarkStart w:id="119" w:name="_Toc18537"/>
      <w:bookmarkStart w:id="120" w:name="_Toc515647777"/>
      <w:bookmarkStart w:id="121" w:name="_Toc24275"/>
      <w:bookmarkStart w:id="122" w:name="_Toc24785"/>
      <w:bookmarkStart w:id="123" w:name="_Toc520356162"/>
      <w:r>
        <w:rPr>
          <w:rFonts w:hint="eastAsia" w:ascii="仿宋_GB2312" w:hAnsi="宋体" w:eastAsia="仿宋_GB2312"/>
          <w:u w:val="none"/>
        </w:rPr>
        <w:t>17.投标文件的接收、修改与撤回</w:t>
      </w:r>
      <w:bookmarkEnd w:id="119"/>
      <w:bookmarkEnd w:id="120"/>
      <w:bookmarkEnd w:id="121"/>
      <w:bookmarkEnd w:id="122"/>
      <w:bookmarkEnd w:id="123"/>
    </w:p>
    <w:p>
      <w:pPr>
        <w:spacing w:line="240" w:lineRule="atLeast"/>
        <w:ind w:left="900" w:hanging="900" w:hangingChars="375"/>
      </w:pPr>
      <w:r>
        <w:rPr>
          <w:rFonts w:hint="eastAsia" w:ascii="仿宋_GB2312" w:hAnsi="宋体" w:eastAsia="仿宋_GB2312"/>
          <w:sz w:val="24"/>
        </w:rPr>
        <w:t>17.1</w:t>
      </w:r>
      <w:r>
        <w:rPr>
          <w:rFonts w:hint="eastAsia" w:ascii="仿宋_GB2312" w:hAnsi="宋体" w:eastAsia="仿宋_GB2312"/>
          <w:sz w:val="24"/>
        </w:rPr>
        <w:tab/>
      </w:r>
      <w:r>
        <w:rPr>
          <w:rFonts w:hint="eastAsia" w:ascii="仿宋_GB2312" w:hAnsi="宋体" w:eastAsia="仿宋_GB2312"/>
          <w:sz w:val="24"/>
        </w:rPr>
        <w:t>在投标截止时间后送达的投标文件的，采购人和采购代理机构将拒绝接收。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hint="eastAsia" w:ascii="仿宋_GB2312" w:hAnsi="宋体" w:eastAsia="仿宋_GB2312"/>
          <w:sz w:val="24"/>
        </w:rPr>
      </w:pPr>
    </w:p>
    <w:p>
      <w:pPr>
        <w:spacing w:line="240" w:lineRule="atLeast"/>
        <w:ind w:left="957" w:leftChars="456" w:firstLine="1260" w:firstLineChars="525"/>
        <w:rPr>
          <w:rFonts w:hint="default" w:ascii="仿宋_GB2312" w:hAnsi="宋体" w:eastAsia="仿宋_GB2312"/>
          <w:sz w:val="24"/>
        </w:rPr>
      </w:pPr>
      <w:r>
        <w:rPr>
          <w:rFonts w:hint="default" w:ascii="仿宋_GB2312" w:hAnsi="宋体" w:eastAsia="仿宋_GB2312"/>
          <w:sz w:val="24"/>
        </w:rPr>
        <w:t>投标（响应）文件签收回执</w:t>
      </w:r>
    </w:p>
    <w:p>
      <w:pPr>
        <w:spacing w:line="240" w:lineRule="atLeast"/>
        <w:ind w:left="957" w:leftChars="456" w:firstLine="60" w:firstLineChars="25"/>
        <w:rPr>
          <w:rFonts w:hint="default" w:ascii="仿宋_GB2312" w:hAnsi="宋体" w:eastAsia="仿宋_GB2312"/>
          <w:sz w:val="24"/>
        </w:rPr>
      </w:pPr>
      <w:r>
        <w:rPr>
          <w:rFonts w:hint="default" w:ascii="仿宋_GB2312" w:hAnsi="宋体" w:eastAsia="仿宋_GB2312"/>
          <w:sz w:val="24"/>
          <w:lang w:val="en-US" w:eastAsia="zh-CN"/>
        </w:rPr>
        <w:t>________________：</w:t>
      </w:r>
    </w:p>
    <w:p>
      <w:pPr>
        <w:spacing w:line="240" w:lineRule="atLeast"/>
        <w:ind w:left="957" w:leftChars="456" w:firstLine="60" w:firstLineChars="25"/>
        <w:rPr>
          <w:rFonts w:ascii="仿宋_GB2312" w:hAnsi="宋体" w:eastAsia="仿宋_GB2312"/>
          <w:sz w:val="24"/>
        </w:rPr>
      </w:pPr>
      <w:r>
        <w:rPr>
          <w:rFonts w:hint="default" w:ascii="仿宋_GB2312" w:hAnsi="宋体" w:eastAsia="仿宋_GB2312"/>
          <w:sz w:val="24"/>
        </w:rPr>
        <w:t xml:space="preserve">我单位于投标截止时间前收到你公司投标（响应）文件一份，项目名称: </w:t>
      </w:r>
      <w:r>
        <w:rPr>
          <w:rFonts w:hint="default" w:ascii="仿宋_GB2312" w:hAnsi="宋体" w:eastAsia="仿宋_GB2312"/>
          <w:sz w:val="24"/>
          <w:u w:val="single"/>
        </w:rPr>
        <w:t> </w:t>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default" w:ascii="仿宋_GB2312" w:hAnsi="宋体" w:eastAsia="仿宋_GB2312"/>
          <w:sz w:val="24"/>
          <w:u w:val="single"/>
        </w:rPr>
        <w:t>物资</w:t>
      </w:r>
      <w:r>
        <w:rPr>
          <w:rFonts w:hint="default" w:ascii="仿宋_GB2312" w:hAnsi="宋体" w:eastAsia="仿宋_GB2312"/>
          <w:sz w:val="24"/>
        </w:rPr>
        <w:t>、核酸提取试剂采购项目 ，项目编号:</w:t>
      </w:r>
      <w:r>
        <w:rPr>
          <w:rFonts w:hint="default" w:ascii="仿宋_GB2312" w:hAnsi="宋体" w:eastAsia="仿宋_GB2312"/>
          <w:sz w:val="24"/>
          <w:u w:val="single"/>
        </w:rPr>
        <w:t xml:space="preserve">  </w:t>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default" w:ascii="仿宋_GB2312" w:hAnsi="宋体" w:eastAsia="仿宋_GB2312"/>
          <w:sz w:val="24"/>
        </w:rPr>
        <w:t> ，现予以签收。</w:t>
      </w:r>
    </w:p>
    <w:p>
      <w:pPr>
        <w:spacing w:line="240" w:lineRule="atLeast"/>
        <w:ind w:left="1197" w:leftChars="570" w:firstLine="6960" w:firstLineChars="2900"/>
        <w:jc w:val="right"/>
        <w:rPr>
          <w:rFonts w:ascii="仿宋_GB2312" w:hAnsi="宋体" w:eastAsia="仿宋_GB2312"/>
          <w:sz w:val="24"/>
        </w:rPr>
      </w:pPr>
      <w:r>
        <w:rPr>
          <w:rFonts w:hint="eastAsia" w:ascii="仿宋_GB2312" w:hAnsi="宋体" w:eastAsia="仿宋_GB2312"/>
          <w:sz w:val="24"/>
          <w:lang w:val="en-US" w:eastAsia="zh-CN"/>
        </w:rPr>
        <w:t xml:space="preserve"> </w:t>
      </w:r>
      <w:r>
        <w:rPr>
          <w:rFonts w:hint="default" w:ascii="仿宋_GB2312" w:hAnsi="宋体" w:eastAsia="仿宋_GB2312"/>
          <w:sz w:val="24"/>
        </w:rPr>
        <w:t>接收人（签字）：                      </w:t>
      </w:r>
    </w:p>
    <w:p>
      <w:pPr>
        <w:spacing w:line="240" w:lineRule="atLeast"/>
        <w:ind w:left="957" w:leftChars="456" w:firstLine="300" w:firstLineChars="125"/>
        <w:rPr>
          <w:rFonts w:hint="default" w:ascii="仿宋_GB2312" w:hAnsi="宋体" w:eastAsia="仿宋_GB2312"/>
          <w:sz w:val="24"/>
        </w:rPr>
      </w:pPr>
      <w:r>
        <w:rPr>
          <w:rFonts w:hint="default" w:ascii="仿宋_GB2312" w:hAnsi="宋体" w:eastAsia="仿宋_GB2312"/>
          <w:sz w:val="24"/>
        </w:rPr>
        <w:t>时间：年</w:t>
      </w:r>
      <w:r>
        <w:rPr>
          <w:rFonts w:hint="eastAsia" w:ascii="仿宋_GB2312" w:hAnsi="宋体" w:eastAsia="仿宋_GB2312"/>
          <w:sz w:val="24"/>
          <w:lang w:val="en-US" w:eastAsia="zh-CN"/>
        </w:rPr>
        <w:t xml:space="preserve"> </w:t>
      </w:r>
      <w:r>
        <w:rPr>
          <w:rFonts w:hint="default" w:ascii="仿宋_GB2312" w:hAnsi="宋体" w:eastAsia="仿宋_GB2312"/>
          <w:sz w:val="24"/>
        </w:rPr>
        <w:t>月</w:t>
      </w:r>
      <w:r>
        <w:rPr>
          <w:rFonts w:hint="eastAsia" w:ascii="仿宋_GB2312" w:hAnsi="宋体" w:eastAsia="仿宋_GB2312"/>
          <w:sz w:val="24"/>
          <w:lang w:val="en-US" w:eastAsia="zh-CN"/>
        </w:rPr>
        <w:t xml:space="preserve"> </w:t>
      </w:r>
      <w:r>
        <w:rPr>
          <w:rFonts w:hint="default" w:ascii="仿宋_GB2312" w:hAnsi="宋体" w:eastAsia="仿宋_GB2312"/>
          <w:sz w:val="24"/>
        </w:rPr>
        <w:t>日 </w:t>
      </w:r>
    </w:p>
    <w:p>
      <w:pPr>
        <w:spacing w:line="240" w:lineRule="atLeast"/>
        <w:rPr>
          <w:rFonts w:ascii="仿宋_GB2312" w:hAnsi="宋体" w:eastAsia="仿宋_GB2312"/>
          <w:sz w:val="18"/>
          <w:szCs w:val="18"/>
        </w:rPr>
      </w:pPr>
    </w:p>
    <w:p>
      <w:pPr>
        <w:spacing w:line="240" w:lineRule="atLeast"/>
        <w:ind w:left="840" w:hanging="840" w:hangingChars="350"/>
        <w:rPr>
          <w:rFonts w:ascii="仿宋_GB2312" w:hAnsi="宋体" w:eastAsia="仿宋_GB2312"/>
          <w:sz w:val="24"/>
        </w:rPr>
      </w:pPr>
      <w:r>
        <w:rPr>
          <w:rFonts w:hint="eastAsia" w:ascii="仿宋_GB2312" w:hAnsi="宋体" w:eastAsia="仿宋_GB2312"/>
          <w:sz w:val="24"/>
        </w:rPr>
        <w:t>17.3</w:t>
      </w:r>
      <w:r>
        <w:rPr>
          <w:rFonts w:hint="eastAsia" w:ascii="仿宋_GB2312" w:hAnsi="宋体" w:eastAsia="仿宋_GB2312"/>
          <w:sz w:val="24"/>
        </w:rPr>
        <w:tab/>
      </w:r>
      <w:r>
        <w:rPr>
          <w:rFonts w:hint="eastAsia" w:ascii="仿宋_GB2312" w:hAnsi="宋体" w:eastAsia="仿宋_GB2312"/>
          <w:sz w:val="24"/>
        </w:rPr>
        <w:t>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pPr>
        <w:spacing w:line="240" w:lineRule="atLeast"/>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24" w:name="_Toc515647778"/>
      <w:bookmarkStart w:id="125" w:name="_Toc520356163"/>
      <w:bookmarkStart w:id="126" w:name="_Toc12436"/>
      <w:bookmarkStart w:id="127" w:name="_Toc28398"/>
      <w:bookmarkStart w:id="128" w:name="_Toc216582809"/>
      <w:bookmarkStart w:id="129" w:name="_Toc20246"/>
      <w:r>
        <w:rPr>
          <w:rFonts w:hint="eastAsia" w:ascii="仿宋_GB2312" w:hAnsi="宋体" w:eastAsia="仿宋_GB2312"/>
          <w:sz w:val="24"/>
        </w:rPr>
        <w:t>五   开标及评标</w:t>
      </w:r>
      <w:bookmarkEnd w:id="124"/>
      <w:bookmarkEnd w:id="125"/>
      <w:bookmarkEnd w:id="126"/>
      <w:bookmarkEnd w:id="127"/>
      <w:bookmarkEnd w:id="128"/>
      <w:bookmarkEnd w:id="129"/>
    </w:p>
    <w:p>
      <w:pPr>
        <w:pStyle w:val="6"/>
        <w:rPr>
          <w:rFonts w:hint="eastAsia"/>
        </w:rPr>
      </w:pPr>
    </w:p>
    <w:p>
      <w:pPr>
        <w:pStyle w:val="5"/>
        <w:numPr>
          <w:ilvl w:val="0"/>
          <w:numId w:val="4"/>
        </w:numPr>
        <w:spacing w:line="240" w:lineRule="atLeast"/>
      </w:pPr>
      <w:bookmarkStart w:id="130" w:name="_Toc7186"/>
      <w:bookmarkStart w:id="131" w:name="_Toc17257"/>
      <w:bookmarkStart w:id="132" w:name="_Toc520356164"/>
      <w:bookmarkStart w:id="133" w:name="_Toc515647779"/>
      <w:bookmarkStart w:id="134" w:name="_Toc25345"/>
      <w:r>
        <w:rPr>
          <w:rFonts w:hint="eastAsia" w:ascii="仿宋_GB2312" w:hAnsi="宋体" w:eastAsia="仿宋_GB2312"/>
          <w:u w:val="none"/>
        </w:rPr>
        <w:t>开标</w:t>
      </w:r>
      <w:bookmarkEnd w:id="130"/>
      <w:bookmarkEnd w:id="131"/>
      <w:bookmarkEnd w:id="132"/>
      <w:bookmarkEnd w:id="133"/>
      <w:bookmarkEnd w:id="134"/>
    </w:p>
    <w:p>
      <w:pPr>
        <w:numPr>
          <w:ilvl w:val="1"/>
          <w:numId w:val="4"/>
        </w:num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中规定的开标时间和地点组织公开开标并邀请所有投标人代表参加。</w:t>
      </w:r>
    </w:p>
    <w:p>
      <w:pPr>
        <w:spacing w:line="240" w:lineRule="atLeast"/>
        <w:ind w:left="735" w:leftChars="350" w:firstLine="120" w:firstLineChars="5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18.2   开标时，由投标人或其推选的代表检查自己或所代表的投标文件的密封情况，经记录后，由采购人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hint="eastAsia" w:ascii="黑体" w:hAnsi="宋体" w:eastAsia="仿宋_GB2312"/>
          <w:sz w:val="24"/>
          <w:highlight w:val="none"/>
        </w:rPr>
      </w:pPr>
      <w:r>
        <w:rPr>
          <w:rFonts w:hint="eastAsia" w:ascii="黑体" w:hAnsi="宋体" w:eastAsia="仿宋_GB2312"/>
          <w:sz w:val="24"/>
          <w:highlight w:val="none"/>
        </w:rPr>
        <w:t>未宣读投标价格、价格折扣等实质内容，评标时不予承认。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highlight w:val="none"/>
        </w:rPr>
        <w:t>18.3</w:t>
      </w:r>
      <w:r>
        <w:rPr>
          <w:rFonts w:hint="eastAsia" w:ascii="黑体" w:hAnsi="宋体" w:eastAsia="仿宋_GB2312"/>
          <w:sz w:val="24"/>
          <w:highlight w:val="none"/>
        </w:rPr>
        <w:t xml:space="preserve">   </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135"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_GB2312" w:hAnsi="宋体" w:eastAsia="仿宋_GB2312"/>
          <w:u w:val="none"/>
        </w:rPr>
      </w:pPr>
      <w:bookmarkStart w:id="136" w:name="_Toc19296"/>
      <w:bookmarkStart w:id="137" w:name="_Toc21372"/>
      <w:bookmarkStart w:id="138" w:name="_Toc515647780"/>
      <w:bookmarkStart w:id="139" w:name="_Toc31290"/>
      <w:r>
        <w:rPr>
          <w:rFonts w:hint="eastAsia" w:ascii="仿宋_GB2312" w:hAnsi="宋体" w:eastAsia="仿宋_GB2312"/>
          <w:u w:val="none"/>
        </w:rPr>
        <w:t>19.</w:t>
      </w:r>
      <w:bookmarkEnd w:id="135"/>
      <w:r>
        <w:rPr>
          <w:rFonts w:hint="eastAsia" w:ascii="仿宋_GB2312" w:hAnsi="宋体" w:eastAsia="仿宋_GB2312"/>
          <w:u w:val="none"/>
        </w:rPr>
        <w:t>资格审查及组建评标委员会</w:t>
      </w:r>
      <w:bookmarkEnd w:id="136"/>
      <w:bookmarkEnd w:id="137"/>
      <w:bookmarkEnd w:id="138"/>
      <w:bookmarkEnd w:id="139"/>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，对投标人及其货物的资格进行审查，未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进入评标；通过资格审查的投标人少于</w:t>
      </w:r>
      <w:r>
        <w:rPr>
          <w:rFonts w:hint="eastAsia" w:ascii="仿宋_GB2312" w:hAnsi="宋体" w:eastAsia="仿宋_GB2312"/>
          <w:sz w:val="24"/>
        </w:rPr>
        <w:t>不足</w:t>
      </w:r>
      <w:r>
        <w:rPr>
          <w:rFonts w:ascii="仿宋_GB2312" w:hAnsi="宋体" w:eastAsia="仿宋_GB2312"/>
          <w:sz w:val="24"/>
        </w:rPr>
        <w:t>三家的，不</w:t>
      </w:r>
      <w:r>
        <w:rPr>
          <w:rFonts w:hint="eastAsia" w:ascii="仿宋_GB2312" w:hAnsi="宋体" w:eastAsia="仿宋_GB2312"/>
          <w:sz w:val="24"/>
        </w:rPr>
        <w:t>得评标。</w:t>
      </w:r>
    </w:p>
    <w:p>
      <w:pPr>
        <w:spacing w:line="240" w:lineRule="atLeast"/>
        <w:ind w:left="857" w:leftChars="2" w:hanging="853"/>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w:t>
      </w:r>
      <w:r>
        <w:rPr>
          <w:rFonts w:hint="eastAsia" w:ascii="仿宋_GB2312" w:eastAsia="仿宋_GB2312"/>
          <w:sz w:val="24"/>
        </w:rPr>
        <w:t>1个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857" w:leftChars="2" w:hanging="853"/>
        <w:rPr>
          <w:rFonts w:hint="eastAsia" w:ascii="仿宋_GB2312" w:hAnsi="宋体"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不良信用记录指：投标人在中国政府采购网（www.ccgp.gov.cn）被列入政府采购严重违法失信行为记录名单，</w:t>
      </w:r>
      <w:r>
        <w:rPr>
          <w:rFonts w:hint="eastAsia" w:ascii="仿宋_GB2312" w:hAnsi="Times New Roman" w:eastAsia="仿宋_GB2312" w:cs="Times New Roman"/>
          <w:kern w:val="0"/>
          <w:sz w:val="24"/>
          <w:szCs w:val="20"/>
          <w:lang w:val="en-US" w:eastAsia="zh-CN" w:bidi="ar-SA"/>
        </w:rPr>
        <w:t>或在“信用中国”网站（www.creditchina.gov.cn）被列入失信被执行人、</w:t>
      </w:r>
      <w:r>
        <w:rPr>
          <w:rFonts w:hint="eastAsia" w:ascii="仿宋_GB2312" w:hAnsi="宋体" w:eastAsia="仿宋_GB2312"/>
          <w:sz w:val="24"/>
        </w:rPr>
        <w:t>重大税收违法案件当事人名单，以及存在《中华人民共和国政府采购法实施条例》第十九条规定的行政处罚记录。</w:t>
      </w:r>
    </w:p>
    <w:p>
      <w:pPr>
        <w:spacing w:line="240" w:lineRule="atLeast"/>
        <w:ind w:left="849" w:leftChars="401" w:hanging="7" w:hangingChars="3"/>
        <w:rPr>
          <w:rFonts w:hint="eastAsia" w:ascii="仿宋_GB2312" w:hAnsi="宋体" w:eastAsia="仿宋_GB2312"/>
          <w:sz w:val="24"/>
        </w:rPr>
      </w:pPr>
      <w:r>
        <w:rPr>
          <w:rFonts w:hint="eastAsia" w:ascii="仿宋_GB2312" w:hAnsi="宋体" w:eastAsia="仿宋_GB2312"/>
          <w:sz w:val="24"/>
        </w:rPr>
        <w:t>以联合体形式参加投标的，联合体任何成员存在以上不良信用记录的，联合体投标将被认定为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6"/>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6"/>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6"/>
        <w:ind w:left="850" w:leftChars="405" w:firstLine="0"/>
        <w:jc w:val="both"/>
        <w:rPr>
          <w:rFonts w:hint="eastAsia"/>
        </w:rPr>
      </w:pPr>
      <w:r>
        <w:rPr>
          <w:rFonts w:hint="eastAsia" w:ascii="仿宋_GB2312" w:eastAsia="仿宋_GB2312"/>
        </w:rPr>
        <w:t>投标人自行提供的与网站信息不一致的其他证明材料亦不作为资格审查依据。</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19.3   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，负责评标工作。</w:t>
      </w:r>
      <w:bookmarkStart w:id="140" w:name="_Toc520356166"/>
    </w:p>
    <w:p>
      <w:pPr>
        <w:pStyle w:val="5"/>
        <w:spacing w:before="0" w:after="0" w:line="240" w:lineRule="atLeast"/>
        <w:rPr>
          <w:rFonts w:hint="eastAsia" w:ascii="仿宋_GB2312" w:hAnsi="宋体" w:eastAsia="仿宋_GB2312"/>
          <w:b w:val="0"/>
          <w:bCs/>
          <w:bdr w:val="single" w:color="auto" w:sz="4" w:space="0"/>
        </w:rPr>
      </w:pPr>
      <w:bookmarkStart w:id="141" w:name="_Toc28479"/>
      <w:bookmarkStart w:id="142" w:name="_Toc19949"/>
      <w:bookmarkStart w:id="143" w:name="_Toc26332"/>
      <w:bookmarkStart w:id="144" w:name="_Toc515647781"/>
      <w:r>
        <w:rPr>
          <w:rFonts w:ascii="仿宋_GB2312" w:hAnsi="宋体" w:eastAsia="仿宋_GB2312"/>
          <w:u w:val="none"/>
        </w:rPr>
        <w:t>20.</w:t>
      </w:r>
      <w:r>
        <w:rPr>
          <w:rFonts w:hint="eastAsia" w:ascii="仿宋_GB2312" w:hAnsi="宋体" w:eastAsia="仿宋_GB2312"/>
          <w:u w:val="none"/>
        </w:rPr>
        <w:t>投标文件</w:t>
      </w:r>
      <w:bookmarkEnd w:id="140"/>
      <w:r>
        <w:rPr>
          <w:rFonts w:hint="eastAsia" w:ascii="仿宋_GB2312" w:hAnsi="宋体" w:eastAsia="仿宋_GB2312"/>
          <w:u w:val="none"/>
        </w:rPr>
        <w:t>符合性审查与澄清</w:t>
      </w:r>
      <w:bookmarkEnd w:id="141"/>
      <w:bookmarkEnd w:id="142"/>
      <w:bookmarkEnd w:id="143"/>
      <w:bookmarkEnd w:id="144"/>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145" w:name="_Hlt522424701"/>
      <w:bookmarkEnd w:id="145"/>
      <w:bookmarkStart w:id="146" w:name="_Toc52035616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作必要的澄清、说明或补正。投标人的澄清、说明或补正应在评标委员会规定的时间内以书面方式进行，并不得超出投标文件范围或者改变投标文件的实质性内容。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投标人的的澄清、说明或补正将作为投标文件的一部分。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.3  投标文件报价出现前后不一致的，按照下列规定修正：</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如一个分包内只有一种产品，不同</w:t>
      </w:r>
      <w:r>
        <w:rPr>
          <w:rFonts w:ascii="仿宋_GB2312" w:hAnsi="宋体" w:eastAsia="仿宋_GB2312"/>
          <w:sz w:val="24"/>
        </w:rPr>
        <w:t>投标人所投产品为</w:t>
      </w:r>
      <w:r>
        <w:rPr>
          <w:rFonts w:hint="eastAsia" w:ascii="仿宋_GB2312" w:hAnsi="宋体" w:eastAsia="仿宋_GB2312"/>
          <w:sz w:val="24"/>
        </w:rPr>
        <w:t>同一品牌的</w:t>
      </w:r>
      <w:r>
        <w:rPr>
          <w:rFonts w:ascii="仿宋_GB2312" w:hAnsi="宋体" w:eastAsia="仿宋_GB2312"/>
          <w:sz w:val="24"/>
        </w:rPr>
        <w:t>，</w:t>
      </w:r>
      <w:r>
        <w:rPr>
          <w:rFonts w:hint="eastAsia" w:ascii="仿宋_GB2312" w:hAnsi="宋体" w:eastAsia="仿宋_GB2312"/>
          <w:sz w:val="24"/>
        </w:rPr>
        <w:t>按</w:t>
      </w:r>
      <w:r>
        <w:rPr>
          <w:rFonts w:ascii="仿宋_GB2312" w:hAnsi="宋体" w:eastAsia="仿宋_GB2312"/>
          <w:sz w:val="24"/>
        </w:rPr>
        <w:t>如下方式处理：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20.4.1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规定的方式确定一个参加评标的投标人；未规定的采取随机抽取方式确定，其他投标将被认定为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规定的方式确定一个投标人获得中标人推荐资格；未规定的采取随机抽取方式确定，其他同品牌投标人不作为中标候选人。</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5</w:t>
      </w:r>
      <w:r>
        <w:rPr>
          <w:rFonts w:hint="eastAsia" w:ascii="仿宋_GB2312" w:hAnsi="宋体" w:eastAsia="仿宋_GB2312"/>
          <w:sz w:val="24"/>
        </w:rPr>
        <w:t xml:space="preserve">   如</w:t>
      </w:r>
      <w:r>
        <w:rPr>
          <w:rFonts w:ascii="仿宋_GB2312" w:hAnsi="宋体" w:eastAsia="仿宋_GB2312"/>
          <w:sz w:val="24"/>
        </w:rPr>
        <w:t>一个</w:t>
      </w:r>
      <w:r>
        <w:rPr>
          <w:rFonts w:hint="eastAsia" w:ascii="仿宋_GB2312" w:hAnsi="宋体" w:eastAsia="仿宋_GB2312"/>
          <w:sz w:val="24"/>
        </w:rPr>
        <w:t>分包</w:t>
      </w:r>
      <w:r>
        <w:rPr>
          <w:rFonts w:ascii="仿宋_GB2312" w:hAnsi="宋体" w:eastAsia="仿宋_GB2312"/>
          <w:sz w:val="24"/>
        </w:rPr>
        <w:t>内</w:t>
      </w:r>
      <w:r>
        <w:rPr>
          <w:rFonts w:hint="eastAsia" w:ascii="仿宋_GB2312" w:hAnsi="宋体" w:eastAsia="仿宋_GB2312"/>
          <w:sz w:val="24"/>
        </w:rPr>
        <w:t>包含</w:t>
      </w:r>
      <w:r>
        <w:rPr>
          <w:rFonts w:ascii="仿宋_GB2312" w:hAnsi="宋体" w:eastAsia="仿宋_GB2312"/>
          <w:sz w:val="24"/>
        </w:rPr>
        <w:t>多种产品的，</w:t>
      </w:r>
      <w:r>
        <w:rPr>
          <w:rFonts w:hint="eastAsia" w:ascii="仿宋_GB2312" w:hAnsi="宋体" w:eastAsia="仿宋_GB2312"/>
          <w:sz w:val="24"/>
        </w:rPr>
        <w:t>采购人</w:t>
      </w:r>
      <w:r>
        <w:rPr>
          <w:rFonts w:ascii="仿宋_GB2312" w:hAnsi="宋体" w:eastAsia="仿宋_GB2312"/>
          <w:sz w:val="24"/>
        </w:rPr>
        <w:t>或采购代理机构将在</w:t>
      </w:r>
      <w:r>
        <w:rPr>
          <w:rFonts w:hint="eastAsia" w:ascii="仿宋_GB2312" w:hAnsi="宋体" w:eastAsia="仿宋_GB2312"/>
          <w:sz w:val="24"/>
          <w:u w:val="single"/>
        </w:rPr>
        <w:t>投标人须知资料表</w:t>
      </w:r>
      <w:r>
        <w:rPr>
          <w:rFonts w:hint="eastAsia" w:ascii="仿宋_GB2312" w:hAnsi="宋体" w:eastAsia="仿宋_GB2312"/>
          <w:sz w:val="24"/>
        </w:rPr>
        <w:t>中载明</w:t>
      </w:r>
      <w:r>
        <w:rPr>
          <w:rFonts w:ascii="仿宋_GB2312" w:hAnsi="宋体" w:eastAsia="仿宋_GB2312"/>
          <w:sz w:val="24"/>
        </w:rPr>
        <w:t>核心产品，</w:t>
      </w:r>
      <w:r>
        <w:rPr>
          <w:rFonts w:hint="eastAsia" w:ascii="仿宋_GB2312" w:hAnsi="宋体" w:eastAsia="仿宋_GB2312"/>
          <w:sz w:val="24"/>
        </w:rPr>
        <w:t>多家投标人提供的核心产品品牌相同的，按第2</w:t>
      </w:r>
      <w:r>
        <w:rPr>
          <w:rFonts w:ascii="仿宋_GB2312" w:hAnsi="宋体" w:eastAsia="仿宋_GB2312"/>
          <w:sz w:val="24"/>
        </w:rPr>
        <w:t>0.4</w:t>
      </w:r>
      <w:r>
        <w:rPr>
          <w:rFonts w:hint="eastAsia" w:ascii="仿宋_GB2312" w:hAnsi="宋体" w:eastAsia="仿宋_GB2312"/>
          <w:sz w:val="24"/>
        </w:rPr>
        <w:t>条规定处理。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 xml:space="preserve">6   </w:t>
      </w:r>
      <w:r>
        <w:rPr>
          <w:rFonts w:hint="eastAsia" w:ascii="仿宋_GB2312" w:hAnsi="宋体" w:eastAsia="仿宋_GB2312"/>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147" w:name="_Toc6364"/>
      <w:bookmarkStart w:id="148" w:name="_Toc515647782"/>
      <w:bookmarkStart w:id="149" w:name="_Toc18529"/>
      <w:bookmarkStart w:id="150" w:name="_Toc9469"/>
      <w:r>
        <w:rPr>
          <w:rFonts w:hint="eastAsia" w:ascii="仿宋_GB2312" w:hAnsi="宋体" w:eastAsia="仿宋_GB2312"/>
          <w:u w:val="none"/>
        </w:rPr>
        <w:t>21.投标偏离</w:t>
      </w:r>
      <w:bookmarkEnd w:id="147"/>
      <w:bookmarkEnd w:id="148"/>
      <w:bookmarkEnd w:id="149"/>
      <w:bookmarkEnd w:id="150"/>
    </w:p>
    <w:p>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5"/>
        <w:spacing w:before="0" w:after="0" w:line="240" w:lineRule="atLeast"/>
        <w:rPr>
          <w:rFonts w:hint="eastAsia" w:ascii="仿宋_GB2312" w:hAnsi="宋体" w:eastAsia="仿宋_GB2312"/>
          <w:u w:val="none"/>
        </w:rPr>
      </w:pPr>
      <w:bookmarkStart w:id="151" w:name="_Toc515647783"/>
      <w:bookmarkStart w:id="152" w:name="_Toc23936"/>
      <w:bookmarkStart w:id="153" w:name="_Toc4950"/>
      <w:bookmarkStart w:id="154" w:name="_Toc6092"/>
      <w:r>
        <w:rPr>
          <w:rFonts w:hint="eastAsia" w:ascii="仿宋_GB2312" w:hAnsi="宋体" w:eastAsia="仿宋_GB2312"/>
          <w:u w:val="none"/>
        </w:rPr>
        <w:t>22.投标</w:t>
      </w:r>
      <w:bookmarkEnd w:id="151"/>
      <w:r>
        <w:rPr>
          <w:rFonts w:hint="eastAsia" w:ascii="仿宋_GB2312" w:hAnsi="宋体" w:eastAsia="仿宋_GB2312"/>
          <w:u w:val="none"/>
        </w:rPr>
        <w:t>无效</w:t>
      </w:r>
      <w:bookmarkEnd w:id="152"/>
      <w:bookmarkEnd w:id="153"/>
      <w:bookmarkEnd w:id="154"/>
    </w:p>
    <w:p>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。投标人不得通过修正或撤销不符合要求的偏离，从而使其投标成为实质上响应的投标。</w:t>
      </w:r>
    </w:p>
    <w:p>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w:t>
      </w:r>
      <w:r>
        <w:rPr>
          <w:rFonts w:hint="eastAsia" w:ascii="仿宋_GB2312" w:hAnsi="宋体" w:eastAsia="仿宋_GB2312"/>
          <w:b/>
          <w:bCs/>
          <w:sz w:val="24"/>
        </w:rPr>
        <w:t>投标无效</w:t>
      </w:r>
      <w:r>
        <w:rPr>
          <w:rFonts w:hint="eastAsia" w:ascii="仿宋_GB2312" w:hAnsi="宋体" w:eastAsia="仿宋_GB2312"/>
          <w:sz w:val="24"/>
        </w:rPr>
        <w:t>：（</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w:t>
      </w:r>
      <w:r>
        <w:rPr>
          <w:rFonts w:hint="eastAsia" w:ascii="仿宋_GB2312" w:hAnsi="宋体" w:eastAsia="仿宋_GB2312"/>
          <w:b/>
          <w:bCs/>
          <w:sz w:val="24"/>
        </w:rPr>
        <w:t>投标无效</w:t>
      </w:r>
      <w:r>
        <w:rPr>
          <w:rFonts w:hint="eastAsia" w:ascii="仿宋_GB2312" w:hAnsi="宋体" w:eastAsia="仿宋_GB2312"/>
          <w:sz w:val="24"/>
        </w:rPr>
        <w:t>情形；</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投标文件含有采购人不能接受的附加条件的；</w:t>
      </w:r>
    </w:p>
    <w:p>
      <w:pPr>
        <w:numPr>
          <w:ilvl w:val="0"/>
          <w:numId w:val="5"/>
        </w:numPr>
        <w:tabs>
          <w:tab w:val="left" w:pos="0"/>
        </w:tabs>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rPr>
      </w:pPr>
      <w:bookmarkStart w:id="155" w:name="_Toc22941"/>
      <w:bookmarkStart w:id="156" w:name="_Toc515647784"/>
      <w:bookmarkStart w:id="157" w:name="_Toc13652"/>
      <w:bookmarkStart w:id="158" w:name="_Toc8521"/>
      <w:r>
        <w:t>23</w:t>
      </w:r>
      <w:r>
        <w:rPr>
          <w:rFonts w:hint="eastAsia"/>
        </w:rPr>
        <w:t>.</w:t>
      </w:r>
      <w:bookmarkEnd w:id="146"/>
      <w:r>
        <w:rPr>
          <w:rFonts w:hint="eastAsia"/>
        </w:rPr>
        <w:t>比较与评价</w:t>
      </w:r>
      <w:bookmarkEnd w:id="155"/>
      <w:bookmarkEnd w:id="156"/>
      <w:bookmarkEnd w:id="157"/>
      <w:bookmarkEnd w:id="15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pPr>
        <w:pStyle w:val="9"/>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9"/>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9"/>
        <w:spacing w:line="240" w:lineRule="atLeast"/>
        <w:ind w:left="900" w:hanging="900" w:hangingChars="375"/>
        <w:rPr>
          <w:rFonts w:hint="eastAsia"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根据《政府采购促进中小企业发展暂行办法》（财库[2011]181号）、《</w:t>
      </w:r>
      <w:r>
        <w:rPr>
          <w:rFonts w:ascii="仿宋_GB2312" w:hAnsi="宋体" w:eastAsia="仿宋_GB2312"/>
          <w:sz w:val="24"/>
          <w:szCs w:val="24"/>
        </w:rPr>
        <w:t>财政部司法部关于政府采购支持监狱企业发展有关问题的通知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59" w:name="sendNo"/>
      <w:r>
        <w:rPr>
          <w:rFonts w:hint="eastAsia" w:ascii="仿宋_GB2312" w:hAnsi="宋体" w:eastAsia="仿宋_GB2312"/>
          <w:bCs/>
          <w:sz w:val="24"/>
          <w:szCs w:val="24"/>
        </w:rPr>
        <w:t>财库〔</w:t>
      </w:r>
      <w:bookmarkEnd w:id="159"/>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5"/>
        <w:spacing w:before="0" w:after="0" w:line="240" w:lineRule="atLeast"/>
        <w:rPr>
          <w:rFonts w:ascii="仿宋_GB2312" w:hAnsi="宋体" w:eastAsia="仿宋_GB2312"/>
          <w:u w:val="none"/>
        </w:rPr>
      </w:pPr>
      <w:bookmarkStart w:id="160" w:name="_Toc520356168"/>
      <w:bookmarkStart w:id="161" w:name="_Toc515647785"/>
      <w:bookmarkStart w:id="162" w:name="_Toc9378"/>
      <w:bookmarkStart w:id="163" w:name="_Toc31728"/>
      <w:bookmarkStart w:id="164" w:name="_Toc20227"/>
      <w:r>
        <w:rPr>
          <w:rFonts w:ascii="仿宋_GB2312" w:hAnsi="宋体" w:eastAsia="仿宋_GB2312"/>
          <w:u w:val="none"/>
        </w:rPr>
        <w:t>24</w:t>
      </w:r>
      <w:bookmarkEnd w:id="160"/>
      <w:r>
        <w:rPr>
          <w:rFonts w:hint="eastAsia" w:ascii="仿宋_GB2312" w:hAnsi="宋体" w:eastAsia="仿宋_GB2312"/>
          <w:u w:val="none"/>
        </w:rPr>
        <w:t>.废标</w:t>
      </w:r>
      <w:bookmarkEnd w:id="161"/>
      <w:bookmarkEnd w:id="162"/>
      <w:bookmarkEnd w:id="163"/>
      <w:bookmarkEnd w:id="164"/>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 xml:space="preserve">出现下列情形之一，将导致项目废标： </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（3）投标人的报价均超过了采购预算，采购人不能支付的；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 xml:space="preserve">（4）因重大变故，采购任务取消的。   </w:t>
      </w:r>
    </w:p>
    <w:p>
      <w:pPr>
        <w:pStyle w:val="5"/>
        <w:spacing w:before="0" w:after="0" w:line="240" w:lineRule="atLeast"/>
        <w:rPr>
          <w:rFonts w:ascii="仿宋_GB2312" w:hAnsi="宋体" w:eastAsia="仿宋_GB2312"/>
          <w:u w:val="none"/>
        </w:rPr>
      </w:pPr>
      <w:bookmarkStart w:id="165" w:name="_Toc515647786"/>
      <w:bookmarkStart w:id="166" w:name="_Toc11175"/>
      <w:bookmarkStart w:id="167" w:name="_Toc31289"/>
      <w:bookmarkStart w:id="168" w:name="_Toc24972"/>
      <w:bookmarkStart w:id="169" w:name="_Toc520356169"/>
      <w:r>
        <w:rPr>
          <w:rFonts w:ascii="仿宋_GB2312" w:hAnsi="宋体" w:eastAsia="仿宋_GB2312"/>
          <w:u w:val="none"/>
        </w:rPr>
        <w:t>25</w:t>
      </w:r>
      <w:r>
        <w:rPr>
          <w:rFonts w:hint="eastAsia" w:ascii="仿宋_GB2312" w:hAnsi="宋体" w:eastAsia="仿宋_GB2312"/>
          <w:u w:val="none"/>
        </w:rPr>
        <w:t>.保密原则</w:t>
      </w:r>
      <w:bookmarkEnd w:id="165"/>
      <w:bookmarkEnd w:id="166"/>
      <w:bookmarkEnd w:id="167"/>
      <w:bookmarkEnd w:id="16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70" w:name="_Toc216582810"/>
      <w:bookmarkStart w:id="171" w:name="_Toc2153"/>
      <w:bookmarkStart w:id="172" w:name="_Toc23904"/>
      <w:bookmarkStart w:id="173" w:name="_Toc515647787"/>
      <w:bookmarkStart w:id="174" w:name="_Toc12143"/>
      <w:r>
        <w:rPr>
          <w:rFonts w:hint="eastAsia" w:ascii="仿宋_GB2312" w:hAnsi="宋体" w:eastAsia="仿宋_GB2312"/>
          <w:sz w:val="24"/>
        </w:rPr>
        <w:t xml:space="preserve">六   </w:t>
      </w:r>
      <w:bookmarkEnd w:id="169"/>
      <w:r>
        <w:rPr>
          <w:rFonts w:hint="eastAsia" w:ascii="仿宋_GB2312" w:hAnsi="宋体" w:eastAsia="仿宋_GB2312"/>
          <w:sz w:val="24"/>
        </w:rPr>
        <w:t>确定中标</w:t>
      </w:r>
      <w:bookmarkEnd w:id="170"/>
      <w:bookmarkEnd w:id="171"/>
      <w:bookmarkEnd w:id="172"/>
      <w:bookmarkEnd w:id="173"/>
      <w:bookmarkEnd w:id="174"/>
    </w:p>
    <w:p>
      <w:pPr>
        <w:pStyle w:val="6"/>
        <w:rPr>
          <w:rFonts w:hint="eastAsia"/>
        </w:rPr>
      </w:pPr>
    </w:p>
    <w:p>
      <w:pPr>
        <w:pStyle w:val="5"/>
        <w:spacing w:before="0" w:after="0" w:line="240" w:lineRule="atLeast"/>
        <w:rPr>
          <w:rFonts w:ascii="仿宋_GB2312" w:hAnsi="宋体" w:eastAsia="仿宋_GB2312"/>
          <w:u w:val="none"/>
        </w:rPr>
      </w:pPr>
      <w:bookmarkStart w:id="175" w:name="_Toc23617"/>
      <w:bookmarkStart w:id="176" w:name="_Toc28066"/>
      <w:bookmarkStart w:id="177" w:name="_Toc23762"/>
      <w:bookmarkStart w:id="178" w:name="_Toc520356170"/>
      <w:bookmarkStart w:id="179" w:name="_Ref467307010"/>
      <w:bookmarkStart w:id="180" w:name="_Toc515647788"/>
      <w:r>
        <w:rPr>
          <w:rFonts w:ascii="仿宋_GB2312" w:hAnsi="宋体" w:eastAsia="仿宋_GB2312"/>
          <w:u w:val="none"/>
        </w:rPr>
        <w:t>26</w:t>
      </w:r>
      <w:r>
        <w:rPr>
          <w:rFonts w:hint="eastAsia" w:ascii="仿宋_GB2312" w:hAnsi="宋体" w:eastAsia="仿宋_GB2312"/>
          <w:u w:val="none"/>
        </w:rPr>
        <w:t>.中标候选人的确定原则及标准</w:t>
      </w:r>
      <w:bookmarkEnd w:id="175"/>
      <w:bookmarkEnd w:id="176"/>
      <w:bookmarkEnd w:id="177"/>
      <w:bookmarkEnd w:id="178"/>
      <w:bookmarkEnd w:id="179"/>
      <w:bookmarkEnd w:id="180"/>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条规定外，对实质上响应招标文件的投标人按下列方法</w:t>
      </w:r>
      <w:r>
        <w:rPr>
          <w:rFonts w:ascii="仿宋_GB2312" w:hAnsi="宋体" w:eastAsia="仿宋_GB2312"/>
          <w:sz w:val="24"/>
        </w:rPr>
        <w:t>进行排序</w:t>
      </w:r>
      <w:r>
        <w:rPr>
          <w:rFonts w:hint="eastAsia" w:ascii="仿宋_GB2312" w:hAnsi="宋体" w:eastAsia="仿宋_GB2312"/>
          <w:sz w:val="24"/>
        </w:rPr>
        <w:t>，确定投标候选人：</w:t>
      </w:r>
    </w:p>
    <w:p>
      <w:pPr>
        <w:spacing w:line="240" w:lineRule="atLeast"/>
        <w:ind w:left="901"/>
        <w:rPr>
          <w:rFonts w:hint="eastAsia" w:ascii="仿宋_GB2312" w:hAnsi="宋体" w:eastAsia="仿宋_GB2312"/>
          <w:sz w:val="24"/>
        </w:rPr>
      </w:pPr>
      <w:bookmarkStart w:id="181" w:name="_Toc520356171"/>
      <w:bookmarkStart w:id="182" w:name="_Toc515647789"/>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spacing w:line="240" w:lineRule="atLeast"/>
        <w:ind w:left="901"/>
        <w:rPr>
          <w:rFonts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pStyle w:val="5"/>
        <w:tabs>
          <w:tab w:val="left" w:pos="900"/>
        </w:tabs>
        <w:spacing w:before="0" w:after="0" w:line="240" w:lineRule="atLeast"/>
        <w:rPr>
          <w:rFonts w:ascii="仿宋_GB2312" w:hAnsi="宋体" w:eastAsia="仿宋_GB2312"/>
          <w:u w:val="none"/>
        </w:rPr>
      </w:pPr>
      <w:bookmarkStart w:id="183" w:name="_Toc23951"/>
      <w:bookmarkStart w:id="184" w:name="_Toc9653"/>
      <w:bookmarkStart w:id="185" w:name="_Toc19950"/>
      <w:r>
        <w:rPr>
          <w:rFonts w:ascii="仿宋_GB2312" w:hAnsi="宋体" w:eastAsia="仿宋_GB2312"/>
          <w:u w:val="none"/>
        </w:rPr>
        <w:t>27</w:t>
      </w:r>
      <w:bookmarkEnd w:id="181"/>
      <w:r>
        <w:rPr>
          <w:rFonts w:hint="eastAsia" w:ascii="仿宋_GB2312" w:hAnsi="宋体" w:eastAsia="仿宋_GB2312"/>
          <w:u w:val="none"/>
        </w:rPr>
        <w:t>.确定中标候选人和中标人</w:t>
      </w:r>
      <w:bookmarkEnd w:id="182"/>
      <w:bookmarkEnd w:id="183"/>
      <w:bookmarkEnd w:id="184"/>
      <w:bookmarkEnd w:id="185"/>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5"/>
        <w:tabs>
          <w:tab w:val="left" w:pos="900"/>
        </w:tabs>
        <w:spacing w:before="0" w:after="0" w:line="240" w:lineRule="atLeast"/>
        <w:rPr>
          <w:rFonts w:ascii="仿宋_GB2312" w:hAnsi="宋体" w:eastAsia="仿宋_GB2312"/>
          <w:u w:val="none"/>
        </w:rPr>
      </w:pPr>
      <w:bookmarkStart w:id="186" w:name="_Ref467306874"/>
      <w:bookmarkStart w:id="187" w:name="_Toc520356173"/>
      <w:bookmarkStart w:id="188" w:name="_Toc13782"/>
      <w:bookmarkStart w:id="189" w:name="_Toc28562"/>
      <w:bookmarkStart w:id="190" w:name="_Toc515647790"/>
      <w:bookmarkStart w:id="191" w:name="_Toc8389"/>
      <w:r>
        <w:rPr>
          <w:rFonts w:ascii="仿宋_GB2312" w:hAnsi="宋体" w:eastAsia="仿宋_GB2312"/>
          <w:u w:val="none"/>
        </w:rPr>
        <w:t>28</w:t>
      </w:r>
      <w:r>
        <w:rPr>
          <w:rFonts w:hint="eastAsia" w:ascii="仿宋_GB2312" w:hAnsi="宋体" w:eastAsia="仿宋_GB2312"/>
          <w:u w:val="none"/>
        </w:rPr>
        <w:t>.</w:t>
      </w:r>
      <w:bookmarkEnd w:id="186"/>
      <w:bookmarkEnd w:id="187"/>
      <w:r>
        <w:rPr>
          <w:rFonts w:hint="eastAsia" w:ascii="仿宋_GB2312" w:hAnsi="宋体" w:eastAsia="仿宋_GB2312"/>
          <w:u w:val="none"/>
        </w:rPr>
        <w:t>采购任务取消</w:t>
      </w:r>
      <w:bookmarkEnd w:id="188"/>
      <w:bookmarkEnd w:id="189"/>
      <w:bookmarkEnd w:id="190"/>
      <w:bookmarkEnd w:id="191"/>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92" w:name="_Toc520356174"/>
    </w:p>
    <w:p>
      <w:pPr>
        <w:pStyle w:val="5"/>
        <w:spacing w:before="0" w:after="0" w:line="240" w:lineRule="atLeast"/>
        <w:rPr>
          <w:rFonts w:ascii="仿宋_GB2312" w:hAnsi="宋体" w:eastAsia="仿宋_GB2312"/>
          <w:u w:val="none"/>
        </w:rPr>
      </w:pPr>
      <w:bookmarkStart w:id="193" w:name="_Toc515647791"/>
      <w:bookmarkStart w:id="194" w:name="_Toc31099"/>
      <w:bookmarkStart w:id="195" w:name="_Toc31142"/>
      <w:bookmarkStart w:id="196" w:name="_Toc30170"/>
      <w:r>
        <w:rPr>
          <w:rFonts w:ascii="仿宋_GB2312" w:hAnsi="宋体" w:eastAsia="仿宋_GB2312"/>
          <w:u w:val="none"/>
        </w:rPr>
        <w:t>29</w:t>
      </w:r>
      <w:r>
        <w:rPr>
          <w:rFonts w:hint="eastAsia" w:ascii="仿宋_GB2312" w:hAnsi="宋体" w:eastAsia="仿宋_GB2312"/>
          <w:u w:val="none"/>
        </w:rPr>
        <w:t>.中标通知书</w:t>
      </w:r>
      <w:bookmarkEnd w:id="192"/>
      <w:bookmarkEnd w:id="193"/>
      <w:bookmarkEnd w:id="194"/>
      <w:bookmarkEnd w:id="195"/>
      <w:bookmarkEnd w:id="196"/>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pStyle w:val="5"/>
        <w:spacing w:before="0" w:after="0" w:line="240" w:lineRule="atLeast"/>
        <w:rPr>
          <w:rFonts w:hint="eastAsia" w:ascii="仿宋_GB2312" w:hAnsi="宋体" w:eastAsia="仿宋_GB2312"/>
          <w:u w:val="none"/>
        </w:rPr>
      </w:pPr>
      <w:bookmarkStart w:id="197" w:name="_Ref467307062"/>
      <w:bookmarkStart w:id="198" w:name="_Ref467306377"/>
      <w:bookmarkStart w:id="199" w:name="_Toc790"/>
      <w:bookmarkStart w:id="200" w:name="_Toc520356175"/>
      <w:bookmarkStart w:id="201" w:name="_Ref467306978"/>
      <w:bookmarkStart w:id="202" w:name="_Toc7779"/>
      <w:bookmarkStart w:id="203" w:name="_Toc515647792"/>
      <w:bookmarkStart w:id="204" w:name="_Toc14795"/>
      <w:bookmarkStart w:id="205" w:name="_Ref467307204"/>
      <w:r>
        <w:rPr>
          <w:rFonts w:ascii="仿宋_GB2312" w:hAnsi="宋体" w:eastAsia="仿宋_GB2312"/>
          <w:u w:val="none"/>
        </w:rPr>
        <w:t>30</w:t>
      </w:r>
      <w:r>
        <w:rPr>
          <w:rFonts w:hint="eastAsia" w:ascii="仿宋_GB2312" w:hAnsi="宋体" w:eastAsia="仿宋_GB2312"/>
          <w:u w:val="none"/>
        </w:rPr>
        <w:t>.签订合同</w:t>
      </w:r>
      <w:bookmarkEnd w:id="197"/>
      <w:bookmarkEnd w:id="198"/>
      <w:bookmarkEnd w:id="199"/>
      <w:bookmarkEnd w:id="200"/>
      <w:bookmarkEnd w:id="201"/>
      <w:bookmarkEnd w:id="202"/>
      <w:bookmarkEnd w:id="203"/>
      <w:bookmarkEnd w:id="204"/>
      <w:bookmarkEnd w:id="205"/>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206" w:name="_Ref467307090"/>
      <w:bookmarkStart w:id="207" w:name="_Ref467306425"/>
      <w:bookmarkStart w:id="208" w:name="_Toc520356176"/>
      <w:r>
        <w:rPr>
          <w:rFonts w:hint="eastAsia" w:ascii="仿宋_GB2312" w:hAnsi="宋体" w:eastAsia="仿宋_GB2312"/>
          <w:sz w:val="24"/>
        </w:rPr>
        <w:t>招标文件、中标人的投标文件及其澄清文件等，均为签订合同的依据。</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情形时，采购人可与排名下一位的中标候选人另行签订合同，或依法重新开展采购活动。</w:t>
      </w:r>
    </w:p>
    <w:p>
      <w:pPr>
        <w:pStyle w:val="5"/>
        <w:spacing w:before="0" w:after="0" w:line="240" w:lineRule="atLeast"/>
        <w:rPr>
          <w:rFonts w:hint="eastAsia" w:ascii="仿宋_GB2312" w:hAnsi="宋体" w:eastAsia="仿宋_GB2312"/>
          <w:u w:val="none"/>
        </w:rPr>
      </w:pPr>
      <w:bookmarkStart w:id="209" w:name="_Toc14080"/>
      <w:bookmarkStart w:id="210" w:name="_Toc515647793"/>
      <w:bookmarkStart w:id="211" w:name="_Toc7188"/>
      <w:bookmarkStart w:id="212" w:name="_Toc22555"/>
      <w:r>
        <w:rPr>
          <w:rFonts w:ascii="仿宋_GB2312" w:hAnsi="宋体" w:eastAsia="仿宋_GB2312"/>
          <w:u w:val="none"/>
        </w:rPr>
        <w:t>31</w:t>
      </w:r>
      <w:r>
        <w:rPr>
          <w:rFonts w:hint="eastAsia" w:ascii="仿宋_GB2312" w:hAnsi="宋体" w:eastAsia="仿宋_GB2312"/>
          <w:u w:val="none"/>
        </w:rPr>
        <w:t>.履约保证金</w:t>
      </w:r>
      <w:bookmarkEnd w:id="206"/>
      <w:bookmarkEnd w:id="207"/>
      <w:bookmarkEnd w:id="208"/>
      <w:bookmarkEnd w:id="209"/>
      <w:bookmarkEnd w:id="210"/>
      <w:bookmarkEnd w:id="211"/>
      <w:bookmarkEnd w:id="212"/>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5"/>
        <w:spacing w:before="0" w:after="0" w:line="240" w:lineRule="atLeast"/>
        <w:rPr>
          <w:rFonts w:hint="eastAsia" w:ascii="仿宋_GB2312" w:hAnsi="宋体" w:eastAsia="仿宋_GB2312"/>
          <w:u w:val="none"/>
        </w:rPr>
      </w:pPr>
      <w:bookmarkStart w:id="213" w:name="_Toc31936"/>
      <w:bookmarkStart w:id="214" w:name="_Toc3090"/>
      <w:bookmarkStart w:id="215" w:name="_Toc29408"/>
      <w:bookmarkStart w:id="216" w:name="_Toc515647794"/>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213"/>
      <w:bookmarkEnd w:id="214"/>
      <w:bookmarkEnd w:id="215"/>
      <w:bookmarkEnd w:id="216"/>
    </w:p>
    <w:p>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pPr>
        <w:pStyle w:val="5"/>
        <w:spacing w:before="0" w:after="0" w:line="240" w:lineRule="atLeast"/>
        <w:rPr>
          <w:rFonts w:hint="eastAsia" w:ascii="仿宋_GB2312" w:hAnsi="宋体" w:eastAsia="仿宋_GB2312"/>
          <w:u w:val="none"/>
        </w:rPr>
      </w:pPr>
      <w:bookmarkStart w:id="217" w:name="_Toc6923"/>
      <w:bookmarkStart w:id="218" w:name="_Toc515647795"/>
      <w:bookmarkStart w:id="219" w:name="_Toc13588"/>
      <w:bookmarkStart w:id="220" w:name="_Toc7049"/>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217"/>
      <w:bookmarkEnd w:id="218"/>
      <w:bookmarkEnd w:id="219"/>
      <w:bookmarkEnd w:id="220"/>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合格的政府采购专业信用担保机构名单见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221" w:name="_Toc23999"/>
      <w:bookmarkStart w:id="222" w:name="_Toc2133"/>
      <w:bookmarkStart w:id="223" w:name="_Toc27198"/>
      <w:bookmarkStart w:id="224" w:name="_Toc515647796"/>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221"/>
      <w:bookmarkEnd w:id="222"/>
      <w:bookmarkEnd w:id="223"/>
      <w:bookmarkEnd w:id="224"/>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邮箱，反映采购代理机构的廉洁自律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5"/>
        <w:spacing w:before="0" w:after="0" w:line="240" w:lineRule="atLeast"/>
        <w:rPr>
          <w:rFonts w:ascii="仿宋_GB2312" w:hAnsi="宋体" w:eastAsia="仿宋_GB2312"/>
          <w:u w:val="none"/>
        </w:rPr>
      </w:pPr>
      <w:bookmarkStart w:id="225" w:name="_Toc10437"/>
      <w:bookmarkStart w:id="226" w:name="_Toc25480"/>
      <w:bookmarkStart w:id="227" w:name="_Toc515647797"/>
      <w:bookmarkStart w:id="228" w:name="_Toc11586"/>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225"/>
      <w:bookmarkEnd w:id="226"/>
      <w:bookmarkEnd w:id="227"/>
      <w:bookmarkEnd w:id="228"/>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5"/>
        <w:spacing w:before="0" w:after="0" w:line="240" w:lineRule="atLeast"/>
        <w:rPr>
          <w:rFonts w:ascii="仿宋_GB2312" w:hAnsi="宋体" w:eastAsia="仿宋_GB2312"/>
          <w:u w:val="none"/>
        </w:rPr>
      </w:pPr>
      <w:bookmarkStart w:id="229" w:name="_Toc10700"/>
      <w:bookmarkStart w:id="230" w:name="_Toc1148"/>
      <w:bookmarkStart w:id="231" w:name="_Toc11115"/>
      <w:bookmarkStart w:id="232" w:name="_Toc515647798"/>
      <w:r>
        <w:rPr>
          <w:rFonts w:hint="eastAsia" w:ascii="仿宋_GB2312" w:hAnsi="宋体" w:eastAsia="仿宋_GB2312"/>
          <w:u w:val="none"/>
        </w:rPr>
        <w:t>36.质疑与接收</w:t>
      </w:r>
      <w:bookmarkEnd w:id="229"/>
      <w:bookmarkEnd w:id="230"/>
      <w:bookmarkEnd w:id="231"/>
      <w:bookmarkEnd w:id="232"/>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 xml:space="preserve">依法向采购人或其委托的采购代理机构提出质疑。  </w:t>
      </w:r>
    </w:p>
    <w:p>
      <w:pPr>
        <w:spacing w:line="240" w:lineRule="atLeast"/>
        <w:ind w:left="860" w:leftChars="410" w:firstLine="12" w:firstLineChars="5"/>
        <w:rPr>
          <w:rFonts w:ascii="仿宋_GB2312" w:eastAsia="仿宋_GB2312"/>
          <w:b/>
          <w:bCs/>
          <w:sz w:val="24"/>
        </w:rPr>
      </w:pPr>
      <w:r>
        <w:rPr>
          <w:rFonts w:hint="eastAsia" w:ascii="仿宋_GB2312" w:eastAsia="仿宋_GB2312"/>
          <w:b/>
          <w:bCs/>
          <w:sz w:val="24"/>
        </w:rPr>
        <w:t>对采购文件提出质疑的，应当在获取采购文件之日起7个工作日内以书面形式提出。</w:t>
      </w:r>
    </w:p>
    <w:p>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pPr>
        <w:spacing w:line="240" w:lineRule="atLeast"/>
        <w:ind w:left="900" w:hanging="900" w:hangingChars="375"/>
        <w:rPr>
          <w:rFonts w:hint="eastAsia" w:ascii="仿宋_GB2312" w:hAnsi="宋体" w:eastAsia="仿宋_GB2312"/>
          <w:sz w:val="24"/>
        </w:rPr>
      </w:pPr>
    </w:p>
    <w:p>
      <w:pPr>
        <w:spacing w:line="240" w:lineRule="atLeast"/>
        <w:ind w:left="900" w:hanging="787" w:hangingChars="375"/>
        <w:rPr>
          <w:rFonts w:hint="eastAsia" w:ascii="仿宋_GB2312" w:eastAsia="仿宋_GB2312"/>
          <w:szCs w:val="24"/>
        </w:rPr>
      </w:pPr>
      <w:r>
        <w:rPr>
          <w:rFonts w:ascii="仿宋_GB2312" w:hAnsi="宋体" w:eastAsia="仿宋_GB2312"/>
        </w:rPr>
        <w:br w:type="page"/>
      </w:r>
      <w:bookmarkStart w:id="233" w:name="_Toc16186"/>
      <w:bookmarkStart w:id="234" w:name="_Toc21748"/>
      <w:bookmarkStart w:id="235" w:name="_Toc515647799"/>
      <w:bookmarkStart w:id="236" w:name="_Toc11469"/>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233"/>
      <w:bookmarkEnd w:id="234"/>
      <w:bookmarkEnd w:id="235"/>
      <w:bookmarkEnd w:id="236"/>
    </w:p>
    <w:p>
      <w:pPr>
        <w:pStyle w:val="9"/>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pPr>
        <w:pStyle w:val="9"/>
        <w:spacing w:line="240" w:lineRule="atLeast"/>
        <w:ind w:left="1079" w:leftChars="257" w:hanging="540"/>
        <w:rPr>
          <w:rFonts w:hint="eastAsia" w:ascii="仿宋_GB2312" w:hAnsi="宋体" w:eastAsia="仿宋_GB2312"/>
          <w:b/>
          <w:sz w:val="24"/>
        </w:rPr>
      </w:pPr>
    </w:p>
    <w:p>
      <w:pPr>
        <w:pStyle w:val="9"/>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9"/>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9"/>
        <w:spacing w:line="240" w:lineRule="atLeast"/>
        <w:ind w:left="1079" w:leftChars="257" w:hanging="540"/>
        <w:jc w:val="center"/>
        <w:rPr>
          <w:rFonts w:hint="eastAsia" w:ascii="仿宋_GB2312" w:hAnsi="宋体" w:eastAsia="仿宋_GB2312"/>
          <w:sz w:val="24"/>
        </w:rPr>
      </w:pPr>
    </w:p>
    <w:p>
      <w:pPr>
        <w:pStyle w:val="9"/>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货物名称</w:t>
      </w:r>
      <w:r>
        <w:rPr>
          <w:rFonts w:hint="eastAsia" w:ascii="仿宋_GB2312" w:hAnsi="宋体" w:eastAsia="仿宋_GB2312"/>
          <w:sz w:val="24"/>
        </w:rPr>
        <w:t>)(以下简称货物)签订的(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9"/>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9"/>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pPr>
        <w:pStyle w:val="9"/>
        <w:spacing w:line="240" w:lineRule="atLeast"/>
        <w:ind w:left="1079" w:leftChars="257" w:hanging="540"/>
        <w:rPr>
          <w:rFonts w:hint="eastAsia" w:ascii="仿宋_GB2312" w:hAnsi="宋体" w:eastAsia="仿宋_GB2312"/>
          <w:sz w:val="24"/>
        </w:rPr>
      </w:pP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9"/>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4"/>
        <w:spacing w:before="0" w:line="240" w:lineRule="atLeast"/>
        <w:ind w:left="1079" w:leftChars="257" w:hanging="540"/>
        <w:rPr>
          <w:rFonts w:ascii="仿宋_GB2312" w:eastAsia="仿宋_GB2312"/>
          <w:szCs w:val="24"/>
        </w:rPr>
      </w:pPr>
      <w:r>
        <w:rPr>
          <w:rFonts w:ascii="仿宋_GB2312" w:eastAsia="仿宋_GB2312"/>
        </w:rPr>
        <w:br w:type="page"/>
      </w:r>
      <w:bookmarkStart w:id="237" w:name="_Toc10951"/>
      <w:bookmarkStart w:id="238" w:name="_Toc7612"/>
      <w:bookmarkStart w:id="239" w:name="_Toc515647800"/>
      <w:bookmarkStart w:id="240" w:name="_Toc6548"/>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237"/>
      <w:bookmarkEnd w:id="238"/>
      <w:bookmarkEnd w:id="239"/>
      <w:bookmarkEnd w:id="240"/>
    </w:p>
    <w:p>
      <w:pPr>
        <w:pStyle w:val="4"/>
        <w:spacing w:before="0" w:line="240" w:lineRule="atLeast"/>
        <w:ind w:left="1079" w:leftChars="257" w:hanging="540"/>
        <w:rPr>
          <w:rFonts w:hint="eastAsia" w:ascii="仿宋_GB2312" w:eastAsia="仿宋_GB2312"/>
          <w:b w:val="0"/>
        </w:rPr>
      </w:pPr>
      <w:bookmarkStart w:id="241" w:name="_Toc515647801"/>
      <w:bookmarkStart w:id="242" w:name="_Toc162"/>
      <w:bookmarkStart w:id="243" w:name="_Toc13962"/>
      <w:bookmarkStart w:id="244" w:name="_Toc30861"/>
      <w:r>
        <w:rPr>
          <w:rFonts w:hint="eastAsia" w:ascii="仿宋_GB2312" w:eastAsia="仿宋_GB2312"/>
          <w:szCs w:val="24"/>
        </w:rPr>
        <w:t>（采用政府采购信用担保形式时</w:t>
      </w:r>
      <w:r>
        <w:rPr>
          <w:rFonts w:ascii="仿宋_GB2312" w:eastAsia="仿宋_GB2312"/>
          <w:szCs w:val="24"/>
        </w:rPr>
        <w:t>使用）</w:t>
      </w:r>
      <w:bookmarkEnd w:id="241"/>
      <w:bookmarkEnd w:id="242"/>
      <w:bookmarkEnd w:id="243"/>
      <w:bookmarkEnd w:id="244"/>
    </w:p>
    <w:p>
      <w:pPr>
        <w:spacing w:line="240" w:lineRule="atLeast"/>
        <w:ind w:left="1079" w:leftChars="257" w:hanging="540"/>
        <w:rPr>
          <w:rFonts w:hint="eastAsia" w:ascii="仿宋_GB2312" w:hAnsi="Arial" w:eastAsia="仿宋_GB2312"/>
          <w:b/>
          <w:kern w:val="0"/>
          <w:sz w:val="24"/>
          <w:szCs w:val="20"/>
        </w:rPr>
      </w:pPr>
    </w:p>
    <w:p>
      <w:pPr>
        <w:jc w:val="center"/>
        <w:rPr>
          <w:rFonts w:hint="eastAsia" w:ascii="仿宋" w:hAnsi="仿宋" w:eastAsia="仿宋"/>
          <w:sz w:val="24"/>
        </w:rPr>
      </w:pPr>
      <w:r>
        <w:rPr>
          <w:rFonts w:hint="eastAsia" w:ascii="仿宋" w:hAnsi="仿宋" w:eastAsia="仿宋"/>
          <w:sz w:val="24"/>
        </w:rPr>
        <w:t>政府采购履约担保函（项目用）</w:t>
      </w:r>
    </w:p>
    <w:p>
      <w:pPr>
        <w:rPr>
          <w:rFonts w:hint="eastAsia"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hint="eastAsia"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hint="eastAsia"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年     月      日</w:t>
      </w:r>
    </w:p>
    <w:p>
      <w:pPr>
        <w:pStyle w:val="6"/>
        <w:spacing w:line="240" w:lineRule="atLeast"/>
        <w:ind w:firstLine="0"/>
        <w:rPr>
          <w:rFonts w:hint="eastAsia" w:ascii="仿宋_GB2312" w:hAnsi="宋体" w:eastAsia="仿宋_GB2312"/>
          <w:kern w:val="2"/>
          <w:szCs w:val="24"/>
        </w:rPr>
      </w:pPr>
      <w:r>
        <w:rPr>
          <w:rFonts w:ascii="仿宋_GB2312" w:hAnsi="Arial" w:eastAsia="仿宋_GB2312"/>
          <w:b/>
        </w:rPr>
        <w:br w:type="page"/>
      </w:r>
    </w:p>
    <w:p>
      <w:pPr>
        <w:pStyle w:val="3"/>
        <w:numPr>
          <w:ilvl w:val="0"/>
          <w:numId w:val="1"/>
        </w:numPr>
        <w:spacing w:before="0" w:after="0" w:line="240" w:lineRule="atLeast"/>
        <w:rPr>
          <w:rFonts w:hint="eastAsia" w:ascii="仿宋_GB2312" w:eastAsia="仿宋_GB2312"/>
        </w:rPr>
      </w:pPr>
      <w:bookmarkStart w:id="245" w:name="_Toc216582812"/>
      <w:bookmarkStart w:id="246" w:name="_Toc702"/>
      <w:bookmarkStart w:id="247" w:name="_Toc515647802"/>
      <w:bookmarkStart w:id="248" w:name="_Toc19692"/>
      <w:bookmarkStart w:id="249" w:name="_Toc728"/>
      <w:r>
        <w:rPr>
          <w:rFonts w:hint="eastAsia" w:ascii="仿宋_GB2312" w:eastAsia="仿宋_GB2312"/>
        </w:rPr>
        <w:t>投标文件格式</w:t>
      </w:r>
      <w:bookmarkEnd w:id="245"/>
      <w:bookmarkEnd w:id="246"/>
      <w:bookmarkEnd w:id="247"/>
      <w:bookmarkEnd w:id="248"/>
      <w:bookmarkEnd w:id="249"/>
    </w:p>
    <w:p>
      <w:pPr>
        <w:spacing w:line="240" w:lineRule="atLeast"/>
        <w:ind w:left="735" w:leftChars="350" w:firstLine="120" w:firstLineChars="50"/>
        <w:rPr>
          <w:rFonts w:ascii="仿宋_GB2312" w:hAnsi="宋体" w:eastAsia="仿宋_GB2312"/>
          <w:sz w:val="24"/>
        </w:rPr>
      </w:pPr>
    </w:p>
    <w:p>
      <w:pPr>
        <w:pStyle w:val="4"/>
        <w:spacing w:before="0" w:line="240" w:lineRule="atLeast"/>
        <w:ind w:left="1079" w:leftChars="257" w:hanging="540"/>
        <w:rPr>
          <w:rFonts w:ascii="仿宋_GB2312" w:hAnsi="宋体" w:eastAsia="仿宋_GB2312"/>
          <w:sz w:val="24"/>
        </w:rPr>
      </w:pPr>
      <w:bookmarkStart w:id="250" w:name="_Toc18694"/>
      <w:bookmarkStart w:id="251" w:name="_Toc515647803"/>
      <w:bookmarkStart w:id="252" w:name="_Toc18974"/>
      <w:bookmarkStart w:id="253" w:name="_Toc6220"/>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250"/>
      <w:bookmarkEnd w:id="251"/>
      <w:bookmarkEnd w:id="252"/>
      <w:bookmarkEnd w:id="253"/>
    </w:p>
    <w:p>
      <w:pPr>
        <w:spacing w:line="240" w:lineRule="atLeast"/>
        <w:ind w:left="708" w:hanging="708" w:hangingChars="295"/>
        <w:jc w:val="center"/>
        <w:rPr>
          <w:rFonts w:hint="eastAsia" w:ascii="仿宋_GB2312" w:hAnsi="宋体" w:eastAsia="仿宋_GB2312"/>
          <w:sz w:val="24"/>
        </w:rPr>
      </w:pPr>
    </w:p>
    <w:p>
      <w:pPr>
        <w:tabs>
          <w:tab w:val="left" w:pos="5580"/>
        </w:tabs>
        <w:spacing w:line="240" w:lineRule="atLeast"/>
        <w:ind w:firstLine="424" w:firstLineChars="177"/>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1</w:t>
      </w:r>
      <w:r>
        <w:rPr>
          <w:rFonts w:hint="eastAsia" w:ascii="仿宋_GB2312" w:hAnsi="宋体" w:eastAsia="仿宋_GB2312"/>
          <w:sz w:val="24"/>
        </w:rPr>
        <w:t xml:space="preserve"> 、开标一览表（见</w:t>
      </w:r>
      <w:r>
        <w:rPr>
          <w:rFonts w:ascii="仿宋_GB2312" w:hAnsi="宋体" w:eastAsia="仿宋_GB2312"/>
          <w:sz w:val="24"/>
        </w:rPr>
        <w:t>投标文件</w:t>
      </w:r>
      <w:r>
        <w:rPr>
          <w:rFonts w:hint="eastAsia" w:ascii="仿宋_GB2312" w:hAnsi="宋体" w:eastAsia="仿宋_GB2312"/>
          <w:sz w:val="24"/>
        </w:rPr>
        <w:t>格式一）</w:t>
      </w:r>
      <w:r>
        <w:rPr>
          <w:rFonts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、法人或者非法人组织的营业执照等证明文件复印件（须加盖本单位章）或自然人的身份证明复印件;</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、法定代表人授权书（见</w:t>
      </w:r>
      <w:r>
        <w:rPr>
          <w:rFonts w:ascii="仿宋_GB2312" w:hAnsi="宋体" w:eastAsia="仿宋_GB2312"/>
          <w:sz w:val="24"/>
        </w:rPr>
        <w:t>投标文件</w:t>
      </w:r>
      <w:r>
        <w:rPr>
          <w:rFonts w:hint="eastAsia" w:ascii="仿宋_GB2312" w:hAnsi="宋体" w:eastAsia="仿宋_GB2312"/>
          <w:sz w:val="24"/>
        </w:rPr>
        <w:t>格式二，自然人投标的无需提供）;</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、具有良好</w:t>
      </w:r>
      <w:r>
        <w:rPr>
          <w:rFonts w:ascii="仿宋_GB2312" w:hAnsi="宋体" w:eastAsia="仿宋_GB2312"/>
          <w:sz w:val="24"/>
        </w:rPr>
        <w:t>的商业信誉和健全的财务会计制度</w:t>
      </w:r>
      <w:r>
        <w:rPr>
          <w:rFonts w:hint="eastAsia" w:ascii="仿宋_GB2312" w:hAnsi="宋体" w:eastAsia="仿宋_GB2312"/>
          <w:sz w:val="24"/>
        </w:rPr>
        <w:t>的证明</w:t>
      </w:r>
      <w:r>
        <w:rPr>
          <w:rFonts w:ascii="仿宋_GB2312" w:hAnsi="宋体" w:eastAsia="仿宋_GB2312"/>
          <w:sz w:val="24"/>
        </w:rPr>
        <w:t>文件</w:t>
      </w:r>
      <w:r>
        <w:rPr>
          <w:rFonts w:hint="eastAsia"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hint="eastAsia" w:ascii="仿宋_GB2312" w:hAnsi="宋体" w:eastAsia="仿宋_GB2312"/>
          <w:sz w:val="24"/>
        </w:rPr>
        <w:t>5  投标保证金缴纳凭证复印件或投标担保函</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6</w:t>
      </w:r>
      <w:r>
        <w:rPr>
          <w:rFonts w:hint="eastAsia" w:ascii="仿宋_GB2312" w:hAnsi="宋体" w:eastAsia="仿宋_GB2312"/>
          <w:sz w:val="24"/>
        </w:rPr>
        <w:t>、社会保障资金的缴纳记录;</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、参加政府采购活动前3年内在经营活动中没有重大违法记录的书面声明;</w:t>
      </w:r>
    </w:p>
    <w:p>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、投标人须知资料表要求的其他资格证明文件;</w:t>
      </w:r>
    </w:p>
    <w:p>
      <w:pPr>
        <w:tabs>
          <w:tab w:val="left" w:pos="5580"/>
        </w:tabs>
        <w:spacing w:line="240" w:lineRule="atLeast"/>
        <w:ind w:left="1" w:firstLine="564" w:firstLineChars="235"/>
        <w:rPr>
          <w:rFonts w:hint="eastAsia" w:ascii="仿宋_GB2312" w:hAnsi="宋体" w:eastAsia="仿宋_GB2312"/>
          <w:sz w:val="24"/>
          <w:u w:val="single"/>
        </w:rPr>
      </w:pPr>
      <w:r>
        <w:rPr>
          <w:rFonts w:ascii="仿宋_GB2312" w:hAnsi="宋体" w:eastAsia="仿宋_GB2312"/>
          <w:sz w:val="24"/>
        </w:rPr>
        <w:t>9</w:t>
      </w:r>
      <w:r>
        <w:rPr>
          <w:rFonts w:hint="eastAsia" w:ascii="仿宋_GB2312" w:hAnsi="宋体" w:eastAsia="仿宋_GB2312"/>
          <w:sz w:val="24"/>
        </w:rPr>
        <w:t>、投标人所</w:t>
      </w:r>
      <w:r>
        <w:rPr>
          <w:rFonts w:ascii="仿宋_GB2312" w:hAnsi="宋体" w:eastAsia="仿宋_GB2312"/>
          <w:sz w:val="24"/>
        </w:rPr>
        <w:t>投产品为进口产品</w:t>
      </w:r>
      <w:r>
        <w:rPr>
          <w:rFonts w:hint="eastAsia" w:ascii="仿宋_GB2312" w:hAnsi="宋体" w:eastAsia="仿宋_GB2312"/>
          <w:sz w:val="24"/>
        </w:rPr>
        <w:t>按照投标人须知资料表中规定</w:t>
      </w:r>
      <w:r>
        <w:rPr>
          <w:rFonts w:ascii="仿宋_GB2312" w:hAnsi="宋体" w:eastAsia="仿宋_GB2312"/>
          <w:sz w:val="24"/>
        </w:rPr>
        <w:t>提供</w:t>
      </w:r>
      <w:r>
        <w:rPr>
          <w:rFonts w:hint="eastAsia" w:ascii="仿宋_GB2312" w:hAnsi="宋体" w:eastAsia="仿宋_GB2312"/>
          <w:sz w:val="24"/>
        </w:rPr>
        <w:t>制造厂家的授权书见</w:t>
      </w:r>
      <w:r>
        <w:rPr>
          <w:rFonts w:ascii="仿宋_GB2312" w:hAnsi="宋体" w:eastAsia="仿宋_GB2312"/>
          <w:sz w:val="24"/>
        </w:rPr>
        <w:t>投标文件</w:t>
      </w:r>
      <w:r>
        <w:rPr>
          <w:rFonts w:hint="eastAsia" w:ascii="仿宋_GB2312" w:hAnsi="宋体" w:eastAsia="仿宋_GB2312"/>
          <w:sz w:val="24"/>
        </w:rPr>
        <w:t>格式四）</w:t>
      </w: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hint="eastAsia" w:ascii="仿宋_GB2312" w:hAnsi="宋体" w:eastAsia="仿宋_GB2312"/>
          <w:sz w:val="24"/>
        </w:rPr>
      </w:pPr>
      <w:bookmarkStart w:id="254" w:name="_Toc515647804"/>
      <w:bookmarkStart w:id="255" w:name="_Toc30524"/>
      <w:bookmarkStart w:id="256" w:name="_Toc14309"/>
      <w:bookmarkStart w:id="257" w:name="_Toc16568"/>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254"/>
      <w:bookmarkEnd w:id="255"/>
      <w:bookmarkEnd w:id="256"/>
      <w:bookmarkEnd w:id="257"/>
    </w:p>
    <w:p>
      <w:pPr>
        <w:pStyle w:val="9"/>
        <w:tabs>
          <w:tab w:val="left" w:pos="5580"/>
        </w:tabs>
        <w:spacing w:line="240" w:lineRule="atLeast"/>
        <w:ind w:left="268" w:leftChars="128"/>
        <w:rPr>
          <w:rFonts w:ascii="仿宋_GB2312" w:hAnsi="宋体" w:eastAsia="仿宋_GB2312"/>
          <w:sz w:val="24"/>
        </w:rPr>
      </w:pPr>
    </w:p>
    <w:p>
      <w:pPr>
        <w:pStyle w:val="9"/>
        <w:tabs>
          <w:tab w:val="left" w:pos="5580"/>
        </w:tabs>
        <w:spacing w:line="240" w:lineRule="atLeast"/>
        <w:ind w:left="268" w:leftChars="128"/>
        <w:rPr>
          <w:rFonts w:hint="eastAsia" w:ascii="仿宋_GB2312" w:hAnsi="宋体" w:eastAsia="仿宋_GB2312"/>
          <w:sz w:val="24"/>
          <w:szCs w:val="24"/>
        </w:rPr>
      </w:pPr>
    </w:p>
    <w:p>
      <w:pPr>
        <w:pStyle w:val="6"/>
        <w:tabs>
          <w:tab w:val="left" w:pos="5580"/>
        </w:tabs>
        <w:spacing w:line="240" w:lineRule="atLeast"/>
        <w:ind w:left="1079" w:leftChars="257" w:hanging="540"/>
        <w:jc w:val="center"/>
        <w:rPr>
          <w:rFonts w:ascii="仿宋_GB2312" w:hAnsi="宋体" w:eastAsia="仿宋_GB2312"/>
          <w:b/>
        </w:rPr>
      </w:pPr>
      <w:bookmarkStart w:id="258" w:name="_Hlt520356241"/>
      <w:bookmarkEnd w:id="258"/>
      <w:bookmarkStart w:id="259" w:name="_Toc494296984"/>
      <w:bookmarkStart w:id="260" w:name="_Ref467988698"/>
      <w:bookmarkStart w:id="261" w:name="_Toc480942349"/>
      <w:bookmarkStart w:id="262" w:name="_Toc520356217"/>
      <w:bookmarkStart w:id="263" w:name="_Toc216582813"/>
      <w:r>
        <w:rPr>
          <w:rFonts w:hint="eastAsia" w:ascii="仿宋_GB2312" w:hAnsi="宋体" w:eastAsia="仿宋_GB2312"/>
          <w:b/>
        </w:rPr>
        <w:t>开标一览表</w:t>
      </w:r>
      <w:bookmarkEnd w:id="259"/>
      <w:r>
        <w:rPr>
          <w:rFonts w:hint="eastAsia" w:ascii="仿宋_GB2312" w:hAnsi="宋体" w:eastAsia="仿宋_GB2312"/>
          <w:b/>
        </w:rPr>
        <w:cr/>
      </w:r>
    </w:p>
    <w:p>
      <w:pPr>
        <w:pStyle w:val="6"/>
        <w:tabs>
          <w:tab w:val="left" w:pos="5580"/>
        </w:tabs>
        <w:spacing w:line="240" w:lineRule="atLeast"/>
        <w:ind w:left="1079" w:leftChars="257" w:hanging="540"/>
        <w:rPr>
          <w:rFonts w:hint="eastAsia" w:ascii="仿宋_GB2312" w:hAnsi="宋体" w:eastAsia="仿宋_GB2312"/>
        </w:rPr>
      </w:pPr>
    </w:p>
    <w:p>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pPr>
        <w:tabs>
          <w:tab w:val="left" w:pos="1800"/>
          <w:tab w:val="left" w:pos="5580"/>
        </w:tabs>
        <w:spacing w:line="240" w:lineRule="atLeast"/>
        <w:ind w:left="1079" w:leftChars="257" w:right="-867" w:rightChars="-413" w:hanging="540"/>
        <w:rPr>
          <w:rFonts w:hint="eastAsia" w:ascii="仿宋_GB2312" w:hAnsi="宋体" w:eastAsia="仿宋_GB2312"/>
          <w:sz w:val="24"/>
          <w:lang w:val="en-US" w:eastAsia="zh-CN"/>
        </w:rPr>
      </w:pPr>
      <w:r>
        <w:rPr>
          <w:rFonts w:hint="eastAsia" w:ascii="仿宋_GB2312" w:hAnsi="宋体" w:eastAsia="仿宋_GB2312"/>
          <w:sz w:val="24"/>
        </w:rPr>
        <w:t>报价单位：人民币</w:t>
      </w:r>
      <w:r>
        <w:rPr>
          <w:rFonts w:hint="eastAsia" w:ascii="仿宋_GB2312" w:hAnsi="宋体" w:eastAsia="仿宋_GB2312"/>
          <w:b/>
          <w:sz w:val="24"/>
        </w:rPr>
        <w:t xml:space="preserve"> </w:t>
      </w:r>
      <w:r>
        <w:rPr>
          <w:rFonts w:hint="eastAsia" w:ascii="仿宋_GB2312" w:hAnsi="宋体" w:eastAsia="仿宋_GB2312"/>
          <w:b/>
          <w:sz w:val="24"/>
          <w:lang w:val="en-US" w:eastAsia="zh-CN"/>
        </w:rPr>
        <w:t>元</w:t>
      </w:r>
    </w:p>
    <w:tbl>
      <w:tblPr>
        <w:tblStyle w:val="15"/>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lang w:eastAsia="zh-CN"/>
              </w:rPr>
              <w:t>项目</w:t>
            </w:r>
            <w:r>
              <w:rPr>
                <w:rFonts w:hint="eastAsia" w:ascii="仿宋_GB2312" w:hAnsi="宋体" w:eastAsia="仿宋_GB2312"/>
                <w:sz w:val="24"/>
              </w:rPr>
              <w:t>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交货期限</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r>
    </w:tbl>
    <w:p>
      <w:pPr>
        <w:pStyle w:val="9"/>
        <w:tabs>
          <w:tab w:val="left" w:pos="5580"/>
        </w:tabs>
        <w:spacing w:line="240" w:lineRule="atLeast"/>
        <w:ind w:left="1079" w:leftChars="257" w:hanging="540"/>
        <w:rPr>
          <w:rFonts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u w:val="single"/>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ascii="仿宋_GB2312" w:hAnsi="宋体" w:eastAsia="仿宋_GB2312"/>
          <w:sz w:val="24"/>
          <w:u w:val="single"/>
        </w:rPr>
        <w:tab/>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pPr>
        <w:pStyle w:val="9"/>
        <w:numPr>
          <w:ilvl w:val="0"/>
          <w:numId w:val="6"/>
        </w:numPr>
        <w:spacing w:line="240" w:lineRule="atLeast"/>
        <w:ind w:left="2" w:leftChars="-9" w:hanging="20"/>
        <w:jc w:val="left"/>
        <w:rPr>
          <w:rFonts w:hint="eastAsia" w:ascii="仿宋_GB2312" w:hAnsi="宋体" w:eastAsia="仿宋_GB2312"/>
          <w:sz w:val="24"/>
        </w:rPr>
      </w:pPr>
      <w:r>
        <w:rPr>
          <w:rFonts w:hint="eastAsia" w:ascii="仿宋_GB2312" w:hAnsi="宋体" w:eastAsia="仿宋_GB2312"/>
          <w:sz w:val="24"/>
        </w:rPr>
        <w:t>此表中，每包的投标总价应和投标分项报价表的总价相一致。</w:t>
      </w:r>
    </w:p>
    <w:p>
      <w:pPr>
        <w:pStyle w:val="9"/>
        <w:tabs>
          <w:tab w:val="left" w:pos="5580"/>
        </w:tabs>
        <w:spacing w:line="240" w:lineRule="atLeast"/>
        <w:ind w:left="1078" w:leftChars="428" w:hanging="180" w:hangingChars="75"/>
        <w:rPr>
          <w:rFonts w:hint="eastAsia" w:ascii="仿宋_GB2312" w:hAnsi="宋体" w:eastAsia="仿宋_GB2312"/>
          <w:sz w:val="24"/>
        </w:rPr>
      </w:pPr>
    </w:p>
    <w:p>
      <w:pPr>
        <w:rPr>
          <w:rFonts w:hint="eastAsia" w:ascii="仿宋_GB2312" w:eastAsia="仿宋_GB2312"/>
          <w:b/>
          <w:sz w:val="24"/>
        </w:rPr>
      </w:pPr>
      <w:r>
        <w:rPr>
          <w:rFonts w:ascii="仿宋_GB2312" w:hAnsi="宋体" w:eastAsia="仿宋_GB2312"/>
          <w:sz w:val="24"/>
        </w:rPr>
        <w:br w:type="page"/>
      </w:r>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4"/>
        <w:spacing w:before="0" w:line="240" w:lineRule="atLeast"/>
        <w:ind w:left="1079" w:leftChars="257" w:hanging="540"/>
        <w:rPr>
          <w:rFonts w:hint="eastAsia" w:ascii="仿宋_GB2312" w:hAnsi="宋体" w:eastAsia="仿宋_GB2312"/>
          <w:sz w:val="24"/>
        </w:rPr>
      </w:pPr>
      <w:bookmarkStart w:id="264" w:name="_Toc515647805"/>
      <w:bookmarkStart w:id="265" w:name="_Toc17577"/>
      <w:bookmarkStart w:id="266" w:name="_Toc608"/>
      <w:bookmarkStart w:id="267" w:name="_Toc29899"/>
      <w:r>
        <w:rPr>
          <w:rFonts w:ascii="仿宋_GB2312" w:hAnsi="宋体" w:eastAsia="仿宋_GB2312"/>
          <w:sz w:val="24"/>
        </w:rPr>
        <w:t>2</w:t>
      </w:r>
      <w:r>
        <w:rPr>
          <w:rFonts w:hint="eastAsia" w:ascii="仿宋_GB2312" w:hAnsi="宋体" w:eastAsia="仿宋_GB2312"/>
          <w:sz w:val="24"/>
        </w:rPr>
        <w:t xml:space="preserve">  法人或者非法人组织的营业执照等证明文件</w:t>
      </w:r>
      <w:bookmarkEnd w:id="264"/>
      <w:bookmarkStart w:id="268" w:name="_Toc515647806"/>
      <w:r>
        <w:rPr>
          <w:rFonts w:hint="eastAsia" w:ascii="仿宋_GB2312" w:hAnsi="宋体" w:eastAsia="仿宋_GB2312"/>
          <w:sz w:val="24"/>
        </w:rPr>
        <w:t>或自然人的身份证明</w:t>
      </w:r>
      <w:bookmarkEnd w:id="265"/>
      <w:bookmarkEnd w:id="266"/>
      <w:bookmarkEnd w:id="267"/>
      <w:bookmarkEnd w:id="268"/>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b w:val="0"/>
          <w:sz w:val="24"/>
          <w:u w:val="single"/>
        </w:rPr>
      </w:pPr>
      <w:bookmarkStart w:id="269" w:name="_Toc23503"/>
      <w:bookmarkStart w:id="270" w:name="_Toc515647807"/>
      <w:bookmarkStart w:id="271" w:name="_Toc1083"/>
      <w:bookmarkStart w:id="272" w:name="_Toc22472"/>
      <w:r>
        <w:rPr>
          <w:rFonts w:ascii="仿宋_GB2312" w:hAnsi="宋体" w:eastAsia="仿宋_GB2312"/>
          <w:sz w:val="24"/>
        </w:rPr>
        <w:t>3</w:t>
      </w:r>
      <w:r>
        <w:rPr>
          <w:rFonts w:hint="eastAsia" w:ascii="仿宋_GB2312" w:hAnsi="宋体" w:eastAsia="仿宋_GB2312"/>
          <w:sz w:val="24"/>
        </w:rPr>
        <w:t xml:space="preserve">  法定代表人授权委托书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269"/>
      <w:bookmarkEnd w:id="270"/>
      <w:bookmarkEnd w:id="271"/>
      <w:bookmarkEnd w:id="272"/>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pPr>
        <w:pStyle w:val="9"/>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pPr>
        <w:pStyle w:val="9"/>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pPr>
        <w:pStyle w:val="9"/>
        <w:tabs>
          <w:tab w:val="left" w:pos="5580"/>
        </w:tabs>
        <w:spacing w:line="240" w:lineRule="atLeast"/>
        <w:ind w:left="-539" w:leftChars="-257" w:firstLine="900" w:firstLineChars="375"/>
        <w:rPr>
          <w:rFonts w:hint="eastAsia" w:ascii="仿宋_GB2312" w:hAnsi="宋体" w:eastAsia="仿宋_GB2312"/>
          <w:sz w:val="24"/>
        </w:rPr>
      </w:pP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FFFFFF"/>
        </w:rPr>
        <w:t>投标</w:t>
      </w:r>
      <w:r>
        <w:rPr>
          <w:rFonts w:hint="eastAsia" w:ascii="仿宋_GB2312" w:hAnsi="宋体" w:eastAsia="仿宋_GB2312"/>
          <w:sz w:val="24"/>
          <w:u w:val="single"/>
        </w:rPr>
        <w:t xml:space="preserve">人（盖单位章）;                           </w:t>
      </w:r>
    </w:p>
    <w:p>
      <w:pPr>
        <w:pStyle w:val="9"/>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u w:val="single" w:color="FFFFFF"/>
        </w:rPr>
        <w:t>法定代表人（签字或签章）</w:t>
      </w:r>
      <w:r>
        <w:rPr>
          <w:rFonts w:hint="eastAsia" w:ascii="仿宋_GB2312" w:hAnsi="宋体"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EEECE1"/>
        </w:rPr>
        <w:t>身份证号码</w:t>
      </w:r>
      <w:r>
        <w:rPr>
          <w:rFonts w:hint="eastAsia" w:ascii="仿宋_GB2312" w:hAnsi="宋体" w:eastAsia="仿宋_GB2312"/>
          <w:sz w:val="24"/>
          <w:u w:val="single"/>
        </w:rPr>
        <w:t xml:space="preserve">：__________________________________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委托代理人：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身份证号码：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详细通讯地址</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 xml:space="preserve">邮 政 编 码 </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传　　　　真</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电　　　　话</w:t>
      </w:r>
      <w:r>
        <w:rPr>
          <w:rFonts w:hint="eastAsia" w:ascii="仿宋_GB2312" w:eastAsia="仿宋_GB2312"/>
          <w:sz w:val="24"/>
        </w:rPr>
        <w:t>：</w:t>
      </w:r>
      <w:r>
        <w:rPr>
          <w:rFonts w:hint="eastAsia" w:ascii="仿宋_GB2312" w:hAnsi="宋体" w:eastAsia="仿宋_GB2312"/>
          <w:sz w:val="24"/>
          <w:u w:val="single"/>
        </w:rPr>
        <w:t xml:space="preserve">                                 </w:t>
      </w:r>
    </w:p>
    <w:p>
      <w:pPr>
        <w:pStyle w:val="4"/>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73" w:name="_Toc7039"/>
      <w:bookmarkStart w:id="274" w:name="_Toc32520"/>
      <w:bookmarkStart w:id="275" w:name="_Toc18130"/>
      <w:bookmarkStart w:id="276" w:name="_Toc515647808"/>
      <w:r>
        <w:rPr>
          <w:rFonts w:ascii="仿宋_GB2312" w:hAnsi="宋体" w:eastAsia="仿宋_GB2312"/>
          <w:sz w:val="24"/>
        </w:rPr>
        <w:t>4</w:t>
      </w:r>
      <w:r>
        <w:rPr>
          <w:rFonts w:hint="eastAsia" w:ascii="仿宋_GB2312" w:hAnsi="宋体" w:eastAsia="仿宋_GB2312"/>
          <w:sz w:val="24"/>
        </w:rPr>
        <w:t xml:space="preserve">  具有良好</w:t>
      </w:r>
      <w:r>
        <w:rPr>
          <w:rFonts w:ascii="仿宋_GB2312" w:hAnsi="宋体" w:eastAsia="仿宋_GB2312"/>
          <w:sz w:val="24"/>
        </w:rPr>
        <w:t>的商业信誉和健全的财务会计制度</w:t>
      </w:r>
      <w:r>
        <w:rPr>
          <w:rFonts w:hint="eastAsia" w:ascii="仿宋_GB2312" w:hAnsi="宋体" w:eastAsia="仿宋_GB2312"/>
          <w:sz w:val="24"/>
        </w:rPr>
        <w:t>的</w:t>
      </w:r>
      <w:r>
        <w:rPr>
          <w:rFonts w:ascii="仿宋_GB2312" w:hAnsi="宋体" w:eastAsia="仿宋_GB2312"/>
          <w:sz w:val="24"/>
        </w:rPr>
        <w:t>证明文件</w:t>
      </w:r>
      <w:bookmarkEnd w:id="273"/>
      <w:bookmarkEnd w:id="274"/>
      <w:bookmarkEnd w:id="275"/>
      <w:bookmarkEnd w:id="276"/>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3060"/>
          <w:tab w:val="left" w:pos="5580"/>
        </w:tabs>
        <w:spacing w:line="240" w:lineRule="atLeast"/>
        <w:ind w:left="1079" w:leftChars="257" w:hanging="540"/>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eastAsia="仿宋_GB2312"/>
          <w:b/>
          <w:sz w:val="24"/>
        </w:rPr>
      </w:pP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tabs>
          <w:tab w:val="left" w:pos="5580"/>
        </w:tabs>
        <w:spacing w:line="240" w:lineRule="atLeast"/>
        <w:ind w:left="1079" w:leftChars="257" w:hanging="540"/>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4"/>
        </w:rPr>
      </w:pPr>
      <w:r>
        <w:rPr>
          <w:rFonts w:ascii="仿宋_GB2312" w:eastAsia="仿宋_GB2312"/>
          <w:sz w:val="24"/>
        </w:rPr>
        <w:br w:type="page"/>
      </w:r>
      <w:bookmarkStart w:id="277" w:name="_Toc31238"/>
      <w:bookmarkStart w:id="278" w:name="_Toc28445"/>
      <w:bookmarkStart w:id="279" w:name="_Toc515647809"/>
      <w:bookmarkStart w:id="280" w:name="_Toc11047"/>
      <w:r>
        <w:rPr>
          <w:rFonts w:ascii="仿宋_GB2312" w:hAnsi="宋体" w:eastAsia="仿宋_GB2312"/>
          <w:sz w:val="24"/>
        </w:rPr>
        <w:t xml:space="preserve">5  </w:t>
      </w:r>
      <w:r>
        <w:rPr>
          <w:rFonts w:hint="eastAsia" w:ascii="仿宋_GB2312" w:hAnsi="宋体" w:eastAsia="仿宋_GB2312"/>
          <w:sz w:val="24"/>
        </w:rPr>
        <w:t>投标保证金缴纳凭证复印件或投标担保函</w:t>
      </w:r>
      <w:bookmarkEnd w:id="277"/>
      <w:bookmarkEnd w:id="278"/>
      <w:bookmarkEnd w:id="279"/>
      <w:bookmarkEnd w:id="280"/>
    </w:p>
    <w:p>
      <w:pPr>
        <w:ind w:firstLine="420" w:firstLineChars="200"/>
        <w:rPr>
          <w:rFonts w:hint="eastAsia" w:ascii="仿宋" w:hAnsi="仿宋" w:eastAsia="仿宋"/>
        </w:rPr>
      </w:pPr>
      <w:bookmarkStart w:id="281" w:name="_Toc494296991"/>
      <w:bookmarkStart w:id="282" w:name="_Toc494296665"/>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81"/>
      <w:bookmarkEnd w:id="282"/>
    </w:p>
    <w:p>
      <w:pPr>
        <w:spacing w:line="240" w:lineRule="atLeast"/>
        <w:ind w:left="1079" w:leftChars="257" w:hanging="540"/>
        <w:jc w:val="center"/>
        <w:rPr>
          <w:rFonts w:hint="eastAsia" w:ascii="仿宋_GB2312" w:hAnsi="宋体" w:eastAsia="仿宋_GB2312"/>
          <w:sz w:val="24"/>
        </w:rPr>
      </w:pPr>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格式三）</w:t>
      </w:r>
    </w:p>
    <w:p>
      <w:pPr>
        <w:ind w:firstLine="6720" w:firstLineChars="3200"/>
        <w:rPr>
          <w:rFonts w:hint="eastAsia" w:ascii="仿宋" w:hAnsi="仿宋" w:eastAsia="仿宋"/>
        </w:rPr>
      </w:pPr>
      <w:r>
        <w:rPr>
          <w:rFonts w:hint="eastAsia" w:ascii="仿宋" w:hAnsi="仿宋" w:eastAsia="仿宋"/>
        </w:rPr>
        <w:t>编号：</w:t>
      </w:r>
    </w:p>
    <w:p>
      <w:pPr>
        <w:rPr>
          <w:rFonts w:ascii="仿宋" w:hAnsi="仿宋" w:eastAsia="仿宋"/>
        </w:rPr>
      </w:pPr>
      <w:r>
        <w:rPr>
          <w:rFonts w:ascii="仿宋" w:hAnsi="仿宋" w:eastAsia="仿宋"/>
        </w:rPr>
        <w:t xml:space="preserve"> </w:t>
      </w:r>
    </w:p>
    <w:p>
      <w:pPr>
        <w:rPr>
          <w:rFonts w:hint="eastAsia" w:ascii="仿宋" w:hAnsi="仿宋" w:eastAsia="仿宋"/>
        </w:rPr>
      </w:pPr>
      <w:r>
        <w:rPr>
          <w:rFonts w:hint="eastAsia" w:ascii="仿宋" w:hAnsi="仿宋" w:eastAsia="仿宋"/>
          <w:u w:val="single"/>
        </w:rPr>
        <w:t xml:space="preserve">                  </w:t>
      </w:r>
      <w:r>
        <w:rPr>
          <w:rFonts w:hint="eastAsia" w:ascii="仿宋" w:hAnsi="仿宋" w:eastAsia="仿宋"/>
        </w:rPr>
        <w:t>（采购人或采购代理机构）：</w:t>
      </w:r>
    </w:p>
    <w:p>
      <w:pPr>
        <w:rPr>
          <w:rFonts w:ascii="仿宋" w:hAnsi="仿宋" w:eastAsia="仿宋"/>
        </w:rPr>
      </w:pP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ind w:firstLine="5775" w:firstLineChars="2750"/>
        <w:rPr>
          <w:rFonts w:ascii="仿宋" w:hAnsi="仿宋" w:eastAsia="仿宋"/>
        </w:rPr>
        <w:sectPr>
          <w:footerReference r:id="rId5" w:type="default"/>
          <w:pgSz w:w="11906" w:h="16838"/>
          <w:pgMar w:top="1440" w:right="1797" w:bottom="1440" w:left="1797" w:header="851" w:footer="992" w:gutter="0"/>
          <w:pgNumType w:start="1"/>
          <w:cols w:space="720" w:num="1"/>
          <w:docGrid w:type="linesAndChars" w:linePitch="312" w:charSpace="0"/>
        </w:sectPr>
      </w:pPr>
    </w:p>
    <w:p>
      <w:pPr>
        <w:ind w:firstLine="5775" w:firstLineChars="2750"/>
        <w:rPr>
          <w:rFonts w:ascii="仿宋" w:hAnsi="仿宋" w:eastAsia="仿宋"/>
        </w:rPr>
      </w:pPr>
    </w:p>
    <w:p>
      <w:pPr>
        <w:rPr>
          <w:rFonts w:hint="eastAsia" w:ascii="仿宋" w:hAnsi="仿宋" w:eastAsia="仿宋"/>
        </w:rPr>
      </w:pPr>
    </w:p>
    <w:p>
      <w:pPr>
        <w:ind w:firstLine="5775" w:firstLineChars="2750"/>
        <w:rPr>
          <w:rFonts w:ascii="仿宋" w:hAnsi="仿宋" w:eastAsia="仿宋"/>
        </w:rPr>
      </w:pPr>
    </w:p>
    <w:p>
      <w:pPr>
        <w:ind w:firstLine="5775" w:firstLineChars="2750"/>
        <w:rPr>
          <w:rFonts w:hint="eastAsia" w:ascii="仿宋" w:hAnsi="仿宋" w:eastAsia="仿宋"/>
        </w:rPr>
      </w:pPr>
    </w:p>
    <w:p>
      <w:pPr>
        <w:pStyle w:val="4"/>
        <w:spacing w:before="0" w:line="240" w:lineRule="atLeast"/>
        <w:ind w:left="1079" w:leftChars="257" w:hanging="540"/>
        <w:rPr>
          <w:rFonts w:hint="eastAsia" w:ascii="仿宋_GB2312" w:hAnsi="宋体" w:eastAsia="仿宋_GB2312"/>
          <w:sz w:val="24"/>
        </w:rPr>
      </w:pPr>
      <w:bookmarkStart w:id="283" w:name="_Toc18754"/>
      <w:bookmarkStart w:id="284" w:name="_Toc13602"/>
      <w:bookmarkStart w:id="285" w:name="_Toc515647810"/>
      <w:bookmarkStart w:id="286" w:name="_Toc5710"/>
      <w:r>
        <w:rPr>
          <w:rFonts w:ascii="仿宋_GB2312" w:hAnsi="宋体" w:eastAsia="仿宋_GB2312"/>
          <w:sz w:val="24"/>
        </w:rPr>
        <w:t xml:space="preserve">6  </w:t>
      </w:r>
      <w:r>
        <w:rPr>
          <w:rFonts w:hint="eastAsia" w:ascii="仿宋_GB2312" w:hAnsi="宋体" w:eastAsia="仿宋_GB2312"/>
          <w:sz w:val="24"/>
        </w:rPr>
        <w:t>社会保障资金的缴纳记录</w:t>
      </w:r>
      <w:bookmarkEnd w:id="283"/>
      <w:bookmarkEnd w:id="284"/>
      <w:bookmarkEnd w:id="285"/>
      <w:bookmarkEnd w:id="286"/>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540"/>
        <w:rPr>
          <w:rFonts w:hint="eastAsia" w:ascii="仿宋_GB2312" w:hAnsi="宋体" w:eastAsia="仿宋_GB2312"/>
          <w:b/>
          <w:sz w:val="24"/>
        </w:rPr>
      </w:pPr>
    </w:p>
    <w:p>
      <w:pPr>
        <w:pStyle w:val="9"/>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rFonts w:hint="eastAsia" w:ascii="仿宋_GB2312" w:eastAsia="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9"/>
        <w:tabs>
          <w:tab w:val="left" w:pos="5580"/>
        </w:tabs>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87" w:name="_Toc32670"/>
      <w:bookmarkStart w:id="288" w:name="_Toc24428"/>
      <w:bookmarkStart w:id="289" w:name="_Toc515647811"/>
      <w:bookmarkStart w:id="290" w:name="_Toc12631"/>
      <w:r>
        <w:rPr>
          <w:rFonts w:ascii="仿宋_GB2312" w:hAnsi="宋体" w:eastAsia="仿宋_GB2312"/>
          <w:sz w:val="24"/>
        </w:rPr>
        <w:t xml:space="preserve">7  </w:t>
      </w:r>
      <w:r>
        <w:rPr>
          <w:rFonts w:hint="eastAsia" w:ascii="仿宋_GB2312" w:hAnsi="宋体" w:eastAsia="仿宋_GB2312"/>
          <w:sz w:val="24"/>
        </w:rPr>
        <w:t>参加政府采购活动前3年内</w:t>
      </w:r>
      <w:bookmarkEnd w:id="287"/>
      <w:bookmarkEnd w:id="288"/>
      <w:bookmarkEnd w:id="289"/>
      <w:bookmarkStart w:id="291" w:name="_Toc6008"/>
      <w:bookmarkStart w:id="292" w:name="_Toc1137"/>
      <w:bookmarkStart w:id="293" w:name="_Toc515647812"/>
      <w:r>
        <w:rPr>
          <w:rFonts w:hint="eastAsia" w:ascii="仿宋_GB2312" w:hAnsi="宋体" w:eastAsia="仿宋_GB2312"/>
          <w:sz w:val="24"/>
        </w:rPr>
        <w:t>在经营活动中没有重大违法记录的书面声明</w:t>
      </w:r>
      <w:bookmarkEnd w:id="290"/>
      <w:bookmarkEnd w:id="291"/>
      <w:bookmarkEnd w:id="292"/>
      <w:bookmarkEnd w:id="293"/>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pPr>
        <w:pStyle w:val="9"/>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．按照招标文件的规定加盖单位章（自然人投标的无需盖章，需要签字）。</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pPr>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hint="eastAsia" w:ascii="仿宋_GB2312" w:hAnsi="宋体" w:eastAsia="仿宋_GB2312"/>
          <w:sz w:val="24"/>
        </w:rPr>
      </w:pPr>
      <w:bookmarkStart w:id="294" w:name="_Toc17207"/>
      <w:bookmarkStart w:id="295" w:name="_Toc29703"/>
      <w:bookmarkStart w:id="296" w:name="_Toc28937"/>
      <w:bookmarkStart w:id="297" w:name="_Toc515647813"/>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294"/>
      <w:bookmarkEnd w:id="295"/>
      <w:bookmarkEnd w:id="296"/>
      <w:bookmarkEnd w:id="297"/>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9"/>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4"/>
        <w:spacing w:before="0" w:line="240" w:lineRule="atLeast"/>
        <w:ind w:left="1079" w:leftChars="257" w:hanging="540"/>
        <w:rPr>
          <w:rFonts w:ascii="仿宋_GB2312" w:hAnsi="宋体" w:eastAsia="仿宋_GB2312"/>
          <w:sz w:val="24"/>
        </w:rPr>
      </w:pPr>
      <w:r>
        <w:rPr>
          <w:rFonts w:ascii="仿宋_GB2312" w:eastAsia="仿宋_GB2312"/>
          <w:sz w:val="24"/>
        </w:rPr>
        <w:br w:type="page"/>
      </w:r>
      <w:bookmarkStart w:id="298" w:name="_Toc23044"/>
      <w:bookmarkStart w:id="299" w:name="_Toc2502"/>
      <w:bookmarkStart w:id="300" w:name="_Toc7730"/>
      <w:bookmarkStart w:id="301" w:name="_Toc515647814"/>
      <w:r>
        <w:rPr>
          <w:rFonts w:ascii="仿宋_GB2312" w:hAnsi="宋体" w:eastAsia="仿宋_GB2312"/>
          <w:sz w:val="24"/>
        </w:rPr>
        <w:t>9</w:t>
      </w:r>
      <w:r>
        <w:rPr>
          <w:rFonts w:hint="eastAsia" w:ascii="仿宋_GB2312" w:hAnsi="宋体" w:eastAsia="仿宋_GB2312"/>
          <w:sz w:val="24"/>
        </w:rPr>
        <w:t xml:space="preserve">  进口产品制造厂家的授权书　（</w:t>
      </w:r>
      <w:r>
        <w:rPr>
          <w:rFonts w:ascii="仿宋_GB2312" w:hAnsi="宋体" w:eastAsia="仿宋_GB2312"/>
          <w:sz w:val="24"/>
        </w:rPr>
        <w:t>投标文件</w:t>
      </w:r>
      <w:r>
        <w:rPr>
          <w:rFonts w:hint="eastAsia" w:ascii="仿宋_GB2312" w:hAnsi="宋体" w:eastAsia="仿宋_GB2312"/>
          <w:sz w:val="24"/>
        </w:rPr>
        <w:t>格式四）</w:t>
      </w:r>
      <w:bookmarkEnd w:id="298"/>
      <w:bookmarkEnd w:id="299"/>
      <w:bookmarkEnd w:id="300"/>
      <w:bookmarkEnd w:id="301"/>
    </w:p>
    <w:p>
      <w:pPr>
        <w:tabs>
          <w:tab w:val="left" w:pos="5580"/>
        </w:tabs>
        <w:spacing w:line="240" w:lineRule="atLeast"/>
        <w:ind w:left="1079" w:leftChars="257" w:hanging="540"/>
        <w:rPr>
          <w:rFonts w:ascii="仿宋_GB2312" w:hAnsi="宋体" w:eastAsia="仿宋_GB2312"/>
          <w:sz w:val="24"/>
        </w:rPr>
      </w:pPr>
    </w:p>
    <w:p>
      <w:pPr>
        <w:tabs>
          <w:tab w:val="left" w:pos="5580"/>
        </w:tabs>
        <w:spacing w:line="240" w:lineRule="atLeast"/>
        <w:rPr>
          <w:rFonts w:hint="eastAsia" w:ascii="仿宋_GB2312" w:hAnsi="宋体" w:eastAsia="仿宋_GB2312"/>
          <w:sz w:val="24"/>
          <w:u w:val="single"/>
        </w:rPr>
      </w:pPr>
      <w:r>
        <w:rPr>
          <w:rFonts w:hint="eastAsia" w:ascii="仿宋_GB2312" w:hAnsi="宋体" w:eastAsia="仿宋_GB2312"/>
          <w:sz w:val="24"/>
        </w:rPr>
        <w:t>致：采购代理机构</w:t>
      </w:r>
    </w:p>
    <w:p>
      <w:pPr>
        <w:pStyle w:val="9"/>
        <w:tabs>
          <w:tab w:val="left" w:pos="5580"/>
        </w:tabs>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我们（</w:t>
      </w:r>
      <w:r>
        <w:rPr>
          <w:rFonts w:hint="eastAsia" w:ascii="仿宋_GB2312" w:hAnsi="宋体" w:eastAsia="仿宋_GB2312"/>
          <w:i/>
          <w:sz w:val="24"/>
          <w:u w:val="single"/>
        </w:rPr>
        <w:t>制造商名称</w:t>
      </w:r>
      <w:r>
        <w:rPr>
          <w:rFonts w:hint="eastAsia" w:ascii="仿宋_GB2312" w:hAnsi="宋体" w:eastAsia="仿宋_GB2312"/>
          <w:sz w:val="24"/>
        </w:rPr>
        <w:t>）是按（</w:t>
      </w:r>
      <w:r>
        <w:rPr>
          <w:rFonts w:hint="eastAsia" w:ascii="仿宋_GB2312" w:hAnsi="宋体" w:eastAsia="仿宋_GB2312"/>
          <w:i/>
          <w:sz w:val="24"/>
          <w:u w:val="single"/>
        </w:rPr>
        <w:t>国家名称</w:t>
      </w:r>
      <w:r>
        <w:rPr>
          <w:rFonts w:hint="eastAsia" w:ascii="仿宋_GB2312" w:hAnsi="宋体" w:eastAsia="仿宋_GB2312"/>
          <w:sz w:val="24"/>
        </w:rPr>
        <w:t>）法律成立的一家制造商，主要营业地点设在（</w:t>
      </w:r>
      <w:r>
        <w:rPr>
          <w:rFonts w:hint="eastAsia" w:ascii="仿宋_GB2312" w:hAnsi="宋体" w:eastAsia="仿宋_GB2312"/>
          <w:i/>
          <w:sz w:val="24"/>
          <w:u w:val="single"/>
        </w:rPr>
        <w:t>制造商地址</w:t>
      </w:r>
      <w:r>
        <w:rPr>
          <w:rFonts w:hint="eastAsia" w:ascii="仿宋_GB2312" w:hAnsi="宋体" w:eastAsia="仿宋_GB2312"/>
          <w:sz w:val="24"/>
        </w:rPr>
        <w:t>）。兹指派按（</w:t>
      </w:r>
      <w:r>
        <w:rPr>
          <w:rFonts w:hint="eastAsia" w:ascii="仿宋_GB2312" w:hAnsi="宋体" w:eastAsia="仿宋_GB2312"/>
          <w:i/>
          <w:sz w:val="24"/>
          <w:u w:val="single"/>
        </w:rPr>
        <w:t>国家名称</w:t>
      </w:r>
      <w:r>
        <w:rPr>
          <w:rFonts w:hint="eastAsia" w:ascii="仿宋_GB2312" w:hAnsi="宋体" w:eastAsia="仿宋_GB2312"/>
          <w:sz w:val="24"/>
        </w:rPr>
        <w:t>）的法律正式成立的，主要营业地点设在（</w:t>
      </w:r>
      <w:r>
        <w:rPr>
          <w:rFonts w:hint="eastAsia" w:ascii="仿宋_GB2312" w:hAnsi="宋体" w:eastAsia="仿宋_GB2312"/>
          <w:i/>
          <w:sz w:val="24"/>
          <w:u w:val="single"/>
        </w:rPr>
        <w:t>经销商地址</w:t>
      </w:r>
      <w:r>
        <w:rPr>
          <w:rFonts w:hint="eastAsia" w:ascii="仿宋_GB2312" w:hAnsi="宋体" w:eastAsia="仿宋_GB2312"/>
          <w:sz w:val="24"/>
        </w:rPr>
        <w:t>）的（</w:t>
      </w:r>
      <w:r>
        <w:rPr>
          <w:rFonts w:hint="eastAsia" w:ascii="仿宋_GB2312" w:hAnsi="宋体" w:eastAsia="仿宋_GB2312"/>
          <w:i/>
          <w:sz w:val="24"/>
          <w:u w:val="single"/>
        </w:rPr>
        <w:t>经销商名称</w:t>
      </w:r>
      <w:r>
        <w:rPr>
          <w:rFonts w:hint="eastAsia" w:ascii="仿宋_GB2312" w:hAnsi="宋体" w:eastAsia="仿宋_GB2312"/>
          <w:sz w:val="24"/>
        </w:rPr>
        <w:t>）作为我方真正的合法的代理人进行下列有效的活动：</w:t>
      </w:r>
    </w:p>
    <w:p>
      <w:pPr>
        <w:pStyle w:val="9"/>
        <w:tabs>
          <w:tab w:val="left" w:pos="5580"/>
        </w:tabs>
        <w:spacing w:line="240" w:lineRule="atLeast"/>
        <w:ind w:firstLine="540" w:firstLineChars="225"/>
        <w:rPr>
          <w:rFonts w:hint="eastAsia" w:ascii="仿宋_GB2312" w:hAnsi="宋体" w:eastAsia="仿宋_GB2312"/>
          <w:sz w:val="24"/>
        </w:rPr>
      </w:pPr>
    </w:p>
    <w:p>
      <w:pPr>
        <w:pStyle w:val="9"/>
        <w:numPr>
          <w:ilvl w:val="0"/>
          <w:numId w:val="7"/>
        </w:numPr>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代表我方办理贵方</w:t>
      </w:r>
      <w:r>
        <w:rPr>
          <w:rFonts w:hint="eastAsia" w:ascii="仿宋_GB2312" w:hAnsi="宋体" w:eastAsia="仿宋_GB2312"/>
          <w:sz w:val="24"/>
          <w:u w:val="single"/>
        </w:rPr>
        <w:t>　　（招标编号）　</w:t>
      </w:r>
      <w:r>
        <w:rPr>
          <w:rFonts w:hint="eastAsia" w:ascii="仿宋_GB2312" w:hAnsi="宋体" w:eastAsia="仿宋_GB2312"/>
          <w:sz w:val="24"/>
        </w:rPr>
        <w:t>投标邀请要求提供的由我方制造的货物的有关事宜，并对我方具有约束力。</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（2）作为制造商，我方保证以投标合作者来约束自己，并对该投标共同和分别承担招标文件中所规定的义务。</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（3）我方兹授予</w:t>
      </w:r>
      <w:r>
        <w:rPr>
          <w:rFonts w:hint="eastAsia" w:ascii="仿宋_GB2312" w:hAnsi="宋体" w:eastAsia="仿宋_GB2312"/>
          <w:sz w:val="24"/>
          <w:u w:val="single"/>
        </w:rPr>
        <w:t>　　（经销商名称）　　</w:t>
      </w:r>
      <w:r>
        <w:rPr>
          <w:rFonts w:hint="eastAsia" w:ascii="仿宋_GB2312" w:hAnsi="宋体" w:eastAsia="仿宋_GB2312"/>
          <w:sz w:val="24"/>
        </w:rPr>
        <w:t>全权办理和履行上述我方为完成上述各点所必须的事宜，具有替换或撤销的全权。兹确认</w:t>
      </w:r>
      <w:r>
        <w:rPr>
          <w:rFonts w:hint="eastAsia" w:ascii="仿宋_GB2312" w:hAnsi="宋体" w:eastAsia="仿宋_GB2312"/>
          <w:sz w:val="24"/>
          <w:u w:val="single"/>
        </w:rPr>
        <w:t>　　（经销商名称）　　</w:t>
      </w:r>
      <w:r>
        <w:rPr>
          <w:rFonts w:hint="eastAsia" w:ascii="仿宋_GB2312" w:hAnsi="宋体" w:eastAsia="仿宋_GB2312"/>
          <w:sz w:val="24"/>
        </w:rPr>
        <w:t>或其正式授权代表依此合法地办理一切事宜。</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（4）我方于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日签署本文件，</w:t>
      </w:r>
      <w:r>
        <w:rPr>
          <w:rFonts w:hint="eastAsia" w:ascii="仿宋_GB2312" w:hAnsi="宋体" w:eastAsia="仿宋_GB2312"/>
          <w:sz w:val="24"/>
          <w:u w:val="single"/>
        </w:rPr>
        <w:t>　　（经销商名称）　　</w:t>
      </w:r>
      <w:r>
        <w:rPr>
          <w:rFonts w:hint="eastAsia" w:ascii="仿宋_GB2312" w:hAnsi="宋体" w:eastAsia="仿宋_GB2312"/>
          <w:sz w:val="24"/>
        </w:rPr>
        <w:t>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日接受此件，以此为证。</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签字人姓名：</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ascii="仿宋_GB2312" w:hAnsi="宋体" w:eastAsia="仿宋_GB2312"/>
          <w:sz w:val="24"/>
        </w:rPr>
      </w:pPr>
      <w:bookmarkStart w:id="302" w:name="_Toc494296666"/>
      <w:bookmarkStart w:id="303" w:name="_Toc494296997"/>
      <w:r>
        <w:rPr>
          <w:rFonts w:hint="eastAsia" w:ascii="仿宋_GB2312" w:hAnsi="宋体" w:eastAsia="仿宋_GB2312"/>
          <w:sz w:val="24"/>
        </w:rPr>
        <w:t>签字人签名：</w:t>
      </w:r>
      <w:bookmarkEnd w:id="302"/>
      <w:bookmarkEnd w:id="303"/>
      <w:r>
        <w:rPr>
          <w:rFonts w:hint="eastAsia" w:ascii="仿宋_GB2312" w:hAnsi="宋体" w:eastAsia="仿宋_GB2312"/>
          <w:sz w:val="24"/>
          <w:u w:val="single"/>
        </w:rPr>
        <w:t xml:space="preserve">                                  </w:t>
      </w:r>
      <w:r>
        <w:rPr>
          <w:rFonts w:ascii="仿宋_GB2312" w:hAnsi="宋体" w:eastAsia="仿宋_GB2312"/>
          <w:sz w:val="24"/>
        </w:rPr>
        <w:br w:type="page"/>
      </w:r>
      <w:r>
        <w:rPr>
          <w:rFonts w:ascii="仿宋_GB2312" w:hAnsi="宋体" w:eastAsia="仿宋_GB2312"/>
          <w:sz w:val="24"/>
        </w:rPr>
        <w:t xml:space="preserve"> </w:t>
      </w:r>
    </w:p>
    <w:p>
      <w:pPr>
        <w:pStyle w:val="4"/>
        <w:spacing w:before="0" w:line="240" w:lineRule="atLeast"/>
        <w:ind w:left="1079" w:leftChars="257" w:hanging="540"/>
        <w:rPr>
          <w:rFonts w:hint="eastAsia" w:ascii="仿宋_GB2312" w:hAnsi="宋体" w:eastAsia="仿宋_GB2312"/>
          <w:sz w:val="24"/>
        </w:rPr>
      </w:pPr>
      <w:bookmarkStart w:id="304" w:name="_Toc22967"/>
      <w:bookmarkStart w:id="305" w:name="_Toc30317"/>
      <w:bookmarkStart w:id="306" w:name="_Toc11180"/>
      <w:bookmarkStart w:id="307" w:name="_Toc515647816"/>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304"/>
      <w:bookmarkEnd w:id="305"/>
      <w:bookmarkEnd w:id="306"/>
      <w:bookmarkEnd w:id="307"/>
    </w:p>
    <w:p>
      <w:pPr>
        <w:pStyle w:val="9"/>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格式五）</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、投标保证金缴纳凭证复印件或投标担保函（见</w:t>
      </w:r>
      <w:r>
        <w:rPr>
          <w:rFonts w:ascii="仿宋_GB2312" w:hAnsi="宋体" w:eastAsia="仿宋_GB2312"/>
          <w:sz w:val="24"/>
        </w:rPr>
        <w:t>投标文件</w:t>
      </w:r>
      <w:r>
        <w:rPr>
          <w:rFonts w:hint="eastAsia" w:ascii="仿宋_GB2312" w:hAnsi="宋体" w:eastAsia="仿宋_GB2312"/>
          <w:sz w:val="24"/>
        </w:rPr>
        <w:t>格式六）</w:t>
      </w:r>
    </w:p>
    <w:p>
      <w:pPr>
        <w:pStyle w:val="9"/>
        <w:ind w:left="1079" w:leftChars="257" w:hanging="540"/>
        <w:rPr>
          <w:rFonts w:hint="eastAsia" w:ascii="仿宋_GB2312" w:hAnsi="宋体" w:eastAsia="仿宋_GB2312"/>
          <w:sz w:val="24"/>
        </w:rPr>
      </w:pPr>
      <w:r>
        <w:rPr>
          <w:rFonts w:hint="eastAsia" w:ascii="仿宋_GB2312" w:hAnsi="宋体" w:eastAsia="仿宋_GB2312"/>
          <w:sz w:val="24"/>
        </w:rPr>
        <w:t>3、投标分项报价表（</w:t>
      </w:r>
      <w:r>
        <w:rPr>
          <w:rFonts w:ascii="仿宋_GB2312" w:hAnsi="宋体" w:eastAsia="仿宋_GB2312"/>
          <w:sz w:val="24"/>
        </w:rPr>
        <w:t>投标文件</w:t>
      </w:r>
      <w:r>
        <w:rPr>
          <w:rFonts w:hint="eastAsia" w:ascii="仿宋_GB2312" w:hAnsi="宋体" w:eastAsia="仿宋_GB2312"/>
          <w:sz w:val="24"/>
        </w:rPr>
        <w:t>格式七）</w:t>
      </w:r>
    </w:p>
    <w:p>
      <w:pPr>
        <w:pStyle w:val="9"/>
        <w:ind w:left="1079" w:leftChars="257" w:hanging="54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、货物说明一览表（</w:t>
      </w:r>
      <w:r>
        <w:rPr>
          <w:rFonts w:ascii="仿宋_GB2312" w:hAnsi="宋体" w:eastAsia="仿宋_GB2312"/>
          <w:sz w:val="24"/>
        </w:rPr>
        <w:t>投标文件</w:t>
      </w:r>
      <w:r>
        <w:rPr>
          <w:rFonts w:hint="eastAsia" w:ascii="仿宋_GB2312" w:hAnsi="宋体" w:eastAsia="仿宋_GB2312"/>
          <w:sz w:val="24"/>
        </w:rPr>
        <w:t>格式八）</w:t>
      </w:r>
    </w:p>
    <w:p>
      <w:pPr>
        <w:pStyle w:val="9"/>
        <w:ind w:left="1079" w:leftChars="257" w:hanging="540"/>
        <w:rPr>
          <w:rFonts w:hint="eastAsia"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、技术规格偏离表（</w:t>
      </w:r>
      <w:r>
        <w:rPr>
          <w:rFonts w:ascii="仿宋_GB2312" w:hAnsi="宋体" w:eastAsia="仿宋_GB2312"/>
          <w:sz w:val="24"/>
        </w:rPr>
        <w:t>投标文件</w:t>
      </w:r>
      <w:r>
        <w:rPr>
          <w:rFonts w:hint="eastAsia" w:ascii="仿宋_GB2312" w:hAnsi="宋体" w:eastAsia="仿宋_GB2312"/>
          <w:sz w:val="24"/>
        </w:rPr>
        <w:t>格式九）</w:t>
      </w:r>
    </w:p>
    <w:p>
      <w:pPr>
        <w:pStyle w:val="9"/>
        <w:ind w:left="1079" w:leftChars="257" w:hanging="54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格式十）</w:t>
      </w:r>
    </w:p>
    <w:p>
      <w:pPr>
        <w:pStyle w:val="9"/>
        <w:ind w:left="1079" w:leftChars="257" w:hanging="540"/>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、符合《</w:t>
      </w:r>
      <w:r>
        <w:rPr>
          <w:rFonts w:ascii="仿宋_GB2312" w:hAnsi="宋体" w:eastAsia="仿宋_GB2312"/>
          <w:sz w:val="24"/>
        </w:rPr>
        <w:t>政府采购促进中小企业发展暂行办法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9"/>
        <w:ind w:left="310" w:leftChars="148" w:firstLine="228"/>
        <w:rPr>
          <w:rFonts w:ascii="仿宋_GB2312" w:hAnsi="宋体" w:eastAsia="仿宋_GB2312"/>
          <w:sz w:val="24"/>
        </w:rPr>
      </w:pPr>
      <w:r>
        <w:rPr>
          <w:rFonts w:ascii="仿宋_GB2312" w:hAnsi="宋体" w:eastAsia="仿宋_GB2312"/>
          <w:sz w:val="24"/>
        </w:rPr>
        <w:t>7-1</w:t>
      </w:r>
      <w:r>
        <w:rPr>
          <w:rFonts w:hint="eastAsia" w:ascii="仿宋_GB2312" w:hAnsi="宋体" w:eastAsia="仿宋_GB2312"/>
          <w:sz w:val="24"/>
        </w:rPr>
        <w:t>《</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格式十一）</w:t>
      </w:r>
    </w:p>
    <w:p>
      <w:pPr>
        <w:pStyle w:val="9"/>
        <w:ind w:left="310" w:leftChars="148" w:firstLine="228"/>
        <w:rPr>
          <w:rFonts w:ascii="仿宋_GB2312" w:hAnsi="宋体" w:eastAsia="仿宋_GB2312"/>
          <w:sz w:val="24"/>
        </w:rPr>
      </w:pPr>
      <w:r>
        <w:rPr>
          <w:rFonts w:ascii="仿宋_GB2312" w:hAnsi="宋体" w:eastAsia="仿宋_GB2312"/>
          <w:sz w:val="24"/>
        </w:rPr>
        <w:t>7-2</w:t>
      </w:r>
      <w:r>
        <w:rPr>
          <w:rFonts w:hint="eastAsia" w:ascii="仿宋_GB2312" w:hAnsi="宋体" w:eastAsia="仿宋_GB2312"/>
          <w:sz w:val="24"/>
        </w:rPr>
        <w:t>《制造商</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格式十二）</w:t>
      </w:r>
    </w:p>
    <w:p>
      <w:pPr>
        <w:pStyle w:val="9"/>
        <w:ind w:left="310" w:leftChars="148" w:firstLine="228"/>
        <w:rPr>
          <w:rFonts w:ascii="仿宋_GB2312" w:hAnsi="宋体" w:eastAsia="仿宋_GB2312"/>
          <w:sz w:val="24"/>
        </w:rPr>
      </w:pPr>
      <w:r>
        <w:rPr>
          <w:rFonts w:ascii="仿宋_GB2312" w:hAnsi="宋体" w:eastAsia="仿宋_GB2312"/>
          <w:sz w:val="24"/>
        </w:rPr>
        <w:t>7-3</w:t>
      </w:r>
      <w:r>
        <w:rPr>
          <w:rFonts w:hint="eastAsia" w:ascii="仿宋_GB2312" w:hAnsi="宋体" w:eastAsia="仿宋_GB2312"/>
          <w:sz w:val="24"/>
        </w:rPr>
        <w:t>《残疾人福利性单位声明函》（</w:t>
      </w:r>
      <w:r>
        <w:rPr>
          <w:rFonts w:ascii="仿宋_GB2312" w:hAnsi="宋体" w:eastAsia="仿宋_GB2312"/>
          <w:sz w:val="24"/>
        </w:rPr>
        <w:t>投标文件</w:t>
      </w:r>
      <w:r>
        <w:rPr>
          <w:rFonts w:hint="eastAsia" w:ascii="仿宋_GB2312" w:hAnsi="宋体" w:eastAsia="仿宋_GB2312"/>
          <w:sz w:val="24"/>
        </w:rPr>
        <w:t>格式十三）</w:t>
      </w:r>
    </w:p>
    <w:p>
      <w:pPr>
        <w:pStyle w:val="9"/>
        <w:ind w:left="310" w:leftChars="148" w:firstLine="228"/>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4"/>
        <w:spacing w:before="0" w:line="240" w:lineRule="atLeast"/>
        <w:ind w:left="1079" w:leftChars="257" w:hanging="540"/>
        <w:jc w:val="both"/>
        <w:rPr>
          <w:rFonts w:hint="eastAsia" w:ascii="仿宋_GB2312" w:hAnsi="宋体" w:eastAsia="仿宋_GB2312"/>
          <w:b w:val="0"/>
          <w:kern w:val="2"/>
          <w:sz w:val="24"/>
        </w:rPr>
      </w:pPr>
      <w:r>
        <w:rPr>
          <w:rFonts w:hint="eastAsia" w:ascii="仿宋_GB2312" w:hAnsi="宋体" w:eastAsia="仿宋_GB2312"/>
          <w:b w:val="0"/>
          <w:kern w:val="2"/>
          <w:sz w:val="24"/>
        </w:rPr>
        <w:t>9、关于对本投标文件（响应文件）中资料真实性的承诺</w:t>
      </w:r>
    </w:p>
    <w:p>
      <w:pPr>
        <w:pStyle w:val="9"/>
        <w:ind w:left="1079" w:leftChars="257" w:hanging="540"/>
        <w:rPr>
          <w:rFonts w:ascii="仿宋_GB2312" w:eastAsia="仿宋_GB2312"/>
          <w:sz w:val="24"/>
        </w:rPr>
      </w:pPr>
      <w:r>
        <w:rPr>
          <w:rFonts w:hint="eastAsia" w:ascii="仿宋_GB2312" w:hAnsi="宋体" w:eastAsia="仿宋_GB2312"/>
          <w:sz w:val="24"/>
        </w:rPr>
        <w:t>10、投标文件还应包括投标人须知第10条的所有技术文件</w:t>
      </w:r>
    </w:p>
    <w:p>
      <w:pPr>
        <w:pStyle w:val="9"/>
        <w:ind w:left="1079" w:leftChars="257" w:hanging="540"/>
        <w:rPr>
          <w:rFonts w:ascii="仿宋_GB2312"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sz w:val="24"/>
        </w:rPr>
      </w:pPr>
      <w:bookmarkStart w:id="308" w:name="_Toc2041"/>
      <w:bookmarkStart w:id="309" w:name="_Toc8525"/>
      <w:bookmarkStart w:id="310" w:name="_Toc14915"/>
      <w:bookmarkStart w:id="311" w:name="_Toc515647817"/>
      <w:r>
        <w:rPr>
          <w:rFonts w:hint="eastAsia" w:ascii="仿宋_GB2312" w:hAnsi="宋体" w:eastAsia="仿宋_GB2312"/>
          <w:sz w:val="24"/>
        </w:rPr>
        <w:t xml:space="preserve">1   </w:t>
      </w:r>
      <w:bookmarkStart w:id="312" w:name="_Hlt520355504"/>
      <w:bookmarkEnd w:id="312"/>
      <w:r>
        <w:rPr>
          <w:rFonts w:hint="eastAsia" w:ascii="仿宋_GB2312" w:hAnsi="宋体" w:eastAsia="仿宋_GB2312"/>
          <w:sz w:val="24"/>
        </w:rPr>
        <w:t>投标</w:t>
      </w:r>
      <w:bookmarkEnd w:id="260"/>
      <w:bookmarkEnd w:id="261"/>
      <w:r>
        <w:rPr>
          <w:rFonts w:hint="eastAsia" w:ascii="仿宋_GB2312" w:hAnsi="宋体" w:eastAsia="仿宋_GB2312"/>
          <w:sz w:val="24"/>
        </w:rPr>
        <w:t>书</w:t>
      </w:r>
      <w:bookmarkEnd w:id="262"/>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63"/>
      <w:bookmarkEnd w:id="308"/>
      <w:bookmarkEnd w:id="309"/>
      <w:bookmarkEnd w:id="310"/>
      <w:bookmarkEnd w:id="311"/>
    </w:p>
    <w:p>
      <w:pPr>
        <w:tabs>
          <w:tab w:val="left" w:pos="5580"/>
        </w:tabs>
        <w:spacing w:line="240" w:lineRule="atLeast"/>
        <w:ind w:left="1079" w:leftChars="257" w:hanging="540"/>
        <w:rPr>
          <w:rFonts w:hint="eastAsia" w:ascii="仿宋_GB2312" w:hAnsi="宋体" w:eastAsia="仿宋_GB2312"/>
          <w:sz w:val="24"/>
        </w:rPr>
      </w:pPr>
    </w:p>
    <w:p>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pPr>
        <w:pStyle w:val="9"/>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（1）附投标价格表中规定的应提供货物</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（如果是联合体的话）。</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pPr>
        <w:pStyle w:val="9"/>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 xml:space="preserve">  与本投标有关的一切正式往来信函请寄：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法定代表人或其委托代理人签字-----------------</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pPr>
        <w:pStyle w:val="4"/>
        <w:spacing w:before="0" w:line="240" w:lineRule="atLeast"/>
        <w:rPr>
          <w:rFonts w:ascii="仿宋_GB2312" w:eastAsia="仿宋_GB2312"/>
          <w:sz w:val="24"/>
        </w:rPr>
      </w:pPr>
      <w:r>
        <w:rPr>
          <w:rFonts w:ascii="仿宋_GB2312" w:hAnsi="宋体" w:eastAsia="仿宋_GB2312"/>
          <w:sz w:val="24"/>
        </w:rPr>
        <w:br w:type="page"/>
      </w:r>
      <w:bookmarkStart w:id="313" w:name="_Toc23473"/>
      <w:bookmarkStart w:id="314" w:name="_Toc19943"/>
      <w:bookmarkStart w:id="315" w:name="_Toc1266"/>
      <w:r>
        <w:rPr>
          <w:rFonts w:ascii="仿宋_GB2312" w:hAnsi="宋体" w:eastAsia="仿宋_GB2312"/>
          <w:sz w:val="24"/>
        </w:rPr>
        <w:t>2</w:t>
      </w:r>
      <w:r>
        <w:rPr>
          <w:rFonts w:hint="eastAsia" w:ascii="仿宋_GB2312" w:hAnsi="宋体" w:eastAsia="仿宋_GB2312"/>
          <w:sz w:val="24"/>
        </w:rPr>
        <w:t xml:space="preserve">   投标保证金缴纳凭证复印件或投标担保函</w:t>
      </w:r>
      <w:bookmarkEnd w:id="313"/>
      <w:bookmarkEnd w:id="314"/>
      <w:bookmarkEnd w:id="315"/>
    </w:p>
    <w:p>
      <w:pPr>
        <w:ind w:firstLine="420" w:firstLineChars="200"/>
        <w:rPr>
          <w:rFonts w:hint="eastAsia" w:ascii="仿宋_GB2312" w:hAnsi="宋体" w:eastAsia="仿宋_GB2312"/>
          <w:sz w:val="24"/>
        </w:rPr>
      </w:pPr>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政府采购投标担保函（</w:t>
      </w:r>
      <w:r>
        <w:rPr>
          <w:rFonts w:ascii="仿宋" w:hAnsi="仿宋" w:eastAsia="仿宋"/>
        </w:rPr>
        <w:t>投标文件</w:t>
      </w:r>
      <w:r>
        <w:rPr>
          <w:rFonts w:hint="eastAsia" w:ascii="仿宋" w:hAnsi="仿宋" w:eastAsia="仿宋"/>
        </w:rPr>
        <w:t>格式六）,将原件装订</w:t>
      </w:r>
      <w:r>
        <w:rPr>
          <w:rFonts w:ascii="仿宋" w:hAnsi="仿宋" w:eastAsia="仿宋"/>
        </w:rPr>
        <w:t>在本部分正本中</w:t>
      </w:r>
      <w:r>
        <w:rPr>
          <w:rFonts w:hint="eastAsia" w:ascii="仿宋" w:hAnsi="仿宋" w:eastAsia="仿宋"/>
        </w:rPr>
        <w:t>。</w:t>
      </w:r>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格式六）</w:t>
      </w:r>
    </w:p>
    <w:p>
      <w:pPr>
        <w:ind w:firstLine="672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pStyle w:val="9"/>
        <w:tabs>
          <w:tab w:val="left" w:pos="5580"/>
        </w:tabs>
        <w:spacing w:line="240" w:lineRule="atLeast"/>
        <w:ind w:left="1079" w:leftChars="257" w:hanging="540"/>
        <w:rPr>
          <w:rFonts w:ascii="仿宋_GB2312" w:hAnsi="宋体" w:eastAsia="仿宋_GB2312"/>
          <w:sz w:val="24"/>
        </w:rPr>
        <w:sectPr>
          <w:footerReference r:id="rId6" w:type="default"/>
          <w:pgSz w:w="11906" w:h="16838"/>
          <w:pgMar w:top="1440" w:right="1797" w:bottom="1440" w:left="1797" w:header="851" w:footer="992" w:gutter="0"/>
          <w:cols w:space="720" w:num="1"/>
          <w:docGrid w:type="linesAndChars" w:linePitch="312" w:charSpace="0"/>
        </w:sectPr>
      </w:pPr>
      <w:bookmarkStart w:id="316" w:name="_Hlt520356243"/>
      <w:bookmarkEnd w:id="316"/>
      <w:bookmarkStart w:id="317" w:name="_Hlt520355938"/>
      <w:bookmarkEnd w:id="317"/>
    </w:p>
    <w:p>
      <w:pPr>
        <w:pStyle w:val="4"/>
        <w:spacing w:before="0" w:line="240" w:lineRule="atLeast"/>
        <w:ind w:left="1080" w:leftChars="257" w:hanging="540"/>
        <w:rPr>
          <w:rFonts w:hint="eastAsia" w:ascii="仿宋_GB2312" w:eastAsia="仿宋_GB2312"/>
          <w:sz w:val="24"/>
        </w:rPr>
      </w:pPr>
      <w:bookmarkStart w:id="318" w:name="_Toc216582815"/>
      <w:bookmarkStart w:id="319" w:name="_Toc515647818"/>
      <w:bookmarkStart w:id="320" w:name="_Toc20897"/>
      <w:bookmarkStart w:id="321" w:name="_Toc10388"/>
      <w:bookmarkStart w:id="322" w:name="_Toc1881"/>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bookmarkEnd w:id="318"/>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319"/>
      <w:bookmarkEnd w:id="320"/>
      <w:bookmarkEnd w:id="321"/>
      <w:bookmarkEnd w:id="322"/>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 　 　报价单位：人民币  元</w:t>
      </w:r>
    </w:p>
    <w:tbl>
      <w:tblPr>
        <w:tblStyle w:val="15"/>
        <w:tblW w:w="12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名称</w:t>
            </w:r>
          </w:p>
        </w:tc>
        <w:tc>
          <w:tcPr>
            <w:tcW w:w="1984"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型号和规格</w:t>
            </w:r>
          </w:p>
        </w:tc>
        <w:tc>
          <w:tcPr>
            <w:tcW w:w="1418"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数量</w:t>
            </w:r>
          </w:p>
        </w:tc>
        <w:tc>
          <w:tcPr>
            <w:tcW w:w="1215"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原产地</w:t>
            </w:r>
          </w:p>
        </w:tc>
        <w:tc>
          <w:tcPr>
            <w:tcW w:w="1152"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制造商名称</w:t>
            </w:r>
          </w:p>
        </w:tc>
        <w:tc>
          <w:tcPr>
            <w:tcW w:w="1177"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单价</w:t>
            </w:r>
          </w:p>
        </w:tc>
        <w:tc>
          <w:tcPr>
            <w:tcW w:w="1717"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总价</w:t>
            </w:r>
          </w:p>
        </w:tc>
        <w:tc>
          <w:tcPr>
            <w:tcW w:w="976"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货物名称</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备品备件</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专用工具</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安装、调试、检验</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培训</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技术服务</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vAlign w:val="center"/>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总价：</w:t>
            </w:r>
          </w:p>
        </w:tc>
        <w:tc>
          <w:tcPr>
            <w:tcW w:w="2693" w:type="dxa"/>
            <w:gridSpan w:val="2"/>
            <w:vAlign w:val="center"/>
          </w:tcPr>
          <w:p>
            <w:pPr>
              <w:pStyle w:val="9"/>
              <w:spacing w:line="240" w:lineRule="atLeast"/>
              <w:ind w:left="1080" w:leftChars="257" w:hanging="540"/>
              <w:jc w:val="center"/>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eastAsia="仿宋_GB2312"/>
          <w:sz w:val="24"/>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注:1.如果投标人认为需要，每种货物填写一份该表。</w:t>
      </w:r>
    </w:p>
    <w:p>
      <w:pPr>
        <w:pStyle w:val="9"/>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4.上述各项的详细分项报价，应另页描述。</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pPr>
        <w:pStyle w:val="9"/>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 xml:space="preserve">   6.分项报价表中需写明所投货物的型号、规格、原产地、制造商名称。</w:t>
      </w:r>
    </w:p>
    <w:p>
      <w:pPr>
        <w:pStyle w:val="9"/>
        <w:spacing w:line="240" w:lineRule="atLeast"/>
        <w:ind w:left="1080" w:leftChars="257" w:hanging="540"/>
        <w:rPr>
          <w:rFonts w:hint="eastAsia" w:ascii="仿宋_GB2312" w:eastAsia="仿宋_GB2312"/>
          <w:sz w:val="24"/>
        </w:rPr>
      </w:pPr>
      <w:r>
        <w:rPr>
          <w:rFonts w:ascii="仿宋_GB2312" w:eastAsia="仿宋_GB2312"/>
          <w:sz w:val="24"/>
        </w:rPr>
        <w:br w:type="page"/>
      </w:r>
      <w:bookmarkStart w:id="571" w:name="_GoBack"/>
      <w:bookmarkEnd w:id="571"/>
    </w:p>
    <w:p>
      <w:pPr>
        <w:pStyle w:val="4"/>
        <w:spacing w:before="0" w:line="240" w:lineRule="atLeast"/>
        <w:ind w:left="1080" w:leftChars="257" w:hanging="540"/>
        <w:rPr>
          <w:rFonts w:hint="eastAsia" w:ascii="仿宋_GB2312" w:eastAsia="仿宋_GB2312"/>
          <w:sz w:val="24"/>
        </w:rPr>
      </w:pPr>
      <w:bookmarkStart w:id="323" w:name="_Toc216582816"/>
      <w:bookmarkStart w:id="324" w:name="_Toc14037"/>
      <w:bookmarkStart w:id="325" w:name="_Toc32398"/>
      <w:bookmarkStart w:id="326" w:name="_Toc515647819"/>
      <w:bookmarkStart w:id="327" w:name="_Toc18267"/>
      <w:r>
        <w:rPr>
          <w:rFonts w:ascii="仿宋_GB2312" w:eastAsia="仿宋_GB2312"/>
          <w:sz w:val="24"/>
        </w:rPr>
        <w:t xml:space="preserve">4   </w:t>
      </w:r>
      <w:r>
        <w:rPr>
          <w:rFonts w:hint="eastAsia" w:ascii="仿宋_GB2312" w:eastAsia="仿宋_GB2312"/>
          <w:sz w:val="24"/>
        </w:rPr>
        <w:t>货物说明一览表</w:t>
      </w:r>
      <w:bookmarkEnd w:id="323"/>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324"/>
      <w:bookmarkEnd w:id="325"/>
      <w:bookmarkEnd w:id="326"/>
      <w:bookmarkEnd w:id="327"/>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pPr>
        <w:pStyle w:val="9"/>
        <w:spacing w:line="240" w:lineRule="atLeast"/>
        <w:ind w:left="1080" w:leftChars="257" w:hanging="540"/>
        <w:rPr>
          <w:rFonts w:hint="eastAsia" w:ascii="仿宋_GB2312" w:eastAsia="仿宋_GB2312"/>
          <w:sz w:val="24"/>
        </w:rPr>
      </w:pPr>
    </w:p>
    <w:tbl>
      <w:tblPr>
        <w:tblStyle w:val="15"/>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货物名称</w:t>
            </w:r>
          </w:p>
        </w:tc>
        <w:tc>
          <w:tcPr>
            <w:tcW w:w="180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交货期</w:t>
            </w:r>
          </w:p>
        </w:tc>
        <w:tc>
          <w:tcPr>
            <w:tcW w:w="216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交货地点</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pPr>
        <w:pStyle w:val="9"/>
        <w:spacing w:line="240" w:lineRule="atLeast"/>
        <w:ind w:left="1080" w:leftChars="257" w:hanging="540"/>
        <w:jc w:val="center"/>
        <w:rPr>
          <w:rFonts w:hint="eastAsia" w:ascii="仿宋_GB2312" w:eastAsia="仿宋_GB2312"/>
          <w:sz w:val="24"/>
        </w:rPr>
      </w:pPr>
    </w:p>
    <w:p>
      <w:pPr>
        <w:pStyle w:val="9"/>
        <w:spacing w:line="240" w:lineRule="atLeast"/>
        <w:ind w:left="1080" w:leftChars="257" w:hanging="540"/>
        <w:jc w:val="center"/>
        <w:rPr>
          <w:rFonts w:ascii="仿宋_GB2312" w:eastAsia="仿宋_GB2312"/>
          <w:sz w:val="24"/>
        </w:rPr>
        <w:sectPr>
          <w:pgSz w:w="16838" w:h="11906" w:orient="landscape"/>
          <w:pgMar w:top="1797" w:right="1440" w:bottom="1797" w:left="1440" w:header="851" w:footer="992" w:gutter="0"/>
          <w:cols w:space="720" w:num="1"/>
          <w:docGrid w:linePitch="312" w:charSpace="0"/>
        </w:sectPr>
      </w:pPr>
    </w:p>
    <w:p>
      <w:pPr>
        <w:pStyle w:val="4"/>
        <w:spacing w:before="0" w:line="240" w:lineRule="atLeast"/>
        <w:ind w:left="1080" w:leftChars="257" w:hanging="540"/>
        <w:rPr>
          <w:rFonts w:hint="eastAsia" w:ascii="仿宋_GB2312" w:eastAsia="仿宋_GB2312"/>
          <w:sz w:val="24"/>
        </w:rPr>
      </w:pPr>
      <w:bookmarkStart w:id="328" w:name="_Toc216582817"/>
      <w:bookmarkStart w:id="329" w:name="_Toc515647820"/>
      <w:bookmarkStart w:id="330" w:name="_Toc22563"/>
      <w:bookmarkStart w:id="331" w:name="_Toc29780"/>
      <w:bookmarkStart w:id="332" w:name="_Toc28959"/>
      <w:r>
        <w:rPr>
          <w:rFonts w:ascii="仿宋_GB2312" w:eastAsia="仿宋_GB2312"/>
          <w:sz w:val="24"/>
        </w:rPr>
        <w:t>5</w:t>
      </w:r>
      <w:r>
        <w:rPr>
          <w:rFonts w:hint="eastAsia" w:ascii="仿宋_GB2312" w:eastAsia="仿宋_GB2312"/>
          <w:sz w:val="24"/>
        </w:rPr>
        <w:t xml:space="preserve">   技术规格偏离表</w:t>
      </w:r>
      <w:bookmarkEnd w:id="328"/>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329"/>
      <w:bookmarkEnd w:id="330"/>
      <w:bookmarkEnd w:id="331"/>
      <w:bookmarkEnd w:id="332"/>
    </w:p>
    <w:p>
      <w:pPr>
        <w:pStyle w:val="9"/>
        <w:spacing w:line="240" w:lineRule="atLeast"/>
        <w:ind w:left="1080" w:leftChars="257" w:hanging="540"/>
        <w:rPr>
          <w:rFonts w:hint="eastAsia" w:ascii="仿宋_GB2312" w:eastAsia="仿宋_GB2312"/>
          <w:sz w:val="24"/>
        </w:rPr>
      </w:pPr>
    </w:p>
    <w:p>
      <w:pPr>
        <w:pStyle w:val="9"/>
        <w:spacing w:line="240" w:lineRule="atLeast"/>
        <w:rPr>
          <w:rFonts w:hint="eastAsia" w:ascii="仿宋_GB2312" w:eastAsia="仿宋_GB2312"/>
          <w:sz w:val="24"/>
        </w:rPr>
      </w:pPr>
      <w:r>
        <w:rPr>
          <w:rFonts w:hint="eastAsia" w:ascii="仿宋_GB2312" w:eastAsia="仿宋_GB2312"/>
          <w:sz w:val="24"/>
        </w:rPr>
        <w:t>项目名称:                       招标编号:                 包号:</w:t>
      </w:r>
    </w:p>
    <w:p>
      <w:pPr>
        <w:pStyle w:val="9"/>
        <w:spacing w:line="240" w:lineRule="atLeast"/>
        <w:ind w:left="1080" w:leftChars="257" w:hanging="540"/>
        <w:rPr>
          <w:rFonts w:hint="eastAsia" w:ascii="仿宋_GB2312" w:eastAsia="仿宋_GB2312"/>
          <w:sz w:val="24"/>
        </w:rPr>
      </w:pP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货物名称</w:t>
            </w:r>
          </w:p>
        </w:tc>
        <w:tc>
          <w:tcPr>
            <w:tcW w:w="2340"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pPr>
        <w:pStyle w:val="4"/>
        <w:spacing w:before="0" w:line="240" w:lineRule="atLeast"/>
        <w:ind w:left="1080" w:leftChars="257" w:hanging="540"/>
        <w:rPr>
          <w:rFonts w:hint="eastAsia" w:ascii="仿宋_GB2312" w:eastAsia="仿宋_GB2312"/>
          <w:sz w:val="24"/>
        </w:rPr>
      </w:pPr>
      <w:bookmarkStart w:id="333" w:name="_Toc216582818"/>
      <w:bookmarkStart w:id="334" w:name="_Toc515647821"/>
      <w:bookmarkStart w:id="335" w:name="_Toc1980"/>
      <w:bookmarkStart w:id="336" w:name="_Toc28374"/>
      <w:bookmarkStart w:id="337" w:name="_Toc23"/>
      <w:r>
        <w:rPr>
          <w:rFonts w:ascii="仿宋_GB2312" w:eastAsia="仿宋_GB2312"/>
          <w:sz w:val="24"/>
        </w:rPr>
        <w:t>6</w:t>
      </w:r>
      <w:r>
        <w:rPr>
          <w:rFonts w:hint="eastAsia" w:ascii="仿宋_GB2312" w:eastAsia="仿宋_GB2312"/>
          <w:sz w:val="24"/>
        </w:rPr>
        <w:t xml:space="preserve">   商务条款偏离表</w:t>
      </w:r>
      <w:bookmarkEnd w:id="333"/>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334"/>
      <w:bookmarkEnd w:id="335"/>
      <w:bookmarkEnd w:id="336"/>
      <w:bookmarkEnd w:id="337"/>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pPr>
        <w:pStyle w:val="9"/>
        <w:spacing w:line="240" w:lineRule="atLeast"/>
        <w:ind w:left="1080" w:leftChars="257" w:hanging="540"/>
        <w:rPr>
          <w:rFonts w:hint="eastAsia" w:ascii="仿宋_GB2312" w:eastAsia="仿宋_GB2312"/>
          <w:sz w:val="24"/>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jc w:val="center"/>
              <w:rPr>
                <w:rFonts w:hint="eastAsia" w:ascii="仿宋_GB2312" w:eastAsia="仿宋_GB2312"/>
                <w:sz w:val="24"/>
              </w:rPr>
            </w:pPr>
          </w:p>
        </w:tc>
        <w:tc>
          <w:tcPr>
            <w:tcW w:w="2520" w:type="dxa"/>
            <w:vAlign w:val="top"/>
          </w:tcPr>
          <w:p>
            <w:pPr>
              <w:pStyle w:val="9"/>
              <w:spacing w:line="240" w:lineRule="atLeast"/>
              <w:ind w:left="1080" w:leftChars="257" w:hanging="540"/>
              <w:jc w:val="center"/>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pPr>
        <w:pStyle w:val="4"/>
        <w:spacing w:before="0" w:line="240" w:lineRule="atLeast"/>
        <w:ind w:firstLine="2168" w:firstLineChars="900"/>
        <w:jc w:val="both"/>
        <w:rPr>
          <w:rFonts w:hint="eastAsia" w:ascii="仿宋_GB2312" w:eastAsia="仿宋_GB2312"/>
          <w:b w:val="0"/>
          <w:sz w:val="24"/>
        </w:rPr>
      </w:pPr>
      <w:bookmarkStart w:id="338" w:name="_Hlt520274065"/>
      <w:bookmarkEnd w:id="338"/>
      <w:bookmarkStart w:id="339" w:name="_Hlt520350957"/>
      <w:bookmarkEnd w:id="339"/>
      <w:bookmarkStart w:id="340" w:name="_Hlt520350918"/>
      <w:bookmarkEnd w:id="340"/>
      <w:bookmarkStart w:id="341" w:name="_Hlt520274911"/>
      <w:bookmarkEnd w:id="341"/>
      <w:bookmarkStart w:id="342" w:name="_Hlt520274407"/>
      <w:bookmarkEnd w:id="342"/>
      <w:bookmarkStart w:id="343" w:name="_Hlt520343392"/>
      <w:bookmarkEnd w:id="343"/>
      <w:bookmarkStart w:id="344" w:name="_Hlt520273711"/>
      <w:bookmarkEnd w:id="344"/>
      <w:bookmarkStart w:id="345" w:name="_Hlt520343000"/>
      <w:bookmarkEnd w:id="345"/>
      <w:bookmarkStart w:id="346" w:name="_Hlt520274393"/>
      <w:bookmarkEnd w:id="346"/>
      <w:bookmarkStart w:id="347" w:name="_Hlt520273973"/>
      <w:bookmarkEnd w:id="347"/>
      <w:bookmarkStart w:id="348" w:name="_Hlt520271212"/>
      <w:bookmarkEnd w:id="348"/>
      <w:bookmarkStart w:id="349" w:name="_Toc21312"/>
      <w:bookmarkStart w:id="350" w:name="_Toc10725"/>
      <w:bookmarkStart w:id="351" w:name="_Toc25347"/>
      <w:bookmarkStart w:id="352" w:name="_Toc515647823"/>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349"/>
      <w:bookmarkEnd w:id="350"/>
      <w:bookmarkEnd w:id="351"/>
      <w:bookmarkEnd w:id="352"/>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numPr>
          <w:ilvl w:val="0"/>
          <w:numId w:val="8"/>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pStyle w:val="4"/>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353" w:name="_Toc13776"/>
      <w:bookmarkStart w:id="354" w:name="_Toc10977"/>
      <w:bookmarkStart w:id="355" w:name="_Toc11803"/>
      <w:bookmarkStart w:id="356" w:name="_Toc515647824"/>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353"/>
      <w:bookmarkEnd w:id="354"/>
      <w:bookmarkEnd w:id="355"/>
      <w:bookmarkEnd w:id="356"/>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根据《政府采购促进中小企业发展暂行办法》（财库[2011]181号）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jc w:val="left"/>
        <w:rPr>
          <w:rFonts w:hint="eastAsia" w:ascii="宋体" w:hAnsi="宋体" w:cs="宋体"/>
          <w:kern w:val="0"/>
          <w:sz w:val="24"/>
        </w:rPr>
      </w:pP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Cs w:val="21"/>
        </w:rPr>
      </w:pPr>
    </w:p>
    <w:p/>
    <w:p>
      <w:pPr>
        <w:widowControl/>
        <w:spacing w:before="100" w:beforeAutospacing="1" w:after="100" w:afterAutospacing="1" w:line="330" w:lineRule="atLeast"/>
        <w:ind w:firstLine="630" w:firstLineChars="300"/>
        <w:jc w:val="left"/>
      </w:pPr>
    </w:p>
    <w:p>
      <w:pPr>
        <w:pStyle w:val="4"/>
        <w:spacing w:before="0" w:line="240" w:lineRule="atLeast"/>
        <w:ind w:firstLine="2168" w:firstLineChars="900"/>
        <w:jc w:val="both"/>
        <w:rPr>
          <w:rFonts w:ascii="仿宋_GB2312" w:eastAsia="仿宋_GB2312"/>
          <w:sz w:val="24"/>
        </w:rPr>
      </w:pPr>
      <w:bookmarkStart w:id="357" w:name="_Toc24603"/>
      <w:bookmarkStart w:id="358" w:name="_Toc19284"/>
      <w:bookmarkStart w:id="359" w:name="_Toc23068"/>
      <w:bookmarkStart w:id="360" w:name="_Toc515647825"/>
      <w:bookmarkStart w:id="361" w:name="OLE_LINK14"/>
      <w:bookmarkStart w:id="362" w:name="OLE_LINK13"/>
      <w:r>
        <w:rPr>
          <w:rFonts w:ascii="仿宋_GB2312" w:eastAsia="仿宋_GB2312"/>
          <w:sz w:val="24"/>
        </w:rPr>
        <w:t xml:space="preserve">7-3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格式十三）</w:t>
      </w:r>
      <w:bookmarkEnd w:id="357"/>
      <w:bookmarkEnd w:id="358"/>
      <w:bookmarkEnd w:id="359"/>
      <w:bookmarkEnd w:id="360"/>
    </w:p>
    <w:bookmarkEnd w:id="361"/>
    <w:bookmarkEnd w:id="362"/>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rPr>
          <w:rFonts w:ascii="仿宋_GB2312" w:hAnsi="Arial" w:eastAsia="仿宋_GB2312"/>
          <w:b/>
          <w:kern w:val="0"/>
          <w:sz w:val="24"/>
          <w:szCs w:val="20"/>
        </w:rPr>
      </w:pPr>
    </w:p>
    <w:p>
      <w:pPr>
        <w:pStyle w:val="6"/>
      </w:pPr>
    </w:p>
    <w:p>
      <w:pPr>
        <w:pStyle w:val="4"/>
        <w:spacing w:before="0" w:line="240" w:lineRule="atLeast"/>
        <w:ind w:left="1080" w:leftChars="257" w:hanging="540"/>
        <w:rPr>
          <w:rFonts w:hint="eastAsia" w:ascii="仿宋_GB2312" w:hAnsi="宋体" w:eastAsia="仿宋_GB2312"/>
          <w:sz w:val="24"/>
        </w:rPr>
      </w:pPr>
      <w:bookmarkStart w:id="363" w:name="_Toc28099"/>
      <w:bookmarkStart w:id="364" w:name="_Toc10002"/>
      <w:bookmarkStart w:id="365" w:name="_Toc30795"/>
      <w:bookmarkStart w:id="366" w:name="_Toc515647827"/>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63"/>
      <w:bookmarkEnd w:id="364"/>
      <w:bookmarkEnd w:id="365"/>
      <w:bookmarkEnd w:id="366"/>
    </w:p>
    <w:p>
      <w:pPr>
        <w:pStyle w:val="6"/>
        <w:jc w:val="center"/>
      </w:pPr>
    </w:p>
    <w:p>
      <w:pPr>
        <w:pStyle w:val="6"/>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6"/>
        <w:ind w:firstLine="480" w:firstLineChars="200"/>
        <w:rPr>
          <w:rFonts w:hint="eastAsia"/>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6"/>
        <w:rPr>
          <w:rFonts w:hint="eastAsia" w:ascii="仿宋_GB2312" w:hAnsi="宋体" w:eastAsia="仿宋_GB2312"/>
        </w:rPr>
      </w:pPr>
      <w:r>
        <w:br w:type="page"/>
      </w:r>
    </w:p>
    <w:p>
      <w:pPr>
        <w:spacing w:line="240" w:lineRule="atLeast"/>
        <w:ind w:left="1080" w:leftChars="257" w:hanging="540"/>
        <w:jc w:val="center"/>
        <w:rPr>
          <w:rFonts w:ascii="仿宋_GB2312" w:hAnsi="Arial" w:eastAsia="仿宋_GB2312"/>
          <w:b/>
          <w:kern w:val="0"/>
          <w:sz w:val="24"/>
          <w:szCs w:val="20"/>
        </w:rPr>
      </w:pPr>
    </w:p>
    <w:p>
      <w:pPr>
        <w:pStyle w:val="4"/>
        <w:spacing w:before="0" w:line="240" w:lineRule="atLeast"/>
        <w:ind w:left="1080" w:leftChars="257" w:hanging="540"/>
        <w:rPr>
          <w:rFonts w:ascii="仿宋_GB2312" w:hAnsi="宋体" w:eastAsia="仿宋_GB2312"/>
          <w:sz w:val="24"/>
        </w:rPr>
      </w:pPr>
      <w:r>
        <w:rPr>
          <w:rFonts w:hint="eastAsia" w:ascii="仿宋_GB2312" w:hAnsi="宋体" w:eastAsia="仿宋_GB2312"/>
          <w:sz w:val="24"/>
        </w:rPr>
        <w:t xml:space="preserve">9 </w:t>
      </w:r>
      <w:r>
        <w:rPr>
          <w:rFonts w:ascii="仿宋_GB2312" w:hAnsi="宋体" w:eastAsia="仿宋_GB2312"/>
          <w:sz w:val="24"/>
        </w:rPr>
        <w:t>关于对本投标文件（响应文件）中资料真实性的承诺</w:t>
      </w:r>
    </w:p>
    <w:p>
      <w:pPr>
        <w:rPr>
          <w:rFonts w:ascii="Tahoma" w:hAnsi="Tahoma" w:cs="Tahoma"/>
          <w:b/>
          <w:color w:val="000000"/>
          <w:sz w:val="28"/>
          <w:szCs w:val="28"/>
        </w:rPr>
      </w:pPr>
    </w:p>
    <w:p>
      <w:pPr>
        <w:spacing w:line="360" w:lineRule="auto"/>
        <w:rPr>
          <w:rFonts w:ascii="Tahoma" w:hAnsi="Tahoma" w:cs="Tahoma"/>
          <w:b/>
          <w:color w:val="000000"/>
          <w:sz w:val="24"/>
          <w:u w:val="single"/>
        </w:rPr>
      </w:pPr>
      <w:r>
        <w:rPr>
          <w:rFonts w:ascii="Tahoma" w:hAnsi="Tahoma" w:cs="Tahoma"/>
          <w:b/>
          <w:color w:val="000000"/>
          <w:sz w:val="24"/>
        </w:rPr>
        <w:t>至：</w:t>
      </w:r>
      <w:r>
        <w:rPr>
          <w:rFonts w:ascii="Tahoma" w:hAnsi="Tahoma" w:cs="Tahoma"/>
          <w:b/>
          <w:color w:val="000000"/>
          <w:sz w:val="24"/>
          <w:u w:val="single"/>
        </w:rPr>
        <w:t xml:space="preserve"> （项目、包段名称）评标委员会  </w:t>
      </w:r>
    </w:p>
    <w:p>
      <w:pPr>
        <w:spacing w:line="360" w:lineRule="auto"/>
        <w:ind w:firstLine="720" w:firstLineChars="300"/>
        <w:rPr>
          <w:rFonts w:hint="eastAsia" w:ascii="仿宋" w:hAnsi="仿宋" w:eastAsia="仿宋" w:cs="仿宋"/>
          <w:color w:val="000000"/>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color w:val="000000"/>
          <w:sz w:val="24"/>
        </w:rPr>
        <w:t>条例》等有关法律、法规的规定和</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的招标文件（或竞争性谈判文件）的要求，我公司在</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投标文件（响应文件）中所提供资料真实性作如下承诺：</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我公司将严格按招标文件</w:t>
      </w:r>
      <w:bookmarkStart w:id="367" w:name="_Hlk5982690"/>
      <w:r>
        <w:rPr>
          <w:rFonts w:hint="eastAsia" w:ascii="仿宋" w:hAnsi="仿宋" w:eastAsia="仿宋" w:cs="仿宋"/>
          <w:color w:val="000000"/>
          <w:sz w:val="24"/>
        </w:rPr>
        <w:t>（或竞争性谈判）</w:t>
      </w:r>
      <w:bookmarkEnd w:id="367"/>
      <w:r>
        <w:rPr>
          <w:rFonts w:hint="eastAsia" w:ascii="仿宋" w:hAnsi="仿宋" w:eastAsia="仿宋" w:cs="仿宋"/>
          <w:color w:val="000000"/>
          <w:sz w:val="24"/>
        </w:rPr>
        <w:t xml:space="preserve">要求，在编制本投标文件（响应文件）时，对投标文件中所提供的资料全部真实和正确，并对提供的所有资料（资格、其他材料等）的真实性负责！ </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对提供的全部资料中有存在不真实（伪造或租借等虚假资料）情形，将无条件接受任何处罚，自行承担由此引起的一切责任！</w:t>
      </w:r>
    </w:p>
    <w:p>
      <w:pPr>
        <w:spacing w:line="360" w:lineRule="auto"/>
        <w:ind w:firstLine="723" w:firstLineChars="300"/>
        <w:rPr>
          <w:rFonts w:ascii="Tahoma" w:hAnsi="Tahoma" w:cs="Tahoma"/>
          <w:b/>
          <w:color w:val="000000"/>
          <w:sz w:val="24"/>
        </w:rPr>
      </w:pPr>
    </w:p>
    <w:p>
      <w:pPr>
        <w:spacing w:line="360" w:lineRule="auto"/>
        <w:ind w:firstLine="723" w:firstLineChars="300"/>
        <w:rPr>
          <w:rFonts w:ascii="Tahoma" w:hAnsi="Tahoma" w:cs="Tahoma"/>
          <w:b/>
          <w:color w:val="000000"/>
          <w:sz w:val="24"/>
        </w:rPr>
      </w:pPr>
      <w:r>
        <w:rPr>
          <w:rFonts w:ascii="Tahoma" w:hAnsi="Tahoma" w:cs="Tahoma"/>
          <w:b/>
          <w:color w:val="000000"/>
          <w:sz w:val="24"/>
        </w:rPr>
        <w:t>特此承诺</w:t>
      </w:r>
    </w:p>
    <w:p>
      <w:pPr>
        <w:spacing w:line="360" w:lineRule="auto"/>
        <w:ind w:firstLine="723" w:firstLineChars="300"/>
        <w:rPr>
          <w:rFonts w:hint="eastAsia" w:ascii="Tahoma" w:hAnsi="Tahoma" w:cs="Tahoma"/>
          <w:b/>
          <w:color w:val="000000"/>
          <w:sz w:val="24"/>
        </w:rPr>
      </w:pPr>
      <w:r>
        <w:rPr>
          <w:rFonts w:hint="eastAsia" w:ascii="Tahoma" w:hAnsi="Tahoma" w:cs="Tahoma"/>
          <w:b/>
          <w:color w:val="000000"/>
          <w:sz w:val="24"/>
        </w:rPr>
        <w:t xml:space="preserve">    </w:t>
      </w: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ascii="Tahoma" w:hAnsi="Tahoma" w:cs="Tahoma"/>
          <w:b/>
          <w:color w:val="000000"/>
          <w:sz w:val="24"/>
        </w:rPr>
      </w:pPr>
    </w:p>
    <w:p>
      <w:pPr>
        <w:spacing w:line="360" w:lineRule="auto"/>
        <w:ind w:firstLine="1687" w:firstLineChars="700"/>
        <w:rPr>
          <w:rFonts w:ascii="Tahoma" w:hAnsi="Tahoma" w:cs="Tahoma"/>
          <w:b/>
          <w:color w:val="000000"/>
          <w:sz w:val="24"/>
        </w:rPr>
      </w:pPr>
      <w:r>
        <w:rPr>
          <w:rFonts w:ascii="Tahoma" w:hAnsi="Tahoma" w:cs="Tahoma"/>
          <w:b/>
          <w:color w:val="000000"/>
          <w:sz w:val="24"/>
        </w:rPr>
        <w:t>供应商（全称）：</w:t>
      </w:r>
      <w:r>
        <w:rPr>
          <w:rFonts w:ascii="Tahoma" w:hAnsi="Tahoma" w:cs="Tahoma"/>
          <w:b/>
          <w:color w:val="000000"/>
          <w:sz w:val="24"/>
          <w:u w:val="single"/>
        </w:rPr>
        <w:t xml:space="preserve">                         </w:t>
      </w:r>
      <w:r>
        <w:rPr>
          <w:rFonts w:ascii="Tahoma" w:hAnsi="Tahoma" w:cs="Tahoma"/>
          <w:b/>
          <w:color w:val="000000"/>
          <w:sz w:val="24"/>
        </w:rPr>
        <w:t>（盖章）</w:t>
      </w:r>
    </w:p>
    <w:p>
      <w:pPr>
        <w:spacing w:line="360" w:lineRule="auto"/>
        <w:ind w:firstLine="1687" w:firstLineChars="700"/>
        <w:rPr>
          <w:rFonts w:ascii="Tahoma" w:hAnsi="Tahoma" w:cs="Tahoma"/>
          <w:b/>
          <w:color w:val="000000"/>
          <w:sz w:val="24"/>
        </w:rPr>
      </w:pPr>
      <w:r>
        <w:rPr>
          <w:rFonts w:ascii="Tahoma" w:hAnsi="Tahoma" w:cs="Tahoma"/>
          <w:b/>
          <w:color w:val="000000"/>
          <w:sz w:val="24"/>
        </w:rPr>
        <w:t>法定代表人：</w:t>
      </w:r>
      <w:r>
        <w:rPr>
          <w:rFonts w:ascii="Tahoma" w:hAnsi="Tahoma" w:cs="Tahoma"/>
          <w:b/>
          <w:color w:val="000000"/>
          <w:sz w:val="24"/>
          <w:u w:val="single"/>
        </w:rPr>
        <w:t xml:space="preserve">                             </w:t>
      </w:r>
      <w:r>
        <w:rPr>
          <w:rFonts w:ascii="Tahoma" w:hAnsi="Tahoma" w:cs="Tahoma"/>
          <w:b/>
          <w:color w:val="000000"/>
          <w:sz w:val="24"/>
        </w:rPr>
        <w:t>（签字）</w:t>
      </w:r>
    </w:p>
    <w:p>
      <w:pPr>
        <w:spacing w:line="360" w:lineRule="auto"/>
        <w:ind w:firstLine="1687" w:firstLineChars="700"/>
        <w:rPr>
          <w:rFonts w:ascii="Tahoma" w:hAnsi="Tahoma" w:cs="Tahoma"/>
          <w:b/>
          <w:color w:val="000000"/>
          <w:sz w:val="24"/>
        </w:rPr>
      </w:pPr>
      <w:r>
        <w:rPr>
          <w:rFonts w:ascii="Tahoma" w:hAnsi="Tahoma" w:cs="Tahoma"/>
          <w:b/>
          <w:color w:val="000000"/>
          <w:sz w:val="24"/>
        </w:rPr>
        <w:t>有效的联系方式：</w:t>
      </w:r>
      <w:r>
        <w:rPr>
          <w:rFonts w:ascii="Tahoma" w:hAnsi="Tahoma" w:cs="Tahoma"/>
          <w:b/>
          <w:color w:val="000000"/>
          <w:sz w:val="24"/>
          <w:u w:val="single"/>
        </w:rPr>
        <w:t xml:space="preserve">                         </w:t>
      </w:r>
    </w:p>
    <w:p>
      <w:pPr>
        <w:spacing w:line="360" w:lineRule="auto"/>
        <w:ind w:firstLine="4337" w:firstLineChars="1800"/>
        <w:rPr>
          <w:rFonts w:ascii="Tahoma" w:hAnsi="Tahoma" w:cs="Tahoma"/>
          <w:b/>
          <w:color w:val="000000"/>
          <w:sz w:val="24"/>
        </w:rPr>
      </w:pPr>
      <w:r>
        <w:rPr>
          <w:rFonts w:ascii="Tahoma" w:hAnsi="Tahoma" w:cs="Tahoma"/>
          <w:b/>
          <w:color w:val="000000"/>
          <w:sz w:val="24"/>
        </w:rPr>
        <w:t>年      月       日</w:t>
      </w: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52"/>
          <w:szCs w:val="52"/>
        </w:rPr>
      </w:pPr>
    </w:p>
    <w:p>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巴楚县卫生健康委员会核酸、检测试剂、防护物资采购项目</w:t>
      </w:r>
      <w:r>
        <w:rPr>
          <w:rFonts w:hint="eastAsia" w:ascii="华文中宋" w:hAnsi="华文中宋" w:eastAsia="华文中宋" w:cs="华文中宋"/>
          <w:bCs/>
          <w:sz w:val="52"/>
          <w:szCs w:val="52"/>
          <w:lang w:eastAsia="zh-CN"/>
        </w:rPr>
        <w:t>招标文件</w:t>
      </w:r>
    </w:p>
    <w:p>
      <w:pPr>
        <w:widowControl/>
        <w:spacing w:line="440" w:lineRule="exact"/>
        <w:ind w:firstLine="643" w:firstLineChars="200"/>
        <w:jc w:val="center"/>
        <w:textAlignment w:val="baseline"/>
        <w:rPr>
          <w:rFonts w:hint="eastAsia"/>
          <w:b/>
          <w:bCs/>
          <w:kern w:val="0"/>
          <w:sz w:val="32"/>
          <w:szCs w:val="32"/>
          <w:shd w:val="clear" w:color="auto" w:fill="FFFFFF"/>
        </w:rPr>
      </w:pPr>
    </w:p>
    <w:p>
      <w:pPr>
        <w:pStyle w:val="2"/>
        <w:rPr>
          <w:rFonts w:hint="eastAsia"/>
          <w:b/>
          <w:bCs/>
          <w:kern w:val="0"/>
          <w:sz w:val="32"/>
          <w:szCs w:val="32"/>
          <w:shd w:val="clear" w:color="auto" w:fill="FFFFFF"/>
        </w:rPr>
      </w:pPr>
    </w:p>
    <w:p>
      <w:pPr>
        <w:pStyle w:val="2"/>
        <w:rPr>
          <w:rFonts w:hint="eastAsia"/>
          <w:b/>
          <w:bCs/>
          <w:kern w:val="0"/>
          <w:sz w:val="32"/>
          <w:szCs w:val="32"/>
          <w:shd w:val="clear" w:color="auto" w:fill="FFFFFF"/>
        </w:rPr>
      </w:pPr>
    </w:p>
    <w:p>
      <w:pPr>
        <w:widowControl/>
        <w:spacing w:line="440" w:lineRule="exact"/>
        <w:ind w:firstLine="643" w:firstLineChars="200"/>
        <w:jc w:val="center"/>
        <w:textAlignment w:val="baseline"/>
        <w:rPr>
          <w:rFonts w:hint="eastAsia"/>
          <w:b/>
          <w:bCs/>
          <w:kern w:val="0"/>
          <w:sz w:val="32"/>
          <w:szCs w:val="32"/>
          <w:shd w:val="clear" w:color="auto" w:fill="FFFFFF"/>
        </w:rPr>
      </w:pPr>
    </w:p>
    <w:p>
      <w:pPr>
        <w:widowControl/>
        <w:spacing w:line="440" w:lineRule="exact"/>
        <w:ind w:firstLine="643" w:firstLineChars="200"/>
        <w:jc w:val="center"/>
        <w:textAlignment w:val="baseline"/>
        <w:rPr>
          <w:rFonts w:hint="eastAsia"/>
          <w:b/>
          <w:bCs/>
          <w:kern w:val="0"/>
          <w:sz w:val="32"/>
          <w:szCs w:val="32"/>
          <w:shd w:val="clear" w:color="auto" w:fill="FFFFFF"/>
        </w:rPr>
      </w:pPr>
    </w:p>
    <w:p>
      <w:pPr>
        <w:widowControl/>
        <w:spacing w:line="440" w:lineRule="exact"/>
        <w:ind w:firstLine="643" w:firstLineChars="200"/>
        <w:jc w:val="center"/>
        <w:textAlignment w:val="baseline"/>
        <w:rPr>
          <w:rFonts w:hint="eastAsia" w:ascii="仿宋" w:hAnsi="仿宋" w:eastAsia="仿宋" w:cs="宋体"/>
          <w:sz w:val="28"/>
          <w:szCs w:val="28"/>
        </w:rPr>
      </w:pPr>
      <w:r>
        <w:rPr>
          <w:rFonts w:hint="eastAsia"/>
          <w:b/>
          <w:bCs/>
          <w:kern w:val="0"/>
          <w:sz w:val="32"/>
          <w:szCs w:val="32"/>
          <w:shd w:val="clear" w:color="auto" w:fill="FFFFFF"/>
        </w:rPr>
        <w:t>项目编号：KSBCX(GK) 202</w:t>
      </w:r>
      <w:r>
        <w:rPr>
          <w:rFonts w:hint="eastAsia"/>
          <w:b/>
          <w:bCs/>
          <w:kern w:val="0"/>
          <w:sz w:val="32"/>
          <w:szCs w:val="32"/>
          <w:shd w:val="clear" w:color="auto" w:fill="FFFFFF"/>
          <w:lang w:val="en-US" w:eastAsia="zh-CN"/>
        </w:rPr>
        <w:t>1</w:t>
      </w:r>
      <w:r>
        <w:rPr>
          <w:rFonts w:hint="eastAsia"/>
          <w:b/>
          <w:bCs/>
          <w:kern w:val="0"/>
          <w:sz w:val="32"/>
          <w:szCs w:val="32"/>
          <w:shd w:val="clear" w:color="auto" w:fill="FFFFFF"/>
        </w:rPr>
        <w:t>-</w:t>
      </w:r>
      <w:r>
        <w:rPr>
          <w:rFonts w:hint="eastAsia"/>
          <w:b/>
          <w:bCs/>
          <w:kern w:val="0"/>
          <w:sz w:val="32"/>
          <w:szCs w:val="32"/>
          <w:shd w:val="clear" w:color="auto" w:fill="FFFFFF"/>
          <w:lang w:val="en-US" w:eastAsia="zh-CN"/>
        </w:rPr>
        <w:t>32</w:t>
      </w:r>
      <w:r>
        <w:rPr>
          <w:rFonts w:hint="eastAsia"/>
          <w:b/>
          <w:bCs/>
          <w:kern w:val="0"/>
          <w:sz w:val="32"/>
          <w:szCs w:val="32"/>
          <w:shd w:val="clear" w:color="auto" w:fill="FFFFFF"/>
        </w:rPr>
        <w:t>号</w:t>
      </w:r>
    </w:p>
    <w:p>
      <w:pPr>
        <w:spacing w:line="240" w:lineRule="atLeast"/>
        <w:jc w:val="center"/>
        <w:rPr>
          <w:rFonts w:hint="eastAsia"/>
          <w:b/>
          <w:bCs/>
          <w:kern w:val="0"/>
          <w:sz w:val="32"/>
          <w:szCs w:val="32"/>
          <w:shd w:val="clear" w:color="auto" w:fill="FFFFFF"/>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rPr>
          <w:rFonts w:hint="eastAsia" w:ascii="仿宋_GB2312" w:eastAsia="仿宋_GB2312"/>
          <w:b/>
          <w:sz w:val="28"/>
        </w:rPr>
      </w:pPr>
    </w:p>
    <w:p>
      <w:pPr>
        <w:spacing w:line="240" w:lineRule="atLeast"/>
        <w:jc w:val="center"/>
        <w:rPr>
          <w:rFonts w:hint="eastAsia" w:ascii="仿宋_GB2312" w:eastAsia="仿宋_GB2312"/>
          <w:b/>
          <w:sz w:val="48"/>
          <w:szCs w:val="48"/>
        </w:rPr>
      </w:pPr>
      <w:r>
        <w:rPr>
          <w:rFonts w:hint="eastAsia" w:ascii="仿宋_GB2312" w:eastAsia="仿宋_GB2312"/>
          <w:b/>
          <w:sz w:val="48"/>
          <w:szCs w:val="48"/>
        </w:rPr>
        <w:t>第二册</w:t>
      </w: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pStyle w:val="2"/>
        <w:rPr>
          <w:rFonts w:hint="eastAsia" w:ascii="仿宋_GB2312" w:eastAsia="仿宋_GB2312"/>
          <w:b/>
          <w:sz w:val="5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rPr>
          <w:rFonts w:hint="eastAsia"/>
        </w:rPr>
      </w:pPr>
    </w:p>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bookmarkStart w:id="368" w:name="_Toc31583"/>
      <w:bookmarkStart w:id="369" w:name="_Toc507399903"/>
      <w:bookmarkStart w:id="370" w:name="_Toc512937850"/>
      <w:bookmarkStart w:id="371" w:name="_Toc515647830"/>
      <w:bookmarkStart w:id="372" w:name="_Toc20439"/>
      <w:bookmarkStart w:id="373" w:name="_Toc216582823"/>
      <w:bookmarkStart w:id="374" w:name="_Toc10488"/>
    </w:p>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36"/>
          <w:szCs w:val="36"/>
        </w:rPr>
      </w:pPr>
      <w:r>
        <w:rPr>
          <w:rFonts w:hint="eastAsia" w:ascii="华文中宋" w:hAnsi="华文中宋" w:eastAsia="华文中宋" w:cs="Times New Roman"/>
          <w:b/>
          <w:bCs/>
          <w:kern w:val="44"/>
          <w:sz w:val="36"/>
          <w:szCs w:val="36"/>
          <w:lang w:val="en-US" w:eastAsia="zh-CN" w:bidi="ar-SA"/>
        </w:rPr>
        <w:t>巴楚县卫生健康委员会核酸、检测试剂、防护物资采购项目招标公告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u w:val="single"/>
        </w:rPr>
        <w:t xml:space="preserve"> </w:t>
      </w:r>
      <w:r>
        <w:rPr>
          <w:rFonts w:hint="eastAsia" w:ascii="仿宋" w:hAnsi="仿宋" w:eastAsia="仿宋" w:cs="宋体"/>
          <w:sz w:val="28"/>
          <w:szCs w:val="28"/>
          <w:u w:val="single"/>
          <w:lang w:val="en-US" w:eastAsia="zh-CN"/>
        </w:rPr>
        <w:t>巴楚县卫生健康委员会核酸、检测试剂、防护物资采购项目</w:t>
      </w:r>
      <w:r>
        <w:rPr>
          <w:rFonts w:hint="eastAsia" w:ascii="仿宋" w:hAnsi="仿宋" w:eastAsia="仿宋" w:cs="宋体"/>
          <w:sz w:val="28"/>
          <w:szCs w:val="28"/>
          <w:u w:val="single"/>
        </w:rPr>
        <w:t>KSBCX(GK) 20</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32</w:t>
      </w:r>
      <w:r>
        <w:rPr>
          <w:rFonts w:hint="eastAsia" w:ascii="仿宋" w:hAnsi="仿宋" w:eastAsia="仿宋" w:cs="宋体"/>
          <w:sz w:val="28"/>
          <w:szCs w:val="28"/>
          <w:u w:val="single"/>
        </w:rPr>
        <w:t>号</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ascii="黑体" w:hAnsi="黑体" w:cs="宋体"/>
          <w:b w:val="0"/>
          <w:sz w:val="28"/>
          <w:szCs w:val="28"/>
        </w:rPr>
      </w:pPr>
      <w:r>
        <w:rPr>
          <w:rFonts w:hint="eastAsia" w:ascii="黑体" w:hAnsi="黑体" w:cs="宋体"/>
          <w:b w:val="0"/>
          <w:sz w:val="28"/>
          <w:szCs w:val="28"/>
        </w:rPr>
        <w:t>一、项目基本情况</w:t>
      </w:r>
    </w:p>
    <w:p>
      <w:pPr>
        <w:pageBreakBefore w:val="0"/>
        <w:kinsoku/>
        <w:wordWrap/>
        <w:overflowPunct/>
        <w:topLinePunct w:val="0"/>
        <w:autoSpaceDE/>
        <w:autoSpaceDN/>
        <w:bidi w:val="0"/>
        <w:adjustRightInd/>
        <w:spacing w:line="400" w:lineRule="exact"/>
        <w:ind w:firstLine="562"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KSBCX(GK) 20</w:t>
      </w:r>
      <w:r>
        <w:rPr>
          <w:rFonts w:hint="eastAsia" w:ascii="仿宋" w:hAnsi="仿宋" w:eastAsia="仿宋" w:cs="宋体"/>
          <w:sz w:val="28"/>
          <w:szCs w:val="28"/>
          <w:lang w:val="en-US" w:eastAsia="zh-CN"/>
        </w:rPr>
        <w:t>21</w:t>
      </w:r>
      <w:r>
        <w:rPr>
          <w:rFonts w:hint="eastAsia" w:ascii="仿宋" w:hAnsi="仿宋" w:eastAsia="仿宋" w:cs="宋体"/>
          <w:sz w:val="28"/>
          <w:szCs w:val="28"/>
        </w:rPr>
        <w:t>-</w:t>
      </w:r>
      <w:r>
        <w:rPr>
          <w:rFonts w:hint="eastAsia" w:ascii="仿宋" w:hAnsi="仿宋" w:eastAsia="仿宋" w:cs="宋体"/>
          <w:sz w:val="28"/>
          <w:szCs w:val="28"/>
          <w:lang w:val="en-US" w:eastAsia="zh-CN"/>
        </w:rPr>
        <w:t>32</w:t>
      </w:r>
      <w:r>
        <w:rPr>
          <w:rFonts w:hint="eastAsia" w:ascii="仿宋" w:hAnsi="仿宋" w:eastAsia="仿宋" w:cs="宋体"/>
          <w:sz w:val="28"/>
          <w:szCs w:val="28"/>
        </w:rPr>
        <w:t>号</w:t>
      </w:r>
    </w:p>
    <w:p>
      <w:pPr>
        <w:ind w:firstLine="562" w:firstLineChars="200"/>
        <w:rPr>
          <w:rFonts w:ascii="仿宋" w:hAnsi="仿宋" w:eastAsia="仿宋"/>
          <w:sz w:val="28"/>
          <w:szCs w:val="28"/>
          <w:u w:val="none"/>
        </w:rPr>
      </w:pPr>
      <w:r>
        <w:rPr>
          <w:rFonts w:hint="eastAsia" w:ascii="仿宋" w:hAnsi="仿宋" w:eastAsia="仿宋"/>
          <w:b/>
          <w:bCs/>
          <w:sz w:val="28"/>
          <w:szCs w:val="28"/>
        </w:rPr>
        <w:t>项目名称：</w:t>
      </w:r>
      <w:r>
        <w:rPr>
          <w:rFonts w:hint="eastAsia" w:ascii="仿宋" w:hAnsi="仿宋" w:eastAsia="仿宋" w:cs="宋体"/>
          <w:sz w:val="28"/>
          <w:szCs w:val="28"/>
          <w:u w:val="none"/>
          <w:lang w:val="en-US" w:eastAsia="zh-CN"/>
        </w:rPr>
        <w:t>巴楚县卫生健康委员会核酸、检测试剂、防护物资采购项目</w:t>
      </w:r>
    </w:p>
    <w:p>
      <w:pPr>
        <w:ind w:firstLine="562" w:firstLineChars="200"/>
        <w:rPr>
          <w:rFonts w:hint="default" w:ascii="仿宋" w:hAnsi="仿宋" w:eastAsia="仿宋" w:cs="宋体"/>
          <w:sz w:val="28"/>
          <w:szCs w:val="28"/>
          <w:u w:val="none"/>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u w:val="none"/>
          <w:lang w:val="en-US" w:eastAsia="zh-CN"/>
        </w:rPr>
        <w:t>7965742.00（柒佰玖拾陆万伍仟柒佰肆拾贰元整）</w:t>
      </w:r>
    </w:p>
    <w:p>
      <w:pPr>
        <w:ind w:firstLine="562" w:firstLineChars="200"/>
        <w:rPr>
          <w:rFonts w:hint="eastAsia" w:ascii="仿宋" w:hAnsi="仿宋" w:eastAsia="仿宋" w:cs="宋体"/>
          <w:sz w:val="28"/>
          <w:szCs w:val="28"/>
          <w:u w:val="none"/>
          <w:lang w:val="en-US" w:eastAsia="zh-CN"/>
        </w:rPr>
      </w:pPr>
      <w:r>
        <w:rPr>
          <w:rFonts w:hint="eastAsia" w:ascii="仿宋" w:hAnsi="仿宋" w:eastAsia="仿宋"/>
          <w:b/>
          <w:bCs/>
          <w:sz w:val="28"/>
          <w:szCs w:val="28"/>
        </w:rPr>
        <w:t>最高限价：</w:t>
      </w:r>
      <w:r>
        <w:rPr>
          <w:rFonts w:hint="eastAsia" w:ascii="仿宋" w:hAnsi="仿宋" w:eastAsia="仿宋" w:cs="宋体"/>
          <w:sz w:val="28"/>
          <w:szCs w:val="28"/>
          <w:u w:val="none"/>
          <w:lang w:val="en-US" w:eastAsia="zh-CN"/>
        </w:rPr>
        <w:t>7965742.00（柒佰玖拾陆万伍仟柒佰肆拾贰元整）</w:t>
      </w:r>
    </w:p>
    <w:p>
      <w:pPr>
        <w:ind w:firstLine="562" w:firstLineChars="200"/>
        <w:rPr>
          <w:rFonts w:hint="eastAsia" w:ascii="仿宋" w:hAnsi="仿宋" w:eastAsia="仿宋" w:cs="宋体"/>
          <w:sz w:val="28"/>
          <w:szCs w:val="28"/>
          <w:lang w:val="en-US" w:eastAsia="zh-CN"/>
        </w:rPr>
      </w:pPr>
      <w:r>
        <w:rPr>
          <w:rFonts w:hint="eastAsia" w:ascii="仿宋" w:hAnsi="仿宋" w:eastAsia="仿宋"/>
          <w:b/>
          <w:bCs/>
          <w:sz w:val="28"/>
          <w:szCs w:val="28"/>
        </w:rPr>
        <w:t>采购需求：</w:t>
      </w:r>
      <w:r>
        <w:rPr>
          <w:rFonts w:hint="eastAsia" w:ascii="仿宋" w:hAnsi="仿宋" w:eastAsia="仿宋" w:cs="宋体"/>
          <w:sz w:val="28"/>
          <w:szCs w:val="28"/>
          <w:u w:val="none"/>
          <w:lang w:val="en-US" w:eastAsia="zh-CN"/>
        </w:rPr>
        <w:t>核酸、检测试剂、防护物资</w:t>
      </w:r>
    </w:p>
    <w:p>
      <w:pPr>
        <w:ind w:firstLine="562" w:firstLineChars="200"/>
        <w:rPr>
          <w:rFonts w:hint="default" w:ascii="仿宋" w:hAnsi="仿宋" w:eastAsia="仿宋"/>
          <w:sz w:val="28"/>
          <w:szCs w:val="28"/>
          <w:highlight w:val="none"/>
          <w:u w:val="single"/>
          <w:lang w:val="en-US" w:eastAsia="zh-CN"/>
        </w:rPr>
      </w:pPr>
      <w:r>
        <w:rPr>
          <w:rFonts w:hint="eastAsia" w:ascii="仿宋" w:hAnsi="仿宋" w:eastAsia="仿宋"/>
          <w:b/>
          <w:bCs/>
          <w:sz w:val="28"/>
          <w:szCs w:val="28"/>
          <w:lang w:eastAsia="zh-CN"/>
        </w:rPr>
        <w:t>供货期限：</w:t>
      </w:r>
      <w:r>
        <w:rPr>
          <w:rFonts w:hint="eastAsia" w:ascii="仿宋" w:hAnsi="仿宋" w:eastAsia="仿宋"/>
          <w:sz w:val="28"/>
          <w:szCs w:val="28"/>
          <w:highlight w:val="none"/>
          <w:lang w:val="en-US" w:eastAsia="zh-CN"/>
        </w:rPr>
        <w:t>具体情况由中标单位和业主在合同中约定</w:t>
      </w:r>
    </w:p>
    <w:p>
      <w:pPr>
        <w:pStyle w:val="2"/>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接受联合体投标。</w:t>
      </w:r>
    </w:p>
    <w:p>
      <w:pPr>
        <w:pStyle w:val="4"/>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3.投标单位需提供二类医疗器械《生产许可证》或《经营许可证》或《</w:t>
      </w:r>
      <w:r>
        <w:rPr>
          <w:rFonts w:hint="default" w:ascii="仿宋" w:hAnsi="仿宋" w:eastAsia="仿宋" w:cs="宋体"/>
          <w:sz w:val="28"/>
          <w:szCs w:val="28"/>
        </w:rPr>
        <w:t>二类医疗器械经营备案凭证</w:t>
      </w:r>
      <w:r>
        <w:rPr>
          <w:rFonts w:hint="eastAsia" w:ascii="仿宋" w:hAnsi="仿宋" w:eastAsia="仿宋" w:cs="宋体"/>
          <w:sz w:val="28"/>
          <w:szCs w:val="28"/>
          <w:lang w:val="en-US" w:eastAsia="zh-CN"/>
        </w:rPr>
        <w:t>》</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p>
    <w:p>
      <w:pPr>
        <w:pStyle w:val="4"/>
        <w:spacing w:line="360" w:lineRule="auto"/>
        <w:jc w:val="both"/>
        <w:rPr>
          <w:rFonts w:ascii="黑体" w:hAnsi="黑体" w:cs="宋体"/>
          <w:b w:val="0"/>
          <w:sz w:val="28"/>
          <w:szCs w:val="28"/>
        </w:rPr>
      </w:pPr>
      <w:bookmarkStart w:id="375" w:name="_Toc35393623"/>
      <w:bookmarkStart w:id="376" w:name="_Toc35393792"/>
      <w:r>
        <w:rPr>
          <w:rFonts w:hint="eastAsia" w:ascii="黑体" w:hAnsi="黑体" w:cs="宋体"/>
          <w:b w:val="0"/>
          <w:sz w:val="28"/>
          <w:szCs w:val="28"/>
        </w:rPr>
        <w:t>三、获取招标文件</w:t>
      </w:r>
      <w:bookmarkEnd w:id="375"/>
      <w:bookmarkEnd w:id="376"/>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24:00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新疆政府采购网</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线上获取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0.00元</w:t>
      </w:r>
    </w:p>
    <w:p>
      <w:pPr>
        <w:pStyle w:val="4"/>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lang w:val="en-US" w:eastAsia="zh-CN"/>
        </w:rPr>
        <w:t>投标文件截止时间：2021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10</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30</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开标时间：</w:t>
      </w:r>
      <w:r>
        <w:rPr>
          <w:rFonts w:hint="eastAsia" w:ascii="仿宋" w:hAnsi="仿宋" w:eastAsia="仿宋"/>
          <w:sz w:val="28"/>
          <w:szCs w:val="28"/>
          <w:lang w:val="en-US" w:eastAsia="zh-CN"/>
        </w:rPr>
        <w:t>2021年10月30日11点00分</w:t>
      </w:r>
      <w:r>
        <w:rPr>
          <w:rFonts w:hint="eastAsia" w:ascii="仿宋" w:hAnsi="仿宋" w:eastAsia="仿宋"/>
          <w:bCs/>
          <w:sz w:val="28"/>
          <w:szCs w:val="28"/>
          <w:u w:val="none"/>
        </w:rPr>
        <w:t>（北京时间）</w:t>
      </w:r>
    </w:p>
    <w:p>
      <w:pPr>
        <w:ind w:firstLine="560" w:firstLineChars="200"/>
        <w:rPr>
          <w:rFonts w:hint="eastAsia"/>
          <w:lang w:val="en-US" w:eastAsia="zh-CN"/>
        </w:rPr>
      </w:pPr>
      <w:r>
        <w:rPr>
          <w:rFonts w:hint="eastAsia" w:ascii="仿宋" w:hAnsi="仿宋" w:eastAsia="仿宋"/>
          <w:sz w:val="28"/>
          <w:szCs w:val="28"/>
        </w:rPr>
        <w:t>地点：</w:t>
      </w:r>
      <w:r>
        <w:rPr>
          <w:rFonts w:hint="eastAsia" w:ascii="仿宋" w:hAnsi="仿宋" w:eastAsia="仿宋"/>
          <w:sz w:val="28"/>
          <w:szCs w:val="28"/>
          <w:lang w:eastAsia="zh-CN"/>
        </w:rPr>
        <w:t>巴楚县住房和城乡建设局</w:t>
      </w:r>
      <w:r>
        <w:rPr>
          <w:rFonts w:hint="eastAsia" w:ascii="仿宋" w:hAnsi="仿宋" w:eastAsia="仿宋"/>
          <w:sz w:val="28"/>
          <w:szCs w:val="28"/>
          <w:lang w:val="en-US" w:eastAsia="zh-CN"/>
        </w:rPr>
        <w:t>3楼中间会议室</w:t>
      </w:r>
    </w:p>
    <w:p>
      <w:pPr>
        <w:pStyle w:val="4"/>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ind w:firstLine="560" w:firstLineChars="200"/>
        <w:rPr>
          <w:rFonts w:hint="eastAsia" w:ascii="仿宋" w:hAnsi="仿宋" w:eastAsia="仿宋"/>
          <w:sz w:val="28"/>
          <w:szCs w:val="28"/>
          <w:lang w:val="en-US" w:eastAsia="zh-CN"/>
        </w:rPr>
      </w:pPr>
      <w:bookmarkStart w:id="377" w:name="_Toc35393795"/>
      <w:bookmarkStart w:id="378" w:name="_Toc35393626"/>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377"/>
    <w:bookmarkEnd w:id="378"/>
    <w:p>
      <w:pPr>
        <w:pStyle w:val="4"/>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巴楚县卫生健康委员会</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地址：</w:t>
      </w:r>
      <w:r>
        <w:rPr>
          <w:rFonts w:hint="eastAsia" w:ascii="仿宋" w:hAnsi="仿宋" w:eastAsia="仿宋" w:cs="Times New Roman"/>
          <w:sz w:val="28"/>
          <w:szCs w:val="28"/>
          <w:u w:val="single"/>
          <w:lang w:val="en-US" w:eastAsia="zh-CN"/>
        </w:rPr>
        <w:t>巴楚县财政大厦2楼</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15099399190</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巴楚县政府采购中心</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巴楚县住房和城乡建设局</w:t>
      </w:r>
      <w:r>
        <w:rPr>
          <w:rFonts w:hint="eastAsia" w:ascii="仿宋" w:hAnsi="仿宋" w:eastAsia="仿宋"/>
          <w:sz w:val="28"/>
          <w:szCs w:val="28"/>
          <w:u w:val="single"/>
          <w:lang w:val="en-US" w:eastAsia="zh-CN"/>
        </w:rPr>
        <w:t>507室</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0998-6210619</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9"/>
        <w:spacing w:line="360" w:lineRule="auto"/>
        <w:ind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val="en-US" w:eastAsia="zh-CN"/>
        </w:rPr>
        <w:t>西力帕</w:t>
      </w:r>
    </w:p>
    <w:p>
      <w:pPr>
        <w:spacing w:line="360" w:lineRule="auto"/>
        <w:ind w:firstLine="840" w:firstLineChars="300"/>
        <w:rPr>
          <w:rFonts w:hint="default" w:ascii="仿宋" w:hAnsi="仿宋" w:eastAsia="仿宋" w:cs="宋体"/>
          <w:sz w:val="28"/>
          <w:szCs w:val="28"/>
          <w:highlight w:val="none"/>
          <w:lang w:val="en-US"/>
        </w:rPr>
      </w:pPr>
      <w:r>
        <w:rPr>
          <w:rFonts w:hint="eastAsia" w:ascii="仿宋" w:hAnsi="仿宋" w:eastAsia="仿宋"/>
          <w:sz w:val="28"/>
          <w:szCs w:val="28"/>
          <w:highlight w:val="none"/>
        </w:rPr>
        <w:t>电　话：</w:t>
      </w:r>
      <w:r>
        <w:rPr>
          <w:rFonts w:hint="eastAsia" w:ascii="仿宋" w:hAnsi="仿宋" w:eastAsia="仿宋"/>
          <w:sz w:val="28"/>
          <w:szCs w:val="28"/>
          <w:highlight w:val="none"/>
          <w:u w:val="single"/>
          <w:lang w:val="en-US" w:eastAsia="zh-CN"/>
        </w:rPr>
        <w:t>15099399190</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sz w:val="28"/>
          <w:szCs w:val="28"/>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jc w:val="both"/>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3"/>
        <w:tabs>
          <w:tab w:val="left" w:pos="0"/>
        </w:tabs>
        <w:spacing w:before="0" w:after="0" w:line="240" w:lineRule="atLeast"/>
        <w:jc w:val="center"/>
        <w:rPr>
          <w:rFonts w:hint="eastAsia" w:ascii="仿宋_GB2312" w:eastAsia="仿宋_GB2312"/>
          <w:sz w:val="24"/>
        </w:rPr>
      </w:pPr>
      <w:r>
        <w:rPr>
          <w:rFonts w:hint="eastAsia" w:ascii="仿宋_GB2312" w:eastAsia="仿宋_GB2312"/>
        </w:rPr>
        <w:t>第2章  投标人须知资料表</w:t>
      </w:r>
      <w:bookmarkEnd w:id="368"/>
      <w:bookmarkEnd w:id="369"/>
      <w:bookmarkEnd w:id="370"/>
      <w:bookmarkEnd w:id="371"/>
      <w:bookmarkEnd w:id="372"/>
      <w:bookmarkEnd w:id="373"/>
      <w:bookmarkEnd w:id="374"/>
    </w:p>
    <w:p>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1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条款号</w:t>
            </w:r>
          </w:p>
        </w:tc>
        <w:tc>
          <w:tcPr>
            <w:tcW w:w="6840" w:type="dxa"/>
            <w:vAlign w:val="center"/>
          </w:tcPr>
          <w:p>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1.1</w:t>
            </w:r>
          </w:p>
        </w:tc>
        <w:tc>
          <w:tcPr>
            <w:tcW w:w="6840" w:type="dxa"/>
            <w:vAlign w:val="center"/>
          </w:tcPr>
          <w:p>
            <w:pPr>
              <w:widowControl/>
              <w:spacing w:line="400" w:lineRule="exact"/>
              <w:textAlignment w:val="baseline"/>
              <w:rPr>
                <w:rFonts w:hint="eastAsia" w:ascii="仿宋_GB2312" w:eastAsia="仿宋_GB2312"/>
                <w:sz w:val="24"/>
                <w:u w:val="single"/>
                <w:lang w:eastAsia="zh-CN"/>
              </w:rPr>
            </w:pPr>
            <w:r>
              <w:rPr>
                <w:rFonts w:hint="eastAsia" w:ascii="仿宋_GB2312" w:eastAsia="仿宋_GB2312"/>
                <w:sz w:val="24"/>
              </w:rPr>
              <w:t>采购人：</w:t>
            </w:r>
            <w:r>
              <w:rPr>
                <w:rFonts w:hint="eastAsia" w:ascii="仿宋_GB2312" w:eastAsia="仿宋_GB2312"/>
                <w:sz w:val="24"/>
                <w:u w:val="single"/>
                <w:lang w:eastAsia="zh-CN"/>
              </w:rPr>
              <w:t>巴楚县卫生健康委员会</w:t>
            </w:r>
          </w:p>
          <w:p>
            <w:pPr>
              <w:spacing w:line="240" w:lineRule="atLeast"/>
              <w:rPr>
                <w:rFonts w:hint="eastAsia" w:ascii="仿宋_GB2312" w:eastAsia="仿宋_GB2312"/>
                <w:sz w:val="24"/>
                <w:u w:val="single"/>
                <w:lang w:eastAsia="zh-CN"/>
              </w:rPr>
            </w:pPr>
            <w:r>
              <w:rPr>
                <w:rFonts w:hint="eastAsia" w:ascii="仿宋_GB2312" w:eastAsia="仿宋_GB2312"/>
                <w:sz w:val="24"/>
              </w:rPr>
              <w:t>地  址：</w:t>
            </w:r>
            <w:r>
              <w:rPr>
                <w:rFonts w:hint="eastAsia" w:ascii="仿宋_GB2312" w:eastAsia="仿宋_GB2312"/>
                <w:sz w:val="24"/>
                <w:u w:val="single"/>
                <w:lang w:val="en-US" w:eastAsia="zh-CN"/>
              </w:rPr>
              <w:t>巴楚县财政大厦2楼</w:t>
            </w:r>
          </w:p>
          <w:p>
            <w:pPr>
              <w:spacing w:line="240" w:lineRule="atLeast"/>
              <w:rPr>
                <w:rFonts w:hint="default"/>
                <w:lang w:val="en-US"/>
              </w:rPr>
            </w:pPr>
            <w:r>
              <w:rPr>
                <w:rFonts w:hint="eastAsia" w:ascii="仿宋_GB2312" w:eastAsia="仿宋_GB2312"/>
                <w:sz w:val="24"/>
                <w:u w:val="none"/>
                <w:lang w:eastAsia="zh-CN"/>
              </w:rPr>
              <w:t>电  话：</w:t>
            </w:r>
            <w:r>
              <w:rPr>
                <w:rFonts w:hint="eastAsia" w:ascii="仿宋_GB2312" w:eastAsia="仿宋_GB2312"/>
                <w:sz w:val="24"/>
                <w:u w:val="single"/>
                <w:lang w:val="en-US" w:eastAsia="zh-CN"/>
              </w:rPr>
              <w:t>15099399190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1.2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采购代理机构：</w:t>
            </w:r>
            <w:r>
              <w:rPr>
                <w:rFonts w:hint="eastAsia" w:ascii="仿宋_GB2312" w:eastAsia="仿宋_GB2312"/>
                <w:sz w:val="24"/>
                <w:u w:val="single"/>
              </w:rPr>
              <w:t>巴楚县政府采购中心</w:t>
            </w:r>
          </w:p>
          <w:p>
            <w:pPr>
              <w:spacing w:line="240" w:lineRule="atLeast"/>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lang w:val="en-US" w:eastAsia="zh-CN"/>
              </w:rPr>
              <w:t>巴楚县住房和城乡建设局507室</w:t>
            </w:r>
          </w:p>
          <w:p>
            <w:pPr>
              <w:spacing w:line="240" w:lineRule="atLeast"/>
              <w:rPr>
                <w:rFonts w:hint="eastAsia" w:ascii="仿宋_GB2312" w:eastAsia="仿宋_GB2312"/>
                <w:sz w:val="24"/>
              </w:rPr>
            </w:pPr>
            <w:r>
              <w:rPr>
                <w:rFonts w:hint="eastAsia" w:ascii="仿宋_GB2312" w:eastAsia="仿宋_GB2312"/>
                <w:sz w:val="24"/>
              </w:rPr>
              <w:t>联系人：</w:t>
            </w:r>
            <w:r>
              <w:rPr>
                <w:rFonts w:hint="eastAsia" w:ascii="仿宋_GB2312" w:eastAsia="仿宋_GB2312"/>
                <w:sz w:val="24"/>
                <w:u w:val="single"/>
              </w:rPr>
              <w:t>巴楚县政府采购中心</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电话：</w:t>
            </w:r>
            <w:r>
              <w:rPr>
                <w:rFonts w:hint="eastAsia" w:ascii="仿宋_GB2312" w:eastAsia="仿宋_GB2312"/>
                <w:sz w:val="24"/>
                <w:u w:val="single"/>
              </w:rPr>
              <w:t>0998—6210619</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传真：</w:t>
            </w:r>
            <w:r>
              <w:rPr>
                <w:rFonts w:hint="eastAsia" w:ascii="仿宋_GB2312" w:eastAsia="仿宋_GB2312"/>
                <w:sz w:val="24"/>
                <w:u w:val="single"/>
              </w:rPr>
              <w:t>0998—6210619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1.3.4</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合格投标人的其他资格要求：投标商必须符合《中华人民共和国政府采购法》第二十二条规定条件；</w:t>
            </w:r>
          </w:p>
          <w:p>
            <w:pPr>
              <w:spacing w:line="240" w:lineRule="atLeast"/>
              <w:rPr>
                <w:rFonts w:hint="eastAsia" w:ascii="仿宋_GB2312" w:eastAsia="仿宋_GB2312"/>
                <w:sz w:val="24"/>
              </w:rPr>
            </w:pPr>
            <w:r>
              <w:rPr>
                <w:rFonts w:hint="eastAsia" w:ascii="仿宋_GB2312" w:eastAsia="仿宋_GB2312"/>
                <w:sz w:val="24"/>
              </w:rPr>
              <w:t>1</w:t>
            </w:r>
            <w:r>
              <w:rPr>
                <w:rFonts w:hint="default" w:ascii="仿宋_GB2312" w:eastAsia="仿宋_GB2312"/>
                <w:sz w:val="24"/>
              </w:rPr>
              <w:t>具有独立承担民事责任的能力</w:t>
            </w:r>
            <w:r>
              <w:rPr>
                <w:rFonts w:hint="eastAsia" w:ascii="仿宋_GB2312" w:eastAsia="仿宋_GB2312"/>
                <w:sz w:val="24"/>
              </w:rPr>
              <w:t>；</w:t>
            </w:r>
          </w:p>
          <w:p>
            <w:pPr>
              <w:spacing w:line="240" w:lineRule="atLeast"/>
              <w:rPr>
                <w:rFonts w:hint="eastAsia" w:ascii="仿宋_GB2312" w:eastAsia="仿宋_GB2312"/>
                <w:sz w:val="24"/>
              </w:rPr>
            </w:pPr>
            <w:r>
              <w:rPr>
                <w:rFonts w:hint="eastAsia" w:ascii="仿宋_GB2312" w:eastAsia="仿宋_GB2312"/>
                <w:sz w:val="24"/>
              </w:rPr>
              <w:t>2</w:t>
            </w:r>
            <w:r>
              <w:rPr>
                <w:rFonts w:hint="default" w:ascii="仿宋_GB2312" w:eastAsia="仿宋_GB2312"/>
                <w:sz w:val="24"/>
              </w:rPr>
              <w:t>具有健全的财务会计制度</w:t>
            </w:r>
            <w:r>
              <w:rPr>
                <w:rFonts w:hint="eastAsia" w:ascii="仿宋_GB2312" w:eastAsia="仿宋_GB2312"/>
                <w:sz w:val="24"/>
              </w:rPr>
              <w:t>；</w:t>
            </w:r>
          </w:p>
          <w:p>
            <w:pPr>
              <w:spacing w:line="240" w:lineRule="atLeast"/>
              <w:rPr>
                <w:rFonts w:hint="default" w:ascii="仿宋_GB2312" w:eastAsia="仿宋_GB2312"/>
                <w:sz w:val="24"/>
              </w:rPr>
            </w:pPr>
            <w:r>
              <w:rPr>
                <w:rFonts w:hint="eastAsia" w:ascii="仿宋_GB2312" w:eastAsia="仿宋_GB2312"/>
                <w:sz w:val="24"/>
                <w:lang w:val="en-US" w:eastAsia="zh-CN"/>
              </w:rPr>
              <w:t>3</w:t>
            </w:r>
            <w:r>
              <w:rPr>
                <w:rFonts w:hint="default" w:ascii="仿宋_GB2312" w:eastAsia="仿宋_GB2312"/>
                <w:sz w:val="24"/>
              </w:rPr>
              <w:t>具有履行合同所必需的设备和专业技术能力；</w:t>
            </w:r>
          </w:p>
          <w:p>
            <w:pPr>
              <w:spacing w:line="240" w:lineRule="atLeast"/>
              <w:rPr>
                <w:rFonts w:hint="default" w:ascii="仿宋_GB2312" w:eastAsia="仿宋_GB2312"/>
                <w:sz w:val="24"/>
              </w:rPr>
            </w:pPr>
            <w:r>
              <w:rPr>
                <w:rFonts w:hint="eastAsia" w:ascii="仿宋_GB2312" w:eastAsia="仿宋_GB2312"/>
                <w:sz w:val="24"/>
                <w:lang w:val="en-US" w:eastAsia="zh-CN"/>
              </w:rPr>
              <w:t>4</w:t>
            </w:r>
            <w:r>
              <w:rPr>
                <w:rFonts w:hint="default" w:ascii="仿宋_GB2312" w:eastAsia="仿宋_GB2312"/>
                <w:sz w:val="24"/>
              </w:rPr>
              <w:t>有依法缴纳税收和社会保障资金的良好记录；</w:t>
            </w:r>
          </w:p>
          <w:p>
            <w:pPr>
              <w:spacing w:line="240" w:lineRule="atLeast"/>
              <w:rPr>
                <w:rFonts w:hint="default" w:ascii="仿宋_GB2312" w:eastAsia="仿宋_GB2312"/>
                <w:sz w:val="24"/>
              </w:rPr>
            </w:pPr>
            <w:r>
              <w:rPr>
                <w:rFonts w:hint="eastAsia" w:ascii="仿宋_GB2312" w:eastAsia="仿宋_GB2312"/>
                <w:sz w:val="24"/>
                <w:lang w:val="en-US" w:eastAsia="zh-CN"/>
              </w:rPr>
              <w:t>5</w:t>
            </w:r>
            <w:r>
              <w:rPr>
                <w:rFonts w:hint="default" w:ascii="仿宋_GB2312" w:eastAsia="仿宋_GB2312"/>
                <w:sz w:val="24"/>
              </w:rPr>
              <w:t>参加政府采购活动前三年内，在经营活动中没有重大违法记录；</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6</w:t>
            </w:r>
            <w:r>
              <w:rPr>
                <w:rFonts w:hint="default" w:ascii="仿宋_GB2312" w:eastAsia="仿宋_GB2312"/>
                <w:sz w:val="24"/>
              </w:rPr>
              <w:t>法律、行政法规规定的其他条件</w:t>
            </w:r>
            <w:r>
              <w:rPr>
                <w:rFonts w:hint="eastAsia" w:ascii="仿宋_GB2312" w:eastAsia="仿宋_GB2312"/>
                <w:sz w:val="24"/>
                <w:lang w:eastAsia="zh-CN"/>
              </w:rPr>
              <w:t>。</w:t>
            </w:r>
          </w:p>
          <w:p>
            <w:pPr>
              <w:spacing w:line="240" w:lineRule="atLeast"/>
              <w:rPr>
                <w:rFonts w:hint="eastAsia" w:ascii="仿宋_GB2312" w:eastAsia="仿宋_GB2312"/>
                <w:sz w:val="24"/>
              </w:rPr>
            </w:pPr>
            <w:r>
              <w:rPr>
                <w:rFonts w:hint="eastAsia" w:ascii="仿宋_GB2312" w:eastAsia="仿宋_GB2312"/>
                <w:sz w:val="24"/>
              </w:rPr>
              <w:t>7单位负责人为同一人或者存在控股、管理关系的不同单位，不得参加同一包投标或者未划分包的同一招标项目投标。违反上述规定的，相关投标均无效；</w:t>
            </w:r>
          </w:p>
          <w:p>
            <w:pPr>
              <w:spacing w:line="240" w:lineRule="atLeast"/>
              <w:rPr>
                <w:rFonts w:hint="eastAsia" w:ascii="仿宋_GB2312" w:eastAsia="仿宋_GB2312"/>
                <w:b/>
                <w:bCs/>
                <w:sz w:val="24"/>
              </w:rPr>
            </w:pPr>
            <w:r>
              <w:rPr>
                <w:rFonts w:hint="eastAsia" w:ascii="仿宋_GB2312" w:eastAsia="仿宋_GB2312"/>
                <w:b/>
                <w:bCs/>
                <w:sz w:val="24"/>
              </w:rPr>
              <w:t>备注：为优化采购活动程序，对于采购人、采购代理机构可以通过互联网或者相关信息系统查询的信息，在资格审核环节不要求供应商提供。</w:t>
            </w:r>
          </w:p>
          <w:p>
            <w:pPr>
              <w:spacing w:line="240" w:lineRule="atLeast"/>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9.投标单位需提供二类医疗器械《生产许可证》或《经营许可证》或《</w:t>
            </w:r>
            <w:r>
              <w:rPr>
                <w:rFonts w:hint="default" w:ascii="仿宋_GB2312" w:hAnsi="Times New Roman" w:eastAsia="仿宋_GB2312" w:cs="Times New Roman"/>
                <w:sz w:val="24"/>
              </w:rPr>
              <w:t>二类医疗器械经营备案凭证</w:t>
            </w:r>
            <w:r>
              <w:rPr>
                <w:rFonts w:hint="eastAsia" w:ascii="仿宋_GB2312" w:hAnsi="Times New Roman" w:eastAsia="仿宋_GB2312" w:cs="Times New Roman"/>
                <w:sz w:val="24"/>
                <w:lang w:val="en-US" w:eastAsia="zh-CN"/>
              </w:rPr>
              <w:t>》</w:t>
            </w:r>
          </w:p>
          <w:p>
            <w:pPr>
              <w:pStyle w:val="2"/>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 xml:space="preserve">.5   </w:t>
            </w:r>
          </w:p>
        </w:tc>
        <w:tc>
          <w:tcPr>
            <w:tcW w:w="6840" w:type="dxa"/>
            <w:vAlign w:val="center"/>
          </w:tcPr>
          <w:p>
            <w:pPr>
              <w:spacing w:line="240" w:lineRule="atLeast"/>
              <w:rPr>
                <w:rFonts w:hint="eastAsia" w:ascii="仿宋_GB2312" w:eastAsia="仿宋_GB2312"/>
                <w:sz w:val="24"/>
              </w:rPr>
            </w:pPr>
            <w:r>
              <w:rPr>
                <w:rFonts w:hint="eastAsia" w:ascii="仿宋_GB2312" w:hAnsi="宋体" w:eastAsia="仿宋_GB2312"/>
                <w:sz w:val="24"/>
              </w:rPr>
              <w:t>是否允许采购进口产品：</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联合体的其他资格要求：</w:t>
            </w:r>
            <w:r>
              <w:rPr>
                <w:rFonts w:hint="eastAsia" w:ascii="仿宋_GB2312" w:eastAsia="仿宋_GB2312"/>
                <w:sz w:val="24"/>
                <w:u w:val="singl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u w:val="single"/>
              </w:rPr>
              <w:t>项目预算金额：</w:t>
            </w:r>
            <w:r>
              <w:rPr>
                <w:rFonts w:hint="eastAsia" w:ascii="仿宋_GB2312" w:eastAsia="仿宋_GB2312"/>
                <w:b/>
                <w:bCs/>
                <w:sz w:val="24"/>
                <w:u w:val="single"/>
                <w:lang w:val="en-US" w:eastAsia="zh-CN"/>
              </w:rPr>
              <w:t>7965742.00（柒佰玖拾陆万伍仟柒佰肆拾贰元整）；本包最高限价：核酸、检测试剂、防护物资7965742.00（柒佰玖拾陆万伍仟柒佰肆拾贰元整）；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8.1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 xml:space="preserve">如投标商对多个包进行投标，可以中标 </w:t>
            </w:r>
            <w:r>
              <w:rPr>
                <w:rFonts w:hint="eastAsia" w:ascii="仿宋_GB2312" w:eastAsia="仿宋_GB2312"/>
                <w:sz w:val="24"/>
                <w:u w:val="single"/>
              </w:rPr>
              <w:t>/个</w:t>
            </w:r>
            <w:r>
              <w:rPr>
                <w:rFonts w:hint="eastAsia" w:ascii="仿宋_GB2312" w:eastAsia="仿宋_GB2312"/>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12</w:t>
            </w:r>
            <w:r>
              <w:rPr>
                <w:rFonts w:ascii="仿宋_GB2312" w:eastAsia="仿宋_GB2312"/>
                <w:sz w:val="24"/>
              </w:rPr>
              <w:t>.1</w:t>
            </w:r>
          </w:p>
        </w:tc>
        <w:tc>
          <w:tcPr>
            <w:tcW w:w="6840" w:type="dxa"/>
            <w:vAlign w:val="center"/>
          </w:tcPr>
          <w:p>
            <w:pPr>
              <w:spacing w:line="480" w:lineRule="exact"/>
              <w:ind w:left="600" w:hanging="600" w:hangingChars="250"/>
              <w:rPr>
                <w:rFonts w:ascii="仿宋_GB2312" w:eastAsia="仿宋_GB2312"/>
                <w:sz w:val="24"/>
                <w:u w:val="single"/>
              </w:rPr>
            </w:pPr>
            <w:r>
              <w:rPr>
                <w:rFonts w:ascii="仿宋_GB2312" w:eastAsia="仿宋_GB2312"/>
                <w:sz w:val="24"/>
                <w:u w:val="single"/>
              </w:rPr>
              <w:t xml:space="preserve">保证金形式：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lang w:eastAsia="zh-CN"/>
              </w:rPr>
              <w:t>□</w:t>
            </w:r>
            <w:r>
              <w:rPr>
                <w:rFonts w:ascii="仿宋_GB2312" w:eastAsia="仿宋_GB2312"/>
                <w:sz w:val="24"/>
                <w:u w:val="single"/>
              </w:rPr>
              <w:t>支票</w:t>
            </w:r>
          </w:p>
          <w:p>
            <w:pPr>
              <w:spacing w:line="480" w:lineRule="exact"/>
              <w:ind w:left="525" w:leftChars="250" w:firstLine="800" w:firstLineChars="200"/>
              <w:rPr>
                <w:rFonts w:ascii="仿宋_GB2312" w:eastAsia="仿宋_GB2312"/>
                <w:sz w:val="24"/>
                <w:u w:val="single"/>
              </w:rPr>
            </w:pPr>
            <w:r>
              <w:rPr>
                <w:rFonts w:ascii="仿宋_GB2312" w:eastAsia="仿宋_GB2312"/>
                <w:sz w:val="40"/>
              </w:rPr>
              <w:t>□</w:t>
            </w:r>
            <w:r>
              <w:rPr>
                <w:rFonts w:ascii="仿宋_GB2312" w:eastAsia="仿宋_GB2312"/>
                <w:sz w:val="40"/>
                <w:u w:val="single"/>
              </w:rPr>
              <w:t xml:space="preserve">        </w:t>
            </w:r>
            <w:r>
              <w:rPr>
                <w:rFonts w:hint="eastAsia" w:ascii="仿宋_GB2312" w:eastAsia="仿宋_GB2312"/>
                <w:i/>
                <w:sz w:val="24"/>
                <w:u w:val="single"/>
              </w:rPr>
              <w:t>（</w:t>
            </w:r>
            <w:r>
              <w:rPr>
                <w:rFonts w:hint="eastAsia" w:ascii="仿宋_GB2312" w:eastAsia="仿宋_GB2312"/>
                <w:i/>
                <w:sz w:val="24"/>
              </w:rPr>
              <w:t>本项目</w:t>
            </w:r>
            <w:r>
              <w:rPr>
                <w:rFonts w:ascii="仿宋_GB2312" w:eastAsia="仿宋_GB2312"/>
                <w:i/>
                <w:sz w:val="24"/>
              </w:rPr>
              <w:t xml:space="preserve">允许的其他形式） </w:t>
            </w:r>
          </w:p>
          <w:p>
            <w:pPr>
              <w:spacing w:line="480" w:lineRule="exact"/>
              <w:ind w:left="-1" w:leftChars="-13" w:hanging="26" w:hangingChars="11"/>
              <w:rPr>
                <w:rFonts w:hint="eastAsia" w:ascii="仿宋_GB2312" w:eastAsia="仿宋_GB2312"/>
                <w:sz w:val="24"/>
                <w:u w:val="single"/>
              </w:rPr>
            </w:pPr>
            <w:r>
              <w:rPr>
                <w:rFonts w:ascii="仿宋_GB2312" w:eastAsia="仿宋_GB2312"/>
                <w:sz w:val="24"/>
                <w:u w:val="single"/>
              </w:rPr>
              <w:t>保证金数额：</w:t>
            </w:r>
            <w:r>
              <w:rPr>
                <w:rFonts w:hint="eastAsia" w:ascii="仿宋_GB2312" w:eastAsia="仿宋_GB2312"/>
                <w:sz w:val="24"/>
                <w:u w:val="single"/>
                <w:lang w:val="en-US" w:eastAsia="zh-CN"/>
              </w:rPr>
              <w:t>150000</w:t>
            </w:r>
            <w:r>
              <w:rPr>
                <w:rFonts w:hint="eastAsia" w:ascii="仿宋_GB2312" w:eastAsia="仿宋_GB2312"/>
                <w:sz w:val="24"/>
                <w:u w:val="single"/>
              </w:rPr>
              <w:t>.00</w:t>
            </w:r>
            <w:r>
              <w:rPr>
                <w:rFonts w:hint="eastAsia" w:ascii="仿宋_GB2312" w:eastAsia="仿宋_GB2312"/>
                <w:b/>
                <w:bCs/>
                <w:sz w:val="24"/>
                <w:u w:val="single"/>
              </w:rPr>
              <w:t>元（</w:t>
            </w:r>
            <w:r>
              <w:rPr>
                <w:rFonts w:hint="eastAsia" w:ascii="仿宋_GB2312" w:eastAsia="仿宋_GB2312"/>
                <w:b/>
                <w:bCs/>
                <w:sz w:val="24"/>
                <w:u w:val="single"/>
                <w:lang w:val="en-US" w:eastAsia="zh-CN"/>
              </w:rPr>
              <w:t>壹拾伍万元整</w:t>
            </w:r>
            <w:r>
              <w:rPr>
                <w:rFonts w:hint="eastAsia" w:ascii="仿宋_GB2312" w:eastAsia="仿宋_GB2312"/>
                <w:b/>
                <w:bCs/>
                <w:sz w:val="24"/>
                <w:u w:val="single"/>
              </w:rPr>
              <w:t>）</w:t>
            </w:r>
            <w:r>
              <w:rPr>
                <w:rFonts w:hint="eastAsia" w:ascii="仿宋_GB2312" w:eastAsia="仿宋_GB2312"/>
                <w:b/>
                <w:sz w:val="24"/>
                <w:u w:val="single"/>
              </w:rPr>
              <w:t>。</w:t>
            </w:r>
            <w:r>
              <w:rPr>
                <w:rFonts w:hint="eastAsia" w:ascii="仿宋_GB2312" w:eastAsia="仿宋_GB2312"/>
                <w:i/>
                <w:sz w:val="24"/>
              </w:rPr>
              <w:t>（按照各</w:t>
            </w:r>
            <w:r>
              <w:rPr>
                <w:rFonts w:ascii="仿宋_GB2312" w:eastAsia="仿宋_GB2312"/>
                <w:i/>
                <w:sz w:val="24"/>
              </w:rPr>
              <w:t>分包控制金额</w:t>
            </w:r>
            <w:r>
              <w:rPr>
                <w:rFonts w:hint="eastAsia" w:ascii="仿宋_GB2312" w:eastAsia="仿宋_GB2312"/>
                <w:i/>
                <w:sz w:val="24"/>
              </w:rPr>
              <w:t>2</w:t>
            </w:r>
            <w:r>
              <w:rPr>
                <w:rFonts w:ascii="仿宋_GB2312" w:eastAsia="仿宋_GB2312"/>
                <w:i/>
                <w:sz w:val="24"/>
              </w:rPr>
              <w:t>%</w:t>
            </w:r>
            <w:r>
              <w:rPr>
                <w:rFonts w:hint="eastAsia" w:ascii="仿宋_GB2312" w:eastAsia="仿宋_GB2312"/>
                <w:i/>
                <w:sz w:val="24"/>
              </w:rPr>
              <w:t>以内</w:t>
            </w:r>
            <w:r>
              <w:rPr>
                <w:rFonts w:ascii="仿宋_GB2312" w:eastAsia="仿宋_GB2312"/>
                <w:i/>
                <w:sz w:val="24"/>
              </w:rPr>
              <w:t>的整数计算）</w:t>
            </w:r>
          </w:p>
          <w:p>
            <w:pPr>
              <w:widowControl/>
              <w:spacing w:line="420" w:lineRule="atLeast"/>
              <w:ind w:right="32" w:firstLine="240" w:firstLineChars="100"/>
              <w:rPr>
                <w:rFonts w:hint="eastAsia" w:ascii="仿宋_GB2312" w:eastAsia="仿宋_GB2312"/>
                <w:sz w:val="24"/>
              </w:rPr>
            </w:pPr>
            <w:r>
              <w:rPr>
                <w:rFonts w:hint="eastAsia" w:ascii="仿宋_GB2312" w:eastAsia="仿宋_GB2312"/>
                <w:sz w:val="24"/>
              </w:rPr>
              <w:t>保证金收款人：</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账户名称：巴楚县行政服务中心</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账号：20365313000100000449111</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开户行：中国农业发展银行巴楚县支行</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行号：203895214196</w:t>
            </w:r>
          </w:p>
          <w:p>
            <w:pPr>
              <w:widowControl/>
              <w:spacing w:line="420" w:lineRule="atLeast"/>
              <w:ind w:right="32" w:firstLine="240" w:firstLineChars="100"/>
              <w:rPr>
                <w:rFonts w:hint="eastAsia" w:ascii="仿宋_GB2312" w:eastAsia="仿宋_GB2312"/>
                <w:sz w:val="24"/>
              </w:rPr>
            </w:pPr>
          </w:p>
          <w:p>
            <w:pPr>
              <w:spacing w:line="240" w:lineRule="atLeast"/>
              <w:ind w:firstLine="422" w:firstLineChars="175"/>
              <w:rPr>
                <w:rFonts w:hint="eastAsia" w:ascii="仿宋_GB2312" w:eastAsia="仿宋_GB2312"/>
                <w:b/>
                <w:bCs/>
                <w:sz w:val="24"/>
              </w:rPr>
            </w:pPr>
            <w:r>
              <w:rPr>
                <w:rFonts w:hint="eastAsia" w:ascii="仿宋_GB2312" w:eastAsia="仿宋_GB2312"/>
                <w:b/>
                <w:bCs/>
                <w:sz w:val="24"/>
              </w:rPr>
              <w:t>备注：1、投标保证金于投标截止时间之前</w:t>
            </w:r>
            <w:r>
              <w:rPr>
                <w:rFonts w:ascii="仿宋_GB2312" w:eastAsia="仿宋_GB2312"/>
                <w:b/>
                <w:bCs/>
                <w:sz w:val="24"/>
              </w:rPr>
              <w:t>20</w:t>
            </w:r>
            <w:r>
              <w:rPr>
                <w:rFonts w:hint="eastAsia" w:ascii="仿宋_GB2312" w:eastAsia="仿宋_GB2312"/>
                <w:b/>
                <w:bCs/>
                <w:sz w:val="24"/>
              </w:rPr>
              <w:t>2</w:t>
            </w:r>
            <w:r>
              <w:rPr>
                <w:rFonts w:hint="eastAsia" w:ascii="仿宋_GB2312" w:eastAsia="仿宋_GB2312"/>
                <w:b/>
                <w:bCs/>
                <w:sz w:val="24"/>
                <w:highlight w:val="none"/>
                <w:lang w:val="en-US" w:eastAsia="zh-CN"/>
              </w:rPr>
              <w:t>1</w:t>
            </w:r>
            <w:r>
              <w:rPr>
                <w:rFonts w:hint="eastAsia" w:ascii="仿宋_GB2312" w:eastAsia="仿宋_GB2312"/>
                <w:b/>
                <w:bCs/>
                <w:sz w:val="24"/>
                <w:highlight w:val="none"/>
              </w:rPr>
              <w:t>年</w:t>
            </w:r>
            <w:r>
              <w:rPr>
                <w:rFonts w:hint="eastAsia" w:ascii="仿宋_GB2312" w:eastAsia="仿宋_GB2312"/>
                <w:b/>
                <w:bCs/>
                <w:sz w:val="24"/>
                <w:highlight w:val="none"/>
                <w:lang w:val="en-US" w:eastAsia="zh-CN"/>
              </w:rPr>
              <w:t>10</w:t>
            </w:r>
            <w:r>
              <w:rPr>
                <w:rFonts w:hint="eastAsia" w:ascii="仿宋_GB2312" w:eastAsia="仿宋_GB2312"/>
                <w:b/>
                <w:bCs/>
                <w:sz w:val="24"/>
                <w:highlight w:val="none"/>
              </w:rPr>
              <w:t>月</w:t>
            </w:r>
            <w:r>
              <w:rPr>
                <w:rFonts w:hint="eastAsia" w:ascii="仿宋_GB2312" w:eastAsia="仿宋_GB2312"/>
                <w:b/>
                <w:bCs/>
                <w:sz w:val="24"/>
                <w:highlight w:val="none"/>
                <w:lang w:val="en-US" w:eastAsia="zh-CN"/>
              </w:rPr>
              <w:t>30</w:t>
            </w:r>
            <w:r>
              <w:rPr>
                <w:rFonts w:hint="eastAsia" w:ascii="仿宋_GB2312" w:eastAsia="仿宋_GB2312"/>
                <w:b/>
                <w:bCs/>
                <w:sz w:val="24"/>
                <w:highlight w:val="none"/>
              </w:rPr>
              <w:t>日</w:t>
            </w:r>
            <w:r>
              <w:rPr>
                <w:rFonts w:ascii="仿宋_GB2312" w:eastAsia="仿宋_GB2312"/>
                <w:b/>
                <w:bCs/>
                <w:sz w:val="24"/>
                <w:highlight w:val="none"/>
              </w:rPr>
              <w:t>1</w:t>
            </w:r>
            <w:r>
              <w:rPr>
                <w:rFonts w:hint="eastAsia" w:ascii="仿宋_GB2312" w:eastAsia="仿宋_GB2312"/>
                <w:b/>
                <w:bCs/>
                <w:sz w:val="24"/>
                <w:highlight w:val="none"/>
                <w:lang w:val="en-US" w:eastAsia="zh-CN"/>
              </w:rPr>
              <w:t>1</w:t>
            </w:r>
            <w:r>
              <w:rPr>
                <w:rFonts w:hint="eastAsia" w:ascii="仿宋_GB2312" w:eastAsia="仿宋_GB2312"/>
                <w:b/>
                <w:bCs/>
                <w:sz w:val="24"/>
                <w:highlight w:val="none"/>
              </w:rPr>
              <w:t>时</w:t>
            </w:r>
            <w:r>
              <w:rPr>
                <w:rFonts w:hint="eastAsia" w:ascii="仿宋_GB2312" w:eastAsia="仿宋_GB2312"/>
                <w:b/>
                <w:bCs/>
                <w:sz w:val="24"/>
                <w:highlight w:val="none"/>
                <w:lang w:val="en-US" w:eastAsia="zh-CN"/>
              </w:rPr>
              <w:t>00</w:t>
            </w:r>
            <w:r>
              <w:rPr>
                <w:rFonts w:hint="eastAsia" w:ascii="仿宋_GB2312" w:eastAsia="仿宋_GB2312"/>
                <w:b/>
                <w:bCs/>
                <w:sz w:val="24"/>
                <w:highlight w:val="none"/>
              </w:rPr>
              <w:t>分（以到</w:t>
            </w:r>
            <w:r>
              <w:rPr>
                <w:rFonts w:hint="eastAsia" w:ascii="仿宋_GB2312" w:eastAsia="仿宋_GB2312"/>
                <w:b/>
                <w:bCs/>
                <w:sz w:val="24"/>
                <w:highlight w:val="none"/>
                <w:lang w:val="en-US" w:eastAsia="zh-CN"/>
              </w:rPr>
              <w:t>行政服务</w:t>
            </w:r>
            <w:r>
              <w:rPr>
                <w:rFonts w:hint="eastAsia" w:ascii="仿宋_GB2312" w:eastAsia="仿宋_GB2312"/>
                <w:b/>
                <w:bCs/>
                <w:sz w:val="24"/>
                <w:highlight w:val="none"/>
              </w:rPr>
              <w:t>中心账户时间为准</w:t>
            </w:r>
            <w:r>
              <w:rPr>
                <w:rFonts w:ascii="仿宋_GB2312" w:eastAsia="仿宋_GB2312"/>
                <w:b/>
                <w:bCs/>
                <w:sz w:val="24"/>
                <w:highlight w:val="none"/>
              </w:rPr>
              <w:t>)</w:t>
            </w:r>
            <w:r>
              <w:rPr>
                <w:rFonts w:hint="eastAsia" w:ascii="仿宋_GB2312" w:eastAsia="仿宋_GB2312"/>
                <w:b/>
                <w:bCs/>
                <w:sz w:val="24"/>
                <w:highlight w:val="none"/>
              </w:rPr>
              <w:t>之前从</w:t>
            </w:r>
            <w:r>
              <w:rPr>
                <w:rFonts w:hint="eastAsia" w:ascii="仿宋_GB2312" w:eastAsia="仿宋_GB2312"/>
                <w:b/>
                <w:bCs/>
                <w:sz w:val="24"/>
              </w:rPr>
              <w:t>投标人基本账户以银行电汇形式交纳，并注明是投标保证金和采购项目的招标编号。投标人提交投标保证金应充分考虑资金在途时间，以投保证金到账或提交时间为准。投标人在递交投标文件时，缴纳投标保证金后取得投标资格不得转让。</w:t>
            </w:r>
          </w:p>
          <w:p>
            <w:pPr>
              <w:spacing w:line="240" w:lineRule="atLeast"/>
              <w:ind w:firstLine="422" w:firstLineChars="175"/>
              <w:rPr>
                <w:rFonts w:hint="eastAsia" w:ascii="仿宋_GB2312" w:eastAsia="仿宋_GB2312"/>
                <w:i/>
                <w:sz w:val="24"/>
              </w:rPr>
            </w:pPr>
            <w:r>
              <w:rPr>
                <w:rFonts w:hint="eastAsia" w:ascii="仿宋_GB2312" w:eastAsia="仿宋_GB2312"/>
                <w:b/>
                <w:bCs/>
                <w:sz w:val="24"/>
              </w:rPr>
              <w:t>2、投标人未按招标文件规定缴纳投标保证金的,投标文件将被拒绝评审。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13.1</w:t>
            </w:r>
          </w:p>
        </w:tc>
        <w:tc>
          <w:tcPr>
            <w:tcW w:w="6840" w:type="dxa"/>
            <w:vAlign w:val="center"/>
          </w:tcPr>
          <w:p>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90　</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14.1</w:t>
            </w:r>
          </w:p>
        </w:tc>
        <w:tc>
          <w:tcPr>
            <w:tcW w:w="6840" w:type="dxa"/>
            <w:vAlign w:val="center"/>
          </w:tcPr>
          <w:p>
            <w:pPr>
              <w:spacing w:line="240" w:lineRule="atLeast"/>
              <w:rPr>
                <w:rFonts w:ascii="仿宋_GB2312" w:eastAsia="仿宋_GB2312"/>
                <w:sz w:val="24"/>
              </w:rPr>
            </w:pPr>
            <w:r>
              <w:rPr>
                <w:rFonts w:hint="eastAsia" w:ascii="仿宋_GB2312" w:hAnsi="宋体" w:eastAsia="仿宋_GB2312"/>
                <w:sz w:val="24"/>
              </w:rPr>
              <w:t>第一部分</w:t>
            </w:r>
            <w:r>
              <w:rPr>
                <w:rFonts w:hint="eastAsia" w:ascii="仿宋_GB2312" w:eastAsia="仿宋_GB2312"/>
                <w:sz w:val="24"/>
              </w:rPr>
              <w:t>投标文件：正本：</w:t>
            </w:r>
            <w:r>
              <w:rPr>
                <w:rFonts w:hint="eastAsia" w:ascii="仿宋_GB2312" w:eastAsia="仿宋_GB2312"/>
                <w:sz w:val="24"/>
                <w:u w:val="single"/>
              </w:rPr>
              <w:t xml:space="preserve">　1 </w:t>
            </w:r>
            <w:r>
              <w:rPr>
                <w:rFonts w:hint="eastAsia" w:ascii="仿宋_GB2312" w:eastAsia="仿宋_GB2312"/>
                <w:sz w:val="24"/>
              </w:rPr>
              <w:t>份、副本：</w:t>
            </w:r>
            <w:r>
              <w:rPr>
                <w:rFonts w:hint="eastAsia" w:ascii="仿宋_GB2312" w:eastAsia="仿宋_GB2312"/>
                <w:sz w:val="24"/>
                <w:u w:val="single"/>
              </w:rPr>
              <w:t xml:space="preserve"> 4　</w:t>
            </w:r>
            <w:r>
              <w:rPr>
                <w:rFonts w:hint="eastAsia" w:ascii="仿宋_GB2312" w:eastAsia="仿宋_GB2312"/>
                <w:sz w:val="24"/>
              </w:rPr>
              <w:t>份；</w:t>
            </w:r>
          </w:p>
          <w:p>
            <w:pPr>
              <w:spacing w:line="240" w:lineRule="atLeast"/>
              <w:rPr>
                <w:rFonts w:hint="eastAsia" w:ascii="仿宋_GB2312" w:eastAsia="仿宋_GB2312"/>
                <w:sz w:val="24"/>
              </w:rPr>
            </w:pPr>
            <w:r>
              <w:rPr>
                <w:rFonts w:hint="eastAsia" w:ascii="仿宋_GB2312" w:eastAsia="仿宋_GB2312"/>
                <w:sz w:val="24"/>
              </w:rPr>
              <w:t>第</w:t>
            </w:r>
            <w:r>
              <w:rPr>
                <w:rFonts w:ascii="仿宋_GB2312" w:eastAsia="仿宋_GB2312"/>
                <w:sz w:val="24"/>
              </w:rPr>
              <w:t>二部分投标文件：</w:t>
            </w:r>
            <w:r>
              <w:rPr>
                <w:rFonts w:hint="eastAsia" w:ascii="仿宋_GB2312" w:eastAsia="仿宋_GB2312"/>
                <w:sz w:val="24"/>
              </w:rPr>
              <w:t>正本：</w:t>
            </w:r>
            <w:r>
              <w:rPr>
                <w:rFonts w:hint="eastAsia" w:ascii="仿宋_GB2312" w:eastAsia="仿宋_GB2312"/>
                <w:sz w:val="24"/>
                <w:u w:val="single"/>
              </w:rPr>
              <w:t xml:space="preserve">　1 </w:t>
            </w:r>
            <w:r>
              <w:rPr>
                <w:rFonts w:hint="eastAsia" w:ascii="仿宋_GB2312" w:eastAsia="仿宋_GB2312"/>
                <w:sz w:val="24"/>
              </w:rPr>
              <w:t>份、副本：</w:t>
            </w:r>
            <w:r>
              <w:rPr>
                <w:rFonts w:hint="eastAsia" w:ascii="仿宋_GB2312" w:eastAsia="仿宋_GB2312"/>
                <w:sz w:val="24"/>
                <w:u w:val="single"/>
              </w:rPr>
              <w:t xml:space="preserve"> 4　</w:t>
            </w:r>
            <w:r>
              <w:rPr>
                <w:rFonts w:hint="eastAsia" w:ascii="仿宋_GB2312" w:eastAsia="仿宋_GB2312"/>
                <w:sz w:val="24"/>
              </w:rPr>
              <w:t>份；</w:t>
            </w:r>
          </w:p>
          <w:p>
            <w:pPr>
              <w:spacing w:line="240" w:lineRule="atLeast"/>
              <w:rPr>
                <w:rFonts w:hint="eastAsia" w:ascii="仿宋_GB2312" w:eastAsia="仿宋_GB2312"/>
                <w:sz w:val="24"/>
              </w:rPr>
            </w:pPr>
            <w:r>
              <w:rPr>
                <w:rFonts w:hint="eastAsia" w:ascii="仿宋_GB2312" w:eastAsia="仿宋_GB2312"/>
                <w:sz w:val="24"/>
              </w:rPr>
              <w:t>除</w:t>
            </w:r>
            <w:r>
              <w:rPr>
                <w:rFonts w:ascii="仿宋_GB2312" w:eastAsia="仿宋_GB2312"/>
                <w:sz w:val="24"/>
              </w:rPr>
              <w:t>上述文件外，还</w:t>
            </w:r>
            <w:r>
              <w:rPr>
                <w:rFonts w:hint="eastAsia" w:ascii="仿宋_GB2312" w:eastAsia="仿宋_GB2312"/>
                <w:sz w:val="24"/>
              </w:rPr>
              <w:t>须密封递交</w:t>
            </w:r>
            <w:r>
              <w:rPr>
                <w:rFonts w:ascii="仿宋_GB2312" w:eastAsia="仿宋_GB2312"/>
                <w:sz w:val="24"/>
              </w:rPr>
              <w:t>投标文件</w:t>
            </w:r>
            <w:r>
              <w:rPr>
                <w:rFonts w:hint="eastAsia" w:ascii="仿宋_GB2312" w:eastAsia="仿宋_GB2312"/>
                <w:sz w:val="24"/>
              </w:rPr>
              <w:t>电子文档</w:t>
            </w:r>
            <w:r>
              <w:rPr>
                <w:rFonts w:hint="eastAsia" w:ascii="仿宋_GB2312" w:eastAsia="仿宋_GB2312"/>
                <w:sz w:val="24"/>
                <w:u w:val="single"/>
              </w:rPr>
              <w:t xml:space="preserve">  1  </w:t>
            </w:r>
            <w:r>
              <w:rPr>
                <w:rFonts w:hint="eastAsia" w:ascii="仿宋_GB2312" w:eastAsia="仿宋_GB2312"/>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16.1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投标截止时间：</w:t>
            </w:r>
            <w:r>
              <w:rPr>
                <w:rFonts w:hint="eastAsia" w:ascii="仿宋_GB2312" w:eastAsia="仿宋_GB2312"/>
                <w:sz w:val="24"/>
                <w:u w:val="single"/>
              </w:rPr>
              <w:t>202</w:t>
            </w:r>
            <w:r>
              <w:rPr>
                <w:rFonts w:hint="eastAsia" w:ascii="仿宋_GB2312" w:eastAsia="仿宋_GB2312"/>
                <w:sz w:val="24"/>
                <w:u w:val="single"/>
                <w:lang w:val="en-US" w:eastAsia="zh-CN"/>
              </w:rPr>
              <w:t>1</w:t>
            </w:r>
            <w:r>
              <w:rPr>
                <w:rFonts w:hint="eastAsia" w:ascii="仿宋_GB2312" w:eastAsia="仿宋_GB2312"/>
                <w:sz w:val="24"/>
                <w:u w:val="single"/>
              </w:rPr>
              <w:t>年</w:t>
            </w:r>
            <w:r>
              <w:rPr>
                <w:rFonts w:hint="eastAsia" w:ascii="仿宋_GB2312" w:eastAsia="仿宋_GB2312"/>
                <w:sz w:val="24"/>
                <w:u w:val="single"/>
                <w:lang w:val="en-US" w:eastAsia="zh-CN"/>
              </w:rPr>
              <w:t>10</w:t>
            </w:r>
            <w:r>
              <w:rPr>
                <w:rFonts w:hint="eastAsia" w:ascii="仿宋_GB2312" w:eastAsia="仿宋_GB2312"/>
                <w:sz w:val="24"/>
                <w:u w:val="single"/>
              </w:rPr>
              <w:t>月</w:t>
            </w:r>
            <w:r>
              <w:rPr>
                <w:rFonts w:hint="eastAsia" w:ascii="仿宋_GB2312" w:eastAsia="仿宋_GB2312"/>
                <w:sz w:val="24"/>
                <w:u w:val="single"/>
                <w:lang w:val="en-US" w:eastAsia="zh-CN"/>
              </w:rPr>
              <w:t>30</w:t>
            </w:r>
            <w:r>
              <w:rPr>
                <w:rFonts w:hint="eastAsia" w:ascii="仿宋_GB2312" w:eastAsia="仿宋_GB2312"/>
                <w:sz w:val="24"/>
                <w:u w:val="single"/>
              </w:rPr>
              <w:t>日1</w:t>
            </w:r>
            <w:r>
              <w:rPr>
                <w:rFonts w:hint="eastAsia" w:ascii="仿宋_GB2312" w:eastAsia="仿宋_GB2312"/>
                <w:sz w:val="24"/>
                <w:u w:val="single"/>
                <w:lang w:val="en-US" w:eastAsia="zh-CN"/>
              </w:rPr>
              <w:t>1</w:t>
            </w:r>
            <w:r>
              <w:rPr>
                <w:rFonts w:hint="eastAsia" w:ascii="仿宋_GB2312" w:eastAsia="仿宋_GB2312"/>
                <w:sz w:val="24"/>
                <w:u w:val="single"/>
              </w:rPr>
              <w:t>:</w:t>
            </w:r>
            <w:r>
              <w:rPr>
                <w:rFonts w:hint="eastAsia" w:ascii="仿宋_GB2312" w:eastAsia="仿宋_GB2312"/>
                <w:sz w:val="24"/>
                <w:u w:val="single"/>
                <w:lang w:val="en-US" w:eastAsia="zh-CN"/>
              </w:rPr>
              <w:t>0</w:t>
            </w:r>
            <w:r>
              <w:rPr>
                <w:rFonts w:hint="eastAsia" w:ascii="仿宋_GB2312" w:eastAsia="仿宋_GB2312"/>
                <w:sz w:val="24"/>
                <w:u w:val="single"/>
              </w:rPr>
              <w:t>0时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18</w:t>
            </w:r>
            <w:r>
              <w:rPr>
                <w:rFonts w:ascii="仿宋_GB2312" w:eastAsia="仿宋_GB2312"/>
                <w:sz w:val="24"/>
              </w:rPr>
              <w:t>.1</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开标时间：</w:t>
            </w:r>
            <w:r>
              <w:rPr>
                <w:rFonts w:hint="eastAsia" w:ascii="仿宋_GB2312" w:eastAsia="仿宋_GB2312"/>
                <w:sz w:val="24"/>
                <w:u w:val="single"/>
              </w:rPr>
              <w:t>202</w:t>
            </w:r>
            <w:r>
              <w:rPr>
                <w:rFonts w:hint="eastAsia" w:ascii="仿宋_GB2312" w:eastAsia="仿宋_GB2312"/>
                <w:sz w:val="24"/>
                <w:u w:val="single"/>
                <w:lang w:val="en-US" w:eastAsia="zh-CN"/>
              </w:rPr>
              <w:t>1</w:t>
            </w:r>
            <w:r>
              <w:rPr>
                <w:rFonts w:hint="eastAsia" w:ascii="仿宋_GB2312" w:eastAsia="仿宋_GB2312"/>
                <w:sz w:val="24"/>
                <w:u w:val="single"/>
              </w:rPr>
              <w:t>年</w:t>
            </w:r>
            <w:r>
              <w:rPr>
                <w:rFonts w:hint="eastAsia" w:ascii="仿宋_GB2312" w:eastAsia="仿宋_GB2312"/>
                <w:sz w:val="24"/>
                <w:u w:val="single"/>
                <w:lang w:val="en-US" w:eastAsia="zh-CN"/>
              </w:rPr>
              <w:t>10</w:t>
            </w:r>
            <w:r>
              <w:rPr>
                <w:rFonts w:hint="eastAsia" w:ascii="仿宋_GB2312" w:eastAsia="仿宋_GB2312"/>
                <w:sz w:val="24"/>
                <w:u w:val="single"/>
              </w:rPr>
              <w:t>月</w:t>
            </w:r>
            <w:r>
              <w:rPr>
                <w:rFonts w:hint="eastAsia" w:ascii="仿宋_GB2312" w:eastAsia="仿宋_GB2312"/>
                <w:sz w:val="24"/>
                <w:u w:val="single"/>
                <w:lang w:val="en-US" w:eastAsia="zh-CN"/>
              </w:rPr>
              <w:t>30</w:t>
            </w:r>
            <w:r>
              <w:rPr>
                <w:rFonts w:hint="eastAsia" w:ascii="仿宋_GB2312" w:eastAsia="仿宋_GB2312"/>
                <w:sz w:val="24"/>
                <w:u w:val="single"/>
              </w:rPr>
              <w:t>日1</w:t>
            </w:r>
            <w:r>
              <w:rPr>
                <w:rFonts w:hint="eastAsia" w:ascii="仿宋_GB2312" w:eastAsia="仿宋_GB2312"/>
                <w:sz w:val="24"/>
                <w:u w:val="single"/>
                <w:lang w:val="en-US" w:eastAsia="zh-CN"/>
              </w:rPr>
              <w:t>1</w:t>
            </w:r>
            <w:r>
              <w:rPr>
                <w:rFonts w:hint="eastAsia" w:ascii="仿宋_GB2312" w:eastAsia="仿宋_GB2312"/>
                <w:sz w:val="24"/>
                <w:u w:val="single"/>
              </w:rPr>
              <w:t>:00时</w:t>
            </w:r>
          </w:p>
          <w:p>
            <w:pPr>
              <w:spacing w:line="240" w:lineRule="atLeast"/>
              <w:rPr>
                <w:rFonts w:ascii="仿宋_GB2312" w:eastAsia="仿宋_GB2312"/>
                <w:sz w:val="24"/>
              </w:rPr>
            </w:pPr>
            <w:r>
              <w:rPr>
                <w:rFonts w:hint="eastAsia" w:ascii="仿宋_GB2312" w:eastAsia="仿宋_GB2312"/>
                <w:sz w:val="24"/>
              </w:rPr>
              <w:t>开标地点：</w:t>
            </w:r>
            <w:r>
              <w:rPr>
                <w:rFonts w:hint="eastAsia" w:ascii="仿宋_GB2312" w:eastAsia="仿宋_GB2312"/>
                <w:sz w:val="24"/>
                <w:u w:val="single"/>
                <w:lang w:val="en-US" w:eastAsia="zh-CN"/>
              </w:rPr>
              <w:t>巴楚县住房和城乡建设局3楼中会议室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240" w:lineRule="atLeast"/>
              <w:ind w:left="1080" w:leftChars="257" w:hanging="540" w:firstLineChars="0"/>
              <w:rPr>
                <w:rFonts w:hint="eastAsia" w:ascii="仿宋_GB2312" w:eastAsia="仿宋_GB2312"/>
                <w:sz w:val="24"/>
              </w:rPr>
            </w:pPr>
            <w:r>
              <w:rPr>
                <w:rFonts w:hint="eastAsia" w:ascii="仿宋_GB2312" w:eastAsia="仿宋_GB2312"/>
                <w:sz w:val="24"/>
              </w:rPr>
              <w:t>20.</w:t>
            </w:r>
            <w:r>
              <w:rPr>
                <w:rFonts w:ascii="仿宋_GB2312" w:eastAsia="仿宋_GB2312"/>
                <w:sz w:val="24"/>
              </w:rPr>
              <w:t>5</w:t>
            </w:r>
          </w:p>
        </w:tc>
        <w:tc>
          <w:tcPr>
            <w:tcW w:w="6840" w:type="dxa"/>
            <w:vAlign w:val="center"/>
          </w:tcPr>
          <w:p>
            <w:pPr>
              <w:spacing w:line="240" w:lineRule="atLeast"/>
              <w:rPr>
                <w:rFonts w:hint="default" w:ascii="仿宋_GB2312" w:eastAsia="仿宋_GB2312"/>
                <w:sz w:val="24"/>
                <w:lang w:val="en-US"/>
              </w:rPr>
            </w:pPr>
            <w:r>
              <w:rPr>
                <w:rFonts w:hint="eastAsia" w:ascii="仿宋_GB2312" w:eastAsia="仿宋_GB2312"/>
                <w:sz w:val="24"/>
                <w:highlight w:val="none"/>
              </w:rPr>
              <w:t>核心产品：</w:t>
            </w:r>
            <w:r>
              <w:rPr>
                <w:rFonts w:hint="eastAsia" w:ascii="仿宋_GB2312" w:eastAsia="仿宋_GB2312"/>
                <w:sz w:val="24"/>
                <w:u w:val="single"/>
                <w:lang w:val="en-US" w:eastAsia="zh-CN"/>
              </w:rPr>
              <w:t>核酸检测（扩增）试剂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3</w:t>
            </w:r>
            <w:r>
              <w:rPr>
                <w:rFonts w:hint="eastAsia" w:ascii="仿宋_GB2312" w:eastAsia="仿宋_GB2312"/>
                <w:sz w:val="24"/>
              </w:rPr>
              <w:t>.2</w:t>
            </w:r>
          </w:p>
        </w:tc>
        <w:tc>
          <w:tcPr>
            <w:tcW w:w="6840" w:type="dxa"/>
            <w:vAlign w:val="center"/>
          </w:tcPr>
          <w:p>
            <w:pPr>
              <w:spacing w:line="240" w:lineRule="atLeast"/>
              <w:rPr>
                <w:rFonts w:hint="eastAsia" w:ascii="仿宋_GB2312" w:eastAsia="仿宋_GB2312"/>
                <w:i/>
                <w:sz w:val="24"/>
              </w:rPr>
            </w:pPr>
            <w:r>
              <w:rPr>
                <w:rFonts w:hint="eastAsia" w:ascii="仿宋_GB2312" w:eastAsia="仿宋_GB2312"/>
                <w:sz w:val="24"/>
              </w:rPr>
              <w:t>评标方法：适用综合评标法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27</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叁家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7</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否</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vAlign w:val="center"/>
          </w:tcPr>
          <w:p>
            <w:pPr>
              <w:spacing w:line="240" w:lineRule="atLeast"/>
              <w:rPr>
                <w:rFonts w:hint="eastAsia" w:ascii="仿宋_GB2312" w:eastAsia="仿宋_GB2312"/>
                <w:i/>
                <w:sz w:val="24"/>
              </w:rPr>
            </w:pPr>
            <w:r>
              <w:rPr>
                <w:rFonts w:hint="eastAsia" w:ascii="仿宋_GB2312" w:eastAsia="仿宋_GB2312"/>
                <w:sz w:val="24"/>
              </w:rPr>
              <w:t>履约保证金金额：合同总价的</w:t>
            </w:r>
            <w:r>
              <w:rPr>
                <w:rFonts w:hint="eastAsia" w:ascii="仿宋_GB2312" w:eastAsia="仿宋_GB2312"/>
                <w:sz w:val="24"/>
                <w:u w:val="single"/>
              </w:rPr>
              <w:t>　</w:t>
            </w:r>
            <w:r>
              <w:rPr>
                <w:rFonts w:hint="eastAsia" w:ascii="仿宋_GB2312" w:eastAsia="仿宋_GB2312"/>
                <w:sz w:val="24"/>
                <w:u w:val="single"/>
                <w:lang w:val="en-US" w:eastAsia="zh-CN"/>
              </w:rPr>
              <w:t>5</w:t>
            </w:r>
            <w:r>
              <w:rPr>
                <w:rFonts w:hint="eastAsia" w:ascii="仿宋_GB2312" w:eastAsia="仿宋_GB2312"/>
                <w:sz w:val="24"/>
                <w:u w:val="single"/>
              </w:rPr>
              <w:t>%　</w:t>
            </w:r>
            <w:r>
              <w:rPr>
                <w:rFonts w:hint="eastAsia" w:ascii="仿宋_GB2312" w:eastAsia="仿宋_GB2312"/>
                <w:i/>
                <w:sz w:val="24"/>
              </w:rPr>
              <w:t>（</w:t>
            </w:r>
            <w:r>
              <w:rPr>
                <w:rFonts w:ascii="仿宋_GB2312" w:eastAsia="仿宋_GB2312"/>
                <w:i/>
                <w:sz w:val="24"/>
              </w:rPr>
              <w:t>不得超过政府采购</w:t>
            </w:r>
            <w:r>
              <w:rPr>
                <w:rFonts w:hint="eastAsia" w:ascii="仿宋_GB2312" w:eastAsia="仿宋_GB2312"/>
                <w:i/>
                <w:sz w:val="24"/>
              </w:rPr>
              <w:t>合同</w:t>
            </w:r>
            <w:r>
              <w:rPr>
                <w:rFonts w:ascii="仿宋_GB2312" w:eastAsia="仿宋_GB2312"/>
                <w:i/>
                <w:sz w:val="24"/>
              </w:rPr>
              <w:t>金额的</w:t>
            </w:r>
            <w:r>
              <w:rPr>
                <w:rFonts w:hint="eastAsia" w:ascii="仿宋_GB2312" w:eastAsia="仿宋_GB2312"/>
                <w:i/>
                <w:sz w:val="24"/>
              </w:rPr>
              <w:t>10%）</w:t>
            </w:r>
          </w:p>
          <w:p>
            <w:pPr>
              <w:spacing w:line="240" w:lineRule="atLeast"/>
              <w:rPr>
                <w:rFonts w:hint="eastAsia" w:ascii="仿宋_GB2312" w:eastAsia="仿宋_GB2312"/>
                <w:sz w:val="24"/>
                <w:u w:val="single"/>
              </w:rPr>
            </w:pPr>
            <w:r>
              <w:rPr>
                <w:rFonts w:hint="eastAsia" w:ascii="仿宋_GB2312" w:eastAsia="仿宋_GB2312"/>
                <w:sz w:val="24"/>
              </w:rPr>
              <w:t>履约保证金形式：</w:t>
            </w:r>
            <w:r>
              <w:rPr>
                <w:rFonts w:hint="eastAsia"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支票</w:t>
            </w:r>
            <w:r>
              <w:rPr>
                <w:rFonts w:hint="eastAsia"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 xml:space="preserve">提交履约保证金的时间：中标之日起 </w:t>
            </w:r>
            <w:r>
              <w:rPr>
                <w:rFonts w:hint="eastAsia" w:ascii="仿宋_GB2312" w:eastAsia="仿宋_GB2312"/>
                <w:sz w:val="24"/>
                <w:u w:val="single"/>
              </w:rPr>
              <w:t xml:space="preserve">7 </w:t>
            </w:r>
            <w:r>
              <w:rPr>
                <w:rFonts w:hint="eastAsia" w:ascii="仿宋_GB2312" w:eastAsia="仿宋_GB2312"/>
                <w:sz w:val="24"/>
              </w:rPr>
              <w:t>日历日</w:t>
            </w:r>
          </w:p>
          <w:p>
            <w:pPr>
              <w:widowControl/>
              <w:spacing w:line="420" w:lineRule="atLeast"/>
              <w:ind w:right="32" w:firstLine="240" w:firstLineChars="100"/>
              <w:rPr>
                <w:rFonts w:hint="eastAsia" w:ascii="仿宋_GB2312" w:eastAsia="仿宋_GB2312"/>
                <w:sz w:val="24"/>
                <w:u w:val="single"/>
              </w:rPr>
            </w:pPr>
            <w:r>
              <w:rPr>
                <w:rFonts w:hint="eastAsia" w:ascii="仿宋_GB2312" w:eastAsia="仿宋_GB2312"/>
                <w:sz w:val="24"/>
                <w:u w:val="single"/>
              </w:rPr>
              <w:t>保证金收款人：</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账户名称：巴楚县行政服务中心</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账号：20365313000100000449111</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开户行：中国农业发展银行巴楚县支行</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行号：203895214196</w:t>
            </w:r>
          </w:p>
          <w:p>
            <w:pPr>
              <w:widowControl/>
              <w:spacing w:line="420" w:lineRule="atLeast"/>
              <w:ind w:right="32" w:firstLine="240" w:firstLineChars="100"/>
              <w:rPr>
                <w:rFonts w:hint="eastAsia" w:ascii="仿宋_GB2312" w:eastAsia="仿宋_GB2312"/>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32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中标服务费：</w:t>
            </w:r>
            <w:r>
              <w:rPr>
                <w:rFonts w:hint="eastAsia" w:ascii="仿宋_GB2312" w:eastAsia="仿宋_GB2312"/>
                <w:sz w:val="24"/>
                <w:u w:val="single"/>
              </w:rPr>
              <w:t xml:space="preserve">  无             </w:t>
            </w:r>
          </w:p>
          <w:p>
            <w:pPr>
              <w:spacing w:line="240" w:lineRule="atLeast"/>
              <w:rPr>
                <w:rFonts w:hint="eastAsia" w:ascii="仿宋_GB2312" w:eastAsia="仿宋_GB2312"/>
                <w:sz w:val="24"/>
              </w:rPr>
            </w:pPr>
            <w:r>
              <w:rPr>
                <w:rFonts w:hint="eastAsia" w:ascii="仿宋_GB2312" w:eastAsia="仿宋_GB2312"/>
                <w:sz w:val="24"/>
              </w:rPr>
              <w:t>支付形式：</w:t>
            </w:r>
            <w:r>
              <w:rPr>
                <w:rFonts w:ascii="仿宋_GB2312" w:eastAsia="仿宋_GB2312"/>
                <w:sz w:val="24"/>
                <w:u w:val="single"/>
              </w:rPr>
              <w:t xml:space="preserve">  </w:t>
            </w:r>
            <w:r>
              <w:rPr>
                <w:rFonts w:hint="eastAsia" w:ascii="仿宋_GB2312" w:eastAsia="仿宋_GB2312"/>
                <w:sz w:val="24"/>
                <w:u w:val="single"/>
              </w:rPr>
              <w:t xml:space="preserve">  无</w:t>
            </w:r>
            <w:r>
              <w:rPr>
                <w:rFonts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支付时间：</w:t>
            </w:r>
            <w:r>
              <w:rPr>
                <w:rFonts w:ascii="仿宋_GB2312" w:eastAsia="仿宋_GB2312"/>
                <w:sz w:val="24"/>
                <w:u w:val="single"/>
              </w:rPr>
              <w:t xml:space="preserve">    </w:t>
            </w:r>
            <w:r>
              <w:rPr>
                <w:rFonts w:hint="eastAsia" w:ascii="仿宋_GB2312" w:eastAsia="仿宋_GB2312"/>
                <w:sz w:val="24"/>
                <w:u w:val="single"/>
              </w:rPr>
              <w:t>无</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34.2</w:t>
            </w:r>
          </w:p>
        </w:tc>
        <w:tc>
          <w:tcPr>
            <w:tcW w:w="6840" w:type="dxa"/>
            <w:vAlign w:val="center"/>
          </w:tcPr>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反腐倡廉监督电话/邮箱：</w:t>
            </w:r>
            <w:r>
              <w:rPr>
                <w:rFonts w:hint="eastAsia" w:ascii="仿宋_GB2312" w:eastAsia="仿宋_GB2312"/>
                <w:sz w:val="24"/>
                <w:u w:val="single"/>
              </w:rPr>
              <w:t xml:space="preserve">0998-6210069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35.3</w:t>
            </w:r>
          </w:p>
        </w:tc>
        <w:tc>
          <w:tcPr>
            <w:tcW w:w="6840" w:type="dxa"/>
            <w:vAlign w:val="center"/>
          </w:tcPr>
          <w:p>
            <w:pPr>
              <w:spacing w:line="240" w:lineRule="atLeast"/>
              <w:ind w:left="710" w:leftChars="-23" w:hanging="758" w:hangingChars="316"/>
              <w:rPr>
                <w:rFonts w:ascii="仿宋_GB2312" w:eastAsia="仿宋_GB2312"/>
                <w:sz w:val="24"/>
                <w:u w:val="single"/>
              </w:rPr>
            </w:pPr>
            <w:r>
              <w:rPr>
                <w:rFonts w:hint="eastAsia" w:ascii="仿宋_GB2312" w:eastAsia="仿宋_GB2312"/>
                <w:sz w:val="24"/>
              </w:rPr>
              <w:t>接收部门：</w:t>
            </w:r>
            <w:r>
              <w:rPr>
                <w:rFonts w:hint="eastAsia" w:ascii="仿宋_GB2312" w:eastAsia="仿宋_GB2312"/>
                <w:sz w:val="24"/>
                <w:u w:val="single"/>
              </w:rPr>
              <w:t>巴楚县人民政府政府采购办公室</w:t>
            </w:r>
          </w:p>
          <w:p>
            <w:pPr>
              <w:spacing w:line="240" w:lineRule="atLeast"/>
              <w:ind w:left="710" w:leftChars="-23" w:hanging="758" w:hangingChars="316"/>
              <w:rPr>
                <w:rFonts w:ascii="仿宋_GB2312" w:eastAsia="仿宋_GB2312"/>
                <w:sz w:val="24"/>
              </w:rPr>
            </w:pPr>
            <w:r>
              <w:rPr>
                <w:rFonts w:hint="eastAsia" w:ascii="仿宋_GB2312" w:eastAsia="仿宋_GB2312"/>
                <w:sz w:val="24"/>
              </w:rPr>
              <w:t>联系电话</w:t>
            </w:r>
            <w:r>
              <w:rPr>
                <w:rFonts w:ascii="仿宋_GB2312" w:eastAsia="仿宋_GB2312"/>
                <w:sz w:val="24"/>
              </w:rPr>
              <w:t>：</w:t>
            </w:r>
            <w:r>
              <w:rPr>
                <w:rFonts w:hint="eastAsia" w:ascii="仿宋_GB2312" w:eastAsia="仿宋_GB2312"/>
                <w:sz w:val="24"/>
                <w:u w:val="single"/>
              </w:rPr>
              <w:t>0998-6210069</w:t>
            </w:r>
          </w:p>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通讯</w:t>
            </w:r>
            <w:r>
              <w:rPr>
                <w:rFonts w:ascii="仿宋_GB2312" w:eastAsia="仿宋_GB2312"/>
                <w:sz w:val="24"/>
              </w:rPr>
              <w:t>地址：</w:t>
            </w:r>
            <w:r>
              <w:rPr>
                <w:rFonts w:hint="eastAsia" w:ascii="仿宋_GB2312" w:eastAsia="仿宋_GB2312"/>
                <w:sz w:val="24"/>
                <w:u w:val="single"/>
              </w:rPr>
              <w:t>巴楚县迎宾路财政大厦六楼</w:t>
            </w:r>
          </w:p>
        </w:tc>
      </w:tr>
    </w:tbl>
    <w:p>
      <w:pPr>
        <w:pStyle w:val="5"/>
        <w:rPr>
          <w:rFonts w:hint="eastAsia" w:hAnsi="宋体" w:cs="宋体"/>
          <w:szCs w:val="24"/>
        </w:rPr>
      </w:pPr>
    </w:p>
    <w:p>
      <w:pPr>
        <w:spacing w:line="240" w:lineRule="atLeast"/>
        <w:ind w:left="1080" w:leftChars="257" w:hanging="540"/>
        <w:rPr>
          <w:rFonts w:hint="eastAsia" w:ascii="仿宋_GB2312" w:eastAsia="仿宋_GB2312"/>
          <w:sz w:val="24"/>
        </w:rPr>
        <w:sectPr>
          <w:headerReference r:id="rId7" w:type="default"/>
          <w:headerReference r:id="rId8" w:type="even"/>
          <w:footerReference r:id="rId9" w:type="even"/>
          <w:pgSz w:w="11906" w:h="16838"/>
          <w:pgMar w:top="1440" w:right="1797" w:bottom="1440" w:left="1797" w:header="851" w:footer="992" w:gutter="0"/>
          <w:cols w:space="720" w:num="1"/>
          <w:docGrid w:linePitch="312" w:charSpace="0"/>
        </w:sectPr>
      </w:pPr>
    </w:p>
    <w:p>
      <w:pPr>
        <w:widowControl/>
        <w:jc w:val="center"/>
        <w:rPr>
          <w:rFonts w:hint="eastAsia" w:ascii="仿宋" w:hAnsi="仿宋" w:eastAsia="仿宋" w:cs="宋体"/>
          <w:b/>
          <w:kern w:val="0"/>
          <w:sz w:val="32"/>
          <w:szCs w:val="32"/>
        </w:rPr>
      </w:pPr>
      <w:bookmarkStart w:id="379" w:name="_Toc219175635"/>
      <w:bookmarkStart w:id="380" w:name="_Toc218935351"/>
      <w:bookmarkStart w:id="381" w:name="_Toc216513787"/>
      <w:bookmarkStart w:id="382" w:name="_Toc216582811"/>
      <w:r>
        <w:rPr>
          <w:rFonts w:hint="eastAsia" w:ascii="仿宋" w:hAnsi="仿宋" w:eastAsia="仿宋" w:cs="宋体"/>
          <w:b/>
          <w:kern w:val="0"/>
          <w:sz w:val="32"/>
          <w:szCs w:val="32"/>
        </w:rPr>
        <w:t>资格审查</w:t>
      </w:r>
      <w:r>
        <w:rPr>
          <w:rFonts w:ascii="仿宋" w:hAnsi="仿宋" w:eastAsia="仿宋" w:cs="宋体"/>
          <w:b/>
          <w:kern w:val="0"/>
          <w:sz w:val="32"/>
          <w:szCs w:val="32"/>
        </w:rPr>
        <w:t>表</w:t>
      </w:r>
    </w:p>
    <w:p>
      <w:pPr>
        <w:rPr>
          <w:rFonts w:hint="eastAsia"/>
        </w:rPr>
      </w:pPr>
    </w:p>
    <w:tbl>
      <w:tblPr>
        <w:tblStyle w:val="15"/>
        <w:tblW w:w="14122" w:type="dxa"/>
        <w:jc w:val="center"/>
        <w:tblLayout w:type="fixed"/>
        <w:tblCellMar>
          <w:top w:w="0" w:type="dxa"/>
          <w:left w:w="108" w:type="dxa"/>
          <w:bottom w:w="0" w:type="dxa"/>
          <w:right w:w="108" w:type="dxa"/>
        </w:tblCellMar>
      </w:tblPr>
      <w:tblGrid>
        <w:gridCol w:w="1669"/>
        <w:gridCol w:w="2617"/>
        <w:gridCol w:w="2970"/>
        <w:gridCol w:w="2970"/>
        <w:gridCol w:w="3896"/>
      </w:tblGrid>
      <w:tr>
        <w:tblPrEx>
          <w:tblCellMar>
            <w:top w:w="0" w:type="dxa"/>
            <w:left w:w="108" w:type="dxa"/>
            <w:bottom w:w="0" w:type="dxa"/>
            <w:right w:w="108" w:type="dxa"/>
          </w:tblCellMar>
        </w:tblPrEx>
        <w:trPr>
          <w:trHeight w:val="806" w:hRule="atLeast"/>
          <w:jc w:val="center"/>
        </w:trPr>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投标人名称</w:t>
            </w:r>
          </w:p>
        </w:tc>
        <w:tc>
          <w:tcPr>
            <w:tcW w:w="855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审查</w:t>
            </w:r>
            <w:r>
              <w:rPr>
                <w:rFonts w:hint="eastAsia" w:ascii="宋体" w:hAnsi="宋体" w:cs="宋体"/>
                <w:kern w:val="0"/>
                <w:sz w:val="22"/>
                <w:szCs w:val="22"/>
              </w:rPr>
              <w:t>项目</w:t>
            </w:r>
          </w:p>
        </w:tc>
        <w:tc>
          <w:tcPr>
            <w:tcW w:w="38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审查结论</w:t>
            </w:r>
          </w:p>
        </w:tc>
      </w:tr>
      <w:tr>
        <w:tblPrEx>
          <w:tblCellMar>
            <w:top w:w="0" w:type="dxa"/>
            <w:left w:w="108" w:type="dxa"/>
            <w:bottom w:w="0" w:type="dxa"/>
            <w:right w:w="108" w:type="dxa"/>
          </w:tblCellMar>
        </w:tblPrEx>
        <w:trPr>
          <w:trHeight w:val="885" w:hRule="atLeast"/>
          <w:jc w:val="center"/>
        </w:trPr>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6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仿宋_GB2312" w:hAnsi="宋体" w:eastAsia="仿宋_GB2312" w:cs="宋体"/>
                <w:kern w:val="0"/>
                <w:sz w:val="20"/>
                <w:szCs w:val="20"/>
              </w:rPr>
              <w:t>合格有效的企业法人营业执照（三证合一）副本（原件、复印件、影印件均可）或电子营业执照打印件（需加盖公章）或同等法律效力的证明文件（发证机关或公证机关出具的证明材料原件）</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仿宋_GB2312" w:hAnsi="宋体" w:eastAsia="仿宋_GB2312" w:cs="宋体"/>
                <w:kern w:val="0"/>
                <w:sz w:val="20"/>
                <w:szCs w:val="20"/>
              </w:rPr>
              <w:t>法人代表资格证明书或法人授权委托书原件及其人员有效证件（如身份证原件）</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Times New Roman" w:eastAsia="仿宋_GB2312" w:cs="Times New Roman"/>
                <w:sz w:val="24"/>
                <w:lang w:val="en-US" w:eastAsia="zh-CN"/>
              </w:rPr>
              <w:t>投标单位需提供二类医疗器械《生产许可证》或《经营许可证》或《</w:t>
            </w:r>
            <w:r>
              <w:rPr>
                <w:rFonts w:hint="default" w:ascii="仿宋_GB2312" w:hAnsi="Times New Roman" w:eastAsia="仿宋_GB2312" w:cs="Times New Roman"/>
                <w:sz w:val="24"/>
              </w:rPr>
              <w:t>二类医疗器械经营备案凭证</w:t>
            </w:r>
            <w:r>
              <w:rPr>
                <w:rFonts w:hint="eastAsia" w:ascii="仿宋_GB2312" w:hAnsi="Times New Roman" w:eastAsia="仿宋_GB2312" w:cs="Times New Roman"/>
                <w:sz w:val="24"/>
                <w:lang w:val="en-US" w:eastAsia="zh-CN"/>
              </w:rPr>
              <w:t>》</w:t>
            </w:r>
          </w:p>
        </w:tc>
        <w:tc>
          <w:tcPr>
            <w:tcW w:w="38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687"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61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89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61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89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61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89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61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97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89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bl>
    <w:p>
      <w:pPr>
        <w:pStyle w:val="3"/>
        <w:numPr>
          <w:ilvl w:val="0"/>
          <w:numId w:val="0"/>
        </w:numPr>
        <w:spacing w:before="0" w:after="0" w:line="240" w:lineRule="atLeast"/>
        <w:jc w:val="both"/>
        <w:rPr>
          <w:rFonts w:hint="default" w:ascii="仿宋_GB2312" w:eastAsia="仿宋_GB2312"/>
          <w:lang w:val="en-US" w:eastAsia="zh-CN"/>
        </w:rPr>
        <w:sectPr>
          <w:pgSz w:w="16838" w:h="11906" w:orient="landscape"/>
          <w:pgMar w:top="1797" w:right="1440" w:bottom="1797" w:left="1440" w:header="851" w:footer="992" w:gutter="0"/>
          <w:cols w:space="720" w:num="1"/>
          <w:docGrid w:linePitch="312" w:charSpace="0"/>
        </w:sectPr>
      </w:pPr>
      <w:r>
        <w:rPr>
          <w:rFonts w:hint="eastAsia" w:ascii="仿宋_GB2312" w:eastAsia="仿宋_GB2312"/>
          <w:lang w:val="en-US" w:eastAsia="zh-CN"/>
        </w:rPr>
        <w:t>备注：1、以上资料现场携带；2、以上资料装订在投标文件中。</w:t>
      </w:r>
    </w:p>
    <w:bookmarkEnd w:id="379"/>
    <w:bookmarkEnd w:id="380"/>
    <w:bookmarkEnd w:id="381"/>
    <w:bookmarkEnd w:id="382"/>
    <w:p>
      <w:pPr>
        <w:pStyle w:val="3"/>
        <w:numPr>
          <w:ilvl w:val="0"/>
          <w:numId w:val="1"/>
        </w:numPr>
        <w:tabs>
          <w:tab w:val="left" w:pos="0"/>
          <w:tab w:val="clear" w:pos="3134"/>
        </w:tabs>
        <w:spacing w:before="0" w:after="0" w:line="240" w:lineRule="atLeast"/>
        <w:ind w:hanging="3134"/>
        <w:rPr>
          <w:rFonts w:hint="eastAsia" w:ascii="仿宋_GB2312" w:eastAsia="仿宋_GB2312"/>
        </w:rPr>
      </w:pPr>
      <w:bookmarkStart w:id="383" w:name="_Toc9887"/>
      <w:bookmarkStart w:id="384" w:name="_Toc218935354"/>
      <w:bookmarkStart w:id="385" w:name="_Toc216582825"/>
      <w:bookmarkStart w:id="386" w:name="_Toc219175638"/>
      <w:bookmarkStart w:id="387" w:name="_Toc9032"/>
      <w:bookmarkStart w:id="388" w:name="_Toc507399906"/>
      <w:bookmarkStart w:id="389" w:name="_Toc515647831"/>
      <w:bookmarkStart w:id="390" w:name="_Toc22779"/>
      <w:bookmarkStart w:id="391" w:name="_Toc512937852"/>
      <w:r>
        <w:rPr>
          <w:rFonts w:hint="eastAsia" w:ascii="仿宋_GB2312" w:eastAsia="仿宋_GB2312"/>
        </w:rPr>
        <w:t xml:space="preserve"> 货物需求一览表及技术规格</w:t>
      </w:r>
      <w:bookmarkEnd w:id="383"/>
      <w:bookmarkEnd w:id="384"/>
      <w:bookmarkEnd w:id="385"/>
      <w:bookmarkEnd w:id="386"/>
      <w:bookmarkEnd w:id="387"/>
      <w:bookmarkEnd w:id="388"/>
      <w:bookmarkEnd w:id="389"/>
      <w:bookmarkEnd w:id="390"/>
    </w:p>
    <w:p>
      <w:pPr>
        <w:ind w:left="2570"/>
        <w:rPr>
          <w:rFonts w:hint="eastAsia"/>
        </w:rPr>
      </w:pPr>
    </w:p>
    <w:bookmarkEnd w:id="391"/>
    <w:p>
      <w:pPr>
        <w:spacing w:line="240" w:lineRule="atLeast"/>
        <w:ind w:left="1080" w:leftChars="257" w:hanging="540"/>
        <w:jc w:val="center"/>
        <w:rPr>
          <w:rFonts w:hint="eastAsia" w:ascii="仿宋_GB2312" w:eastAsia="仿宋_GB2312"/>
          <w:b/>
          <w:sz w:val="24"/>
        </w:rPr>
      </w:pPr>
      <w:bookmarkStart w:id="392" w:name="_Toc216513803"/>
      <w:bookmarkStart w:id="393" w:name="_Toc512937853"/>
      <w:r>
        <w:rPr>
          <w:rFonts w:hint="eastAsia" w:ascii="仿宋_GB2312" w:eastAsia="仿宋_GB2312"/>
          <w:b/>
          <w:sz w:val="24"/>
        </w:rPr>
        <w:t>一 、货物需求一览表</w:t>
      </w:r>
      <w:bookmarkEnd w:id="392"/>
      <w:bookmarkEnd w:id="393"/>
    </w:p>
    <w:p>
      <w:pPr>
        <w:tabs>
          <w:tab w:val="left" w:pos="1470"/>
        </w:tabs>
        <w:spacing w:line="240" w:lineRule="atLeast"/>
        <w:rPr>
          <w:rFonts w:hint="eastAsia" w:ascii="仿宋_GB2312" w:eastAsia="仿宋_GB2312"/>
          <w:b/>
          <w:sz w:val="24"/>
        </w:rPr>
      </w:pPr>
      <w:r>
        <w:rPr>
          <w:rFonts w:hint="eastAsia" w:ascii="仿宋_GB2312" w:eastAsia="仿宋_GB2312"/>
          <w:b/>
          <w:sz w:val="24"/>
        </w:rPr>
        <w:t>招标编号：KSBCX(GK) 202</w:t>
      </w:r>
      <w:r>
        <w:rPr>
          <w:rFonts w:hint="eastAsia" w:ascii="仿宋_GB2312" w:eastAsia="仿宋_GB2312"/>
          <w:b/>
          <w:sz w:val="24"/>
          <w:lang w:val="en-US" w:eastAsia="zh-CN"/>
        </w:rPr>
        <w:t>1</w:t>
      </w:r>
      <w:r>
        <w:rPr>
          <w:rFonts w:hint="eastAsia" w:ascii="仿宋_GB2312" w:eastAsia="仿宋_GB2312"/>
          <w:b/>
          <w:sz w:val="24"/>
        </w:rPr>
        <w:t>-</w:t>
      </w:r>
      <w:r>
        <w:rPr>
          <w:rFonts w:hint="eastAsia" w:ascii="仿宋_GB2312" w:eastAsia="仿宋_GB2312"/>
          <w:b/>
          <w:sz w:val="24"/>
          <w:lang w:val="en-US" w:eastAsia="zh-CN"/>
        </w:rPr>
        <w:t>32</w:t>
      </w:r>
      <w:r>
        <w:rPr>
          <w:rFonts w:hint="eastAsia" w:ascii="仿宋_GB2312" w:eastAsia="仿宋_GB2312"/>
          <w:b/>
          <w:sz w:val="24"/>
        </w:rPr>
        <w:t xml:space="preserve">号               </w:t>
      </w:r>
    </w:p>
    <w:p>
      <w:pPr>
        <w:pageBreakBefore w:val="0"/>
        <w:kinsoku/>
        <w:wordWrap/>
        <w:overflowPunct/>
        <w:topLinePunct w:val="0"/>
        <w:autoSpaceDE/>
        <w:autoSpaceDN/>
        <w:bidi w:val="0"/>
        <w:adjustRightInd/>
        <w:spacing w:line="400" w:lineRule="exact"/>
        <w:textAlignment w:val="auto"/>
        <w:rPr>
          <w:rFonts w:hint="default" w:ascii="仿宋_GB2312" w:eastAsia="仿宋_GB2312"/>
          <w:b/>
          <w:sz w:val="24"/>
          <w:lang w:val="en-US" w:eastAsia="zh-CN"/>
        </w:rPr>
      </w:pPr>
      <w:r>
        <w:rPr>
          <w:rFonts w:hint="eastAsia" w:ascii="仿宋_GB2312" w:eastAsia="仿宋_GB2312"/>
          <w:b/>
          <w:sz w:val="24"/>
        </w:rPr>
        <w:t>项目名称：</w:t>
      </w:r>
      <w:r>
        <w:rPr>
          <w:rFonts w:hint="eastAsia" w:ascii="仿宋_GB2312" w:eastAsia="仿宋_GB2312"/>
          <w:b/>
          <w:sz w:val="24"/>
          <w:lang w:val="en-US" w:eastAsia="zh-CN"/>
        </w:rPr>
        <w:t>巴楚县卫生健康委员会核酸、检测试剂、防护物资采购项目</w:t>
      </w:r>
    </w:p>
    <w:p>
      <w:pPr>
        <w:pStyle w:val="2"/>
        <w:rPr>
          <w:rFonts w:hint="eastAsia"/>
        </w:rPr>
      </w:pPr>
    </w:p>
    <w:tbl>
      <w:tblPr>
        <w:tblStyle w:val="15"/>
        <w:tblW w:w="10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
        <w:gridCol w:w="1260"/>
        <w:gridCol w:w="1230"/>
        <w:gridCol w:w="5672"/>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参数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核酸检测(扩增)试剂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400000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1、符合巴楚县</w:t>
            </w:r>
            <w:r>
              <w:rPr>
                <w:rFonts w:hint="eastAsia" w:ascii="宋体" w:hAnsi="宋体" w:cs="宋体"/>
                <w:i w:val="0"/>
                <w:iCs w:val="0"/>
                <w:color w:val="000000"/>
                <w:kern w:val="0"/>
                <w:sz w:val="18"/>
                <w:szCs w:val="18"/>
                <w:u w:val="none"/>
                <w:lang w:val="en-US" w:eastAsia="zh-CN" w:bidi="ar"/>
              </w:rPr>
              <w:t>所有PCR实验室现有</w:t>
            </w:r>
            <w:r>
              <w:rPr>
                <w:rFonts w:hint="eastAsia" w:ascii="宋体" w:hAnsi="宋体" w:eastAsia="宋体" w:cs="宋体"/>
                <w:i w:val="0"/>
                <w:iCs w:val="0"/>
                <w:color w:val="000000"/>
                <w:kern w:val="0"/>
                <w:sz w:val="18"/>
                <w:szCs w:val="18"/>
                <w:u w:val="none"/>
                <w:lang w:val="en-US" w:eastAsia="zh-CN" w:bidi="ar"/>
              </w:rPr>
              <w:t>核酸检测设备</w:t>
            </w:r>
            <w:r>
              <w:rPr>
                <w:rFonts w:hint="eastAsia" w:ascii="宋体" w:hAnsi="宋体" w:cs="宋体"/>
                <w:i w:val="0"/>
                <w:iCs w:val="0"/>
                <w:color w:val="000000"/>
                <w:kern w:val="0"/>
                <w:sz w:val="18"/>
                <w:szCs w:val="18"/>
                <w:u w:val="none"/>
                <w:lang w:val="en-US" w:eastAsia="zh-CN" w:bidi="ar"/>
              </w:rPr>
              <w:t>机型</w:t>
            </w:r>
            <w:r>
              <w:rPr>
                <w:rFonts w:hint="eastAsia" w:ascii="宋体" w:hAnsi="宋体" w:eastAsia="宋体" w:cs="宋体"/>
                <w:i w:val="0"/>
                <w:iCs w:val="0"/>
                <w:color w:val="000000"/>
                <w:kern w:val="0"/>
                <w:sz w:val="18"/>
                <w:szCs w:val="18"/>
                <w:u w:val="none"/>
                <w:lang w:val="en-US" w:eastAsia="zh-CN" w:bidi="ar"/>
              </w:rPr>
              <w:t>使用</w:t>
            </w:r>
            <w:r>
              <w:rPr>
                <w:rFonts w:hint="eastAsia" w:ascii="宋体" w:hAnsi="宋体" w:cs="宋体"/>
                <w:i w:val="0"/>
                <w:iCs w:val="0"/>
                <w:color w:val="000000"/>
                <w:kern w:val="0"/>
                <w:sz w:val="18"/>
                <w:szCs w:val="18"/>
                <w:u w:val="none"/>
                <w:lang w:val="en-US" w:eastAsia="zh-CN" w:bidi="ar"/>
              </w:rPr>
              <w:t>的需求</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2、适用于口咽拭子、鼻咽拭子、痰液等呼吸道样本，也可适用于食品、环境等样本。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3、原理：PCR-荧光探针法，一步法RT-PCR。可对样本中新型冠状病毒（2019-nCoV）ORF1ab和N基因进行鉴别检测。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4、产品需带人源性内标检测系统，可以监测样本采集、核酸提取及PCR扩增过程，避免假阴性结果的出现。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5、阴性质控品和阳性质控品均可参与提取，用于对环境进行监控和PCR检测试剂的质控。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6、PCR时间≤85分钟，方便快捷。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7、必须适配巴楚县现有PCR设备使用(各实验室机型)，雅睿等荧光定量PCR仪。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8、特异性好，与感染部位相同或感染症状相似的其他病原体无交叉反应。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9、-20±5℃冷冻保存，稳定性好，质保期不少于6个月，有效期前2个月内免费调换。产品质量不能达到要求无条件更换。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10、产品获国家医疗器械注册证。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11、质保期为自收到货物验收合格之日起不少于6 个月，有效期前2个月内免费调换。产品质量不能达到要求无条件更换。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12.分析敏感性（检测下限）200-350拷贝/mL。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13.提供核酸检测八连管（带盖）等所有配套耗材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14.提供质控品。</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自带八连管</w:t>
            </w:r>
          </w:p>
          <w:p>
            <w:pPr>
              <w:pStyle w:val="2"/>
              <w:rPr>
                <w:rFonts w:hint="eastAsia"/>
                <w:lang w:val="en-US" w:eastAsia="zh-CN"/>
              </w:rPr>
            </w:pPr>
            <w:r>
              <w:rPr>
                <w:rFonts w:hint="eastAsia" w:ascii="宋体" w:hAnsi="宋体" w:cs="宋体"/>
                <w:i w:val="0"/>
                <w:iCs w:val="0"/>
                <w:color w:val="000000"/>
                <w:kern w:val="0"/>
                <w:sz w:val="18"/>
                <w:szCs w:val="18"/>
                <w:u w:val="none"/>
                <w:lang w:val="en-US" w:eastAsia="zh-CN" w:bidi="ar"/>
              </w:rPr>
              <w:t>提供检验检测报告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核酸提取试剂(人份)96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400000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1、方法学：磁珠法。2、提取产物：DNA、RNA。3、样本类型：血清、血浆、鼻咽拭子、细胞保存液、组织液、尿液和分泌物等液体样本。4、样本保存和运送：采集后的样本可立即用于核酸提取，或2~8℃保存（不超过24小时），长期保存应置于-20℃以下，避免反复冻融。样本运送采用冰壶加冰或泡沫箱加况密封进行运输。5、上样量：100μL-200μL。6、规格型号： 规格96人份/盒0。7、适用仪器：全自动核酸提取仪。8、提取流程：裂解、洗涤、洗脱。9、提取时间：搭配EXM6000，12min可完成96例病原体样本核酸提取。10、提取下限：DNA病毒：10IU/mL；RNA病毒：15IU/mL。11、储存条件及有效期：常温保存12个月。12、生产厂家具备原厂生产的核酸提取试剂和新冠检测试剂提供备案证以证明。13、生产厂家获得国家质量管理体系ISO9001、ISO1348认证。14、产品获得欧盟CE认证。15、符合巴楚县现有机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18"/>
                <w:szCs w:val="18"/>
                <w:u w:val="none"/>
                <w:lang w:val="en-US" w:eastAsia="zh-CN" w:bidi="ar"/>
              </w:rPr>
              <w:t>提供检验检测报告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病毒采样管（个）(1:10)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330000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灭活型由拭子和/或含保存液的杯、管等组成。拭子分拭子杆和拭子头。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拭子杆通常采用ABS为原材料，拭子头通常采用吸水性纤维（如植绒纤维）关原材料,病毒管管体和管帽通常采用PP料和PE料为原材料。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一次性使用病毒采样管保存液主要组成成分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Ⅰ型(灭活型)主要组成:表面活性剂、稳定剂、胍盐、络合剂，二次蒸馏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水、CH4NzO、曲拉通X-100、C2H4O2、三水合乙酸钠、乙二胺四乙酸二钠盐、三（羟甲藻）氨基甲烷等。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Ⅱ型(未灭活型)主要组成:胎牛血清、磷酸盐缓冲液、D-葡萄糖、氯化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钠、氯化钾、抗生素、防腐剂、二次蒸馏水以及苯酚红指示剂等。</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自带咽拭子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管咀（只）-10ul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491500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塑料材质,符合国标  1、带滤芯吸头非常适合 DNA 扩增和微生物检测应用，在这些应用中，该过滤器通过在尖端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1）产品分预先灭菌和非预先灭菌，能承受 121℃高压灭菌 20 分钟。灭菌产品的产品编号显示这批产品已预先灭菌，剂量设定是根据 ANSI/AAMI/ISO 11137 医用产品需要的灭菌确认和辐照灭菌的常规控制来实施。灭菌保证等级为：SAL 10-6。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采用电子束辐照灭菌。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3、内毒素（热源）测试：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产品内毒素按照 USP/FDA 医疗器械指南通过鲎试剂凝胶法测试，无热源检出。结果：测试样品的提取物，内毒素含量低于 0.05EU/ml。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4、RNase/DNase 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产品经过测试，没有检测到任何可见的 RNase、DNase 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运用独家的TWC 薄壁及R&amp;R 低吸附技术生产移液吸头，移液器与吸头配合达到最优化，移液吸头使液体处理更准确更灵活。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管咀（只）-200ul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140000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塑料材质，符合国标  1、带滤芯吸头非常适合 DNA 扩增和微生物检测应用，在这些应用中，该过滤器通过在尖端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1）产品分预先灭菌和非预先灭菌，能承受 121℃高压灭菌 20 分钟。灭菌产品的产品编号显示这批产品已预先灭菌，剂量设定是根据 ANSI/AAMI/ISO 11137 医用产品需要的灭菌确认和辐照灭菌的常规控制来实施。灭菌保证等级为：SAL 10-6。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采用电子束辐照灭菌。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3、内毒素（热源）测试：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产品内毒素按照 USP/FDA 医疗器械指南通过鲎试剂凝胶法测试，无热源检出。结果：测试样品的提取物，内毒素含量低于 0.05EU/ml。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4、RNase/DNase 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产品经过测试，没有检测到任何可见的 RNase、DNase 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运用独家的TWC 薄壁及R&amp;R 低吸附技术生产移液吸头，移液器与吸头配合达到最优化，移液吸头使液体处理更准确更灵活。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管咀（只）-1000ul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795000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塑料材质，符合国标  1、带滤芯吸头非常适合 DNA 扩增和微生物检测应用，在这些应用中，该过滤器通过在尖端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1）产品分预先灭菌和非预先灭菌，能承受 121℃高压灭菌 20 分钟。灭菌产品的产品编号显示这批产品已预先灭菌，剂量设定是根据 ANSI/AAMI/ISO 11137 医用产品需要的灭菌确认和辐照灭菌的常规控制来实施。灭菌保证等级为：SAL 10-6。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采用电子束辐照灭菌。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3、内毒素（热源）测试：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产品内毒素按照 USP/FDA 医疗器械指南通过鲎试剂凝胶法测试，无热源检出。结果：测试样品的提取物，内毒素含量低于 0.05EU/ml。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4、RNase/DNase 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产品经过测试，没有检测到任何可见的 RNase、DNase 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运用独家的TWC 薄壁及R&amp;R 低吸附技术生产移液吸头，移液器与吸头配合达到最优化，移液吸头使液体处理更准确更灵活。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八连管（孔）</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380000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塑料材质，符合国标  1、带滤芯吸头非常适合 DNA 扩增和微生物检测应用，在这些应用中，该过滤器通过在尖端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1）产品分预先灭菌和非预先灭菌，能承受 121℃高压灭菌 20 分钟。灭菌产品的产品编号显示这批产品已预先灭菌，剂量设定是根据 ANSI/AAMI/ISO 11137 医用产品需要的灭菌确认和辐照灭菌的常规控制来实施。灭菌保证等级为：SAL 10-6。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采用电子束辐照灭菌。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3、内毒素（热源）测试：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产品内毒素按照 USP/FDA 医疗器械指南通过鲎试剂凝胶法测试，无热源检出。结果：测试样品的提取物，内毒素含量低于 0.05EU/ml。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4、RNase/DNase 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产品经过测试，没有检测到任何可见的 RNase、DNase 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运用独家的TWC 薄壁及R&amp;R 低吸附技术生产移液吸头，移液器与吸头配合达到最优化，移液吸头使液体处理更准确更灵活。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自带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医用鞋套（双）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93510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GB19082-2011，塑料</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医用乳胶手套（双）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95000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GB19082-2010，分有粉、无粉两种，无菌，单个包装， 符合出厂要求，具有产品合格证</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含氯消毒片（瓶）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25000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符合国家标准，具有产品检验报告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18"/>
                <w:szCs w:val="18"/>
                <w:u w:val="none"/>
                <w:lang w:val="en-US" w:eastAsia="zh-CN" w:bidi="ar"/>
              </w:rPr>
              <w:t>提供检验检测报告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无粉乳胶手套（双）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10000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8"/>
                <w:szCs w:val="28"/>
                <w:u w:val="none"/>
                <w:lang w:val="en-US" w:eastAsia="zh-CN"/>
              </w:rPr>
            </w:pPr>
            <w:r>
              <w:rPr>
                <w:rFonts w:hint="eastAsia" w:ascii="宋体" w:hAnsi="宋体" w:eastAsia="宋体" w:cs="宋体"/>
                <w:i w:val="0"/>
                <w:iCs w:val="0"/>
                <w:color w:val="000000"/>
                <w:kern w:val="0"/>
                <w:sz w:val="18"/>
                <w:szCs w:val="18"/>
                <w:u w:val="none"/>
                <w:lang w:val="en-US" w:eastAsia="zh-CN" w:bidi="ar"/>
              </w:rPr>
              <w:t>符合国家标准，具有产品检验报告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18"/>
                <w:szCs w:val="18"/>
                <w:u w:val="none"/>
                <w:lang w:val="en-US" w:eastAsia="zh-CN" w:bidi="ar"/>
              </w:rPr>
              <w:t>提供检验检测报告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i w:val="0"/>
                <w:color w:val="000000"/>
                <w:sz w:val="28"/>
                <w:szCs w:val="28"/>
                <w:u w:val="none"/>
                <w:lang w:val="en-US" w:eastAsia="zh-CN"/>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2"/>
        <w:rPr>
          <w:rFonts w:hint="eastAsia" w:ascii="仿宋" w:hAnsi="仿宋" w:eastAsia="仿宋" w:cs="仿宋"/>
          <w:sz w:val="24"/>
          <w:szCs w:val="24"/>
          <w:lang w:val="en-US" w:eastAsia="zh-CN"/>
        </w:rPr>
      </w:pPr>
    </w:p>
    <w:p>
      <w:pPr>
        <w:spacing w:line="240" w:lineRule="atLeast"/>
        <w:rPr>
          <w:rFonts w:hint="eastAsia" w:ascii="仿宋_GB2312" w:eastAsia="仿宋_GB2312"/>
          <w:b/>
          <w:sz w:val="24"/>
        </w:rPr>
      </w:pPr>
      <w:r>
        <w:rPr>
          <w:rFonts w:hint="eastAsia" w:ascii="仿宋_GB2312" w:eastAsia="仿宋_GB2312"/>
          <w:b/>
          <w:sz w:val="24"/>
          <w:lang w:eastAsia="zh-CN"/>
        </w:rPr>
        <w:t>备注：具体数量以实际发生额为准。</w:t>
      </w:r>
    </w:p>
    <w:p>
      <w:pPr>
        <w:pStyle w:val="2"/>
        <w:rPr>
          <w:rFonts w:hint="eastAsia" w:ascii="仿宋_GB2312" w:eastAsia="仿宋_GB2312"/>
          <w:b/>
          <w:sz w:val="24"/>
        </w:rPr>
      </w:pPr>
      <w:r>
        <w:rPr>
          <w:rFonts w:hint="eastAsia" w:ascii="仿宋_GB2312" w:eastAsia="仿宋_GB2312"/>
          <w:b/>
          <w:sz w:val="24"/>
          <w:lang w:val="en-US" w:eastAsia="zh-CN"/>
        </w:rPr>
        <w:t>1、投标单位需提供（核酸检测(扩增)试剂、核酸提取试剂(人份)96、含氯消毒片（瓶）、无粉乳胶手套（双））国家认可的部出具的检验检测报告。</w:t>
      </w:r>
    </w:p>
    <w:p>
      <w:pPr>
        <w:pStyle w:val="2"/>
        <w:rPr>
          <w:rFonts w:hint="eastAsia" w:ascii="仿宋_GB2312" w:eastAsia="仿宋_GB2312"/>
          <w:b/>
          <w:sz w:val="24"/>
          <w:szCs w:val="22"/>
        </w:rPr>
      </w:pPr>
      <w:r>
        <w:rPr>
          <w:rFonts w:hint="eastAsia" w:ascii="仿宋_GB2312" w:eastAsia="仿宋_GB2312"/>
          <w:b/>
          <w:sz w:val="24"/>
          <w:szCs w:val="22"/>
          <w:lang w:val="en-US" w:eastAsia="zh-CN"/>
        </w:rPr>
        <w:t>2、技术参数不允许出现负偏离。负偏离视为不响应招标文件，做废标处理。</w:t>
      </w:r>
    </w:p>
    <w:p>
      <w:pPr>
        <w:pStyle w:val="2"/>
        <w:rPr>
          <w:rFonts w:hint="eastAsia" w:ascii="仿宋_GB2312" w:eastAsia="仿宋_GB2312"/>
          <w:b/>
          <w:sz w:val="24"/>
        </w:rPr>
      </w:pPr>
    </w:p>
    <w:p>
      <w:pPr>
        <w:pStyle w:val="2"/>
        <w:rPr>
          <w:rFonts w:hint="eastAsia" w:ascii="仿宋_GB2312" w:eastAsia="仿宋_GB2312"/>
          <w:b/>
          <w:sz w:val="24"/>
          <w:lang w:val="en-US" w:eastAsia="zh-CN"/>
        </w:rPr>
      </w:pPr>
    </w:p>
    <w:p>
      <w:pPr>
        <w:pStyle w:val="2"/>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both"/>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240" w:lineRule="atLeast"/>
        <w:jc w:val="center"/>
        <w:rPr>
          <w:rFonts w:hint="eastAsia" w:ascii="仿宋_GB2312" w:eastAsia="仿宋_GB2312"/>
          <w:b/>
          <w:sz w:val="24"/>
        </w:rPr>
      </w:pPr>
    </w:p>
    <w:p>
      <w:pPr>
        <w:spacing w:line="240" w:lineRule="atLeast"/>
        <w:jc w:val="center"/>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240" w:lineRule="atLeast"/>
        <w:jc w:val="center"/>
        <w:rPr>
          <w:rFonts w:hint="eastAsia" w:ascii="仿宋_GB2312" w:eastAsia="仿宋_GB2312"/>
          <w:b/>
          <w:sz w:val="24"/>
        </w:rPr>
      </w:pPr>
      <w:r>
        <w:rPr>
          <w:rFonts w:hint="eastAsia" w:ascii="仿宋_GB2312" w:eastAsia="仿宋_GB2312"/>
          <w:b/>
          <w:sz w:val="24"/>
        </w:rPr>
        <w:t>二、</w:t>
      </w:r>
      <w:r>
        <w:rPr>
          <w:rFonts w:ascii="仿宋_GB2312" w:eastAsia="仿宋_GB2312"/>
          <w:b/>
          <w:sz w:val="24"/>
        </w:rPr>
        <w:t>技术规格及要求</w:t>
      </w:r>
    </w:p>
    <w:p>
      <w:pPr>
        <w:spacing w:line="240" w:lineRule="atLeast"/>
        <w:ind w:left="1080" w:leftChars="257" w:hanging="540"/>
        <w:jc w:val="center"/>
        <w:rPr>
          <w:rFonts w:hint="eastAsia" w:ascii="仿宋_GB2312" w:eastAsia="仿宋_GB2312"/>
          <w:sz w:val="24"/>
        </w:rPr>
      </w:pPr>
      <w:r>
        <w:rPr>
          <w:rFonts w:hint="eastAsia" w:ascii="仿宋_GB2312" w:eastAsia="仿宋_GB2312"/>
          <w:b/>
          <w:sz w:val="24"/>
        </w:rPr>
        <w:t>说　　　明</w:t>
      </w:r>
    </w:p>
    <w:tbl>
      <w:tblPr>
        <w:tblStyle w:val="1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7" w:type="dxa"/>
            <w:vAlign w:val="center"/>
          </w:tcPr>
          <w:p>
            <w:pPr>
              <w:rPr>
                <w:rFonts w:hint="eastAsia" w:hAnsi="宋体" w:cs="宋体"/>
                <w:szCs w:val="21"/>
              </w:rPr>
            </w:pPr>
            <w:r>
              <w:rPr>
                <w:rFonts w:hint="eastAsia" w:hAnsi="宋体" w:cs="宋体"/>
                <w:szCs w:val="21"/>
              </w:rPr>
              <w:t>1</w:t>
            </w:r>
          </w:p>
        </w:tc>
        <w:tc>
          <w:tcPr>
            <w:tcW w:w="9118" w:type="dxa"/>
            <w:vAlign w:val="center"/>
          </w:tcPr>
          <w:p>
            <w:pPr>
              <w:rPr>
                <w:rFonts w:hint="eastAsia" w:hAnsi="宋体" w:eastAsia="宋体" w:cs="宋体"/>
                <w:szCs w:val="21"/>
                <w:lang w:val="en-US" w:eastAsia="zh-CN"/>
              </w:rPr>
            </w:pPr>
            <w:r>
              <w:rPr>
                <w:rFonts w:hint="eastAsia" w:hAnsi="宋体" w:cs="宋体"/>
                <w:szCs w:val="21"/>
                <w:lang w:eastAsia="zh-CN"/>
              </w:rPr>
              <w:t>供</w:t>
            </w:r>
            <w:r>
              <w:rPr>
                <w:rFonts w:hint="eastAsia" w:hAnsi="宋体" w:cs="宋体"/>
                <w:szCs w:val="21"/>
              </w:rPr>
              <w:t>货期限：</w:t>
            </w:r>
            <w:r>
              <w:rPr>
                <w:rFonts w:hint="eastAsia" w:hAnsi="宋体" w:cs="宋体"/>
                <w:szCs w:val="21"/>
                <w:highlight w:val="none"/>
                <w:lang w:val="en-US" w:eastAsia="zh-CN"/>
              </w:rPr>
              <w:t>具体情况由中标单位和业主在合同中约定</w:t>
            </w:r>
          </w:p>
          <w:p>
            <w:pPr>
              <w:rPr>
                <w:rFonts w:hint="eastAsia" w:hAnsi="宋体" w:cs="宋体"/>
                <w:szCs w:val="21"/>
                <w:highlight w:val="none"/>
              </w:rPr>
            </w:pPr>
            <w:r>
              <w:rPr>
                <w:rFonts w:hint="eastAsia" w:hAnsi="宋体" w:cs="宋体"/>
                <w:szCs w:val="21"/>
                <w:highlight w:val="none"/>
              </w:rPr>
              <w:t>交付地点：</w:t>
            </w:r>
            <w:r>
              <w:rPr>
                <w:rFonts w:hint="eastAsia" w:hAnsi="宋体" w:cs="宋体"/>
                <w:szCs w:val="21"/>
                <w:highlight w:val="none"/>
                <w:lang w:eastAsia="zh-CN"/>
              </w:rPr>
              <w:t>巴楚县卫生健康委员会</w:t>
            </w:r>
            <w:r>
              <w:rPr>
                <w:rFonts w:hint="eastAsia" w:hAnsi="宋体" w:cs="宋体"/>
                <w:szCs w:val="21"/>
                <w:highlight w:val="none"/>
              </w:rPr>
              <w:t>指定地点（具体情况由中标单位和业主在合同中约定）</w:t>
            </w:r>
          </w:p>
          <w:p>
            <w:pPr>
              <w:rPr>
                <w:rFonts w:hint="eastAsia" w:hAnsi="宋体" w:cs="宋体"/>
                <w:szCs w:val="21"/>
              </w:rPr>
            </w:pPr>
            <w:r>
              <w:rPr>
                <w:rFonts w:hint="eastAsia" w:hAnsi="宋体" w:cs="宋体"/>
                <w:szCs w:val="21"/>
              </w:rPr>
              <w:t>付款方式：由业主和中标单位在合同中约定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7" w:type="dxa"/>
            <w:vAlign w:val="center"/>
          </w:tcPr>
          <w:p>
            <w:pPr>
              <w:rPr>
                <w:rFonts w:hint="eastAsia" w:hAnsi="宋体" w:cs="宋体"/>
                <w:szCs w:val="21"/>
              </w:rPr>
            </w:pPr>
            <w:r>
              <w:rPr>
                <w:rFonts w:hint="eastAsia" w:hAnsi="宋体" w:cs="宋体"/>
                <w:szCs w:val="21"/>
              </w:rPr>
              <w:t>2</w:t>
            </w:r>
          </w:p>
        </w:tc>
        <w:tc>
          <w:tcPr>
            <w:tcW w:w="9118" w:type="dxa"/>
            <w:vAlign w:val="center"/>
          </w:tcPr>
          <w:p>
            <w:pPr>
              <w:rPr>
                <w:rFonts w:hint="eastAsia" w:hAnsi="宋体" w:eastAsia="宋体" w:cs="宋体"/>
                <w:szCs w:val="21"/>
                <w:lang w:val="en-US" w:eastAsia="zh-CN"/>
              </w:rPr>
            </w:pPr>
            <w:r>
              <w:rPr>
                <w:rFonts w:hint="eastAsia" w:hAnsi="宋体" w:cs="宋体"/>
                <w:szCs w:val="21"/>
              </w:rPr>
              <w:t>货物用途：</w:t>
            </w:r>
            <w:r>
              <w:rPr>
                <w:rFonts w:hint="eastAsia" w:hAnsi="宋体" w:cs="宋体"/>
                <w:szCs w:val="21"/>
                <w:lang w:val="en-US" w:eastAsia="zh-CN"/>
              </w:rPr>
              <w:t>核酸、检测试剂、防护物资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7" w:type="dxa"/>
            <w:vAlign w:val="center"/>
          </w:tcPr>
          <w:p>
            <w:pPr>
              <w:rPr>
                <w:rFonts w:hint="eastAsia" w:hAnsi="宋体" w:cs="宋体"/>
                <w:szCs w:val="21"/>
              </w:rPr>
            </w:pPr>
            <w:r>
              <w:rPr>
                <w:rFonts w:hint="eastAsia" w:hAnsi="宋体" w:cs="宋体"/>
                <w:szCs w:val="21"/>
              </w:rPr>
              <w:t>13</w:t>
            </w:r>
          </w:p>
        </w:tc>
        <w:tc>
          <w:tcPr>
            <w:tcW w:w="9118" w:type="dxa"/>
            <w:vAlign w:val="center"/>
          </w:tcPr>
          <w:p>
            <w:pPr>
              <w:ind w:firstLine="403" w:firstLineChars="192"/>
              <w:rPr>
                <w:rFonts w:hint="eastAsia" w:hAnsi="宋体" w:cs="宋体"/>
                <w:szCs w:val="21"/>
              </w:rPr>
            </w:pPr>
            <w:r>
              <w:rPr>
                <w:rFonts w:hint="eastAsia" w:hAnsi="宋体" w:cs="宋体"/>
                <w:szCs w:val="21"/>
              </w:rPr>
              <w:t>1、投标人须仔细阅读招标文件的全部条款；投标人没有按照招标文件要求提交招标文件要求的文件是投标人自己的风险。</w:t>
            </w:r>
          </w:p>
          <w:p>
            <w:pPr>
              <w:ind w:firstLine="403" w:firstLineChars="192"/>
              <w:rPr>
                <w:rFonts w:hint="eastAsia" w:hAnsi="宋体" w:cs="宋体"/>
                <w:szCs w:val="21"/>
              </w:rPr>
            </w:pPr>
            <w:r>
              <w:rPr>
                <w:rFonts w:hint="eastAsia" w:hAnsi="宋体" w:cs="宋体"/>
                <w:szCs w:val="21"/>
              </w:rPr>
              <w:t>2、投标人对多个标段投标时，必须独立对一个完整包进行投标，投标文件应对每个标段分别装订成册，不允许合并装订，否则该投标无效。投标文件不得采用活页装订，必须为胶装，否则作无效标处理。</w:t>
            </w:r>
          </w:p>
          <w:p>
            <w:pPr>
              <w:ind w:firstLine="403" w:firstLineChars="192"/>
              <w:rPr>
                <w:rFonts w:hint="eastAsia" w:hAnsi="宋体" w:cs="宋体"/>
                <w:szCs w:val="21"/>
              </w:rPr>
            </w:pPr>
            <w:r>
              <w:rPr>
                <w:rFonts w:hint="eastAsia" w:hAnsi="宋体" w:cs="宋体"/>
                <w:szCs w:val="21"/>
              </w:rPr>
              <w:t>3、投标人应点对点应答本招标文件“技术规格及要求”，并提供技术建议书。对“技术规格”要求的实现，应给予明确的“满足”或“不满足”的应答，并作出具体、详细的说明和提供所要求的证明材料。投标人在响应技术规格时，必须按照在“技术响应”型号栏中列出所投产品的具体型号；在指标栏中列出所投产品的具体技术指标；如有偏离请列出，如果只注明“符合”、“满足”，将视为该投标没有实质性响应而导致其投标被拒绝。</w:t>
            </w:r>
          </w:p>
          <w:p>
            <w:pPr>
              <w:ind w:firstLine="403" w:firstLineChars="192"/>
              <w:rPr>
                <w:rFonts w:hint="eastAsia" w:hAnsi="宋体" w:cs="宋体"/>
                <w:szCs w:val="21"/>
              </w:rPr>
            </w:pPr>
            <w:r>
              <w:rPr>
                <w:rFonts w:hint="eastAsia" w:hAnsi="宋体" w:cs="宋体"/>
                <w:szCs w:val="21"/>
              </w:rPr>
              <w:t>4、投标人应按招标文件第一册要求，提供相应允许销售的合法证明文件（复印件），招标代理机构保留对原件审核的权力。</w:t>
            </w:r>
          </w:p>
          <w:p>
            <w:pPr>
              <w:ind w:firstLine="403" w:firstLineChars="192"/>
              <w:rPr>
                <w:rFonts w:hint="eastAsia" w:hAnsi="宋体" w:cs="宋体"/>
                <w:szCs w:val="21"/>
              </w:rPr>
            </w:pPr>
            <w:r>
              <w:rPr>
                <w:rFonts w:hint="eastAsia" w:hAnsi="宋体" w:cs="宋体"/>
                <w:szCs w:val="21"/>
              </w:rPr>
              <w:t>5、投标人所投货物必须是国家批准正式生产和市场准入的成熟产品。需保证所投标货物应符合现行我国有关部门的质量控制标准，需注明该标准证明文件的编号，并提供相关投标产品的质量证明文件。</w:t>
            </w:r>
          </w:p>
          <w:p>
            <w:pPr>
              <w:ind w:firstLine="403" w:firstLineChars="192"/>
              <w:rPr>
                <w:rFonts w:hint="eastAsia" w:hAnsi="宋体" w:cs="宋体"/>
                <w:szCs w:val="21"/>
              </w:rPr>
            </w:pPr>
            <w:r>
              <w:rPr>
                <w:rFonts w:hint="eastAsia" w:hAnsi="宋体" w:cs="宋体"/>
                <w:szCs w:val="21"/>
              </w:rPr>
              <w:t>6、配送要求：</w:t>
            </w:r>
          </w:p>
          <w:p>
            <w:pPr>
              <w:ind w:firstLine="403" w:firstLineChars="192"/>
              <w:rPr>
                <w:rFonts w:hint="eastAsia" w:hAnsi="宋体" w:cs="宋体"/>
                <w:szCs w:val="21"/>
              </w:rPr>
            </w:pPr>
            <w:r>
              <w:rPr>
                <w:rFonts w:hint="eastAsia" w:hAnsi="宋体" w:cs="宋体"/>
                <w:szCs w:val="21"/>
              </w:rPr>
              <w:t>（1）中标单位须按照项目业主方提供的配送数据，将中标货物配送至甲方指定地点，经相关管理人员验收安装合格，经甲方验收合格后，方为配送完成。若未通过验收者、必须重新配送，不得以任何借口推诿。</w:t>
            </w:r>
          </w:p>
          <w:p>
            <w:pPr>
              <w:ind w:firstLine="403" w:firstLineChars="192"/>
              <w:rPr>
                <w:rFonts w:hint="eastAsia" w:hAnsi="宋体" w:cs="宋体"/>
                <w:szCs w:val="21"/>
              </w:rPr>
            </w:pPr>
            <w:r>
              <w:rPr>
                <w:rFonts w:hint="eastAsia" w:hAnsi="宋体" w:cs="宋体"/>
                <w:szCs w:val="21"/>
              </w:rPr>
              <w:t>（2）货物价格为中标公布价格，中标单位不得以任何借口调整价格。</w:t>
            </w:r>
          </w:p>
          <w:p>
            <w:pPr>
              <w:ind w:firstLine="403" w:firstLineChars="192"/>
              <w:rPr>
                <w:rFonts w:hint="eastAsia" w:hAnsi="宋体" w:cs="宋体"/>
                <w:szCs w:val="21"/>
              </w:rPr>
            </w:pPr>
            <w:r>
              <w:rPr>
                <w:rFonts w:hint="eastAsia" w:hAnsi="宋体" w:cs="宋体"/>
                <w:szCs w:val="21"/>
              </w:rPr>
              <w:t>（3）配送人员及车辆必须服从相关单位安排。</w:t>
            </w:r>
          </w:p>
          <w:p>
            <w:pPr>
              <w:ind w:firstLine="403" w:firstLineChars="192"/>
              <w:rPr>
                <w:rFonts w:hint="eastAsia" w:hAnsi="宋体" w:cs="宋体"/>
                <w:szCs w:val="21"/>
              </w:rPr>
            </w:pPr>
            <w:r>
              <w:rPr>
                <w:rFonts w:hint="eastAsia" w:hAnsi="宋体" w:cs="宋体"/>
                <w:szCs w:val="21"/>
              </w:rPr>
              <w:t>7、质量要求：合格，必须达到国家规定的标准。</w:t>
            </w:r>
          </w:p>
          <w:p>
            <w:pPr>
              <w:ind w:firstLine="403" w:firstLineChars="192"/>
              <w:rPr>
                <w:rFonts w:hint="eastAsia" w:hAnsi="宋体" w:cs="宋体"/>
                <w:szCs w:val="21"/>
              </w:rPr>
            </w:pPr>
            <w:r>
              <w:rPr>
                <w:rFonts w:hint="eastAsia" w:hAnsi="宋体" w:cs="宋体"/>
                <w:szCs w:val="21"/>
              </w:rPr>
              <w:t>8、运输及包装方式的要求：</w:t>
            </w:r>
          </w:p>
          <w:p>
            <w:pPr>
              <w:ind w:firstLine="403" w:firstLineChars="192"/>
              <w:rPr>
                <w:rFonts w:hint="eastAsia" w:hAnsi="宋体" w:cs="宋体"/>
                <w:szCs w:val="21"/>
              </w:rPr>
            </w:pPr>
            <w:r>
              <w:rPr>
                <w:rFonts w:hint="eastAsia" w:hAnsi="宋体" w:cs="宋体"/>
                <w:szCs w:val="21"/>
              </w:rPr>
              <w:t>（1）所供货物用对应包装盒包装完好；</w:t>
            </w:r>
          </w:p>
          <w:p>
            <w:pPr>
              <w:ind w:firstLine="403" w:firstLineChars="192"/>
              <w:rPr>
                <w:rFonts w:hint="eastAsia" w:hAnsi="宋体" w:cs="宋体"/>
                <w:szCs w:val="21"/>
              </w:rPr>
            </w:pPr>
            <w:r>
              <w:rPr>
                <w:rFonts w:hint="eastAsia" w:hAnsi="宋体" w:cs="宋体"/>
                <w:szCs w:val="21"/>
              </w:rPr>
              <w:t>（2）运输大尺寸货物时，供货商应从有关管理机关获得和遵守铁路和公路运输的尺寸限制，以保证货物能顺利的抵达目的地。</w:t>
            </w:r>
          </w:p>
          <w:p>
            <w:pPr>
              <w:ind w:firstLine="403" w:firstLineChars="192"/>
              <w:rPr>
                <w:rFonts w:hint="eastAsia" w:hAnsi="宋体" w:cs="宋体"/>
                <w:szCs w:val="21"/>
              </w:rPr>
            </w:pPr>
            <w:r>
              <w:rPr>
                <w:rFonts w:hint="eastAsia" w:hAnsi="宋体" w:cs="宋体"/>
                <w:szCs w:val="21"/>
              </w:rPr>
              <w:t>（3）包装好的产品应能符合汽车运输要求。</w:t>
            </w:r>
          </w:p>
          <w:p>
            <w:pPr>
              <w:ind w:firstLine="403" w:firstLineChars="192"/>
              <w:rPr>
                <w:rFonts w:hint="eastAsia" w:hAnsi="宋体" w:cs="宋体"/>
                <w:szCs w:val="21"/>
              </w:rPr>
            </w:pPr>
            <w:r>
              <w:rPr>
                <w:rFonts w:hint="eastAsia" w:hAnsi="宋体" w:cs="宋体"/>
                <w:szCs w:val="21"/>
              </w:rPr>
              <w:t>（4）存放产品的仓库必须有防雨水的措施。</w:t>
            </w:r>
          </w:p>
          <w:p>
            <w:pPr>
              <w:ind w:firstLine="403" w:firstLineChars="192"/>
              <w:rPr>
                <w:rFonts w:hint="eastAsia" w:hAnsi="宋体" w:cs="宋体"/>
                <w:szCs w:val="21"/>
              </w:rPr>
            </w:pPr>
            <w:r>
              <w:rPr>
                <w:rFonts w:hint="eastAsia" w:hAnsi="宋体" w:cs="宋体"/>
                <w:szCs w:val="21"/>
              </w:rPr>
              <w:t>9、随货物必须配备的技术文件清单：应包括但不限于：货品数量及规格清单、所有货品出场合格证书、权威检测机构出具的检测报告。</w:t>
            </w:r>
          </w:p>
          <w:p>
            <w:pPr>
              <w:ind w:firstLine="403" w:firstLineChars="192"/>
              <w:rPr>
                <w:rFonts w:hint="eastAsia" w:hAnsi="宋体" w:cs="宋体"/>
                <w:szCs w:val="21"/>
              </w:rPr>
            </w:pPr>
            <w:r>
              <w:rPr>
                <w:rFonts w:hint="eastAsia" w:hAnsi="宋体" w:cs="宋体"/>
                <w:szCs w:val="21"/>
              </w:rPr>
              <w:t>10、货物抵达目的地后的检验程序和期限：</w:t>
            </w:r>
          </w:p>
          <w:p>
            <w:pPr>
              <w:ind w:firstLine="403" w:firstLineChars="192"/>
              <w:rPr>
                <w:rFonts w:hint="eastAsia" w:hAnsi="宋体" w:cs="宋体"/>
                <w:szCs w:val="21"/>
              </w:rPr>
            </w:pPr>
            <w:r>
              <w:rPr>
                <w:rFonts w:hint="eastAsia" w:hAnsi="宋体" w:cs="宋体"/>
                <w:szCs w:val="21"/>
              </w:rPr>
              <w:t>（1）货品抵达目的地同时应提供相关证书（供货方提供材料试验和检验报告，供货方提供工厂出具的具有效力的检验证书一式两份，所有零部件均具有合格证书并注明型号、规格、制造商名称、生产日期）等资质文件进行进场报验。</w:t>
            </w:r>
          </w:p>
          <w:p>
            <w:pPr>
              <w:ind w:firstLine="403" w:firstLineChars="192"/>
              <w:rPr>
                <w:rFonts w:hint="eastAsia" w:hAnsi="宋体" w:cs="宋体"/>
                <w:szCs w:val="21"/>
              </w:rPr>
            </w:pPr>
            <w:r>
              <w:rPr>
                <w:rFonts w:hint="eastAsia" w:hAnsi="宋体" w:cs="宋体"/>
                <w:szCs w:val="21"/>
              </w:rPr>
              <w:t>（2）买方按产品标准及技术要求在现场验收货物，货物验收按照国家最新标准及招标文件中所提出的要求，如供方实际执行的标准高于国家标准则按卖方标准验收。</w:t>
            </w:r>
          </w:p>
          <w:p>
            <w:pPr>
              <w:ind w:firstLine="403" w:firstLineChars="192"/>
              <w:rPr>
                <w:rFonts w:hint="eastAsia" w:hAnsi="宋体" w:cs="宋体"/>
                <w:szCs w:val="21"/>
              </w:rPr>
            </w:pPr>
            <w:r>
              <w:rPr>
                <w:rFonts w:hint="eastAsia" w:hAnsi="宋体" w:cs="宋体"/>
                <w:szCs w:val="21"/>
              </w:rPr>
              <w:t>（3）买方在货物抵达交货地点之日起3日内完成初步验收，这种验收只是数量上的和外观感觉上的，最终验收依据国家标准。</w:t>
            </w:r>
          </w:p>
          <w:p>
            <w:pPr>
              <w:ind w:firstLine="403" w:firstLineChars="192"/>
              <w:rPr>
                <w:rFonts w:hint="eastAsia" w:hAnsi="宋体" w:cs="宋体"/>
                <w:szCs w:val="21"/>
              </w:rPr>
            </w:pPr>
            <w:r>
              <w:rPr>
                <w:rFonts w:hint="eastAsia" w:hAnsi="宋体" w:cs="宋体"/>
                <w:szCs w:val="21"/>
              </w:rPr>
              <w:t>（4）货物抵达交货地点后，买卖双方共同派员参加验收，如供方在接到买方通知之日起三日内无法派员抵达现场，则视为同意买方自行验收的结果。</w:t>
            </w:r>
          </w:p>
          <w:p>
            <w:pPr>
              <w:ind w:firstLine="403" w:firstLineChars="192"/>
              <w:rPr>
                <w:rFonts w:hint="eastAsia" w:hAnsi="宋体" w:cs="宋体"/>
                <w:szCs w:val="21"/>
              </w:rPr>
            </w:pPr>
            <w:r>
              <w:rPr>
                <w:rFonts w:hint="eastAsia" w:hAnsi="宋体" w:cs="宋体"/>
                <w:szCs w:val="21"/>
              </w:rPr>
              <w:t>11、交货期延误</w:t>
            </w:r>
          </w:p>
          <w:p>
            <w:pPr>
              <w:ind w:firstLine="403" w:firstLineChars="192"/>
              <w:rPr>
                <w:rFonts w:hint="eastAsia" w:hAnsi="宋体" w:cs="宋体"/>
                <w:szCs w:val="21"/>
              </w:rPr>
            </w:pPr>
            <w:r>
              <w:rPr>
                <w:rFonts w:hint="eastAsia" w:hAnsi="宋体" w:cs="宋体"/>
                <w:szCs w:val="21"/>
              </w:rPr>
              <w:t>除不可抗力外，如果乙方没有按照本合同约定的期限、地点和方式交付货物，那么甲方可要求乙方支付违约金，违约金按每迟延交付货物一日的中标金额的1%计算，最高限额为本合同总价的10%；迟延交付货物的违约金计算数额达到前述最高限额之日起，甲方有权在要求乙方支付违约金的同时，书面通知乙方解除本合同。（具体情况由中标单位和业主在合同中约定）</w:t>
            </w:r>
          </w:p>
          <w:p>
            <w:pPr>
              <w:numPr>
                <w:ilvl w:val="0"/>
                <w:numId w:val="9"/>
              </w:numPr>
              <w:ind w:firstLine="405" w:firstLineChars="192"/>
              <w:rPr>
                <w:rFonts w:hint="eastAsia" w:hAnsi="宋体" w:cs="宋体"/>
                <w:b/>
                <w:bCs/>
                <w:szCs w:val="21"/>
              </w:rPr>
            </w:pPr>
            <w:r>
              <w:rPr>
                <w:rFonts w:hint="eastAsia" w:hAnsi="宋体" w:cs="宋体"/>
                <w:b/>
                <w:bCs/>
                <w:szCs w:val="21"/>
              </w:rPr>
              <w:t>如因货物运输、安装、调试等原因造成货物堆积，产生的仓储、储存等费用，由中标公司自行承担。</w:t>
            </w:r>
          </w:p>
          <w:p>
            <w:pPr>
              <w:pStyle w:val="2"/>
              <w:rPr>
                <w:rFonts w:hAnsi="宋体" w:cs="宋体"/>
                <w:b/>
                <w:bCs/>
                <w:sz w:val="21"/>
                <w:szCs w:val="21"/>
              </w:rPr>
            </w:pPr>
            <w:r>
              <w:rPr>
                <w:rFonts w:hint="eastAsia"/>
              </w:rPr>
              <w:t xml:space="preserve">   </w:t>
            </w:r>
            <w:r>
              <w:rPr>
                <w:rFonts w:hint="eastAsia" w:hAnsi="宋体" w:cs="宋体"/>
                <w:b/>
                <w:bCs/>
                <w:sz w:val="21"/>
                <w:szCs w:val="21"/>
              </w:rPr>
              <w:t xml:space="preserve"> 13、货物在验收、交付业主方使用之前，丢失、遗失、损坏、损失等由中标单位自行承担。</w:t>
            </w:r>
          </w:p>
          <w:p>
            <w:pPr>
              <w:ind w:firstLine="403" w:firstLineChars="192"/>
              <w:rPr>
                <w:rFonts w:hint="eastAsia" w:hAnsi="宋体" w:cs="宋体"/>
                <w:szCs w:val="21"/>
              </w:rPr>
            </w:pPr>
            <w:r>
              <w:rPr>
                <w:rFonts w:hint="eastAsia" w:hAnsi="宋体" w:cs="宋体"/>
                <w:szCs w:val="21"/>
              </w:rPr>
              <w:t>14、售后服务承诺</w:t>
            </w:r>
          </w:p>
          <w:p>
            <w:pPr>
              <w:ind w:firstLine="403" w:firstLineChars="192"/>
              <w:rPr>
                <w:rFonts w:hint="eastAsia" w:hAnsi="宋体" w:cs="宋体"/>
                <w:szCs w:val="21"/>
              </w:rPr>
            </w:pPr>
            <w:r>
              <w:rPr>
                <w:rFonts w:hint="eastAsia" w:hAnsi="宋体" w:cs="宋体"/>
                <w:szCs w:val="21"/>
              </w:rPr>
              <w:t>在货物交付使用后，卖方应对货物质量保证及其以后的服务做出承诺，并具有切实可行的措施,不能及时兑现服务承诺内容而影响买方使用，卖方应怎样给予补偿，在投标书中均应明确说明。卖方在本地区应有设或指派的法定售后服务机构。</w:t>
            </w:r>
          </w:p>
        </w:tc>
      </w:tr>
    </w:tbl>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spacing w:line="240" w:lineRule="atLeast"/>
        <w:ind w:left="1080" w:leftChars="257" w:hanging="540"/>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3"/>
        <w:tabs>
          <w:tab w:val="left" w:pos="0"/>
        </w:tabs>
        <w:spacing w:before="0" w:after="0" w:line="240" w:lineRule="atLeast"/>
        <w:ind w:left="-15"/>
        <w:rPr>
          <w:rFonts w:hint="eastAsia" w:ascii="仿宋_GB2312" w:eastAsia="仿宋_GB2312"/>
        </w:rPr>
      </w:pPr>
      <w:bookmarkStart w:id="394" w:name="_Toc219175639"/>
      <w:bookmarkStart w:id="395" w:name="_Toc218935355"/>
      <w:bookmarkStart w:id="396" w:name="_Toc216582826"/>
      <w:bookmarkStart w:id="397" w:name="_Toc507399904"/>
      <w:r>
        <w:rPr>
          <w:rFonts w:hint="eastAsia" w:ascii="仿宋_GB2312" w:eastAsia="仿宋_GB2312"/>
        </w:rPr>
        <w:t xml:space="preserve">第六章  </w:t>
      </w:r>
      <w:bookmarkStart w:id="398" w:name="_Toc507399907"/>
      <w:bookmarkStart w:id="399" w:name="_Toc23331"/>
      <w:bookmarkStart w:id="400" w:name="_Toc32647"/>
      <w:bookmarkStart w:id="401" w:name="_Toc7971"/>
      <w:bookmarkStart w:id="402" w:name="_Toc515647832"/>
      <w:r>
        <w:rPr>
          <w:rFonts w:hint="eastAsia" w:ascii="仿宋_GB2312" w:eastAsia="仿宋_GB2312"/>
        </w:rPr>
        <w:t>评标方法和标准</w:t>
      </w:r>
      <w:bookmarkEnd w:id="394"/>
      <w:bookmarkEnd w:id="395"/>
      <w:bookmarkEnd w:id="396"/>
      <w:bookmarkEnd w:id="398"/>
      <w:bookmarkEnd w:id="399"/>
      <w:bookmarkEnd w:id="400"/>
      <w:bookmarkEnd w:id="401"/>
      <w:bookmarkEnd w:id="402"/>
    </w:p>
    <w:p>
      <w:pPr>
        <w:pStyle w:val="7"/>
        <w:tabs>
          <w:tab w:val="clear" w:pos="567"/>
        </w:tabs>
        <w:spacing w:before="0" w:line="240" w:lineRule="atLeast"/>
        <w:ind w:firstLine="540" w:firstLineChars="225"/>
        <w:rPr>
          <w:rFonts w:hint="eastAsia"/>
        </w:rPr>
      </w:pPr>
    </w:p>
    <w:p>
      <w:pPr>
        <w:pStyle w:val="7"/>
        <w:tabs>
          <w:tab w:val="clear" w:pos="567"/>
        </w:tabs>
        <w:spacing w:before="0" w:line="240" w:lineRule="atLeast"/>
        <w:ind w:firstLine="540" w:firstLineChars="225"/>
        <w:rPr>
          <w:rFonts w:hint="eastAsia"/>
        </w:rPr>
      </w:pPr>
      <w:r>
        <w:rPr>
          <w:rFonts w:hint="eastAsia"/>
        </w:rPr>
        <w:t>本项目将按照招标文件第一章投标人须知中“五 开标及评标”、“六 确定中标”及本章的规定评标。</w:t>
      </w:r>
    </w:p>
    <w:p>
      <w:pPr>
        <w:spacing w:line="440" w:lineRule="exact"/>
        <w:ind w:firstLine="460" w:firstLineChars="192"/>
        <w:outlineLvl w:val="0"/>
        <w:rPr>
          <w:rFonts w:hint="eastAsia" w:ascii="宋体" w:hAnsi="宋体"/>
          <w:sz w:val="24"/>
        </w:rPr>
      </w:pPr>
      <w:r>
        <w:rPr>
          <w:rFonts w:hint="eastAsia" w:ascii="宋体" w:hAnsi="宋体"/>
          <w:sz w:val="24"/>
        </w:rPr>
        <w:t>一、评标依据</w:t>
      </w:r>
    </w:p>
    <w:p>
      <w:pPr>
        <w:spacing w:line="440" w:lineRule="exact"/>
        <w:ind w:firstLine="460" w:firstLineChars="192"/>
        <w:rPr>
          <w:rFonts w:hint="eastAsia" w:ascii="宋体" w:hAnsi="宋体"/>
          <w:sz w:val="24"/>
        </w:rPr>
      </w:pPr>
      <w:r>
        <w:rPr>
          <w:rFonts w:hint="eastAsia" w:ascii="宋体" w:hAnsi="宋体"/>
          <w:sz w:val="24"/>
        </w:rPr>
        <w:t>1、评标工作严格执行《中华人民共和国政府采购法》、《政府采购货物和服务招标投标法》以及国家和地方颁布的有关法令、法规。</w:t>
      </w:r>
    </w:p>
    <w:p>
      <w:pPr>
        <w:spacing w:line="440" w:lineRule="exact"/>
        <w:ind w:firstLine="460" w:firstLineChars="192"/>
        <w:rPr>
          <w:rFonts w:hint="eastAsia" w:ascii="宋体" w:hAnsi="宋体"/>
          <w:sz w:val="24"/>
        </w:rPr>
      </w:pPr>
      <w:r>
        <w:rPr>
          <w:rFonts w:hint="eastAsia" w:ascii="宋体" w:hAnsi="宋体"/>
          <w:sz w:val="24"/>
        </w:rPr>
        <w:t>2、评标的依据是招标文件及其补充通知、投标人的投标文件及其澄清文件以及本评标办法。</w:t>
      </w:r>
    </w:p>
    <w:p>
      <w:pPr>
        <w:spacing w:line="440" w:lineRule="exact"/>
        <w:ind w:firstLine="460" w:firstLineChars="192"/>
        <w:rPr>
          <w:rFonts w:hint="eastAsia" w:ascii="宋体" w:hAnsi="宋体"/>
          <w:sz w:val="24"/>
        </w:rPr>
      </w:pPr>
      <w:r>
        <w:rPr>
          <w:rFonts w:hint="eastAsia" w:ascii="宋体" w:hAnsi="宋体"/>
          <w:sz w:val="24"/>
        </w:rPr>
        <w:t>3、本次评标采用</w:t>
      </w:r>
      <w:r>
        <w:rPr>
          <w:rFonts w:hint="eastAsia" w:ascii="宋体" w:hAnsi="宋体"/>
          <w:b/>
          <w:sz w:val="24"/>
        </w:rPr>
        <w:t>综合评分法</w:t>
      </w:r>
      <w:r>
        <w:rPr>
          <w:rFonts w:hint="eastAsia" w:ascii="宋体" w:hAnsi="宋体"/>
          <w:sz w:val="24"/>
        </w:rPr>
        <w:t>。综合评分法，是指投标文件满足招标文件全部实质性要求且按照评审因素的量化指标评审得分最高的供应商为中标候选人的评标方法</w:t>
      </w:r>
    </w:p>
    <w:p>
      <w:pPr>
        <w:spacing w:line="440" w:lineRule="exact"/>
        <w:ind w:firstLine="460" w:firstLineChars="192"/>
        <w:outlineLvl w:val="0"/>
        <w:rPr>
          <w:rFonts w:hint="eastAsia" w:ascii="宋体" w:hAnsi="宋体"/>
          <w:sz w:val="24"/>
        </w:rPr>
      </w:pPr>
      <w:r>
        <w:rPr>
          <w:rFonts w:hint="eastAsia" w:ascii="宋体" w:hAnsi="宋体"/>
          <w:sz w:val="24"/>
        </w:rPr>
        <w:t>二、评标委员会</w:t>
      </w:r>
    </w:p>
    <w:p>
      <w:pPr>
        <w:spacing w:line="440" w:lineRule="exact"/>
        <w:ind w:firstLine="460" w:firstLineChars="192"/>
        <w:rPr>
          <w:rFonts w:hint="eastAsia" w:ascii="宋体" w:hAnsi="宋体"/>
          <w:sz w:val="24"/>
        </w:rPr>
      </w:pPr>
      <w:r>
        <w:rPr>
          <w:rFonts w:hint="eastAsia" w:ascii="宋体" w:hAnsi="宋体"/>
          <w:sz w:val="24"/>
        </w:rPr>
        <w:t>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pPr>
        <w:spacing w:line="440" w:lineRule="exact"/>
        <w:ind w:firstLine="463" w:firstLineChars="192"/>
        <w:rPr>
          <w:rFonts w:hint="eastAsia" w:ascii="宋体" w:hAnsi="宋体"/>
          <w:sz w:val="24"/>
        </w:rPr>
      </w:pPr>
      <w:r>
        <w:rPr>
          <w:rFonts w:hint="eastAsia" w:ascii="宋体" w:hAnsi="宋体"/>
          <w:b/>
          <w:sz w:val="24"/>
        </w:rPr>
        <w:t>特别说明：为保证本项目服务质量，良好的售后服务；最低报价不作为中标的唯一依据。</w:t>
      </w:r>
    </w:p>
    <w:p>
      <w:pPr>
        <w:spacing w:line="440" w:lineRule="exact"/>
        <w:ind w:firstLine="460" w:firstLineChars="192"/>
        <w:rPr>
          <w:rFonts w:ascii="宋体" w:hAnsi="宋体"/>
          <w:sz w:val="24"/>
        </w:rPr>
      </w:pPr>
      <w:r>
        <w:rPr>
          <w:rFonts w:hint="eastAsia" w:ascii="宋体" w:hAnsi="宋体"/>
          <w:sz w:val="24"/>
        </w:rPr>
        <w:t>三、投标文件的澄清</w:t>
      </w:r>
    </w:p>
    <w:p>
      <w:pPr>
        <w:spacing w:line="440" w:lineRule="exact"/>
        <w:ind w:firstLine="460" w:firstLineChars="192"/>
        <w:rPr>
          <w:rFonts w:ascii="宋体" w:hAnsi="宋体"/>
          <w:sz w:val="24"/>
        </w:rPr>
      </w:pPr>
      <w:r>
        <w:rPr>
          <w:rFonts w:hint="eastAsia" w:ascii="宋体" w:hAnsi="宋体"/>
          <w:sz w:val="24"/>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pPr>
        <w:spacing w:line="440" w:lineRule="exact"/>
        <w:ind w:firstLine="460" w:firstLineChars="192"/>
        <w:rPr>
          <w:rFonts w:ascii="宋体" w:hAnsi="宋体"/>
          <w:sz w:val="24"/>
        </w:rPr>
      </w:pPr>
      <w:r>
        <w:rPr>
          <w:rFonts w:hint="eastAsia" w:ascii="宋体" w:hAnsi="宋体"/>
          <w:sz w:val="24"/>
        </w:rPr>
        <w:t>2、重要澄清的答复应是书面的，澄清答复不得对投标的价格、技术指标和参数等内容进行实质性修改。澄清文件须由投标人法定代表人或法人授权代表签字或加盖投标人公章并作为投标文件的组成部分。</w:t>
      </w:r>
    </w:p>
    <w:p>
      <w:pPr>
        <w:spacing w:line="440" w:lineRule="exact"/>
        <w:ind w:firstLine="460" w:firstLineChars="192"/>
        <w:rPr>
          <w:rFonts w:ascii="宋体" w:hAnsi="宋体"/>
          <w:sz w:val="24"/>
        </w:rPr>
      </w:pPr>
      <w:r>
        <w:rPr>
          <w:rFonts w:hint="eastAsia" w:ascii="宋体" w:hAnsi="宋体"/>
          <w:sz w:val="24"/>
        </w:rPr>
        <w:t>四、对投标文件的评估和比较</w:t>
      </w:r>
    </w:p>
    <w:p>
      <w:pPr>
        <w:spacing w:line="440" w:lineRule="exact"/>
        <w:ind w:firstLine="460" w:firstLineChars="192"/>
        <w:rPr>
          <w:rFonts w:ascii="宋体" w:hAnsi="宋体"/>
          <w:sz w:val="24"/>
        </w:rPr>
      </w:pPr>
      <w:r>
        <w:rPr>
          <w:rFonts w:hint="eastAsia" w:ascii="宋体" w:hAnsi="宋体"/>
          <w:sz w:val="24"/>
        </w:rPr>
        <w:t>1、对实质性响应的投标文件进行评估和比较。</w:t>
      </w:r>
    </w:p>
    <w:p>
      <w:pPr>
        <w:spacing w:line="440" w:lineRule="exact"/>
        <w:ind w:firstLine="460" w:firstLineChars="192"/>
        <w:rPr>
          <w:rFonts w:ascii="宋体" w:hAnsi="宋体"/>
          <w:sz w:val="24"/>
        </w:rPr>
      </w:pPr>
      <w:r>
        <w:rPr>
          <w:rFonts w:hint="eastAsia" w:ascii="宋体" w:hAnsi="宋体"/>
          <w:sz w:val="24"/>
        </w:rPr>
        <w:t>2、除考虑投标价格外，还应考虑以下因素：</w:t>
      </w:r>
    </w:p>
    <w:p>
      <w:pPr>
        <w:spacing w:line="440" w:lineRule="exact"/>
        <w:ind w:firstLine="460" w:firstLineChars="192"/>
        <w:rPr>
          <w:rFonts w:ascii="宋体" w:hAnsi="宋体"/>
          <w:sz w:val="24"/>
        </w:rPr>
      </w:pPr>
      <w:r>
        <w:rPr>
          <w:rFonts w:hint="eastAsia" w:ascii="宋体" w:hAnsi="宋体"/>
          <w:sz w:val="24"/>
        </w:rPr>
        <w:t>1.供货期及付款方式；</w:t>
      </w:r>
    </w:p>
    <w:p>
      <w:pPr>
        <w:spacing w:line="440" w:lineRule="exact"/>
        <w:ind w:firstLine="460" w:firstLineChars="192"/>
        <w:rPr>
          <w:rFonts w:ascii="宋体" w:hAnsi="宋体"/>
          <w:sz w:val="24"/>
        </w:rPr>
      </w:pPr>
      <w:r>
        <w:rPr>
          <w:rFonts w:hint="eastAsia" w:ascii="宋体" w:hAnsi="宋体"/>
          <w:sz w:val="24"/>
        </w:rPr>
        <w:t>2.供货服务能力；</w:t>
      </w:r>
    </w:p>
    <w:p>
      <w:pPr>
        <w:spacing w:line="440" w:lineRule="exact"/>
        <w:ind w:firstLine="460" w:firstLineChars="192"/>
        <w:rPr>
          <w:rFonts w:ascii="宋体" w:hAnsi="宋体"/>
          <w:sz w:val="24"/>
        </w:rPr>
      </w:pPr>
      <w:r>
        <w:rPr>
          <w:rFonts w:hint="eastAsia" w:ascii="宋体" w:hAnsi="宋体"/>
          <w:sz w:val="24"/>
        </w:rPr>
        <w:t>3.产品的质量和适用性；</w:t>
      </w:r>
    </w:p>
    <w:p>
      <w:pPr>
        <w:spacing w:line="440" w:lineRule="exact"/>
        <w:ind w:firstLine="460" w:firstLineChars="192"/>
        <w:rPr>
          <w:rFonts w:ascii="宋体" w:hAnsi="宋体"/>
          <w:sz w:val="24"/>
        </w:rPr>
      </w:pPr>
      <w:r>
        <w:rPr>
          <w:rFonts w:hint="eastAsia" w:ascii="宋体" w:hAnsi="宋体"/>
          <w:sz w:val="24"/>
        </w:rPr>
        <w:t>4.配套服务设备的安全性；</w:t>
      </w:r>
    </w:p>
    <w:p>
      <w:pPr>
        <w:spacing w:line="440" w:lineRule="exact"/>
        <w:ind w:firstLine="460" w:firstLineChars="192"/>
        <w:rPr>
          <w:rFonts w:ascii="宋体" w:hAnsi="宋体"/>
          <w:sz w:val="24"/>
        </w:rPr>
      </w:pPr>
      <w:r>
        <w:rPr>
          <w:rFonts w:hint="eastAsia" w:ascii="宋体" w:hAnsi="宋体"/>
          <w:sz w:val="24"/>
        </w:rPr>
        <w:t>5.提供服务的能力；</w:t>
      </w:r>
    </w:p>
    <w:p>
      <w:pPr>
        <w:spacing w:line="440" w:lineRule="exact"/>
        <w:ind w:firstLine="460" w:firstLineChars="192"/>
        <w:rPr>
          <w:rFonts w:ascii="宋体" w:hAnsi="宋体"/>
          <w:sz w:val="24"/>
        </w:rPr>
      </w:pPr>
      <w:r>
        <w:rPr>
          <w:rFonts w:hint="eastAsia" w:ascii="宋体" w:hAnsi="宋体"/>
          <w:sz w:val="24"/>
        </w:rPr>
        <w:t>6.零备件、专用工具及相关服务的费用；</w:t>
      </w:r>
    </w:p>
    <w:p>
      <w:pPr>
        <w:spacing w:line="440" w:lineRule="exact"/>
        <w:ind w:firstLine="460" w:firstLineChars="192"/>
        <w:rPr>
          <w:rFonts w:ascii="宋体" w:hAnsi="宋体"/>
          <w:sz w:val="24"/>
        </w:rPr>
      </w:pPr>
      <w:r>
        <w:rPr>
          <w:rFonts w:hint="eastAsia" w:ascii="宋体" w:hAnsi="宋体"/>
          <w:sz w:val="24"/>
        </w:rPr>
        <w:t>7.招标文件中所要求的有关服务的费用；</w:t>
      </w:r>
    </w:p>
    <w:p>
      <w:pPr>
        <w:spacing w:line="440" w:lineRule="exact"/>
        <w:ind w:firstLine="460" w:firstLineChars="192"/>
        <w:rPr>
          <w:rFonts w:ascii="宋体" w:hAnsi="宋体"/>
          <w:sz w:val="24"/>
        </w:rPr>
      </w:pPr>
      <w:r>
        <w:rPr>
          <w:rFonts w:hint="eastAsia" w:ascii="宋体" w:hAnsi="宋体"/>
          <w:sz w:val="24"/>
        </w:rPr>
        <w:t>8.发货到最终目的地的内陆运输、保险及其他费用。</w:t>
      </w:r>
    </w:p>
    <w:p>
      <w:pPr>
        <w:spacing w:line="440" w:lineRule="exact"/>
        <w:ind w:firstLine="460" w:firstLineChars="192"/>
        <w:rPr>
          <w:rFonts w:ascii="宋体" w:hAnsi="宋体"/>
          <w:sz w:val="24"/>
        </w:rPr>
      </w:pPr>
      <w:r>
        <w:rPr>
          <w:rFonts w:hint="eastAsia" w:ascii="宋体" w:hAnsi="宋体"/>
          <w:sz w:val="24"/>
        </w:rPr>
        <w:t>9.其他特殊因素（如节能、安全和环保等）。</w:t>
      </w:r>
    </w:p>
    <w:p>
      <w:pPr>
        <w:spacing w:line="440" w:lineRule="exact"/>
        <w:ind w:firstLine="460" w:firstLineChars="192"/>
        <w:rPr>
          <w:rFonts w:ascii="宋体" w:hAnsi="宋体"/>
          <w:sz w:val="24"/>
        </w:rPr>
      </w:pPr>
      <w:r>
        <w:rPr>
          <w:rFonts w:hint="eastAsia" w:ascii="宋体" w:hAnsi="宋体"/>
          <w:sz w:val="24"/>
        </w:rPr>
        <w:t>五、评标过程的保密</w:t>
      </w:r>
    </w:p>
    <w:p>
      <w:pPr>
        <w:spacing w:line="440" w:lineRule="exact"/>
        <w:ind w:firstLine="460" w:firstLineChars="192"/>
        <w:rPr>
          <w:rFonts w:ascii="宋体" w:hAnsi="宋体"/>
          <w:sz w:val="24"/>
        </w:rPr>
      </w:pPr>
      <w:r>
        <w:rPr>
          <w:rFonts w:hint="eastAsia" w:ascii="宋体" w:hAnsi="宋体"/>
          <w:sz w:val="24"/>
        </w:rPr>
        <w:t>1、开标后，凡是属于审查、澄清、评价和比较的有关资料以及中标建议等评标委员会成员或参与评标的有关工作人员均不得向投标人或其他无关的人员透露。</w:t>
      </w:r>
    </w:p>
    <w:p>
      <w:pPr>
        <w:spacing w:line="440" w:lineRule="exact"/>
        <w:ind w:firstLine="460" w:firstLineChars="192"/>
        <w:rPr>
          <w:rFonts w:ascii="宋体" w:hAnsi="宋体"/>
          <w:sz w:val="24"/>
        </w:rPr>
      </w:pPr>
      <w:r>
        <w:rPr>
          <w:rFonts w:hint="eastAsia" w:ascii="宋体" w:hAnsi="宋体"/>
          <w:sz w:val="24"/>
        </w:rPr>
        <w:t>2、投标人在评标过程中，发现其进行力图影响评标结果的不符合《政府采购法》</w:t>
      </w:r>
      <w:r>
        <w:rPr>
          <w:rFonts w:ascii="宋体" w:hAnsi="宋体"/>
          <w:sz w:val="24"/>
        </w:rPr>
        <w:t xml:space="preserve"> </w:t>
      </w:r>
      <w:r>
        <w:rPr>
          <w:rFonts w:hint="eastAsia" w:ascii="宋体" w:hAnsi="宋体"/>
          <w:sz w:val="24"/>
        </w:rPr>
        <w:t>及本项目招标有关规定的活动时，将被取消中标资格。</w:t>
      </w:r>
    </w:p>
    <w:p>
      <w:pPr>
        <w:spacing w:line="440" w:lineRule="exact"/>
        <w:ind w:firstLine="460" w:firstLineChars="192"/>
        <w:rPr>
          <w:rFonts w:ascii="宋体" w:hAnsi="宋体"/>
          <w:sz w:val="24"/>
        </w:rPr>
      </w:pPr>
      <w:r>
        <w:rPr>
          <w:rFonts w:hint="eastAsia" w:ascii="宋体" w:hAnsi="宋体"/>
          <w:sz w:val="24"/>
        </w:rPr>
        <w:t>六、初步评审</w:t>
      </w:r>
    </w:p>
    <w:p>
      <w:pPr>
        <w:spacing w:line="440" w:lineRule="exact"/>
        <w:ind w:firstLine="460" w:firstLineChars="192"/>
        <w:rPr>
          <w:rFonts w:ascii="宋体" w:hAnsi="宋体"/>
          <w:sz w:val="24"/>
        </w:rPr>
      </w:pPr>
      <w:r>
        <w:rPr>
          <w:rFonts w:hint="eastAsia" w:ascii="宋体" w:hAnsi="宋体"/>
          <w:sz w:val="24"/>
        </w:rPr>
        <w:t>1、评标委员会可以要求投标人对投标文件中含义不明确、对同类问题表述不一致或者有明显文字和计算错误的内容作必要的澄清、说明或补正。澄清、说明或补正应以书面方式进行</w:t>
      </w:r>
      <w:r>
        <w:rPr>
          <w:rFonts w:ascii="宋体" w:hAnsi="宋体"/>
          <w:sz w:val="24"/>
        </w:rPr>
        <w:t>,</w:t>
      </w:r>
      <w:r>
        <w:rPr>
          <w:rFonts w:hint="eastAsia" w:ascii="宋体" w:hAnsi="宋体"/>
          <w:sz w:val="24"/>
        </w:rPr>
        <w:t>并不得超出投标文件的范围或者改变投标文件的实质性内容。</w:t>
      </w:r>
    </w:p>
    <w:p>
      <w:pPr>
        <w:spacing w:line="440" w:lineRule="exact"/>
        <w:ind w:firstLine="460" w:firstLineChars="192"/>
        <w:rPr>
          <w:rFonts w:ascii="宋体" w:hAnsi="宋体"/>
          <w:sz w:val="24"/>
        </w:rPr>
      </w:pPr>
      <w:r>
        <w:rPr>
          <w:rFonts w:hint="eastAsia" w:ascii="宋体" w:hAnsi="宋体"/>
          <w:sz w:val="24"/>
        </w:rPr>
        <w:t>投标文件中的大写金额和小写金额不一致的以大写金额为准；总价金额与单价金额不一致的，以单价计算出的总价金额为准。</w:t>
      </w:r>
    </w:p>
    <w:p>
      <w:pPr>
        <w:spacing w:line="440" w:lineRule="exact"/>
        <w:ind w:firstLine="460" w:firstLineChars="192"/>
        <w:rPr>
          <w:rFonts w:ascii="宋体" w:hAnsi="宋体"/>
          <w:sz w:val="24"/>
        </w:rPr>
      </w:pPr>
      <w:r>
        <w:rPr>
          <w:rFonts w:hint="eastAsia" w:ascii="宋体" w:hAnsi="宋体"/>
          <w:sz w:val="24"/>
        </w:rPr>
        <w:t>2、在评标过程中，评标委员会发现投标人的报价明显低于其他投标报价，使得其投标报价可能低于成本的，应当要求该投标人做出书面说明并提供相关证明材料。投标人不能合理说明或者不能提供相关证明材料的，评标委员会认定该投标人以低于成本报价竞标，其投标应作无效投标处理。</w:t>
      </w:r>
    </w:p>
    <w:p>
      <w:pPr>
        <w:spacing w:line="440" w:lineRule="exact"/>
        <w:ind w:firstLine="460" w:firstLineChars="192"/>
        <w:rPr>
          <w:rFonts w:ascii="宋体" w:hAnsi="宋体"/>
          <w:sz w:val="24"/>
        </w:rPr>
      </w:pPr>
      <w:r>
        <w:rPr>
          <w:rFonts w:hint="eastAsia" w:ascii="宋体" w:hAnsi="宋体"/>
          <w:sz w:val="24"/>
        </w:rPr>
        <w:t>3、投标最低报价，不作为是否中标的依据。</w:t>
      </w:r>
    </w:p>
    <w:p>
      <w:pPr>
        <w:spacing w:line="440" w:lineRule="exact"/>
        <w:ind w:firstLine="460" w:firstLineChars="192"/>
        <w:rPr>
          <w:rFonts w:ascii="宋体" w:hAnsi="宋体"/>
          <w:sz w:val="24"/>
        </w:rPr>
      </w:pPr>
      <w:r>
        <w:rPr>
          <w:rFonts w:hint="eastAsia" w:ascii="宋体" w:hAnsi="宋体"/>
          <w:sz w:val="24"/>
        </w:rPr>
        <w:t>4、招标方不接受不符合国家相关规定的投标报价或优惠方案。</w:t>
      </w:r>
    </w:p>
    <w:p>
      <w:pPr>
        <w:spacing w:line="440" w:lineRule="exact"/>
        <w:ind w:firstLine="460" w:firstLineChars="192"/>
        <w:rPr>
          <w:rFonts w:ascii="宋体" w:hAnsi="宋体"/>
          <w:sz w:val="24"/>
        </w:rPr>
      </w:pPr>
      <w:r>
        <w:rPr>
          <w:rFonts w:hint="eastAsia" w:ascii="宋体" w:hAnsi="宋体"/>
          <w:sz w:val="24"/>
        </w:rPr>
        <w:t>5、在评标过程中，评标委员会发现投标人以他人名义投标、串标、以行贿手段谋取中标或者以其他弄虚作假方式投标的，该投标人的投标将作无效投标处理。</w:t>
      </w:r>
    </w:p>
    <w:p>
      <w:pPr>
        <w:spacing w:line="440" w:lineRule="exact"/>
        <w:ind w:firstLine="460" w:firstLineChars="192"/>
        <w:rPr>
          <w:rFonts w:ascii="宋体" w:hAnsi="宋体"/>
          <w:sz w:val="24"/>
        </w:rPr>
      </w:pPr>
      <w:r>
        <w:rPr>
          <w:rFonts w:hint="eastAsia" w:ascii="宋体" w:hAnsi="宋体"/>
          <w:sz w:val="24"/>
        </w:rPr>
        <w:t>6、投标人的资格条件不符合国家有关规定和招标文件要求的，或者拒不按照要求对投标文件进行澄清、说明或补正的，评标委员会应将其投标作无效投标处理。</w:t>
      </w:r>
    </w:p>
    <w:p>
      <w:pPr>
        <w:spacing w:line="440" w:lineRule="exact"/>
        <w:ind w:firstLine="460" w:firstLineChars="192"/>
        <w:rPr>
          <w:rFonts w:ascii="宋体" w:hAnsi="宋体"/>
          <w:sz w:val="24"/>
        </w:rPr>
      </w:pPr>
      <w:r>
        <w:rPr>
          <w:rFonts w:hint="eastAsia" w:ascii="宋体" w:hAnsi="宋体"/>
          <w:sz w:val="24"/>
        </w:rPr>
        <w:t>7、评标委员会应当审查所有有效投标文件是否对招标文件提出的所有实质性要求和条件做出响应。未能在实质上响应的投标，应作无效投标处理。</w:t>
      </w:r>
    </w:p>
    <w:p>
      <w:pPr>
        <w:spacing w:line="440" w:lineRule="exact"/>
        <w:ind w:firstLine="460" w:firstLineChars="192"/>
        <w:rPr>
          <w:rFonts w:ascii="宋体" w:hAnsi="宋体"/>
          <w:sz w:val="24"/>
        </w:rPr>
      </w:pPr>
      <w:r>
        <w:rPr>
          <w:rFonts w:hint="eastAsia" w:ascii="宋体" w:hAnsi="宋体"/>
          <w:sz w:val="24"/>
        </w:rPr>
        <w:t>8、投标人不得误导、干扰评标委员会的评标活动，否则其投标将作无效投标处理。</w:t>
      </w:r>
    </w:p>
    <w:p>
      <w:pPr>
        <w:spacing w:line="440" w:lineRule="exact"/>
        <w:ind w:firstLine="460" w:firstLineChars="192"/>
        <w:rPr>
          <w:rFonts w:ascii="宋体" w:hAnsi="宋体"/>
          <w:sz w:val="24"/>
        </w:rPr>
      </w:pPr>
      <w:r>
        <w:rPr>
          <w:rFonts w:hint="eastAsia" w:ascii="宋体" w:hAnsi="宋体"/>
          <w:sz w:val="24"/>
        </w:rPr>
        <w:t>9、评标委员会应当根据招标文件，审查并逐项列出投标文件的全部投标偏差。投标偏差分为重大偏差和细微偏差。</w:t>
      </w:r>
    </w:p>
    <w:p>
      <w:pPr>
        <w:spacing w:line="440" w:lineRule="exact"/>
        <w:ind w:firstLine="460" w:firstLineChars="192"/>
        <w:rPr>
          <w:rFonts w:ascii="宋体" w:hAnsi="宋体"/>
          <w:sz w:val="24"/>
        </w:rPr>
      </w:pPr>
      <w:r>
        <w:rPr>
          <w:rFonts w:hint="eastAsia" w:ascii="宋体" w:hAnsi="宋体"/>
          <w:sz w:val="24"/>
        </w:rPr>
        <w:t>10、评标委员会将确定每一投标人是否对投标文件的要求做出了实质性响应，而没有重大偏离。实质性响应的投标是指符合招标文件的所有条款、条件和规定且没有重</w:t>
      </w:r>
      <w:r>
        <w:rPr>
          <w:rFonts w:ascii="宋体" w:hAnsi="宋体"/>
          <w:sz w:val="24"/>
        </w:rPr>
        <w:t xml:space="preserve"> </w:t>
      </w:r>
      <w:r>
        <w:rPr>
          <w:rFonts w:hint="eastAsia" w:ascii="宋体" w:hAnsi="宋体"/>
          <w:sz w:val="24"/>
        </w:rPr>
        <w:t>大偏离和保留的投标。重大偏离或保留系指影响到招标文件规定的服务范围和质量，或限制了采购人的权利和投标人的义务，而纠正这些偏离将影响到其他提交实质性响应的</w:t>
      </w:r>
      <w:r>
        <w:rPr>
          <w:rFonts w:ascii="宋体" w:hAnsi="宋体"/>
          <w:sz w:val="24"/>
        </w:rPr>
        <w:t xml:space="preserve"> </w:t>
      </w:r>
      <w:r>
        <w:rPr>
          <w:rFonts w:hint="eastAsia" w:ascii="宋体" w:hAnsi="宋体"/>
          <w:sz w:val="24"/>
        </w:rPr>
        <w:t>投标人的公平竞争地位。</w:t>
      </w:r>
    </w:p>
    <w:p>
      <w:pPr>
        <w:spacing w:line="440" w:lineRule="exact"/>
        <w:ind w:firstLine="460" w:firstLineChars="192"/>
        <w:rPr>
          <w:rFonts w:ascii="宋体" w:hAnsi="宋体"/>
          <w:sz w:val="24"/>
        </w:rPr>
      </w:pPr>
      <w:r>
        <w:rPr>
          <w:rFonts w:hint="eastAsia" w:ascii="宋体" w:hAnsi="宋体"/>
          <w:sz w:val="24"/>
        </w:rPr>
        <w:t>11、下列情况属于重大偏差：</w:t>
      </w:r>
    </w:p>
    <w:p>
      <w:pPr>
        <w:spacing w:line="440" w:lineRule="exact"/>
        <w:ind w:firstLine="460" w:firstLineChars="192"/>
        <w:rPr>
          <w:rFonts w:ascii="宋体" w:hAnsi="宋体"/>
          <w:sz w:val="24"/>
        </w:rPr>
      </w:pPr>
      <w:r>
        <w:rPr>
          <w:rFonts w:hint="eastAsia" w:ascii="宋体" w:hAnsi="宋体"/>
          <w:sz w:val="24"/>
        </w:rPr>
        <w:t>1.投标文件没有投标人授权代表签字和加盖公章的；</w:t>
      </w:r>
    </w:p>
    <w:p>
      <w:pPr>
        <w:spacing w:line="440" w:lineRule="exact"/>
        <w:ind w:firstLine="460" w:firstLineChars="192"/>
        <w:rPr>
          <w:rFonts w:ascii="宋体" w:hAnsi="宋体"/>
          <w:sz w:val="24"/>
        </w:rPr>
      </w:pPr>
      <w:r>
        <w:rPr>
          <w:rFonts w:hint="eastAsia" w:ascii="宋体" w:hAnsi="宋体"/>
          <w:sz w:val="24"/>
        </w:rPr>
        <w:t>2.投标文件中附有招标人不能接受的条件的；</w:t>
      </w:r>
    </w:p>
    <w:p>
      <w:pPr>
        <w:spacing w:line="440" w:lineRule="exact"/>
        <w:ind w:firstLine="460" w:firstLineChars="192"/>
        <w:rPr>
          <w:rFonts w:ascii="宋体" w:hAnsi="宋体"/>
          <w:sz w:val="24"/>
        </w:rPr>
      </w:pPr>
      <w:r>
        <w:rPr>
          <w:rFonts w:hint="eastAsia" w:ascii="宋体" w:hAnsi="宋体"/>
          <w:sz w:val="24"/>
        </w:rPr>
        <w:t>3.不符合招标文件中规定的其他实质性要求的。投标文件有上述情形之一的，为未能对招标文件做出实质性响应的投标，将作无效投标处理。</w:t>
      </w:r>
    </w:p>
    <w:p>
      <w:pPr>
        <w:spacing w:line="440" w:lineRule="exact"/>
        <w:ind w:firstLine="460" w:firstLineChars="192"/>
        <w:rPr>
          <w:rFonts w:ascii="宋体" w:hAnsi="宋体"/>
          <w:sz w:val="24"/>
        </w:rPr>
      </w:pPr>
      <w:r>
        <w:rPr>
          <w:rFonts w:hint="eastAsia" w:ascii="宋体" w:hAnsi="宋体"/>
          <w:sz w:val="24"/>
        </w:rPr>
        <w:t>12、细微偏差是指投标实质上响应了招标文件要求，但在个别地方提供了不完整</w:t>
      </w:r>
      <w:r>
        <w:rPr>
          <w:rFonts w:ascii="宋体" w:hAnsi="宋体"/>
          <w:sz w:val="24"/>
        </w:rPr>
        <w:t xml:space="preserve"> </w:t>
      </w:r>
      <w:r>
        <w:rPr>
          <w:rFonts w:hint="eastAsia" w:ascii="宋体" w:hAnsi="宋体"/>
          <w:sz w:val="24"/>
        </w:rPr>
        <w:t>的技术信息和数据等情况，并且补正这些遗漏或不完整不会对其他投标人造成不公平的</w:t>
      </w:r>
      <w:r>
        <w:rPr>
          <w:rFonts w:ascii="宋体" w:hAnsi="宋体"/>
          <w:sz w:val="24"/>
        </w:rPr>
        <w:t xml:space="preserve"> </w:t>
      </w:r>
      <w:r>
        <w:rPr>
          <w:rFonts w:hint="eastAsia" w:ascii="宋体" w:hAnsi="宋体"/>
          <w:sz w:val="24"/>
        </w:rPr>
        <w:t>结果。细微偏差不影响投标文件的有效性。</w:t>
      </w:r>
    </w:p>
    <w:p>
      <w:pPr>
        <w:spacing w:line="440" w:lineRule="exact"/>
        <w:ind w:firstLine="460" w:firstLineChars="192"/>
        <w:rPr>
          <w:rFonts w:ascii="宋体" w:hAnsi="宋体"/>
          <w:sz w:val="24"/>
        </w:rPr>
      </w:pPr>
      <w:r>
        <w:rPr>
          <w:rFonts w:hint="eastAsia" w:ascii="宋体" w:hAnsi="宋体"/>
          <w:sz w:val="24"/>
        </w:rPr>
        <w:t>评标委员会应当要求存在细小偏差的投标人在评标结束前以书面形式予以补正。拒</w:t>
      </w:r>
      <w:r>
        <w:rPr>
          <w:rFonts w:ascii="宋体" w:hAnsi="宋体"/>
          <w:sz w:val="24"/>
        </w:rPr>
        <w:t xml:space="preserve"> </w:t>
      </w:r>
      <w:r>
        <w:rPr>
          <w:rFonts w:hint="eastAsia" w:ascii="宋体" w:hAnsi="宋体"/>
          <w:sz w:val="24"/>
        </w:rPr>
        <w:t>绝补正的，在详细评审时可以对细微偏差作不利于该投标人的量化。</w:t>
      </w:r>
    </w:p>
    <w:p>
      <w:pPr>
        <w:spacing w:line="440" w:lineRule="exact"/>
        <w:ind w:firstLine="460" w:firstLineChars="192"/>
        <w:rPr>
          <w:rFonts w:ascii="宋体" w:hAnsi="宋体"/>
          <w:sz w:val="24"/>
        </w:rPr>
      </w:pPr>
      <w:r>
        <w:rPr>
          <w:rFonts w:hint="eastAsia" w:ascii="宋体" w:hAnsi="宋体"/>
          <w:sz w:val="24"/>
        </w:rPr>
        <w:t>13、评标委员会否决不合格投标后，因有效投标不足三个使得投标明显缺乏竞争性时，根据《中华人民共和国政府采购法》的相关规定，将作流标处理。</w:t>
      </w:r>
    </w:p>
    <w:p>
      <w:pPr>
        <w:spacing w:line="440" w:lineRule="exact"/>
        <w:ind w:firstLine="460" w:firstLineChars="192"/>
        <w:rPr>
          <w:rFonts w:ascii="宋体" w:hAnsi="宋体"/>
          <w:sz w:val="24"/>
        </w:rPr>
      </w:pPr>
      <w:r>
        <w:rPr>
          <w:rFonts w:hint="eastAsia" w:ascii="宋体" w:hAnsi="宋体"/>
          <w:sz w:val="24"/>
        </w:rPr>
        <w:t>14、对投标文件响应性的审查</w:t>
      </w:r>
    </w:p>
    <w:p>
      <w:pPr>
        <w:spacing w:line="440" w:lineRule="exact"/>
        <w:ind w:firstLine="460" w:firstLineChars="192"/>
        <w:rPr>
          <w:rFonts w:ascii="宋体" w:hAnsi="宋体"/>
          <w:sz w:val="24"/>
        </w:rPr>
      </w:pPr>
      <w:r>
        <w:rPr>
          <w:rFonts w:hint="eastAsia" w:ascii="宋体" w:hAnsi="宋体"/>
          <w:sz w:val="24"/>
        </w:rPr>
        <w:t>1.开标后，评标委员会将对投标文件进行审查，检查投标文件是否完整，是否出现计算性错误，投标文件正本是否由投标代表按规定签名，是否满足招标文件的格式要求，是否提供投标保证金。</w:t>
      </w:r>
    </w:p>
    <w:p>
      <w:pPr>
        <w:spacing w:line="440" w:lineRule="exact"/>
        <w:ind w:firstLine="460" w:firstLineChars="192"/>
        <w:rPr>
          <w:rFonts w:ascii="宋体" w:hAnsi="宋体"/>
          <w:sz w:val="24"/>
        </w:rPr>
      </w:pPr>
      <w:r>
        <w:rPr>
          <w:rFonts w:hint="eastAsia" w:ascii="宋体" w:hAnsi="宋体"/>
          <w:sz w:val="24"/>
        </w:rPr>
        <w:t>2.在对投标文件进行详细评估之前，评标委员会将依据投标人提供的资格证明文件审查投标人的财务和技术能力。如果确定投标人无能力履行合同，其投标将被拒绝。</w:t>
      </w:r>
    </w:p>
    <w:p>
      <w:pPr>
        <w:spacing w:line="440" w:lineRule="exact"/>
        <w:ind w:firstLine="460" w:firstLineChars="192"/>
        <w:rPr>
          <w:rFonts w:ascii="宋体" w:hAnsi="宋体"/>
          <w:sz w:val="24"/>
        </w:rPr>
      </w:pPr>
      <w:r>
        <w:rPr>
          <w:rFonts w:hint="eastAsia" w:ascii="宋体" w:hAnsi="宋体"/>
          <w:sz w:val="24"/>
        </w:rPr>
        <w:t>3.评标委员会判断投标文件的实质性响应仅基于投标文件本身而不靠外部证据。</w:t>
      </w:r>
    </w:p>
    <w:p>
      <w:pPr>
        <w:spacing w:line="440" w:lineRule="exact"/>
        <w:ind w:firstLine="460" w:firstLineChars="192"/>
        <w:rPr>
          <w:rFonts w:ascii="宋体" w:hAnsi="宋体"/>
          <w:sz w:val="24"/>
        </w:rPr>
      </w:pPr>
      <w:r>
        <w:rPr>
          <w:rFonts w:hint="eastAsia" w:ascii="宋体" w:hAnsi="宋体"/>
          <w:sz w:val="24"/>
        </w:rPr>
        <w:t>4.评标委员会将拒绝被确定为非实质性响应的投标。投标人不能通过修正或撤消不符合之处而使其投标成为实质性响应的投标。</w:t>
      </w:r>
    </w:p>
    <w:p>
      <w:pPr>
        <w:spacing w:line="440" w:lineRule="exact"/>
        <w:ind w:firstLine="460" w:firstLineChars="192"/>
        <w:rPr>
          <w:rFonts w:ascii="宋体" w:hAnsi="宋体"/>
          <w:sz w:val="24"/>
        </w:rPr>
      </w:pPr>
      <w:r>
        <w:rPr>
          <w:rFonts w:hint="eastAsia" w:ascii="宋体" w:hAnsi="宋体"/>
          <w:sz w:val="24"/>
        </w:rPr>
        <w:t>七、详细评审</w:t>
      </w:r>
    </w:p>
    <w:p>
      <w:pPr>
        <w:spacing w:line="440" w:lineRule="exact"/>
        <w:ind w:firstLine="460" w:firstLineChars="192"/>
        <w:rPr>
          <w:rFonts w:ascii="宋体" w:hAnsi="宋体"/>
          <w:sz w:val="24"/>
        </w:rPr>
      </w:pPr>
      <w:r>
        <w:rPr>
          <w:rFonts w:hint="eastAsia" w:ascii="宋体" w:hAnsi="宋体"/>
          <w:sz w:val="24"/>
        </w:rPr>
        <w:t>1、经初步评审合格的投标文件，评标委员会应当根据招标文件确定的评标标准和方法，对其技术和商务部分作进一步的评审和比较。</w:t>
      </w:r>
    </w:p>
    <w:p>
      <w:pPr>
        <w:spacing w:line="440" w:lineRule="exact"/>
        <w:ind w:firstLine="460" w:firstLineChars="192"/>
        <w:rPr>
          <w:rFonts w:ascii="宋体" w:hAnsi="宋体"/>
          <w:sz w:val="24"/>
        </w:rPr>
      </w:pPr>
      <w:r>
        <w:rPr>
          <w:rFonts w:hint="eastAsia" w:ascii="宋体" w:hAnsi="宋体"/>
          <w:sz w:val="24"/>
        </w:rPr>
        <w:t>2、根据国务院《政府采购法实施条例》的规定，本项目可使用的评标方法为：</w:t>
      </w:r>
    </w:p>
    <w:p>
      <w:pPr>
        <w:spacing w:line="440" w:lineRule="exact"/>
        <w:ind w:firstLine="460" w:firstLineChars="192"/>
        <w:rPr>
          <w:rFonts w:ascii="宋体" w:hAnsi="宋体"/>
          <w:sz w:val="24"/>
        </w:rPr>
      </w:pPr>
      <w:r>
        <w:rPr>
          <w:rFonts w:hint="eastAsia" w:ascii="宋体" w:hAnsi="宋体"/>
          <w:sz w:val="24"/>
        </w:rPr>
        <w:t>1.最低评标价法，是指投标文件满足招标文件全部实质性要求且投标报价最低的供应商为中标候选人的评标方法。</w:t>
      </w:r>
    </w:p>
    <w:p>
      <w:pPr>
        <w:spacing w:line="440" w:lineRule="exact"/>
        <w:ind w:firstLine="460" w:firstLineChars="192"/>
        <w:rPr>
          <w:rFonts w:ascii="宋体" w:hAnsi="宋体"/>
          <w:sz w:val="24"/>
        </w:rPr>
      </w:pPr>
      <w:r>
        <w:rPr>
          <w:rFonts w:hint="eastAsia" w:ascii="宋体" w:hAnsi="宋体"/>
          <w:sz w:val="24"/>
        </w:rPr>
        <w:t>技术、服务等标准统一的货物和服务项目，将采用最低评标价法进行评标。评定根据符合采购需求、质量和服务相等且报价最低的原则确定成交供应商。质量和服务相等，是指供应商提供的产品质量和服务均能满足采购文件规定的实质性要求。</w:t>
      </w:r>
    </w:p>
    <w:p>
      <w:pPr>
        <w:spacing w:line="440" w:lineRule="exact"/>
        <w:ind w:firstLine="460" w:firstLineChars="192"/>
        <w:rPr>
          <w:rFonts w:ascii="宋体" w:hAnsi="宋体"/>
          <w:sz w:val="24"/>
        </w:rPr>
      </w:pPr>
      <w:r>
        <w:rPr>
          <w:rFonts w:hint="eastAsia" w:ascii="宋体" w:hAnsi="宋体"/>
          <w:sz w:val="24"/>
        </w:rPr>
        <w:t>2.综合评分法，是指投标文件满足招标文件全部实质性要求且按照评审因素的量化指标评审得分最高的供应商为中标候选人的评标方法。</w:t>
      </w:r>
    </w:p>
    <w:p>
      <w:pPr>
        <w:ind w:firstLine="474" w:firstLineChars="225"/>
        <w:rPr>
          <w:rFonts w:hint="eastAsia"/>
          <w:b/>
        </w:rPr>
      </w:pPr>
      <w:r>
        <w:rPr>
          <w:rFonts w:hint="eastAsia"/>
          <w:b/>
        </w:rPr>
        <w:t>3.本项目依据投标须知中规定的评标办法进行评标，即综合评分法。</w:t>
      </w:r>
    </w:p>
    <w:p>
      <w:pPr>
        <w:spacing w:line="440" w:lineRule="exact"/>
        <w:ind w:firstLine="460" w:firstLineChars="192"/>
        <w:rPr>
          <w:rFonts w:ascii="宋体" w:hAnsi="宋体"/>
          <w:sz w:val="24"/>
        </w:rPr>
      </w:pPr>
      <w:r>
        <w:rPr>
          <w:rFonts w:hint="eastAsia" w:ascii="宋体" w:hAnsi="宋体"/>
          <w:sz w:val="24"/>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pPr>
        <w:spacing w:line="440" w:lineRule="exact"/>
        <w:ind w:firstLine="460" w:firstLineChars="192"/>
        <w:rPr>
          <w:rFonts w:ascii="宋体" w:hAnsi="宋体"/>
          <w:sz w:val="24"/>
        </w:rPr>
      </w:pPr>
      <w:r>
        <w:rPr>
          <w:rFonts w:hint="eastAsia" w:ascii="宋体" w:hAnsi="宋体"/>
          <w:sz w:val="24"/>
        </w:rPr>
        <w:t>5、评标和定标一般在开标后3工作日内完成，项目金额较大、技术较为复杂等特殊项目的评标工作在</w:t>
      </w:r>
      <w:r>
        <w:rPr>
          <w:rFonts w:ascii="宋体" w:hAnsi="宋体"/>
          <w:sz w:val="24"/>
        </w:rPr>
        <w:t>30</w:t>
      </w:r>
      <w:r>
        <w:rPr>
          <w:rFonts w:hint="eastAsia" w:ascii="宋体" w:hAnsi="宋体"/>
          <w:sz w:val="24"/>
        </w:rPr>
        <w:t>个工作日内完成。不能在开标后</w:t>
      </w:r>
      <w:r>
        <w:rPr>
          <w:rFonts w:ascii="宋体" w:hAnsi="宋体"/>
          <w:sz w:val="24"/>
        </w:rPr>
        <w:t>30</w:t>
      </w:r>
      <w:r>
        <w:rPr>
          <w:rFonts w:hint="eastAsia" w:ascii="宋体" w:hAnsi="宋体"/>
          <w:sz w:val="24"/>
        </w:rPr>
        <w:t>个工作日内完成评标和定标的，招标方提前</w:t>
      </w:r>
      <w:r>
        <w:rPr>
          <w:rFonts w:ascii="宋体" w:hAnsi="宋体"/>
          <w:sz w:val="24"/>
        </w:rPr>
        <w:t xml:space="preserve"> 3 </w:t>
      </w:r>
      <w:r>
        <w:rPr>
          <w:rFonts w:hint="eastAsia" w:ascii="宋体" w:hAnsi="宋体"/>
          <w:sz w:val="24"/>
        </w:rPr>
        <w:t>天通知所有投标人延长投标有效期。同意延长投标有效期的投标人应当相应延长投标保证金的有效期，但不得修改投标文件的实质性内容。</w:t>
      </w:r>
    </w:p>
    <w:p>
      <w:pPr>
        <w:spacing w:line="440" w:lineRule="exact"/>
        <w:ind w:firstLine="460" w:firstLineChars="192"/>
        <w:rPr>
          <w:rFonts w:hint="eastAsia" w:ascii="宋体" w:hAnsi="宋体"/>
          <w:sz w:val="24"/>
        </w:rPr>
      </w:pPr>
      <w:r>
        <w:rPr>
          <w:rFonts w:hint="eastAsia" w:ascii="宋体" w:hAnsi="宋体"/>
          <w:sz w:val="24"/>
        </w:rPr>
        <w:t>6、如果出现有效投标供应商不足三家时，由于项目紧急，经财政部门（政府采购监督管理部门）批准，改为非招标采购方式，采用最低评标价法进行评审，即在符合采购需求、质量和服务相等的前提下，以提出最低报价的供应商作为成交供应商。</w:t>
      </w:r>
    </w:p>
    <w:p>
      <w:pPr>
        <w:spacing w:line="440" w:lineRule="exact"/>
        <w:rPr>
          <w:rFonts w:hint="eastAsia" w:ascii="宋体" w:hAnsi="宋体" w:eastAsia="宋体"/>
          <w:b/>
          <w:bCs/>
          <w:sz w:val="24"/>
          <w:lang w:eastAsia="zh-CN"/>
        </w:rPr>
      </w:pPr>
      <w:r>
        <w:rPr>
          <w:rFonts w:hint="eastAsia" w:ascii="宋体" w:hAnsi="宋体"/>
          <w:b/>
          <w:bCs/>
          <w:sz w:val="24"/>
        </w:rPr>
        <w:t>7、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报价由低到高顺序排列。得分且投标报价相同的，按技术指标优劣顺序排列。得分且投标报价相同且技术指标得分也相同的，由评标委员会现场采取随机抽取方式确定，其他同品牌投标人不作为中标候选人。</w:t>
      </w:r>
      <w:r>
        <w:rPr>
          <w:rFonts w:hint="eastAsia" w:ascii="宋体" w:hAnsi="宋体"/>
          <w:b/>
          <w:bCs/>
          <w:sz w:val="24"/>
          <w:lang w:eastAsia="zh-CN"/>
        </w:rPr>
        <w:t>（</w:t>
      </w:r>
      <w:r>
        <w:rPr>
          <w:rFonts w:hint="eastAsia" w:ascii="宋体" w:hAnsi="宋体"/>
          <w:b/>
          <w:bCs/>
          <w:sz w:val="24"/>
          <w:lang w:val="en-US" w:eastAsia="zh-CN"/>
        </w:rPr>
        <w:t>本标段不适用</w:t>
      </w:r>
      <w:r>
        <w:rPr>
          <w:rFonts w:hint="eastAsia" w:ascii="宋体" w:hAnsi="宋体"/>
          <w:b/>
          <w:bCs/>
          <w:sz w:val="24"/>
          <w:lang w:eastAsia="zh-CN"/>
        </w:rPr>
        <w:t>）</w:t>
      </w:r>
    </w:p>
    <w:p>
      <w:pPr>
        <w:spacing w:line="440" w:lineRule="exact"/>
        <w:ind w:firstLine="460" w:firstLineChars="192"/>
        <w:rPr>
          <w:rFonts w:hint="eastAsia" w:ascii="宋体" w:hAnsi="宋体"/>
          <w:sz w:val="24"/>
          <w:lang w:eastAsia="zh-CN"/>
        </w:rPr>
      </w:pPr>
      <w:r>
        <w:rPr>
          <w:rFonts w:hint="eastAsia" w:ascii="宋体" w:hAnsi="宋体"/>
          <w:sz w:val="24"/>
        </w:rPr>
        <w:t>8、1、根据《政府采购促进中小企业发展暂行办法》（财库［2011］181 号）和工信部联企业〔2011〕300 号文件规定，对小型和微型企业产品的价格给予 6%的扣除，用扣除后的价格参与评审</w:t>
      </w:r>
      <w:r>
        <w:rPr>
          <w:rFonts w:hint="eastAsia" w:ascii="宋体" w:hAnsi="宋体"/>
          <w:sz w:val="24"/>
          <w:lang w:eastAsia="zh-CN"/>
        </w:rPr>
        <w:t>。</w:t>
      </w:r>
    </w:p>
    <w:p>
      <w:pPr>
        <w:spacing w:line="440" w:lineRule="exact"/>
        <w:ind w:firstLine="460" w:firstLineChars="192"/>
        <w:rPr>
          <w:rFonts w:hint="eastAsia" w:ascii="宋体" w:hAnsi="宋体"/>
          <w:sz w:val="24"/>
        </w:rPr>
      </w:pPr>
      <w:r>
        <w:rPr>
          <w:rFonts w:hint="eastAsia" w:ascii="宋体" w:hAnsi="宋体"/>
          <w:sz w:val="24"/>
        </w:rPr>
        <w:t xml:space="preserve">  2、根据《财政部司法部关于政府采购支持监狱企业发展有关问题的通知》（财库［2014］68 号）的规定，对监狱企业产品的价格给予 6%扣除，用扣除后的价格参与评审。参加政府采购活动的监狱企业必须提供由省级以上监狱管理局、戒毒管理局（含新疆生产建设兵团）出具的属于监狱企业的证明文件。</w:t>
      </w:r>
    </w:p>
    <w:p>
      <w:pPr>
        <w:spacing w:line="440" w:lineRule="exact"/>
        <w:ind w:firstLine="460" w:firstLineChars="192"/>
        <w:rPr>
          <w:rFonts w:hint="eastAsia" w:ascii="宋体" w:hAnsi="宋体"/>
          <w:sz w:val="24"/>
        </w:rPr>
      </w:pPr>
      <w:r>
        <w:rPr>
          <w:rFonts w:hint="eastAsia" w:ascii="宋体" w:hAnsi="宋体"/>
          <w:sz w:val="24"/>
        </w:rPr>
        <w:t>3、根据《财政部民政部中国残疾人联合会关于促进残疾人就业政府采购政策的通知》（财库【2017】141 号）文件规定，对满足价格扣除条件且在投标文件中提交了《残疾人福利性单位声明函》等证明文件的投标人，其投标报价扣除 6%后参与评审。</w:t>
      </w:r>
    </w:p>
    <w:p>
      <w:pPr>
        <w:spacing w:line="440" w:lineRule="exact"/>
        <w:rPr>
          <w:rFonts w:hint="eastAsia" w:ascii="宋体" w:hAnsi="宋体"/>
          <w:sz w:val="24"/>
        </w:rPr>
      </w:pPr>
      <w:r>
        <w:rPr>
          <w:rFonts w:hint="eastAsia" w:ascii="宋体" w:hAnsi="宋体" w:cs="宋体"/>
          <w:b/>
          <w:bCs/>
          <w:sz w:val="24"/>
        </w:rPr>
        <w:t>备注：投标企业属于小微企业、监狱企业或残疾人福利性单位的，只能享受一次下浮，不重复享受。（投标企业声明属于小微企业的，在投标文件中须提供相关佐证材料，以便于评标委会认定是否符合享受该政策，不提供的不享受相关优惠政策。若为经销商，需提供投标单位自身和所投产品制造商小微企业声明，不予提供的不享受相关优惠政策。）</w:t>
      </w:r>
    </w:p>
    <w:p>
      <w:pPr>
        <w:spacing w:line="440" w:lineRule="exact"/>
        <w:rPr>
          <w:rFonts w:hint="eastAsia" w:ascii="宋体" w:hAnsi="宋体"/>
          <w:sz w:val="24"/>
          <w:highlight w:val="yellow"/>
        </w:rPr>
      </w:pPr>
    </w:p>
    <w:p>
      <w:pPr>
        <w:spacing w:line="440" w:lineRule="exact"/>
        <w:rPr>
          <w:rFonts w:hint="eastAsia" w:ascii="宋体" w:hAnsi="宋体" w:cs="宋体"/>
          <w:b/>
          <w:bCs/>
          <w:sz w:val="24"/>
          <w:u w:val="single"/>
          <w:lang w:eastAsia="zh-CN"/>
        </w:rPr>
      </w:pPr>
      <w:r>
        <w:rPr>
          <w:rFonts w:hint="eastAsia" w:ascii="宋体" w:hAnsi="宋体" w:cs="宋体"/>
          <w:b/>
          <w:bCs/>
          <w:sz w:val="24"/>
          <w:u w:val="single"/>
          <w:lang w:eastAsia="zh-CN"/>
        </w:rPr>
        <w:t>核心产品：</w:t>
      </w:r>
      <w:r>
        <w:rPr>
          <w:rFonts w:hint="eastAsia" w:ascii="宋体" w:hAnsi="宋体" w:cs="宋体"/>
          <w:b/>
          <w:bCs/>
          <w:sz w:val="24"/>
          <w:u w:val="single"/>
          <w:lang w:val="en-US" w:eastAsia="zh-CN"/>
        </w:rPr>
        <w:t>核酸检测（扩增）试剂</w:t>
      </w:r>
    </w:p>
    <w:p>
      <w:pPr>
        <w:spacing w:line="440" w:lineRule="exact"/>
        <w:rPr>
          <w:rFonts w:hint="eastAsia" w:ascii="宋体" w:hAnsi="宋体"/>
          <w:sz w:val="24"/>
        </w:rPr>
      </w:pPr>
      <w:r>
        <w:rPr>
          <w:rFonts w:hint="eastAsia" w:ascii="宋体" w:hAnsi="宋体"/>
          <w:sz w:val="24"/>
        </w:rPr>
        <w:t>9、商务符合性审查</w:t>
      </w:r>
    </w:p>
    <w:p>
      <w:pPr>
        <w:pStyle w:val="7"/>
        <w:tabs>
          <w:tab w:val="clear" w:pos="567"/>
        </w:tabs>
        <w:spacing w:before="0" w:line="360" w:lineRule="auto"/>
      </w:pPr>
      <w:r>
        <w:rPr>
          <w:rFonts w:hint="eastAsia" w:ascii="仿宋" w:hAnsi="仿宋" w:eastAsia="仿宋" w:cs="宋体"/>
          <w:b/>
          <w:bCs/>
          <w:kern w:val="0"/>
          <w:sz w:val="32"/>
          <w:szCs w:val="32"/>
        </w:rPr>
        <w:t>一、符合性审查表</w:t>
      </w:r>
    </w:p>
    <w:tbl>
      <w:tblPr>
        <w:tblStyle w:val="15"/>
        <w:tblW w:w="9855" w:type="dxa"/>
        <w:tblInd w:w="0" w:type="dxa"/>
        <w:tblLayout w:type="fixed"/>
        <w:tblCellMar>
          <w:top w:w="0" w:type="dxa"/>
          <w:left w:w="108" w:type="dxa"/>
          <w:bottom w:w="0" w:type="dxa"/>
          <w:right w:w="108" w:type="dxa"/>
        </w:tblCellMar>
      </w:tblPr>
      <w:tblGrid>
        <w:gridCol w:w="2408"/>
        <w:gridCol w:w="4523"/>
        <w:gridCol w:w="974"/>
        <w:gridCol w:w="974"/>
        <w:gridCol w:w="976"/>
      </w:tblGrid>
      <w:tr>
        <w:tblPrEx>
          <w:tblCellMar>
            <w:top w:w="0" w:type="dxa"/>
            <w:left w:w="108" w:type="dxa"/>
            <w:bottom w:w="0" w:type="dxa"/>
            <w:right w:w="108" w:type="dxa"/>
          </w:tblCellMar>
        </w:tblPrEx>
        <w:trPr>
          <w:trHeight w:val="521" w:hRule="atLeast"/>
        </w:trPr>
        <w:tc>
          <w:tcPr>
            <w:tcW w:w="6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292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4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联合体投标规定</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hint="eastAsia" w:ascii="仿宋" w:hAnsi="仿宋" w:eastAsia="仿宋" w:cs="宋体"/>
                <w:i/>
                <w:iCs/>
                <w:kern w:val="0"/>
                <w:szCs w:val="21"/>
                <w:u w:val="single"/>
              </w:rPr>
              <w:t>不接受</w:t>
            </w:r>
            <w:r>
              <w:rPr>
                <w:rFonts w:hint="eastAsia" w:ascii="仿宋" w:hAnsi="仿宋" w:eastAsia="仿宋" w:cs="宋体"/>
                <w:kern w:val="0"/>
                <w:szCs w:val="21"/>
              </w:rPr>
              <w:t>联合体投标</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投标人的关联性</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招标文件中所列的所有内容进行投标。</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投标保证金</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符合招标文件要求</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投标文件的装订方式</w:t>
            </w:r>
          </w:p>
          <w:p>
            <w:pPr>
              <w:widowControl/>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所有投标</w:t>
            </w:r>
            <w:r>
              <w:rPr>
                <w:rFonts w:ascii="仿宋" w:hAnsi="仿宋" w:eastAsia="仿宋"/>
                <w:szCs w:val="21"/>
              </w:rPr>
              <w:t>文件</w:t>
            </w:r>
            <w:r>
              <w:rPr>
                <w:rFonts w:hint="eastAsia" w:ascii="仿宋" w:hAnsi="仿宋" w:eastAsia="仿宋"/>
                <w:szCs w:val="21"/>
              </w:rPr>
              <w:t>采用</w:t>
            </w:r>
            <w:r>
              <w:rPr>
                <w:rFonts w:ascii="仿宋" w:hAnsi="仿宋" w:eastAsia="仿宋"/>
                <w:szCs w:val="21"/>
              </w:rPr>
              <w:t>不可拆装的胶</w:t>
            </w:r>
            <w:r>
              <w:rPr>
                <w:rFonts w:hint="eastAsia" w:ascii="仿宋" w:hAnsi="仿宋" w:eastAsia="仿宋"/>
                <w:szCs w:val="21"/>
              </w:rPr>
              <w:t>订</w:t>
            </w:r>
            <w:r>
              <w:rPr>
                <w:rFonts w:ascii="仿宋" w:hAnsi="仿宋" w:eastAsia="仿宋"/>
                <w:szCs w:val="21"/>
              </w:rPr>
              <w:t>方式</w:t>
            </w:r>
            <w:r>
              <w:rPr>
                <w:rFonts w:hint="eastAsia" w:ascii="仿宋" w:hAnsi="仿宋" w:eastAsia="仿宋"/>
                <w:szCs w:val="21"/>
              </w:rPr>
              <w:t>装订</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widowControl/>
              <w:rPr>
                <w:rFonts w:hint="eastAsia"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按照招标文件规定要求签署、盖章。</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接受价格的算术修正</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投标文件报价出现前后不一致的，应按照招标文件规定的顺序修正。修正后的报价经投标人确认后产生约束力。</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未发现串通投标</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报价说明可以接受</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ascii="仿宋" w:hAnsi="仿宋" w:eastAsia="仿宋"/>
                <w:szCs w:val="21"/>
              </w:rPr>
              <w:t>投标人的报价明显低于其他通过符合性检查投标人的报价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税收缴纳记录</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cs="宋体"/>
                <w:kern w:val="0"/>
                <w:sz w:val="22"/>
                <w:szCs w:val="22"/>
              </w:rPr>
              <w:t>投标文件中有依法缴纳税收的良好纪录。</w:t>
            </w:r>
            <w:r>
              <w:rPr>
                <w:rFonts w:hint="eastAsia" w:ascii="仿宋" w:hAnsi="仿宋" w:eastAsia="仿宋" w:cs="宋体"/>
                <w:kern w:val="0"/>
                <w:sz w:val="22"/>
                <w:szCs w:val="22"/>
                <w:lang w:val="en-US" w:eastAsia="zh-CN"/>
              </w:rPr>
              <w:t>提供2021年6月至今任一月份税收缴纳记录即可</w:t>
            </w:r>
            <w:r>
              <w:rPr>
                <w:rFonts w:hint="eastAsia" w:ascii="仿宋" w:hAnsi="仿宋" w:eastAsia="仿宋" w:cs="宋体"/>
                <w:kern w:val="0"/>
                <w:sz w:val="22"/>
                <w:szCs w:val="22"/>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社会保障缴纳记录</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投标文件中有依法缴纳社会保障资金的良好纪录。</w:t>
            </w:r>
            <w:r>
              <w:rPr>
                <w:rFonts w:hint="eastAsia" w:ascii="仿宋" w:hAnsi="仿宋" w:eastAsia="仿宋" w:cs="宋体"/>
                <w:kern w:val="0"/>
                <w:sz w:val="22"/>
                <w:szCs w:val="22"/>
                <w:lang w:val="en-US" w:eastAsia="zh-CN"/>
              </w:rPr>
              <w:t>提供2021年6月至今任一月份社保缴纳记录即可。</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书面证明</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参加本次采购活动前3年内在经营活动中没有重大违法记录的书面证明</w:t>
            </w:r>
            <w:r>
              <w:rPr>
                <w:rFonts w:hint="eastAsia" w:ascii="仿宋" w:hAnsi="仿宋" w:eastAsia="仿宋" w:cs="宋体"/>
                <w:kern w:val="0"/>
                <w:sz w:val="22"/>
                <w:szCs w:val="22"/>
                <w:lang w:eastAsia="zh-CN"/>
              </w:rPr>
              <w:t>（投标单位自行提供书面承诺并加盖公章）</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投标文件份数</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是否按规定提交投标文件分数，正本1份、副本4份。</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eastAsia="zh-CN"/>
              </w:rPr>
              <w:t>参数</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eastAsia="zh-CN"/>
              </w:rPr>
              <w:t>产品参数不允许出现负偏离</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预算金额</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cs="宋体"/>
                <w:kern w:val="0"/>
                <w:szCs w:val="21"/>
              </w:rPr>
            </w:pPr>
            <w:r>
              <w:rPr>
                <w:rFonts w:hint="eastAsia" w:ascii="仿宋" w:hAnsi="仿宋" w:eastAsia="仿宋" w:cs="宋体"/>
                <w:kern w:val="0"/>
                <w:sz w:val="22"/>
                <w:szCs w:val="22"/>
              </w:rPr>
              <w:t>投标报价未超过预算金额。</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sz w:val="22"/>
                <w:szCs w:val="22"/>
              </w:rPr>
              <w:t>无采购人不能接受的附加条件</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投标文件未含有采购人不能接受的附加条件。</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6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szCs w:val="21"/>
              </w:rPr>
            </w:pPr>
            <w:r>
              <w:rPr>
                <w:rFonts w:hint="eastAsia" w:ascii="仿宋" w:hAnsi="仿宋" w:eastAsia="仿宋" w:cs="宋体"/>
                <w:b/>
                <w:kern w:val="0"/>
                <w:sz w:val="22"/>
                <w:szCs w:val="22"/>
              </w:rPr>
              <w:t>结论（通过/不通过）</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bl>
    <w:p>
      <w:pPr>
        <w:spacing w:line="360" w:lineRule="auto"/>
        <w:rPr>
          <w:rFonts w:hint="eastAsia" w:ascii="宋体" w:hAnsi="宋体" w:cs="宋体"/>
          <w:b/>
          <w:sz w:val="24"/>
        </w:rPr>
      </w:pPr>
      <w:r>
        <w:rPr>
          <w:rFonts w:hint="eastAsia" w:ascii="宋体" w:hAnsi="宋体" w:cs="宋体"/>
          <w:b/>
          <w:sz w:val="24"/>
        </w:rPr>
        <w:t>备注：1.如果投标文件中有一项未通过上述审查标准，评标委员会将认定整个投标文件未响应招标文件而予以废标处理。</w:t>
      </w:r>
    </w:p>
    <w:p>
      <w:pPr>
        <w:numPr>
          <w:ilvl w:val="0"/>
          <w:numId w:val="10"/>
        </w:numPr>
        <w:spacing w:line="360" w:lineRule="auto"/>
        <w:rPr>
          <w:rFonts w:hint="eastAsia"/>
        </w:rPr>
      </w:pPr>
      <w:r>
        <w:rPr>
          <w:rFonts w:hint="eastAsia" w:ascii="宋体" w:hAnsi="宋体" w:cs="宋体"/>
          <w:b/>
          <w:sz w:val="24"/>
        </w:rPr>
        <w:t>表中所述分项评审结果分两种：（1）合格用“√”表示；（2）不合格用“×”表示。</w:t>
      </w:r>
    </w:p>
    <w:p>
      <w:pPr>
        <w:pStyle w:val="2"/>
        <w:rPr>
          <w:rFonts w:hint="eastAsia"/>
        </w:rPr>
      </w:pPr>
    </w:p>
    <w:p>
      <w:pPr>
        <w:pStyle w:val="2"/>
        <w:rPr>
          <w:rFonts w:hint="eastAsia" w:ascii="仿宋" w:hAnsi="仿宋" w:eastAsia="仿宋" w:cs="宋体"/>
          <w:b/>
          <w:bCs/>
          <w:kern w:val="0"/>
          <w:sz w:val="32"/>
          <w:szCs w:val="32"/>
        </w:rPr>
      </w:pPr>
      <w:r>
        <w:rPr>
          <w:rFonts w:hint="eastAsia" w:ascii="仿宋" w:hAnsi="仿宋" w:eastAsia="仿宋" w:cs="宋体"/>
          <w:b/>
          <w:bCs/>
          <w:kern w:val="0"/>
          <w:sz w:val="32"/>
          <w:szCs w:val="32"/>
        </w:rPr>
        <w:t>二、评审细则</w:t>
      </w:r>
    </w:p>
    <w:p>
      <w:pPr>
        <w:spacing w:line="360" w:lineRule="auto"/>
        <w:outlineLvl w:val="1"/>
        <w:rPr>
          <w:rFonts w:hint="eastAsia" w:ascii="宋体" w:hAnsi="宋体"/>
          <w:b/>
          <w:sz w:val="24"/>
        </w:rPr>
      </w:pPr>
      <w:r>
        <w:rPr>
          <w:rFonts w:hint="eastAsia" w:ascii="宋体" w:hAnsi="宋体"/>
          <w:b/>
          <w:sz w:val="24"/>
        </w:rPr>
        <w:t>1、经济部分（总分的</w:t>
      </w:r>
      <w:r>
        <w:rPr>
          <w:rFonts w:hint="eastAsia" w:ascii="宋体" w:hAnsi="宋体"/>
          <w:b/>
          <w:sz w:val="24"/>
          <w:lang w:val="en-US" w:eastAsia="zh-CN"/>
        </w:rPr>
        <w:t>4</w:t>
      </w:r>
      <w:r>
        <w:rPr>
          <w:rFonts w:hint="eastAsia" w:ascii="宋体" w:hAnsi="宋体"/>
          <w:b/>
          <w:sz w:val="24"/>
        </w:rPr>
        <w:t>0%）</w:t>
      </w:r>
    </w:p>
    <w:tbl>
      <w:tblPr>
        <w:tblStyle w:val="15"/>
        <w:tblW w:w="9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209"/>
        <w:gridCol w:w="900"/>
        <w:gridCol w:w="5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tblHeader/>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8"/>
                <w:szCs w:val="21"/>
              </w:rPr>
            </w:pPr>
            <w:r>
              <w:rPr>
                <w:rFonts w:hint="eastAsia" w:ascii="宋体" w:hAnsi="宋体"/>
                <w:b/>
                <w:spacing w:val="-8"/>
                <w:szCs w:val="21"/>
              </w:rPr>
              <w:t>分值</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60</w:t>
            </w:r>
            <w:r>
              <w:rPr>
                <w:rFonts w:hint="eastAsia" w:ascii="宋体" w:hAnsi="宋体"/>
                <w:szCs w:val="21"/>
              </w:rPr>
              <w:t>分</w:t>
            </w:r>
          </w:p>
        </w:tc>
        <w:tc>
          <w:tcPr>
            <w:tcW w:w="55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cs="宋体"/>
                <w:szCs w:val="21"/>
              </w:rPr>
              <w:t>综合评分法中的价格分统一采用低价优先法计算，即满足招标文件要求且投标价格最低的投标报价为评标基准价，其价格分为满分</w:t>
            </w:r>
            <w:r>
              <w:rPr>
                <w:rFonts w:hint="eastAsia" w:cs="宋体"/>
                <w:szCs w:val="21"/>
                <w:lang w:val="en-US" w:eastAsia="zh-CN"/>
              </w:rPr>
              <w:t>60</w:t>
            </w:r>
            <w:r>
              <w:rPr>
                <w:rFonts w:hint="eastAsia" w:cs="宋体"/>
                <w:szCs w:val="21"/>
              </w:rPr>
              <w:t>分，其投标报价得分</w:t>
            </w:r>
            <w:r>
              <w:rPr>
                <w:rFonts w:cs="宋体"/>
                <w:szCs w:val="21"/>
              </w:rPr>
              <w:t>=(</w:t>
            </w:r>
            <w:r>
              <w:rPr>
                <w:rFonts w:hint="eastAsia" w:cs="宋体"/>
                <w:szCs w:val="21"/>
              </w:rPr>
              <w:t>评标基准价／投标报价</w:t>
            </w:r>
            <w:r>
              <w:rPr>
                <w:rFonts w:cs="宋体"/>
                <w:szCs w:val="21"/>
              </w:rPr>
              <w:t>)</w:t>
            </w:r>
            <w:r>
              <w:rPr>
                <w:rFonts w:hint="eastAsia" w:cs="宋体"/>
                <w:szCs w:val="21"/>
              </w:rPr>
              <w:t>×价格权值×</w:t>
            </w:r>
            <w:r>
              <w:rPr>
                <w:rFonts w:cs="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经济分合计</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60</w:t>
            </w:r>
            <w:r>
              <w:rPr>
                <w:rFonts w:hint="eastAsia" w:ascii="宋体" w:hAnsi="宋体"/>
                <w:szCs w:val="21"/>
              </w:rPr>
              <w:t>分</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rPr>
          <w:rFonts w:hint="eastAsia" w:cs="宋体"/>
          <w:b/>
          <w:szCs w:val="21"/>
        </w:rPr>
      </w:pPr>
      <w:r>
        <w:rPr>
          <w:rFonts w:hint="eastAsia" w:cs="宋体"/>
          <w:b/>
          <w:szCs w:val="21"/>
        </w:rPr>
        <w:t>备注：</w:t>
      </w:r>
    </w:p>
    <w:p>
      <w:pPr>
        <w:rPr>
          <w:rFonts w:hint="eastAsia"/>
          <w:b/>
        </w:rPr>
      </w:pPr>
      <w:r>
        <w:rPr>
          <w:rFonts w:hint="eastAsia"/>
          <w:b/>
        </w:rPr>
        <w:t>1若投标人投标价格超出采购预算，则该投标人投标无效；</w:t>
      </w:r>
    </w:p>
    <w:p>
      <w:pPr>
        <w:rPr>
          <w:rFonts w:hint="eastAsia"/>
          <w:b/>
        </w:rPr>
      </w:pPr>
      <w:r>
        <w:rPr>
          <w:rFonts w:hint="eastAsia"/>
          <w:b/>
        </w:rPr>
        <w:t>2若投标人投标价格均超过采购预算，采购人不能支付的，该项目废标。</w:t>
      </w:r>
    </w:p>
    <w:p>
      <w:pPr>
        <w:rPr>
          <w:rFonts w:hint="eastAsia"/>
          <w:b/>
        </w:rPr>
      </w:pPr>
      <w:bookmarkStart w:id="403" w:name="_Toc521148186"/>
    </w:p>
    <w:p>
      <w:pPr>
        <w:spacing w:line="360" w:lineRule="auto"/>
        <w:outlineLvl w:val="1"/>
        <w:rPr>
          <w:rFonts w:ascii="宋体" w:hAnsi="宋体"/>
          <w:b/>
          <w:szCs w:val="21"/>
        </w:rPr>
      </w:pPr>
      <w:r>
        <w:rPr>
          <w:rFonts w:hint="eastAsia" w:ascii="宋体" w:hAnsi="宋体"/>
          <w:b/>
          <w:sz w:val="24"/>
        </w:rPr>
        <w:t>2、技术、商务部分评标标准</w:t>
      </w:r>
      <w:r>
        <w:rPr>
          <w:rFonts w:hint="eastAsia" w:ascii="宋体" w:hAnsi="宋体"/>
          <w:b/>
          <w:szCs w:val="21"/>
        </w:rPr>
        <w:t>（总分的</w:t>
      </w:r>
      <w:r>
        <w:rPr>
          <w:rFonts w:hint="eastAsia" w:ascii="宋体" w:hAnsi="宋体"/>
          <w:b/>
          <w:szCs w:val="21"/>
          <w:lang w:val="en-US" w:eastAsia="zh-CN"/>
        </w:rPr>
        <w:t>4</w:t>
      </w:r>
      <w:r>
        <w:rPr>
          <w:rFonts w:ascii="宋体" w:hAnsi="宋体"/>
          <w:b/>
          <w:szCs w:val="21"/>
        </w:rPr>
        <w:t>0%</w:t>
      </w:r>
      <w:r>
        <w:rPr>
          <w:rFonts w:hint="eastAsia" w:ascii="宋体" w:hAnsi="宋体"/>
          <w:b/>
          <w:szCs w:val="21"/>
        </w:rPr>
        <w:t>）</w:t>
      </w:r>
      <w:bookmarkEnd w:id="403"/>
    </w:p>
    <w:tbl>
      <w:tblPr>
        <w:tblStyle w:val="15"/>
        <w:tblpPr w:leftFromText="180" w:rightFromText="180" w:vertAnchor="text" w:horzAnchor="page" w:tblpX="1133" w:tblpY="477"/>
        <w:tblOverlap w:val="never"/>
        <w:tblW w:w="9736" w:type="dxa"/>
        <w:tblInd w:w="0" w:type="dxa"/>
        <w:tblLayout w:type="fixed"/>
        <w:tblCellMar>
          <w:top w:w="0" w:type="dxa"/>
          <w:left w:w="108" w:type="dxa"/>
          <w:bottom w:w="0" w:type="dxa"/>
          <w:right w:w="108" w:type="dxa"/>
        </w:tblCellMar>
      </w:tblPr>
      <w:tblGrid>
        <w:gridCol w:w="459"/>
        <w:gridCol w:w="956"/>
        <w:gridCol w:w="1213"/>
        <w:gridCol w:w="642"/>
        <w:gridCol w:w="6466"/>
      </w:tblGrid>
      <w:tr>
        <w:tblPrEx>
          <w:tblCellMar>
            <w:top w:w="0" w:type="dxa"/>
            <w:left w:w="108" w:type="dxa"/>
            <w:bottom w:w="0" w:type="dxa"/>
            <w:right w:w="108" w:type="dxa"/>
          </w:tblCellMar>
        </w:tblPrEx>
        <w:trPr>
          <w:trHeight w:val="510" w:hRule="atLeast"/>
        </w:trPr>
        <w:tc>
          <w:tcPr>
            <w:tcW w:w="4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评审项目</w:t>
            </w: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评议内容</w:t>
            </w:r>
          </w:p>
        </w:tc>
        <w:tc>
          <w:tcPr>
            <w:tcW w:w="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18"/>
                <w:szCs w:val="18"/>
              </w:rPr>
            </w:pPr>
            <w:r>
              <w:rPr>
                <w:rFonts w:hint="eastAsia" w:ascii="宋体" w:hAnsi="宋体" w:cs="宋体"/>
                <w:b/>
                <w:bCs/>
                <w:sz w:val="18"/>
                <w:szCs w:val="18"/>
              </w:rPr>
              <w:t>分值（</w:t>
            </w:r>
            <w:r>
              <w:rPr>
                <w:rFonts w:hint="eastAsia" w:ascii="宋体" w:hAnsi="宋体" w:cs="宋体"/>
                <w:b/>
                <w:bCs/>
                <w:sz w:val="18"/>
                <w:szCs w:val="18"/>
                <w:lang w:val="en-US" w:eastAsia="zh-CN"/>
              </w:rPr>
              <w:t>40</w:t>
            </w:r>
            <w:r>
              <w:rPr>
                <w:rFonts w:hint="eastAsia" w:ascii="宋体" w:hAnsi="宋体" w:cs="宋体"/>
                <w:b/>
                <w:bCs/>
                <w:sz w:val="18"/>
                <w:szCs w:val="18"/>
              </w:rPr>
              <w:t>分）</w:t>
            </w:r>
          </w:p>
        </w:tc>
        <w:tc>
          <w:tcPr>
            <w:tcW w:w="64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评分细则</w:t>
            </w:r>
          </w:p>
        </w:tc>
      </w:tr>
      <w:tr>
        <w:tblPrEx>
          <w:tblCellMar>
            <w:top w:w="0" w:type="dxa"/>
            <w:left w:w="108" w:type="dxa"/>
            <w:bottom w:w="0" w:type="dxa"/>
            <w:right w:w="108" w:type="dxa"/>
          </w:tblCellMar>
        </w:tblPrEx>
        <w:trPr>
          <w:trHeight w:val="2498" w:hRule="atLeast"/>
        </w:trPr>
        <w:tc>
          <w:tcPr>
            <w:tcW w:w="459"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956" w:type="dxa"/>
            <w:vMerge w:val="restart"/>
            <w:tcBorders>
              <w:top w:val="nil"/>
              <w:left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技术部分（</w:t>
            </w:r>
            <w:r>
              <w:rPr>
                <w:rFonts w:hint="eastAsia" w:ascii="宋体" w:hAnsi="宋体" w:cs="宋体"/>
                <w:sz w:val="18"/>
                <w:szCs w:val="18"/>
                <w:lang w:val="en-US" w:eastAsia="zh-CN"/>
              </w:rPr>
              <w:t>20</w:t>
            </w:r>
            <w:r>
              <w:rPr>
                <w:rFonts w:hint="eastAsia" w:ascii="宋体" w:hAnsi="宋体" w:cs="宋体"/>
                <w:sz w:val="18"/>
                <w:szCs w:val="18"/>
              </w:rPr>
              <w:t>%）</w:t>
            </w:r>
          </w:p>
        </w:tc>
        <w:tc>
          <w:tcPr>
            <w:tcW w:w="1213" w:type="dxa"/>
            <w:tcBorders>
              <w:top w:val="single" w:color="auto" w:sz="4" w:space="0"/>
              <w:left w:val="nil"/>
              <w:right w:val="single" w:color="auto" w:sz="4" w:space="0"/>
            </w:tcBorders>
            <w:vAlign w:val="center"/>
          </w:tcPr>
          <w:p>
            <w:pPr>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产品</w:t>
            </w:r>
            <w:r>
              <w:rPr>
                <w:rFonts w:hint="eastAsia" w:ascii="仿宋" w:hAnsi="仿宋" w:eastAsia="仿宋" w:cs="仿宋"/>
                <w:szCs w:val="21"/>
                <w:highlight w:val="none"/>
                <w:lang w:eastAsia="zh-CN"/>
              </w:rPr>
              <w:t>质量</w:t>
            </w:r>
          </w:p>
        </w:tc>
        <w:tc>
          <w:tcPr>
            <w:tcW w:w="642" w:type="dxa"/>
            <w:tcBorders>
              <w:top w:val="single" w:color="auto" w:sz="4" w:space="0"/>
              <w:left w:val="nil"/>
              <w:right w:val="single" w:color="auto" w:sz="4" w:space="0"/>
            </w:tcBorders>
            <w:vAlign w:val="center"/>
          </w:tcPr>
          <w:p>
            <w:pPr>
              <w:snapToGrid w:val="0"/>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0-20</w:t>
            </w:r>
          </w:p>
        </w:tc>
        <w:tc>
          <w:tcPr>
            <w:tcW w:w="6466" w:type="dxa"/>
            <w:tcBorders>
              <w:top w:val="single" w:color="auto" w:sz="4" w:space="0"/>
              <w:left w:val="nil"/>
              <w:right w:val="single" w:color="auto" w:sz="4" w:space="0"/>
            </w:tcBorders>
            <w:vAlign w:val="center"/>
          </w:tcPr>
          <w:p>
            <w:pPr>
              <w:pStyle w:val="2"/>
              <w:numPr>
                <w:ilvl w:val="0"/>
                <w:numId w:val="0"/>
              </w:numPr>
            </w:pPr>
            <w:r>
              <w:rPr>
                <w:rFonts w:hint="eastAsia" w:ascii="仿宋" w:hAnsi="仿宋" w:eastAsia="仿宋"/>
                <w:sz w:val="22"/>
                <w:szCs w:val="22"/>
                <w:lang w:val="en-US" w:eastAsia="zh-CN"/>
              </w:rPr>
              <w:t>核酸检测(扩增)试剂、核酸提取试剂(人份)96、含氯消毒片（瓶）、无粉乳胶手套（双)需</w:t>
            </w:r>
            <w:r>
              <w:rPr>
                <w:rFonts w:hint="eastAsia" w:ascii="仿宋" w:hAnsi="仿宋" w:eastAsia="仿宋"/>
                <w:sz w:val="22"/>
                <w:szCs w:val="22"/>
              </w:rPr>
              <w:t>提供检验检测报告，投标单位需提供国家认可的部</w:t>
            </w:r>
            <w:r>
              <w:rPr>
                <w:rFonts w:hint="eastAsia" w:ascii="仿宋" w:hAnsi="仿宋" w:eastAsia="仿宋"/>
                <w:sz w:val="22"/>
                <w:szCs w:val="22"/>
                <w:lang w:eastAsia="zh-CN"/>
              </w:rPr>
              <w:t>门</w:t>
            </w:r>
            <w:r>
              <w:rPr>
                <w:rFonts w:hint="eastAsia" w:ascii="仿宋" w:hAnsi="仿宋" w:eastAsia="仿宋"/>
                <w:sz w:val="22"/>
                <w:szCs w:val="22"/>
              </w:rPr>
              <w:t>出具的检验检测报告，检验报告无缺页漏页，检验所投产品质量检验合格</w:t>
            </w:r>
            <w:r>
              <w:rPr>
                <w:rFonts w:hint="eastAsia" w:ascii="仿宋" w:hAnsi="仿宋" w:eastAsia="仿宋"/>
                <w:sz w:val="22"/>
                <w:szCs w:val="22"/>
                <w:lang w:eastAsia="zh-CN"/>
              </w:rPr>
              <w:t>得满分</w:t>
            </w:r>
            <w:r>
              <w:rPr>
                <w:rFonts w:hint="eastAsia" w:ascii="仿宋" w:hAnsi="仿宋" w:eastAsia="仿宋"/>
                <w:sz w:val="22"/>
                <w:szCs w:val="22"/>
              </w:rPr>
              <w:t>，根据检验报告的各项指标对比要求参数，不得提供虚假检验检测报告，少一个产品的检验检测报告扣</w:t>
            </w:r>
            <w:r>
              <w:rPr>
                <w:rFonts w:hint="eastAsia" w:ascii="仿宋" w:hAnsi="仿宋" w:eastAsia="仿宋"/>
                <w:sz w:val="22"/>
                <w:szCs w:val="22"/>
                <w:lang w:val="en-US" w:eastAsia="zh-CN"/>
              </w:rPr>
              <w:t>5</w:t>
            </w:r>
            <w:r>
              <w:rPr>
                <w:rFonts w:hint="eastAsia" w:ascii="仿宋" w:hAnsi="仿宋" w:eastAsia="仿宋"/>
                <w:sz w:val="22"/>
                <w:szCs w:val="22"/>
              </w:rPr>
              <w:t>分，扣完为止，有检验检测报告但是数据不全、不能反映所有参数的酌情扣分，总分值0-</w:t>
            </w:r>
            <w:r>
              <w:rPr>
                <w:rFonts w:hint="eastAsia" w:ascii="仿宋" w:hAnsi="仿宋" w:eastAsia="仿宋"/>
                <w:sz w:val="22"/>
                <w:szCs w:val="22"/>
                <w:lang w:val="en-US" w:eastAsia="zh-CN"/>
              </w:rPr>
              <w:t>20</w:t>
            </w:r>
            <w:r>
              <w:rPr>
                <w:rFonts w:hint="eastAsia" w:ascii="仿宋" w:hAnsi="仿宋" w:eastAsia="仿宋"/>
                <w:sz w:val="22"/>
                <w:szCs w:val="22"/>
              </w:rPr>
              <w:t>分，由评委视具体情况给分。</w:t>
            </w:r>
          </w:p>
        </w:tc>
      </w:tr>
      <w:tr>
        <w:tblPrEx>
          <w:tblCellMar>
            <w:top w:w="0" w:type="dxa"/>
            <w:left w:w="108" w:type="dxa"/>
            <w:bottom w:w="0" w:type="dxa"/>
            <w:right w:w="108" w:type="dxa"/>
          </w:tblCellMar>
        </w:tblPrEx>
        <w:trPr>
          <w:trHeight w:val="657" w:hRule="atLeast"/>
        </w:trPr>
        <w:tc>
          <w:tcPr>
            <w:tcW w:w="45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2</w:t>
            </w:r>
          </w:p>
        </w:tc>
        <w:tc>
          <w:tcPr>
            <w:tcW w:w="956" w:type="dxa"/>
            <w:vMerge w:val="restart"/>
            <w:tcBorders>
              <w:top w:val="single" w:color="auto" w:sz="4" w:space="0"/>
              <w:left w:val="nil"/>
              <w:right w:val="single" w:color="auto" w:sz="4" w:space="0"/>
            </w:tcBorders>
            <w:vAlign w:val="center"/>
          </w:tcPr>
          <w:p>
            <w:pPr>
              <w:widowControl/>
              <w:jc w:val="center"/>
              <w:rPr>
                <w:rFonts w:hint="eastAsia" w:ascii="宋体" w:hAnsi="宋体" w:cs="宋体"/>
                <w:sz w:val="18"/>
                <w:szCs w:val="18"/>
              </w:rPr>
            </w:pPr>
            <w:r>
              <w:rPr>
                <w:rFonts w:hint="eastAsia" w:ascii="宋体" w:hAnsi="宋体" w:cs="宋体"/>
                <w:sz w:val="18"/>
                <w:szCs w:val="18"/>
              </w:rPr>
              <w:t>商务部分（</w:t>
            </w:r>
            <w:r>
              <w:rPr>
                <w:rFonts w:hint="eastAsia" w:ascii="宋体" w:hAnsi="宋体" w:cs="宋体"/>
                <w:sz w:val="18"/>
                <w:szCs w:val="18"/>
                <w:lang w:val="en-US" w:eastAsia="zh-CN"/>
              </w:rPr>
              <w:t>20</w:t>
            </w:r>
            <w:r>
              <w:rPr>
                <w:rFonts w:hint="eastAsia" w:ascii="宋体" w:hAnsi="宋体" w:cs="宋体"/>
                <w:sz w:val="18"/>
                <w:szCs w:val="18"/>
              </w:rPr>
              <w:t>%）</w:t>
            </w: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kern w:val="2"/>
                <w:sz w:val="21"/>
                <w:szCs w:val="21"/>
                <w:lang w:val="en-US" w:eastAsia="zh-CN" w:bidi="ar-SA"/>
              </w:rPr>
              <w:t>供货方案</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default" w:ascii="仿宋" w:hAnsi="仿宋" w:eastAsia="仿宋" w:cs="仿宋"/>
                <w:szCs w:val="21"/>
                <w:lang w:val="en-US" w:eastAsia="zh-CN"/>
              </w:rPr>
            </w:pPr>
            <w:r>
              <w:rPr>
                <w:rFonts w:hint="eastAsia" w:ascii="仿宋" w:hAnsi="仿宋" w:eastAsia="仿宋" w:cs="仿宋"/>
                <w:kern w:val="2"/>
                <w:sz w:val="21"/>
                <w:szCs w:val="21"/>
                <w:lang w:val="en-US" w:eastAsia="zh-CN" w:bidi="ar-SA"/>
              </w:rPr>
              <w:t>0-11</w:t>
            </w:r>
          </w:p>
        </w:tc>
        <w:tc>
          <w:tcPr>
            <w:tcW w:w="6466" w:type="dxa"/>
            <w:tcBorders>
              <w:top w:val="single" w:color="auto" w:sz="4" w:space="0"/>
              <w:left w:val="nil"/>
              <w:bottom w:val="single" w:color="auto" w:sz="4" w:space="0"/>
              <w:right w:val="single" w:color="auto" w:sz="4" w:space="0"/>
            </w:tcBorders>
            <w:vAlign w:val="center"/>
          </w:tcPr>
          <w:p>
            <w:pPr>
              <w:pStyle w:val="2"/>
              <w:numPr>
                <w:ilvl w:val="0"/>
                <w:numId w:val="11"/>
              </w:numPr>
              <w:rPr>
                <w:rFonts w:hint="eastAsia" w:ascii="仿宋" w:hAnsi="仿宋" w:eastAsia="仿宋"/>
                <w:sz w:val="22"/>
                <w:szCs w:val="22"/>
              </w:rPr>
            </w:pPr>
            <w:r>
              <w:rPr>
                <w:rFonts w:hint="eastAsia" w:ascii="仿宋" w:hAnsi="仿宋" w:eastAsia="仿宋"/>
                <w:sz w:val="22"/>
                <w:szCs w:val="22"/>
              </w:rPr>
              <w:t>项目进度计划及保证措施合理、安装调试程序合理、措施得当、质量保证措施合理得4-</w:t>
            </w:r>
            <w:r>
              <w:rPr>
                <w:rFonts w:hint="eastAsia" w:ascii="仿宋" w:hAnsi="仿宋" w:eastAsia="仿宋"/>
                <w:sz w:val="22"/>
                <w:szCs w:val="22"/>
                <w:lang w:val="en-US" w:eastAsia="zh-CN"/>
              </w:rPr>
              <w:t>6</w:t>
            </w:r>
            <w:r>
              <w:rPr>
                <w:rFonts w:hint="eastAsia" w:ascii="仿宋" w:hAnsi="仿宋" w:eastAsia="仿宋"/>
                <w:sz w:val="22"/>
                <w:szCs w:val="22"/>
              </w:rPr>
              <w:t>分；项目进度计划及保证措施可行、安装调试程序可行、措施一般、质量保证措施可行得2-</w:t>
            </w:r>
            <w:r>
              <w:rPr>
                <w:rFonts w:hint="eastAsia" w:ascii="仿宋" w:hAnsi="仿宋" w:eastAsia="仿宋"/>
                <w:sz w:val="22"/>
                <w:szCs w:val="22"/>
                <w:lang w:val="en-US" w:eastAsia="zh-CN"/>
              </w:rPr>
              <w:t>4</w:t>
            </w:r>
            <w:r>
              <w:rPr>
                <w:rFonts w:hint="eastAsia" w:ascii="仿宋" w:hAnsi="仿宋" w:eastAsia="仿宋"/>
                <w:sz w:val="22"/>
                <w:szCs w:val="22"/>
              </w:rPr>
              <w:t>分；有项目进度计划及保证措施、质量保证措施等说明但明显不符合项目需求得0-</w:t>
            </w:r>
            <w:r>
              <w:rPr>
                <w:rFonts w:hint="eastAsia" w:ascii="仿宋" w:hAnsi="仿宋" w:eastAsia="仿宋"/>
                <w:sz w:val="22"/>
                <w:szCs w:val="22"/>
                <w:lang w:val="en-US" w:eastAsia="zh-CN"/>
              </w:rPr>
              <w:t>2</w:t>
            </w:r>
            <w:r>
              <w:rPr>
                <w:rFonts w:hint="eastAsia" w:ascii="仿宋" w:hAnsi="仿宋" w:eastAsia="仿宋"/>
                <w:sz w:val="22"/>
                <w:szCs w:val="22"/>
              </w:rPr>
              <w:t>分；没有计划及说明得0分。</w:t>
            </w:r>
          </w:p>
          <w:p>
            <w:pPr>
              <w:pStyle w:val="2"/>
              <w:numPr>
                <w:ilvl w:val="0"/>
                <w:numId w:val="11"/>
              </w:numPr>
              <w:rPr>
                <w:rFonts w:hint="eastAsia"/>
                <w:lang w:val="en-US" w:eastAsia="zh-CN"/>
              </w:rPr>
            </w:pPr>
            <w:r>
              <w:rPr>
                <w:rFonts w:hint="eastAsia" w:ascii="仿宋" w:hAnsi="仿宋" w:eastAsia="仿宋"/>
                <w:sz w:val="22"/>
                <w:szCs w:val="22"/>
              </w:rPr>
              <w:t>项目实施计划安排方案完善、可行，实施人员配备合理得4-</w:t>
            </w:r>
            <w:r>
              <w:rPr>
                <w:rFonts w:ascii="仿宋" w:hAnsi="仿宋" w:eastAsia="仿宋"/>
                <w:sz w:val="22"/>
                <w:szCs w:val="22"/>
              </w:rPr>
              <w:t>5</w:t>
            </w:r>
            <w:r>
              <w:rPr>
                <w:rFonts w:hint="eastAsia" w:ascii="仿宋" w:hAnsi="仿宋" w:eastAsia="仿宋"/>
                <w:sz w:val="22"/>
                <w:szCs w:val="22"/>
              </w:rPr>
              <w:t>分，计划安排方案可行，实施人员配备基本满足项目需求得</w:t>
            </w:r>
            <w:r>
              <w:rPr>
                <w:rFonts w:ascii="仿宋" w:hAnsi="仿宋" w:eastAsia="仿宋"/>
                <w:sz w:val="22"/>
                <w:szCs w:val="22"/>
              </w:rPr>
              <w:t>2</w:t>
            </w:r>
            <w:r>
              <w:rPr>
                <w:rFonts w:hint="eastAsia" w:ascii="仿宋" w:hAnsi="仿宋" w:eastAsia="仿宋"/>
                <w:sz w:val="22"/>
                <w:szCs w:val="22"/>
              </w:rPr>
              <w:t>-</w:t>
            </w:r>
            <w:r>
              <w:rPr>
                <w:rFonts w:ascii="仿宋" w:hAnsi="仿宋" w:eastAsia="仿宋"/>
                <w:sz w:val="22"/>
                <w:szCs w:val="22"/>
              </w:rPr>
              <w:t>3</w:t>
            </w:r>
            <w:r>
              <w:rPr>
                <w:rFonts w:hint="eastAsia" w:ascii="仿宋" w:hAnsi="仿宋" w:eastAsia="仿宋"/>
                <w:sz w:val="22"/>
                <w:szCs w:val="22"/>
              </w:rPr>
              <w:t>分，计划安排方案有欠缺，实施人员配备不得当0-1分不符合的得0分。</w:t>
            </w:r>
          </w:p>
        </w:tc>
      </w:tr>
      <w:tr>
        <w:tblPrEx>
          <w:tblCellMar>
            <w:top w:w="0" w:type="dxa"/>
            <w:left w:w="108" w:type="dxa"/>
            <w:bottom w:w="0" w:type="dxa"/>
            <w:right w:w="108" w:type="dxa"/>
          </w:tblCellMar>
        </w:tblPrEx>
        <w:trPr>
          <w:trHeight w:val="657"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jc w:val="center"/>
              <w:rPr>
                <w:rFonts w:hint="eastAsia"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rPr>
            </w:pPr>
            <w:r>
              <w:rPr>
                <w:rFonts w:hint="eastAsia" w:ascii="仿宋" w:hAnsi="仿宋" w:eastAsia="仿宋" w:cs="仿宋"/>
                <w:kern w:val="2"/>
                <w:sz w:val="21"/>
                <w:szCs w:val="21"/>
                <w:lang w:val="en-US" w:eastAsia="zh-CN" w:bidi="ar-SA"/>
              </w:rPr>
              <w:t>企业履约能力</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ascii="仿宋" w:hAnsi="仿宋" w:eastAsia="仿宋" w:cs="仿宋"/>
                <w:szCs w:val="21"/>
              </w:rPr>
            </w:pPr>
            <w:r>
              <w:rPr>
                <w:rFonts w:hint="eastAsia" w:ascii="仿宋" w:hAnsi="仿宋" w:eastAsia="仿宋" w:cs="仿宋"/>
                <w:kern w:val="2"/>
                <w:sz w:val="21"/>
                <w:szCs w:val="21"/>
                <w:lang w:val="en-US" w:eastAsia="zh-CN" w:bidi="ar-SA"/>
              </w:rPr>
              <w:t>0-6</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ascii="仿宋" w:hAnsi="仿宋" w:eastAsia="仿宋" w:cs="仿宋"/>
                <w:szCs w:val="21"/>
              </w:rPr>
            </w:pPr>
            <w:r>
              <w:rPr>
                <w:rFonts w:hint="eastAsia" w:ascii="仿宋" w:hAnsi="仿宋" w:eastAsia="仿宋" w:cs="仿宋"/>
                <w:kern w:val="2"/>
                <w:sz w:val="21"/>
                <w:szCs w:val="21"/>
                <w:lang w:val="en-US" w:eastAsia="zh-CN" w:bidi="ar-SA"/>
              </w:rPr>
              <w:t>投标单位自行提供近年类似项目的类似业绩及相关证明材料，不提供资料的不给分，各个投标单位之间横向比较，分值0-6分。</w:t>
            </w:r>
          </w:p>
        </w:tc>
      </w:tr>
      <w:tr>
        <w:tblPrEx>
          <w:tblCellMar>
            <w:top w:w="0" w:type="dxa"/>
            <w:left w:w="108" w:type="dxa"/>
            <w:bottom w:w="0" w:type="dxa"/>
            <w:right w:w="108" w:type="dxa"/>
          </w:tblCellMar>
        </w:tblPrEx>
        <w:trPr>
          <w:trHeight w:val="981"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rPr>
                <w:rFonts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财务状况</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1.如会计师事务所出具的上一年度财务审计报告或银行出具的说明投标人商业信誉或结算情况等事项的证明文件；招标采购单位保留审核原件的权利。</w:t>
            </w:r>
          </w:p>
          <w:p>
            <w:pPr>
              <w:numPr>
                <w:ilvl w:val="0"/>
                <w:numId w:val="0"/>
              </w:num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2.银行出具的证明文件应能说明该投标人与银行之间业务往来正常，证明企业信誉良好的企业征信报告或其他获得专家评委认定后认可有效的资料均可。</w:t>
            </w:r>
          </w:p>
          <w:p>
            <w:pPr>
              <w:numPr>
                <w:ilvl w:val="0"/>
                <w:numId w:val="0"/>
              </w:numPr>
              <w:snapToGrid w:val="0"/>
              <w:ind w:left="0" w:leftChars="0" w:firstLine="0" w:firstLineChars="0"/>
              <w:jc w:val="left"/>
            </w:pPr>
            <w:r>
              <w:rPr>
                <w:rFonts w:hint="eastAsia" w:ascii="仿宋" w:hAnsi="仿宋" w:eastAsia="仿宋" w:cs="仿宋"/>
                <w:b/>
                <w:bCs/>
                <w:kern w:val="2"/>
                <w:sz w:val="21"/>
                <w:szCs w:val="21"/>
                <w:lang w:val="en-US" w:eastAsia="zh-CN" w:bidi="ar-SA"/>
              </w:rPr>
              <w:t>备注：以上两者提供其一即可，请提供相关的证明文件复印件装订在标书中，不装订在投标文件中的视为不提供，不予赋分，不接受现场提供。</w:t>
            </w:r>
          </w:p>
        </w:tc>
      </w:tr>
      <w:tr>
        <w:tblPrEx>
          <w:tblCellMar>
            <w:top w:w="0" w:type="dxa"/>
            <w:left w:w="108" w:type="dxa"/>
            <w:bottom w:w="0" w:type="dxa"/>
            <w:right w:w="108" w:type="dxa"/>
          </w:tblCellMar>
        </w:tblPrEx>
        <w:trPr>
          <w:trHeight w:val="981"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rPr>
                <w:rFonts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rPr>
            </w:pPr>
            <w:r>
              <w:rPr>
                <w:rFonts w:hint="eastAsia" w:ascii="仿宋" w:hAnsi="仿宋" w:eastAsia="仿宋" w:cs="仿宋"/>
                <w:kern w:val="2"/>
                <w:sz w:val="21"/>
                <w:szCs w:val="21"/>
                <w:lang w:val="en-US" w:eastAsia="zh-CN" w:bidi="ar-SA"/>
              </w:rPr>
              <w:t>标函质量</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lang w:eastAsia="zh-CN"/>
              </w:rPr>
            </w:pPr>
            <w:r>
              <w:rPr>
                <w:rFonts w:hint="eastAsia" w:ascii="仿宋" w:hAnsi="仿宋" w:eastAsia="仿宋" w:cs="仿宋"/>
                <w:kern w:val="2"/>
                <w:sz w:val="21"/>
                <w:szCs w:val="21"/>
                <w:lang w:val="en-US" w:eastAsia="zh-CN" w:bidi="ar-SA"/>
              </w:rPr>
              <w:t>0-2</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pPr>
            <w:r>
              <w:rPr>
                <w:rFonts w:hint="eastAsia" w:ascii="仿宋" w:hAnsi="仿宋" w:eastAsia="仿宋" w:cs="仿宋"/>
                <w:kern w:val="2"/>
                <w:sz w:val="21"/>
                <w:szCs w:val="21"/>
                <w:lang w:val="en-US" w:eastAsia="zh-CN" w:bidi="ar-SA"/>
              </w:rPr>
              <w:t>根据投标文件标函编制内容完整、齐全、叙述严谨；投标文件无涂改、错页、漏页现象；投标文件内容不得重复性、反复性出现资料，具体由评委视具体情况给分，分值0-2分。</w:t>
            </w:r>
          </w:p>
        </w:tc>
      </w:tr>
    </w:tbl>
    <w:p>
      <w:pPr>
        <w:spacing w:line="360" w:lineRule="auto"/>
        <w:rPr>
          <w:rFonts w:hint="eastAsia" w:ascii="宋体" w:hAnsi="宋体"/>
          <w:szCs w:val="21"/>
          <w:highlight w:val="yellow"/>
        </w:rPr>
      </w:pPr>
    </w:p>
    <w:p>
      <w:pPr>
        <w:pStyle w:val="2"/>
        <w:rPr>
          <w:rFonts w:hint="eastAsia"/>
        </w:rPr>
      </w:pPr>
    </w:p>
    <w:p>
      <w:pPr>
        <w:spacing w:line="360" w:lineRule="auto"/>
        <w:rPr>
          <w:rFonts w:hint="eastAsia"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、投标单位应在认真理解本招标文件和项目有关情况后，做出需自己 负责的按上述内容对投标人进行评审。</w:t>
      </w:r>
    </w:p>
    <w:p>
      <w:pPr>
        <w:spacing w:line="360" w:lineRule="auto"/>
        <w:ind w:firstLine="420" w:firstLineChars="200"/>
        <w:rPr>
          <w:rFonts w:hint="eastAsia" w:ascii="宋体" w:hAnsi="宋体"/>
          <w:szCs w:val="21"/>
        </w:rPr>
      </w:pPr>
      <w:r>
        <w:rPr>
          <w:rFonts w:hint="eastAsia" w:ascii="宋体" w:hAnsi="宋体"/>
          <w:szCs w:val="21"/>
        </w:rPr>
        <w:t>2、技术、商务部分权重</w:t>
      </w:r>
      <w:r>
        <w:rPr>
          <w:rFonts w:hint="eastAsia" w:ascii="宋体" w:hAnsi="宋体"/>
          <w:szCs w:val="21"/>
          <w:lang w:val="en-US" w:eastAsia="zh-CN"/>
        </w:rPr>
        <w:t>4</w:t>
      </w:r>
      <w:r>
        <w:rPr>
          <w:rFonts w:ascii="宋体" w:hAnsi="宋体"/>
          <w:szCs w:val="21"/>
        </w:rPr>
        <w:t>0%</w:t>
      </w:r>
      <w:r>
        <w:rPr>
          <w:rFonts w:hint="eastAsia" w:ascii="宋体" w:hAnsi="宋体"/>
          <w:szCs w:val="21"/>
        </w:rPr>
        <w:t>；投标投标报价部分权重</w:t>
      </w:r>
      <w:r>
        <w:rPr>
          <w:rFonts w:hint="eastAsia" w:ascii="宋体" w:hAnsi="宋体"/>
          <w:szCs w:val="21"/>
          <w:lang w:val="en-US" w:eastAsia="zh-CN"/>
        </w:rPr>
        <w:t>60</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3、投标人最终得分等于技术、商务部分、报价二者得分之和。</w:t>
      </w:r>
    </w:p>
    <w:p>
      <w:pPr>
        <w:tabs>
          <w:tab w:val="left" w:pos="420"/>
        </w:tabs>
        <w:spacing w:line="360" w:lineRule="auto"/>
        <w:ind w:firstLine="420" w:firstLineChars="200"/>
        <w:rPr>
          <w:rFonts w:hint="eastAsia" w:ascii="仿宋" w:hAnsi="仿宋" w:eastAsia="仿宋" w:cs="宋体"/>
          <w:b/>
          <w:bCs/>
          <w:kern w:val="0"/>
          <w:sz w:val="32"/>
          <w:szCs w:val="32"/>
        </w:rPr>
      </w:pPr>
      <w:r>
        <w:rPr>
          <w:rFonts w:hint="eastAsia" w:ascii="宋体" w:hAnsi="宋体"/>
          <w:szCs w:val="21"/>
        </w:rPr>
        <w:t>4、评标委员会按照投标人最终得分由高到底顺序确定出各投标人排名顺序。</w:t>
      </w:r>
    </w:p>
    <w:p>
      <w:pPr>
        <w:spacing w:line="240" w:lineRule="atLeast"/>
        <w:ind w:left="1080" w:leftChars="257" w:hanging="540"/>
        <w:jc w:val="center"/>
        <w:rPr>
          <w:rFonts w:hint="eastAsia" w:ascii="仿宋_GB2312" w:eastAsia="仿宋_GB2312"/>
        </w:rPr>
      </w:pPr>
    </w:p>
    <w:p>
      <w:pPr>
        <w:pStyle w:val="2"/>
        <w:rPr>
          <w:rFonts w:hint="eastAsia" w:ascii="仿宋_GB2312" w:eastAsia="仿宋_GB2312"/>
          <w:b/>
          <w:sz w:val="52"/>
          <w:szCs w:val="52"/>
        </w:rPr>
      </w:pPr>
    </w:p>
    <w:p>
      <w:pPr>
        <w:pStyle w:val="2"/>
        <w:rPr>
          <w:rFonts w:hint="eastAsia" w:ascii="仿宋_GB2312" w:eastAsia="仿宋_GB2312"/>
          <w:b/>
          <w:sz w:val="52"/>
          <w:szCs w:val="52"/>
        </w:rPr>
      </w:pPr>
    </w:p>
    <w:p>
      <w:pPr>
        <w:pStyle w:val="2"/>
        <w:rPr>
          <w:rFonts w:hint="eastAsia" w:ascii="仿宋_GB2312" w:eastAsia="仿宋_GB2312"/>
          <w:b/>
          <w:sz w:val="52"/>
          <w:szCs w:val="52"/>
        </w:rPr>
      </w:pPr>
    </w:p>
    <w:p>
      <w:pPr>
        <w:spacing w:line="240" w:lineRule="atLeast"/>
        <w:jc w:val="center"/>
        <w:rPr>
          <w:rFonts w:hint="eastAsia" w:ascii="华文中宋" w:hAnsi="华文中宋" w:eastAsia="华文中宋" w:cs="华文中宋"/>
          <w:bCs/>
          <w:sz w:val="52"/>
          <w:szCs w:val="52"/>
          <w:lang w:val="en-US" w:eastAsia="zh-CN"/>
        </w:rPr>
      </w:pPr>
    </w:p>
    <w:p>
      <w:pPr>
        <w:pStyle w:val="2"/>
        <w:rPr>
          <w:rFonts w:hint="eastAsia" w:ascii="华文中宋" w:hAnsi="华文中宋" w:eastAsia="华文中宋" w:cs="华文中宋"/>
          <w:bCs/>
          <w:sz w:val="52"/>
          <w:szCs w:val="52"/>
          <w:lang w:val="en-US" w:eastAsia="zh-CN"/>
        </w:rPr>
      </w:pPr>
    </w:p>
    <w:p>
      <w:pPr>
        <w:pStyle w:val="2"/>
        <w:rPr>
          <w:rFonts w:hint="eastAsia" w:ascii="华文中宋" w:hAnsi="华文中宋" w:eastAsia="华文中宋" w:cs="华文中宋"/>
          <w:bCs/>
          <w:sz w:val="52"/>
          <w:szCs w:val="52"/>
          <w:lang w:val="en-US" w:eastAsia="zh-CN"/>
        </w:rPr>
      </w:pPr>
    </w:p>
    <w:p>
      <w:pPr>
        <w:pStyle w:val="2"/>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val="en-US" w:eastAsia="zh-CN"/>
        </w:rPr>
        <w:t>巴楚县卫生健康委员会核酸、检测试剂、防护物资采购项目招标文件</w:t>
      </w: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spacing w:line="240" w:lineRule="atLeast"/>
        <w:jc w:val="center"/>
        <w:rPr>
          <w:rFonts w:hint="eastAsia"/>
          <w:b/>
          <w:bCs/>
          <w:kern w:val="0"/>
          <w:sz w:val="32"/>
          <w:szCs w:val="32"/>
          <w:shd w:val="clear" w:color="auto" w:fill="FFFFFF"/>
        </w:rPr>
      </w:pPr>
      <w:r>
        <w:rPr>
          <w:rFonts w:hint="eastAsia"/>
          <w:b/>
          <w:bCs/>
          <w:kern w:val="0"/>
          <w:sz w:val="32"/>
          <w:szCs w:val="32"/>
          <w:shd w:val="clear" w:color="auto" w:fill="FFFFFF"/>
        </w:rPr>
        <w:t>项目编号：KSBCX(GK)202</w:t>
      </w:r>
      <w:r>
        <w:rPr>
          <w:rFonts w:hint="eastAsia"/>
          <w:b/>
          <w:bCs/>
          <w:kern w:val="0"/>
          <w:sz w:val="32"/>
          <w:szCs w:val="32"/>
          <w:shd w:val="clear" w:color="auto" w:fill="FFFFFF"/>
          <w:lang w:val="en-US" w:eastAsia="zh-CN"/>
        </w:rPr>
        <w:t>1</w:t>
      </w:r>
      <w:r>
        <w:rPr>
          <w:rFonts w:hint="eastAsia"/>
          <w:b/>
          <w:bCs/>
          <w:kern w:val="0"/>
          <w:sz w:val="32"/>
          <w:szCs w:val="32"/>
          <w:shd w:val="clear" w:color="auto" w:fill="FFFFFF"/>
        </w:rPr>
        <w:t>-</w:t>
      </w:r>
      <w:r>
        <w:rPr>
          <w:rFonts w:hint="eastAsia"/>
          <w:b/>
          <w:bCs/>
          <w:kern w:val="0"/>
          <w:sz w:val="32"/>
          <w:szCs w:val="32"/>
          <w:shd w:val="clear" w:color="auto" w:fill="FFFFFF"/>
          <w:lang w:val="en-US" w:eastAsia="zh-CN"/>
        </w:rPr>
        <w:t>32</w:t>
      </w:r>
      <w:r>
        <w:rPr>
          <w:rFonts w:hint="eastAsia"/>
          <w:b/>
          <w:bCs/>
          <w:kern w:val="0"/>
          <w:sz w:val="32"/>
          <w:szCs w:val="32"/>
          <w:shd w:val="clear" w:color="auto" w:fill="FFFFFF"/>
        </w:rPr>
        <w:t>号</w:t>
      </w: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hint="eastAsia" w:ascii="仿宋_GB2312" w:eastAsia="仿宋_GB2312"/>
          <w:b/>
          <w:sz w:val="32"/>
          <w:szCs w:val="32"/>
        </w:rPr>
      </w:pPr>
      <w:r>
        <w:rPr>
          <w:rFonts w:hint="eastAsia" w:ascii="仿宋_GB2312" w:eastAsia="仿宋_GB2312"/>
          <w:b/>
          <w:sz w:val="32"/>
          <w:szCs w:val="32"/>
        </w:rPr>
        <w:t xml:space="preserve">        </w:t>
      </w: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pStyle w:val="2"/>
        <w:rPr>
          <w:rFonts w:hint="eastAsia"/>
        </w:rPr>
      </w:pPr>
      <w:bookmarkStart w:id="404" w:name="_Toc515647833"/>
      <w:bookmarkStart w:id="405" w:name="_Toc4337"/>
      <w:bookmarkStart w:id="406" w:name="_Toc4796"/>
      <w:bookmarkStart w:id="407" w:name="_Toc6865"/>
    </w:p>
    <w:p>
      <w:pPr>
        <w:pStyle w:val="3"/>
        <w:tabs>
          <w:tab w:val="left" w:pos="0"/>
        </w:tabs>
        <w:spacing w:before="0" w:after="0" w:line="240" w:lineRule="atLeast"/>
        <w:jc w:val="both"/>
        <w:rPr>
          <w:rFonts w:hint="eastAsia" w:ascii="仿宋_GB2312" w:eastAsia="仿宋_GB2312"/>
        </w:rPr>
      </w:pPr>
    </w:p>
    <w:p>
      <w:pPr>
        <w:rPr>
          <w:rFonts w:hint="eastAsia" w:ascii="仿宋_GB2312" w:eastAsia="仿宋_GB2312"/>
        </w:rPr>
      </w:pPr>
    </w:p>
    <w:p>
      <w:pPr>
        <w:pStyle w:val="2"/>
        <w:rPr>
          <w:rFonts w:hint="eastAsia"/>
        </w:rPr>
      </w:pPr>
    </w:p>
    <w:p>
      <w:pPr>
        <w:pStyle w:val="3"/>
        <w:tabs>
          <w:tab w:val="left" w:pos="0"/>
        </w:tabs>
        <w:spacing w:before="0" w:after="0" w:line="240" w:lineRule="atLeast"/>
        <w:rPr>
          <w:rFonts w:hint="eastAsia" w:ascii="仿宋_GB2312" w:eastAsia="仿宋_GB2312"/>
        </w:rPr>
      </w:pPr>
      <w:r>
        <w:rPr>
          <w:rFonts w:hint="eastAsia" w:ascii="仿宋_GB2312" w:eastAsia="仿宋_GB2312"/>
        </w:rPr>
        <w:t>第七章政府采购合同</w:t>
      </w:r>
      <w:bookmarkEnd w:id="397"/>
      <w:bookmarkEnd w:id="404"/>
      <w:bookmarkEnd w:id="405"/>
      <w:bookmarkEnd w:id="406"/>
      <w:bookmarkEnd w:id="407"/>
      <w:bookmarkStart w:id="408" w:name="_Hlt487972895"/>
      <w:bookmarkEnd w:id="408"/>
      <w:bookmarkStart w:id="409" w:name="_Toc216513788"/>
      <w:bookmarkStart w:id="410" w:name="_Toc487900382"/>
    </w:p>
    <w:bookmarkEnd w:id="409"/>
    <w:bookmarkEnd w:id="410"/>
    <w:p>
      <w:pPr>
        <w:spacing w:line="240" w:lineRule="atLeast"/>
        <w:rPr>
          <w:rFonts w:hint="eastAsia" w:ascii="仿宋_GB2312" w:eastAsia="仿宋_GB2312"/>
          <w:b/>
          <w:kern w:val="44"/>
          <w:sz w:val="32"/>
          <w:szCs w:val="20"/>
        </w:rPr>
      </w:pPr>
    </w:p>
    <w:p>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请参照货物类政府采购合同参考范本订立采购合同。</w:t>
      </w:r>
    </w:p>
    <w:p>
      <w:pPr>
        <w:spacing w:line="240" w:lineRule="atLeast"/>
      </w:pP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pPr>
        <w:spacing w:line="480" w:lineRule="auto"/>
        <w:jc w:val="center"/>
        <w:rPr>
          <w:rFonts w:ascii="楷体" w:hAnsi="楷体" w:eastAsia="楷体"/>
          <w:b/>
          <w:sz w:val="24"/>
        </w:rPr>
      </w:pPr>
      <w:r>
        <w:rPr>
          <w:rFonts w:hint="eastAsia" w:ascii="楷体" w:hAnsi="楷体" w:eastAsia="楷体"/>
          <w:b/>
          <w:sz w:val="24"/>
        </w:rPr>
        <w:t>（货物类）</w:t>
      </w:r>
    </w:p>
    <w:p>
      <w:pPr>
        <w:pStyle w:val="19"/>
        <w:ind w:firstLine="0"/>
        <w:rPr>
          <w:rFonts w:ascii="楷体" w:hAnsi="楷体" w:eastAsia="楷体"/>
          <w:szCs w:val="24"/>
        </w:rPr>
      </w:pPr>
    </w:p>
    <w:p>
      <w:pPr>
        <w:pStyle w:val="19"/>
        <w:ind w:firstLine="0"/>
        <w:rPr>
          <w:rFonts w:ascii="楷体" w:hAnsi="楷体" w:eastAsia="楷体"/>
          <w:szCs w:val="24"/>
        </w:rPr>
      </w:pPr>
    </w:p>
    <w:p>
      <w:pPr>
        <w:pStyle w:val="19"/>
        <w:ind w:firstLine="0"/>
        <w:rPr>
          <w:rFonts w:ascii="楷体" w:hAnsi="楷体" w:eastAsia="楷体"/>
          <w:szCs w:val="24"/>
        </w:rPr>
      </w:pPr>
    </w:p>
    <w:p>
      <w:pPr>
        <w:pStyle w:val="19"/>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pPr>
        <w:pStyle w:val="19"/>
        <w:ind w:firstLine="0"/>
        <w:rPr>
          <w:rFonts w:ascii="楷体" w:hAnsi="楷体" w:eastAsia="楷体"/>
          <w:szCs w:val="24"/>
        </w:rPr>
      </w:pPr>
    </w:p>
    <w:p>
      <w:pPr>
        <w:pStyle w:val="19"/>
        <w:ind w:firstLine="0"/>
        <w:rPr>
          <w:rFonts w:ascii="楷体" w:hAnsi="楷体" w:eastAsia="楷体"/>
          <w:szCs w:val="24"/>
        </w:rPr>
      </w:pPr>
    </w:p>
    <w:p>
      <w:pPr>
        <w:spacing w:before="120" w:line="22" w:lineRule="atLeast"/>
        <w:rPr>
          <w:rFonts w:ascii="楷体" w:hAnsi="楷体" w:eastAsia="楷体"/>
          <w:sz w:val="24"/>
        </w:rPr>
      </w:pPr>
    </w:p>
    <w:p>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pPr>
        <w:pStyle w:val="20"/>
        <w:spacing w:before="120" w:line="22" w:lineRule="atLeast"/>
        <w:rPr>
          <w:rFonts w:ascii="楷体" w:hAnsi="楷体" w:eastAsia="楷体"/>
          <w:szCs w:val="24"/>
        </w:rPr>
      </w:pPr>
    </w:p>
    <w:p>
      <w:pPr>
        <w:pStyle w:val="20"/>
        <w:spacing w:before="120" w:line="22" w:lineRule="atLeast"/>
        <w:rPr>
          <w:rFonts w:ascii="楷体" w:hAnsi="楷体" w:eastAsia="楷体"/>
          <w:szCs w:val="24"/>
        </w:rPr>
      </w:pPr>
    </w:p>
    <w:p/>
    <w:p>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pPr>
        <w:autoSpaceDE w:val="0"/>
        <w:autoSpaceDN w:val="0"/>
        <w:adjustRightInd w:val="0"/>
        <w:spacing w:line="600" w:lineRule="exact"/>
        <w:ind w:firstLine="640"/>
        <w:jc w:val="center"/>
        <w:rPr>
          <w:rFonts w:ascii="宋体"/>
          <w:sz w:val="24"/>
        </w:rPr>
        <w:sectPr>
          <w:headerReference r:id="rId10" w:type="default"/>
          <w:footerReference r:id="rId11" w:type="default"/>
          <w:pgSz w:w="11907" w:h="16840"/>
          <w:pgMar w:top="1474" w:right="1134" w:bottom="1474" w:left="1134" w:header="851" w:footer="851" w:gutter="0"/>
          <w:cols w:space="720" w:num="1"/>
          <w:docGrid w:linePitch="462" w:charSpace="0"/>
        </w:sectPr>
      </w:pPr>
    </w:p>
    <w:p>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hint="eastAsia" w:ascii="楷体" w:hAnsi="楷体" w:eastAsia="楷体"/>
          <w:sz w:val="24"/>
        </w:rPr>
        <w:t>为该项目中标供应商。现于中标通知书发出之日起三十日内，按照采购文件确定的事项签订本合同。</w:t>
      </w:r>
    </w:p>
    <w:p>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pPr>
        <w:spacing w:line="560" w:lineRule="exact"/>
        <w:ind w:firstLine="482" w:firstLineChars="200"/>
        <w:outlineLvl w:val="0"/>
        <w:rPr>
          <w:rFonts w:ascii="楷体" w:hAnsi="楷体" w:eastAsia="楷体"/>
          <w:b/>
          <w:sz w:val="24"/>
        </w:rPr>
      </w:pPr>
      <w:bookmarkStart w:id="411" w:name="_Toc24059"/>
      <w:bookmarkStart w:id="412" w:name="_Toc2232"/>
      <w:bookmarkStart w:id="413" w:name="_Toc3029"/>
      <w:r>
        <w:rPr>
          <w:rFonts w:ascii="楷体" w:hAnsi="楷体" w:eastAsia="楷体"/>
          <w:b/>
          <w:sz w:val="24"/>
        </w:rPr>
        <w:t xml:space="preserve">1.1 </w:t>
      </w:r>
      <w:r>
        <w:rPr>
          <w:rFonts w:hint="eastAsia" w:ascii="楷体" w:hAnsi="楷体" w:eastAsia="楷体"/>
          <w:b/>
          <w:sz w:val="24"/>
        </w:rPr>
        <w:t>合同组成部分</w:t>
      </w:r>
      <w:bookmarkEnd w:id="411"/>
      <w:bookmarkEnd w:id="412"/>
      <w:bookmarkEnd w:id="413"/>
    </w:p>
    <w:p>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pPr>
        <w:spacing w:line="560" w:lineRule="exact"/>
        <w:ind w:firstLine="482" w:firstLineChars="200"/>
        <w:outlineLvl w:val="0"/>
        <w:rPr>
          <w:rFonts w:ascii="楷体" w:hAnsi="楷体" w:eastAsia="楷体"/>
          <w:b/>
          <w:sz w:val="24"/>
        </w:rPr>
      </w:pPr>
      <w:bookmarkStart w:id="414" w:name="_Toc24300"/>
      <w:bookmarkStart w:id="415" w:name="_Toc27126"/>
      <w:bookmarkStart w:id="416" w:name="_Toc21295"/>
      <w:r>
        <w:rPr>
          <w:rFonts w:ascii="楷体" w:hAnsi="楷体" w:eastAsia="楷体"/>
          <w:b/>
          <w:sz w:val="24"/>
        </w:rPr>
        <w:t xml:space="preserve">1.2 </w:t>
      </w:r>
      <w:r>
        <w:rPr>
          <w:rFonts w:hint="eastAsia" w:ascii="楷体" w:hAnsi="楷体" w:eastAsia="楷体"/>
          <w:b/>
          <w:sz w:val="24"/>
        </w:rPr>
        <w:t>货物</w:t>
      </w:r>
      <w:bookmarkEnd w:id="414"/>
      <w:bookmarkEnd w:id="415"/>
      <w:bookmarkEnd w:id="416"/>
    </w:p>
    <w:p>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货物名称：</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货物数量：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货物质量：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17" w:name="_Toc21551"/>
      <w:bookmarkStart w:id="418" w:name="_Toc23292"/>
      <w:bookmarkStart w:id="419" w:name="_Toc21631"/>
      <w:r>
        <w:rPr>
          <w:rFonts w:ascii="楷体" w:hAnsi="楷体" w:eastAsia="楷体"/>
          <w:b/>
          <w:sz w:val="24"/>
        </w:rPr>
        <w:t xml:space="preserve">1.3 </w:t>
      </w:r>
      <w:r>
        <w:rPr>
          <w:rFonts w:hint="eastAsia" w:ascii="楷体" w:hAnsi="楷体" w:eastAsia="楷体"/>
          <w:b/>
          <w:sz w:val="24"/>
        </w:rPr>
        <w:t>价款</w:t>
      </w:r>
      <w:bookmarkEnd w:id="417"/>
      <w:bookmarkEnd w:id="418"/>
      <w:bookmarkEnd w:id="419"/>
    </w:p>
    <w:p>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jc w:val="center"/>
              <w:rPr>
                <w:rFonts w:ascii="楷体" w:hAnsi="楷体" w:eastAsia="楷体"/>
                <w:kern w:val="2"/>
                <w:sz w:val="24"/>
                <w:szCs w:val="24"/>
              </w:rPr>
            </w:pPr>
            <w:r>
              <w:rPr>
                <w:rFonts w:hint="eastAsia" w:ascii="楷体" w:hAnsi="楷体" w:eastAsia="楷体"/>
                <w:kern w:val="2"/>
                <w:sz w:val="24"/>
                <w:szCs w:val="24"/>
              </w:rPr>
              <w:t>序号</w:t>
            </w:r>
          </w:p>
        </w:tc>
        <w:tc>
          <w:tcPr>
            <w:tcW w:w="3402" w:type="dxa"/>
            <w:vAlign w:val="center"/>
          </w:tcPr>
          <w:p>
            <w:pPr>
              <w:pStyle w:val="21"/>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分项名称</w:t>
            </w:r>
          </w:p>
        </w:tc>
        <w:tc>
          <w:tcPr>
            <w:tcW w:w="2552" w:type="dxa"/>
            <w:vAlign w:val="center"/>
          </w:tcPr>
          <w:p>
            <w:pPr>
              <w:pStyle w:val="21"/>
              <w:spacing w:line="560" w:lineRule="exact"/>
              <w:jc w:val="center"/>
              <w:rPr>
                <w:rFonts w:ascii="楷体" w:hAnsi="楷体" w:eastAsia="楷体"/>
                <w:kern w:val="2"/>
                <w:sz w:val="24"/>
                <w:szCs w:val="24"/>
              </w:rPr>
            </w:pPr>
            <w:r>
              <w:rPr>
                <w:rFonts w:hint="eastAsia" w:ascii="楷体" w:hAnsi="楷体" w:eastAsia="楷体"/>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1"/>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总价</w:t>
            </w:r>
          </w:p>
        </w:tc>
        <w:tc>
          <w:tcPr>
            <w:tcW w:w="2552" w:type="dxa"/>
            <w:vAlign w:val="center"/>
          </w:tcPr>
          <w:p>
            <w:pPr>
              <w:pStyle w:val="21"/>
              <w:spacing w:line="560" w:lineRule="exact"/>
              <w:ind w:firstLine="200"/>
              <w:jc w:val="center"/>
              <w:rPr>
                <w:rFonts w:ascii="楷体" w:hAnsi="楷体" w:eastAsia="楷体"/>
                <w:kern w:val="2"/>
                <w:sz w:val="24"/>
                <w:szCs w:val="24"/>
              </w:rPr>
            </w:pPr>
          </w:p>
        </w:tc>
      </w:tr>
    </w:tbl>
    <w:p>
      <w:pPr>
        <w:spacing w:line="560" w:lineRule="exact"/>
        <w:ind w:firstLine="482" w:firstLineChars="200"/>
        <w:outlineLvl w:val="0"/>
        <w:rPr>
          <w:rFonts w:ascii="楷体" w:hAnsi="楷体" w:eastAsia="楷体"/>
          <w:b/>
          <w:sz w:val="24"/>
        </w:rPr>
      </w:pPr>
      <w:bookmarkStart w:id="420" w:name="_Toc10340"/>
      <w:bookmarkStart w:id="421" w:name="_Toc22618"/>
      <w:bookmarkStart w:id="422" w:name="_Toc1814"/>
      <w:r>
        <w:rPr>
          <w:rFonts w:ascii="楷体" w:hAnsi="楷体" w:eastAsia="楷体"/>
          <w:b/>
          <w:sz w:val="24"/>
        </w:rPr>
        <w:t xml:space="preserve">1.4 </w:t>
      </w:r>
      <w:r>
        <w:rPr>
          <w:rFonts w:hint="eastAsia" w:ascii="楷体" w:hAnsi="楷体" w:eastAsia="楷体"/>
          <w:b/>
          <w:sz w:val="24"/>
        </w:rPr>
        <w:t>付款方式和发票开具方式</w:t>
      </w:r>
      <w:bookmarkEnd w:id="420"/>
      <w:bookmarkEnd w:id="421"/>
      <w:bookmarkEnd w:id="422"/>
    </w:p>
    <w:p>
      <w:pPr>
        <w:spacing w:line="560" w:lineRule="exact"/>
        <w:ind w:firstLine="480" w:firstLineChars="200"/>
        <w:rPr>
          <w:rFonts w:ascii="楷体" w:hAnsi="楷体" w:eastAsia="楷体"/>
          <w:sz w:val="24"/>
        </w:rPr>
      </w:pPr>
      <w:r>
        <w:rPr>
          <w:rFonts w:ascii="楷体" w:hAnsi="楷体" w:eastAsia="楷体"/>
          <w:sz w:val="24"/>
        </w:rPr>
        <w:t xml:space="preserve">1.4.1 </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23" w:name="_Toc32071"/>
      <w:bookmarkStart w:id="424" w:name="_Toc2846"/>
      <w:bookmarkStart w:id="425" w:name="_Toc19304"/>
      <w:r>
        <w:rPr>
          <w:rFonts w:ascii="楷体" w:hAnsi="楷体" w:eastAsia="楷体"/>
          <w:b/>
          <w:sz w:val="24"/>
        </w:rPr>
        <w:t xml:space="preserve">1.5 </w:t>
      </w:r>
      <w:r>
        <w:rPr>
          <w:rFonts w:hint="eastAsia" w:ascii="楷体" w:hAnsi="楷体" w:eastAsia="楷体"/>
          <w:b/>
          <w:sz w:val="24"/>
        </w:rPr>
        <w:t>货物交付期限、地点和方式</w:t>
      </w:r>
      <w:bookmarkEnd w:id="423"/>
      <w:bookmarkEnd w:id="424"/>
      <w:bookmarkEnd w:id="425"/>
    </w:p>
    <w:p>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交付期限：</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交付地点：</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交付方式：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26" w:name="_Toc21423"/>
      <w:bookmarkStart w:id="427" w:name="_Toc19554"/>
      <w:bookmarkStart w:id="428" w:name="_Toc27250"/>
      <w:r>
        <w:rPr>
          <w:rFonts w:ascii="楷体" w:hAnsi="楷体" w:eastAsia="楷体"/>
          <w:b/>
          <w:sz w:val="24"/>
        </w:rPr>
        <w:t xml:space="preserve">1.6 </w:t>
      </w:r>
      <w:r>
        <w:rPr>
          <w:rFonts w:hint="eastAsia" w:ascii="楷体" w:hAnsi="楷体" w:eastAsia="楷体"/>
          <w:b/>
          <w:sz w:val="24"/>
        </w:rPr>
        <w:t>违约责任</w:t>
      </w:r>
      <w:bookmarkEnd w:id="426"/>
      <w:bookmarkEnd w:id="427"/>
      <w:bookmarkEnd w:id="428"/>
    </w:p>
    <w:p>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sz w:val="24"/>
        </w:rPr>
      </w:pPr>
      <w:bookmarkStart w:id="429" w:name="_Toc28375"/>
      <w:bookmarkStart w:id="430" w:name="_Toc15583"/>
      <w:bookmarkStart w:id="431" w:name="_Toc16021"/>
      <w:r>
        <w:rPr>
          <w:rFonts w:ascii="楷体" w:hAnsi="楷体" w:eastAsia="楷体"/>
          <w:b/>
          <w:sz w:val="24"/>
        </w:rPr>
        <w:t xml:space="preserve">1.7 </w:t>
      </w:r>
      <w:r>
        <w:rPr>
          <w:rFonts w:hint="eastAsia" w:ascii="楷体" w:hAnsi="楷体" w:eastAsia="楷体"/>
          <w:b/>
          <w:sz w:val="24"/>
        </w:rPr>
        <w:t>合同争议的解决</w:t>
      </w:r>
      <w:bookmarkEnd w:id="429"/>
      <w:bookmarkEnd w:id="430"/>
      <w:bookmarkEnd w:id="431"/>
    </w:p>
    <w:p>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pPr>
        <w:spacing w:line="560" w:lineRule="exact"/>
        <w:ind w:firstLine="482" w:firstLineChars="200"/>
        <w:outlineLvl w:val="0"/>
        <w:rPr>
          <w:rFonts w:ascii="楷体" w:hAnsi="楷体" w:eastAsia="楷体"/>
          <w:b/>
          <w:sz w:val="24"/>
        </w:rPr>
      </w:pPr>
      <w:bookmarkStart w:id="432" w:name="_Toc11173"/>
      <w:bookmarkStart w:id="433" w:name="_Toc15322"/>
      <w:bookmarkStart w:id="434" w:name="_Toc7245"/>
      <w:r>
        <w:rPr>
          <w:rFonts w:ascii="楷体" w:hAnsi="楷体" w:eastAsia="楷体"/>
          <w:b/>
          <w:sz w:val="24"/>
        </w:rPr>
        <w:t xml:space="preserve">1.8 </w:t>
      </w:r>
      <w:r>
        <w:rPr>
          <w:rFonts w:hint="eastAsia" w:ascii="楷体" w:hAnsi="楷体" w:eastAsia="楷体"/>
          <w:b/>
          <w:sz w:val="24"/>
        </w:rPr>
        <w:t>合同生效</w:t>
      </w:r>
      <w:bookmarkEnd w:id="432"/>
      <w:bookmarkEnd w:id="433"/>
      <w:bookmarkEnd w:id="434"/>
    </w:p>
    <w:p>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pPr>
        <w:widowControl/>
        <w:spacing w:line="560" w:lineRule="exact"/>
        <w:jc w:val="left"/>
        <w:rPr>
          <w:rFonts w:ascii="楷体" w:hAnsi="楷体" w:eastAsia="楷体"/>
          <w:b/>
        </w:rPr>
      </w:pPr>
      <w:bookmarkStart w:id="435" w:name="_Toc331685783"/>
    </w:p>
    <w:p>
      <w:pPr>
        <w:widowControl/>
        <w:spacing w:line="560" w:lineRule="exact"/>
        <w:jc w:val="left"/>
        <w:rPr>
          <w:rFonts w:ascii="楷体" w:hAnsi="楷体" w:eastAsia="楷体"/>
          <w:b/>
        </w:rPr>
      </w:pPr>
    </w:p>
    <w:p>
      <w:pPr>
        <w:pStyle w:val="19"/>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435"/>
    </w:p>
    <w:p>
      <w:pPr>
        <w:spacing w:line="560" w:lineRule="exact"/>
        <w:ind w:firstLine="482" w:firstLineChars="200"/>
        <w:outlineLvl w:val="0"/>
        <w:rPr>
          <w:rFonts w:ascii="楷体" w:hAnsi="楷体" w:eastAsia="楷体"/>
          <w:b/>
          <w:sz w:val="24"/>
        </w:rPr>
      </w:pPr>
      <w:bookmarkStart w:id="436" w:name="_Toc19614"/>
      <w:bookmarkStart w:id="437" w:name="_Toc16917"/>
      <w:bookmarkStart w:id="438" w:name="_Ref467378463"/>
      <w:bookmarkStart w:id="439" w:name="_Toc487900349"/>
      <w:bookmarkStart w:id="440" w:name="_Ref467379101"/>
      <w:bookmarkStart w:id="441" w:name="_Ref467379109"/>
      <w:bookmarkStart w:id="442" w:name="_Ref467378404"/>
      <w:bookmarkStart w:id="443" w:name="_Ref467379225"/>
      <w:bookmarkStart w:id="444" w:name="_Toc279701240"/>
      <w:bookmarkStart w:id="445" w:name="_Toc259093669"/>
      <w:bookmarkStart w:id="446" w:name="_Ref467379214"/>
      <w:bookmarkStart w:id="447" w:name="_Ref467379195"/>
      <w:bookmarkStart w:id="448" w:name="_Ref467379094"/>
      <w:bookmarkStart w:id="449" w:name="_Ref467378499"/>
      <w:bookmarkStart w:id="450" w:name="_Ref467379205"/>
      <w:bookmarkStart w:id="451" w:name="_Toc28763"/>
      <w:r>
        <w:rPr>
          <w:rFonts w:ascii="楷体" w:hAnsi="楷体" w:eastAsia="楷体"/>
          <w:b/>
          <w:sz w:val="24"/>
        </w:rPr>
        <w:t xml:space="preserve">2.1 </w:t>
      </w:r>
      <w:r>
        <w:rPr>
          <w:rFonts w:hint="eastAsia" w:ascii="楷体" w:hAnsi="楷体" w:eastAsia="楷体"/>
          <w:b/>
          <w:sz w:val="24"/>
        </w:rPr>
        <w:t>定义</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楷体" w:hAnsi="楷体" w:eastAsia="楷体"/>
          <w:sz w:val="24"/>
        </w:rPr>
      </w:pPr>
      <w:bookmarkStart w:id="452"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452"/>
      <w:r>
        <w:rPr>
          <w:rFonts w:hint="eastAsia" w:ascii="楷体" w:hAnsi="楷体" w:eastAsia="楷体"/>
          <w:sz w:val="24"/>
        </w:rPr>
        <w:t>；采购人委托采购代理机构代表其与乙方签订合同的，采购人的授权委托书作为合同附件。</w:t>
      </w:r>
    </w:p>
    <w:p>
      <w:pPr>
        <w:spacing w:line="560" w:lineRule="exact"/>
        <w:ind w:firstLine="480" w:firstLineChars="200"/>
        <w:rPr>
          <w:rFonts w:ascii="楷体" w:hAnsi="楷体" w:eastAsia="楷体"/>
          <w:sz w:val="24"/>
        </w:rPr>
      </w:pPr>
      <w:bookmarkStart w:id="453" w:name="_Ref467379400"/>
      <w:r>
        <w:rPr>
          <w:rFonts w:ascii="楷体" w:hAnsi="楷体" w:eastAsia="楷体"/>
          <w:sz w:val="24"/>
        </w:rPr>
        <w:t xml:space="preserve">2.1.5 </w:t>
      </w:r>
      <w:r>
        <w:rPr>
          <w:rFonts w:hint="eastAsia" w:ascii="楷体" w:hAnsi="楷体" w:eastAsia="楷体"/>
          <w:sz w:val="24"/>
        </w:rPr>
        <w:t>“乙方”系指根据合同约定交付货物的中标供应商</w:t>
      </w:r>
      <w:bookmarkEnd w:id="453"/>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sz w:val="24"/>
        </w:rPr>
      </w:pPr>
      <w:bookmarkStart w:id="454" w:name="_Ref467379436"/>
      <w:r>
        <w:rPr>
          <w:rFonts w:ascii="楷体" w:hAnsi="楷体" w:eastAsia="楷体"/>
          <w:sz w:val="24"/>
        </w:rPr>
        <w:t xml:space="preserve">2.1.6 </w:t>
      </w:r>
      <w:r>
        <w:rPr>
          <w:rFonts w:hint="eastAsia" w:ascii="楷体" w:hAnsi="楷体" w:eastAsia="楷体"/>
          <w:sz w:val="24"/>
        </w:rPr>
        <w:t>“现场”系指合同约定货物将要运至或者安装的地点。</w:t>
      </w:r>
      <w:bookmarkEnd w:id="454"/>
    </w:p>
    <w:p>
      <w:pPr>
        <w:spacing w:line="560" w:lineRule="exact"/>
        <w:ind w:firstLine="482" w:firstLineChars="200"/>
        <w:outlineLvl w:val="0"/>
        <w:rPr>
          <w:rFonts w:ascii="楷体" w:hAnsi="楷体" w:eastAsia="楷体"/>
          <w:b/>
          <w:sz w:val="24"/>
        </w:rPr>
      </w:pPr>
      <w:bookmarkStart w:id="455" w:name="_Toc487900350"/>
      <w:bookmarkStart w:id="456" w:name="_Toc279701241"/>
      <w:bookmarkStart w:id="457" w:name="_Toc13336"/>
      <w:bookmarkStart w:id="458" w:name="_Toc27635"/>
      <w:bookmarkStart w:id="459" w:name="_Toc259093670"/>
      <w:bookmarkStart w:id="460" w:name="_Toc32504"/>
      <w:r>
        <w:rPr>
          <w:rFonts w:ascii="楷体" w:hAnsi="楷体" w:eastAsia="楷体"/>
          <w:b/>
          <w:sz w:val="24"/>
        </w:rPr>
        <w:t xml:space="preserve">2.2 </w:t>
      </w:r>
      <w:r>
        <w:rPr>
          <w:rFonts w:hint="eastAsia" w:ascii="楷体" w:hAnsi="楷体" w:eastAsia="楷体"/>
          <w:b/>
          <w:sz w:val="24"/>
        </w:rPr>
        <w:t>技术规范</w:t>
      </w:r>
      <w:bookmarkEnd w:id="455"/>
      <w:bookmarkEnd w:id="456"/>
      <w:bookmarkEnd w:id="457"/>
      <w:bookmarkEnd w:id="458"/>
      <w:bookmarkEnd w:id="459"/>
      <w:bookmarkEnd w:id="460"/>
    </w:p>
    <w:p>
      <w:pPr>
        <w:spacing w:line="560" w:lineRule="exact"/>
        <w:ind w:firstLine="480" w:firstLineChars="200"/>
        <w:rPr>
          <w:rFonts w:ascii="楷体" w:hAnsi="楷体" w:eastAsia="楷体"/>
          <w:sz w:val="24"/>
        </w:rPr>
      </w:pPr>
      <w:r>
        <w:rPr>
          <w:rFonts w:hint="eastAsia" w:ascii="楷体" w:hAnsi="楷体" w:eastAsia="楷体"/>
          <w:sz w:val="24"/>
        </w:rPr>
        <w:t>货物所应遵守的技术规范应与采购文件规定的技术规范和技术规范附件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pPr>
        <w:spacing w:line="560" w:lineRule="exact"/>
        <w:ind w:firstLine="482" w:firstLineChars="200"/>
        <w:outlineLvl w:val="0"/>
        <w:rPr>
          <w:rFonts w:ascii="楷体" w:hAnsi="楷体" w:eastAsia="楷体"/>
          <w:b/>
          <w:sz w:val="24"/>
        </w:rPr>
      </w:pPr>
      <w:bookmarkStart w:id="461" w:name="_Toc31634"/>
      <w:bookmarkStart w:id="462" w:name="_Toc9829"/>
      <w:bookmarkStart w:id="463" w:name="_Toc487900351"/>
      <w:bookmarkStart w:id="464" w:name="_Toc259093671"/>
      <w:bookmarkStart w:id="465" w:name="_Toc279701242"/>
      <w:bookmarkStart w:id="466" w:name="_Toc27853"/>
      <w:r>
        <w:rPr>
          <w:rFonts w:ascii="楷体" w:hAnsi="楷体" w:eastAsia="楷体"/>
          <w:b/>
          <w:sz w:val="24"/>
        </w:rPr>
        <w:t xml:space="preserve">2.3 </w:t>
      </w:r>
      <w:r>
        <w:rPr>
          <w:rFonts w:hint="eastAsia" w:ascii="楷体" w:hAnsi="楷体" w:eastAsia="楷体"/>
          <w:b/>
          <w:sz w:val="24"/>
        </w:rPr>
        <w:t>知识产权</w:t>
      </w:r>
      <w:bookmarkEnd w:id="461"/>
      <w:bookmarkEnd w:id="462"/>
      <w:bookmarkEnd w:id="463"/>
      <w:bookmarkEnd w:id="464"/>
      <w:bookmarkEnd w:id="465"/>
      <w:bookmarkEnd w:id="466"/>
    </w:p>
    <w:p>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楷体" w:hAnsi="楷体" w:eastAsia="楷体"/>
          <w:sz w:val="24"/>
        </w:rPr>
      </w:pPr>
      <w:r>
        <w:rPr>
          <w:rFonts w:ascii="楷体" w:hAnsi="楷体" w:eastAsia="楷体"/>
          <w:sz w:val="24"/>
        </w:rPr>
        <w:t>2.3.2</w:t>
      </w:r>
      <w:r>
        <w:rPr>
          <w:rFonts w:hint="eastAsia" w:ascii="楷体" w:hAnsi="楷体" w:eastAsia="楷体"/>
          <w:sz w:val="24"/>
        </w:rPr>
        <w:t>具有知识产权的计算机软件等货物的知识产权归属，详见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67" w:name="_Toc29149"/>
      <w:bookmarkStart w:id="468" w:name="_Toc4194"/>
      <w:bookmarkStart w:id="469" w:name="_Toc11932"/>
      <w:r>
        <w:rPr>
          <w:rFonts w:ascii="楷体" w:hAnsi="楷体" w:eastAsia="楷体"/>
          <w:b/>
          <w:sz w:val="24"/>
        </w:rPr>
        <w:t xml:space="preserve">2.4 </w:t>
      </w:r>
      <w:r>
        <w:rPr>
          <w:rFonts w:hint="eastAsia" w:ascii="楷体" w:hAnsi="楷体" w:eastAsia="楷体"/>
          <w:b/>
          <w:sz w:val="24"/>
        </w:rPr>
        <w:t>包装和装运</w:t>
      </w:r>
      <w:bookmarkEnd w:id="467"/>
      <w:bookmarkEnd w:id="468"/>
      <w:bookmarkEnd w:id="469"/>
    </w:p>
    <w:p>
      <w:pPr>
        <w:spacing w:line="560" w:lineRule="exact"/>
        <w:ind w:firstLine="480" w:firstLineChars="200"/>
        <w:rPr>
          <w:rFonts w:ascii="楷体" w:hAnsi="楷体" w:eastAsia="楷体"/>
          <w:sz w:val="24"/>
        </w:rPr>
      </w:pPr>
      <w:r>
        <w:rPr>
          <w:rFonts w:ascii="楷体" w:hAnsi="楷体" w:eastAsia="楷体"/>
          <w:sz w:val="24"/>
        </w:rPr>
        <w:t>2.4.1</w:t>
      </w:r>
      <w:r>
        <w:rPr>
          <w:rFonts w:hint="eastAsia" w:ascii="楷体" w:hAnsi="楷体" w:eastAsia="楷体"/>
          <w:sz w:val="24"/>
        </w:rPr>
        <w:t>除</w:t>
      </w:r>
      <w:r>
        <w:rPr>
          <w:rFonts w:hint="eastAsia" w:ascii="楷体" w:hAnsi="楷体" w:eastAsia="楷体"/>
          <w:b/>
          <w:i/>
          <w:sz w:val="24"/>
          <w:u w:val="single"/>
        </w:rPr>
        <w:t>合同专用条款</w:t>
      </w:r>
      <w:r>
        <w:rPr>
          <w:rFonts w:hint="eastAsia" w:ascii="楷体" w:hAnsi="楷体" w:eastAsia="楷体"/>
          <w:sz w:val="24"/>
        </w:rPr>
        <w:t>另有约定外</w:t>
      </w:r>
      <w:r>
        <w:rPr>
          <w:rFonts w:ascii="楷体" w:hAnsi="楷体" w:eastAsia="楷体"/>
          <w:sz w:val="24"/>
        </w:rPr>
        <w:t>,</w:t>
      </w:r>
      <w:r>
        <w:rPr>
          <w:rFonts w:hint="eastAsia" w:ascii="楷体" w:hAnsi="楷体" w:eastAsia="楷体"/>
          <w:sz w:val="24"/>
        </w:rPr>
        <w:t>乙方交付的全部货物</w:t>
      </w:r>
      <w:r>
        <w:rPr>
          <w:rFonts w:ascii="楷体" w:hAnsi="楷体" w:eastAsia="楷体"/>
          <w:sz w:val="24"/>
        </w:rPr>
        <w:t>,</w:t>
      </w:r>
      <w:r>
        <w:rPr>
          <w:rFonts w:hint="eastAsia" w:ascii="楷体" w:hAnsi="楷体" w:eastAsia="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装运货物的要求和通知，详见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70" w:name="_Ref467379527"/>
      <w:bookmarkStart w:id="471" w:name="_Toc487900354"/>
      <w:bookmarkStart w:id="472" w:name="_Ref467378591"/>
      <w:bookmarkStart w:id="473" w:name="_Ref467379542"/>
      <w:bookmarkStart w:id="474" w:name="_Toc279701245"/>
      <w:bookmarkStart w:id="475" w:name="_Ref467378541"/>
      <w:bookmarkStart w:id="476" w:name="_Toc259093674"/>
      <w:bookmarkStart w:id="477" w:name="_Ref467379536"/>
      <w:bookmarkStart w:id="478" w:name="_Toc19074"/>
      <w:bookmarkStart w:id="479" w:name="_Toc26182"/>
      <w:bookmarkStart w:id="480" w:name="_Toc30272"/>
      <w:r>
        <w:rPr>
          <w:rFonts w:ascii="楷体" w:hAnsi="楷体" w:eastAsia="楷体"/>
          <w:b/>
          <w:sz w:val="24"/>
        </w:rPr>
        <w:t>2.</w:t>
      </w:r>
      <w:bookmarkEnd w:id="470"/>
      <w:bookmarkEnd w:id="471"/>
      <w:bookmarkEnd w:id="472"/>
      <w:bookmarkEnd w:id="473"/>
      <w:bookmarkEnd w:id="474"/>
      <w:bookmarkEnd w:id="475"/>
      <w:bookmarkEnd w:id="476"/>
      <w:bookmarkEnd w:id="477"/>
      <w:r>
        <w:rPr>
          <w:rFonts w:ascii="楷体" w:hAnsi="楷体" w:eastAsia="楷体"/>
          <w:b/>
          <w:sz w:val="24"/>
        </w:rPr>
        <w:t xml:space="preserve">5 </w:t>
      </w:r>
      <w:r>
        <w:rPr>
          <w:rFonts w:hint="eastAsia" w:ascii="楷体" w:hAnsi="楷体" w:eastAsia="楷体"/>
          <w:b/>
          <w:sz w:val="24"/>
        </w:rPr>
        <w:t>履约检查和问题反馈</w:t>
      </w:r>
      <w:bookmarkEnd w:id="478"/>
      <w:bookmarkEnd w:id="479"/>
      <w:bookmarkEnd w:id="480"/>
    </w:p>
    <w:p>
      <w:pPr>
        <w:spacing w:line="560" w:lineRule="exact"/>
        <w:ind w:firstLine="480" w:firstLineChars="200"/>
        <w:rPr>
          <w:rFonts w:ascii="楷体" w:hAnsi="楷体" w:eastAsia="楷体"/>
          <w:sz w:val="24"/>
        </w:rPr>
      </w:pPr>
      <w:bookmarkStart w:id="481" w:name="_Ref467379657"/>
      <w:r>
        <w:rPr>
          <w:rFonts w:ascii="楷体" w:hAnsi="楷体" w:eastAsia="楷体"/>
          <w:sz w:val="24"/>
        </w:rPr>
        <w:t>2.5.1</w:t>
      </w:r>
      <w:bookmarkEnd w:id="481"/>
      <w:bookmarkStart w:id="482" w:name="_Toc186431854"/>
      <w:bookmarkStart w:id="483" w:name="_Toc487900357"/>
      <w:bookmarkStart w:id="484" w:name="_Ref467379793"/>
      <w:bookmarkStart w:id="485" w:name="_Toc279701247"/>
      <w:bookmarkStart w:id="486" w:name="_Toc259093676"/>
      <w:bookmarkStart w:id="487" w:name="_Ref467379807"/>
      <w:r>
        <w:rPr>
          <w:rFonts w:hint="eastAsia" w:ascii="楷体" w:hAnsi="楷体" w:eastAsia="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楷体" w:hAnsi="楷体" w:eastAsia="楷体"/>
          <w:sz w:val="24"/>
        </w:rPr>
      </w:pPr>
      <w:r>
        <w:rPr>
          <w:rFonts w:ascii="楷体" w:hAnsi="楷体" w:eastAsia="楷体"/>
          <w:sz w:val="24"/>
        </w:rPr>
        <w:t xml:space="preserve">2.5.2 </w:t>
      </w:r>
      <w:r>
        <w:rPr>
          <w:rFonts w:hint="eastAsia" w:ascii="楷体" w:hAnsi="楷体" w:eastAsia="楷体"/>
          <w:sz w:val="24"/>
        </w:rPr>
        <w:t>合同履行期间，甲方有权将履行过程中出现的问题反馈给乙方，双方当事人应以书面形式约定需要完善和改进的内容</w:t>
      </w:r>
      <w:bookmarkEnd w:id="482"/>
      <w:bookmarkStart w:id="488" w:name="_Toc186431855"/>
      <w:r>
        <w:rPr>
          <w:rFonts w:hint="eastAsia" w:ascii="楷体" w:hAnsi="楷体" w:eastAsia="楷体"/>
          <w:sz w:val="24"/>
        </w:rPr>
        <w:t>。</w:t>
      </w:r>
    </w:p>
    <w:bookmarkEnd w:id="488"/>
    <w:p>
      <w:pPr>
        <w:spacing w:line="560" w:lineRule="exact"/>
        <w:ind w:firstLine="482" w:firstLineChars="200"/>
        <w:outlineLvl w:val="0"/>
        <w:rPr>
          <w:rFonts w:ascii="楷体" w:hAnsi="楷体" w:eastAsia="楷体"/>
          <w:b/>
          <w:sz w:val="24"/>
        </w:rPr>
      </w:pPr>
      <w:bookmarkStart w:id="489" w:name="_Toc19219"/>
      <w:bookmarkStart w:id="490" w:name="_Toc7836"/>
      <w:bookmarkStart w:id="491" w:name="_Toc28451"/>
      <w:r>
        <w:rPr>
          <w:rFonts w:ascii="楷体" w:hAnsi="楷体" w:eastAsia="楷体"/>
          <w:b/>
          <w:sz w:val="24"/>
        </w:rPr>
        <w:t xml:space="preserve">2.6 </w:t>
      </w:r>
      <w:r>
        <w:rPr>
          <w:rFonts w:hint="eastAsia" w:ascii="楷体" w:hAnsi="楷体" w:eastAsia="楷体"/>
          <w:b/>
          <w:sz w:val="24"/>
        </w:rPr>
        <w:t>结算方式和付款条件</w:t>
      </w:r>
      <w:bookmarkEnd w:id="483"/>
      <w:bookmarkEnd w:id="484"/>
      <w:bookmarkEnd w:id="485"/>
      <w:bookmarkEnd w:id="486"/>
      <w:bookmarkEnd w:id="487"/>
      <w:bookmarkEnd w:id="489"/>
      <w:bookmarkEnd w:id="490"/>
      <w:bookmarkEnd w:id="491"/>
    </w:p>
    <w:p>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92" w:name="_Ref467379863"/>
      <w:bookmarkStart w:id="493" w:name="_Toc259093677"/>
      <w:bookmarkStart w:id="494" w:name="_Ref467379923"/>
      <w:bookmarkStart w:id="495" w:name="_Ref467379852"/>
      <w:bookmarkStart w:id="496" w:name="_Toc279701248"/>
      <w:bookmarkStart w:id="497" w:name="_Toc487900358"/>
      <w:bookmarkStart w:id="498" w:name="_Toc3225"/>
      <w:bookmarkStart w:id="499" w:name="_Toc16110"/>
      <w:bookmarkStart w:id="500" w:name="_Toc774"/>
      <w:r>
        <w:rPr>
          <w:rFonts w:ascii="楷体" w:hAnsi="楷体" w:eastAsia="楷体"/>
          <w:b/>
          <w:sz w:val="24"/>
        </w:rPr>
        <w:t xml:space="preserve">2.7 </w:t>
      </w:r>
      <w:r>
        <w:rPr>
          <w:rFonts w:hint="eastAsia" w:ascii="楷体" w:hAnsi="楷体" w:eastAsia="楷体"/>
          <w:b/>
          <w:sz w:val="24"/>
        </w:rPr>
        <w:t>技术资料</w:t>
      </w:r>
      <w:bookmarkEnd w:id="492"/>
      <w:bookmarkEnd w:id="493"/>
      <w:bookmarkEnd w:id="494"/>
      <w:bookmarkEnd w:id="495"/>
      <w:bookmarkEnd w:id="496"/>
      <w:bookmarkEnd w:id="497"/>
      <w:r>
        <w:rPr>
          <w:rFonts w:hint="eastAsia" w:ascii="楷体" w:hAnsi="楷体" w:eastAsia="楷体"/>
          <w:b/>
          <w:sz w:val="24"/>
        </w:rPr>
        <w:t>和保密义务</w:t>
      </w:r>
      <w:bookmarkEnd w:id="498"/>
      <w:bookmarkEnd w:id="499"/>
      <w:bookmarkEnd w:id="500"/>
    </w:p>
    <w:p>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乙方有权依据合同约定和项目需要，向甲方了解有关情况，调阅有关资料等，甲方应予积极配合；</w:t>
      </w:r>
    </w:p>
    <w:p>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乙方有义务妥善保管和保护由甲方提供的前款信息和资料等；</w:t>
      </w:r>
    </w:p>
    <w:p>
      <w:pPr>
        <w:spacing w:line="560" w:lineRule="exact"/>
        <w:ind w:firstLine="480" w:firstLineChars="200"/>
        <w:rPr>
          <w:rFonts w:ascii="楷体" w:hAnsi="楷体" w:eastAsia="楷体"/>
          <w:sz w:val="24"/>
        </w:rPr>
      </w:pPr>
      <w:r>
        <w:rPr>
          <w:rFonts w:ascii="楷体" w:hAnsi="楷体" w:eastAsia="楷体"/>
          <w:sz w:val="24"/>
        </w:rPr>
        <w:t xml:space="preserve">2.7.3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sz w:val="24"/>
        </w:rPr>
      </w:pPr>
      <w:bookmarkStart w:id="501" w:name="_Toc7860"/>
      <w:r>
        <w:rPr>
          <w:rFonts w:ascii="楷体" w:hAnsi="楷体" w:eastAsia="楷体"/>
          <w:b/>
          <w:sz w:val="24"/>
        </w:rPr>
        <w:t xml:space="preserve">2.8 </w:t>
      </w:r>
      <w:r>
        <w:rPr>
          <w:rFonts w:hint="eastAsia" w:ascii="楷体" w:hAnsi="楷体" w:eastAsia="楷体"/>
          <w:b/>
          <w:sz w:val="24"/>
        </w:rPr>
        <w:t>质量保证</w:t>
      </w:r>
      <w:bookmarkEnd w:id="501"/>
    </w:p>
    <w:p>
      <w:pPr>
        <w:spacing w:line="560" w:lineRule="exact"/>
        <w:ind w:firstLine="480" w:firstLineChars="200"/>
        <w:rPr>
          <w:rFonts w:ascii="楷体" w:hAnsi="楷体" w:eastAsia="楷体"/>
          <w:sz w:val="24"/>
        </w:rPr>
      </w:pPr>
      <w:r>
        <w:rPr>
          <w:rFonts w:ascii="楷体" w:hAnsi="楷体" w:eastAsia="楷体"/>
          <w:sz w:val="24"/>
        </w:rPr>
        <w:t xml:space="preserve">2.8.1 </w:t>
      </w:r>
      <w:r>
        <w:rPr>
          <w:rFonts w:hint="eastAsia" w:ascii="楷体" w:hAnsi="楷体" w:eastAsia="楷体"/>
          <w:sz w:val="24"/>
        </w:rPr>
        <w:t>乙方应建立和完善履行合同的内部质量保证体系，并提供相关内部规章制度给甲方，以便甲方进行监督检查；</w:t>
      </w:r>
    </w:p>
    <w:p>
      <w:pPr>
        <w:spacing w:line="560" w:lineRule="exact"/>
        <w:ind w:firstLine="480" w:firstLineChars="200"/>
        <w:rPr>
          <w:rFonts w:ascii="楷体" w:hAnsi="楷体" w:eastAsia="楷体"/>
          <w:sz w:val="24"/>
        </w:rPr>
      </w:pPr>
      <w:r>
        <w:rPr>
          <w:rFonts w:ascii="楷体" w:hAnsi="楷体" w:eastAsia="楷体"/>
          <w:sz w:val="24"/>
        </w:rPr>
        <w:t xml:space="preserve">2.8.2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sz w:val="24"/>
        </w:rPr>
      </w:pPr>
      <w:bookmarkStart w:id="502" w:name="_Toc17244"/>
      <w:bookmarkStart w:id="503" w:name="_Toc259093681"/>
      <w:bookmarkStart w:id="504" w:name="_Toc279701252"/>
      <w:bookmarkStart w:id="505" w:name="_Toc487900362"/>
      <w:r>
        <w:rPr>
          <w:rFonts w:ascii="楷体" w:hAnsi="楷体" w:eastAsia="楷体"/>
          <w:b/>
          <w:sz w:val="24"/>
        </w:rPr>
        <w:t xml:space="preserve">2.9 </w:t>
      </w:r>
      <w:r>
        <w:rPr>
          <w:rFonts w:hint="eastAsia" w:ascii="楷体" w:hAnsi="楷体" w:eastAsia="楷体"/>
          <w:b/>
          <w:sz w:val="24"/>
        </w:rPr>
        <w:t>货物的风险负担</w:t>
      </w:r>
      <w:bookmarkEnd w:id="502"/>
    </w:p>
    <w:p>
      <w:pPr>
        <w:spacing w:line="560" w:lineRule="exact"/>
        <w:ind w:firstLine="480" w:firstLineChars="200"/>
        <w:rPr>
          <w:rFonts w:ascii="楷体" w:hAnsi="楷体" w:eastAsia="楷体"/>
          <w:b/>
          <w:sz w:val="24"/>
        </w:rPr>
      </w:pPr>
      <w:r>
        <w:rPr>
          <w:rFonts w:hint="eastAsia" w:ascii="楷体" w:hAnsi="楷体" w:eastAsia="楷体"/>
          <w:sz w:val="24"/>
        </w:rPr>
        <w:t>货物或者在途货物或者交付给第一承运人后的货物毁损、灭失的风险负担详见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506" w:name="_Toc14055"/>
      <w:r>
        <w:rPr>
          <w:rFonts w:ascii="楷体" w:hAnsi="楷体" w:eastAsia="楷体"/>
          <w:b/>
          <w:sz w:val="24"/>
        </w:rPr>
        <w:t xml:space="preserve">2.10 </w:t>
      </w:r>
      <w:r>
        <w:rPr>
          <w:rFonts w:hint="eastAsia" w:ascii="楷体" w:hAnsi="楷体" w:eastAsia="楷体"/>
          <w:b/>
          <w:sz w:val="24"/>
        </w:rPr>
        <w:t>延迟交货</w:t>
      </w:r>
      <w:bookmarkEnd w:id="503"/>
      <w:bookmarkEnd w:id="504"/>
      <w:bookmarkEnd w:id="505"/>
      <w:bookmarkEnd w:id="506"/>
    </w:p>
    <w:p>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楷体" w:hAnsi="楷体" w:eastAsia="楷体"/>
          <w:b/>
          <w:sz w:val="24"/>
        </w:rPr>
      </w:pPr>
      <w:bookmarkStart w:id="507" w:name="_Toc7502"/>
      <w:bookmarkStart w:id="508" w:name="_Toc279701254"/>
      <w:bookmarkStart w:id="509" w:name="_Toc487900364"/>
      <w:bookmarkStart w:id="510" w:name="_Ref467378121"/>
      <w:bookmarkStart w:id="511" w:name="_Toc259093683"/>
      <w:r>
        <w:rPr>
          <w:rFonts w:ascii="楷体" w:hAnsi="楷体" w:eastAsia="楷体"/>
          <w:b/>
          <w:sz w:val="24"/>
        </w:rPr>
        <w:t xml:space="preserve">2.11 </w:t>
      </w:r>
      <w:r>
        <w:rPr>
          <w:rFonts w:hint="eastAsia" w:ascii="楷体" w:hAnsi="楷体" w:eastAsia="楷体"/>
          <w:b/>
          <w:sz w:val="24"/>
        </w:rPr>
        <w:t>合同变更</w:t>
      </w:r>
      <w:bookmarkEnd w:id="507"/>
    </w:p>
    <w:p>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sz w:val="24"/>
        </w:rPr>
        <w:t>10%</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512" w:name="_Toc279701259"/>
      <w:bookmarkStart w:id="513" w:name="_Toc487900369"/>
      <w:bookmarkStart w:id="514" w:name="_Toc259093688"/>
    </w:p>
    <w:p>
      <w:pPr>
        <w:spacing w:line="560" w:lineRule="exact"/>
        <w:ind w:firstLine="482" w:firstLineChars="200"/>
        <w:outlineLvl w:val="0"/>
        <w:rPr>
          <w:rFonts w:ascii="楷体" w:hAnsi="楷体" w:eastAsia="楷体"/>
          <w:b/>
          <w:sz w:val="24"/>
        </w:rPr>
      </w:pPr>
      <w:bookmarkStart w:id="515" w:name="_Toc10366"/>
      <w:bookmarkStart w:id="516" w:name="_Toc22955"/>
      <w:bookmarkStart w:id="517" w:name="_Toc15237"/>
      <w:r>
        <w:rPr>
          <w:rFonts w:ascii="楷体" w:hAnsi="楷体" w:eastAsia="楷体"/>
          <w:b/>
          <w:sz w:val="24"/>
        </w:rPr>
        <w:t xml:space="preserve">2.12 </w:t>
      </w:r>
      <w:r>
        <w:rPr>
          <w:rFonts w:hint="eastAsia" w:ascii="楷体" w:hAnsi="楷体" w:eastAsia="楷体"/>
          <w:b/>
          <w:sz w:val="24"/>
        </w:rPr>
        <w:t>合同转让</w:t>
      </w:r>
      <w:bookmarkEnd w:id="512"/>
      <w:bookmarkEnd w:id="513"/>
      <w:bookmarkEnd w:id="514"/>
      <w:r>
        <w:rPr>
          <w:rFonts w:hint="eastAsia" w:ascii="楷体" w:hAnsi="楷体" w:eastAsia="楷体"/>
          <w:b/>
          <w:sz w:val="24"/>
        </w:rPr>
        <w:t>和分包</w:t>
      </w:r>
      <w:bookmarkEnd w:id="515"/>
      <w:bookmarkEnd w:id="516"/>
      <w:bookmarkEnd w:id="517"/>
    </w:p>
    <w:p>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楷体" w:hAnsi="楷体" w:eastAsia="楷体"/>
          <w:b/>
          <w:sz w:val="24"/>
        </w:rPr>
      </w:pPr>
      <w:bookmarkStart w:id="518" w:name="_Toc16508"/>
      <w:bookmarkStart w:id="519" w:name="_Toc14066"/>
      <w:bookmarkStart w:id="520" w:name="_Toc13566"/>
      <w:r>
        <w:rPr>
          <w:rFonts w:ascii="楷体" w:hAnsi="楷体" w:eastAsia="楷体"/>
          <w:b/>
          <w:sz w:val="24"/>
        </w:rPr>
        <w:t xml:space="preserve">2.13 </w:t>
      </w:r>
      <w:r>
        <w:rPr>
          <w:rFonts w:hint="eastAsia" w:ascii="楷体" w:hAnsi="楷体" w:eastAsia="楷体"/>
          <w:b/>
          <w:sz w:val="24"/>
        </w:rPr>
        <w:t>不可抗力</w:t>
      </w:r>
      <w:bookmarkEnd w:id="518"/>
      <w:bookmarkEnd w:id="519"/>
      <w:bookmarkEnd w:id="520"/>
    </w:p>
    <w:p>
      <w:pPr>
        <w:spacing w:line="560" w:lineRule="exact"/>
        <w:ind w:firstLine="480" w:firstLineChars="200"/>
        <w:rPr>
          <w:rFonts w:ascii="楷体" w:hAnsi="楷体" w:eastAsia="楷体"/>
          <w:sz w:val="24"/>
        </w:rPr>
      </w:pPr>
      <w:r>
        <w:rPr>
          <w:rFonts w:ascii="楷体" w:hAnsi="楷体" w:eastAsia="楷体"/>
          <w:sz w:val="24"/>
        </w:rPr>
        <w:t>2.13.1</w:t>
      </w:r>
      <w:r>
        <w:rPr>
          <w:rFonts w:hint="eastAsia" w:ascii="楷体" w:hAnsi="楷体" w:eastAsia="楷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楷体" w:hAnsi="楷体" w:eastAsia="楷体"/>
          <w:sz w:val="24"/>
        </w:rPr>
      </w:pPr>
      <w:r>
        <w:rPr>
          <w:rFonts w:ascii="楷体" w:hAnsi="楷体" w:eastAsia="楷体"/>
          <w:sz w:val="24"/>
        </w:rPr>
        <w:t xml:space="preserve">2.13.2 </w:t>
      </w:r>
      <w:r>
        <w:rPr>
          <w:rFonts w:hint="eastAsia" w:ascii="楷体" w:hAnsi="楷体" w:eastAsia="楷体"/>
          <w:sz w:val="24"/>
        </w:rPr>
        <w:t>因不可抗力致使不能实现合同目的的，当事人可以解除合同；</w:t>
      </w:r>
    </w:p>
    <w:p>
      <w:pPr>
        <w:spacing w:line="560" w:lineRule="exact"/>
        <w:ind w:firstLine="480" w:firstLineChars="200"/>
        <w:rPr>
          <w:rFonts w:ascii="楷体" w:hAnsi="楷体" w:eastAsia="楷体"/>
          <w:sz w:val="24"/>
        </w:rPr>
      </w:pPr>
      <w:r>
        <w:rPr>
          <w:rFonts w:ascii="楷体" w:hAnsi="楷体" w:eastAsia="楷体"/>
          <w:sz w:val="24"/>
        </w:rPr>
        <w:t xml:space="preserve">2.13.3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pPr>
        <w:spacing w:line="560" w:lineRule="exact"/>
        <w:ind w:firstLine="480" w:firstLineChars="200"/>
        <w:rPr>
          <w:rFonts w:ascii="楷体" w:hAnsi="楷体" w:eastAsia="楷体"/>
          <w:sz w:val="24"/>
        </w:rPr>
      </w:pPr>
      <w:r>
        <w:rPr>
          <w:rFonts w:ascii="楷体" w:hAnsi="楷体" w:eastAsia="楷体"/>
          <w:sz w:val="24"/>
        </w:rPr>
        <w:t>2.13.4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pPr>
        <w:spacing w:line="560" w:lineRule="exact"/>
        <w:ind w:firstLine="482" w:firstLineChars="200"/>
        <w:outlineLvl w:val="0"/>
        <w:rPr>
          <w:rFonts w:ascii="楷体" w:hAnsi="楷体" w:eastAsia="楷体"/>
          <w:b/>
          <w:sz w:val="24"/>
        </w:rPr>
      </w:pPr>
      <w:bookmarkStart w:id="521" w:name="_Toc30676"/>
      <w:bookmarkStart w:id="522" w:name="_Toc6969"/>
      <w:bookmarkStart w:id="523" w:name="_Toc259093684"/>
      <w:bookmarkStart w:id="524" w:name="_Toc279701255"/>
      <w:bookmarkStart w:id="525" w:name="_Toc689"/>
      <w:bookmarkStart w:id="526" w:name="_Toc487900365"/>
      <w:r>
        <w:rPr>
          <w:rFonts w:ascii="楷体" w:hAnsi="楷体" w:eastAsia="楷体"/>
          <w:b/>
          <w:sz w:val="24"/>
        </w:rPr>
        <w:t xml:space="preserve">2.14 </w:t>
      </w:r>
      <w:r>
        <w:rPr>
          <w:rFonts w:hint="eastAsia" w:ascii="楷体" w:hAnsi="楷体" w:eastAsia="楷体"/>
          <w:b/>
          <w:sz w:val="24"/>
        </w:rPr>
        <w:t>税费</w:t>
      </w:r>
      <w:bookmarkEnd w:id="521"/>
      <w:bookmarkEnd w:id="522"/>
      <w:bookmarkEnd w:id="523"/>
      <w:bookmarkEnd w:id="524"/>
      <w:bookmarkEnd w:id="525"/>
      <w:bookmarkEnd w:id="526"/>
    </w:p>
    <w:p>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w:t>
      </w:r>
    </w:p>
    <w:p>
      <w:pPr>
        <w:spacing w:line="560" w:lineRule="exact"/>
        <w:ind w:firstLine="482" w:firstLineChars="200"/>
        <w:outlineLvl w:val="0"/>
        <w:rPr>
          <w:rFonts w:ascii="楷体" w:hAnsi="楷体" w:eastAsia="楷体"/>
          <w:b/>
          <w:sz w:val="24"/>
        </w:rPr>
      </w:pPr>
      <w:bookmarkStart w:id="527" w:name="_Toc8298"/>
      <w:bookmarkStart w:id="528" w:name="_Toc279701258"/>
      <w:bookmarkStart w:id="529" w:name="_Toc259093687"/>
      <w:bookmarkStart w:id="530" w:name="_Toc7102"/>
      <w:bookmarkStart w:id="531" w:name="_Toc487900368"/>
      <w:bookmarkStart w:id="532" w:name="_Toc16959"/>
      <w:r>
        <w:rPr>
          <w:rFonts w:ascii="楷体" w:hAnsi="楷体" w:eastAsia="楷体"/>
          <w:b/>
          <w:sz w:val="24"/>
        </w:rPr>
        <w:t xml:space="preserve">2.15 </w:t>
      </w:r>
      <w:r>
        <w:rPr>
          <w:rFonts w:hint="eastAsia" w:ascii="楷体" w:hAnsi="楷体" w:eastAsia="楷体"/>
          <w:b/>
          <w:sz w:val="24"/>
        </w:rPr>
        <w:t>乙方破产</w:t>
      </w:r>
      <w:bookmarkEnd w:id="527"/>
      <w:bookmarkEnd w:id="528"/>
      <w:bookmarkEnd w:id="529"/>
      <w:bookmarkEnd w:id="530"/>
      <w:bookmarkEnd w:id="531"/>
      <w:bookmarkEnd w:id="532"/>
    </w:p>
    <w:p>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楷体" w:hAnsi="楷体" w:eastAsia="楷体"/>
          <w:b/>
          <w:sz w:val="24"/>
        </w:rPr>
      </w:pPr>
      <w:bookmarkStart w:id="533" w:name="_Toc29333"/>
      <w:bookmarkStart w:id="534" w:name="_Toc15387"/>
      <w:bookmarkStart w:id="535" w:name="_Toc6134"/>
      <w:r>
        <w:rPr>
          <w:rFonts w:ascii="楷体" w:hAnsi="楷体" w:eastAsia="楷体"/>
          <w:b/>
          <w:sz w:val="24"/>
        </w:rPr>
        <w:t xml:space="preserve">2.16 </w:t>
      </w:r>
      <w:r>
        <w:rPr>
          <w:rFonts w:hint="eastAsia" w:ascii="楷体" w:hAnsi="楷体" w:eastAsia="楷体"/>
          <w:b/>
          <w:sz w:val="24"/>
        </w:rPr>
        <w:t>合同中止、终止</w:t>
      </w:r>
      <w:bookmarkEnd w:id="533"/>
      <w:bookmarkEnd w:id="534"/>
      <w:bookmarkEnd w:id="535"/>
    </w:p>
    <w:p>
      <w:pPr>
        <w:spacing w:line="560" w:lineRule="exact"/>
        <w:ind w:firstLine="480" w:firstLineChars="200"/>
        <w:rPr>
          <w:rFonts w:ascii="楷体" w:hAnsi="楷体" w:eastAsia="楷体"/>
          <w:sz w:val="24"/>
        </w:rPr>
      </w:pPr>
      <w:r>
        <w:rPr>
          <w:rFonts w:ascii="楷体" w:hAnsi="楷体" w:eastAsia="楷体"/>
          <w:sz w:val="24"/>
        </w:rPr>
        <w:t xml:space="preserve">2.16.1 </w:t>
      </w:r>
      <w:r>
        <w:rPr>
          <w:rFonts w:hint="eastAsia" w:ascii="楷体" w:hAnsi="楷体" w:eastAsia="楷体"/>
          <w:sz w:val="24"/>
        </w:rPr>
        <w:t>双方当事人不得擅自中止或者终止合同；</w:t>
      </w:r>
    </w:p>
    <w:p>
      <w:pPr>
        <w:spacing w:line="560" w:lineRule="exact"/>
        <w:ind w:firstLine="480" w:firstLineChars="200"/>
        <w:rPr>
          <w:rFonts w:ascii="楷体" w:hAnsi="楷体" w:eastAsia="楷体"/>
          <w:sz w:val="24"/>
        </w:rPr>
      </w:pPr>
      <w:r>
        <w:rPr>
          <w:rFonts w:ascii="楷体" w:hAnsi="楷体" w:eastAsia="楷体"/>
          <w:sz w:val="24"/>
        </w:rPr>
        <w:t>2.16.2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sz w:val="24"/>
        </w:rPr>
      </w:pPr>
      <w:bookmarkStart w:id="536" w:name="_Toc1125"/>
      <w:bookmarkStart w:id="537" w:name="_Toc14563"/>
      <w:bookmarkStart w:id="538" w:name="_Toc6596"/>
      <w:r>
        <w:rPr>
          <w:rFonts w:ascii="楷体" w:hAnsi="楷体" w:eastAsia="楷体"/>
          <w:b/>
          <w:sz w:val="24"/>
        </w:rPr>
        <w:t xml:space="preserve">2.17 </w:t>
      </w:r>
      <w:r>
        <w:rPr>
          <w:rFonts w:hint="eastAsia" w:ascii="楷体" w:hAnsi="楷体" w:eastAsia="楷体"/>
          <w:b/>
          <w:sz w:val="24"/>
        </w:rPr>
        <w:t>检验和验收</w:t>
      </w:r>
      <w:bookmarkEnd w:id="536"/>
      <w:bookmarkEnd w:id="537"/>
      <w:bookmarkEnd w:id="538"/>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2.17.1</w:t>
      </w:r>
      <w:r>
        <w:rPr>
          <w:rFonts w:hint="eastAsia" w:ascii="楷体" w:hAnsi="楷体" w:eastAsia="楷体"/>
          <w:sz w:val="24"/>
        </w:rPr>
        <w:t>货物交付前，乙方应对货物的质量、数量等方面进行详细、全面的检验，并向甲方出具证明货物符合合同约定的文件；货物交付时，乙方在</w:t>
      </w:r>
      <w:r>
        <w:rPr>
          <w:rFonts w:hint="eastAsia" w:ascii="楷体" w:hAnsi="楷体" w:eastAsia="楷体"/>
          <w:b/>
          <w:i/>
          <w:sz w:val="24"/>
          <w:u w:val="single"/>
        </w:rPr>
        <w:t>合同专用条款</w:t>
      </w:r>
      <w:r>
        <w:rPr>
          <w:rFonts w:hint="eastAsia" w:ascii="楷体" w:hAnsi="楷体" w:eastAsia="楷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2.17.2</w:t>
      </w:r>
      <w:r>
        <w:rPr>
          <w:rFonts w:hint="eastAsia" w:ascii="楷体" w:hAnsi="楷体" w:eastAsia="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2.17.3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508"/>
    <w:bookmarkEnd w:id="509"/>
    <w:bookmarkEnd w:id="510"/>
    <w:bookmarkEnd w:id="511"/>
    <w:p>
      <w:pPr>
        <w:spacing w:line="560" w:lineRule="exact"/>
        <w:ind w:firstLine="482" w:firstLineChars="200"/>
        <w:outlineLvl w:val="0"/>
        <w:rPr>
          <w:rFonts w:ascii="楷体" w:hAnsi="楷体" w:eastAsia="楷体"/>
          <w:b/>
          <w:sz w:val="24"/>
        </w:rPr>
      </w:pPr>
      <w:bookmarkStart w:id="539" w:name="_Toc259093690"/>
      <w:bookmarkStart w:id="540" w:name="_Toc279701261"/>
      <w:bookmarkStart w:id="541" w:name="_Toc487900371"/>
      <w:bookmarkStart w:id="542" w:name="_Toc25182"/>
      <w:bookmarkStart w:id="543" w:name="_Toc11284"/>
      <w:bookmarkStart w:id="544" w:name="_Toc19604"/>
      <w:r>
        <w:rPr>
          <w:rFonts w:ascii="楷体" w:hAnsi="楷体" w:eastAsia="楷体"/>
          <w:b/>
          <w:sz w:val="24"/>
        </w:rPr>
        <w:t xml:space="preserve">2.18 </w:t>
      </w:r>
      <w:r>
        <w:rPr>
          <w:rFonts w:hint="eastAsia" w:ascii="楷体" w:hAnsi="楷体" w:eastAsia="楷体"/>
          <w:b/>
          <w:sz w:val="24"/>
        </w:rPr>
        <w:t>通知</w:t>
      </w:r>
      <w:bookmarkEnd w:id="539"/>
      <w:bookmarkEnd w:id="540"/>
      <w:bookmarkEnd w:id="541"/>
      <w:r>
        <w:rPr>
          <w:rFonts w:hint="eastAsia" w:ascii="楷体" w:hAnsi="楷体" w:eastAsia="楷体"/>
          <w:b/>
          <w:sz w:val="24"/>
        </w:rPr>
        <w:t>和送达</w:t>
      </w:r>
      <w:bookmarkEnd w:id="542"/>
      <w:bookmarkEnd w:id="543"/>
      <w:bookmarkEnd w:id="544"/>
    </w:p>
    <w:p>
      <w:pPr>
        <w:spacing w:line="560" w:lineRule="exact"/>
        <w:ind w:firstLine="480" w:firstLineChars="200"/>
        <w:rPr>
          <w:rFonts w:ascii="楷体" w:hAnsi="楷体" w:eastAsia="楷体"/>
          <w:sz w:val="24"/>
        </w:rPr>
      </w:pPr>
      <w:bookmarkStart w:id="545" w:name="_Toc3135"/>
      <w:bookmarkStart w:id="546" w:name="_Toc6698"/>
      <w:bookmarkStart w:id="547" w:name="_Toc259093691"/>
      <w:bookmarkStart w:id="548" w:name="_Toc487900372"/>
      <w:bookmarkStart w:id="549" w:name="_Toc279701262"/>
      <w:r>
        <w:rPr>
          <w:rFonts w:ascii="楷体" w:hAnsi="楷体" w:eastAsia="楷体"/>
          <w:sz w:val="24"/>
        </w:rPr>
        <w:t xml:space="preserve">2.18.1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545"/>
      <w:bookmarkEnd w:id="546"/>
    </w:p>
    <w:p>
      <w:pPr>
        <w:spacing w:line="560" w:lineRule="exact"/>
        <w:ind w:firstLine="480" w:firstLineChars="200"/>
        <w:rPr>
          <w:rFonts w:ascii="楷体" w:hAnsi="楷体" w:eastAsia="楷体"/>
          <w:sz w:val="24"/>
        </w:rPr>
      </w:pPr>
      <w:bookmarkStart w:id="550" w:name="_Toc23128"/>
      <w:bookmarkStart w:id="551" w:name="_Toc23294"/>
      <w:r>
        <w:rPr>
          <w:rFonts w:ascii="楷体" w:hAnsi="楷体" w:eastAsia="楷体"/>
          <w:sz w:val="24"/>
        </w:rPr>
        <w:t>2.18.2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50"/>
      <w:bookmarkEnd w:id="551"/>
    </w:p>
    <w:p>
      <w:pPr>
        <w:spacing w:line="560" w:lineRule="exact"/>
        <w:ind w:firstLine="482" w:firstLineChars="200"/>
        <w:outlineLvl w:val="0"/>
        <w:rPr>
          <w:rFonts w:ascii="楷体" w:hAnsi="楷体" w:eastAsia="楷体"/>
          <w:b/>
          <w:sz w:val="24"/>
        </w:rPr>
      </w:pPr>
      <w:bookmarkStart w:id="552" w:name="_Toc4355"/>
      <w:bookmarkStart w:id="553" w:name="_Toc30599"/>
      <w:bookmarkStart w:id="554" w:name="_Toc18540"/>
      <w:r>
        <w:rPr>
          <w:rFonts w:ascii="楷体" w:hAnsi="楷体" w:eastAsia="楷体"/>
          <w:b/>
          <w:sz w:val="24"/>
        </w:rPr>
        <w:t xml:space="preserve">2.19 </w:t>
      </w:r>
      <w:r>
        <w:rPr>
          <w:rFonts w:hint="eastAsia" w:ascii="楷体" w:hAnsi="楷体" w:eastAsia="楷体"/>
          <w:b/>
          <w:sz w:val="24"/>
        </w:rPr>
        <w:t>计量单位</w:t>
      </w:r>
      <w:bookmarkEnd w:id="547"/>
      <w:bookmarkEnd w:id="548"/>
      <w:bookmarkEnd w:id="549"/>
      <w:bookmarkEnd w:id="552"/>
      <w:bookmarkEnd w:id="553"/>
      <w:bookmarkEnd w:id="554"/>
    </w:p>
    <w:p>
      <w:pPr>
        <w:spacing w:line="560" w:lineRule="exact"/>
        <w:ind w:firstLine="480" w:firstLineChars="200"/>
        <w:rPr>
          <w:rFonts w:ascii="楷体" w:hAnsi="楷体" w:eastAsia="楷体"/>
          <w:sz w:val="24"/>
        </w:rPr>
      </w:pPr>
      <w:r>
        <w:rPr>
          <w:rFonts w:hint="eastAsia" w:ascii="楷体" w:hAnsi="楷体" w:eastAsia="楷体"/>
          <w:sz w:val="24"/>
        </w:rPr>
        <w:t>除技术规范中另有规定外</w:t>
      </w:r>
      <w:r>
        <w:rPr>
          <w:rFonts w:ascii="楷体" w:hAnsi="楷体" w:eastAsia="楷体"/>
          <w:sz w:val="24"/>
        </w:rPr>
        <w:t>,</w:t>
      </w:r>
      <w:r>
        <w:rPr>
          <w:rFonts w:hint="eastAsia" w:ascii="楷体" w:hAnsi="楷体" w:eastAsia="楷体"/>
          <w:sz w:val="24"/>
        </w:rPr>
        <w:t>合同的计量单位均使用国家法定计量单位。</w:t>
      </w:r>
    </w:p>
    <w:p>
      <w:pPr>
        <w:spacing w:line="560" w:lineRule="exact"/>
        <w:ind w:firstLine="482" w:firstLineChars="200"/>
        <w:outlineLvl w:val="0"/>
        <w:rPr>
          <w:rFonts w:ascii="楷体" w:hAnsi="楷体" w:eastAsia="楷体"/>
          <w:b/>
          <w:sz w:val="24"/>
        </w:rPr>
      </w:pPr>
      <w:bookmarkStart w:id="555" w:name="_Toc279701263"/>
      <w:bookmarkStart w:id="556" w:name="_Toc18567"/>
      <w:bookmarkStart w:id="557" w:name="_Toc487900373"/>
      <w:bookmarkStart w:id="558" w:name="_Toc10330"/>
      <w:bookmarkStart w:id="559" w:name="_Toc259093692"/>
      <w:bookmarkStart w:id="560" w:name="_Toc12773"/>
      <w:r>
        <w:rPr>
          <w:rFonts w:ascii="楷体" w:hAnsi="楷体" w:eastAsia="楷体"/>
          <w:b/>
          <w:sz w:val="24"/>
        </w:rPr>
        <w:t xml:space="preserve">2.20 </w:t>
      </w:r>
      <w:r>
        <w:rPr>
          <w:rFonts w:hint="eastAsia" w:ascii="楷体" w:hAnsi="楷体" w:eastAsia="楷体"/>
          <w:b/>
          <w:sz w:val="24"/>
        </w:rPr>
        <w:t>合同使用的文字和适用的法律</w:t>
      </w:r>
      <w:bookmarkEnd w:id="555"/>
      <w:bookmarkEnd w:id="556"/>
      <w:bookmarkEnd w:id="557"/>
      <w:bookmarkEnd w:id="558"/>
      <w:bookmarkEnd w:id="559"/>
      <w:bookmarkEnd w:id="560"/>
    </w:p>
    <w:p>
      <w:pPr>
        <w:spacing w:line="560" w:lineRule="exact"/>
        <w:ind w:firstLine="480" w:firstLineChars="200"/>
        <w:rPr>
          <w:rFonts w:ascii="楷体" w:hAnsi="楷体" w:eastAsia="楷体"/>
          <w:sz w:val="24"/>
        </w:rPr>
      </w:pPr>
      <w:r>
        <w:rPr>
          <w:rFonts w:ascii="楷体" w:hAnsi="楷体" w:eastAsia="楷体"/>
          <w:sz w:val="24"/>
        </w:rPr>
        <w:t xml:space="preserve">2.20.1 </w:t>
      </w:r>
      <w:r>
        <w:rPr>
          <w:rFonts w:hint="eastAsia" w:ascii="楷体" w:hAnsi="楷体" w:eastAsia="楷体"/>
          <w:sz w:val="24"/>
        </w:rPr>
        <w:t>合同使用汉语书就、变更和解释；</w:t>
      </w:r>
    </w:p>
    <w:p>
      <w:pPr>
        <w:spacing w:line="560" w:lineRule="exact"/>
        <w:ind w:firstLine="480" w:firstLineChars="200"/>
        <w:rPr>
          <w:rFonts w:ascii="楷体" w:hAnsi="楷体" w:eastAsia="楷体"/>
          <w:sz w:val="24"/>
        </w:rPr>
      </w:pPr>
      <w:r>
        <w:rPr>
          <w:rFonts w:ascii="楷体" w:hAnsi="楷体" w:eastAsia="楷体"/>
          <w:sz w:val="24"/>
        </w:rPr>
        <w:t xml:space="preserve">2.20.2 </w:t>
      </w:r>
      <w:r>
        <w:rPr>
          <w:rFonts w:hint="eastAsia" w:ascii="楷体" w:hAnsi="楷体" w:eastAsia="楷体"/>
          <w:sz w:val="24"/>
        </w:rPr>
        <w:t>合同适用中华人民共和国法律。</w:t>
      </w:r>
    </w:p>
    <w:p>
      <w:pPr>
        <w:spacing w:line="560" w:lineRule="exact"/>
        <w:ind w:firstLine="482" w:firstLineChars="200"/>
        <w:outlineLvl w:val="0"/>
        <w:rPr>
          <w:rFonts w:ascii="楷体" w:hAnsi="楷体" w:eastAsia="楷体"/>
          <w:b/>
          <w:sz w:val="24"/>
        </w:rPr>
      </w:pPr>
      <w:bookmarkStart w:id="561" w:name="_Toc16673"/>
      <w:bookmarkStart w:id="562" w:name="_Toc279701264"/>
      <w:bookmarkStart w:id="563" w:name="_Toc3148"/>
      <w:bookmarkStart w:id="564" w:name="_Toc12004"/>
      <w:bookmarkStart w:id="565" w:name="_Toc259093693"/>
      <w:bookmarkStart w:id="566" w:name="_Toc487900374"/>
      <w:r>
        <w:rPr>
          <w:rFonts w:ascii="楷体" w:hAnsi="楷体" w:eastAsia="楷体"/>
          <w:b/>
          <w:sz w:val="24"/>
        </w:rPr>
        <w:t xml:space="preserve">2.21 </w:t>
      </w:r>
      <w:r>
        <w:rPr>
          <w:rFonts w:hint="eastAsia" w:ascii="楷体" w:hAnsi="楷体" w:eastAsia="楷体"/>
          <w:b/>
          <w:sz w:val="24"/>
        </w:rPr>
        <w:t>履约保证金</w:t>
      </w:r>
      <w:bookmarkEnd w:id="561"/>
      <w:bookmarkEnd w:id="562"/>
      <w:bookmarkEnd w:id="563"/>
      <w:bookmarkEnd w:id="564"/>
      <w:bookmarkEnd w:id="565"/>
    </w:p>
    <w:p>
      <w:pPr>
        <w:spacing w:line="560" w:lineRule="exact"/>
        <w:ind w:firstLine="480" w:firstLineChars="200"/>
        <w:rPr>
          <w:rFonts w:ascii="楷体" w:hAnsi="楷体" w:eastAsia="楷体"/>
          <w:sz w:val="24"/>
        </w:rPr>
      </w:pPr>
      <w:r>
        <w:rPr>
          <w:rFonts w:ascii="楷体" w:hAnsi="楷体" w:eastAsia="楷体"/>
          <w:sz w:val="24"/>
        </w:rPr>
        <w:t xml:space="preserve">2.21.1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pPr>
        <w:spacing w:line="560" w:lineRule="exact"/>
        <w:ind w:firstLine="480" w:firstLineChars="200"/>
        <w:rPr>
          <w:rFonts w:ascii="楷体" w:hAnsi="楷体" w:eastAsia="楷体"/>
          <w:sz w:val="24"/>
        </w:rPr>
      </w:pPr>
      <w:r>
        <w:rPr>
          <w:rFonts w:ascii="楷体" w:hAnsi="楷体" w:eastAsia="楷体"/>
          <w:sz w:val="24"/>
        </w:rPr>
        <w:t xml:space="preserve">2.21.2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约定期间内或者货物质量保证期内不予退还或者应完全有效，前述约定期间届满或者货物质量保证期届满之日起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pPr>
        <w:spacing w:line="560" w:lineRule="exact"/>
        <w:ind w:firstLine="480" w:firstLineChars="200"/>
        <w:rPr>
          <w:rFonts w:ascii="楷体" w:hAnsi="楷体" w:eastAsia="楷体"/>
          <w:sz w:val="24"/>
        </w:rPr>
      </w:pPr>
      <w:r>
        <w:rPr>
          <w:rFonts w:ascii="楷体" w:hAnsi="楷体" w:eastAsia="楷体"/>
          <w:sz w:val="24"/>
        </w:rPr>
        <w:t xml:space="preserve">2.21.3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6"/>
    <w:p>
      <w:pPr>
        <w:spacing w:line="560" w:lineRule="exact"/>
        <w:ind w:firstLine="482" w:firstLineChars="200"/>
        <w:outlineLvl w:val="0"/>
        <w:rPr>
          <w:rFonts w:ascii="楷体" w:hAnsi="楷体" w:eastAsia="楷体"/>
          <w:b/>
          <w:sz w:val="24"/>
        </w:rPr>
      </w:pPr>
      <w:bookmarkStart w:id="567" w:name="_Toc19890"/>
      <w:bookmarkStart w:id="568" w:name="_Toc14001"/>
      <w:bookmarkStart w:id="569" w:name="_Toc6885"/>
      <w:r>
        <w:rPr>
          <w:rFonts w:ascii="楷体" w:hAnsi="楷体" w:eastAsia="楷体"/>
          <w:b/>
          <w:sz w:val="24"/>
        </w:rPr>
        <w:t xml:space="preserve">2.22 </w:t>
      </w:r>
      <w:r>
        <w:rPr>
          <w:rFonts w:hint="eastAsia" w:ascii="楷体" w:hAnsi="楷体" w:eastAsia="楷体"/>
          <w:b/>
          <w:sz w:val="24"/>
        </w:rPr>
        <w:t>合同份数</w:t>
      </w:r>
      <w:bookmarkEnd w:id="567"/>
      <w:bookmarkEnd w:id="568"/>
      <w:bookmarkEnd w:id="569"/>
    </w:p>
    <w:p>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pPr>
        <w:pStyle w:val="19"/>
        <w:spacing w:line="560" w:lineRule="exact"/>
        <w:ind w:firstLine="0"/>
        <w:jc w:val="center"/>
        <w:rPr>
          <w:rFonts w:ascii="楷体" w:hAnsi="楷体" w:eastAsia="楷体"/>
          <w:b/>
          <w:szCs w:val="24"/>
        </w:rPr>
      </w:pPr>
      <w:r>
        <w:rPr>
          <w:rFonts w:ascii="楷体" w:hAnsi="楷体" w:eastAsia="楷体"/>
          <w:szCs w:val="24"/>
        </w:rPr>
        <w:br w:type="page"/>
      </w:r>
      <w:bookmarkStart w:id="570"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570"/>
    </w:p>
    <w:p>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379" w:type="dxa"/>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bl>
    <w:p>
      <w:pPr>
        <w:spacing w:after="156" w:line="560" w:lineRule="exact"/>
        <w:ind w:firstLine="480"/>
      </w:pPr>
    </w:p>
    <w:p>
      <w:pPr>
        <w:pStyle w:val="4"/>
        <w:spacing w:before="0" w:line="240" w:lineRule="atLeast"/>
        <w:ind w:left="1080" w:leftChars="257" w:hanging="540"/>
        <w:rPr>
          <w:rFonts w:ascii="仿宋_GB2312" w:hAnsi="宋体" w:eastAsia="仿宋_GB2312"/>
          <w:sz w:val="24"/>
        </w:rPr>
      </w:pPr>
    </w:p>
    <w:p/>
    <w:p>
      <w:pPr>
        <w:pStyle w:val="6"/>
        <w:spacing w:line="240" w:lineRule="atLeast"/>
        <w:ind w:left="1080" w:leftChars="257" w:hanging="540"/>
        <w:rPr>
          <w:rFonts w:hint="eastAsia" w:ascii="仿宋_GB2312" w:eastAsia="仿宋_GB2312"/>
          <w:sz w:val="28"/>
        </w:rPr>
      </w:pPr>
    </w:p>
    <w:p/>
    <w:sectPr>
      <w:footerReference r:id="rId12"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MK37vM4BAACWAwAADgAAAAAAAAABACAAAAAgAQAAZHJz&#10;L2Uyb0RvYy54bWxQSwUGAAAAAAYABgBZAQAAYAU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LZCcA7PAQAAlwMAAA4AAAAAAAAAAQAgAAAAIAEAAGRy&#10;cy9lMm9Eb2MueG1sUEsFBgAAAAAGAAYAWQEAAGEFA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26670</wp:posOffset>
              </wp:positionV>
              <wp:extent cx="289560"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9560" cy="266700"/>
                      </a:xfrm>
                      <a:prstGeom prst="rect">
                        <a:avLst/>
                      </a:prstGeom>
                      <a:noFill/>
                      <a:ln>
                        <a:noFill/>
                      </a:ln>
                    </wps:spPr>
                    <wps:txbx>
                      <w:txbxContent>
                        <w:p>
                          <w:pPr>
                            <w:pStyle w:val="10"/>
                            <w:jc w:val="center"/>
                            <w:rPr>
                              <w:rFonts w:hint="eastAsia"/>
                            </w:rPr>
                          </w:pPr>
                          <w:r>
                            <w:fldChar w:fldCharType="begin"/>
                          </w:r>
                          <w:r>
                            <w:instrText xml:space="preserve">PAGE   \* MERGEFORMAT</w:instrText>
                          </w:r>
                          <w:r>
                            <w:fldChar w:fldCharType="separate"/>
                          </w:r>
                          <w:r>
                            <w:rPr>
                              <w:lang w:val="zh-CN"/>
                            </w:rPr>
                            <w:t>49</w:t>
                          </w:r>
                          <w:r>
                            <w:fldChar w:fldCharType="end"/>
                          </w:r>
                        </w:p>
                      </w:txbxContent>
                    </wps:txbx>
                    <wps:bodyPr lIns="0" tIns="0" rIns="0" bIns="0" upright="0"/>
                  </wps:wsp>
                </a:graphicData>
              </a:graphic>
            </wp:anchor>
          </w:drawing>
        </mc:Choice>
        <mc:Fallback>
          <w:pict>
            <v:shape id="_x0000_s1026" o:spid="_x0000_s1026" o:spt="202" type="#_x0000_t202" style="position:absolute;left:0pt;margin-top:2.1pt;height:21pt;width:22.8pt;mso-position-horizontal:center;mso-position-horizontal-relative:margin;z-index:251660288;mso-width-relative:page;mso-height-relative:page;" filled="f" stroked="f" coordsize="21600,21600" o:gfxdata="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vqXKjUAAAABAEAAA8AAAAAAAAAAQAgAAAAIgAAAGRycy9kb3ducmV2LnhtbFBLAQIUABQA&#10;AAAIAIdO4kCzzBDmuwEAAHEDAAAOAAAAAAAAAAEAIAAAACMBAABkcnMvZTJvRG9jLnhtbFBLBQYA&#10;AAAABgAGAFkBAABQBQAAAAA=&#10;">
              <v:fill on="f" focussize="0,0"/>
              <v:stroke on="f"/>
              <v:imagedata o:title=""/>
              <o:lock v:ext="edit" aspectratio="f"/>
              <v:textbox inset="0mm,0mm,0mm,0mm">
                <w:txbxContent>
                  <w:p>
                    <w:pPr>
                      <w:pStyle w:val="10"/>
                      <w:jc w:val="center"/>
                      <w:rPr>
                        <w:rFonts w:hint="eastAsia"/>
                      </w:rP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pPr>
      <w:pStyle w:val="10"/>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3360;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J6ceOXPAQAAlwMAAA4AAAAAAAAAAQAgAAAAIAEAAGRy&#10;cy9lMm9Eb2MueG1sUEsFBgAAAAAGAAYAWQEAAGE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p>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BdtEMzw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5fXrS0oEXi2W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IF20QzPAQAAlwMAAA4AAAAAAAAAAQAgAAAAIAEAAGRy&#10;cy9lMm9Eb2MueG1sUEsFBgAAAAAGAAYAWQEAAGE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63</w:t>
                    </w:r>
                    <w:r>
                      <w:fldChar w:fldCharType="end"/>
                    </w:r>
                  </w:p>
                </w:txbxContent>
              </v:textbox>
            </v:shape>
          </w:pict>
        </mc:Fallback>
      </mc:AlternateContent>
    </w:r>
  </w:p>
  <w:p>
    <w:pPr>
      <w:pStyle w:val="10"/>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A28FD"/>
    <w:multiLevelType w:val="singleLevel"/>
    <w:tmpl w:val="A2BA28FD"/>
    <w:lvl w:ilvl="0" w:tentative="0">
      <w:start w:val="12"/>
      <w:numFmt w:val="decimal"/>
      <w:suff w:val="nothing"/>
      <w:lvlText w:val="%1、"/>
      <w:lvlJc w:val="left"/>
    </w:lvl>
  </w:abstractNum>
  <w:abstractNum w:abstractNumId="1">
    <w:nsid w:val="AE35B4E7"/>
    <w:multiLevelType w:val="singleLevel"/>
    <w:tmpl w:val="AE35B4E7"/>
    <w:lvl w:ilvl="0" w:tentative="0">
      <w:start w:val="2"/>
      <w:numFmt w:val="decimal"/>
      <w:lvlText w:val="%1."/>
      <w:lvlJc w:val="left"/>
      <w:pPr>
        <w:tabs>
          <w:tab w:val="left" w:pos="312"/>
        </w:tabs>
        <w:ind w:left="722" w:firstLine="0"/>
      </w:pPr>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04E996F"/>
    <w:multiLevelType w:val="singleLevel"/>
    <w:tmpl w:val="104E996F"/>
    <w:lvl w:ilvl="0" w:tentative="0">
      <w:start w:val="1"/>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18B53078"/>
    <w:multiLevelType w:val="singleLevel"/>
    <w:tmpl w:val="18B53078"/>
    <w:lvl w:ilvl="0" w:tentative="0">
      <w:start w:val="2"/>
      <w:numFmt w:val="decimal"/>
      <w:suff w:val="nothing"/>
      <w:lvlText w:val="%1、"/>
      <w:lvlJc w:val="left"/>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377D9FDF"/>
    <w:multiLevelType w:val="singleLevel"/>
    <w:tmpl w:val="377D9FDF"/>
    <w:lvl w:ilvl="0" w:tentative="0">
      <w:start w:val="1"/>
      <w:numFmt w:val="decimal"/>
      <w:suff w:val="nothing"/>
      <w:lvlText w:val="（%1）"/>
      <w:lvlJc w:val="left"/>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7"/>
  </w:num>
  <w:num w:numId="3">
    <w:abstractNumId w:val="9"/>
  </w:num>
  <w:num w:numId="4">
    <w:abstractNumId w:val="2"/>
  </w:num>
  <w:num w:numId="5">
    <w:abstractNumId w:val="5"/>
  </w:num>
  <w:num w:numId="6">
    <w:abstractNumId w:val="6"/>
  </w:num>
  <w:num w:numId="7">
    <w:abstractNumId w:val="10"/>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47C81"/>
    <w:rsid w:val="00241B25"/>
    <w:rsid w:val="006664FF"/>
    <w:rsid w:val="056826B1"/>
    <w:rsid w:val="05B05D0A"/>
    <w:rsid w:val="061A2CCB"/>
    <w:rsid w:val="070E2919"/>
    <w:rsid w:val="08006D04"/>
    <w:rsid w:val="08B32CE8"/>
    <w:rsid w:val="0CAD7F03"/>
    <w:rsid w:val="0F17199E"/>
    <w:rsid w:val="0FD43A0E"/>
    <w:rsid w:val="105F73F8"/>
    <w:rsid w:val="10E96580"/>
    <w:rsid w:val="11436D1E"/>
    <w:rsid w:val="12364D1F"/>
    <w:rsid w:val="127A1E59"/>
    <w:rsid w:val="17E36AED"/>
    <w:rsid w:val="18247C81"/>
    <w:rsid w:val="184151B0"/>
    <w:rsid w:val="18CB1569"/>
    <w:rsid w:val="18E241E6"/>
    <w:rsid w:val="1A366DB8"/>
    <w:rsid w:val="1D101CE5"/>
    <w:rsid w:val="1F8F05A2"/>
    <w:rsid w:val="1FBD70DF"/>
    <w:rsid w:val="20FA159D"/>
    <w:rsid w:val="22CE553E"/>
    <w:rsid w:val="250341BE"/>
    <w:rsid w:val="25291505"/>
    <w:rsid w:val="259872F8"/>
    <w:rsid w:val="269930A4"/>
    <w:rsid w:val="277E1D73"/>
    <w:rsid w:val="2BB52FEE"/>
    <w:rsid w:val="2C143473"/>
    <w:rsid w:val="2C5C13C7"/>
    <w:rsid w:val="2D24089A"/>
    <w:rsid w:val="2E892C65"/>
    <w:rsid w:val="2FAC7016"/>
    <w:rsid w:val="2FD91C35"/>
    <w:rsid w:val="30C36E6D"/>
    <w:rsid w:val="314B4516"/>
    <w:rsid w:val="31937AE8"/>
    <w:rsid w:val="33D97764"/>
    <w:rsid w:val="375855E7"/>
    <w:rsid w:val="37C51732"/>
    <w:rsid w:val="39FE15F5"/>
    <w:rsid w:val="3C8D3F68"/>
    <w:rsid w:val="4091075C"/>
    <w:rsid w:val="42834966"/>
    <w:rsid w:val="42ED1A3A"/>
    <w:rsid w:val="46DF068D"/>
    <w:rsid w:val="4716755A"/>
    <w:rsid w:val="4C9A4195"/>
    <w:rsid w:val="4CD115E7"/>
    <w:rsid w:val="4DC530CD"/>
    <w:rsid w:val="4DD5765F"/>
    <w:rsid w:val="509F76EA"/>
    <w:rsid w:val="521B3CCE"/>
    <w:rsid w:val="53380FBA"/>
    <w:rsid w:val="54022A08"/>
    <w:rsid w:val="56FE08C4"/>
    <w:rsid w:val="58397A5C"/>
    <w:rsid w:val="5A4E482C"/>
    <w:rsid w:val="5B210E1E"/>
    <w:rsid w:val="5E265C1E"/>
    <w:rsid w:val="60A63F36"/>
    <w:rsid w:val="60D55A8C"/>
    <w:rsid w:val="60E626B6"/>
    <w:rsid w:val="62A459F6"/>
    <w:rsid w:val="637C5B69"/>
    <w:rsid w:val="64247628"/>
    <w:rsid w:val="64F800E3"/>
    <w:rsid w:val="667A23F5"/>
    <w:rsid w:val="677049C1"/>
    <w:rsid w:val="69BF6BE3"/>
    <w:rsid w:val="6D482B91"/>
    <w:rsid w:val="6D7B046A"/>
    <w:rsid w:val="6F7D5D74"/>
    <w:rsid w:val="6FF471FD"/>
    <w:rsid w:val="70AC310B"/>
    <w:rsid w:val="71C8220B"/>
    <w:rsid w:val="71D92EE9"/>
    <w:rsid w:val="74237979"/>
    <w:rsid w:val="75615C91"/>
    <w:rsid w:val="771E1D2F"/>
    <w:rsid w:val="772F0AD5"/>
    <w:rsid w:val="774410B5"/>
    <w:rsid w:val="78A3519A"/>
    <w:rsid w:val="79F36230"/>
    <w:rsid w:val="7B130279"/>
    <w:rsid w:val="7D6F7459"/>
    <w:rsid w:val="7F490674"/>
    <w:rsid w:val="7F6E7F1A"/>
    <w:rsid w:val="7FCE3A9F"/>
    <w:rsid w:val="7FCF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toc 3"/>
    <w:basedOn w:val="1"/>
    <w:next w:val="1"/>
    <w:qFormat/>
    <w:uiPriority w:val="39"/>
    <w:pPr>
      <w:tabs>
        <w:tab w:val="left" w:pos="1260"/>
        <w:tab w:val="right" w:leader="dot" w:pos="8630"/>
      </w:tabs>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0">
    <w:name w:val="索引 11"/>
    <w:basedOn w:val="1"/>
    <w:next w:val="1"/>
    <w:qFormat/>
    <w:uiPriority w:val="0"/>
    <w:pPr>
      <w:spacing w:line="360" w:lineRule="auto"/>
    </w:pPr>
    <w:rPr>
      <w:rFonts w:ascii="仿宋_GB2312" w:eastAsia="仿宋_GB2312"/>
      <w:sz w:val="24"/>
      <w:szCs w:val="20"/>
    </w:rPr>
  </w:style>
  <w:style w:type="paragraph" w:customStyle="1" w:styleId="2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2021-07-22T04:28:00Z</dcterms:created>
  <dc:creator>Administrator</dc:creator>
  <cp:lastModifiedBy>zfcgzx-04</cp:lastModifiedBy>
  <dcterms:modified xsi:type="dcterms:W3CDTF">2021-10-09T11:25:12Z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5E1644B856B54435B2D37E1DDBE213B4</vt:lpwstr>
  </property>
</Properties>
</file>