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36"/>
          <w:szCs w:val="36"/>
        </w:rPr>
      </w:pPr>
      <w:r>
        <w:rPr>
          <w:rFonts w:hint="eastAsia" w:ascii="华文中宋" w:hAnsi="华文中宋" w:eastAsia="华文中宋" w:cs="Times New Roman"/>
          <w:b/>
          <w:bCs/>
          <w:kern w:val="44"/>
          <w:sz w:val="36"/>
          <w:szCs w:val="36"/>
          <w:lang w:val="en-US" w:eastAsia="zh-CN" w:bidi="ar-SA"/>
        </w:rPr>
        <w:t>巴楚县教育局2020-2021学年春季教育系统食材采购项目招标公告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cs="宋体"/>
          <w:sz w:val="28"/>
          <w:szCs w:val="28"/>
          <w:u w:val="single"/>
          <w:lang w:val="en-US" w:eastAsia="zh-CN"/>
        </w:rPr>
        <w:t>巴楚县教育局2020-2021学年春季教育系统食材采购项目（二次）</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50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3"/>
        <w:spacing w:line="360" w:lineRule="auto"/>
        <w:jc w:val="both"/>
        <w:rPr>
          <w:rFonts w:ascii="黑体" w:hAnsi="黑体" w:cs="宋体"/>
          <w:b w:val="0"/>
          <w:sz w:val="28"/>
          <w:szCs w:val="28"/>
        </w:rPr>
      </w:pPr>
      <w:r>
        <w:rPr>
          <w:rFonts w:hint="eastAsia" w:ascii="黑体" w:hAnsi="黑体" w:cs="宋体"/>
          <w:b w:val="0"/>
          <w:sz w:val="28"/>
          <w:szCs w:val="28"/>
        </w:rPr>
        <w:t>一、项目基本情况</w:t>
      </w:r>
    </w:p>
    <w:p>
      <w:pPr>
        <w:pageBreakBefore w:val="0"/>
        <w:kinsoku/>
        <w:wordWrap/>
        <w:overflowPunct/>
        <w:topLinePunct w:val="0"/>
        <w:autoSpaceDE/>
        <w:autoSpaceDN/>
        <w:bidi w:val="0"/>
        <w:adjustRightInd/>
        <w:spacing w:line="400" w:lineRule="exact"/>
        <w:ind w:firstLine="562"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KSBCX(GK) 20</w:t>
      </w:r>
      <w:r>
        <w:rPr>
          <w:rFonts w:hint="eastAsia" w:ascii="仿宋" w:hAnsi="仿宋" w:eastAsia="仿宋" w:cs="宋体"/>
          <w:sz w:val="28"/>
          <w:szCs w:val="28"/>
          <w:lang w:val="en-US" w:eastAsia="zh-CN"/>
        </w:rPr>
        <w:t>21</w:t>
      </w:r>
      <w:r>
        <w:rPr>
          <w:rFonts w:hint="eastAsia" w:ascii="仿宋" w:hAnsi="仿宋" w:eastAsia="仿宋" w:cs="宋体"/>
          <w:sz w:val="28"/>
          <w:szCs w:val="28"/>
        </w:rPr>
        <w:t>-</w:t>
      </w:r>
      <w:r>
        <w:rPr>
          <w:rFonts w:hint="eastAsia" w:ascii="仿宋" w:hAnsi="仿宋" w:eastAsia="仿宋" w:cs="宋体"/>
          <w:sz w:val="28"/>
          <w:szCs w:val="28"/>
          <w:lang w:val="en-US" w:eastAsia="zh-CN"/>
        </w:rPr>
        <w:t>02</w:t>
      </w:r>
      <w:r>
        <w:rPr>
          <w:rFonts w:hint="eastAsia" w:ascii="仿宋" w:hAnsi="仿宋" w:eastAsia="仿宋" w:cs="宋体"/>
          <w:sz w:val="28"/>
          <w:szCs w:val="28"/>
        </w:rPr>
        <w:t>号</w:t>
      </w:r>
    </w:p>
    <w:p>
      <w:pPr>
        <w:ind w:firstLine="562" w:firstLineChars="200"/>
        <w:rPr>
          <w:rFonts w:ascii="仿宋" w:hAnsi="仿宋" w:eastAsia="仿宋"/>
          <w:sz w:val="28"/>
          <w:szCs w:val="28"/>
          <w:u w:val="none"/>
        </w:rPr>
      </w:pPr>
      <w:r>
        <w:rPr>
          <w:rFonts w:hint="eastAsia" w:ascii="仿宋" w:hAnsi="仿宋" w:eastAsia="仿宋"/>
          <w:b/>
          <w:bCs/>
          <w:sz w:val="28"/>
          <w:szCs w:val="28"/>
        </w:rPr>
        <w:t>项目名称：</w:t>
      </w:r>
      <w:r>
        <w:rPr>
          <w:rFonts w:hint="eastAsia" w:ascii="仿宋" w:hAnsi="仿宋" w:eastAsia="仿宋" w:cs="宋体"/>
          <w:sz w:val="28"/>
          <w:szCs w:val="28"/>
          <w:u w:val="none"/>
          <w:lang w:val="en-US" w:eastAsia="zh-CN"/>
        </w:rPr>
        <w:t>巴楚县教育局2020-2021学年春季教育系统食材采购项目</w:t>
      </w:r>
    </w:p>
    <w:p>
      <w:pPr>
        <w:ind w:firstLine="562" w:firstLineChars="200"/>
        <w:rPr>
          <w:rFonts w:hint="eastAsia" w:ascii="仿宋" w:hAnsi="仿宋" w:eastAsia="仿宋" w:cs="宋体"/>
          <w:sz w:val="28"/>
          <w:szCs w:val="28"/>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lang w:val="en-US" w:eastAsia="zh-CN"/>
        </w:rPr>
        <w:t>第一标段：大米、面粉、清油采购：8834857.30（捌佰捌拾叁万肆仟捌佰伍拾柒元叁角整）；第二标段：肉类采购：38894392.40（叁仟捌佰捌拾玖万肆仟叁佰玖拾贰元肆角整）；第三标段：蔬菜采购：9009069.951（玖佰万零玖仟零陆拾玖元玖角伍分）；第四标段：营养馕采购：2962202.00（贰佰玖拾陆万贰仟贰佰零贰元整）；第五标段：副食品采购：9909769.99（玖佰玖拾万零玖仟柒佰陆拾玖元玖角玖分）；</w:t>
      </w:r>
    </w:p>
    <w:p>
      <w:pPr>
        <w:ind w:firstLine="562" w:firstLineChars="200"/>
        <w:rPr>
          <w:rFonts w:hint="eastAsia" w:ascii="仿宋" w:hAnsi="仿宋" w:eastAsia="仿宋" w:cs="宋体"/>
          <w:sz w:val="28"/>
          <w:szCs w:val="28"/>
          <w:lang w:val="en-US" w:eastAsia="zh-CN"/>
        </w:rPr>
      </w:pPr>
      <w:r>
        <w:rPr>
          <w:rFonts w:hint="eastAsia" w:ascii="仿宋" w:hAnsi="仿宋" w:eastAsia="仿宋"/>
          <w:b/>
          <w:bCs/>
          <w:sz w:val="28"/>
          <w:szCs w:val="28"/>
        </w:rPr>
        <w:t>最高限价：</w:t>
      </w:r>
      <w:r>
        <w:rPr>
          <w:rFonts w:hint="eastAsia" w:ascii="仿宋" w:hAnsi="仿宋" w:eastAsia="仿宋" w:cs="宋体"/>
          <w:sz w:val="28"/>
          <w:szCs w:val="28"/>
          <w:lang w:val="en-US" w:eastAsia="zh-CN"/>
        </w:rPr>
        <w:t>第一标段：大米、面粉、清油采购：</w:t>
      </w:r>
      <w:bookmarkStart w:id="4" w:name="_GoBack"/>
      <w:bookmarkEnd w:id="4"/>
      <w:r>
        <w:rPr>
          <w:rFonts w:hint="eastAsia" w:ascii="仿宋" w:hAnsi="仿宋" w:eastAsia="仿宋" w:cs="宋体"/>
          <w:sz w:val="28"/>
          <w:szCs w:val="28"/>
          <w:lang w:val="en-US" w:eastAsia="zh-CN"/>
        </w:rPr>
        <w:t>8834857.30（捌佰捌拾叁万肆仟捌佰伍拾柒元叁角整）；第二标段：肉类采购：38894392.40（叁仟捌佰捌拾玖万肆仟叁佰玖拾贰元肆角整）；第三标段：蔬菜采购：9009069.951（玖佰万零玖仟零陆拾玖元玖角伍分）；第四标段：营养馕采购：2962202.00（贰佰玖拾陆万贰仟贰佰零贰元整）；第五标段：副食品采购：9909769.99（玖佰玖拾万零玖仟柒佰陆拾玖元玖角玖分）；</w:t>
      </w:r>
    </w:p>
    <w:p>
      <w:pPr>
        <w:ind w:firstLine="560" w:firstLineChars="200"/>
        <w:rPr>
          <w:rFonts w:ascii="仿宋" w:hAnsi="仿宋" w:eastAsia="仿宋"/>
          <w:sz w:val="28"/>
          <w:szCs w:val="28"/>
        </w:rPr>
      </w:pPr>
    </w:p>
    <w:p>
      <w:pPr>
        <w:ind w:firstLine="562" w:firstLineChars="200"/>
        <w:rPr>
          <w:rFonts w:hint="default" w:ascii="仿宋" w:hAnsi="仿宋" w:eastAsia="仿宋"/>
          <w:sz w:val="28"/>
          <w:szCs w:val="28"/>
          <w:lang w:val="en-US" w:eastAsia="zh-CN"/>
        </w:rPr>
      </w:pPr>
      <w:r>
        <w:rPr>
          <w:rFonts w:hint="eastAsia" w:ascii="仿宋" w:hAnsi="仿宋" w:eastAsia="仿宋"/>
          <w:b/>
          <w:bCs/>
          <w:sz w:val="28"/>
          <w:szCs w:val="28"/>
        </w:rPr>
        <w:t>采购需求：</w:t>
      </w:r>
      <w:r>
        <w:rPr>
          <w:rFonts w:hint="eastAsia" w:ascii="仿宋" w:hAnsi="仿宋" w:eastAsia="仿宋" w:cs="宋体"/>
          <w:sz w:val="28"/>
          <w:szCs w:val="28"/>
          <w:lang w:val="en-US" w:eastAsia="zh-CN"/>
        </w:rPr>
        <w:t>第一标段：大米32892袋、面粉25741袋、清油178622公斤；第二标段：羊肉267036公斤、鲜鸡肉575274公斤、牛肉87042公斤；第三标段：蔬菜一批；第四标段：营养馕4082270个；第五标段：副食品一批。</w:t>
      </w:r>
    </w:p>
    <w:p>
      <w:pPr>
        <w:ind w:firstLine="562" w:firstLineChars="200"/>
        <w:rPr>
          <w:rFonts w:hint="eastAsia" w:ascii="仿宋" w:hAnsi="仿宋" w:eastAsia="仿宋"/>
          <w:sz w:val="28"/>
          <w:szCs w:val="28"/>
          <w:u w:val="single"/>
          <w:lang w:eastAsia="zh-CN"/>
        </w:rPr>
      </w:pPr>
      <w:r>
        <w:rPr>
          <w:rFonts w:hint="eastAsia" w:ascii="仿宋" w:hAnsi="仿宋" w:eastAsia="仿宋"/>
          <w:b/>
          <w:bCs/>
          <w:sz w:val="28"/>
          <w:szCs w:val="28"/>
        </w:rPr>
        <w:t>合同履行期限：</w:t>
      </w:r>
      <w:r>
        <w:rPr>
          <w:rFonts w:hint="eastAsia" w:ascii="仿宋" w:hAnsi="仿宋" w:eastAsia="仿宋"/>
          <w:sz w:val="28"/>
          <w:szCs w:val="28"/>
          <w:lang w:eastAsia="zh-CN"/>
        </w:rPr>
        <w:t>春季学期；</w:t>
      </w:r>
    </w:p>
    <w:p>
      <w:pPr>
        <w:pStyle w:val="2"/>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w:t>
      </w:r>
      <w:r>
        <w:rPr>
          <w:rFonts w:hint="default" w:ascii="仿宋" w:hAnsi="仿宋" w:eastAsia="仿宋" w:cs="宋体"/>
          <w:sz w:val="28"/>
          <w:szCs w:val="28"/>
        </w:rPr>
        <w:t>第一段投标单位需提供《食品生产许可证》或《食品经营许可证》；第二段投标单位需提供《动物防疫条件合格证》</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第五标段</w:t>
      </w:r>
      <w:r>
        <w:rPr>
          <w:rFonts w:hint="default" w:ascii="仿宋" w:hAnsi="仿宋" w:eastAsia="仿宋" w:cs="宋体"/>
          <w:sz w:val="28"/>
          <w:szCs w:val="28"/>
        </w:rPr>
        <w:t>投标单位需提供《食品生产许可证》或《食品经营许可证》</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p>
    <w:p>
      <w:pPr>
        <w:pStyle w:val="3"/>
        <w:spacing w:line="360" w:lineRule="auto"/>
        <w:jc w:val="both"/>
        <w:rPr>
          <w:rFonts w:ascii="黑体" w:hAnsi="黑体" w:cs="宋体"/>
          <w:b w:val="0"/>
          <w:sz w:val="28"/>
          <w:szCs w:val="28"/>
        </w:rPr>
      </w:pPr>
      <w:bookmarkStart w:id="0" w:name="_Toc35393623"/>
      <w:bookmarkStart w:id="1" w:name="_Toc35393792"/>
      <w:r>
        <w:rPr>
          <w:rFonts w:hint="eastAsia" w:ascii="黑体" w:hAnsi="黑体" w:cs="宋体"/>
          <w:b w:val="0"/>
          <w:sz w:val="28"/>
          <w:szCs w:val="28"/>
        </w:rPr>
        <w:t>三、获取招标文件</w:t>
      </w:r>
      <w:bookmarkEnd w:id="0"/>
      <w:bookmarkEnd w:id="1"/>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02</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24:00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新疆政府采购网</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线上获取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0.00元</w:t>
      </w:r>
    </w:p>
    <w:p>
      <w:pPr>
        <w:pStyle w:val="3"/>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lang w:val="en-US" w:eastAsia="zh-CN"/>
        </w:rPr>
        <w:t>投标文件截止时间：2021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3</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3</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开标时间：</w:t>
      </w:r>
      <w:r>
        <w:rPr>
          <w:rFonts w:hint="eastAsia" w:ascii="仿宋" w:hAnsi="仿宋" w:eastAsia="仿宋"/>
          <w:sz w:val="28"/>
          <w:szCs w:val="28"/>
          <w:lang w:val="en-US" w:eastAsia="zh-CN"/>
        </w:rPr>
        <w:t>2021年3月3日11点00分</w:t>
      </w:r>
      <w:r>
        <w:rPr>
          <w:rFonts w:hint="eastAsia" w:ascii="仿宋" w:hAnsi="仿宋" w:eastAsia="仿宋"/>
          <w:bCs/>
          <w:sz w:val="28"/>
          <w:szCs w:val="28"/>
          <w:u w:val="none"/>
        </w:rPr>
        <w:t>（北京时间）</w:t>
      </w:r>
    </w:p>
    <w:p>
      <w:pPr>
        <w:ind w:firstLine="560" w:firstLineChars="200"/>
        <w:rPr>
          <w:rFonts w:hint="eastAsia"/>
          <w:lang w:val="en-US" w:eastAsia="zh-CN"/>
        </w:rPr>
      </w:pPr>
      <w:r>
        <w:rPr>
          <w:rFonts w:hint="eastAsia" w:ascii="仿宋" w:hAnsi="仿宋" w:eastAsia="仿宋"/>
          <w:sz w:val="28"/>
          <w:szCs w:val="28"/>
        </w:rPr>
        <w:t>地点：</w:t>
      </w:r>
      <w:r>
        <w:rPr>
          <w:rFonts w:hint="eastAsia" w:ascii="仿宋" w:hAnsi="仿宋" w:eastAsia="仿宋"/>
          <w:sz w:val="28"/>
          <w:szCs w:val="28"/>
          <w:lang w:eastAsia="zh-CN"/>
        </w:rPr>
        <w:t>巴楚县住房和城乡建设局</w:t>
      </w:r>
      <w:r>
        <w:rPr>
          <w:rFonts w:hint="eastAsia" w:ascii="仿宋" w:hAnsi="仿宋" w:eastAsia="仿宋"/>
          <w:sz w:val="28"/>
          <w:szCs w:val="28"/>
          <w:lang w:val="en-US" w:eastAsia="zh-CN"/>
        </w:rPr>
        <w:t>3楼中间会议室</w:t>
      </w:r>
    </w:p>
    <w:p>
      <w:pPr>
        <w:pStyle w:val="3"/>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ind w:firstLine="560" w:firstLineChars="200"/>
        <w:rPr>
          <w:rFonts w:hint="eastAsia" w:ascii="仿宋" w:hAnsi="仿宋" w:eastAsia="仿宋"/>
          <w:sz w:val="28"/>
          <w:szCs w:val="28"/>
          <w:lang w:val="en-US" w:eastAsia="zh-CN"/>
        </w:rPr>
      </w:pPr>
      <w:bookmarkStart w:id="2" w:name="_Toc35393626"/>
      <w:bookmarkStart w:id="3" w:name="_Toc35393795"/>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2"/>
    <w:bookmarkEnd w:id="3"/>
    <w:p>
      <w:pPr>
        <w:pStyle w:val="3"/>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巴楚县教育局</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地址：</w:t>
      </w:r>
      <w:r>
        <w:rPr>
          <w:rFonts w:hint="eastAsia" w:ascii="仿宋" w:hAnsi="仿宋" w:eastAsia="仿宋" w:cs="Times New Roman"/>
          <w:sz w:val="28"/>
          <w:szCs w:val="28"/>
          <w:u w:val="single"/>
          <w:lang w:val="en-US" w:eastAsia="zh-CN"/>
        </w:rPr>
        <w:t>巴楚县友谊北路68号</w:t>
      </w:r>
    </w:p>
    <w:p>
      <w:pPr>
        <w:pageBreakBefore w:val="0"/>
        <w:kinsoku/>
        <w:wordWrap/>
        <w:overflowPunct/>
        <w:topLinePunct w:val="0"/>
        <w:autoSpaceDE/>
        <w:autoSpaceDN/>
        <w:bidi w:val="0"/>
        <w:adjustRightInd/>
        <w:spacing w:line="400" w:lineRule="exact"/>
        <w:ind w:firstLine="840" w:firstLineChars="300"/>
        <w:jc w:val="left"/>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13398576342</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巴楚县政府采购中心</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巴楚县住房和城乡建设局</w:t>
      </w:r>
      <w:r>
        <w:rPr>
          <w:rFonts w:hint="eastAsia" w:ascii="仿宋" w:hAnsi="仿宋" w:eastAsia="仿宋"/>
          <w:sz w:val="28"/>
          <w:szCs w:val="28"/>
          <w:u w:val="single"/>
          <w:lang w:val="en-US" w:eastAsia="zh-CN"/>
        </w:rPr>
        <w:t>507室</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0998-6210619</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白安林</w:t>
      </w:r>
    </w:p>
    <w:p>
      <w:pPr>
        <w:spacing w:line="360" w:lineRule="auto"/>
        <w:ind w:firstLine="840" w:firstLineChars="300"/>
        <w:rPr>
          <w:rFonts w:hint="default" w:ascii="仿宋" w:hAnsi="仿宋" w:eastAsia="仿宋" w:cs="宋体"/>
          <w:sz w:val="28"/>
          <w:szCs w:val="28"/>
          <w:lang w:val="en-US"/>
        </w:rPr>
      </w:pPr>
      <w:r>
        <w:rPr>
          <w:rFonts w:hint="eastAsia" w:ascii="仿宋" w:hAnsi="仿宋" w:eastAsia="仿宋"/>
          <w:sz w:val="28"/>
          <w:szCs w:val="28"/>
        </w:rPr>
        <w:t>电　话：</w:t>
      </w:r>
      <w:r>
        <w:rPr>
          <w:rFonts w:hint="eastAsia" w:ascii="仿宋" w:hAnsi="仿宋" w:eastAsia="仿宋"/>
          <w:sz w:val="28"/>
          <w:szCs w:val="28"/>
          <w:u w:val="single"/>
          <w:lang w:val="en-US" w:eastAsia="zh-CN"/>
        </w:rPr>
        <w:t>13398576342</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　　　　　　　　　</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40E22"/>
    <w:rsid w:val="2A525A19"/>
    <w:rsid w:val="35E7530A"/>
    <w:rsid w:val="4883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2021-02-10T07:37:52Z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