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2B188">
      <w:pPr>
        <w:spacing w:line="240" w:lineRule="atLeast"/>
        <w:rPr>
          <w:rStyle w:val="37"/>
          <w:rFonts w:ascii="仿宋_GB2312" w:hAnsi="仿宋_GB2312" w:eastAsia="仿宋_GB2312" w:cs="仿宋_GB2312"/>
          <w:bCs/>
          <w:sz w:val="52"/>
          <w:szCs w:val="52"/>
        </w:rPr>
      </w:pPr>
    </w:p>
    <w:p w14:paraId="6ECC65C4">
      <w:pPr>
        <w:spacing w:line="240" w:lineRule="atLeast"/>
        <w:jc w:val="center"/>
        <w:rPr>
          <w:rStyle w:val="37"/>
          <w:rFonts w:ascii="仿宋_GB2312" w:hAnsi="仿宋_GB2312" w:eastAsia="仿宋_GB2312"/>
          <w:b/>
          <w:sz w:val="52"/>
          <w:szCs w:val="52"/>
        </w:rPr>
      </w:pPr>
      <w:r>
        <w:rPr>
          <w:rStyle w:val="37"/>
          <w:rFonts w:hint="eastAsia" w:ascii="仿宋_GB2312" w:hAnsi="仿宋_GB2312" w:eastAsia="仿宋_GB2312"/>
          <w:b/>
          <w:sz w:val="52"/>
          <w:szCs w:val="52"/>
          <w:lang w:eastAsia="zh-CN"/>
        </w:rPr>
        <w:t>2025年伽师县公安局执法执勤用车采购项目（</w:t>
      </w:r>
      <w:r>
        <w:rPr>
          <w:rStyle w:val="37"/>
          <w:rFonts w:hint="eastAsia" w:ascii="仿宋_GB2312" w:hAnsi="仿宋_GB2312" w:eastAsia="仿宋_GB2312"/>
          <w:b/>
          <w:sz w:val="52"/>
          <w:szCs w:val="52"/>
          <w:lang w:val="en-US" w:eastAsia="zh-CN"/>
        </w:rPr>
        <w:t>三</w:t>
      </w:r>
      <w:r>
        <w:rPr>
          <w:rStyle w:val="37"/>
          <w:rFonts w:hint="eastAsia" w:ascii="仿宋_GB2312" w:hAnsi="仿宋_GB2312" w:eastAsia="仿宋_GB2312"/>
          <w:b/>
          <w:sz w:val="52"/>
          <w:szCs w:val="52"/>
          <w:lang w:eastAsia="zh-CN"/>
        </w:rPr>
        <w:t>次）</w:t>
      </w:r>
      <w:r>
        <w:rPr>
          <w:rStyle w:val="37"/>
          <w:rFonts w:ascii="仿宋_GB2312" w:hAnsi="仿宋_GB2312" w:eastAsia="仿宋_GB2312"/>
          <w:b/>
          <w:sz w:val="52"/>
          <w:szCs w:val="52"/>
        </w:rPr>
        <w:t>公开招标</w:t>
      </w:r>
    </w:p>
    <w:p w14:paraId="71DE387A">
      <w:pPr>
        <w:pStyle w:val="62"/>
        <w:ind w:firstLine="2080" w:firstLineChars="400"/>
        <w:rPr>
          <w:rStyle w:val="37"/>
          <w:rFonts w:ascii="仿宋_GB2312" w:hAnsi="仿宋_GB2312" w:eastAsia="仿宋_GB2312" w:cs="仿宋_GB2312"/>
          <w:bCs/>
          <w:sz w:val="52"/>
          <w:szCs w:val="52"/>
        </w:rPr>
      </w:pPr>
    </w:p>
    <w:p w14:paraId="4C507DAE">
      <w:pPr>
        <w:pStyle w:val="62"/>
        <w:ind w:firstLine="2080" w:firstLineChars="400"/>
        <w:rPr>
          <w:rStyle w:val="37"/>
          <w:rFonts w:ascii="仿宋_GB2312" w:hAnsi="仿宋_GB2312" w:eastAsia="仿宋_GB2312" w:cs="仿宋_GB2312"/>
          <w:bCs/>
          <w:sz w:val="52"/>
          <w:szCs w:val="52"/>
        </w:rPr>
      </w:pPr>
    </w:p>
    <w:p w14:paraId="219F51F5">
      <w:pPr>
        <w:pStyle w:val="62"/>
        <w:jc w:val="center"/>
        <w:rPr>
          <w:rStyle w:val="37"/>
          <w:rFonts w:ascii="仿宋_GB2312" w:hAnsi="仿宋_GB2312" w:eastAsia="仿宋_GB2312"/>
          <w:b/>
          <w:sz w:val="52"/>
          <w:szCs w:val="52"/>
        </w:rPr>
      </w:pPr>
      <w:r>
        <w:rPr>
          <w:rStyle w:val="37"/>
          <w:rFonts w:ascii="仿宋_GB2312" w:hAnsi="仿宋_GB2312" w:eastAsia="仿宋_GB2312"/>
          <w:b/>
          <w:sz w:val="52"/>
          <w:szCs w:val="52"/>
        </w:rPr>
        <w:t xml:space="preserve"> 招标文件</w:t>
      </w:r>
    </w:p>
    <w:p w14:paraId="5C3FF74B">
      <w:pPr>
        <w:pStyle w:val="62"/>
        <w:rPr>
          <w:rStyle w:val="37"/>
          <w:rFonts w:eastAsia="仿宋_GB2312"/>
        </w:rPr>
      </w:pPr>
    </w:p>
    <w:p w14:paraId="419C1B12">
      <w:pPr>
        <w:spacing w:line="240" w:lineRule="atLeast"/>
        <w:ind w:left="1079" w:leftChars="257" w:hanging="540"/>
        <w:jc w:val="center"/>
        <w:rPr>
          <w:rStyle w:val="37"/>
          <w:rFonts w:ascii="仿宋_GB2312" w:hAnsi="仿宋_GB2312" w:eastAsia="仿宋_GB2312"/>
          <w:b/>
          <w:sz w:val="32"/>
          <w:szCs w:val="32"/>
        </w:rPr>
      </w:pPr>
    </w:p>
    <w:p w14:paraId="557959F4">
      <w:pPr>
        <w:spacing w:line="240" w:lineRule="atLeast"/>
        <w:ind w:left="1079" w:leftChars="257" w:hanging="540"/>
        <w:rPr>
          <w:rStyle w:val="37"/>
          <w:rFonts w:ascii="仿宋_GB2312" w:hAnsi="仿宋_GB2312" w:eastAsia="仿宋_GB2312"/>
          <w:b/>
          <w:sz w:val="28"/>
        </w:rPr>
      </w:pPr>
    </w:p>
    <w:p w14:paraId="52894711">
      <w:pPr>
        <w:spacing w:line="240" w:lineRule="atLeast"/>
        <w:ind w:firstLine="3120" w:firstLineChars="600"/>
        <w:rPr>
          <w:rStyle w:val="37"/>
          <w:rFonts w:ascii="仿宋_GB2312" w:hAnsi="仿宋_GB2312" w:eastAsia="仿宋_GB2312"/>
          <w:b/>
          <w:sz w:val="52"/>
        </w:rPr>
      </w:pPr>
      <w:r>
        <w:rPr>
          <w:rStyle w:val="37"/>
          <w:rFonts w:ascii="仿宋_GB2312" w:hAnsi="仿宋_GB2312" w:eastAsia="仿宋_GB2312"/>
          <w:b/>
          <w:sz w:val="52"/>
        </w:rPr>
        <w:t>(第一册)</w:t>
      </w:r>
    </w:p>
    <w:p w14:paraId="2CEBCFC9">
      <w:pPr>
        <w:spacing w:line="240" w:lineRule="atLeast"/>
        <w:ind w:left="1079" w:leftChars="257" w:hanging="540"/>
        <w:jc w:val="center"/>
        <w:rPr>
          <w:rStyle w:val="37"/>
          <w:rFonts w:ascii="仿宋_GB2312" w:hAnsi="仿宋_GB2312" w:eastAsia="仿宋_GB2312"/>
          <w:b/>
          <w:sz w:val="52"/>
        </w:rPr>
      </w:pPr>
    </w:p>
    <w:p w14:paraId="1970E898">
      <w:pPr>
        <w:spacing w:line="240" w:lineRule="atLeast"/>
        <w:rPr>
          <w:rStyle w:val="37"/>
          <w:rFonts w:ascii="仿宋_GB2312" w:hAnsi="仿宋_GB2312" w:eastAsia="仿宋_GB2312"/>
          <w:b/>
          <w:sz w:val="52"/>
        </w:rPr>
      </w:pPr>
    </w:p>
    <w:p w14:paraId="45366C15">
      <w:pPr>
        <w:pStyle w:val="2"/>
        <w:rPr>
          <w:rStyle w:val="37"/>
          <w:rFonts w:ascii="仿宋_GB2312" w:hAnsi="仿宋_GB2312" w:eastAsia="仿宋_GB2312"/>
          <w:b/>
          <w:sz w:val="52"/>
        </w:rPr>
      </w:pPr>
    </w:p>
    <w:p w14:paraId="56642FEB"/>
    <w:p w14:paraId="1CECF511">
      <w:pPr>
        <w:spacing w:line="560" w:lineRule="exact"/>
        <w:ind w:firstLine="900" w:firstLineChars="300"/>
        <w:rPr>
          <w:rStyle w:val="37"/>
          <w:rFonts w:hint="default" w:ascii="仿宋_GB2312" w:hAnsi="仿宋_GB2312" w:eastAsia="仿宋_GB2312" w:cs="仿宋_GB2312"/>
          <w:b/>
          <w:bCs/>
          <w:sz w:val="30"/>
          <w:szCs w:val="30"/>
          <w:lang w:val="en-US" w:eastAsia="zh-CN"/>
        </w:rPr>
      </w:pPr>
      <w:r>
        <w:rPr>
          <w:rStyle w:val="37"/>
          <w:rFonts w:ascii="仿宋_GB2312" w:hAnsi="仿宋_GB2312" w:eastAsia="仿宋_GB2312" w:cs="仿宋_GB2312"/>
          <w:b/>
          <w:bCs/>
          <w:sz w:val="30"/>
          <w:szCs w:val="30"/>
        </w:rPr>
        <w:t>项 目 编 号：</w:t>
      </w:r>
      <w:bookmarkStart w:id="0" w:name="OLE_LINK9"/>
      <w:r>
        <w:rPr>
          <w:rStyle w:val="37"/>
          <w:rFonts w:hint="eastAsia" w:ascii="仿宋_GB2312" w:hAnsi="仿宋_GB2312" w:eastAsia="仿宋_GB2312" w:cs="仿宋_GB2312"/>
          <w:b/>
          <w:bCs/>
          <w:sz w:val="30"/>
          <w:szCs w:val="30"/>
          <w:highlight w:val="none"/>
          <w:lang w:eastAsia="zh-CN"/>
        </w:rPr>
        <w:t>KSJSX(GK)202</w:t>
      </w:r>
      <w:r>
        <w:rPr>
          <w:rStyle w:val="37"/>
          <w:rFonts w:hint="eastAsia" w:ascii="仿宋_GB2312" w:hAnsi="仿宋_GB2312" w:eastAsia="仿宋_GB2312" w:cs="仿宋_GB2312"/>
          <w:b/>
          <w:bCs/>
          <w:sz w:val="30"/>
          <w:szCs w:val="30"/>
          <w:highlight w:val="none"/>
          <w:lang w:val="en-US" w:eastAsia="zh-CN"/>
        </w:rPr>
        <w:t>5</w:t>
      </w:r>
      <w:r>
        <w:rPr>
          <w:rStyle w:val="37"/>
          <w:rFonts w:hint="eastAsia" w:ascii="仿宋_GB2312" w:hAnsi="仿宋_GB2312" w:eastAsia="仿宋_GB2312" w:cs="仿宋_GB2312"/>
          <w:b/>
          <w:bCs/>
          <w:sz w:val="30"/>
          <w:szCs w:val="30"/>
          <w:highlight w:val="none"/>
          <w:lang w:eastAsia="zh-CN"/>
        </w:rPr>
        <w:t>-</w:t>
      </w:r>
      <w:r>
        <w:rPr>
          <w:rStyle w:val="37"/>
          <w:rFonts w:hint="eastAsia" w:ascii="仿宋_GB2312" w:hAnsi="仿宋_GB2312" w:eastAsia="仿宋_GB2312" w:cs="仿宋_GB2312"/>
          <w:b/>
          <w:bCs/>
          <w:sz w:val="30"/>
          <w:szCs w:val="30"/>
          <w:highlight w:val="none"/>
          <w:lang w:val="en-US" w:eastAsia="zh-CN"/>
        </w:rPr>
        <w:t>1</w:t>
      </w:r>
      <w:bookmarkEnd w:id="0"/>
      <w:r>
        <w:rPr>
          <w:rStyle w:val="37"/>
          <w:rFonts w:hint="eastAsia" w:ascii="仿宋_GB2312" w:hAnsi="仿宋_GB2312" w:eastAsia="仿宋_GB2312" w:cs="仿宋_GB2312"/>
          <w:b/>
          <w:bCs/>
          <w:sz w:val="30"/>
          <w:szCs w:val="30"/>
          <w:highlight w:val="none"/>
          <w:lang w:val="en-US" w:eastAsia="zh-CN"/>
        </w:rPr>
        <w:t>9</w:t>
      </w:r>
    </w:p>
    <w:p w14:paraId="6E5AF75B">
      <w:pPr>
        <w:spacing w:line="360" w:lineRule="auto"/>
        <w:ind w:firstLine="897" w:firstLineChars="299"/>
        <w:jc w:val="left"/>
        <w:rPr>
          <w:rStyle w:val="37"/>
          <w:rFonts w:ascii="仿宋_GB2312" w:hAnsi="仿宋_GB2312" w:eastAsia="仿宋_GB2312" w:cs="仿宋_GB2312"/>
          <w:b/>
          <w:bCs/>
          <w:sz w:val="30"/>
          <w:szCs w:val="30"/>
        </w:rPr>
      </w:pPr>
      <w:r>
        <w:rPr>
          <w:rStyle w:val="37"/>
          <w:rFonts w:ascii="仿宋_GB2312" w:hAnsi="仿宋_GB2312" w:eastAsia="仿宋_GB2312" w:cs="仿宋_GB2312"/>
          <w:b/>
          <w:bCs/>
          <w:sz w:val="30"/>
          <w:szCs w:val="30"/>
        </w:rPr>
        <w:t>采 购 单 位：</w:t>
      </w:r>
      <w:r>
        <w:rPr>
          <w:rStyle w:val="37"/>
          <w:rFonts w:hint="eastAsia" w:ascii="仿宋_GB2312" w:hAnsi="仿宋_GB2312" w:eastAsia="仿宋_GB2312" w:cs="仿宋_GB2312"/>
          <w:b/>
          <w:bCs/>
          <w:sz w:val="30"/>
          <w:szCs w:val="30"/>
        </w:rPr>
        <w:t>伽师县公安局</w:t>
      </w:r>
    </w:p>
    <w:p w14:paraId="0E8D952D">
      <w:pPr>
        <w:spacing w:line="360" w:lineRule="auto"/>
        <w:ind w:firstLine="897" w:firstLineChars="299"/>
        <w:jc w:val="left"/>
        <w:rPr>
          <w:rStyle w:val="37"/>
          <w:rFonts w:ascii="仿宋_GB2312" w:hAnsi="仿宋_GB2312" w:eastAsia="仿宋_GB2312" w:cs="仿宋_GB2312"/>
          <w:b/>
          <w:bCs/>
          <w:sz w:val="30"/>
          <w:szCs w:val="30"/>
        </w:rPr>
      </w:pPr>
      <w:r>
        <w:rPr>
          <w:rStyle w:val="37"/>
          <w:rFonts w:ascii="仿宋_GB2312" w:hAnsi="仿宋_GB2312" w:eastAsia="仿宋_GB2312" w:cs="仿宋_GB2312"/>
          <w:b/>
          <w:bCs/>
          <w:sz w:val="30"/>
          <w:szCs w:val="30"/>
        </w:rPr>
        <w:t>采购代理机构：伽师县政府采购中心</w:t>
      </w:r>
    </w:p>
    <w:p w14:paraId="4A3ADCD1">
      <w:pPr>
        <w:spacing w:line="600" w:lineRule="exact"/>
        <w:ind w:firstLine="897" w:firstLineChars="299"/>
        <w:rPr>
          <w:rStyle w:val="37"/>
          <w:rFonts w:ascii="仿宋_GB2312" w:hAnsi="仿宋_GB2312" w:eastAsia="仿宋_GB2312" w:cs="仿宋_GB2312"/>
          <w:b/>
          <w:bCs/>
          <w:sz w:val="30"/>
          <w:szCs w:val="30"/>
        </w:rPr>
      </w:pPr>
      <w:r>
        <w:rPr>
          <w:rStyle w:val="37"/>
          <w:rFonts w:ascii="仿宋_GB2312" w:hAnsi="仿宋_GB2312" w:eastAsia="仿宋_GB2312" w:cs="仿宋_GB2312"/>
          <w:b/>
          <w:bCs/>
          <w:sz w:val="30"/>
          <w:szCs w:val="30"/>
        </w:rPr>
        <w:t>发  出 日 期：</w:t>
      </w:r>
      <w:r>
        <w:rPr>
          <w:rStyle w:val="37"/>
          <w:rFonts w:hint="eastAsia" w:ascii="仿宋_GB2312" w:hAnsi="仿宋_GB2312" w:eastAsia="仿宋_GB2312" w:cs="仿宋_GB2312"/>
          <w:b/>
          <w:bCs/>
          <w:sz w:val="30"/>
          <w:szCs w:val="30"/>
        </w:rPr>
        <w:t>202</w:t>
      </w:r>
      <w:r>
        <w:rPr>
          <w:rStyle w:val="37"/>
          <w:rFonts w:hint="eastAsia" w:ascii="仿宋_GB2312" w:hAnsi="仿宋_GB2312" w:eastAsia="仿宋_GB2312" w:cs="仿宋_GB2312"/>
          <w:b/>
          <w:bCs/>
          <w:sz w:val="30"/>
          <w:szCs w:val="30"/>
          <w:lang w:val="en-US" w:eastAsia="zh-CN"/>
        </w:rPr>
        <w:t>5</w:t>
      </w:r>
      <w:r>
        <w:rPr>
          <w:rStyle w:val="37"/>
          <w:rFonts w:hint="eastAsia" w:ascii="仿宋_GB2312" w:hAnsi="仿宋_GB2312" w:eastAsia="仿宋_GB2312" w:cs="仿宋_GB2312"/>
          <w:b/>
          <w:bCs/>
          <w:sz w:val="30"/>
          <w:szCs w:val="30"/>
        </w:rPr>
        <w:t>年</w:t>
      </w:r>
      <w:r>
        <w:rPr>
          <w:rStyle w:val="37"/>
          <w:rFonts w:hint="eastAsia" w:ascii="仿宋_GB2312" w:hAnsi="仿宋_GB2312" w:eastAsia="仿宋_GB2312" w:cs="仿宋_GB2312"/>
          <w:b/>
          <w:bCs/>
          <w:sz w:val="30"/>
          <w:szCs w:val="30"/>
          <w:lang w:val="en-US" w:eastAsia="zh-CN"/>
        </w:rPr>
        <w:t>7</w:t>
      </w:r>
      <w:r>
        <w:rPr>
          <w:rStyle w:val="37"/>
          <w:rFonts w:hint="eastAsia" w:ascii="仿宋_GB2312" w:hAnsi="仿宋_GB2312" w:eastAsia="仿宋_GB2312" w:cs="仿宋_GB2312"/>
          <w:b/>
          <w:bCs/>
          <w:sz w:val="30"/>
          <w:szCs w:val="30"/>
        </w:rPr>
        <w:t>月</w:t>
      </w:r>
    </w:p>
    <w:p w14:paraId="60583DDC">
      <w:pPr>
        <w:spacing w:line="240" w:lineRule="atLeast"/>
        <w:ind w:left="1079" w:leftChars="257" w:hanging="540"/>
        <w:rPr>
          <w:rStyle w:val="37"/>
          <w:rFonts w:ascii="仿宋_GB2312" w:hAnsi="仿宋_GB2312" w:eastAsia="仿宋_GB2312"/>
          <w:b/>
          <w:szCs w:val="21"/>
        </w:rPr>
      </w:pPr>
    </w:p>
    <w:p w14:paraId="4409C23F">
      <w:pPr>
        <w:spacing w:line="240" w:lineRule="atLeast"/>
        <w:ind w:left="1079" w:leftChars="257" w:hanging="540"/>
        <w:jc w:val="center"/>
        <w:rPr>
          <w:rFonts w:ascii="仿宋_GB2312" w:hAnsi="仿宋_GB2312" w:eastAsia="仿宋_GB2312" w:cs="仿宋_GB2312"/>
          <w:b/>
          <w:sz w:val="32"/>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type="linesAndChars" w:linePitch="312" w:charSpace="0"/>
        </w:sectPr>
      </w:pPr>
      <w:bookmarkStart w:id="1" w:name="_Toc17230"/>
      <w:bookmarkStart w:id="2" w:name="_Toc25817"/>
      <w:bookmarkStart w:id="3" w:name="_Toc216582804"/>
      <w:bookmarkStart w:id="4" w:name="_Toc22782"/>
    </w:p>
    <w:bookmarkEnd w:id="1"/>
    <w:bookmarkEnd w:id="2"/>
    <w:bookmarkEnd w:id="3"/>
    <w:bookmarkEnd w:id="4"/>
    <w:p w14:paraId="07781963">
      <w:pPr>
        <w:spacing w:line="240" w:lineRule="atLeast"/>
        <w:ind w:left="1079" w:leftChars="257" w:hanging="540"/>
        <w:jc w:val="center"/>
        <w:rPr>
          <w:rFonts w:ascii="仿宋_GB2312" w:hAnsi="仿宋_GB2312" w:eastAsia="仿宋_GB2312" w:cs="仿宋_GB2312"/>
          <w:b/>
          <w:color w:val="auto"/>
          <w:sz w:val="32"/>
        </w:rPr>
      </w:pPr>
      <w:bookmarkStart w:id="5" w:name="_Toc4823"/>
      <w:bookmarkStart w:id="6" w:name="_Toc25393"/>
      <w:bookmarkStart w:id="7" w:name="_Toc749"/>
      <w:bookmarkStart w:id="8" w:name="_Toc7794"/>
      <w:bookmarkStart w:id="9" w:name="_Toc23583"/>
      <w:bookmarkStart w:id="10" w:name="_Toc27266"/>
      <w:bookmarkStart w:id="11" w:name="_Toc8923"/>
      <w:r>
        <w:rPr>
          <w:rFonts w:hint="eastAsia" w:ascii="仿宋_GB2312" w:hAnsi="仿宋_GB2312" w:eastAsia="仿宋_GB2312" w:cs="仿宋_GB2312"/>
          <w:b/>
          <w:color w:val="auto"/>
          <w:sz w:val="32"/>
        </w:rPr>
        <w:t>目  录</w:t>
      </w:r>
    </w:p>
    <w:p w14:paraId="5A5B78F0">
      <w:pPr>
        <w:pStyle w:val="18"/>
        <w:tabs>
          <w:tab w:val="right" w:leader="dot" w:pos="9786"/>
        </w:tabs>
      </w:pPr>
      <w:r>
        <w:rPr>
          <w:color w:val="auto"/>
        </w:rPr>
        <w:fldChar w:fldCharType="begin"/>
      </w:r>
      <w:r>
        <w:rPr>
          <w:color w:val="auto"/>
        </w:rPr>
        <w:instrText xml:space="preserve">TOC \o "1-3" \h \u </w:instrText>
      </w:r>
      <w:r>
        <w:rPr>
          <w:color w:val="auto"/>
        </w:rPr>
        <w:fldChar w:fldCharType="separate"/>
      </w:r>
      <w:r>
        <w:rPr>
          <w:color w:val="auto"/>
        </w:rPr>
        <w:fldChar w:fldCharType="begin"/>
      </w:r>
      <w:r>
        <w:instrText xml:space="preserve"> HYPERLINK \l _Toc16465 </w:instrText>
      </w:r>
      <w:r>
        <w:fldChar w:fldCharType="separate"/>
      </w:r>
      <w:r>
        <w:rPr>
          <w:rFonts w:hint="eastAsia" w:ascii="仿宋_GB2312" w:hAnsi="仿宋_GB2312" w:eastAsia="仿宋_GB2312" w:cs="仿宋_GB2312"/>
          <w:kern w:val="0"/>
          <w:szCs w:val="44"/>
          <w:highlight w:val="none"/>
        </w:rPr>
        <w:t>第一章</w:t>
      </w:r>
      <w:r>
        <w:rPr>
          <w:rFonts w:hint="eastAsia" w:ascii="仿宋_GB2312" w:hAnsi="仿宋_GB2312" w:eastAsia="仿宋_GB2312" w:cs="仿宋_GB2312"/>
          <w:szCs w:val="44"/>
          <w:highlight w:val="none"/>
        </w:rPr>
        <w:t>投标人须知</w:t>
      </w:r>
      <w:r>
        <w:tab/>
      </w:r>
      <w:r>
        <w:fldChar w:fldCharType="begin"/>
      </w:r>
      <w:r>
        <w:instrText xml:space="preserve"> PAGEREF _Toc16465 \h </w:instrText>
      </w:r>
      <w:r>
        <w:fldChar w:fldCharType="separate"/>
      </w:r>
      <w:r>
        <w:t>3</w:t>
      </w:r>
      <w:r>
        <w:fldChar w:fldCharType="end"/>
      </w:r>
      <w:r>
        <w:rPr>
          <w:color w:val="auto"/>
        </w:rPr>
        <w:fldChar w:fldCharType="end"/>
      </w:r>
    </w:p>
    <w:p w14:paraId="3A2DA9CA">
      <w:pPr>
        <w:pStyle w:val="22"/>
        <w:tabs>
          <w:tab w:val="right" w:leader="dot" w:pos="9786"/>
        </w:tabs>
      </w:pPr>
      <w:r>
        <w:rPr>
          <w:color w:val="auto"/>
        </w:rPr>
        <w:fldChar w:fldCharType="begin"/>
      </w:r>
      <w:r>
        <w:instrText xml:space="preserve"> HYPERLINK \l _Toc6399 </w:instrText>
      </w:r>
      <w:r>
        <w:fldChar w:fldCharType="separate"/>
      </w:r>
      <w:r>
        <w:rPr>
          <w:rFonts w:hint="eastAsia" w:ascii="仿宋_GB2312" w:hAnsi="仿宋_GB2312" w:eastAsia="仿宋_GB2312" w:cs="仿宋_GB2312"/>
          <w:highlight w:val="none"/>
        </w:rPr>
        <w:t>一</w:t>
      </w:r>
      <w:r>
        <w:rPr>
          <w:rFonts w:hint="eastAsia" w:ascii="仿宋_GB2312" w:hAnsi="仿宋_GB2312" w:eastAsia="仿宋_GB2312" w:cs="仿宋_GB2312"/>
          <w:highlight w:val="none"/>
          <w:lang w:val="en-US" w:eastAsia="zh-CN"/>
        </w:rPr>
        <w:t xml:space="preserve"> </w:t>
      </w:r>
      <w:r>
        <w:rPr>
          <w:rFonts w:hint="eastAsia" w:ascii="仿宋_GB2312" w:hAnsi="仿宋_GB2312" w:eastAsia="仿宋_GB2312" w:cs="仿宋_GB2312"/>
          <w:highlight w:val="none"/>
        </w:rPr>
        <w:t>总 则</w:t>
      </w:r>
      <w:r>
        <w:tab/>
      </w:r>
      <w:r>
        <w:fldChar w:fldCharType="begin"/>
      </w:r>
      <w:r>
        <w:instrText xml:space="preserve"> PAGEREF _Toc6399 \h </w:instrText>
      </w:r>
      <w:r>
        <w:fldChar w:fldCharType="separate"/>
      </w:r>
      <w:r>
        <w:t>3</w:t>
      </w:r>
      <w:r>
        <w:fldChar w:fldCharType="end"/>
      </w:r>
      <w:r>
        <w:rPr>
          <w:color w:val="auto"/>
        </w:rPr>
        <w:fldChar w:fldCharType="end"/>
      </w:r>
    </w:p>
    <w:p w14:paraId="786D446C">
      <w:pPr>
        <w:pStyle w:val="12"/>
        <w:tabs>
          <w:tab w:val="right" w:leader="dot" w:pos="9786"/>
          <w:tab w:val="clear" w:pos="1260"/>
          <w:tab w:val="clear" w:pos="8630"/>
        </w:tabs>
      </w:pPr>
      <w:r>
        <w:rPr>
          <w:color w:val="auto"/>
        </w:rPr>
        <w:fldChar w:fldCharType="begin"/>
      </w:r>
      <w:r>
        <w:instrText xml:space="preserve"> HYPERLINK \l _Toc1539 </w:instrText>
      </w:r>
      <w:r>
        <w:fldChar w:fldCharType="separate"/>
      </w:r>
      <w:r>
        <w:rPr>
          <w:rFonts w:hint="eastAsia" w:ascii="仿宋_GB2312" w:hAnsi="仿宋_GB2312" w:eastAsia="仿宋_GB2312" w:cs="仿宋_GB2312"/>
          <w:highlight w:val="none"/>
        </w:rPr>
        <w:t>1.采购人、采购代理机构及投标人</w:t>
      </w:r>
      <w:r>
        <w:tab/>
      </w:r>
      <w:r>
        <w:fldChar w:fldCharType="begin"/>
      </w:r>
      <w:r>
        <w:instrText xml:space="preserve"> PAGEREF _Toc1539 \h </w:instrText>
      </w:r>
      <w:r>
        <w:fldChar w:fldCharType="separate"/>
      </w:r>
      <w:r>
        <w:t>3</w:t>
      </w:r>
      <w:r>
        <w:fldChar w:fldCharType="end"/>
      </w:r>
      <w:r>
        <w:rPr>
          <w:color w:val="auto"/>
        </w:rPr>
        <w:fldChar w:fldCharType="end"/>
      </w:r>
    </w:p>
    <w:p w14:paraId="63E62436">
      <w:pPr>
        <w:pStyle w:val="12"/>
        <w:tabs>
          <w:tab w:val="right" w:leader="dot" w:pos="9786"/>
          <w:tab w:val="clear" w:pos="1260"/>
          <w:tab w:val="clear" w:pos="8630"/>
        </w:tabs>
      </w:pPr>
      <w:r>
        <w:rPr>
          <w:color w:val="auto"/>
        </w:rPr>
        <w:fldChar w:fldCharType="begin"/>
      </w:r>
      <w:r>
        <w:instrText xml:space="preserve"> HYPERLINK \l _Toc1214 </w:instrText>
      </w:r>
      <w:r>
        <w:fldChar w:fldCharType="separate"/>
      </w:r>
      <w:r>
        <w:rPr>
          <w:rFonts w:hint="eastAsia" w:ascii="仿宋_GB2312" w:hAnsi="仿宋_GB2312" w:eastAsia="仿宋_GB2312" w:cs="仿宋_GB2312"/>
          <w:highlight w:val="none"/>
        </w:rPr>
        <w:t>2.资金来源</w:t>
      </w:r>
      <w:r>
        <w:tab/>
      </w:r>
      <w:r>
        <w:fldChar w:fldCharType="begin"/>
      </w:r>
      <w:r>
        <w:instrText xml:space="preserve"> PAGEREF _Toc1214 \h </w:instrText>
      </w:r>
      <w:r>
        <w:fldChar w:fldCharType="separate"/>
      </w:r>
      <w:r>
        <w:t>4</w:t>
      </w:r>
      <w:r>
        <w:fldChar w:fldCharType="end"/>
      </w:r>
      <w:r>
        <w:rPr>
          <w:color w:val="auto"/>
        </w:rPr>
        <w:fldChar w:fldCharType="end"/>
      </w:r>
    </w:p>
    <w:p w14:paraId="7BE4143F">
      <w:pPr>
        <w:pStyle w:val="12"/>
        <w:tabs>
          <w:tab w:val="right" w:leader="dot" w:pos="9786"/>
          <w:tab w:val="clear" w:pos="1260"/>
          <w:tab w:val="clear" w:pos="8630"/>
        </w:tabs>
      </w:pPr>
      <w:r>
        <w:rPr>
          <w:color w:val="auto"/>
        </w:rPr>
        <w:fldChar w:fldCharType="begin"/>
      </w:r>
      <w:r>
        <w:instrText xml:space="preserve"> HYPERLINK \l _Toc30315 </w:instrText>
      </w:r>
      <w:r>
        <w:fldChar w:fldCharType="separate"/>
      </w:r>
      <w:r>
        <w:rPr>
          <w:rFonts w:hint="eastAsia" w:ascii="仿宋_GB2312" w:hAnsi="仿宋_GB2312" w:eastAsia="仿宋_GB2312" w:cs="仿宋_GB2312"/>
          <w:highlight w:val="none"/>
        </w:rPr>
        <w:t>3.投标费用</w:t>
      </w:r>
      <w:r>
        <w:tab/>
      </w:r>
      <w:r>
        <w:fldChar w:fldCharType="begin"/>
      </w:r>
      <w:r>
        <w:instrText xml:space="preserve"> PAGEREF _Toc30315 \h </w:instrText>
      </w:r>
      <w:r>
        <w:fldChar w:fldCharType="separate"/>
      </w:r>
      <w:r>
        <w:t>4</w:t>
      </w:r>
      <w:r>
        <w:fldChar w:fldCharType="end"/>
      </w:r>
      <w:r>
        <w:rPr>
          <w:color w:val="auto"/>
        </w:rPr>
        <w:fldChar w:fldCharType="end"/>
      </w:r>
    </w:p>
    <w:p w14:paraId="07631A09">
      <w:pPr>
        <w:pStyle w:val="12"/>
        <w:tabs>
          <w:tab w:val="right" w:leader="dot" w:pos="9786"/>
          <w:tab w:val="clear" w:pos="1260"/>
          <w:tab w:val="clear" w:pos="8630"/>
        </w:tabs>
      </w:pPr>
      <w:r>
        <w:rPr>
          <w:color w:val="auto"/>
        </w:rPr>
        <w:fldChar w:fldCharType="begin"/>
      </w:r>
      <w:r>
        <w:instrText xml:space="preserve"> HYPERLINK \l _Toc23097 </w:instrText>
      </w:r>
      <w:r>
        <w:fldChar w:fldCharType="separate"/>
      </w:r>
      <w:r>
        <w:rPr>
          <w:rFonts w:hint="eastAsia" w:ascii="仿宋_GB2312" w:hAnsi="仿宋_GB2312" w:eastAsia="仿宋_GB2312" w:cs="仿宋_GB2312"/>
          <w:highlight w:val="none"/>
        </w:rPr>
        <w:t>4.适用法律</w:t>
      </w:r>
      <w:r>
        <w:tab/>
      </w:r>
      <w:r>
        <w:fldChar w:fldCharType="begin"/>
      </w:r>
      <w:r>
        <w:instrText xml:space="preserve"> PAGEREF _Toc23097 \h </w:instrText>
      </w:r>
      <w:r>
        <w:fldChar w:fldCharType="separate"/>
      </w:r>
      <w:r>
        <w:t>4</w:t>
      </w:r>
      <w:r>
        <w:fldChar w:fldCharType="end"/>
      </w:r>
      <w:r>
        <w:rPr>
          <w:color w:val="auto"/>
        </w:rPr>
        <w:fldChar w:fldCharType="end"/>
      </w:r>
    </w:p>
    <w:p w14:paraId="2E62EBAD">
      <w:pPr>
        <w:pStyle w:val="22"/>
        <w:tabs>
          <w:tab w:val="right" w:leader="dot" w:pos="9786"/>
        </w:tabs>
      </w:pPr>
      <w:r>
        <w:rPr>
          <w:color w:val="auto"/>
        </w:rPr>
        <w:fldChar w:fldCharType="begin"/>
      </w:r>
      <w:r>
        <w:instrText xml:space="preserve"> HYPERLINK \l _Toc15612 </w:instrText>
      </w:r>
      <w:r>
        <w:fldChar w:fldCharType="separate"/>
      </w:r>
      <w:r>
        <w:rPr>
          <w:rFonts w:hint="eastAsia" w:ascii="仿宋_GB2312" w:hAnsi="仿宋_GB2312" w:eastAsia="仿宋_GB2312" w:cs="仿宋_GB2312"/>
          <w:highlight w:val="none"/>
        </w:rPr>
        <w:t>二 招标文件</w:t>
      </w:r>
      <w:r>
        <w:tab/>
      </w:r>
      <w:r>
        <w:fldChar w:fldCharType="begin"/>
      </w:r>
      <w:r>
        <w:instrText xml:space="preserve"> PAGEREF _Toc15612 \h </w:instrText>
      </w:r>
      <w:r>
        <w:fldChar w:fldCharType="separate"/>
      </w:r>
      <w:r>
        <w:t>4</w:t>
      </w:r>
      <w:r>
        <w:fldChar w:fldCharType="end"/>
      </w:r>
      <w:r>
        <w:rPr>
          <w:color w:val="auto"/>
        </w:rPr>
        <w:fldChar w:fldCharType="end"/>
      </w:r>
    </w:p>
    <w:p w14:paraId="6130E295">
      <w:pPr>
        <w:pStyle w:val="12"/>
        <w:tabs>
          <w:tab w:val="right" w:leader="dot" w:pos="9786"/>
          <w:tab w:val="clear" w:pos="1260"/>
          <w:tab w:val="clear" w:pos="8630"/>
        </w:tabs>
      </w:pPr>
      <w:r>
        <w:rPr>
          <w:color w:val="auto"/>
        </w:rPr>
        <w:fldChar w:fldCharType="begin"/>
      </w:r>
      <w:r>
        <w:instrText xml:space="preserve"> HYPERLINK \l _Toc28 </w:instrText>
      </w:r>
      <w:r>
        <w:fldChar w:fldCharType="separate"/>
      </w:r>
      <w:r>
        <w:rPr>
          <w:rFonts w:hint="eastAsia" w:ascii="仿宋_GB2312" w:hAnsi="仿宋_GB2312" w:eastAsia="仿宋_GB2312" w:cs="仿宋_GB2312"/>
          <w:highlight w:val="none"/>
        </w:rPr>
        <w:t>5.招标文件构成</w:t>
      </w:r>
      <w:r>
        <w:tab/>
      </w:r>
      <w:r>
        <w:fldChar w:fldCharType="begin"/>
      </w:r>
      <w:r>
        <w:instrText xml:space="preserve"> PAGEREF _Toc28 \h </w:instrText>
      </w:r>
      <w:r>
        <w:fldChar w:fldCharType="separate"/>
      </w:r>
      <w:r>
        <w:t>4</w:t>
      </w:r>
      <w:r>
        <w:fldChar w:fldCharType="end"/>
      </w:r>
      <w:r>
        <w:rPr>
          <w:color w:val="auto"/>
        </w:rPr>
        <w:fldChar w:fldCharType="end"/>
      </w:r>
    </w:p>
    <w:p w14:paraId="21D853EA">
      <w:pPr>
        <w:pStyle w:val="12"/>
        <w:tabs>
          <w:tab w:val="right" w:leader="dot" w:pos="9786"/>
          <w:tab w:val="clear" w:pos="1260"/>
          <w:tab w:val="clear" w:pos="8630"/>
        </w:tabs>
      </w:pPr>
      <w:r>
        <w:rPr>
          <w:color w:val="auto"/>
        </w:rPr>
        <w:fldChar w:fldCharType="begin"/>
      </w:r>
      <w:r>
        <w:instrText xml:space="preserve"> HYPERLINK \l _Toc29359 </w:instrText>
      </w:r>
      <w:r>
        <w:fldChar w:fldCharType="separate"/>
      </w:r>
      <w:r>
        <w:rPr>
          <w:rFonts w:hint="eastAsia" w:ascii="仿宋_GB2312" w:hAnsi="仿宋_GB2312" w:eastAsia="仿宋_GB2312" w:cs="仿宋_GB2312"/>
          <w:highlight w:val="none"/>
        </w:rPr>
        <w:t>6.招标文件的澄清与修改</w:t>
      </w:r>
      <w:r>
        <w:tab/>
      </w:r>
      <w:r>
        <w:fldChar w:fldCharType="begin"/>
      </w:r>
      <w:r>
        <w:instrText xml:space="preserve"> PAGEREF _Toc29359 \h </w:instrText>
      </w:r>
      <w:r>
        <w:fldChar w:fldCharType="separate"/>
      </w:r>
      <w:r>
        <w:t>5</w:t>
      </w:r>
      <w:r>
        <w:fldChar w:fldCharType="end"/>
      </w:r>
      <w:r>
        <w:rPr>
          <w:color w:val="auto"/>
        </w:rPr>
        <w:fldChar w:fldCharType="end"/>
      </w:r>
    </w:p>
    <w:p w14:paraId="51BC7C64">
      <w:pPr>
        <w:pStyle w:val="12"/>
        <w:tabs>
          <w:tab w:val="right" w:leader="dot" w:pos="9786"/>
          <w:tab w:val="clear" w:pos="1260"/>
          <w:tab w:val="clear" w:pos="8630"/>
        </w:tabs>
      </w:pPr>
      <w:r>
        <w:rPr>
          <w:color w:val="auto"/>
        </w:rPr>
        <w:fldChar w:fldCharType="begin"/>
      </w:r>
      <w:r>
        <w:instrText xml:space="preserve"> HYPERLINK \l _Toc11406 </w:instrText>
      </w:r>
      <w:r>
        <w:fldChar w:fldCharType="separate"/>
      </w:r>
      <w:r>
        <w:rPr>
          <w:rFonts w:hint="eastAsia" w:ascii="仿宋_GB2312" w:hAnsi="仿宋_GB2312" w:eastAsia="仿宋_GB2312" w:cs="仿宋_GB2312"/>
          <w:highlight w:val="none"/>
        </w:rPr>
        <w:t>7.投标截止时间的顺延</w:t>
      </w:r>
      <w:r>
        <w:tab/>
      </w:r>
      <w:r>
        <w:fldChar w:fldCharType="begin"/>
      </w:r>
      <w:r>
        <w:instrText xml:space="preserve"> PAGEREF _Toc11406 \h </w:instrText>
      </w:r>
      <w:r>
        <w:fldChar w:fldCharType="separate"/>
      </w:r>
      <w:r>
        <w:t>5</w:t>
      </w:r>
      <w:r>
        <w:fldChar w:fldCharType="end"/>
      </w:r>
      <w:r>
        <w:rPr>
          <w:color w:val="auto"/>
        </w:rPr>
        <w:fldChar w:fldCharType="end"/>
      </w:r>
    </w:p>
    <w:p w14:paraId="15BBECA9">
      <w:pPr>
        <w:pStyle w:val="22"/>
        <w:tabs>
          <w:tab w:val="right" w:leader="dot" w:pos="9786"/>
        </w:tabs>
      </w:pPr>
      <w:r>
        <w:rPr>
          <w:color w:val="auto"/>
        </w:rPr>
        <w:fldChar w:fldCharType="begin"/>
      </w:r>
      <w:r>
        <w:instrText xml:space="preserve"> HYPERLINK \l _Toc14810 </w:instrText>
      </w:r>
      <w:r>
        <w:fldChar w:fldCharType="separate"/>
      </w:r>
      <w:r>
        <w:rPr>
          <w:rFonts w:hint="eastAsia" w:ascii="仿宋_GB2312" w:hAnsi="仿宋_GB2312" w:eastAsia="仿宋_GB2312" w:cs="仿宋_GB2312"/>
          <w:highlight w:val="none"/>
        </w:rPr>
        <w:t>三 投标文件的编制</w:t>
      </w:r>
      <w:r>
        <w:tab/>
      </w:r>
      <w:r>
        <w:fldChar w:fldCharType="begin"/>
      </w:r>
      <w:r>
        <w:instrText xml:space="preserve"> PAGEREF _Toc14810 \h </w:instrText>
      </w:r>
      <w:r>
        <w:fldChar w:fldCharType="separate"/>
      </w:r>
      <w:r>
        <w:t>5</w:t>
      </w:r>
      <w:r>
        <w:fldChar w:fldCharType="end"/>
      </w:r>
      <w:r>
        <w:rPr>
          <w:color w:val="auto"/>
        </w:rPr>
        <w:fldChar w:fldCharType="end"/>
      </w:r>
    </w:p>
    <w:p w14:paraId="027E2C0D">
      <w:pPr>
        <w:pStyle w:val="12"/>
        <w:tabs>
          <w:tab w:val="right" w:pos="2800"/>
          <w:tab w:val="right" w:leader="dot" w:pos="9786"/>
          <w:tab w:val="clear" w:pos="1260"/>
          <w:tab w:val="clear" w:pos="8630"/>
        </w:tabs>
      </w:pPr>
      <w:r>
        <w:rPr>
          <w:color w:val="auto"/>
        </w:rPr>
        <w:fldChar w:fldCharType="begin"/>
      </w:r>
      <w:r>
        <w:instrText xml:space="preserve"> HYPERLINK \l _Toc21038 </w:instrText>
      </w:r>
      <w:r>
        <w:fldChar w:fldCharType="separate"/>
      </w:r>
      <w:r>
        <w:rPr>
          <w:rFonts w:hint="eastAsia" w:ascii="仿宋_GB2312" w:hAnsi="仿宋_GB2312" w:eastAsia="仿宋_GB2312" w:cs="仿宋_GB2312"/>
          <w:highlight w:val="none"/>
        </w:rPr>
        <w:t>8.</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投标范围及投标文件中标准和计量单位的使用</w:t>
      </w:r>
      <w:r>
        <w:tab/>
      </w:r>
      <w:r>
        <w:fldChar w:fldCharType="begin"/>
      </w:r>
      <w:r>
        <w:instrText xml:space="preserve"> PAGEREF _Toc21038 \h </w:instrText>
      </w:r>
      <w:r>
        <w:fldChar w:fldCharType="separate"/>
      </w:r>
      <w:r>
        <w:t>5</w:t>
      </w:r>
      <w:r>
        <w:fldChar w:fldCharType="end"/>
      </w:r>
      <w:r>
        <w:rPr>
          <w:color w:val="auto"/>
        </w:rPr>
        <w:fldChar w:fldCharType="end"/>
      </w:r>
    </w:p>
    <w:p w14:paraId="09CB39D2">
      <w:pPr>
        <w:pStyle w:val="12"/>
        <w:tabs>
          <w:tab w:val="right" w:leader="dot" w:pos="9786"/>
          <w:tab w:val="clear" w:pos="1260"/>
          <w:tab w:val="clear" w:pos="8630"/>
        </w:tabs>
      </w:pPr>
      <w:r>
        <w:rPr>
          <w:color w:val="auto"/>
        </w:rPr>
        <w:fldChar w:fldCharType="begin"/>
      </w:r>
      <w:r>
        <w:instrText xml:space="preserve"> HYPERLINK \l _Toc13751 </w:instrText>
      </w:r>
      <w:r>
        <w:fldChar w:fldCharType="separate"/>
      </w:r>
      <w:r>
        <w:rPr>
          <w:rFonts w:hint="eastAsia" w:ascii="仿宋_GB2312" w:hAnsi="仿宋_GB2312" w:eastAsia="仿宋_GB2312" w:cs="仿宋_GB2312"/>
          <w:highlight w:val="none"/>
        </w:rPr>
        <w:t>9.投标文件构成</w:t>
      </w:r>
      <w:r>
        <w:tab/>
      </w:r>
      <w:r>
        <w:fldChar w:fldCharType="begin"/>
      </w:r>
      <w:r>
        <w:instrText xml:space="preserve"> PAGEREF _Toc13751 \h </w:instrText>
      </w:r>
      <w:r>
        <w:fldChar w:fldCharType="separate"/>
      </w:r>
      <w:r>
        <w:t>5</w:t>
      </w:r>
      <w:r>
        <w:fldChar w:fldCharType="end"/>
      </w:r>
      <w:r>
        <w:rPr>
          <w:color w:val="auto"/>
        </w:rPr>
        <w:fldChar w:fldCharType="end"/>
      </w:r>
    </w:p>
    <w:p w14:paraId="30644E45">
      <w:pPr>
        <w:pStyle w:val="12"/>
        <w:tabs>
          <w:tab w:val="right" w:pos="2800"/>
          <w:tab w:val="right" w:leader="dot" w:pos="9786"/>
          <w:tab w:val="clear" w:pos="1260"/>
          <w:tab w:val="clear" w:pos="8630"/>
        </w:tabs>
      </w:pPr>
      <w:r>
        <w:rPr>
          <w:color w:val="auto"/>
        </w:rPr>
        <w:fldChar w:fldCharType="begin"/>
      </w:r>
      <w:r>
        <w:instrText xml:space="preserve"> HYPERLINK \l _Toc32256 </w:instrText>
      </w:r>
      <w:r>
        <w:fldChar w:fldCharType="separate"/>
      </w:r>
      <w:r>
        <w:rPr>
          <w:rFonts w:hint="eastAsia" w:ascii="仿宋_GB2312" w:hAnsi="仿宋_GB2312" w:eastAsia="仿宋_GB2312" w:cs="仿宋_GB2312"/>
          <w:highlight w:val="none"/>
        </w:rPr>
        <w:t>10.</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证明投标标的的合格性和符合招标文件规定的技术文件</w:t>
      </w:r>
      <w:r>
        <w:tab/>
      </w:r>
      <w:r>
        <w:fldChar w:fldCharType="begin"/>
      </w:r>
      <w:r>
        <w:instrText xml:space="preserve"> PAGEREF _Toc32256 \h </w:instrText>
      </w:r>
      <w:r>
        <w:fldChar w:fldCharType="separate"/>
      </w:r>
      <w:r>
        <w:t>5</w:t>
      </w:r>
      <w:r>
        <w:fldChar w:fldCharType="end"/>
      </w:r>
      <w:r>
        <w:rPr>
          <w:color w:val="auto"/>
        </w:rPr>
        <w:fldChar w:fldCharType="end"/>
      </w:r>
    </w:p>
    <w:p w14:paraId="17EAE2CC">
      <w:pPr>
        <w:pStyle w:val="12"/>
        <w:tabs>
          <w:tab w:val="right" w:leader="dot" w:pos="9786"/>
          <w:tab w:val="clear" w:pos="1260"/>
          <w:tab w:val="clear" w:pos="8630"/>
        </w:tabs>
      </w:pPr>
      <w:r>
        <w:rPr>
          <w:color w:val="auto"/>
        </w:rPr>
        <w:fldChar w:fldCharType="begin"/>
      </w:r>
      <w:r>
        <w:instrText xml:space="preserve"> HYPERLINK \l _Toc8997 </w:instrText>
      </w:r>
      <w:r>
        <w:fldChar w:fldCharType="separate"/>
      </w:r>
      <w:r>
        <w:rPr>
          <w:rFonts w:hint="eastAsia" w:ascii="仿宋_GB2312" w:hAnsi="仿宋_GB2312" w:eastAsia="仿宋_GB2312" w:cs="仿宋_GB2312"/>
          <w:highlight w:val="none"/>
        </w:rPr>
        <w:t>11.投标报价</w:t>
      </w:r>
      <w:r>
        <w:tab/>
      </w:r>
      <w:r>
        <w:fldChar w:fldCharType="begin"/>
      </w:r>
      <w:r>
        <w:instrText xml:space="preserve"> PAGEREF _Toc8997 \h </w:instrText>
      </w:r>
      <w:r>
        <w:fldChar w:fldCharType="separate"/>
      </w:r>
      <w:r>
        <w:t>6</w:t>
      </w:r>
      <w:r>
        <w:fldChar w:fldCharType="end"/>
      </w:r>
      <w:r>
        <w:rPr>
          <w:color w:val="auto"/>
        </w:rPr>
        <w:fldChar w:fldCharType="end"/>
      </w:r>
    </w:p>
    <w:p w14:paraId="35E71E52">
      <w:pPr>
        <w:pStyle w:val="12"/>
        <w:tabs>
          <w:tab w:val="right" w:leader="dot" w:pos="9786"/>
          <w:tab w:val="clear" w:pos="1260"/>
          <w:tab w:val="clear" w:pos="8630"/>
        </w:tabs>
      </w:pPr>
      <w:r>
        <w:rPr>
          <w:color w:val="auto"/>
        </w:rPr>
        <w:fldChar w:fldCharType="begin"/>
      </w:r>
      <w:r>
        <w:instrText xml:space="preserve"> HYPERLINK \l _Toc30124 </w:instrText>
      </w:r>
      <w:r>
        <w:fldChar w:fldCharType="separate"/>
      </w:r>
      <w:r>
        <w:rPr>
          <w:rFonts w:hint="eastAsia" w:ascii="仿宋_GB2312" w:hAnsi="仿宋_GB2312" w:eastAsia="仿宋_GB2312" w:cs="仿宋_GB2312"/>
          <w:highlight w:val="none"/>
        </w:rPr>
        <w:t>12.投标保证金</w:t>
      </w:r>
      <w:r>
        <w:tab/>
      </w:r>
      <w:r>
        <w:fldChar w:fldCharType="begin"/>
      </w:r>
      <w:r>
        <w:instrText xml:space="preserve"> PAGEREF _Toc30124 \h </w:instrText>
      </w:r>
      <w:r>
        <w:fldChar w:fldCharType="separate"/>
      </w:r>
      <w:r>
        <w:t>6</w:t>
      </w:r>
      <w:r>
        <w:fldChar w:fldCharType="end"/>
      </w:r>
      <w:r>
        <w:rPr>
          <w:color w:val="auto"/>
        </w:rPr>
        <w:fldChar w:fldCharType="end"/>
      </w:r>
    </w:p>
    <w:p w14:paraId="1EDE6251">
      <w:pPr>
        <w:pStyle w:val="12"/>
        <w:tabs>
          <w:tab w:val="right" w:leader="dot" w:pos="9786"/>
          <w:tab w:val="clear" w:pos="1260"/>
          <w:tab w:val="clear" w:pos="8630"/>
        </w:tabs>
      </w:pPr>
      <w:r>
        <w:rPr>
          <w:color w:val="auto"/>
        </w:rPr>
        <w:fldChar w:fldCharType="begin"/>
      </w:r>
      <w:r>
        <w:instrText xml:space="preserve"> HYPERLINK \l _Toc17509 </w:instrText>
      </w:r>
      <w:r>
        <w:fldChar w:fldCharType="separate"/>
      </w:r>
      <w:r>
        <w:rPr>
          <w:rFonts w:hint="eastAsia" w:ascii="仿宋_GB2312" w:hAnsi="仿宋_GB2312" w:eastAsia="仿宋_GB2312" w:cs="仿宋_GB2312"/>
          <w:highlight w:val="none"/>
        </w:rPr>
        <w:t>13.投标有效期</w:t>
      </w:r>
      <w:r>
        <w:tab/>
      </w:r>
      <w:r>
        <w:fldChar w:fldCharType="begin"/>
      </w:r>
      <w:r>
        <w:instrText xml:space="preserve"> PAGEREF _Toc17509 \h </w:instrText>
      </w:r>
      <w:r>
        <w:fldChar w:fldCharType="separate"/>
      </w:r>
      <w:r>
        <w:t>7</w:t>
      </w:r>
      <w:r>
        <w:fldChar w:fldCharType="end"/>
      </w:r>
      <w:r>
        <w:rPr>
          <w:color w:val="auto"/>
        </w:rPr>
        <w:fldChar w:fldCharType="end"/>
      </w:r>
    </w:p>
    <w:p w14:paraId="4E96D58C">
      <w:pPr>
        <w:pStyle w:val="22"/>
        <w:tabs>
          <w:tab w:val="right" w:leader="dot" w:pos="9786"/>
        </w:tabs>
      </w:pPr>
      <w:r>
        <w:rPr>
          <w:color w:val="auto"/>
        </w:rPr>
        <w:fldChar w:fldCharType="begin"/>
      </w:r>
      <w:r>
        <w:instrText xml:space="preserve"> HYPERLINK \l _Toc8378 </w:instrText>
      </w:r>
      <w:r>
        <w:fldChar w:fldCharType="separate"/>
      </w:r>
      <w:r>
        <w:rPr>
          <w:rFonts w:hint="eastAsia" w:ascii="仿宋_GB2312" w:hAnsi="仿宋_GB2312" w:eastAsia="仿宋_GB2312" w:cs="仿宋_GB2312"/>
          <w:highlight w:val="none"/>
        </w:rPr>
        <w:t>四 投标文件的递交</w:t>
      </w:r>
      <w:r>
        <w:tab/>
      </w:r>
      <w:r>
        <w:fldChar w:fldCharType="begin"/>
      </w:r>
      <w:r>
        <w:instrText xml:space="preserve"> PAGEREF _Toc8378 \h </w:instrText>
      </w:r>
      <w:r>
        <w:fldChar w:fldCharType="separate"/>
      </w:r>
      <w:r>
        <w:t>7</w:t>
      </w:r>
      <w:r>
        <w:fldChar w:fldCharType="end"/>
      </w:r>
      <w:r>
        <w:rPr>
          <w:color w:val="auto"/>
        </w:rPr>
        <w:fldChar w:fldCharType="end"/>
      </w:r>
    </w:p>
    <w:p w14:paraId="6E4C0C20">
      <w:pPr>
        <w:pStyle w:val="12"/>
        <w:tabs>
          <w:tab w:val="right" w:leader="dot" w:pos="9786"/>
          <w:tab w:val="clear" w:pos="1260"/>
          <w:tab w:val="clear" w:pos="8630"/>
        </w:tabs>
      </w:pPr>
      <w:r>
        <w:rPr>
          <w:color w:val="auto"/>
        </w:rPr>
        <w:fldChar w:fldCharType="begin"/>
      </w:r>
      <w:r>
        <w:instrText xml:space="preserve"> HYPERLINK \l _Toc8172 </w:instrText>
      </w:r>
      <w:r>
        <w:fldChar w:fldCharType="separate"/>
      </w:r>
      <w:r>
        <w:rPr>
          <w:rFonts w:hint="eastAsia" w:ascii="仿宋_GB2312" w:hAnsi="仿宋_GB2312" w:eastAsia="仿宋_GB2312" w:cs="仿宋_GB2312"/>
          <w:highlight w:val="none"/>
        </w:rPr>
        <w:t>15.投标文件的密封和标记</w:t>
      </w:r>
      <w:r>
        <w:tab/>
      </w:r>
      <w:r>
        <w:fldChar w:fldCharType="begin"/>
      </w:r>
      <w:r>
        <w:instrText xml:space="preserve"> PAGEREF _Toc8172 \h </w:instrText>
      </w:r>
      <w:r>
        <w:fldChar w:fldCharType="separate"/>
      </w:r>
      <w:r>
        <w:t>7</w:t>
      </w:r>
      <w:r>
        <w:fldChar w:fldCharType="end"/>
      </w:r>
      <w:r>
        <w:rPr>
          <w:color w:val="auto"/>
        </w:rPr>
        <w:fldChar w:fldCharType="end"/>
      </w:r>
    </w:p>
    <w:p w14:paraId="26C6ABDF">
      <w:pPr>
        <w:pStyle w:val="12"/>
        <w:tabs>
          <w:tab w:val="right" w:leader="dot" w:pos="9786"/>
          <w:tab w:val="clear" w:pos="1260"/>
          <w:tab w:val="clear" w:pos="8630"/>
        </w:tabs>
      </w:pPr>
      <w:r>
        <w:rPr>
          <w:color w:val="auto"/>
        </w:rPr>
        <w:fldChar w:fldCharType="begin"/>
      </w:r>
      <w:r>
        <w:instrText xml:space="preserve"> HYPERLINK \l _Toc23731 </w:instrText>
      </w:r>
      <w:r>
        <w:fldChar w:fldCharType="separate"/>
      </w:r>
      <w:r>
        <w:rPr>
          <w:rFonts w:hint="eastAsia" w:ascii="仿宋_GB2312" w:hAnsi="仿宋_GB2312" w:eastAsia="仿宋_GB2312" w:cs="仿宋_GB2312"/>
          <w:highlight w:val="none"/>
        </w:rPr>
        <w:t>16.投标截止</w:t>
      </w:r>
      <w:r>
        <w:tab/>
      </w:r>
      <w:r>
        <w:fldChar w:fldCharType="begin"/>
      </w:r>
      <w:r>
        <w:instrText xml:space="preserve"> PAGEREF _Toc23731 \h </w:instrText>
      </w:r>
      <w:r>
        <w:fldChar w:fldCharType="separate"/>
      </w:r>
      <w:r>
        <w:t>8</w:t>
      </w:r>
      <w:r>
        <w:fldChar w:fldCharType="end"/>
      </w:r>
      <w:r>
        <w:rPr>
          <w:color w:val="auto"/>
        </w:rPr>
        <w:fldChar w:fldCharType="end"/>
      </w:r>
    </w:p>
    <w:p w14:paraId="77D63650">
      <w:pPr>
        <w:pStyle w:val="12"/>
        <w:tabs>
          <w:tab w:val="right" w:leader="dot" w:pos="9786"/>
          <w:tab w:val="clear" w:pos="1260"/>
          <w:tab w:val="clear" w:pos="8630"/>
        </w:tabs>
      </w:pPr>
      <w:r>
        <w:rPr>
          <w:color w:val="auto"/>
        </w:rPr>
        <w:fldChar w:fldCharType="begin"/>
      </w:r>
      <w:r>
        <w:instrText xml:space="preserve"> HYPERLINK \l _Toc21111 </w:instrText>
      </w:r>
      <w:r>
        <w:fldChar w:fldCharType="separate"/>
      </w:r>
      <w:r>
        <w:rPr>
          <w:rFonts w:hint="eastAsia" w:ascii="仿宋_GB2312" w:hAnsi="仿宋_GB2312" w:eastAsia="仿宋_GB2312" w:cs="仿宋_GB2312"/>
          <w:highlight w:val="none"/>
        </w:rPr>
        <w:t>17.投标文件的接收、修改与撤回</w:t>
      </w:r>
      <w:r>
        <w:tab/>
      </w:r>
      <w:r>
        <w:fldChar w:fldCharType="begin"/>
      </w:r>
      <w:r>
        <w:instrText xml:space="preserve"> PAGEREF _Toc21111 \h </w:instrText>
      </w:r>
      <w:r>
        <w:fldChar w:fldCharType="separate"/>
      </w:r>
      <w:r>
        <w:t>8</w:t>
      </w:r>
      <w:r>
        <w:fldChar w:fldCharType="end"/>
      </w:r>
      <w:r>
        <w:rPr>
          <w:color w:val="auto"/>
        </w:rPr>
        <w:fldChar w:fldCharType="end"/>
      </w:r>
    </w:p>
    <w:p w14:paraId="3C033431">
      <w:pPr>
        <w:pStyle w:val="22"/>
        <w:tabs>
          <w:tab w:val="right" w:leader="dot" w:pos="9786"/>
        </w:tabs>
      </w:pPr>
      <w:r>
        <w:rPr>
          <w:color w:val="auto"/>
        </w:rPr>
        <w:fldChar w:fldCharType="begin"/>
      </w:r>
      <w:r>
        <w:instrText xml:space="preserve"> HYPERLINK \l _Toc6994 </w:instrText>
      </w:r>
      <w:r>
        <w:fldChar w:fldCharType="separate"/>
      </w:r>
      <w:r>
        <w:rPr>
          <w:rFonts w:hint="eastAsia" w:ascii="仿宋_GB2312" w:hAnsi="仿宋_GB2312" w:eastAsia="仿宋_GB2312" w:cs="仿宋_GB2312"/>
          <w:highlight w:val="none"/>
        </w:rPr>
        <w:t>五 开标及评标</w:t>
      </w:r>
      <w:r>
        <w:tab/>
      </w:r>
      <w:r>
        <w:fldChar w:fldCharType="begin"/>
      </w:r>
      <w:r>
        <w:instrText xml:space="preserve"> PAGEREF _Toc6994 \h </w:instrText>
      </w:r>
      <w:r>
        <w:fldChar w:fldCharType="separate"/>
      </w:r>
      <w:r>
        <w:t>8</w:t>
      </w:r>
      <w:r>
        <w:fldChar w:fldCharType="end"/>
      </w:r>
      <w:r>
        <w:rPr>
          <w:color w:val="auto"/>
        </w:rPr>
        <w:fldChar w:fldCharType="end"/>
      </w:r>
    </w:p>
    <w:p w14:paraId="3BC251D1">
      <w:pPr>
        <w:pStyle w:val="12"/>
        <w:tabs>
          <w:tab w:val="right" w:leader="dot" w:pos="9786"/>
          <w:tab w:val="clear" w:pos="1260"/>
          <w:tab w:val="clear" w:pos="8630"/>
        </w:tabs>
      </w:pPr>
      <w:r>
        <w:rPr>
          <w:color w:val="auto"/>
        </w:rPr>
        <w:fldChar w:fldCharType="begin"/>
      </w:r>
      <w:r>
        <w:instrText xml:space="preserve"> HYPERLINK \l _Toc30465 </w:instrText>
      </w:r>
      <w:r>
        <w:fldChar w:fldCharType="separate"/>
      </w:r>
      <w:r>
        <w:rPr>
          <w:rFonts w:ascii="仿宋_GB2312" w:hAnsi="仿宋_GB2312" w:eastAsia="仿宋_GB2312" w:cs="仿宋_GB2312"/>
        </w:rPr>
        <w:t xml:space="preserve">18. </w:t>
      </w:r>
      <w:r>
        <w:rPr>
          <w:rFonts w:hint="eastAsia" w:ascii="仿宋_GB2312" w:hAnsi="仿宋_GB2312" w:eastAsia="仿宋_GB2312" w:cs="仿宋_GB2312"/>
          <w:highlight w:val="none"/>
        </w:rPr>
        <w:t>开标</w:t>
      </w:r>
      <w:r>
        <w:tab/>
      </w:r>
      <w:r>
        <w:fldChar w:fldCharType="begin"/>
      </w:r>
      <w:r>
        <w:instrText xml:space="preserve"> PAGEREF _Toc30465 \h </w:instrText>
      </w:r>
      <w:r>
        <w:fldChar w:fldCharType="separate"/>
      </w:r>
      <w:r>
        <w:t>8</w:t>
      </w:r>
      <w:r>
        <w:fldChar w:fldCharType="end"/>
      </w:r>
      <w:r>
        <w:rPr>
          <w:color w:val="auto"/>
        </w:rPr>
        <w:fldChar w:fldCharType="end"/>
      </w:r>
    </w:p>
    <w:p w14:paraId="2FDA4D59">
      <w:pPr>
        <w:pStyle w:val="12"/>
        <w:tabs>
          <w:tab w:val="right" w:leader="dot" w:pos="9786"/>
          <w:tab w:val="clear" w:pos="1260"/>
          <w:tab w:val="clear" w:pos="8630"/>
        </w:tabs>
      </w:pPr>
      <w:r>
        <w:rPr>
          <w:color w:val="auto"/>
        </w:rPr>
        <w:fldChar w:fldCharType="begin"/>
      </w:r>
      <w:r>
        <w:instrText xml:space="preserve"> HYPERLINK \l _Toc25379 </w:instrText>
      </w:r>
      <w:r>
        <w:fldChar w:fldCharType="separate"/>
      </w:r>
      <w:r>
        <w:rPr>
          <w:rFonts w:hint="eastAsia" w:ascii="仿宋_GB2312" w:hAnsi="仿宋_GB2312" w:eastAsia="仿宋_GB2312" w:cs="仿宋_GB2312"/>
          <w:highlight w:val="none"/>
        </w:rPr>
        <w:t>19.资格审查及组建评标委员会</w:t>
      </w:r>
      <w:r>
        <w:tab/>
      </w:r>
      <w:r>
        <w:fldChar w:fldCharType="begin"/>
      </w:r>
      <w:r>
        <w:instrText xml:space="preserve"> PAGEREF _Toc25379 \h </w:instrText>
      </w:r>
      <w:r>
        <w:fldChar w:fldCharType="separate"/>
      </w:r>
      <w:r>
        <w:t>8</w:t>
      </w:r>
      <w:r>
        <w:fldChar w:fldCharType="end"/>
      </w:r>
      <w:r>
        <w:rPr>
          <w:color w:val="auto"/>
        </w:rPr>
        <w:fldChar w:fldCharType="end"/>
      </w:r>
    </w:p>
    <w:p w14:paraId="6543BF2E">
      <w:pPr>
        <w:pStyle w:val="12"/>
        <w:tabs>
          <w:tab w:val="right" w:leader="dot" w:pos="9786"/>
          <w:tab w:val="clear" w:pos="1260"/>
          <w:tab w:val="clear" w:pos="8630"/>
        </w:tabs>
      </w:pPr>
      <w:r>
        <w:rPr>
          <w:color w:val="auto"/>
        </w:rPr>
        <w:fldChar w:fldCharType="begin"/>
      </w:r>
      <w:r>
        <w:instrText xml:space="preserve"> HYPERLINK \l _Toc31579 </w:instrText>
      </w:r>
      <w:r>
        <w:fldChar w:fldCharType="separate"/>
      </w:r>
      <w:r>
        <w:rPr>
          <w:rFonts w:hint="eastAsia" w:ascii="仿宋_GB2312" w:hAnsi="仿宋_GB2312" w:eastAsia="仿宋_GB2312" w:cs="仿宋_GB2312"/>
          <w:highlight w:val="none"/>
        </w:rPr>
        <w:t>20.投标文件符合性审查与澄清</w:t>
      </w:r>
      <w:r>
        <w:tab/>
      </w:r>
      <w:r>
        <w:fldChar w:fldCharType="begin"/>
      </w:r>
      <w:r>
        <w:instrText xml:space="preserve"> PAGEREF _Toc31579 \h </w:instrText>
      </w:r>
      <w:r>
        <w:fldChar w:fldCharType="separate"/>
      </w:r>
      <w:r>
        <w:t>9</w:t>
      </w:r>
      <w:r>
        <w:fldChar w:fldCharType="end"/>
      </w:r>
      <w:r>
        <w:rPr>
          <w:color w:val="auto"/>
        </w:rPr>
        <w:fldChar w:fldCharType="end"/>
      </w:r>
    </w:p>
    <w:p w14:paraId="49D7EF7F">
      <w:pPr>
        <w:pStyle w:val="12"/>
        <w:tabs>
          <w:tab w:val="right" w:leader="dot" w:pos="9786"/>
          <w:tab w:val="clear" w:pos="1260"/>
          <w:tab w:val="clear" w:pos="8630"/>
        </w:tabs>
      </w:pPr>
      <w:r>
        <w:rPr>
          <w:color w:val="auto"/>
        </w:rPr>
        <w:fldChar w:fldCharType="begin"/>
      </w:r>
      <w:r>
        <w:instrText xml:space="preserve"> HYPERLINK \l _Toc20043 </w:instrText>
      </w:r>
      <w:r>
        <w:fldChar w:fldCharType="separate"/>
      </w:r>
      <w:r>
        <w:rPr>
          <w:rFonts w:hint="eastAsia" w:ascii="仿宋_GB2312" w:hAnsi="仿宋_GB2312" w:eastAsia="仿宋_GB2312" w:cs="仿宋_GB2312"/>
          <w:highlight w:val="none"/>
        </w:rPr>
        <w:t>21.投标偏离</w:t>
      </w:r>
      <w:r>
        <w:tab/>
      </w:r>
      <w:r>
        <w:fldChar w:fldCharType="begin"/>
      </w:r>
      <w:r>
        <w:instrText xml:space="preserve"> PAGEREF _Toc20043 \h </w:instrText>
      </w:r>
      <w:r>
        <w:fldChar w:fldCharType="separate"/>
      </w:r>
      <w:r>
        <w:t>10</w:t>
      </w:r>
      <w:r>
        <w:fldChar w:fldCharType="end"/>
      </w:r>
      <w:r>
        <w:rPr>
          <w:color w:val="auto"/>
        </w:rPr>
        <w:fldChar w:fldCharType="end"/>
      </w:r>
    </w:p>
    <w:p w14:paraId="7CD01EA9">
      <w:pPr>
        <w:pStyle w:val="12"/>
        <w:tabs>
          <w:tab w:val="right" w:leader="dot" w:pos="9786"/>
          <w:tab w:val="clear" w:pos="1260"/>
          <w:tab w:val="clear" w:pos="8630"/>
        </w:tabs>
      </w:pPr>
      <w:r>
        <w:rPr>
          <w:color w:val="auto"/>
        </w:rPr>
        <w:fldChar w:fldCharType="begin"/>
      </w:r>
      <w:r>
        <w:instrText xml:space="preserve"> HYPERLINK \l _Toc11878 </w:instrText>
      </w:r>
      <w:r>
        <w:fldChar w:fldCharType="separate"/>
      </w:r>
      <w:r>
        <w:rPr>
          <w:rFonts w:hint="eastAsia" w:ascii="仿宋_GB2312" w:hAnsi="仿宋_GB2312" w:eastAsia="仿宋_GB2312" w:cs="仿宋_GB2312"/>
          <w:highlight w:val="none"/>
        </w:rPr>
        <w:t>22.投标无效</w:t>
      </w:r>
      <w:r>
        <w:tab/>
      </w:r>
      <w:r>
        <w:fldChar w:fldCharType="begin"/>
      </w:r>
      <w:r>
        <w:instrText xml:space="preserve"> PAGEREF _Toc11878 \h </w:instrText>
      </w:r>
      <w:r>
        <w:fldChar w:fldCharType="separate"/>
      </w:r>
      <w:r>
        <w:t>10</w:t>
      </w:r>
      <w:r>
        <w:fldChar w:fldCharType="end"/>
      </w:r>
      <w:r>
        <w:rPr>
          <w:color w:val="auto"/>
        </w:rPr>
        <w:fldChar w:fldCharType="end"/>
      </w:r>
    </w:p>
    <w:p w14:paraId="42EBB208">
      <w:pPr>
        <w:pStyle w:val="12"/>
        <w:tabs>
          <w:tab w:val="right" w:leader="dot" w:pos="9786"/>
          <w:tab w:val="clear" w:pos="1260"/>
          <w:tab w:val="clear" w:pos="8630"/>
        </w:tabs>
      </w:pPr>
      <w:r>
        <w:rPr>
          <w:color w:val="auto"/>
        </w:rPr>
        <w:fldChar w:fldCharType="begin"/>
      </w:r>
      <w:r>
        <w:instrText xml:space="preserve"> HYPERLINK \l _Toc16454 </w:instrText>
      </w:r>
      <w:r>
        <w:fldChar w:fldCharType="separate"/>
      </w:r>
      <w:r>
        <w:rPr>
          <w:rFonts w:hint="eastAsia" w:ascii="仿宋_GB2312" w:hAnsi="仿宋_GB2312" w:eastAsia="仿宋_GB2312" w:cs="仿宋_GB2312"/>
          <w:highlight w:val="none"/>
        </w:rPr>
        <w:t>24.废标</w:t>
      </w:r>
      <w:r>
        <w:tab/>
      </w:r>
      <w:r>
        <w:fldChar w:fldCharType="begin"/>
      </w:r>
      <w:r>
        <w:instrText xml:space="preserve"> PAGEREF _Toc16454 \h </w:instrText>
      </w:r>
      <w:r>
        <w:fldChar w:fldCharType="separate"/>
      </w:r>
      <w:r>
        <w:t>11</w:t>
      </w:r>
      <w:r>
        <w:fldChar w:fldCharType="end"/>
      </w:r>
      <w:r>
        <w:rPr>
          <w:color w:val="auto"/>
        </w:rPr>
        <w:fldChar w:fldCharType="end"/>
      </w:r>
    </w:p>
    <w:p w14:paraId="7837339E">
      <w:pPr>
        <w:pStyle w:val="12"/>
        <w:tabs>
          <w:tab w:val="right" w:leader="dot" w:pos="9786"/>
          <w:tab w:val="clear" w:pos="1260"/>
          <w:tab w:val="clear" w:pos="8630"/>
        </w:tabs>
      </w:pPr>
      <w:r>
        <w:rPr>
          <w:color w:val="auto"/>
        </w:rPr>
        <w:fldChar w:fldCharType="begin"/>
      </w:r>
      <w:r>
        <w:instrText xml:space="preserve"> HYPERLINK \l _Toc32068 </w:instrText>
      </w:r>
      <w:r>
        <w:fldChar w:fldCharType="separate"/>
      </w:r>
      <w:r>
        <w:rPr>
          <w:rFonts w:hint="eastAsia" w:ascii="仿宋_GB2312" w:hAnsi="仿宋_GB2312" w:eastAsia="仿宋_GB2312" w:cs="仿宋_GB2312"/>
          <w:highlight w:val="none"/>
        </w:rPr>
        <w:t>25.保密原则</w:t>
      </w:r>
      <w:r>
        <w:tab/>
      </w:r>
      <w:r>
        <w:fldChar w:fldCharType="begin"/>
      </w:r>
      <w:r>
        <w:instrText xml:space="preserve"> PAGEREF _Toc32068 \h </w:instrText>
      </w:r>
      <w:r>
        <w:fldChar w:fldCharType="separate"/>
      </w:r>
      <w:r>
        <w:t>11</w:t>
      </w:r>
      <w:r>
        <w:fldChar w:fldCharType="end"/>
      </w:r>
      <w:r>
        <w:rPr>
          <w:color w:val="auto"/>
        </w:rPr>
        <w:fldChar w:fldCharType="end"/>
      </w:r>
    </w:p>
    <w:p w14:paraId="36181102">
      <w:pPr>
        <w:pStyle w:val="22"/>
        <w:tabs>
          <w:tab w:val="right" w:leader="dot" w:pos="9786"/>
        </w:tabs>
      </w:pPr>
      <w:r>
        <w:rPr>
          <w:color w:val="auto"/>
        </w:rPr>
        <w:fldChar w:fldCharType="begin"/>
      </w:r>
      <w:r>
        <w:instrText xml:space="preserve"> HYPERLINK \l _Toc4830 </w:instrText>
      </w:r>
      <w:r>
        <w:fldChar w:fldCharType="separate"/>
      </w:r>
      <w:r>
        <w:rPr>
          <w:rFonts w:hint="eastAsia" w:ascii="仿宋_GB2312" w:hAnsi="仿宋_GB2312" w:eastAsia="仿宋_GB2312" w:cs="仿宋_GB2312"/>
          <w:highlight w:val="none"/>
        </w:rPr>
        <w:t>六 确定中标</w:t>
      </w:r>
      <w:r>
        <w:tab/>
      </w:r>
      <w:r>
        <w:fldChar w:fldCharType="begin"/>
      </w:r>
      <w:r>
        <w:instrText xml:space="preserve"> PAGEREF _Toc4830 \h </w:instrText>
      </w:r>
      <w:r>
        <w:fldChar w:fldCharType="separate"/>
      </w:r>
      <w:r>
        <w:t>11</w:t>
      </w:r>
      <w:r>
        <w:fldChar w:fldCharType="end"/>
      </w:r>
      <w:r>
        <w:rPr>
          <w:color w:val="auto"/>
        </w:rPr>
        <w:fldChar w:fldCharType="end"/>
      </w:r>
    </w:p>
    <w:p w14:paraId="0E8979B5">
      <w:pPr>
        <w:pStyle w:val="12"/>
        <w:tabs>
          <w:tab w:val="right" w:leader="dot" w:pos="9786"/>
          <w:tab w:val="clear" w:pos="1260"/>
          <w:tab w:val="clear" w:pos="8630"/>
        </w:tabs>
      </w:pPr>
      <w:r>
        <w:rPr>
          <w:color w:val="auto"/>
        </w:rPr>
        <w:fldChar w:fldCharType="begin"/>
      </w:r>
      <w:r>
        <w:instrText xml:space="preserve"> HYPERLINK \l _Toc16130 </w:instrText>
      </w:r>
      <w:r>
        <w:fldChar w:fldCharType="separate"/>
      </w:r>
      <w:r>
        <w:rPr>
          <w:rFonts w:hint="eastAsia" w:ascii="仿宋_GB2312" w:hAnsi="仿宋_GB2312" w:eastAsia="仿宋_GB2312" w:cs="仿宋_GB2312"/>
          <w:highlight w:val="none"/>
        </w:rPr>
        <w:t>26.中标候选人的确定原则及标准</w:t>
      </w:r>
      <w:r>
        <w:tab/>
      </w:r>
      <w:r>
        <w:fldChar w:fldCharType="begin"/>
      </w:r>
      <w:r>
        <w:instrText xml:space="preserve"> PAGEREF _Toc16130 \h </w:instrText>
      </w:r>
      <w:r>
        <w:fldChar w:fldCharType="separate"/>
      </w:r>
      <w:r>
        <w:t>11</w:t>
      </w:r>
      <w:r>
        <w:fldChar w:fldCharType="end"/>
      </w:r>
      <w:r>
        <w:rPr>
          <w:color w:val="auto"/>
        </w:rPr>
        <w:fldChar w:fldCharType="end"/>
      </w:r>
    </w:p>
    <w:p w14:paraId="782254B3">
      <w:pPr>
        <w:pStyle w:val="12"/>
        <w:tabs>
          <w:tab w:val="right" w:leader="dot" w:pos="9786"/>
          <w:tab w:val="clear" w:pos="1260"/>
          <w:tab w:val="clear" w:pos="8630"/>
        </w:tabs>
      </w:pPr>
      <w:r>
        <w:rPr>
          <w:color w:val="auto"/>
        </w:rPr>
        <w:fldChar w:fldCharType="begin"/>
      </w:r>
      <w:r>
        <w:instrText xml:space="preserve"> HYPERLINK \l _Toc15282 </w:instrText>
      </w:r>
      <w:r>
        <w:fldChar w:fldCharType="separate"/>
      </w:r>
      <w:r>
        <w:rPr>
          <w:rFonts w:hint="eastAsia" w:ascii="仿宋_GB2312" w:hAnsi="仿宋_GB2312" w:eastAsia="仿宋_GB2312" w:cs="仿宋_GB2312"/>
          <w:highlight w:val="none"/>
        </w:rPr>
        <w:t>27.确定中标候选人和中标人</w:t>
      </w:r>
      <w:r>
        <w:tab/>
      </w:r>
      <w:r>
        <w:fldChar w:fldCharType="begin"/>
      </w:r>
      <w:r>
        <w:instrText xml:space="preserve"> PAGEREF _Toc15282 \h </w:instrText>
      </w:r>
      <w:r>
        <w:fldChar w:fldCharType="separate"/>
      </w:r>
      <w:r>
        <w:t>12</w:t>
      </w:r>
      <w:r>
        <w:fldChar w:fldCharType="end"/>
      </w:r>
      <w:r>
        <w:rPr>
          <w:color w:val="auto"/>
        </w:rPr>
        <w:fldChar w:fldCharType="end"/>
      </w:r>
    </w:p>
    <w:p w14:paraId="55D3FC80">
      <w:pPr>
        <w:pStyle w:val="12"/>
        <w:tabs>
          <w:tab w:val="right" w:leader="dot" w:pos="9786"/>
          <w:tab w:val="clear" w:pos="1260"/>
          <w:tab w:val="clear" w:pos="8630"/>
        </w:tabs>
      </w:pPr>
      <w:r>
        <w:rPr>
          <w:color w:val="auto"/>
        </w:rPr>
        <w:fldChar w:fldCharType="begin"/>
      </w:r>
      <w:r>
        <w:instrText xml:space="preserve"> HYPERLINK \l _Toc10877 </w:instrText>
      </w:r>
      <w:r>
        <w:fldChar w:fldCharType="separate"/>
      </w:r>
      <w:r>
        <w:rPr>
          <w:rFonts w:hint="eastAsia" w:ascii="仿宋_GB2312" w:hAnsi="仿宋_GB2312" w:eastAsia="仿宋_GB2312" w:cs="仿宋_GB2312"/>
          <w:highlight w:val="none"/>
        </w:rPr>
        <w:t>28.采购任务取消</w:t>
      </w:r>
      <w:r>
        <w:tab/>
      </w:r>
      <w:r>
        <w:fldChar w:fldCharType="begin"/>
      </w:r>
      <w:r>
        <w:instrText xml:space="preserve"> PAGEREF _Toc10877 \h </w:instrText>
      </w:r>
      <w:r>
        <w:fldChar w:fldCharType="separate"/>
      </w:r>
      <w:r>
        <w:t>12</w:t>
      </w:r>
      <w:r>
        <w:fldChar w:fldCharType="end"/>
      </w:r>
      <w:r>
        <w:rPr>
          <w:color w:val="auto"/>
        </w:rPr>
        <w:fldChar w:fldCharType="end"/>
      </w:r>
    </w:p>
    <w:p w14:paraId="186C1CA5">
      <w:pPr>
        <w:pStyle w:val="12"/>
        <w:tabs>
          <w:tab w:val="right" w:leader="dot" w:pos="9786"/>
          <w:tab w:val="clear" w:pos="1260"/>
          <w:tab w:val="clear" w:pos="8630"/>
        </w:tabs>
      </w:pPr>
      <w:r>
        <w:rPr>
          <w:color w:val="auto"/>
        </w:rPr>
        <w:fldChar w:fldCharType="begin"/>
      </w:r>
      <w:r>
        <w:instrText xml:space="preserve"> HYPERLINK \l _Toc14073 </w:instrText>
      </w:r>
      <w:r>
        <w:fldChar w:fldCharType="separate"/>
      </w:r>
      <w:r>
        <w:rPr>
          <w:rFonts w:hint="eastAsia" w:ascii="仿宋_GB2312" w:hAnsi="仿宋_GB2312" w:eastAsia="仿宋_GB2312" w:cs="仿宋_GB2312"/>
          <w:highlight w:val="none"/>
        </w:rPr>
        <w:t>29.中标通知书</w:t>
      </w:r>
      <w:r>
        <w:tab/>
      </w:r>
      <w:r>
        <w:fldChar w:fldCharType="begin"/>
      </w:r>
      <w:r>
        <w:instrText xml:space="preserve"> PAGEREF _Toc14073 \h </w:instrText>
      </w:r>
      <w:r>
        <w:fldChar w:fldCharType="separate"/>
      </w:r>
      <w:r>
        <w:t>12</w:t>
      </w:r>
      <w:r>
        <w:fldChar w:fldCharType="end"/>
      </w:r>
      <w:r>
        <w:rPr>
          <w:color w:val="auto"/>
        </w:rPr>
        <w:fldChar w:fldCharType="end"/>
      </w:r>
    </w:p>
    <w:p w14:paraId="6E7D849D">
      <w:pPr>
        <w:pStyle w:val="12"/>
        <w:tabs>
          <w:tab w:val="right" w:leader="dot" w:pos="9786"/>
          <w:tab w:val="clear" w:pos="1260"/>
          <w:tab w:val="clear" w:pos="8630"/>
        </w:tabs>
      </w:pPr>
      <w:r>
        <w:rPr>
          <w:color w:val="auto"/>
        </w:rPr>
        <w:fldChar w:fldCharType="begin"/>
      </w:r>
      <w:r>
        <w:instrText xml:space="preserve"> HYPERLINK \l _Toc12440 </w:instrText>
      </w:r>
      <w:r>
        <w:fldChar w:fldCharType="separate"/>
      </w:r>
      <w:r>
        <w:rPr>
          <w:rFonts w:hint="eastAsia" w:ascii="仿宋_GB2312" w:hAnsi="仿宋_GB2312" w:eastAsia="仿宋_GB2312" w:cs="仿宋_GB2312"/>
          <w:highlight w:val="none"/>
        </w:rPr>
        <w:t>30.签订合同</w:t>
      </w:r>
      <w:r>
        <w:tab/>
      </w:r>
      <w:r>
        <w:fldChar w:fldCharType="begin"/>
      </w:r>
      <w:r>
        <w:instrText xml:space="preserve"> PAGEREF _Toc12440 \h </w:instrText>
      </w:r>
      <w:r>
        <w:fldChar w:fldCharType="separate"/>
      </w:r>
      <w:r>
        <w:t>12</w:t>
      </w:r>
      <w:r>
        <w:fldChar w:fldCharType="end"/>
      </w:r>
      <w:r>
        <w:rPr>
          <w:color w:val="auto"/>
        </w:rPr>
        <w:fldChar w:fldCharType="end"/>
      </w:r>
    </w:p>
    <w:p w14:paraId="775241A9">
      <w:pPr>
        <w:pStyle w:val="12"/>
        <w:tabs>
          <w:tab w:val="right" w:leader="dot" w:pos="9786"/>
          <w:tab w:val="clear" w:pos="1260"/>
          <w:tab w:val="clear" w:pos="8630"/>
        </w:tabs>
      </w:pPr>
      <w:r>
        <w:rPr>
          <w:color w:val="auto"/>
        </w:rPr>
        <w:fldChar w:fldCharType="begin"/>
      </w:r>
      <w:r>
        <w:instrText xml:space="preserve"> HYPERLINK \l _Toc10608 </w:instrText>
      </w:r>
      <w:r>
        <w:fldChar w:fldCharType="separate"/>
      </w:r>
      <w:r>
        <w:rPr>
          <w:rFonts w:hint="eastAsia" w:ascii="仿宋_GB2312" w:hAnsi="仿宋_GB2312" w:eastAsia="仿宋_GB2312" w:cs="仿宋_GB2312"/>
          <w:highlight w:val="none"/>
        </w:rPr>
        <w:t>31.履约保证金</w:t>
      </w:r>
      <w:r>
        <w:tab/>
      </w:r>
      <w:r>
        <w:fldChar w:fldCharType="begin"/>
      </w:r>
      <w:r>
        <w:instrText xml:space="preserve"> PAGEREF _Toc10608 \h </w:instrText>
      </w:r>
      <w:r>
        <w:fldChar w:fldCharType="separate"/>
      </w:r>
      <w:r>
        <w:t>12</w:t>
      </w:r>
      <w:r>
        <w:fldChar w:fldCharType="end"/>
      </w:r>
      <w:r>
        <w:rPr>
          <w:color w:val="auto"/>
        </w:rPr>
        <w:fldChar w:fldCharType="end"/>
      </w:r>
    </w:p>
    <w:p w14:paraId="4957F2BC">
      <w:pPr>
        <w:pStyle w:val="12"/>
        <w:tabs>
          <w:tab w:val="right" w:leader="dot" w:pos="9786"/>
          <w:tab w:val="clear" w:pos="1260"/>
          <w:tab w:val="clear" w:pos="8630"/>
        </w:tabs>
      </w:pPr>
      <w:r>
        <w:rPr>
          <w:color w:val="auto"/>
        </w:rPr>
        <w:fldChar w:fldCharType="begin"/>
      </w:r>
      <w:r>
        <w:instrText xml:space="preserve"> HYPERLINK \l _Toc1278 </w:instrText>
      </w:r>
      <w:r>
        <w:fldChar w:fldCharType="separate"/>
      </w:r>
      <w:r>
        <w:rPr>
          <w:rFonts w:hint="eastAsia" w:ascii="仿宋_GB2312" w:hAnsi="仿宋_GB2312" w:eastAsia="仿宋_GB2312" w:cs="仿宋_GB2312"/>
          <w:highlight w:val="none"/>
        </w:rPr>
        <w:t>32.中标服务费</w:t>
      </w:r>
      <w:r>
        <w:tab/>
      </w:r>
      <w:r>
        <w:fldChar w:fldCharType="begin"/>
      </w:r>
      <w:r>
        <w:instrText xml:space="preserve"> PAGEREF _Toc1278 \h </w:instrText>
      </w:r>
      <w:r>
        <w:fldChar w:fldCharType="separate"/>
      </w:r>
      <w:r>
        <w:t>12</w:t>
      </w:r>
      <w:r>
        <w:fldChar w:fldCharType="end"/>
      </w:r>
      <w:r>
        <w:rPr>
          <w:color w:val="auto"/>
        </w:rPr>
        <w:fldChar w:fldCharType="end"/>
      </w:r>
    </w:p>
    <w:p w14:paraId="3286ED45">
      <w:pPr>
        <w:pStyle w:val="12"/>
        <w:tabs>
          <w:tab w:val="right" w:leader="dot" w:pos="9786"/>
          <w:tab w:val="clear" w:pos="1260"/>
          <w:tab w:val="clear" w:pos="8630"/>
        </w:tabs>
      </w:pPr>
      <w:r>
        <w:rPr>
          <w:color w:val="auto"/>
        </w:rPr>
        <w:fldChar w:fldCharType="begin"/>
      </w:r>
      <w:r>
        <w:instrText xml:space="preserve"> HYPERLINK \l _Toc31369 </w:instrText>
      </w:r>
      <w:r>
        <w:fldChar w:fldCharType="separate"/>
      </w:r>
      <w:r>
        <w:rPr>
          <w:rFonts w:hint="eastAsia" w:ascii="仿宋_GB2312" w:hAnsi="仿宋_GB2312" w:eastAsia="仿宋_GB2312" w:cs="仿宋_GB2312"/>
          <w:highlight w:val="none"/>
        </w:rPr>
        <w:t>33.政府采购信用担保</w:t>
      </w:r>
      <w:r>
        <w:tab/>
      </w:r>
      <w:r>
        <w:fldChar w:fldCharType="begin"/>
      </w:r>
      <w:r>
        <w:instrText xml:space="preserve"> PAGEREF _Toc31369 \h </w:instrText>
      </w:r>
      <w:r>
        <w:fldChar w:fldCharType="separate"/>
      </w:r>
      <w:r>
        <w:t>12</w:t>
      </w:r>
      <w:r>
        <w:fldChar w:fldCharType="end"/>
      </w:r>
      <w:r>
        <w:rPr>
          <w:color w:val="auto"/>
        </w:rPr>
        <w:fldChar w:fldCharType="end"/>
      </w:r>
    </w:p>
    <w:p w14:paraId="50D3EF99">
      <w:pPr>
        <w:pStyle w:val="12"/>
        <w:tabs>
          <w:tab w:val="right" w:leader="dot" w:pos="9786"/>
          <w:tab w:val="clear" w:pos="1260"/>
          <w:tab w:val="clear" w:pos="8630"/>
        </w:tabs>
      </w:pPr>
      <w:r>
        <w:rPr>
          <w:color w:val="auto"/>
        </w:rPr>
        <w:fldChar w:fldCharType="begin"/>
      </w:r>
      <w:r>
        <w:instrText xml:space="preserve"> HYPERLINK \l _Toc12794 </w:instrText>
      </w:r>
      <w:r>
        <w:fldChar w:fldCharType="separate"/>
      </w:r>
      <w:r>
        <w:rPr>
          <w:rFonts w:hint="eastAsia" w:ascii="仿宋_GB2312" w:hAnsi="仿宋_GB2312" w:eastAsia="仿宋_GB2312" w:cs="仿宋_GB2312"/>
          <w:highlight w:val="none"/>
        </w:rPr>
        <w:t>34.廉洁自律规定</w:t>
      </w:r>
      <w:r>
        <w:tab/>
      </w:r>
      <w:r>
        <w:fldChar w:fldCharType="begin"/>
      </w:r>
      <w:r>
        <w:instrText xml:space="preserve"> PAGEREF _Toc12794 \h </w:instrText>
      </w:r>
      <w:r>
        <w:fldChar w:fldCharType="separate"/>
      </w:r>
      <w:r>
        <w:t>12</w:t>
      </w:r>
      <w:r>
        <w:fldChar w:fldCharType="end"/>
      </w:r>
      <w:r>
        <w:rPr>
          <w:color w:val="auto"/>
        </w:rPr>
        <w:fldChar w:fldCharType="end"/>
      </w:r>
    </w:p>
    <w:p w14:paraId="58B93FD6">
      <w:pPr>
        <w:pStyle w:val="12"/>
        <w:tabs>
          <w:tab w:val="right" w:leader="dot" w:pos="9786"/>
          <w:tab w:val="clear" w:pos="1260"/>
          <w:tab w:val="clear" w:pos="8630"/>
        </w:tabs>
      </w:pPr>
      <w:r>
        <w:rPr>
          <w:color w:val="auto"/>
        </w:rPr>
        <w:fldChar w:fldCharType="begin"/>
      </w:r>
      <w:r>
        <w:instrText xml:space="preserve"> HYPERLINK \l _Toc29021 </w:instrText>
      </w:r>
      <w:r>
        <w:fldChar w:fldCharType="separate"/>
      </w:r>
      <w:r>
        <w:rPr>
          <w:rFonts w:hint="eastAsia" w:ascii="仿宋_GB2312" w:hAnsi="仿宋_GB2312" w:eastAsia="仿宋_GB2312" w:cs="仿宋_GB2312"/>
          <w:highlight w:val="none"/>
        </w:rPr>
        <w:t>35.人员回避</w:t>
      </w:r>
      <w:r>
        <w:tab/>
      </w:r>
      <w:r>
        <w:fldChar w:fldCharType="begin"/>
      </w:r>
      <w:r>
        <w:instrText xml:space="preserve"> PAGEREF _Toc29021 \h </w:instrText>
      </w:r>
      <w:r>
        <w:fldChar w:fldCharType="separate"/>
      </w:r>
      <w:r>
        <w:t>13</w:t>
      </w:r>
      <w:r>
        <w:fldChar w:fldCharType="end"/>
      </w:r>
      <w:r>
        <w:rPr>
          <w:color w:val="auto"/>
        </w:rPr>
        <w:fldChar w:fldCharType="end"/>
      </w:r>
    </w:p>
    <w:p w14:paraId="5692A6E8">
      <w:pPr>
        <w:pStyle w:val="12"/>
        <w:tabs>
          <w:tab w:val="right" w:leader="dot" w:pos="9786"/>
          <w:tab w:val="clear" w:pos="1260"/>
          <w:tab w:val="clear" w:pos="8630"/>
        </w:tabs>
      </w:pPr>
      <w:r>
        <w:rPr>
          <w:color w:val="auto"/>
        </w:rPr>
        <w:fldChar w:fldCharType="begin"/>
      </w:r>
      <w:r>
        <w:instrText xml:space="preserve"> HYPERLINK \l _Toc14397 </w:instrText>
      </w:r>
      <w:r>
        <w:fldChar w:fldCharType="separate"/>
      </w:r>
      <w:r>
        <w:rPr>
          <w:rFonts w:hint="eastAsia" w:ascii="仿宋_GB2312" w:hAnsi="仿宋_GB2312" w:eastAsia="仿宋_GB2312" w:cs="仿宋_GB2312"/>
          <w:szCs w:val="24"/>
          <w:highlight w:val="none"/>
        </w:rPr>
        <w:t>36.质疑与接收</w:t>
      </w:r>
      <w:r>
        <w:tab/>
      </w:r>
      <w:r>
        <w:fldChar w:fldCharType="begin"/>
      </w:r>
      <w:r>
        <w:instrText xml:space="preserve"> PAGEREF _Toc14397 \h </w:instrText>
      </w:r>
      <w:r>
        <w:fldChar w:fldCharType="separate"/>
      </w:r>
      <w:r>
        <w:t>13</w:t>
      </w:r>
      <w:r>
        <w:fldChar w:fldCharType="end"/>
      </w:r>
      <w:r>
        <w:rPr>
          <w:color w:val="auto"/>
        </w:rPr>
        <w:fldChar w:fldCharType="end"/>
      </w:r>
    </w:p>
    <w:p w14:paraId="2D215B11">
      <w:pPr>
        <w:pStyle w:val="18"/>
        <w:tabs>
          <w:tab w:val="right" w:leader="dot" w:pos="9786"/>
        </w:tabs>
      </w:pPr>
      <w:r>
        <w:rPr>
          <w:color w:val="auto"/>
        </w:rPr>
        <w:fldChar w:fldCharType="begin"/>
      </w:r>
      <w:r>
        <w:instrText xml:space="preserve"> HYPERLINK \l _Toc29173 </w:instrText>
      </w:r>
      <w:r>
        <w:fldChar w:fldCharType="separate"/>
      </w:r>
      <w:r>
        <w:rPr>
          <w:rFonts w:hint="eastAsia" w:ascii="仿宋_GB2312" w:hAnsi="仿宋_GB2312" w:eastAsia="仿宋_GB2312" w:cs="仿宋_GB2312"/>
          <w:kern w:val="0"/>
          <w:szCs w:val="44"/>
          <w:highlight w:val="none"/>
        </w:rPr>
        <w:t>第二章</w:t>
      </w:r>
      <w:r>
        <w:rPr>
          <w:rFonts w:hint="eastAsia" w:ascii="仿宋_GB2312" w:hAnsi="仿宋_GB2312" w:eastAsia="仿宋_GB2312" w:cs="仿宋_GB2312"/>
          <w:szCs w:val="44"/>
          <w:highlight w:val="none"/>
        </w:rPr>
        <w:t xml:space="preserve">  投标文件格式</w:t>
      </w:r>
      <w:r>
        <w:tab/>
      </w:r>
      <w:r>
        <w:fldChar w:fldCharType="begin"/>
      </w:r>
      <w:r>
        <w:instrText xml:space="preserve"> PAGEREF _Toc29173 \h </w:instrText>
      </w:r>
      <w:r>
        <w:fldChar w:fldCharType="separate"/>
      </w:r>
      <w:r>
        <w:t>19</w:t>
      </w:r>
      <w:r>
        <w:fldChar w:fldCharType="end"/>
      </w:r>
      <w:r>
        <w:rPr>
          <w:color w:val="auto"/>
        </w:rPr>
        <w:fldChar w:fldCharType="end"/>
      </w:r>
    </w:p>
    <w:p w14:paraId="5B3610DD">
      <w:pPr>
        <w:pStyle w:val="22"/>
        <w:tabs>
          <w:tab w:val="right" w:leader="dot" w:pos="9786"/>
        </w:tabs>
      </w:pPr>
      <w:r>
        <w:rPr>
          <w:color w:val="auto"/>
        </w:rPr>
        <w:fldChar w:fldCharType="begin"/>
      </w:r>
      <w:r>
        <w:instrText xml:space="preserve"> HYPERLINK \l _Toc378 </w:instrText>
      </w:r>
      <w:r>
        <w:fldChar w:fldCharType="separate"/>
      </w:r>
      <w:r>
        <w:rPr>
          <w:rFonts w:ascii="仿宋_GB2312" w:hAnsi="宋体" w:eastAsia="仿宋_GB2312"/>
          <w:highlight w:val="none"/>
        </w:rPr>
        <w:t>第一部分</w:t>
      </w:r>
      <w:r>
        <w:rPr>
          <w:rFonts w:hint="eastAsia" w:ascii="仿宋_GB2312" w:hAnsi="宋体" w:eastAsia="仿宋_GB2312"/>
          <w:highlight w:val="none"/>
        </w:rPr>
        <w:t xml:space="preserve"> 开标一览表及资格证明文件</w:t>
      </w:r>
      <w:r>
        <w:tab/>
      </w:r>
      <w:r>
        <w:fldChar w:fldCharType="begin"/>
      </w:r>
      <w:r>
        <w:instrText xml:space="preserve"> PAGEREF _Toc378 \h </w:instrText>
      </w:r>
      <w:r>
        <w:fldChar w:fldCharType="separate"/>
      </w:r>
      <w:r>
        <w:t>19</w:t>
      </w:r>
      <w:r>
        <w:fldChar w:fldCharType="end"/>
      </w:r>
      <w:r>
        <w:rPr>
          <w:color w:val="auto"/>
        </w:rPr>
        <w:fldChar w:fldCharType="end"/>
      </w:r>
    </w:p>
    <w:p w14:paraId="4B45A386">
      <w:pPr>
        <w:pStyle w:val="12"/>
        <w:tabs>
          <w:tab w:val="right" w:leader="dot" w:pos="9786"/>
          <w:tab w:val="clear" w:pos="1260"/>
          <w:tab w:val="clear" w:pos="8630"/>
        </w:tabs>
      </w:pPr>
      <w:r>
        <w:rPr>
          <w:color w:val="auto"/>
        </w:rPr>
        <w:fldChar w:fldCharType="begin"/>
      </w:r>
      <w:r>
        <w:instrText xml:space="preserve"> HYPERLINK \l _Toc9681 </w:instrText>
      </w:r>
      <w:r>
        <w:fldChar w:fldCharType="separate"/>
      </w:r>
      <w:r>
        <w:rPr>
          <w:rFonts w:hint="eastAsia" w:ascii="仿宋_GB2312" w:hAnsi="仿宋_GB2312" w:eastAsia="仿宋_GB2312" w:cs="仿宋_GB2312"/>
          <w:highlight w:val="none"/>
        </w:rPr>
        <w:t>1  开标一览表</w:t>
      </w:r>
      <w:r>
        <w:tab/>
      </w:r>
      <w:r>
        <w:fldChar w:fldCharType="begin"/>
      </w:r>
      <w:r>
        <w:instrText xml:space="preserve"> PAGEREF _Toc9681 \h </w:instrText>
      </w:r>
      <w:r>
        <w:fldChar w:fldCharType="separate"/>
      </w:r>
      <w:r>
        <w:t>20</w:t>
      </w:r>
      <w:r>
        <w:fldChar w:fldCharType="end"/>
      </w:r>
      <w:r>
        <w:rPr>
          <w:color w:val="auto"/>
        </w:rPr>
        <w:fldChar w:fldCharType="end"/>
      </w:r>
    </w:p>
    <w:p w14:paraId="0417A60B">
      <w:pPr>
        <w:pStyle w:val="12"/>
        <w:tabs>
          <w:tab w:val="right" w:leader="dot" w:pos="9786"/>
          <w:tab w:val="clear" w:pos="1260"/>
          <w:tab w:val="clear" w:pos="8630"/>
        </w:tabs>
      </w:pPr>
      <w:r>
        <w:rPr>
          <w:color w:val="auto"/>
        </w:rPr>
        <w:fldChar w:fldCharType="begin"/>
      </w:r>
      <w:r>
        <w:instrText xml:space="preserve"> HYPERLINK \l _Toc25926 </w:instrText>
      </w:r>
      <w:r>
        <w:fldChar w:fldCharType="separate"/>
      </w:r>
      <w:r>
        <w:rPr>
          <w:rFonts w:hint="eastAsia" w:ascii="仿宋_GB2312" w:hAnsi="仿宋_GB2312" w:eastAsia="仿宋_GB2312" w:cs="仿宋_GB2312"/>
          <w:highlight w:val="none"/>
        </w:rPr>
        <w:t>2  法人或者非法人组织的营业执照等证明文件</w:t>
      </w:r>
      <w:r>
        <w:tab/>
      </w:r>
      <w:r>
        <w:fldChar w:fldCharType="begin"/>
      </w:r>
      <w:r>
        <w:instrText xml:space="preserve"> PAGEREF _Toc25926 \h </w:instrText>
      </w:r>
      <w:r>
        <w:fldChar w:fldCharType="separate"/>
      </w:r>
      <w:r>
        <w:t>21</w:t>
      </w:r>
      <w:r>
        <w:fldChar w:fldCharType="end"/>
      </w:r>
      <w:r>
        <w:rPr>
          <w:color w:val="auto"/>
        </w:rPr>
        <w:fldChar w:fldCharType="end"/>
      </w:r>
    </w:p>
    <w:p w14:paraId="1C05133D">
      <w:pPr>
        <w:pStyle w:val="12"/>
        <w:tabs>
          <w:tab w:val="right" w:leader="dot" w:pos="9786"/>
          <w:tab w:val="clear" w:pos="1260"/>
          <w:tab w:val="clear" w:pos="8630"/>
        </w:tabs>
      </w:pPr>
      <w:r>
        <w:rPr>
          <w:color w:val="auto"/>
        </w:rPr>
        <w:fldChar w:fldCharType="begin"/>
      </w:r>
      <w:r>
        <w:instrText xml:space="preserve"> HYPERLINK \l _Toc29162 </w:instrText>
      </w:r>
      <w:r>
        <w:fldChar w:fldCharType="separate"/>
      </w:r>
      <w:r>
        <w:rPr>
          <w:rFonts w:hint="eastAsia" w:ascii="仿宋_GB2312" w:hAnsi="仿宋_GB2312" w:eastAsia="仿宋_GB2312" w:cs="仿宋_GB2312"/>
          <w:highlight w:val="none"/>
        </w:rPr>
        <w:t>3  法定代表人身份证明</w:t>
      </w:r>
      <w:r>
        <w:tab/>
      </w:r>
      <w:r>
        <w:fldChar w:fldCharType="begin"/>
      </w:r>
      <w:r>
        <w:instrText xml:space="preserve"> PAGEREF _Toc29162 \h </w:instrText>
      </w:r>
      <w:r>
        <w:fldChar w:fldCharType="separate"/>
      </w:r>
      <w:r>
        <w:t>21</w:t>
      </w:r>
      <w:r>
        <w:fldChar w:fldCharType="end"/>
      </w:r>
      <w:r>
        <w:rPr>
          <w:color w:val="auto"/>
        </w:rPr>
        <w:fldChar w:fldCharType="end"/>
      </w:r>
    </w:p>
    <w:p w14:paraId="5464A80F">
      <w:pPr>
        <w:pStyle w:val="12"/>
        <w:tabs>
          <w:tab w:val="right" w:leader="dot" w:pos="9786"/>
          <w:tab w:val="clear" w:pos="1260"/>
          <w:tab w:val="clear" w:pos="8630"/>
        </w:tabs>
      </w:pPr>
      <w:r>
        <w:rPr>
          <w:color w:val="auto"/>
        </w:rPr>
        <w:fldChar w:fldCharType="begin"/>
      </w:r>
      <w:r>
        <w:instrText xml:space="preserve"> HYPERLINK \l _Toc14754 </w:instrText>
      </w:r>
      <w:r>
        <w:fldChar w:fldCharType="separate"/>
      </w:r>
      <w:r>
        <w:rPr>
          <w:rFonts w:hint="eastAsia" w:ascii="仿宋_GB2312" w:hAnsi="仿宋_GB2312" w:eastAsia="仿宋_GB2312" w:cs="仿宋_GB2312"/>
          <w:highlight w:val="none"/>
        </w:rPr>
        <w:t>4  法定代表人授权委托书</w:t>
      </w:r>
      <w:r>
        <w:tab/>
      </w:r>
      <w:r>
        <w:fldChar w:fldCharType="begin"/>
      </w:r>
      <w:r>
        <w:instrText xml:space="preserve"> PAGEREF _Toc14754 \h </w:instrText>
      </w:r>
      <w:r>
        <w:fldChar w:fldCharType="separate"/>
      </w:r>
      <w:r>
        <w:t>22</w:t>
      </w:r>
      <w:r>
        <w:fldChar w:fldCharType="end"/>
      </w:r>
      <w:r>
        <w:rPr>
          <w:color w:val="auto"/>
        </w:rPr>
        <w:fldChar w:fldCharType="end"/>
      </w:r>
    </w:p>
    <w:p w14:paraId="747D972A">
      <w:pPr>
        <w:pStyle w:val="12"/>
        <w:tabs>
          <w:tab w:val="right" w:leader="dot" w:pos="9786"/>
          <w:tab w:val="clear" w:pos="1260"/>
          <w:tab w:val="clear" w:pos="8630"/>
        </w:tabs>
      </w:pPr>
      <w:r>
        <w:rPr>
          <w:color w:val="auto"/>
        </w:rPr>
        <w:fldChar w:fldCharType="begin"/>
      </w:r>
      <w:r>
        <w:instrText xml:space="preserve"> HYPERLINK \l _Toc28031 </w:instrText>
      </w:r>
      <w:r>
        <w:fldChar w:fldCharType="separate"/>
      </w:r>
      <w:r>
        <w:rPr>
          <w:rFonts w:hint="eastAsia" w:ascii="仿宋_GB2312" w:hAnsi="仿宋_GB2312" w:eastAsia="仿宋_GB2312" w:cs="仿宋_GB2312"/>
          <w:highlight w:val="none"/>
        </w:rPr>
        <w:t>5  投标保证金缴纳凭证复印件</w:t>
      </w:r>
      <w:r>
        <w:tab/>
      </w:r>
      <w:r>
        <w:fldChar w:fldCharType="begin"/>
      </w:r>
      <w:r>
        <w:instrText xml:space="preserve"> PAGEREF _Toc28031 \h </w:instrText>
      </w:r>
      <w:r>
        <w:fldChar w:fldCharType="separate"/>
      </w:r>
      <w:r>
        <w:t>23</w:t>
      </w:r>
      <w:r>
        <w:fldChar w:fldCharType="end"/>
      </w:r>
      <w:r>
        <w:rPr>
          <w:color w:val="auto"/>
        </w:rPr>
        <w:fldChar w:fldCharType="end"/>
      </w:r>
    </w:p>
    <w:p w14:paraId="663434F5">
      <w:pPr>
        <w:pStyle w:val="12"/>
        <w:tabs>
          <w:tab w:val="right" w:leader="dot" w:pos="9786"/>
          <w:tab w:val="clear" w:pos="1260"/>
          <w:tab w:val="clear" w:pos="8630"/>
        </w:tabs>
      </w:pPr>
      <w:r>
        <w:rPr>
          <w:color w:val="auto"/>
        </w:rPr>
        <w:fldChar w:fldCharType="begin"/>
      </w:r>
      <w:r>
        <w:instrText xml:space="preserve"> HYPERLINK \l _Toc29966 </w:instrText>
      </w:r>
      <w:r>
        <w:fldChar w:fldCharType="separate"/>
      </w:r>
      <w:r>
        <w:rPr>
          <w:rFonts w:hint="eastAsia" w:ascii="仿宋_GB2312" w:hAnsi="仿宋_GB2312" w:eastAsia="仿宋_GB2312" w:cs="仿宋_GB2312"/>
          <w:highlight w:val="none"/>
        </w:rPr>
        <w:t>6  社会保障资金的缴纳记录</w:t>
      </w:r>
      <w:r>
        <w:tab/>
      </w:r>
      <w:r>
        <w:fldChar w:fldCharType="begin"/>
      </w:r>
      <w:r>
        <w:instrText xml:space="preserve"> PAGEREF _Toc29966 \h </w:instrText>
      </w:r>
      <w:r>
        <w:fldChar w:fldCharType="separate"/>
      </w:r>
      <w:r>
        <w:t>25</w:t>
      </w:r>
      <w:r>
        <w:fldChar w:fldCharType="end"/>
      </w:r>
      <w:r>
        <w:rPr>
          <w:color w:val="auto"/>
        </w:rPr>
        <w:fldChar w:fldCharType="end"/>
      </w:r>
    </w:p>
    <w:p w14:paraId="7E04BCB1">
      <w:pPr>
        <w:pStyle w:val="12"/>
        <w:tabs>
          <w:tab w:val="right" w:leader="dot" w:pos="9786"/>
          <w:tab w:val="clear" w:pos="1260"/>
          <w:tab w:val="clear" w:pos="8630"/>
        </w:tabs>
      </w:pPr>
      <w:r>
        <w:rPr>
          <w:color w:val="auto"/>
        </w:rPr>
        <w:fldChar w:fldCharType="begin"/>
      </w:r>
      <w:r>
        <w:instrText xml:space="preserve"> HYPERLINK \l _Toc26718 </w:instrText>
      </w:r>
      <w:r>
        <w:fldChar w:fldCharType="separate"/>
      </w:r>
      <w:r>
        <w:rPr>
          <w:rFonts w:hint="eastAsia" w:ascii="仿宋_GB2312" w:hAnsi="仿宋_GB2312" w:eastAsia="仿宋_GB2312" w:cs="仿宋_GB2312"/>
          <w:highlight w:val="none"/>
        </w:rPr>
        <w:t>7 良好的商业信誉和健全的财务会计制度证明材料</w:t>
      </w:r>
      <w:r>
        <w:tab/>
      </w:r>
      <w:r>
        <w:fldChar w:fldCharType="begin"/>
      </w:r>
      <w:r>
        <w:instrText xml:space="preserve"> PAGEREF _Toc26718 \h </w:instrText>
      </w:r>
      <w:r>
        <w:fldChar w:fldCharType="separate"/>
      </w:r>
      <w:r>
        <w:t>25</w:t>
      </w:r>
      <w:r>
        <w:fldChar w:fldCharType="end"/>
      </w:r>
      <w:r>
        <w:rPr>
          <w:color w:val="auto"/>
        </w:rPr>
        <w:fldChar w:fldCharType="end"/>
      </w:r>
    </w:p>
    <w:p w14:paraId="630951A2">
      <w:pPr>
        <w:pStyle w:val="12"/>
        <w:tabs>
          <w:tab w:val="right" w:leader="dot" w:pos="9786"/>
          <w:tab w:val="clear" w:pos="1260"/>
          <w:tab w:val="clear" w:pos="8630"/>
        </w:tabs>
      </w:pPr>
      <w:r>
        <w:rPr>
          <w:color w:val="auto"/>
        </w:rPr>
        <w:fldChar w:fldCharType="begin"/>
      </w:r>
      <w:r>
        <w:instrText xml:space="preserve"> HYPERLINK \l _Toc22053 </w:instrText>
      </w:r>
      <w:r>
        <w:fldChar w:fldCharType="separate"/>
      </w:r>
      <w:r>
        <w:rPr>
          <w:rFonts w:hint="eastAsia" w:ascii="仿宋_GB2312" w:hAnsi="仿宋_GB2312" w:eastAsia="仿宋_GB2312" w:cs="仿宋_GB2312"/>
          <w:highlight w:val="none"/>
        </w:rPr>
        <w:t>8 依法缴纳税收的证明</w:t>
      </w:r>
      <w:r>
        <w:tab/>
      </w:r>
      <w:r>
        <w:fldChar w:fldCharType="begin"/>
      </w:r>
      <w:r>
        <w:instrText xml:space="preserve"> PAGEREF _Toc22053 \h </w:instrText>
      </w:r>
      <w:r>
        <w:fldChar w:fldCharType="separate"/>
      </w:r>
      <w:r>
        <w:t>25</w:t>
      </w:r>
      <w:r>
        <w:fldChar w:fldCharType="end"/>
      </w:r>
      <w:r>
        <w:rPr>
          <w:color w:val="auto"/>
        </w:rPr>
        <w:fldChar w:fldCharType="end"/>
      </w:r>
    </w:p>
    <w:p w14:paraId="662CC4BB">
      <w:pPr>
        <w:pStyle w:val="12"/>
        <w:tabs>
          <w:tab w:val="right" w:leader="dot" w:pos="9786"/>
          <w:tab w:val="clear" w:pos="1260"/>
          <w:tab w:val="clear" w:pos="8630"/>
        </w:tabs>
      </w:pPr>
      <w:r>
        <w:rPr>
          <w:color w:val="auto"/>
        </w:rPr>
        <w:fldChar w:fldCharType="begin"/>
      </w:r>
      <w:r>
        <w:instrText xml:space="preserve"> HYPERLINK \l _Toc17564 </w:instrText>
      </w:r>
      <w:r>
        <w:fldChar w:fldCharType="separate"/>
      </w:r>
      <w:r>
        <w:rPr>
          <w:rFonts w:hint="eastAsia" w:ascii="仿宋_GB2312" w:hAnsi="仿宋_GB2312" w:eastAsia="仿宋_GB2312" w:cs="仿宋_GB2312"/>
          <w:highlight w:val="none"/>
        </w:rPr>
        <w:t>9  参加政府采购活动前3年内在经营活动中没有重大违法记录的书面声明及反商业受贿承诺</w:t>
      </w:r>
      <w:r>
        <w:tab/>
      </w:r>
      <w:r>
        <w:fldChar w:fldCharType="begin"/>
      </w:r>
      <w:r>
        <w:instrText xml:space="preserve"> PAGEREF _Toc17564 \h </w:instrText>
      </w:r>
      <w:r>
        <w:fldChar w:fldCharType="separate"/>
      </w:r>
      <w:r>
        <w:t>25</w:t>
      </w:r>
      <w:r>
        <w:fldChar w:fldCharType="end"/>
      </w:r>
      <w:r>
        <w:rPr>
          <w:color w:val="auto"/>
        </w:rPr>
        <w:fldChar w:fldCharType="end"/>
      </w:r>
    </w:p>
    <w:p w14:paraId="06763395">
      <w:pPr>
        <w:pStyle w:val="12"/>
        <w:tabs>
          <w:tab w:val="right" w:leader="dot" w:pos="9786"/>
          <w:tab w:val="clear" w:pos="1260"/>
          <w:tab w:val="clear" w:pos="8630"/>
        </w:tabs>
      </w:pPr>
      <w:r>
        <w:rPr>
          <w:color w:val="auto"/>
        </w:rPr>
        <w:fldChar w:fldCharType="begin"/>
      </w:r>
      <w:r>
        <w:instrText xml:space="preserve"> HYPERLINK \l _Toc25860 </w:instrText>
      </w:r>
      <w:r>
        <w:fldChar w:fldCharType="separate"/>
      </w:r>
      <w:r>
        <w:rPr>
          <w:rFonts w:hint="eastAsia" w:ascii="仿宋_GB2312" w:hAnsi="仿宋_GB2312" w:eastAsia="仿宋_GB2312" w:cs="仿宋_GB2312"/>
          <w:highlight w:val="none"/>
        </w:rPr>
        <w:t>10  投标人须知资料表要求的其他资格证明文件</w:t>
      </w:r>
      <w:r>
        <w:tab/>
      </w:r>
      <w:r>
        <w:fldChar w:fldCharType="begin"/>
      </w:r>
      <w:r>
        <w:instrText xml:space="preserve"> PAGEREF _Toc25860 \h </w:instrText>
      </w:r>
      <w:r>
        <w:fldChar w:fldCharType="separate"/>
      </w:r>
      <w:r>
        <w:t>25</w:t>
      </w:r>
      <w:r>
        <w:fldChar w:fldCharType="end"/>
      </w:r>
      <w:r>
        <w:rPr>
          <w:color w:val="auto"/>
        </w:rPr>
        <w:fldChar w:fldCharType="end"/>
      </w:r>
    </w:p>
    <w:p w14:paraId="741938D6">
      <w:pPr>
        <w:pStyle w:val="22"/>
        <w:tabs>
          <w:tab w:val="right" w:leader="dot" w:pos="9786"/>
        </w:tabs>
      </w:pPr>
      <w:r>
        <w:rPr>
          <w:color w:val="auto"/>
        </w:rPr>
        <w:fldChar w:fldCharType="begin"/>
      </w:r>
      <w:r>
        <w:instrText xml:space="preserve"> HYPERLINK \l _Toc18127 </w:instrText>
      </w:r>
      <w:r>
        <w:fldChar w:fldCharType="separate"/>
      </w:r>
      <w:r>
        <w:rPr>
          <w:rFonts w:ascii="仿宋_GB2312" w:hAnsi="宋体" w:eastAsia="仿宋_GB2312"/>
          <w:highlight w:val="none"/>
        </w:rPr>
        <w:t>第</w:t>
      </w:r>
      <w:r>
        <w:rPr>
          <w:rFonts w:hint="eastAsia" w:ascii="仿宋_GB2312" w:hAnsi="宋体" w:eastAsia="仿宋_GB2312"/>
          <w:highlight w:val="none"/>
        </w:rPr>
        <w:t>二</w:t>
      </w:r>
      <w:r>
        <w:rPr>
          <w:rFonts w:ascii="仿宋_GB2312" w:hAnsi="宋体" w:eastAsia="仿宋_GB2312"/>
          <w:highlight w:val="none"/>
        </w:rPr>
        <w:t>部分</w:t>
      </w:r>
      <w:r>
        <w:rPr>
          <w:rFonts w:hint="eastAsia" w:ascii="仿宋" w:hAnsi="仿宋" w:eastAsia="仿宋" w:cs="仿宋"/>
          <w:szCs w:val="24"/>
          <w:highlight w:val="none"/>
        </w:rPr>
        <w:t xml:space="preserve"> 商务及技术文件</w:t>
      </w:r>
      <w:r>
        <w:tab/>
      </w:r>
      <w:r>
        <w:fldChar w:fldCharType="begin"/>
      </w:r>
      <w:r>
        <w:instrText xml:space="preserve"> PAGEREF _Toc18127 \h </w:instrText>
      </w:r>
      <w:r>
        <w:fldChar w:fldCharType="separate"/>
      </w:r>
      <w:r>
        <w:t>26</w:t>
      </w:r>
      <w:r>
        <w:fldChar w:fldCharType="end"/>
      </w:r>
      <w:r>
        <w:rPr>
          <w:color w:val="auto"/>
        </w:rPr>
        <w:fldChar w:fldCharType="end"/>
      </w:r>
    </w:p>
    <w:p w14:paraId="40801496">
      <w:pPr>
        <w:pStyle w:val="12"/>
        <w:tabs>
          <w:tab w:val="right" w:leader="dot" w:pos="9786"/>
          <w:tab w:val="clear" w:pos="1260"/>
          <w:tab w:val="clear" w:pos="8630"/>
        </w:tabs>
      </w:pPr>
      <w:r>
        <w:rPr>
          <w:color w:val="auto"/>
        </w:rPr>
        <w:fldChar w:fldCharType="begin"/>
      </w:r>
      <w:r>
        <w:instrText xml:space="preserve"> HYPERLINK \l _Toc1300 </w:instrText>
      </w:r>
      <w:r>
        <w:fldChar w:fldCharType="separate"/>
      </w:r>
      <w:r>
        <w:rPr>
          <w:rFonts w:hint="eastAsia" w:ascii="仿宋_GB2312" w:hAnsi="仿宋_GB2312" w:eastAsia="仿宋_GB2312" w:cs="仿宋_GB2312"/>
          <w:highlight w:val="none"/>
        </w:rPr>
        <w:t>1  投标书</w:t>
      </w:r>
      <w:r>
        <w:tab/>
      </w:r>
      <w:r>
        <w:fldChar w:fldCharType="begin"/>
      </w:r>
      <w:r>
        <w:instrText xml:space="preserve"> PAGEREF _Toc1300 \h </w:instrText>
      </w:r>
      <w:r>
        <w:fldChar w:fldCharType="separate"/>
      </w:r>
      <w:r>
        <w:t>27</w:t>
      </w:r>
      <w:r>
        <w:fldChar w:fldCharType="end"/>
      </w:r>
      <w:r>
        <w:rPr>
          <w:color w:val="auto"/>
        </w:rPr>
        <w:fldChar w:fldCharType="end"/>
      </w:r>
    </w:p>
    <w:p w14:paraId="492EAB1C">
      <w:pPr>
        <w:pStyle w:val="12"/>
        <w:tabs>
          <w:tab w:val="right" w:leader="dot" w:pos="9786"/>
          <w:tab w:val="clear" w:pos="1260"/>
          <w:tab w:val="clear" w:pos="8630"/>
        </w:tabs>
      </w:pPr>
      <w:r>
        <w:rPr>
          <w:color w:val="auto"/>
        </w:rPr>
        <w:fldChar w:fldCharType="begin"/>
      </w:r>
      <w:r>
        <w:instrText xml:space="preserve"> HYPERLINK \l _Toc22852 </w:instrText>
      </w:r>
      <w:r>
        <w:fldChar w:fldCharType="separate"/>
      </w:r>
      <w:r>
        <w:rPr>
          <w:rFonts w:hint="eastAsia" w:ascii="仿宋_GB2312" w:hAnsi="仿宋_GB2312" w:eastAsia="仿宋_GB2312" w:cs="仿宋_GB2312"/>
          <w:highlight w:val="none"/>
        </w:rPr>
        <w:t>2  投标分项报价表</w:t>
      </w:r>
      <w:r>
        <w:tab/>
      </w:r>
      <w:r>
        <w:fldChar w:fldCharType="begin"/>
      </w:r>
      <w:r>
        <w:instrText xml:space="preserve"> PAGEREF _Toc22852 \h </w:instrText>
      </w:r>
      <w:r>
        <w:fldChar w:fldCharType="separate"/>
      </w:r>
      <w:r>
        <w:t>28</w:t>
      </w:r>
      <w:r>
        <w:fldChar w:fldCharType="end"/>
      </w:r>
      <w:r>
        <w:rPr>
          <w:color w:val="auto"/>
        </w:rPr>
        <w:fldChar w:fldCharType="end"/>
      </w:r>
    </w:p>
    <w:p w14:paraId="02A752B0">
      <w:pPr>
        <w:pStyle w:val="12"/>
        <w:tabs>
          <w:tab w:val="right" w:leader="dot" w:pos="9786"/>
          <w:tab w:val="clear" w:pos="1260"/>
          <w:tab w:val="clear" w:pos="8630"/>
        </w:tabs>
      </w:pPr>
      <w:r>
        <w:rPr>
          <w:color w:val="auto"/>
        </w:rPr>
        <w:fldChar w:fldCharType="begin"/>
      </w:r>
      <w:r>
        <w:instrText xml:space="preserve"> HYPERLINK \l _Toc16874 </w:instrText>
      </w:r>
      <w:r>
        <w:fldChar w:fldCharType="separate"/>
      </w:r>
      <w:r>
        <w:rPr>
          <w:rFonts w:hint="eastAsia" w:ascii="仿宋_GB2312" w:hAnsi="仿宋_GB2312" w:eastAsia="仿宋_GB2312" w:cs="仿宋_GB2312"/>
          <w:highlight w:val="none"/>
          <w:lang w:val="en-US" w:eastAsia="zh-CN"/>
        </w:rPr>
        <w:t xml:space="preserve">3  </w:t>
      </w:r>
      <w:r>
        <w:rPr>
          <w:rFonts w:hint="eastAsia" w:ascii="仿宋_GB2312" w:hAnsi="仿宋_GB2312" w:eastAsia="仿宋_GB2312" w:cs="仿宋_GB2312"/>
          <w:highlight w:val="none"/>
        </w:rPr>
        <w:t>技术规格偏离表</w:t>
      </w:r>
      <w:r>
        <w:tab/>
      </w:r>
      <w:r>
        <w:fldChar w:fldCharType="begin"/>
      </w:r>
      <w:r>
        <w:instrText xml:space="preserve"> PAGEREF _Toc16874 \h </w:instrText>
      </w:r>
      <w:r>
        <w:fldChar w:fldCharType="separate"/>
      </w:r>
      <w:r>
        <w:t>29</w:t>
      </w:r>
      <w:r>
        <w:fldChar w:fldCharType="end"/>
      </w:r>
      <w:r>
        <w:rPr>
          <w:color w:val="auto"/>
        </w:rPr>
        <w:fldChar w:fldCharType="end"/>
      </w:r>
    </w:p>
    <w:p w14:paraId="61D6A2B0">
      <w:pPr>
        <w:pStyle w:val="12"/>
        <w:tabs>
          <w:tab w:val="right" w:leader="dot" w:pos="9786"/>
          <w:tab w:val="clear" w:pos="1260"/>
          <w:tab w:val="clear" w:pos="8630"/>
        </w:tabs>
      </w:pPr>
      <w:r>
        <w:rPr>
          <w:color w:val="auto"/>
        </w:rPr>
        <w:fldChar w:fldCharType="begin"/>
      </w:r>
      <w:r>
        <w:instrText xml:space="preserve"> HYPERLINK \l _Toc25036 </w:instrText>
      </w:r>
      <w:r>
        <w:fldChar w:fldCharType="separate"/>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 xml:space="preserve">  商务条款偏离表</w:t>
      </w:r>
      <w:r>
        <w:tab/>
      </w:r>
      <w:r>
        <w:fldChar w:fldCharType="begin"/>
      </w:r>
      <w:r>
        <w:instrText xml:space="preserve"> PAGEREF _Toc25036 \h </w:instrText>
      </w:r>
      <w:r>
        <w:fldChar w:fldCharType="separate"/>
      </w:r>
      <w:r>
        <w:t>30</w:t>
      </w:r>
      <w:r>
        <w:fldChar w:fldCharType="end"/>
      </w:r>
      <w:r>
        <w:rPr>
          <w:color w:val="auto"/>
        </w:rPr>
        <w:fldChar w:fldCharType="end"/>
      </w:r>
    </w:p>
    <w:p w14:paraId="5D6A65F0">
      <w:pPr>
        <w:pStyle w:val="12"/>
        <w:tabs>
          <w:tab w:val="right" w:leader="dot" w:pos="9786"/>
          <w:tab w:val="clear" w:pos="1260"/>
          <w:tab w:val="clear" w:pos="8630"/>
        </w:tabs>
      </w:pPr>
      <w:r>
        <w:rPr>
          <w:color w:val="auto"/>
        </w:rPr>
        <w:fldChar w:fldCharType="begin"/>
      </w:r>
      <w:r>
        <w:instrText xml:space="preserve"> HYPERLINK \l _Toc6229 </w:instrText>
      </w:r>
      <w:r>
        <w:fldChar w:fldCharType="separate"/>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-1 中小企业声明函（货物）</w:t>
      </w:r>
      <w:r>
        <w:tab/>
      </w:r>
      <w:r>
        <w:fldChar w:fldCharType="begin"/>
      </w:r>
      <w:r>
        <w:instrText xml:space="preserve"> PAGEREF _Toc6229 \h </w:instrText>
      </w:r>
      <w:r>
        <w:fldChar w:fldCharType="separate"/>
      </w:r>
      <w:r>
        <w:t>31</w:t>
      </w:r>
      <w:r>
        <w:fldChar w:fldCharType="end"/>
      </w:r>
      <w:r>
        <w:rPr>
          <w:color w:val="auto"/>
        </w:rPr>
        <w:fldChar w:fldCharType="end"/>
      </w:r>
    </w:p>
    <w:p w14:paraId="078A5054">
      <w:pPr>
        <w:pStyle w:val="12"/>
        <w:tabs>
          <w:tab w:val="right" w:leader="dot" w:pos="9786"/>
          <w:tab w:val="clear" w:pos="1260"/>
          <w:tab w:val="clear" w:pos="8630"/>
        </w:tabs>
      </w:pPr>
      <w:r>
        <w:rPr>
          <w:color w:val="auto"/>
        </w:rPr>
        <w:fldChar w:fldCharType="begin"/>
      </w:r>
      <w:r>
        <w:instrText xml:space="preserve"> HYPERLINK \l _Toc1817 </w:instrText>
      </w:r>
      <w:r>
        <w:fldChar w:fldCharType="separate"/>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-2 残疾人福利性单位声明函</w:t>
      </w:r>
      <w:r>
        <w:tab/>
      </w:r>
      <w:r>
        <w:fldChar w:fldCharType="begin"/>
      </w:r>
      <w:r>
        <w:instrText xml:space="preserve"> PAGEREF _Toc1817 \h </w:instrText>
      </w:r>
      <w:r>
        <w:fldChar w:fldCharType="separate"/>
      </w:r>
      <w:r>
        <w:t>35</w:t>
      </w:r>
      <w:r>
        <w:fldChar w:fldCharType="end"/>
      </w:r>
      <w:r>
        <w:rPr>
          <w:color w:val="auto"/>
        </w:rPr>
        <w:fldChar w:fldCharType="end"/>
      </w:r>
    </w:p>
    <w:p w14:paraId="09E98AEE">
      <w:pPr>
        <w:pStyle w:val="12"/>
        <w:tabs>
          <w:tab w:val="right" w:leader="dot" w:pos="9786"/>
          <w:tab w:val="clear" w:pos="1260"/>
          <w:tab w:val="clear" w:pos="8630"/>
        </w:tabs>
      </w:pPr>
      <w:r>
        <w:rPr>
          <w:color w:val="auto"/>
        </w:rPr>
        <w:fldChar w:fldCharType="begin"/>
      </w:r>
      <w:r>
        <w:instrText xml:space="preserve"> HYPERLINK \l _Toc27063 </w:instrText>
      </w:r>
      <w:r>
        <w:fldChar w:fldCharType="separate"/>
      </w:r>
      <w:r>
        <w:rPr>
          <w:rFonts w:hint="eastAsia" w:ascii="仿宋_GB2312" w:hAnsi="仿宋_GB2312" w:eastAsia="仿宋_GB2312" w:cs="仿宋_GB2312"/>
          <w:highlight w:val="none"/>
          <w:lang w:val="en-US" w:eastAsia="zh-CN"/>
        </w:rPr>
        <w:t>5</w:t>
      </w:r>
      <w:r>
        <w:rPr>
          <w:rFonts w:hint="eastAsia" w:ascii="仿宋_GB2312" w:hAnsi="仿宋_GB2312" w:eastAsia="仿宋_GB2312" w:cs="仿宋_GB2312"/>
          <w:highlight w:val="none"/>
        </w:rPr>
        <w:t>-3 监狱企业声明函</w:t>
      </w:r>
      <w:r>
        <w:tab/>
      </w:r>
      <w:r>
        <w:fldChar w:fldCharType="begin"/>
      </w:r>
      <w:r>
        <w:instrText xml:space="preserve"> PAGEREF _Toc27063 \h </w:instrText>
      </w:r>
      <w:r>
        <w:fldChar w:fldCharType="separate"/>
      </w:r>
      <w:r>
        <w:t>35</w:t>
      </w:r>
      <w:r>
        <w:fldChar w:fldCharType="end"/>
      </w:r>
      <w:r>
        <w:rPr>
          <w:color w:val="auto"/>
        </w:rPr>
        <w:fldChar w:fldCharType="end"/>
      </w:r>
    </w:p>
    <w:p w14:paraId="2C745327">
      <w:pPr>
        <w:pStyle w:val="12"/>
        <w:tabs>
          <w:tab w:val="right" w:leader="dot" w:pos="9786"/>
          <w:tab w:val="clear" w:pos="1260"/>
          <w:tab w:val="clear" w:pos="8630"/>
        </w:tabs>
      </w:pPr>
      <w:r>
        <w:rPr>
          <w:color w:val="auto"/>
        </w:rPr>
        <w:fldChar w:fldCharType="begin"/>
      </w:r>
      <w:r>
        <w:instrText xml:space="preserve"> HYPERLINK \l _Toc11090 </w:instrText>
      </w:r>
      <w:r>
        <w:fldChar w:fldCharType="separate"/>
      </w:r>
      <w:r>
        <w:rPr>
          <w:rFonts w:hint="eastAsia" w:ascii="仿宋_GB2312" w:hAnsi="仿宋_GB2312" w:eastAsia="仿宋_GB2312" w:cs="仿宋_GB2312"/>
          <w:highlight w:val="none"/>
          <w:lang w:val="en-US" w:eastAsia="zh-CN"/>
        </w:rPr>
        <w:t>6</w:t>
      </w:r>
      <w:r>
        <w:rPr>
          <w:rFonts w:hint="eastAsia" w:ascii="仿宋_GB2312" w:hAnsi="仿宋_GB2312" w:eastAsia="仿宋_GB2312" w:cs="仿宋_GB2312"/>
          <w:highlight w:val="none"/>
        </w:rPr>
        <w:t xml:space="preserve"> 投标文件还应包括第五章、综合评分表的所有技术文件</w:t>
      </w:r>
      <w:r>
        <w:tab/>
      </w:r>
      <w:r>
        <w:fldChar w:fldCharType="begin"/>
      </w:r>
      <w:r>
        <w:instrText xml:space="preserve"> PAGEREF _Toc11090 \h </w:instrText>
      </w:r>
      <w:r>
        <w:fldChar w:fldCharType="separate"/>
      </w:r>
      <w:r>
        <w:t>36</w:t>
      </w:r>
      <w:r>
        <w:fldChar w:fldCharType="end"/>
      </w:r>
      <w:r>
        <w:rPr>
          <w:color w:val="auto"/>
        </w:rPr>
        <w:fldChar w:fldCharType="end"/>
      </w:r>
    </w:p>
    <w:p w14:paraId="4A68E15F">
      <w:pPr>
        <w:pStyle w:val="12"/>
        <w:tabs>
          <w:tab w:val="right" w:leader="dot" w:pos="9786"/>
          <w:tab w:val="clear" w:pos="1260"/>
          <w:tab w:val="clear" w:pos="8630"/>
        </w:tabs>
      </w:pPr>
      <w:r>
        <w:rPr>
          <w:color w:val="auto"/>
        </w:rPr>
        <w:fldChar w:fldCharType="begin"/>
      </w:r>
      <w:r>
        <w:instrText xml:space="preserve"> HYPERLINK \l _Toc13869 </w:instrText>
      </w:r>
      <w:r>
        <w:fldChar w:fldCharType="separate"/>
      </w:r>
      <w:r>
        <w:rPr>
          <w:rFonts w:hint="eastAsia" w:ascii="仿宋_GB2312" w:hAnsi="仿宋_GB2312" w:eastAsia="仿宋_GB2312" w:cs="仿宋_GB2312"/>
          <w:highlight w:val="none"/>
          <w:lang w:val="en-US" w:eastAsia="zh-CN"/>
        </w:rPr>
        <w:t>7</w:t>
      </w:r>
      <w:r>
        <w:rPr>
          <w:rFonts w:hint="eastAsia" w:ascii="仿宋_GB2312" w:hAnsi="仿宋_GB2312" w:eastAsia="仿宋_GB2312" w:cs="仿宋_GB2312"/>
          <w:highlight w:val="none"/>
        </w:rPr>
        <w:t xml:space="preserve"> 投标人关联单位的说明</w:t>
      </w:r>
      <w:r>
        <w:tab/>
      </w:r>
      <w:r>
        <w:fldChar w:fldCharType="begin"/>
      </w:r>
      <w:r>
        <w:instrText xml:space="preserve"> PAGEREF _Toc13869 \h </w:instrText>
      </w:r>
      <w:r>
        <w:fldChar w:fldCharType="separate"/>
      </w:r>
      <w:r>
        <w:t>36</w:t>
      </w:r>
      <w:r>
        <w:fldChar w:fldCharType="end"/>
      </w:r>
      <w:r>
        <w:rPr>
          <w:color w:val="auto"/>
        </w:rPr>
        <w:fldChar w:fldCharType="end"/>
      </w:r>
    </w:p>
    <w:p w14:paraId="52668104">
      <w:pPr>
        <w:pStyle w:val="12"/>
        <w:tabs>
          <w:tab w:val="right" w:leader="dot" w:pos="9786"/>
          <w:tab w:val="clear" w:pos="1260"/>
          <w:tab w:val="clear" w:pos="8630"/>
        </w:tabs>
      </w:pPr>
      <w:r>
        <w:rPr>
          <w:color w:val="auto"/>
        </w:rPr>
        <w:fldChar w:fldCharType="begin"/>
      </w:r>
      <w:r>
        <w:instrText xml:space="preserve"> HYPERLINK \l _Toc18125 </w:instrText>
      </w:r>
      <w:r>
        <w:fldChar w:fldCharType="separate"/>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 xml:space="preserve"> 其他有利于投标人的文件或证明材料</w:t>
      </w:r>
      <w:r>
        <w:tab/>
      </w:r>
      <w:r>
        <w:fldChar w:fldCharType="begin"/>
      </w:r>
      <w:r>
        <w:instrText xml:space="preserve"> PAGEREF _Toc18125 \h </w:instrText>
      </w:r>
      <w:r>
        <w:fldChar w:fldCharType="separate"/>
      </w:r>
      <w:r>
        <w:t>36</w:t>
      </w:r>
      <w:r>
        <w:fldChar w:fldCharType="end"/>
      </w:r>
      <w:r>
        <w:rPr>
          <w:color w:val="auto"/>
        </w:rPr>
        <w:fldChar w:fldCharType="end"/>
      </w:r>
    </w:p>
    <w:p w14:paraId="45DEE3EB">
      <w:pPr>
        <w:pStyle w:val="12"/>
        <w:tabs>
          <w:tab w:val="right" w:leader="dot" w:pos="9786"/>
          <w:tab w:val="clear" w:pos="1260"/>
          <w:tab w:val="clear" w:pos="8630"/>
        </w:tabs>
      </w:pPr>
      <w:r>
        <w:rPr>
          <w:color w:val="auto"/>
        </w:rPr>
        <w:fldChar w:fldCharType="begin"/>
      </w:r>
      <w:r>
        <w:instrText xml:space="preserve"> HYPERLINK \l _Toc24777 </w:instrText>
      </w:r>
      <w:r>
        <w:fldChar w:fldCharType="separate"/>
      </w:r>
      <w:r>
        <w:rPr>
          <w:rFonts w:hint="eastAsia" w:ascii="仿宋_GB2312" w:hAnsi="仿宋_GB2312" w:eastAsia="仿宋_GB2312" w:cs="仿宋_GB2312"/>
          <w:highlight w:val="none"/>
          <w:lang w:val="en-US" w:eastAsia="zh-CN"/>
        </w:rPr>
        <w:t>9</w:t>
      </w:r>
      <w:r>
        <w:rPr>
          <w:rFonts w:hint="eastAsia" w:ascii="仿宋_GB2312" w:hAnsi="仿宋_GB2312" w:eastAsia="仿宋_GB2312" w:cs="仿宋_GB2312"/>
          <w:highlight w:val="none"/>
        </w:rPr>
        <w:t xml:space="preserve"> 对本项目投标文件（响应文件）中资料真实性的承诺</w:t>
      </w:r>
      <w:r>
        <w:tab/>
      </w:r>
      <w:r>
        <w:fldChar w:fldCharType="begin"/>
      </w:r>
      <w:r>
        <w:instrText xml:space="preserve"> PAGEREF _Toc24777 \h </w:instrText>
      </w:r>
      <w:r>
        <w:fldChar w:fldCharType="separate"/>
      </w:r>
      <w:r>
        <w:t>36</w:t>
      </w:r>
      <w:r>
        <w:fldChar w:fldCharType="end"/>
      </w:r>
      <w:r>
        <w:rPr>
          <w:color w:val="auto"/>
        </w:rPr>
        <w:fldChar w:fldCharType="end"/>
      </w:r>
    </w:p>
    <w:p w14:paraId="32FE3842">
      <w:pPr>
        <w:pStyle w:val="18"/>
        <w:tabs>
          <w:tab w:val="right" w:leader="dot" w:pos="9786"/>
        </w:tabs>
      </w:pPr>
      <w:r>
        <w:rPr>
          <w:color w:val="auto"/>
        </w:rPr>
        <w:fldChar w:fldCharType="begin"/>
      </w:r>
      <w:r>
        <w:instrText xml:space="preserve"> HYPERLINK \l _Toc20718 </w:instrText>
      </w:r>
      <w:r>
        <w:fldChar w:fldCharType="separate"/>
      </w:r>
      <w:r>
        <w:rPr>
          <w:rFonts w:hint="eastAsia" w:ascii="仿宋_GB2312" w:hAnsi="仿宋_GB2312" w:eastAsia="仿宋_GB2312" w:cs="仿宋_GB2312"/>
          <w:szCs w:val="44"/>
          <w:highlight w:val="none"/>
        </w:rPr>
        <w:t>第三章 投标邀请</w:t>
      </w:r>
      <w:r>
        <w:tab/>
      </w:r>
      <w:r>
        <w:fldChar w:fldCharType="begin"/>
      </w:r>
      <w:r>
        <w:instrText xml:space="preserve"> PAGEREF _Toc20718 \h </w:instrText>
      </w:r>
      <w:r>
        <w:fldChar w:fldCharType="separate"/>
      </w:r>
      <w:r>
        <w:t>38</w:t>
      </w:r>
      <w:r>
        <w:fldChar w:fldCharType="end"/>
      </w:r>
      <w:r>
        <w:rPr>
          <w:color w:val="auto"/>
        </w:rPr>
        <w:fldChar w:fldCharType="end"/>
      </w:r>
    </w:p>
    <w:p w14:paraId="4238CE2F">
      <w:pPr>
        <w:pStyle w:val="18"/>
        <w:tabs>
          <w:tab w:val="right" w:leader="dot" w:pos="9786"/>
        </w:tabs>
      </w:pPr>
      <w:r>
        <w:rPr>
          <w:color w:val="auto"/>
        </w:rPr>
        <w:fldChar w:fldCharType="begin"/>
      </w:r>
      <w:r>
        <w:instrText xml:space="preserve"> HYPERLINK \l _Toc8482 </w:instrText>
      </w:r>
      <w:r>
        <w:fldChar w:fldCharType="separate"/>
      </w:r>
      <w:r>
        <w:rPr>
          <w:rFonts w:hint="eastAsia" w:ascii="仿宋_GB2312" w:hAnsi="仿宋_GB2312" w:eastAsia="仿宋_GB2312" w:cs="仿宋_GB2312"/>
          <w:szCs w:val="44"/>
        </w:rPr>
        <w:t>第四章  投标人须知资料表</w:t>
      </w:r>
      <w:r>
        <w:tab/>
      </w:r>
      <w:r>
        <w:fldChar w:fldCharType="begin"/>
      </w:r>
      <w:r>
        <w:instrText xml:space="preserve"> PAGEREF _Toc8482 \h </w:instrText>
      </w:r>
      <w:r>
        <w:fldChar w:fldCharType="separate"/>
      </w:r>
      <w:r>
        <w:t>41</w:t>
      </w:r>
      <w:r>
        <w:fldChar w:fldCharType="end"/>
      </w:r>
      <w:r>
        <w:rPr>
          <w:color w:val="auto"/>
        </w:rPr>
        <w:fldChar w:fldCharType="end"/>
      </w:r>
    </w:p>
    <w:p w14:paraId="7419A946">
      <w:pPr>
        <w:pStyle w:val="18"/>
        <w:tabs>
          <w:tab w:val="right" w:leader="dot" w:pos="9786"/>
        </w:tabs>
      </w:pPr>
      <w:r>
        <w:rPr>
          <w:color w:val="auto"/>
        </w:rPr>
        <w:fldChar w:fldCharType="begin"/>
      </w:r>
      <w:r>
        <w:instrText xml:space="preserve"> HYPERLINK \l _Toc32208 </w:instrText>
      </w:r>
      <w:r>
        <w:fldChar w:fldCharType="separate"/>
      </w:r>
      <w:r>
        <w:rPr>
          <w:rFonts w:hint="eastAsia" w:ascii="仿宋_GB2312" w:hAnsi="仿宋_GB2312" w:eastAsia="仿宋_GB2312" w:cs="仿宋_GB2312"/>
          <w:szCs w:val="44"/>
        </w:rPr>
        <w:t>第五章  货物需求一览表及技术规格</w:t>
      </w:r>
      <w:r>
        <w:tab/>
      </w:r>
      <w:r>
        <w:fldChar w:fldCharType="begin"/>
      </w:r>
      <w:r>
        <w:instrText xml:space="preserve"> PAGEREF _Toc32208 \h </w:instrText>
      </w:r>
      <w:r>
        <w:fldChar w:fldCharType="separate"/>
      </w:r>
      <w:r>
        <w:t>44</w:t>
      </w:r>
      <w:r>
        <w:fldChar w:fldCharType="end"/>
      </w:r>
      <w:r>
        <w:rPr>
          <w:color w:val="auto"/>
        </w:rPr>
        <w:fldChar w:fldCharType="end"/>
      </w:r>
    </w:p>
    <w:p w14:paraId="7BEBFDDC">
      <w:pPr>
        <w:pStyle w:val="18"/>
        <w:tabs>
          <w:tab w:val="right" w:leader="dot" w:pos="9786"/>
        </w:tabs>
      </w:pPr>
      <w:r>
        <w:rPr>
          <w:color w:val="auto"/>
        </w:rPr>
        <w:fldChar w:fldCharType="begin"/>
      </w:r>
      <w:r>
        <w:instrText xml:space="preserve"> HYPERLINK \l _Toc12886 </w:instrText>
      </w:r>
      <w:r>
        <w:fldChar w:fldCharType="separate"/>
      </w:r>
      <w:r>
        <w:rPr>
          <w:rFonts w:hint="eastAsia" w:ascii="仿宋_GB2312" w:hAnsi="仿宋_GB2312" w:eastAsia="仿宋_GB2312" w:cs="仿宋_GB2312"/>
          <w:szCs w:val="44"/>
        </w:rPr>
        <w:t>第六章  评标方法和标准</w:t>
      </w:r>
      <w:r>
        <w:tab/>
      </w:r>
      <w:r>
        <w:fldChar w:fldCharType="begin"/>
      </w:r>
      <w:r>
        <w:instrText xml:space="preserve"> PAGEREF _Toc12886 \h </w:instrText>
      </w:r>
      <w:r>
        <w:fldChar w:fldCharType="separate"/>
      </w:r>
      <w:r>
        <w:t>46</w:t>
      </w:r>
      <w:r>
        <w:fldChar w:fldCharType="end"/>
      </w:r>
      <w:r>
        <w:rPr>
          <w:color w:val="auto"/>
        </w:rPr>
        <w:fldChar w:fldCharType="end"/>
      </w:r>
    </w:p>
    <w:p w14:paraId="302629DA">
      <w:pPr>
        <w:pStyle w:val="18"/>
        <w:tabs>
          <w:tab w:val="right" w:leader="dot" w:pos="9786"/>
        </w:tabs>
      </w:pPr>
      <w:r>
        <w:rPr>
          <w:color w:val="auto"/>
        </w:rPr>
        <w:fldChar w:fldCharType="begin"/>
      </w:r>
      <w:r>
        <w:instrText xml:space="preserve"> HYPERLINK \l _Toc23997 </w:instrText>
      </w:r>
      <w:r>
        <w:fldChar w:fldCharType="separate"/>
      </w:r>
      <w:r>
        <w:rPr>
          <w:rFonts w:hint="eastAsia" w:ascii="仿宋_GB2312" w:hAnsi="仿宋_GB2312" w:eastAsia="仿宋_GB2312" w:cs="仿宋_GB2312"/>
          <w:szCs w:val="44"/>
        </w:rPr>
        <w:t>第七章  政府采购合同</w:t>
      </w:r>
      <w:r>
        <w:tab/>
      </w:r>
      <w:r>
        <w:fldChar w:fldCharType="begin"/>
      </w:r>
      <w:r>
        <w:instrText xml:space="preserve"> PAGEREF _Toc23997 \h </w:instrText>
      </w:r>
      <w:r>
        <w:fldChar w:fldCharType="separate"/>
      </w:r>
      <w:r>
        <w:t>58</w:t>
      </w:r>
      <w:r>
        <w:fldChar w:fldCharType="end"/>
      </w:r>
      <w:r>
        <w:rPr>
          <w:color w:val="auto"/>
        </w:rPr>
        <w:fldChar w:fldCharType="end"/>
      </w:r>
    </w:p>
    <w:p w14:paraId="3123C577">
      <w:pPr>
        <w:pStyle w:val="3"/>
        <w:tabs>
          <w:tab w:val="left" w:pos="0"/>
        </w:tabs>
        <w:spacing w:before="0" w:after="0" w:line="240" w:lineRule="atLeast"/>
        <w:rPr>
          <w:color w:val="auto"/>
        </w:rPr>
      </w:pPr>
      <w:r>
        <w:rPr>
          <w:color w:val="auto"/>
        </w:rPr>
        <w:fldChar w:fldCharType="end"/>
      </w:r>
    </w:p>
    <w:p w14:paraId="16F37D88">
      <w:pPr>
        <w:rPr>
          <w:color w:val="auto"/>
        </w:rPr>
      </w:pPr>
    </w:p>
    <w:p w14:paraId="35B423EA">
      <w:pPr>
        <w:pStyle w:val="2"/>
        <w:rPr>
          <w:color w:val="auto"/>
        </w:rPr>
      </w:pPr>
    </w:p>
    <w:p w14:paraId="79A356C4">
      <w:pPr>
        <w:rPr>
          <w:color w:val="auto"/>
        </w:rPr>
      </w:pPr>
    </w:p>
    <w:p w14:paraId="410990A3">
      <w:pPr>
        <w:pStyle w:val="2"/>
        <w:rPr>
          <w:color w:val="auto"/>
        </w:rPr>
      </w:pPr>
    </w:p>
    <w:p w14:paraId="33BBFA76">
      <w:pPr>
        <w:rPr>
          <w:color w:val="auto"/>
        </w:rPr>
      </w:pPr>
    </w:p>
    <w:p w14:paraId="1A9866FE">
      <w:pPr>
        <w:pStyle w:val="2"/>
        <w:rPr>
          <w:color w:val="auto"/>
        </w:rPr>
      </w:pPr>
    </w:p>
    <w:p w14:paraId="484BCB13">
      <w:pPr>
        <w:rPr>
          <w:color w:val="auto"/>
        </w:rPr>
      </w:pPr>
    </w:p>
    <w:p w14:paraId="039E5A72">
      <w:pPr>
        <w:pStyle w:val="2"/>
        <w:rPr>
          <w:color w:val="auto"/>
        </w:rPr>
      </w:pPr>
    </w:p>
    <w:p w14:paraId="5C75C01A">
      <w:pPr>
        <w:rPr>
          <w:color w:val="auto"/>
        </w:rPr>
      </w:pPr>
    </w:p>
    <w:p w14:paraId="34797308">
      <w:pPr>
        <w:pStyle w:val="2"/>
        <w:rPr>
          <w:color w:val="auto"/>
        </w:rPr>
      </w:pPr>
    </w:p>
    <w:p w14:paraId="42D20D76">
      <w:pPr>
        <w:rPr>
          <w:rFonts w:hint="eastAsia"/>
        </w:rPr>
      </w:pPr>
    </w:p>
    <w:p w14:paraId="12726456">
      <w:pPr>
        <w:pStyle w:val="3"/>
        <w:tabs>
          <w:tab w:val="left" w:pos="0"/>
        </w:tabs>
        <w:spacing w:before="0" w:after="0" w:line="240" w:lineRule="atLeast"/>
        <w:rPr>
          <w:rFonts w:ascii="仿宋_GB2312" w:hAnsi="仿宋_GB2312" w:eastAsia="仿宋_GB2312" w:cs="仿宋_GB2312"/>
          <w:b w:val="0"/>
          <w:color w:val="auto"/>
          <w:sz w:val="20"/>
          <w:highlight w:val="none"/>
        </w:rPr>
      </w:pPr>
      <w:bookmarkStart w:id="12" w:name="_Toc16465"/>
      <w:r>
        <w:rPr>
          <w:rFonts w:hint="eastAsia" w:ascii="仿宋_GB2312" w:hAnsi="仿宋_GB2312" w:eastAsia="仿宋_GB2312" w:cs="仿宋_GB2312"/>
          <w:color w:val="auto"/>
          <w:kern w:val="0"/>
          <w:sz w:val="44"/>
          <w:szCs w:val="44"/>
          <w:highlight w:val="none"/>
        </w:rPr>
        <w:t>第一章</w:t>
      </w:r>
      <w:bookmarkStart w:id="13" w:name="_Toc515647756"/>
      <w:r>
        <w:rPr>
          <w:rFonts w:hint="eastAsia" w:ascii="仿宋_GB2312" w:hAnsi="仿宋_GB2312" w:eastAsia="仿宋_GB2312" w:cs="仿宋_GB2312"/>
          <w:color w:val="auto"/>
          <w:sz w:val="44"/>
          <w:szCs w:val="44"/>
          <w:highlight w:val="none"/>
        </w:rPr>
        <w:t>投标人须知</w:t>
      </w:r>
      <w:bookmarkEnd w:id="5"/>
      <w:bookmarkEnd w:id="6"/>
      <w:bookmarkEnd w:id="7"/>
      <w:bookmarkEnd w:id="8"/>
      <w:bookmarkEnd w:id="9"/>
      <w:bookmarkEnd w:id="10"/>
      <w:bookmarkEnd w:id="11"/>
      <w:bookmarkEnd w:id="12"/>
      <w:bookmarkEnd w:id="13"/>
    </w:p>
    <w:p w14:paraId="6AA257DB">
      <w:pPr>
        <w:pStyle w:val="4"/>
        <w:spacing w:before="0" w:line="240" w:lineRule="atLeast"/>
        <w:ind w:left="1078" w:leftChars="257" w:hanging="539"/>
        <w:rPr>
          <w:rFonts w:ascii="仿宋_GB2312" w:hAnsi="仿宋_GB2312" w:eastAsia="仿宋_GB2312" w:cs="仿宋_GB2312"/>
          <w:b w:val="0"/>
          <w:color w:val="auto"/>
          <w:sz w:val="24"/>
          <w:highlight w:val="none"/>
        </w:rPr>
      </w:pPr>
      <w:bookmarkStart w:id="14" w:name="_Toc520356143"/>
      <w:bookmarkStart w:id="15" w:name="_Toc216582805"/>
      <w:bookmarkStart w:id="16" w:name="_Toc515647757"/>
      <w:bookmarkStart w:id="17" w:name="_Toc17202"/>
      <w:bookmarkStart w:id="18" w:name="_Toc1988"/>
      <w:bookmarkStart w:id="19" w:name="_Toc18007"/>
      <w:bookmarkStart w:id="20" w:name="_Toc28131"/>
      <w:bookmarkStart w:id="21" w:name="_Toc22145"/>
      <w:bookmarkStart w:id="22" w:name="_Toc27848"/>
      <w:bookmarkStart w:id="23" w:name="_Toc21215"/>
      <w:bookmarkStart w:id="24" w:name="_Toc28649"/>
      <w:bookmarkStart w:id="25" w:name="_Toc28279"/>
      <w:bookmarkStart w:id="26" w:name="_Toc13870"/>
      <w:bookmarkStart w:id="27" w:name="_Toc24426"/>
      <w:bookmarkStart w:id="28" w:name="_Toc21015"/>
      <w:bookmarkStart w:id="29" w:name="_Toc6399"/>
      <w:r>
        <w:rPr>
          <w:rFonts w:hint="eastAsia" w:ascii="仿宋_GB2312" w:hAnsi="仿宋_GB2312" w:eastAsia="仿宋_GB2312" w:cs="仿宋_GB2312"/>
          <w:color w:val="auto"/>
          <w:sz w:val="28"/>
          <w:highlight w:val="none"/>
        </w:rPr>
        <w:t>一</w:t>
      </w:r>
      <w:bookmarkEnd w:id="14"/>
      <w:bookmarkEnd w:id="15"/>
      <w:bookmarkEnd w:id="16"/>
      <w:r>
        <w:rPr>
          <w:rFonts w:hint="eastAsia" w:ascii="仿宋_GB2312" w:hAnsi="仿宋_GB2312" w:eastAsia="仿宋_GB2312" w:cs="仿宋_GB2312"/>
          <w:color w:val="auto"/>
          <w:sz w:val="28"/>
          <w:highlight w:val="none"/>
          <w:lang w:val="en-US" w:eastAsia="zh-CN"/>
        </w:rPr>
        <w:t xml:space="preserve"> </w:t>
      </w:r>
      <w:r>
        <w:rPr>
          <w:rFonts w:hint="eastAsia" w:ascii="仿宋_GB2312" w:hAnsi="仿宋_GB2312" w:eastAsia="仿宋_GB2312" w:cs="仿宋_GB2312"/>
          <w:color w:val="auto"/>
          <w:sz w:val="28"/>
          <w:highlight w:val="none"/>
        </w:rPr>
        <w:t>总 则</w:t>
      </w:r>
      <w:bookmarkEnd w:id="17"/>
      <w:bookmarkEnd w:id="18"/>
      <w:bookmarkEnd w:id="19"/>
      <w:bookmarkEnd w:id="20"/>
      <w:bookmarkEnd w:id="21"/>
      <w:bookmarkEnd w:id="22"/>
      <w:bookmarkEnd w:id="23"/>
      <w:bookmarkEnd w:id="24"/>
      <w:bookmarkEnd w:id="25"/>
      <w:bookmarkEnd w:id="26"/>
      <w:bookmarkEnd w:id="27"/>
      <w:bookmarkEnd w:id="28"/>
      <w:bookmarkEnd w:id="29"/>
    </w:p>
    <w:p w14:paraId="456636DD">
      <w:pPr>
        <w:pStyle w:val="5"/>
        <w:spacing w:before="0" w:after="0" w:line="288" w:lineRule="auto"/>
        <w:rPr>
          <w:rFonts w:ascii="仿宋_GB2312" w:hAnsi="仿宋_GB2312" w:eastAsia="仿宋_GB2312" w:cs="仿宋_GB2312"/>
          <w:color w:val="auto"/>
          <w:highlight w:val="none"/>
        </w:rPr>
      </w:pPr>
      <w:bookmarkStart w:id="30" w:name="_Toc520356144"/>
      <w:bookmarkStart w:id="31" w:name="_Toc6990"/>
      <w:bookmarkStart w:id="32" w:name="_Toc32623"/>
      <w:bookmarkStart w:id="33" w:name="_Toc14500"/>
      <w:bookmarkStart w:id="34" w:name="_Toc20172"/>
      <w:bookmarkStart w:id="35" w:name="_Toc16352"/>
      <w:bookmarkStart w:id="36" w:name="_Toc515647758"/>
      <w:bookmarkStart w:id="37" w:name="_Toc568"/>
      <w:bookmarkStart w:id="38" w:name="_Toc17376"/>
      <w:bookmarkStart w:id="39" w:name="_Toc11245"/>
      <w:bookmarkStart w:id="40" w:name="_Toc9357"/>
      <w:bookmarkStart w:id="41" w:name="_Toc19622"/>
      <w:bookmarkStart w:id="42" w:name="_Toc32189"/>
      <w:bookmarkStart w:id="43" w:name="_Toc5999"/>
      <w:bookmarkStart w:id="44" w:name="_Toc1539"/>
      <w:r>
        <w:rPr>
          <w:rFonts w:hint="eastAsia" w:ascii="仿宋_GB2312" w:hAnsi="仿宋_GB2312" w:eastAsia="仿宋_GB2312" w:cs="仿宋_GB2312"/>
          <w:color w:val="auto"/>
          <w:highlight w:val="none"/>
        </w:rPr>
        <w:t>1.采购人、采购代理机构及</w:t>
      </w:r>
      <w:bookmarkEnd w:id="30"/>
      <w:r>
        <w:rPr>
          <w:rFonts w:hint="eastAsia" w:ascii="仿宋_GB2312" w:hAnsi="仿宋_GB2312" w:eastAsia="仿宋_GB2312" w:cs="仿宋_GB2312"/>
          <w:color w:val="auto"/>
          <w:highlight w:val="none"/>
        </w:rPr>
        <w:t>投标人</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45F8D36">
      <w:pPr>
        <w:numPr>
          <w:ilvl w:val="1"/>
          <w:numId w:val="2"/>
        </w:numPr>
        <w:tabs>
          <w:tab w:val="left" w:pos="0"/>
        </w:tabs>
        <w:spacing w:line="288" w:lineRule="auto"/>
        <w:ind w:hanging="89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采购人：是指依法开展政府采购活动的国家机关、事业单位、团体组织。</w:t>
      </w:r>
    </w:p>
    <w:p w14:paraId="0901691B">
      <w:pPr>
        <w:tabs>
          <w:tab w:val="left" w:pos="0"/>
        </w:tabs>
        <w:spacing w:line="288" w:lineRule="auto"/>
        <w:ind w:left="9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本项目的采购人见</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w:t>
      </w:r>
    </w:p>
    <w:p w14:paraId="17391363">
      <w:pPr>
        <w:numPr>
          <w:ilvl w:val="1"/>
          <w:numId w:val="2"/>
        </w:numPr>
        <w:tabs>
          <w:tab w:val="left" w:pos="0"/>
        </w:tabs>
        <w:spacing w:line="288" w:lineRule="auto"/>
        <w:ind w:hanging="89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采购代理机构：是指在集中采购机构或从事采购代理业务的社会中介机构。本项目的采购代理机构见</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w:t>
      </w:r>
    </w:p>
    <w:p w14:paraId="7475BE10">
      <w:pPr>
        <w:numPr>
          <w:ilvl w:val="1"/>
          <w:numId w:val="2"/>
        </w:numPr>
        <w:spacing w:line="288" w:lineRule="auto"/>
        <w:ind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投标人：是指向采购人提供货物、工程或者服务的法人、非法人组织或者自然人。本项目的投标人及其投标货物须满足以下条件：</w:t>
      </w:r>
    </w:p>
    <w:p w14:paraId="0E1D49A7">
      <w:pPr>
        <w:spacing w:line="288" w:lineRule="auto"/>
        <w:ind w:left="850" w:hanging="849" w:hangingChars="354"/>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在中华人民共和国境内注册，能够独立承担民事责任，有生产或供应能力的本国供应商。</w:t>
      </w:r>
    </w:p>
    <w:p w14:paraId="6466CB99">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1.3.2  具备《中华人民共和国政府采购法》第二十二条关于供应商条件的规定，遵守本项目采购人本级和上级财政部门政府采购的有关规定。</w:t>
      </w:r>
    </w:p>
    <w:p w14:paraId="779B1BE7">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   以采购代理机构认可的方式获得了本项目的招标文件。</w:t>
      </w:r>
    </w:p>
    <w:p w14:paraId="027A0E2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1.3.4   提供符合</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中规定的资格证明文件。</w:t>
      </w:r>
    </w:p>
    <w:p w14:paraId="1C3E6E7F">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1.3.5   若</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中写明允许采购进口产品，投标人应保证所投产品可履行合法报通关手续进入中国关境内。</w:t>
      </w:r>
    </w:p>
    <w:p w14:paraId="50608D86">
      <w:pPr>
        <w:spacing w:line="288" w:lineRule="auto"/>
        <w:ind w:left="898" w:leftChars="4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中未写明允许采购进口产品，如投标人所投产品为进口产品，其投标将被认定为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7B89C939">
      <w:pPr>
        <w:spacing w:line="288" w:lineRule="auto"/>
        <w:ind w:left="840" w:hanging="840" w:hanging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1.3.6  若</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中写明专门面向中小企业采购的，如投标人为非中小企业且所投产品为非中小企业产品，其投标将被认定为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07E7C0A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     如</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中允许联合体投标，对联合体规定如下：</w:t>
      </w:r>
    </w:p>
    <w:p w14:paraId="5BE6DD06">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1.4.1   两个以上供应商可以组成一个投标联合体，以一个投标人的身份投标。</w:t>
      </w:r>
    </w:p>
    <w:p w14:paraId="61EDE36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1.4.2   联合体各方均应符合《中华人民共和国政府采购法》第二十二条规定的条件。</w:t>
      </w:r>
    </w:p>
    <w:p w14:paraId="6C637F3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1.4.3   采购人根据采购项目对投标人的特殊要求，联合体中至少应当有一方符合相关规定。</w:t>
      </w:r>
    </w:p>
    <w:p w14:paraId="3A76B28D">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1.4.4   联合体各方应签订共同投标协议，明确约定联合体各方承担的工作和相应的责任，并将共同投标协议连同作为投标文件第一部分的内容提交。</w:t>
      </w:r>
    </w:p>
    <w:p w14:paraId="5E069FB0">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1.4.5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大中型企业、其他自然人、法人或者非法人组织与小型、微型企业组成联合体共同参加投标，共同投标协议中应写明小型、微型企业的协议合同金额占到共同投标协议投标总金额的比例。</w:t>
      </w:r>
    </w:p>
    <w:p w14:paraId="73B3EB12">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1.4.6  联合体中有同类资质的供应商按照联合体分工承担相同工作的，按照较低的资质等级确定联合体的资质等级。</w:t>
      </w:r>
    </w:p>
    <w:p w14:paraId="4956AC37">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1.4.7  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6F2200C5">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1.4.8   对联合体投标的其他资格要求见</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w:t>
      </w:r>
    </w:p>
    <w:p w14:paraId="2DBE592D">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    单位负责人为同一人或者存在直接控股、管理关系的不同供应商，其相关投标将被认定为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0BCABAC6">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25C11BFB">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投标人在投标过程中不得向采购人提供、给予任何有价值的物品，影响其正常决策行为。一经发现，其将被认定为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56AFD5AD">
      <w:pPr>
        <w:pStyle w:val="5"/>
        <w:spacing w:before="0" w:after="0" w:line="288" w:lineRule="auto"/>
        <w:rPr>
          <w:rFonts w:ascii="仿宋_GB2312" w:hAnsi="仿宋_GB2312" w:eastAsia="仿宋_GB2312" w:cs="仿宋_GB2312"/>
          <w:color w:val="auto"/>
          <w:highlight w:val="none"/>
        </w:rPr>
      </w:pPr>
      <w:bookmarkStart w:id="45" w:name="_Toc12139"/>
      <w:bookmarkStart w:id="46" w:name="_Toc28178"/>
      <w:bookmarkStart w:id="47" w:name="_Toc4322"/>
      <w:bookmarkStart w:id="48" w:name="_Toc8874"/>
      <w:bookmarkStart w:id="49" w:name="_Toc5286"/>
      <w:bookmarkStart w:id="50" w:name="_Toc515647759"/>
      <w:bookmarkStart w:id="51" w:name="_Toc14117"/>
      <w:bookmarkStart w:id="52" w:name="_Toc17808"/>
      <w:bookmarkStart w:id="53" w:name="_Toc14658"/>
      <w:bookmarkStart w:id="54" w:name="_Toc21316"/>
      <w:bookmarkStart w:id="55" w:name="_Toc25043"/>
      <w:bookmarkStart w:id="56" w:name="_Toc4315"/>
      <w:bookmarkStart w:id="57" w:name="_Toc7361"/>
      <w:bookmarkStart w:id="58" w:name="_Toc1214"/>
      <w:r>
        <w:rPr>
          <w:rFonts w:hint="eastAsia" w:ascii="仿宋_GB2312" w:hAnsi="仿宋_GB2312" w:eastAsia="仿宋_GB2312" w:cs="仿宋_GB2312"/>
          <w:color w:val="auto"/>
          <w:highlight w:val="none"/>
        </w:rPr>
        <w:t>2.资金来源</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1229259">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本项目的采购人已获得足以支付本次招标后所签订的合同项下的资金（包括财政性资金和本项目采购中无法与财政性资金分割的非财政性资金）。</w:t>
      </w:r>
    </w:p>
    <w:p w14:paraId="1A44822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项目预算金额和分项或分包最高限价</w:t>
      </w:r>
      <w:r>
        <w:rPr>
          <w:rFonts w:hint="eastAsia" w:ascii="仿宋_GB2312" w:hAnsi="仿宋_GB2312" w:eastAsia="仿宋_GB2312" w:cs="仿宋_GB2312"/>
          <w:color w:val="auto"/>
          <w:sz w:val="24"/>
          <w:highlight w:val="none"/>
          <w:u w:val="single" w:color="000000"/>
        </w:rPr>
        <w:t>见投标人须知资料表</w:t>
      </w:r>
      <w:r>
        <w:rPr>
          <w:rFonts w:hint="eastAsia" w:ascii="仿宋_GB2312" w:hAnsi="仿宋_GB2312" w:eastAsia="仿宋_GB2312" w:cs="仿宋_GB2312"/>
          <w:color w:val="auto"/>
          <w:sz w:val="24"/>
          <w:highlight w:val="none"/>
        </w:rPr>
        <w:t>。</w:t>
      </w:r>
    </w:p>
    <w:p w14:paraId="71733951">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投标人报价超过招标文件规定的预算金额或者分项、分包最高限价的，其投标将被认定为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0D51FEA7">
      <w:pPr>
        <w:pStyle w:val="5"/>
        <w:spacing w:before="0" w:after="0" w:line="288" w:lineRule="auto"/>
        <w:rPr>
          <w:rFonts w:ascii="仿宋_GB2312" w:hAnsi="仿宋_GB2312" w:eastAsia="仿宋_GB2312" w:cs="仿宋_GB2312"/>
          <w:color w:val="auto"/>
          <w:highlight w:val="none"/>
        </w:rPr>
      </w:pPr>
      <w:bookmarkStart w:id="59" w:name="_Toc17722"/>
      <w:bookmarkStart w:id="60" w:name="_Toc20548"/>
      <w:bookmarkStart w:id="61" w:name="_Toc31923"/>
      <w:bookmarkStart w:id="62" w:name="_Toc26014"/>
      <w:bookmarkStart w:id="63" w:name="_Toc515647760"/>
      <w:bookmarkStart w:id="64" w:name="_Toc520356145"/>
      <w:bookmarkStart w:id="65" w:name="_Toc13235"/>
      <w:bookmarkStart w:id="66" w:name="_Toc12066"/>
      <w:bookmarkStart w:id="67" w:name="_Toc26702"/>
      <w:bookmarkStart w:id="68" w:name="_Toc15936"/>
      <w:bookmarkStart w:id="69" w:name="_Toc13828"/>
      <w:bookmarkStart w:id="70" w:name="_Toc245"/>
      <w:bookmarkStart w:id="71" w:name="_Toc25643"/>
      <w:bookmarkStart w:id="72" w:name="_Toc20526"/>
      <w:bookmarkStart w:id="73" w:name="_Toc30315"/>
      <w:r>
        <w:rPr>
          <w:rFonts w:hint="eastAsia" w:ascii="仿宋_GB2312" w:hAnsi="仿宋_GB2312" w:eastAsia="仿宋_GB2312" w:cs="仿宋_GB2312"/>
          <w:color w:val="auto"/>
          <w:highlight w:val="none"/>
        </w:rPr>
        <w:t>3.投标费用</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244439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不论投标的结果如何，投标人应承担所有与准备和参加投标有关的费用。</w:t>
      </w:r>
    </w:p>
    <w:p w14:paraId="73BD7F54">
      <w:pPr>
        <w:pStyle w:val="5"/>
        <w:spacing w:before="0" w:after="0" w:line="288" w:lineRule="auto"/>
        <w:rPr>
          <w:rFonts w:ascii="仿宋_GB2312" w:hAnsi="仿宋_GB2312" w:eastAsia="仿宋_GB2312" w:cs="仿宋_GB2312"/>
          <w:color w:val="auto"/>
          <w:highlight w:val="none"/>
        </w:rPr>
      </w:pPr>
      <w:bookmarkStart w:id="74" w:name="_Toc25102"/>
      <w:bookmarkStart w:id="75" w:name="_Toc20058"/>
      <w:bookmarkStart w:id="76" w:name="_Toc18730"/>
      <w:bookmarkStart w:id="77" w:name="_Toc6116"/>
      <w:bookmarkStart w:id="78" w:name="_Toc23097"/>
      <w:bookmarkStart w:id="79" w:name="_Toc4463"/>
      <w:bookmarkStart w:id="80" w:name="_Toc32665"/>
      <w:bookmarkStart w:id="81" w:name="_Toc22881"/>
      <w:bookmarkStart w:id="82" w:name="_Toc24113"/>
      <w:bookmarkStart w:id="83" w:name="_Toc31798"/>
      <w:bookmarkStart w:id="84" w:name="_Toc28041"/>
      <w:bookmarkStart w:id="85" w:name="_Toc3354"/>
      <w:bookmarkStart w:id="86" w:name="_Toc3200"/>
      <w:bookmarkStart w:id="87" w:name="_Toc515647761"/>
      <w:r>
        <w:rPr>
          <w:rFonts w:hint="eastAsia" w:ascii="仿宋_GB2312" w:hAnsi="仿宋_GB2312" w:eastAsia="仿宋_GB2312" w:cs="仿宋_GB2312"/>
          <w:color w:val="auto"/>
          <w:highlight w:val="none"/>
        </w:rPr>
        <w:t>4.适用法律</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CF74C16">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75D55121">
      <w:pPr>
        <w:rPr>
          <w:rFonts w:hint="eastAsia"/>
          <w:color w:val="auto"/>
          <w:highlight w:val="none"/>
        </w:rPr>
      </w:pPr>
      <w:bookmarkStart w:id="88" w:name="_Toc6944"/>
      <w:bookmarkStart w:id="89" w:name="_Toc17538"/>
      <w:bookmarkStart w:id="90" w:name="_Toc28572"/>
      <w:bookmarkStart w:id="91" w:name="_Toc4063"/>
      <w:bookmarkStart w:id="92" w:name="_Toc515647762"/>
      <w:bookmarkStart w:id="93" w:name="_Toc216582806"/>
      <w:bookmarkStart w:id="94" w:name="_Toc19184"/>
      <w:bookmarkStart w:id="95" w:name="_Toc520356146"/>
      <w:bookmarkStart w:id="96" w:name="_Toc8117"/>
      <w:bookmarkStart w:id="97" w:name="_Toc10643"/>
      <w:bookmarkStart w:id="98" w:name="_Toc4365"/>
      <w:bookmarkStart w:id="99" w:name="_Toc1733"/>
      <w:bookmarkStart w:id="100" w:name="_Toc21566"/>
      <w:bookmarkStart w:id="101" w:name="_Toc30891"/>
    </w:p>
    <w:p w14:paraId="1BE8FCD5">
      <w:pPr>
        <w:pStyle w:val="4"/>
        <w:spacing w:before="0" w:line="288" w:lineRule="auto"/>
        <w:ind w:left="1079" w:leftChars="257" w:hanging="540"/>
        <w:rPr>
          <w:rFonts w:ascii="仿宋_GB2312" w:hAnsi="仿宋_GB2312" w:eastAsia="仿宋_GB2312" w:cs="仿宋_GB2312"/>
          <w:color w:val="auto"/>
          <w:sz w:val="28"/>
          <w:highlight w:val="none"/>
        </w:rPr>
      </w:pPr>
      <w:bookmarkStart w:id="102" w:name="_Toc15612"/>
      <w:r>
        <w:rPr>
          <w:rFonts w:hint="eastAsia" w:ascii="仿宋_GB2312" w:hAnsi="仿宋_GB2312" w:eastAsia="仿宋_GB2312" w:cs="仿宋_GB2312"/>
          <w:color w:val="auto"/>
          <w:sz w:val="28"/>
          <w:highlight w:val="none"/>
        </w:rPr>
        <w:t>二 招标文件</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7B6698B">
      <w:pPr>
        <w:pStyle w:val="6"/>
        <w:spacing w:line="288" w:lineRule="auto"/>
        <w:rPr>
          <w:rFonts w:ascii="仿宋_GB2312" w:hAnsi="仿宋_GB2312" w:eastAsia="仿宋_GB2312" w:cs="仿宋_GB2312"/>
          <w:color w:val="auto"/>
          <w:highlight w:val="none"/>
        </w:rPr>
      </w:pPr>
    </w:p>
    <w:p w14:paraId="158EB7C1">
      <w:pPr>
        <w:pStyle w:val="5"/>
        <w:spacing w:before="0" w:after="0" w:line="288" w:lineRule="auto"/>
        <w:rPr>
          <w:rFonts w:ascii="仿宋_GB2312" w:hAnsi="仿宋_GB2312" w:eastAsia="仿宋_GB2312" w:cs="仿宋_GB2312"/>
          <w:color w:val="auto"/>
          <w:highlight w:val="none"/>
        </w:rPr>
      </w:pPr>
      <w:bookmarkStart w:id="103" w:name="_Toc520356147"/>
      <w:bookmarkStart w:id="104" w:name="_Toc28647"/>
      <w:bookmarkStart w:id="105" w:name="_Toc28"/>
      <w:bookmarkStart w:id="106" w:name="_Toc1617"/>
      <w:bookmarkStart w:id="107" w:name="_Toc515647763"/>
      <w:bookmarkStart w:id="108" w:name="_Toc6246"/>
      <w:bookmarkStart w:id="109" w:name="_Toc22748"/>
      <w:bookmarkStart w:id="110" w:name="_Toc5326"/>
      <w:bookmarkStart w:id="111" w:name="_Toc481"/>
      <w:bookmarkStart w:id="112" w:name="_Toc25743"/>
      <w:bookmarkStart w:id="113" w:name="_Toc14637"/>
      <w:bookmarkStart w:id="114" w:name="_Toc14084"/>
      <w:bookmarkStart w:id="115" w:name="_Toc4671"/>
      <w:bookmarkStart w:id="116" w:name="_Toc11582"/>
      <w:bookmarkStart w:id="117" w:name="_Toc17225"/>
      <w:r>
        <w:rPr>
          <w:rFonts w:hint="eastAsia" w:ascii="仿宋_GB2312" w:hAnsi="仿宋_GB2312" w:eastAsia="仿宋_GB2312" w:cs="仿宋_GB2312"/>
          <w:color w:val="auto"/>
          <w:highlight w:val="none"/>
        </w:rPr>
        <w:t>5.招标文件构成</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62E5FAB">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招标文件分为三册共7章，内容如下：</w:t>
      </w:r>
    </w:p>
    <w:p w14:paraId="3206E8F0">
      <w:pPr>
        <w:spacing w:line="288" w:lineRule="auto"/>
        <w:ind w:left="1078" w:leftChars="428" w:hanging="180" w:hangingChars="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第一册</w:t>
      </w:r>
    </w:p>
    <w:p w14:paraId="309C1FCF">
      <w:pPr>
        <w:numPr>
          <w:ilvl w:val="0"/>
          <w:numId w:val="3"/>
        </w:numPr>
        <w:tabs>
          <w:tab w:val="left" w:pos="0"/>
        </w:tabs>
        <w:spacing w:line="288" w:lineRule="auto"/>
        <w:ind w:hanging="829"/>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投标人须知</w:t>
      </w:r>
    </w:p>
    <w:p w14:paraId="04AD2D13">
      <w:pPr>
        <w:numPr>
          <w:ilvl w:val="0"/>
          <w:numId w:val="3"/>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投标文件格式</w:t>
      </w:r>
    </w:p>
    <w:p w14:paraId="2237A71E">
      <w:p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第二册</w:t>
      </w:r>
    </w:p>
    <w:p w14:paraId="7412AEE7">
      <w:pPr>
        <w:numPr>
          <w:ilvl w:val="0"/>
          <w:numId w:val="3"/>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投标邀请</w:t>
      </w:r>
    </w:p>
    <w:p w14:paraId="45D69B0F">
      <w:pPr>
        <w:numPr>
          <w:ilvl w:val="0"/>
          <w:numId w:val="3"/>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投标人须知资料表</w:t>
      </w:r>
    </w:p>
    <w:p w14:paraId="37214733">
      <w:pPr>
        <w:numPr>
          <w:ilvl w:val="0"/>
          <w:numId w:val="3"/>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货物需求一览表及技术规格</w:t>
      </w:r>
    </w:p>
    <w:p w14:paraId="4159DA10">
      <w:pPr>
        <w:numPr>
          <w:ilvl w:val="0"/>
          <w:numId w:val="3"/>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评标方法和标准</w:t>
      </w:r>
    </w:p>
    <w:p w14:paraId="52638897">
      <w:pPr>
        <w:spacing w:line="288" w:lineRule="auto"/>
        <w:ind w:left="90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第三册</w:t>
      </w:r>
    </w:p>
    <w:p w14:paraId="7C869A83">
      <w:pPr>
        <w:numPr>
          <w:ilvl w:val="0"/>
          <w:numId w:val="3"/>
        </w:numPr>
        <w:spacing w:line="288" w:lineRule="auto"/>
        <w:ind w:left="718" w:leftChars="342"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政府采购合同格式</w:t>
      </w:r>
    </w:p>
    <w:p w14:paraId="40F40EC3">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如本文件的前后内容不一致，以最后描述为准。</w:t>
      </w:r>
    </w:p>
    <w:p w14:paraId="61AE08C0">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41A9FC05">
      <w:pPr>
        <w:pStyle w:val="5"/>
        <w:spacing w:before="0" w:after="0" w:line="288" w:lineRule="auto"/>
        <w:rPr>
          <w:rFonts w:ascii="仿宋_GB2312" w:hAnsi="仿宋_GB2312" w:eastAsia="仿宋_GB2312" w:cs="仿宋_GB2312"/>
          <w:color w:val="auto"/>
          <w:highlight w:val="none"/>
        </w:rPr>
      </w:pPr>
      <w:bookmarkStart w:id="118" w:name="_Toc520356148"/>
      <w:bookmarkStart w:id="119" w:name="_Toc515904805"/>
      <w:bookmarkStart w:id="120" w:name="_Toc4118"/>
      <w:bookmarkStart w:id="121" w:name="_Toc9232"/>
      <w:bookmarkStart w:id="122" w:name="_Toc26044"/>
      <w:bookmarkStart w:id="123" w:name="_Toc7323"/>
      <w:bookmarkStart w:id="124" w:name="_Toc29359"/>
      <w:bookmarkStart w:id="125" w:name="_Toc20175"/>
      <w:bookmarkStart w:id="126" w:name="_Toc2703"/>
      <w:bookmarkStart w:id="127" w:name="_Toc3154"/>
      <w:bookmarkStart w:id="128" w:name="_Toc1925"/>
      <w:bookmarkStart w:id="129" w:name="_Toc1922"/>
      <w:bookmarkStart w:id="130" w:name="_Toc18688"/>
      <w:bookmarkStart w:id="131" w:name="_Toc27562"/>
      <w:bookmarkStart w:id="132" w:name="_Toc4284"/>
      <w:r>
        <w:rPr>
          <w:rFonts w:hint="eastAsia" w:ascii="仿宋_GB2312" w:hAnsi="仿宋_GB2312" w:eastAsia="仿宋_GB2312" w:cs="仿宋_GB2312"/>
          <w:color w:val="auto"/>
          <w:highlight w:val="none"/>
        </w:rPr>
        <w:t>6.招标文件的澄清</w:t>
      </w:r>
      <w:bookmarkEnd w:id="118"/>
      <w:bookmarkEnd w:id="119"/>
      <w:r>
        <w:rPr>
          <w:rFonts w:hint="eastAsia" w:ascii="仿宋_GB2312" w:hAnsi="仿宋_GB2312" w:eastAsia="仿宋_GB2312" w:cs="仿宋_GB2312"/>
          <w:color w:val="auto"/>
          <w:highlight w:val="none"/>
        </w:rPr>
        <w:t>与修改</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6A51BEBD">
      <w:pPr>
        <w:pStyle w:val="6"/>
        <w:spacing w:line="288" w:lineRule="auto"/>
        <w:ind w:left="840" w:hanging="840" w:hangingChars="35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6.1    为了保证对招标文件的澄清和修改满足法律的时限要求，任何要求对招标文件进行澄清的投标人，均应在投标截止期十五日前，以书面形式将澄清要求通知采购人或采购代理机构。</w:t>
      </w:r>
    </w:p>
    <w:p w14:paraId="710F7B3D">
      <w:pPr>
        <w:pStyle w:val="6"/>
        <w:spacing w:line="288" w:lineRule="auto"/>
        <w:ind w:left="840" w:hanging="840" w:hangingChars="350"/>
        <w:rPr>
          <w:rFonts w:ascii="仿宋_GB2312" w:hAnsi="仿宋_GB2312" w:eastAsia="仿宋_GB2312" w:cs="仿宋_GB2312"/>
          <w:color w:val="auto"/>
          <w:szCs w:val="24"/>
          <w:highlight w:val="none"/>
        </w:rPr>
      </w:pPr>
      <w:bookmarkStart w:id="133" w:name="_Toc520356149"/>
      <w:bookmarkStart w:id="134" w:name="_Toc515904806"/>
      <w:bookmarkStart w:id="135" w:name="_Ref467378678"/>
      <w:r>
        <w:rPr>
          <w:rFonts w:hint="eastAsia" w:ascii="仿宋_GB2312" w:hAnsi="仿宋_GB2312" w:eastAsia="仿宋_GB2312" w:cs="仿宋_GB2312"/>
          <w:color w:val="auto"/>
          <w:szCs w:val="24"/>
          <w:highlight w:val="none"/>
        </w:rPr>
        <w:t>6.2</w:t>
      </w:r>
      <w:r>
        <w:rPr>
          <w:rFonts w:hint="eastAsia" w:ascii="仿宋_GB2312" w:hAnsi="仿宋_GB2312" w:eastAsia="仿宋_GB2312" w:cs="仿宋_GB2312"/>
          <w:color w:val="auto"/>
          <w:szCs w:val="24"/>
          <w:highlight w:val="none"/>
        </w:rPr>
        <w:tab/>
      </w:r>
      <w:r>
        <w:rPr>
          <w:rFonts w:hint="eastAsia" w:ascii="仿宋_GB2312" w:hAnsi="仿宋_GB2312" w:eastAsia="仿宋_GB2312" w:cs="仿宋_GB2312"/>
          <w:color w:val="auto"/>
          <w:szCs w:val="24"/>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79EE1E87">
      <w:pPr>
        <w:pStyle w:val="6"/>
        <w:spacing w:line="288" w:lineRule="auto"/>
        <w:ind w:left="840" w:hanging="840" w:hangingChars="35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6.3</w:t>
      </w:r>
      <w:r>
        <w:rPr>
          <w:rFonts w:hint="eastAsia" w:ascii="仿宋_GB2312" w:hAnsi="仿宋_GB2312" w:eastAsia="仿宋_GB2312" w:cs="仿宋_GB2312"/>
          <w:color w:val="auto"/>
          <w:szCs w:val="24"/>
          <w:highlight w:val="none"/>
        </w:rPr>
        <w:tab/>
      </w:r>
      <w:r>
        <w:rPr>
          <w:rFonts w:hint="eastAsia" w:ascii="仿宋_GB2312" w:hAnsi="仿宋_GB2312" w:eastAsia="仿宋_GB2312" w:cs="仿宋_GB2312"/>
          <w:color w:val="auto"/>
          <w:szCs w:val="24"/>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5B0012AC">
      <w:pPr>
        <w:pStyle w:val="5"/>
        <w:tabs>
          <w:tab w:val="left" w:pos="900"/>
        </w:tabs>
        <w:spacing w:before="0" w:after="0" w:line="288" w:lineRule="auto"/>
        <w:rPr>
          <w:rFonts w:ascii="仿宋_GB2312" w:hAnsi="仿宋_GB2312" w:eastAsia="仿宋_GB2312" w:cs="仿宋_GB2312"/>
          <w:color w:val="auto"/>
          <w:highlight w:val="none"/>
        </w:rPr>
      </w:pPr>
      <w:bookmarkStart w:id="136" w:name="_Toc7775"/>
      <w:bookmarkStart w:id="137" w:name="_Toc14569"/>
      <w:bookmarkStart w:id="138" w:name="_Toc330"/>
      <w:bookmarkStart w:id="139" w:name="_Toc2744"/>
      <w:bookmarkStart w:id="140" w:name="_Toc19841"/>
      <w:bookmarkStart w:id="141" w:name="_Toc4653"/>
      <w:bookmarkStart w:id="142" w:name="_Toc25635"/>
      <w:bookmarkStart w:id="143" w:name="_Toc11406"/>
      <w:bookmarkStart w:id="144" w:name="_Toc12448"/>
      <w:bookmarkStart w:id="145" w:name="_Toc25461"/>
      <w:bookmarkStart w:id="146" w:name="_Toc25416"/>
      <w:bookmarkStart w:id="147" w:name="_Toc23166"/>
      <w:bookmarkStart w:id="148" w:name="_Toc21993"/>
      <w:r>
        <w:rPr>
          <w:rFonts w:hint="eastAsia" w:ascii="仿宋_GB2312" w:hAnsi="仿宋_GB2312" w:eastAsia="仿宋_GB2312" w:cs="仿宋_GB2312"/>
          <w:color w:val="auto"/>
          <w:highlight w:val="none"/>
        </w:rPr>
        <w:t>7</w:t>
      </w:r>
      <w:bookmarkEnd w:id="133"/>
      <w:bookmarkEnd w:id="134"/>
      <w:bookmarkEnd w:id="135"/>
      <w:r>
        <w:rPr>
          <w:rFonts w:hint="eastAsia" w:ascii="仿宋_GB2312" w:hAnsi="仿宋_GB2312" w:eastAsia="仿宋_GB2312" w:cs="仿宋_GB2312"/>
          <w:color w:val="auto"/>
          <w:highlight w:val="none"/>
        </w:rPr>
        <w:t>.投标截止时间的顺延</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3A846BD3">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为使投标人准备投标时有足够的时间对招标文件的澄清或者修改部分进行研究，采购人将依法决定是否顺延投标截止时间。</w:t>
      </w:r>
    </w:p>
    <w:p w14:paraId="191AB154">
      <w:pPr>
        <w:pStyle w:val="4"/>
        <w:tabs>
          <w:tab w:val="left" w:pos="900"/>
        </w:tabs>
        <w:spacing w:before="0" w:line="288" w:lineRule="auto"/>
        <w:ind w:left="1079" w:leftChars="257" w:hanging="540"/>
        <w:rPr>
          <w:rFonts w:ascii="仿宋_GB2312" w:hAnsi="仿宋_GB2312" w:eastAsia="仿宋_GB2312" w:cs="仿宋_GB2312"/>
          <w:b w:val="0"/>
          <w:color w:val="auto"/>
          <w:sz w:val="24"/>
          <w:highlight w:val="none"/>
        </w:rPr>
      </w:pPr>
      <w:bookmarkStart w:id="149" w:name="_Toc516367020"/>
      <w:bookmarkStart w:id="150" w:name="_Toc8537"/>
      <w:bookmarkStart w:id="151" w:name="_Toc30808"/>
      <w:bookmarkStart w:id="152" w:name="_Toc7636"/>
      <w:bookmarkStart w:id="153" w:name="_Toc14810"/>
      <w:bookmarkStart w:id="154" w:name="_Toc14530"/>
      <w:bookmarkStart w:id="155" w:name="_Toc216582807"/>
      <w:bookmarkStart w:id="156" w:name="_Toc15802"/>
      <w:bookmarkStart w:id="157" w:name="_Toc23336"/>
      <w:bookmarkStart w:id="158" w:name="_Toc31039"/>
      <w:bookmarkStart w:id="159" w:name="_Toc515647766"/>
      <w:bookmarkStart w:id="160" w:name="_Toc12340"/>
      <w:bookmarkStart w:id="161" w:name="_Toc8381"/>
      <w:bookmarkStart w:id="162" w:name="_Toc22175"/>
      <w:bookmarkStart w:id="163" w:name="_Toc19696"/>
      <w:bookmarkStart w:id="164" w:name="_Toc25866"/>
      <w:bookmarkStart w:id="165" w:name="_Toc520356150"/>
      <w:r>
        <w:rPr>
          <w:rFonts w:hint="eastAsia" w:ascii="仿宋_GB2312" w:hAnsi="仿宋_GB2312" w:eastAsia="仿宋_GB2312" w:cs="仿宋_GB2312"/>
          <w:color w:val="auto"/>
          <w:sz w:val="28"/>
          <w:highlight w:val="none"/>
        </w:rPr>
        <w:t>三 投标文件</w:t>
      </w:r>
      <w:bookmarkEnd w:id="149"/>
      <w:r>
        <w:rPr>
          <w:rFonts w:hint="eastAsia" w:ascii="仿宋_GB2312" w:hAnsi="仿宋_GB2312" w:eastAsia="仿宋_GB2312" w:cs="仿宋_GB2312"/>
          <w:color w:val="auto"/>
          <w:sz w:val="28"/>
          <w:highlight w:val="none"/>
        </w:rPr>
        <w:t>的编制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125B110F">
      <w:pPr>
        <w:pStyle w:val="5"/>
        <w:tabs>
          <w:tab w:val="left" w:pos="900"/>
        </w:tabs>
        <w:spacing w:before="0" w:after="0" w:line="288" w:lineRule="auto"/>
        <w:rPr>
          <w:rFonts w:ascii="仿宋_GB2312" w:hAnsi="仿宋_GB2312" w:eastAsia="仿宋_GB2312" w:cs="仿宋_GB2312"/>
          <w:color w:val="auto"/>
          <w:highlight w:val="none"/>
        </w:rPr>
      </w:pPr>
      <w:bookmarkStart w:id="166" w:name="_Toc6680"/>
      <w:bookmarkStart w:id="167" w:name="_Toc7786"/>
      <w:bookmarkStart w:id="168" w:name="_Toc515647767"/>
      <w:bookmarkStart w:id="169" w:name="_Toc520356151"/>
      <w:bookmarkStart w:id="170" w:name="_Toc11023"/>
      <w:bookmarkStart w:id="171" w:name="_Toc516367021"/>
      <w:bookmarkStart w:id="172" w:name="_Toc2259"/>
      <w:bookmarkStart w:id="173" w:name="_Toc11230"/>
      <w:bookmarkStart w:id="174" w:name="_Toc27410"/>
      <w:bookmarkStart w:id="175" w:name="_Toc10758"/>
      <w:bookmarkStart w:id="176" w:name="_Toc3553"/>
      <w:bookmarkStart w:id="177" w:name="_Toc15952"/>
      <w:bookmarkStart w:id="178" w:name="_Toc30570"/>
      <w:bookmarkStart w:id="179" w:name="_Toc21038"/>
      <w:bookmarkStart w:id="180" w:name="_Toc15590"/>
      <w:bookmarkStart w:id="181" w:name="_Toc28725"/>
      <w:r>
        <w:rPr>
          <w:rFonts w:hint="eastAsia" w:ascii="仿宋_GB2312" w:hAnsi="仿宋_GB2312" w:eastAsia="仿宋_GB2312" w:cs="仿宋_GB2312"/>
          <w:color w:val="auto"/>
          <w:highlight w:val="none"/>
        </w:rPr>
        <w:t>8.</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投标范围及投标文件中标准和计量单位的使用</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971142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项目有分包的，投标人可对招标文件其中某一个或几个分包货物进行投标，除非在</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中另有规定。</w:t>
      </w:r>
    </w:p>
    <w:p w14:paraId="177EB97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8.2     投标人应当对所投分包招标文件中“服务需求”所列的所有内容进行投标，如仅响应某一包中的部分内容，其该包投标将被认定为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1D90F9E1">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8.3     无论招标文件第5章货物需求一览表及技术规格中是否要求，投标人所投货物均应符合国家强制性标准。</w:t>
      </w:r>
    </w:p>
    <w:p w14:paraId="63C44B40">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8.4     除招标文件中有特殊要求外，投标文件中所使用的计量单位，应采用中华人民共和国法定计量单位。</w:t>
      </w:r>
    </w:p>
    <w:p w14:paraId="286B87A0">
      <w:pPr>
        <w:pStyle w:val="5"/>
        <w:tabs>
          <w:tab w:val="left" w:pos="900"/>
        </w:tabs>
        <w:spacing w:before="0" w:after="0" w:line="288" w:lineRule="auto"/>
        <w:rPr>
          <w:rFonts w:ascii="仿宋_GB2312" w:hAnsi="仿宋_GB2312" w:eastAsia="仿宋_GB2312" w:cs="仿宋_GB2312"/>
          <w:color w:val="auto"/>
          <w:highlight w:val="none"/>
        </w:rPr>
      </w:pPr>
      <w:bookmarkStart w:id="182" w:name="_Ref467306676"/>
      <w:bookmarkStart w:id="183" w:name="_Toc516367022"/>
      <w:bookmarkStart w:id="184" w:name="_Ref467306195"/>
      <w:bookmarkStart w:id="185" w:name="_Toc6112"/>
      <w:bookmarkStart w:id="186" w:name="_Toc515647768"/>
      <w:bookmarkStart w:id="187" w:name="_Toc17979"/>
      <w:bookmarkStart w:id="188" w:name="_Toc520356152"/>
      <w:bookmarkStart w:id="189" w:name="_Toc9389"/>
      <w:bookmarkStart w:id="190" w:name="_Toc18627"/>
      <w:bookmarkStart w:id="191" w:name="_Toc22989"/>
      <w:bookmarkStart w:id="192" w:name="_Toc10364"/>
      <w:bookmarkStart w:id="193" w:name="_Toc28307"/>
      <w:bookmarkStart w:id="194" w:name="_Toc18692"/>
      <w:bookmarkStart w:id="195" w:name="_Toc17949"/>
      <w:bookmarkStart w:id="196" w:name="_Toc13751"/>
      <w:bookmarkStart w:id="197" w:name="_Toc13854"/>
      <w:bookmarkStart w:id="198" w:name="_Toc21249"/>
      <w:bookmarkStart w:id="199" w:name="_Toc9237"/>
      <w:r>
        <w:rPr>
          <w:rFonts w:hint="eastAsia" w:ascii="仿宋_GB2312" w:hAnsi="仿宋_GB2312" w:eastAsia="仿宋_GB2312" w:cs="仿宋_GB2312"/>
          <w:color w:val="auto"/>
          <w:highlight w:val="none"/>
        </w:rPr>
        <w:t>9.投标文件</w:t>
      </w:r>
      <w:bookmarkEnd w:id="182"/>
      <w:bookmarkEnd w:id="183"/>
      <w:bookmarkEnd w:id="184"/>
      <w:r>
        <w:rPr>
          <w:rFonts w:hint="eastAsia" w:ascii="仿宋_GB2312" w:hAnsi="仿宋_GB2312" w:eastAsia="仿宋_GB2312" w:cs="仿宋_GB2312"/>
          <w:color w:val="auto"/>
          <w:highlight w:val="none"/>
        </w:rPr>
        <w:t>构成</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5F7A7FF">
      <w:pPr>
        <w:spacing w:line="288" w:lineRule="auto"/>
        <w:ind w:left="900" w:hanging="900" w:hangingChars="37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9.1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投标单位应完整地按招标文件提供的响应文件格式及要求编写响应文件，投标单位须</w:t>
      </w:r>
    </w:p>
    <w:p w14:paraId="7A66F6E2">
      <w:pPr>
        <w:spacing w:line="288" w:lineRule="auto"/>
        <w:ind w:left="957" w:leftChars="456"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在投标截止时间前完成在系统上递交电子响应文件。投标单位的电子响应文件是经</w:t>
      </w:r>
      <w:r>
        <w:rPr>
          <w:rFonts w:hint="eastAsia" w:ascii="仿宋_GB2312" w:hAnsi="仿宋_GB2312" w:eastAsia="仿宋_GB2312" w:cs="仿宋_GB2312"/>
          <w:color w:val="auto"/>
          <w:sz w:val="24"/>
          <w:highlight w:val="none"/>
          <w:lang w:val="en-US" w:eastAsia="zh-CN"/>
        </w:rPr>
        <w:t>过</w:t>
      </w:r>
      <w:r>
        <w:rPr>
          <w:rFonts w:hint="eastAsia" w:ascii="仿宋_GB2312" w:hAnsi="仿宋_GB2312" w:eastAsia="仿宋_GB2312" w:cs="仿宋_GB2312"/>
          <w:color w:val="auto"/>
          <w:sz w:val="24"/>
          <w:highlight w:val="none"/>
        </w:rPr>
        <w:t>CA 证书加密后上传提交的，任何单位或个人均无法在投标截止时间(即投标时间)</w:t>
      </w:r>
    </w:p>
    <w:p w14:paraId="32B0F9CD">
      <w:pPr>
        <w:spacing w:line="288"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之前查看或篡改，不存在泄密风险。（严格按照政采云电子投标流程制作并上传电</w:t>
      </w:r>
    </w:p>
    <w:p w14:paraId="615CDF31">
      <w:pPr>
        <w:spacing w:line="288" w:lineRule="auto"/>
        <w:ind w:firstLine="960" w:firstLineChars="4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子响应文件）</w:t>
      </w:r>
    </w:p>
    <w:p w14:paraId="58E19268">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9.2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上述文件应按照招标文件规定的格式填写、签署和盖章招标文件中的格式供参考，投标文件中的内容可自行调整但应包括格式内的所有内容。</w:t>
      </w:r>
    </w:p>
    <w:p w14:paraId="5A8A9A6D">
      <w:pPr>
        <w:pStyle w:val="5"/>
        <w:tabs>
          <w:tab w:val="left" w:pos="900"/>
        </w:tabs>
        <w:spacing w:before="0" w:after="0" w:line="288" w:lineRule="auto"/>
        <w:rPr>
          <w:rFonts w:ascii="仿宋_GB2312" w:hAnsi="仿宋_GB2312" w:eastAsia="仿宋_GB2312" w:cs="仿宋_GB2312"/>
          <w:color w:val="auto"/>
          <w:highlight w:val="none"/>
        </w:rPr>
      </w:pPr>
      <w:bookmarkStart w:id="200" w:name="_Toc13143"/>
      <w:bookmarkStart w:id="201" w:name="_Toc6889"/>
      <w:bookmarkStart w:id="202" w:name="_Toc5539"/>
      <w:bookmarkStart w:id="203" w:name="_Toc520356153"/>
      <w:bookmarkStart w:id="204" w:name="_Toc22816"/>
      <w:bookmarkStart w:id="205" w:name="_Toc3494"/>
      <w:bookmarkStart w:id="206" w:name="_Toc515647769"/>
      <w:bookmarkStart w:id="207" w:name="_Toc10379"/>
      <w:bookmarkStart w:id="208" w:name="_Toc2871"/>
      <w:bookmarkStart w:id="209" w:name="_Toc7354"/>
      <w:bookmarkStart w:id="210" w:name="_Toc32256"/>
      <w:bookmarkStart w:id="211" w:name="_Toc4601"/>
      <w:bookmarkStart w:id="212" w:name="_Toc21436"/>
      <w:bookmarkStart w:id="213" w:name="_Toc30942"/>
      <w:bookmarkStart w:id="214" w:name="_Toc22144"/>
      <w:bookmarkStart w:id="215" w:name="_Toc516367023"/>
      <w:r>
        <w:rPr>
          <w:rFonts w:hint="eastAsia" w:ascii="仿宋_GB2312" w:hAnsi="仿宋_GB2312" w:eastAsia="仿宋_GB2312" w:cs="仿宋_GB2312"/>
          <w:color w:val="auto"/>
          <w:highlight w:val="none"/>
        </w:rPr>
        <w:t>10.</w:t>
      </w:r>
      <w:r>
        <w:rPr>
          <w:rFonts w:hint="eastAsia" w:ascii="仿宋_GB2312" w:hAnsi="仿宋_GB2312" w:eastAsia="仿宋_GB2312" w:cs="仿宋_GB2312"/>
          <w:color w:val="auto"/>
          <w:highlight w:val="none"/>
        </w:rPr>
        <w:tab/>
      </w:r>
      <w:r>
        <w:rPr>
          <w:rFonts w:hint="eastAsia" w:ascii="仿宋_GB2312" w:hAnsi="仿宋_GB2312" w:eastAsia="仿宋_GB2312" w:cs="仿宋_GB2312"/>
          <w:color w:val="auto"/>
          <w:highlight w:val="none"/>
        </w:rPr>
        <w:t>证明投标标的的合格性和符合招标文件规定的技术文件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FD4094F">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投标人应提交证明文件，证明其投标内容符合招标文件规定。该证明文件是投标文件的一部分。</w:t>
      </w:r>
    </w:p>
    <w:p w14:paraId="310456F1">
      <w:pPr>
        <w:spacing w:line="288" w:lineRule="auto"/>
        <w:ind w:left="900" w:hanging="900" w:hangingChars="375"/>
        <w:rPr>
          <w:rFonts w:ascii="仿宋_GB2312" w:hAnsi="仿宋_GB2312" w:eastAsia="仿宋_GB2312" w:cs="仿宋_GB2312"/>
          <w:color w:val="auto"/>
          <w:sz w:val="24"/>
          <w:highlight w:val="none"/>
        </w:rPr>
      </w:pPr>
      <w:bookmarkStart w:id="216" w:name="_Ref467306244"/>
      <w:r>
        <w:rPr>
          <w:rFonts w:hint="eastAsia" w:ascii="仿宋_GB2312" w:hAnsi="仿宋_GB2312" w:eastAsia="仿宋_GB2312" w:cs="仿宋_GB2312"/>
          <w:color w:val="auto"/>
          <w:sz w:val="24"/>
          <w:highlight w:val="none"/>
        </w:rPr>
        <w:t>10.2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上款所述的证明文件，可以是文字资料、图纸和数据，</w:t>
      </w:r>
      <w:bookmarkEnd w:id="216"/>
      <w:r>
        <w:rPr>
          <w:rFonts w:hint="eastAsia" w:ascii="仿宋_GB2312" w:hAnsi="仿宋_GB2312" w:eastAsia="仿宋_GB2312" w:cs="仿宋_GB2312"/>
          <w:color w:val="auto"/>
          <w:sz w:val="24"/>
          <w:highlight w:val="none"/>
        </w:rPr>
        <w:t>它包括：</w:t>
      </w:r>
    </w:p>
    <w:p w14:paraId="59568D85">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货物主要技术指标和性能的详细说明；</w:t>
      </w:r>
    </w:p>
    <w:p w14:paraId="320E9710">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货物从买方开始使用至招标文件规定的保质期内正常、连续地使用所必须的备件和专用工具清单，包括备件和专用工具的货源及现行价格；</w:t>
      </w:r>
    </w:p>
    <w:p w14:paraId="05D3AEA7">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10.2.3</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对照招标文件技术规格，逐条说明所提供货物及伴随的工程和服务已对招标文件的技术规格做出了实质性的响应，或申明与技术规格条文的偏差和例外。</w:t>
      </w:r>
    </w:p>
    <w:p w14:paraId="1A82625C">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10.3</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p>
    <w:p w14:paraId="4DEBF400">
      <w:pPr>
        <w:pStyle w:val="5"/>
        <w:spacing w:before="0" w:after="0" w:line="288" w:lineRule="auto"/>
        <w:rPr>
          <w:rFonts w:ascii="仿宋_GB2312" w:hAnsi="仿宋_GB2312" w:eastAsia="仿宋_GB2312" w:cs="仿宋_GB2312"/>
          <w:color w:val="auto"/>
          <w:highlight w:val="none"/>
        </w:rPr>
      </w:pPr>
      <w:bookmarkStart w:id="217" w:name="_Toc19624"/>
      <w:bookmarkStart w:id="218" w:name="_Toc14959"/>
      <w:bookmarkStart w:id="219" w:name="_Toc28319"/>
      <w:bookmarkStart w:id="220" w:name="_Toc13077"/>
      <w:bookmarkStart w:id="221" w:name="_Toc1082"/>
      <w:bookmarkStart w:id="222" w:name="_Toc515647770"/>
      <w:bookmarkStart w:id="223" w:name="_Toc520356155"/>
      <w:bookmarkStart w:id="224" w:name="_Toc6623"/>
      <w:bookmarkStart w:id="225" w:name="_Toc21624"/>
      <w:bookmarkStart w:id="226" w:name="_Toc8997"/>
      <w:bookmarkStart w:id="227" w:name="_Toc23231"/>
      <w:bookmarkStart w:id="228" w:name="_Toc2418"/>
      <w:bookmarkStart w:id="229" w:name="_Toc9907"/>
      <w:bookmarkStart w:id="230" w:name="_Toc1965"/>
      <w:bookmarkStart w:id="231" w:name="_Toc2248"/>
      <w:r>
        <w:rPr>
          <w:rFonts w:hint="eastAsia" w:ascii="仿宋_GB2312" w:hAnsi="仿宋_GB2312" w:eastAsia="仿宋_GB2312" w:cs="仿宋_GB2312"/>
          <w:color w:val="auto"/>
          <w:highlight w:val="none"/>
        </w:rPr>
        <w:t>11.投标报价</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430D335">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41D3C831">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投标人应在投标分项报价表上标明投标货物及相关服务的单价（如适用）和总价，并由法定代表人或其授权代表签署。</w:t>
      </w:r>
    </w:p>
    <w:p w14:paraId="47D10B77">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投标分项报价表上的价格应按下列方式填写：</w:t>
      </w:r>
    </w:p>
    <w:p w14:paraId="3E8FFB1F">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11.3.1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投标货物（包括备品备件、专用工具等）的出厂价（包括已在中国国内的进口货物完税后的仓库交货价、展室交货价或货架交货价），投标货物安装、调试、检验、技术服务和培训等费用；</w:t>
      </w:r>
    </w:p>
    <w:p w14:paraId="693539D2">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11.3.2  货物运至最终目的地的运输费和保险费用。</w:t>
      </w:r>
    </w:p>
    <w:p w14:paraId="65F614A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11.4</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3A77654C">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11.5</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每种货物只能有一个投标报价。采购人不接受具有附加条件的报价。</w:t>
      </w:r>
    </w:p>
    <w:p w14:paraId="4E1BC33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11.6    投标文件中应写明投标产品的产地、数量/面积、养护服务期、供货期，未明确写明的其投标将被认定为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25B71E5A">
      <w:pPr>
        <w:pStyle w:val="5"/>
        <w:spacing w:before="0" w:after="0" w:line="288" w:lineRule="auto"/>
        <w:rPr>
          <w:rFonts w:ascii="仿宋_GB2312" w:hAnsi="仿宋_GB2312" w:eastAsia="仿宋_GB2312" w:cs="仿宋_GB2312"/>
          <w:color w:val="auto"/>
          <w:highlight w:val="none"/>
        </w:rPr>
      </w:pPr>
      <w:bookmarkStart w:id="232" w:name="_Toc13084"/>
      <w:bookmarkStart w:id="233" w:name="_Toc17788"/>
      <w:bookmarkStart w:id="234" w:name="_Toc31739"/>
      <w:bookmarkStart w:id="235" w:name="_Toc17068"/>
      <w:bookmarkStart w:id="236" w:name="_Toc520356156"/>
      <w:bookmarkStart w:id="237" w:name="_Toc27024"/>
      <w:bookmarkStart w:id="238" w:name="_Toc29572"/>
      <w:bookmarkStart w:id="239" w:name="_Toc17296"/>
      <w:bookmarkStart w:id="240" w:name="_Ref467306513"/>
      <w:bookmarkStart w:id="241" w:name="_Toc30124"/>
      <w:bookmarkStart w:id="242" w:name="_Toc1823"/>
      <w:bookmarkStart w:id="243" w:name="_Toc515647771"/>
      <w:bookmarkStart w:id="244" w:name="_Toc11514"/>
      <w:bookmarkStart w:id="245" w:name="_Toc22212"/>
      <w:bookmarkStart w:id="246" w:name="_Toc8651"/>
      <w:bookmarkStart w:id="247" w:name="_Toc17357"/>
      <w:r>
        <w:rPr>
          <w:rFonts w:hint="eastAsia" w:ascii="仿宋_GB2312" w:hAnsi="仿宋_GB2312" w:eastAsia="仿宋_GB2312" w:cs="仿宋_GB2312"/>
          <w:color w:val="auto"/>
          <w:highlight w:val="none"/>
        </w:rPr>
        <w:t>12.投标保证金</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0441272">
      <w:pPr>
        <w:spacing w:line="288" w:lineRule="auto"/>
        <w:ind w:left="900" w:hanging="900" w:hangingChars="375"/>
        <w:rPr>
          <w:rFonts w:ascii="仿宋_GB2312" w:hAnsi="仿宋_GB2312" w:eastAsia="仿宋_GB2312" w:cs="仿宋_GB2312"/>
          <w:color w:val="auto"/>
          <w:sz w:val="24"/>
          <w:highlight w:val="none"/>
        </w:rPr>
      </w:pPr>
      <w:bookmarkStart w:id="248" w:name="_Ref467306302"/>
      <w:r>
        <w:rPr>
          <w:rFonts w:hint="eastAsia" w:ascii="仿宋_GB2312" w:hAnsi="仿宋_GB2312" w:eastAsia="仿宋_GB2312" w:cs="仿宋_GB2312"/>
          <w:color w:val="auto"/>
          <w:sz w:val="24"/>
          <w:highlight w:val="none"/>
        </w:rPr>
        <w:t>12.1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投标人应提交</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中规定的投标保证金</w:t>
      </w:r>
      <w:bookmarkEnd w:id="248"/>
      <w:r>
        <w:rPr>
          <w:rFonts w:hint="eastAsia" w:ascii="仿宋_GB2312" w:hAnsi="仿宋_GB2312" w:eastAsia="仿宋_GB2312" w:cs="仿宋_GB2312"/>
          <w:color w:val="auto"/>
          <w:sz w:val="24"/>
          <w:highlight w:val="none"/>
        </w:rPr>
        <w:t>，并作为其投标的一部分。</w:t>
      </w:r>
    </w:p>
    <w:p w14:paraId="7D8FC548">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投标人存在下列情形的，投标保证金不予退还：</w:t>
      </w:r>
    </w:p>
    <w:p w14:paraId="38C0F756">
      <w:pPr>
        <w:pStyle w:val="13"/>
        <w:tabs>
          <w:tab w:val="left" w:pos="2240"/>
        </w:tabs>
        <w:spacing w:line="288" w:lineRule="auto"/>
        <w:ind w:left="1079" w:leftChars="371" w:hanging="300" w:hangingChars="125"/>
        <w:rPr>
          <w:rFonts w:ascii="仿宋_GB2312" w:hAnsi="仿宋_GB2312" w:eastAsia="仿宋_GB2312" w:cs="仿宋_GB2312"/>
          <w:color w:val="auto"/>
          <w:sz w:val="24"/>
          <w:highlight w:val="none"/>
        </w:rPr>
      </w:pPr>
      <w:bookmarkStart w:id="249" w:name="_Ref467306336"/>
      <w:r>
        <w:rPr>
          <w:rFonts w:hint="eastAsia" w:ascii="仿宋_GB2312" w:hAnsi="仿宋_GB2312" w:eastAsia="仿宋_GB2312" w:cs="仿宋_GB2312"/>
          <w:color w:val="auto"/>
          <w:sz w:val="24"/>
          <w:highlight w:val="none"/>
        </w:rPr>
        <w:t>（1）在投标有效期内，撤销投标的；</w:t>
      </w:r>
    </w:p>
    <w:p w14:paraId="002B2EF8">
      <w:pPr>
        <w:pStyle w:val="13"/>
        <w:tabs>
          <w:tab w:val="left" w:pos="2240"/>
        </w:tabs>
        <w:spacing w:line="288" w:lineRule="auto"/>
        <w:ind w:left="1079" w:leftChars="371" w:hanging="300" w:hangingChars="12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（2）中标后不按本须知第30条的规定与采购人签订合同的；</w:t>
      </w:r>
    </w:p>
    <w:p w14:paraId="72950431">
      <w:pPr>
        <w:pStyle w:val="13"/>
        <w:tabs>
          <w:tab w:val="left" w:pos="2240"/>
        </w:tabs>
        <w:spacing w:line="288" w:lineRule="auto"/>
        <w:ind w:left="1079" w:leftChars="371" w:hanging="300" w:hangingChars="12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（3）中标后不按本须知第31条的规定提交履约保证金的；</w:t>
      </w:r>
    </w:p>
    <w:p w14:paraId="3F4990C7">
      <w:pPr>
        <w:pStyle w:val="13"/>
        <w:tabs>
          <w:tab w:val="left" w:pos="2240"/>
        </w:tabs>
        <w:spacing w:line="288" w:lineRule="auto"/>
        <w:ind w:left="1079" w:leftChars="371" w:hanging="300" w:hangingChars="12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（4）中标后不按本须知第32条的规定缴纳中标服务费的；</w:t>
      </w:r>
    </w:p>
    <w:p w14:paraId="34EC498B">
      <w:pPr>
        <w:pStyle w:val="13"/>
        <w:tabs>
          <w:tab w:val="left" w:pos="2240"/>
        </w:tabs>
        <w:spacing w:line="288" w:lineRule="auto"/>
        <w:ind w:left="1079" w:leftChars="371" w:hanging="300" w:hangingChars="12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（5）存在其他违法违规行为的。</w:t>
      </w:r>
    </w:p>
    <w:p w14:paraId="1BADEA8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12.3</w:t>
      </w:r>
      <w:r>
        <w:rPr>
          <w:rFonts w:hint="eastAsia" w:ascii="仿宋_GB2312" w:hAnsi="仿宋_GB2312" w:eastAsia="仿宋_GB2312" w:cs="仿宋_GB2312"/>
          <w:color w:val="auto"/>
          <w:sz w:val="24"/>
          <w:highlight w:val="none"/>
        </w:rPr>
        <w:tab/>
      </w:r>
      <w:bookmarkEnd w:id="249"/>
      <w:r>
        <w:rPr>
          <w:rFonts w:hint="eastAsia" w:ascii="仿宋_GB2312" w:hAnsi="仿宋_GB2312" w:eastAsia="仿宋_GB2312" w:cs="仿宋_GB2312"/>
          <w:color w:val="auto"/>
          <w:sz w:val="24"/>
          <w:highlight w:val="none"/>
        </w:rPr>
        <w:t>政府采购信用担保试点范围内的项目，接受符合财政部门规定的政府采购投标担保函原件。</w:t>
      </w:r>
    </w:p>
    <w:p w14:paraId="3E28F31D">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12.4</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投标人未按本须知规定提交投标保证金的，其投标将被认定为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611CC6F9">
      <w:pPr>
        <w:spacing w:line="288"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12.4.1  采用电汇形式的，一般可以实时入账。</w:t>
      </w:r>
    </w:p>
    <w:p w14:paraId="0C5334A2">
      <w:pPr>
        <w:spacing w:line="288" w:lineRule="auto"/>
        <w:ind w:left="960" w:hanging="960" w:hangingChars="4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相关规定处理。</w:t>
      </w:r>
    </w:p>
    <w:p w14:paraId="5EFE360A">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12.5   联合体投标的，可以由联合体中的一方或者共同提交投标保证金。以一方名义提交投标保证金的，对联合体各方均具有约束力。</w:t>
      </w:r>
    </w:p>
    <w:p w14:paraId="7EE19021">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12.6</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投标保证金的退还</w:t>
      </w:r>
    </w:p>
    <w:p w14:paraId="3B5B6169">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12.6.1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中标人应在与采购人签订合同之日起5个工作日内，及时联系保证金收受机构办理投标保证金无息退还手续。</w:t>
      </w:r>
    </w:p>
    <w:p w14:paraId="3ADFE770">
      <w:pPr>
        <w:spacing w:line="288" w:lineRule="auto"/>
        <w:ind w:left="960" w:hanging="960" w:hanging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12.6.2  未中标投标人的投标保证金将在中标通知书发出之日暨中标结果公告公布之日起5个工作日内无息退还。投标人应及时联系保证金收受机构办理退还投标保证金手续。</w:t>
      </w:r>
    </w:p>
    <w:p w14:paraId="05BD441E">
      <w:pPr>
        <w:spacing w:line="288"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12.6.3  政府采购投标担保函不予退回。</w:t>
      </w:r>
    </w:p>
    <w:p w14:paraId="23A86687">
      <w:pPr>
        <w:spacing w:line="288" w:lineRule="auto"/>
        <w:ind w:left="960" w:right="-121" w:hanging="960" w:hangingChars="4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12.7    因投标人自身原因导致无法及时退还的，采购人或采购代理机构将不承担相应责任。</w:t>
      </w:r>
    </w:p>
    <w:p w14:paraId="507371BE">
      <w:pPr>
        <w:pStyle w:val="5"/>
        <w:spacing w:before="0" w:after="0" w:line="288" w:lineRule="auto"/>
        <w:rPr>
          <w:rFonts w:ascii="仿宋_GB2312" w:hAnsi="仿宋_GB2312" w:eastAsia="仿宋_GB2312" w:cs="仿宋_GB2312"/>
          <w:color w:val="auto"/>
          <w:highlight w:val="none"/>
        </w:rPr>
      </w:pPr>
      <w:bookmarkStart w:id="250" w:name="_Toc23590"/>
      <w:bookmarkStart w:id="251" w:name="_Toc515647772"/>
      <w:bookmarkStart w:id="252" w:name="_Toc32569"/>
      <w:bookmarkStart w:id="253" w:name="_Toc14721"/>
      <w:bookmarkStart w:id="254" w:name="_Toc22901"/>
      <w:bookmarkStart w:id="255" w:name="_Toc30629"/>
      <w:bookmarkStart w:id="256" w:name="_Toc15117"/>
      <w:bookmarkStart w:id="257" w:name="_Toc2130"/>
      <w:bookmarkStart w:id="258" w:name="_Toc17879"/>
      <w:bookmarkStart w:id="259" w:name="_Toc9445"/>
      <w:bookmarkStart w:id="260" w:name="_Toc520356157"/>
      <w:bookmarkStart w:id="261" w:name="_Toc19849"/>
      <w:bookmarkStart w:id="262" w:name="_Toc15069"/>
      <w:bookmarkStart w:id="263" w:name="_Toc26844"/>
      <w:bookmarkStart w:id="264" w:name="_Toc17509"/>
      <w:r>
        <w:rPr>
          <w:rFonts w:hint="eastAsia" w:ascii="仿宋_GB2312" w:hAnsi="仿宋_GB2312" w:eastAsia="仿宋_GB2312" w:cs="仿宋_GB2312"/>
          <w:color w:val="auto"/>
          <w:highlight w:val="none"/>
        </w:rPr>
        <w:t>13.投标有效期</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69585F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投标应在</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中规定时间内保持有效。投标有效期不满足要求的投标，其投标将被认定为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210EAB28">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7C5F3774">
      <w:pPr>
        <w:spacing w:line="288" w:lineRule="auto"/>
        <w:ind w:left="904" w:hanging="900" w:hangingChars="375"/>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14.响应文件的签署及规定</w:t>
      </w:r>
    </w:p>
    <w:p w14:paraId="248F8B42">
      <w:pPr>
        <w:spacing w:line="288" w:lineRule="auto"/>
        <w:ind w:left="904" w:hanging="900" w:hangingChars="375"/>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14.1 供应商应按供应商须知资料表中的规定，准备和递交（加密上传）电子响应文件。</w:t>
      </w:r>
    </w:p>
    <w:p w14:paraId="79D639EB">
      <w:pPr>
        <w:spacing w:line="288" w:lineRule="auto"/>
        <w:ind w:left="904" w:hanging="900" w:hangingChars="375"/>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14.2 所有响应文件应按照招标文件规定的格式填写、签署和盖章。</w:t>
      </w:r>
    </w:p>
    <w:p w14:paraId="2ABEB737">
      <w:pPr>
        <w:spacing w:line="288" w:lineRule="auto"/>
        <w:ind w:left="904" w:hanging="900" w:hangingChars="375"/>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14.3 响应文件因字迹潦草、表达不清所引起的后果由供应商负责。</w:t>
      </w:r>
    </w:p>
    <w:p w14:paraId="2657ADE4">
      <w:pPr>
        <w:pStyle w:val="4"/>
        <w:spacing w:before="0" w:line="288" w:lineRule="auto"/>
        <w:ind w:left="1079" w:leftChars="257" w:hanging="540"/>
        <w:rPr>
          <w:rFonts w:hint="eastAsia" w:ascii="仿宋_GB2312" w:hAnsi="仿宋_GB2312" w:eastAsia="仿宋_GB2312" w:cs="仿宋_GB2312"/>
          <w:color w:val="auto"/>
          <w:sz w:val="28"/>
          <w:highlight w:val="none"/>
        </w:rPr>
      </w:pPr>
      <w:bookmarkStart w:id="265" w:name="_Toc25925"/>
      <w:bookmarkStart w:id="266" w:name="_Toc25200"/>
      <w:bookmarkStart w:id="267" w:name="_Toc520356159"/>
      <w:bookmarkStart w:id="268" w:name="_Toc31447"/>
      <w:bookmarkStart w:id="269" w:name="_Toc9509"/>
      <w:bookmarkStart w:id="270" w:name="_Toc25700"/>
      <w:bookmarkStart w:id="271" w:name="_Toc216582808"/>
      <w:bookmarkStart w:id="272" w:name="_Toc8378"/>
      <w:bookmarkStart w:id="273" w:name="_Toc27533"/>
      <w:bookmarkStart w:id="274" w:name="_Toc22843"/>
      <w:bookmarkStart w:id="275" w:name="_Toc515647774"/>
      <w:bookmarkStart w:id="276" w:name="_Toc11179"/>
      <w:bookmarkStart w:id="277" w:name="_Toc5332"/>
      <w:bookmarkStart w:id="278" w:name="_Toc11483"/>
      <w:bookmarkStart w:id="279" w:name="_Toc16865"/>
      <w:bookmarkStart w:id="280" w:name="_Toc22560"/>
      <w:r>
        <w:rPr>
          <w:rFonts w:hint="eastAsia" w:ascii="仿宋_GB2312" w:hAnsi="仿宋_GB2312" w:eastAsia="仿宋_GB2312" w:cs="仿宋_GB2312"/>
          <w:color w:val="auto"/>
          <w:sz w:val="28"/>
          <w:highlight w:val="none"/>
        </w:rPr>
        <w:t>四 投标文件的递交</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8A5C62D">
      <w:pPr>
        <w:pStyle w:val="5"/>
        <w:tabs>
          <w:tab w:val="left" w:pos="900"/>
        </w:tabs>
        <w:spacing w:before="0" w:after="0" w:line="288" w:lineRule="auto"/>
        <w:rPr>
          <w:rFonts w:ascii="仿宋_GB2312" w:hAnsi="仿宋_GB2312" w:eastAsia="仿宋_GB2312" w:cs="仿宋_GB2312"/>
          <w:color w:val="auto"/>
          <w:highlight w:val="none"/>
        </w:rPr>
      </w:pPr>
      <w:bookmarkStart w:id="281" w:name="_Toc32337"/>
      <w:bookmarkStart w:id="282" w:name="_Toc26374"/>
      <w:bookmarkStart w:id="283" w:name="_Toc8172"/>
      <w:bookmarkStart w:id="284" w:name="_Toc6343"/>
      <w:bookmarkStart w:id="285" w:name="_Toc32131"/>
      <w:bookmarkStart w:id="286" w:name="_Toc21645"/>
      <w:bookmarkStart w:id="287" w:name="_Toc26195"/>
      <w:bookmarkStart w:id="288" w:name="_Toc632"/>
      <w:bookmarkStart w:id="289" w:name="_Toc515647775"/>
      <w:bookmarkStart w:id="290" w:name="_Toc520356160"/>
      <w:r>
        <w:rPr>
          <w:rFonts w:hint="eastAsia" w:ascii="仿宋_GB2312" w:hAnsi="仿宋_GB2312" w:eastAsia="仿宋_GB2312" w:cs="仿宋_GB2312"/>
          <w:color w:val="auto"/>
          <w:highlight w:val="none"/>
        </w:rPr>
        <w:t>15.投标文件的密封和标记</w:t>
      </w:r>
      <w:bookmarkEnd w:id="281"/>
      <w:bookmarkEnd w:id="282"/>
      <w:bookmarkEnd w:id="283"/>
      <w:bookmarkEnd w:id="284"/>
      <w:bookmarkEnd w:id="285"/>
      <w:bookmarkEnd w:id="286"/>
      <w:bookmarkEnd w:id="287"/>
      <w:bookmarkEnd w:id="288"/>
      <w:bookmarkEnd w:id="289"/>
      <w:bookmarkEnd w:id="290"/>
    </w:p>
    <w:p w14:paraId="0C3B429B">
      <w:pPr>
        <w:tabs>
          <w:tab w:val="left" w:pos="-200"/>
          <w:tab w:val="left" w:pos="5580"/>
        </w:tabs>
        <w:spacing w:line="240" w:lineRule="atLeast"/>
        <w:ind w:left="960" w:hanging="960" w:hangingChars="400"/>
        <w:jc w:val="left"/>
        <w:rPr>
          <w:rFonts w:ascii="仿宋_GB2312" w:hAnsi="仿宋_GB2312" w:eastAsia="仿宋_GB2312" w:cs="仿宋_GB2312"/>
          <w:b/>
          <w:bCs/>
          <w:color w:val="auto"/>
          <w:sz w:val="24"/>
          <w:highlight w:val="none"/>
        </w:rPr>
      </w:pPr>
      <w:r>
        <w:rPr>
          <w:rFonts w:hint="eastAsia" w:ascii="宋体" w:hAnsi="宋体" w:cs="宋体"/>
          <w:color w:val="auto"/>
          <w:sz w:val="24"/>
          <w:highlight w:val="none"/>
        </w:rPr>
        <w:t xml:space="preserve">15.1    </w:t>
      </w:r>
      <w:r>
        <w:rPr>
          <w:rFonts w:hint="eastAsia" w:ascii="仿宋_GB2312" w:hAnsi="仿宋_GB2312" w:eastAsia="仿宋_GB2312" w:cs="仿宋_GB2312"/>
          <w:b/>
          <w:bCs/>
          <w:color w:val="auto"/>
          <w:sz w:val="24"/>
          <w:highlight w:val="none"/>
        </w:rPr>
        <w:t>供应商应完整地按招标文件提供的投标文件格式及要求编写投标文件，供应商须在投标截止时间前完成在新疆政采云平台https://www.zcygov.cn</w:t>
      </w:r>
      <w:r>
        <w:rPr>
          <w:rFonts w:hint="eastAsia" w:ascii="仿宋_GB2312" w:hAnsi="仿宋_GB2312" w:eastAsia="仿宋_GB2312" w:cs="仿宋_GB2312"/>
          <w:b/>
          <w:bCs/>
          <w:color w:val="auto"/>
          <w:sz w:val="24"/>
          <w:highlight w:val="none"/>
          <w:lang w:val="en-US" w:eastAsia="zh-CN"/>
        </w:rPr>
        <w:t xml:space="preserve"> </w:t>
      </w:r>
      <w:r>
        <w:rPr>
          <w:rFonts w:hint="eastAsia" w:ascii="仿宋_GB2312" w:hAnsi="仿宋_GB2312" w:eastAsia="仿宋_GB2312" w:cs="仿宋_GB2312"/>
          <w:b/>
          <w:bCs/>
          <w:color w:val="auto"/>
          <w:sz w:val="24"/>
          <w:highlight w:val="none"/>
        </w:rPr>
        <w:t>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34396E55">
      <w:pPr>
        <w:spacing w:line="288" w:lineRule="auto"/>
        <w:ind w:left="900" w:hanging="900" w:hangingChars="375"/>
        <w:rPr>
          <w:rFonts w:ascii="仿宋_GB2312" w:hAnsi="仿宋_GB2312" w:eastAsia="仿宋_GB2312" w:cs="仿宋_GB2312"/>
          <w:color w:val="auto"/>
          <w:sz w:val="24"/>
          <w:highlight w:val="none"/>
        </w:rPr>
      </w:pPr>
      <w:bookmarkStart w:id="291" w:name="_Toc28106"/>
      <w:r>
        <w:rPr>
          <w:rFonts w:hint="eastAsia" w:ascii="宋体" w:hAnsi="宋体" w:cs="宋体"/>
          <w:color w:val="auto"/>
          <w:sz w:val="24"/>
          <w:highlight w:val="none"/>
        </w:rPr>
        <w:t xml:space="preserve">15.2   </w:t>
      </w:r>
      <w:bookmarkEnd w:id="291"/>
      <w:r>
        <w:rPr>
          <w:rFonts w:hint="eastAsia" w:ascii="仿宋_GB2312" w:hAnsi="仿宋_GB2312" w:eastAsia="仿宋_GB2312" w:cs="仿宋_GB2312"/>
          <w:color w:val="auto"/>
          <w:sz w:val="24"/>
          <w:highlight w:val="none"/>
        </w:rPr>
        <w:t>供应商因自身原因导致电子投标文件无法导入电子评标系统的，该响应文件视为</w:t>
      </w:r>
      <w:r>
        <w:rPr>
          <w:rFonts w:hint="eastAsia" w:ascii="仿宋_GB2312" w:hAnsi="仿宋_GB2312" w:eastAsia="仿宋_GB2312" w:cs="仿宋_GB2312"/>
          <w:b/>
          <w:bCs/>
          <w:color w:val="auto"/>
          <w:sz w:val="24"/>
          <w:highlight w:val="none"/>
        </w:rPr>
        <w:t>无效文件。</w:t>
      </w:r>
    </w:p>
    <w:p w14:paraId="604FA60B">
      <w:pPr>
        <w:spacing w:line="288" w:lineRule="auto"/>
        <w:ind w:left="900" w:hanging="900" w:hangingChars="375"/>
        <w:rPr>
          <w:rFonts w:ascii="宋体" w:hAnsi="宋体" w:cs="宋体"/>
          <w:color w:val="auto"/>
          <w:sz w:val="24"/>
          <w:highlight w:val="none"/>
        </w:rPr>
      </w:pPr>
      <w:r>
        <w:rPr>
          <w:rFonts w:hint="eastAsia" w:ascii="仿宋_GB2312" w:hAnsi="仿宋_GB2312" w:eastAsia="仿宋_GB2312" w:cs="仿宋_GB2312"/>
          <w:color w:val="auto"/>
          <w:sz w:val="24"/>
          <w:highlight w:val="none"/>
        </w:rPr>
        <w:t>15.3    电子投标文件具有法律效力,与其他形式的响应文件在内容和格式上等同，若投标文件与招标文件要求不一致，其内容影响成交结果时，责任由供应商自行承担。</w:t>
      </w:r>
    </w:p>
    <w:p w14:paraId="480D964F">
      <w:pPr>
        <w:pStyle w:val="5"/>
        <w:tabs>
          <w:tab w:val="left" w:pos="900"/>
        </w:tabs>
        <w:spacing w:before="0" w:after="0" w:line="288" w:lineRule="auto"/>
        <w:rPr>
          <w:rFonts w:ascii="仿宋_GB2312" w:hAnsi="仿宋_GB2312" w:eastAsia="仿宋_GB2312" w:cs="仿宋_GB2312"/>
          <w:color w:val="auto"/>
          <w:highlight w:val="none"/>
        </w:rPr>
      </w:pPr>
      <w:bookmarkStart w:id="292" w:name="_Toc23731"/>
      <w:bookmarkStart w:id="293" w:name="_Toc515647776"/>
      <w:bookmarkStart w:id="294" w:name="_Toc1456"/>
      <w:bookmarkStart w:id="295" w:name="_Toc520356161"/>
      <w:bookmarkStart w:id="296" w:name="_Toc24017"/>
      <w:bookmarkStart w:id="297" w:name="_Toc27547"/>
      <w:bookmarkStart w:id="298" w:name="_Toc12751"/>
      <w:bookmarkStart w:id="299" w:name="_Toc9840"/>
      <w:bookmarkStart w:id="300" w:name="_Toc17361"/>
      <w:bookmarkStart w:id="301" w:name="_Toc28170"/>
      <w:r>
        <w:rPr>
          <w:rFonts w:hint="eastAsia" w:ascii="仿宋_GB2312" w:hAnsi="仿宋_GB2312" w:eastAsia="仿宋_GB2312" w:cs="仿宋_GB2312"/>
          <w:color w:val="auto"/>
          <w:highlight w:val="none"/>
        </w:rPr>
        <w:t>16.投标截止</w:t>
      </w:r>
      <w:bookmarkEnd w:id="292"/>
      <w:bookmarkEnd w:id="293"/>
      <w:bookmarkEnd w:id="294"/>
      <w:bookmarkEnd w:id="295"/>
      <w:bookmarkEnd w:id="296"/>
      <w:bookmarkEnd w:id="297"/>
      <w:bookmarkEnd w:id="298"/>
      <w:bookmarkEnd w:id="299"/>
      <w:bookmarkEnd w:id="300"/>
      <w:bookmarkEnd w:id="301"/>
    </w:p>
    <w:p w14:paraId="2027C176">
      <w:pPr>
        <w:spacing w:line="240" w:lineRule="atLeast"/>
        <w:ind w:left="900" w:hanging="900" w:hangingChars="375"/>
        <w:rPr>
          <w:rFonts w:ascii="宋体" w:hAnsi="宋体" w:cs="宋体"/>
          <w:b/>
          <w:bCs/>
          <w:color w:val="auto"/>
          <w:sz w:val="24"/>
          <w:highlight w:val="none"/>
        </w:rPr>
      </w:pPr>
      <w:r>
        <w:rPr>
          <w:rFonts w:hint="eastAsia" w:ascii="宋体" w:hAnsi="宋体" w:cs="宋体"/>
          <w:color w:val="auto"/>
          <w:sz w:val="24"/>
          <w:highlight w:val="none"/>
        </w:rPr>
        <w:t>16.1</w:t>
      </w:r>
      <w:r>
        <w:rPr>
          <w:rFonts w:hint="eastAsia" w:ascii="宋体" w:hAnsi="宋体" w:cs="宋体"/>
          <w:color w:val="auto"/>
          <w:sz w:val="24"/>
          <w:highlight w:val="none"/>
        </w:rPr>
        <w:tab/>
      </w:r>
      <w:r>
        <w:rPr>
          <w:rFonts w:hint="eastAsia" w:ascii="仿宋_GB2312" w:hAnsi="仿宋_GB2312" w:eastAsia="仿宋_GB2312" w:cs="仿宋_GB2312"/>
          <w:color w:val="auto"/>
          <w:sz w:val="24"/>
          <w:highlight w:val="none"/>
        </w:rPr>
        <w:t>投标人应在</w:t>
      </w:r>
      <w:r>
        <w:rPr>
          <w:rFonts w:hint="eastAsia" w:ascii="宋体" w:hAnsi="宋体" w:cs="宋体"/>
          <w:b/>
          <w:bCs/>
          <w:color w:val="auto"/>
          <w:sz w:val="24"/>
          <w:highlight w:val="none"/>
          <w:u w:val="single"/>
        </w:rPr>
        <w:t>投标人须知资料表</w:t>
      </w:r>
      <w:r>
        <w:rPr>
          <w:rFonts w:hint="eastAsia" w:ascii="仿宋_GB2312" w:hAnsi="仿宋_GB2312" w:eastAsia="仿宋_GB2312" w:cs="仿宋_GB2312"/>
          <w:color w:val="auto"/>
          <w:sz w:val="24"/>
          <w:highlight w:val="none"/>
        </w:rPr>
        <w:t>中规定的截止时间前，将投标文件递交到招标公告中规定的地点。</w:t>
      </w:r>
      <w:r>
        <w:rPr>
          <w:rFonts w:hint="eastAsia" w:ascii="宋体" w:hAnsi="宋体" w:cs="宋体"/>
          <w:b/>
          <w:bCs/>
          <w:color w:val="auto"/>
          <w:sz w:val="24"/>
          <w:highlight w:val="none"/>
        </w:rPr>
        <w:t>解密时间30分钟，逾期未解密的视为投标无效。</w:t>
      </w:r>
    </w:p>
    <w:p w14:paraId="1C1CE3FB">
      <w:pPr>
        <w:spacing w:line="288" w:lineRule="auto"/>
        <w:ind w:left="900" w:hanging="900" w:hangingChars="375"/>
        <w:rPr>
          <w:rFonts w:ascii="仿宋_GB2312" w:hAnsi="仿宋_GB2312" w:eastAsia="仿宋_GB2312" w:cs="仿宋_GB2312"/>
          <w:color w:val="auto"/>
          <w:sz w:val="24"/>
          <w:highlight w:val="none"/>
        </w:rPr>
      </w:pPr>
      <w:r>
        <w:rPr>
          <w:rFonts w:hint="eastAsia" w:ascii="宋体" w:hAnsi="宋体" w:cs="宋体"/>
          <w:color w:val="auto"/>
          <w:sz w:val="24"/>
          <w:highlight w:val="none"/>
        </w:rPr>
        <w:t>16.2</w:t>
      </w:r>
      <w:r>
        <w:rPr>
          <w:rFonts w:hint="eastAsia" w:ascii="宋体" w:hAnsi="宋体" w:cs="宋体"/>
          <w:color w:val="auto"/>
          <w:sz w:val="24"/>
          <w:highlight w:val="none"/>
        </w:rPr>
        <w:tab/>
      </w:r>
      <w:r>
        <w:rPr>
          <w:rFonts w:hint="eastAsia" w:ascii="仿宋_GB2312" w:hAnsi="仿宋_GB2312" w:eastAsia="仿宋_GB2312" w:cs="仿宋_GB2312"/>
          <w:color w:val="auto"/>
          <w:sz w:val="24"/>
          <w:highlight w:val="none"/>
        </w:rPr>
        <w:t>采购人和采购代理机构有权按本须知的规定，延迟投标截止时间。在此情况下，采购人、采购代理机构和投标人受投标截止时间制约的所有权利和义务均应延长至新的截止时间。</w:t>
      </w:r>
    </w:p>
    <w:p w14:paraId="2E1C52CB">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16.3</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采购人和采购代理机构将拒绝接收在投标截止时间后上传的投标文件</w:t>
      </w:r>
    </w:p>
    <w:p w14:paraId="7EEC50D4">
      <w:pPr>
        <w:pStyle w:val="5"/>
        <w:spacing w:before="0" w:after="0" w:line="240" w:lineRule="atLeast"/>
        <w:rPr>
          <w:rFonts w:ascii="仿宋_GB2312" w:hAnsi="仿宋_GB2312" w:eastAsia="仿宋_GB2312" w:cs="仿宋_GB2312"/>
          <w:color w:val="auto"/>
          <w:highlight w:val="none"/>
        </w:rPr>
      </w:pPr>
      <w:bookmarkStart w:id="302" w:name="_Toc31670"/>
      <w:bookmarkStart w:id="303" w:name="_Toc21703"/>
      <w:bookmarkStart w:id="304" w:name="_Toc520356162"/>
      <w:bookmarkStart w:id="305" w:name="_Toc21111"/>
      <w:bookmarkStart w:id="306" w:name="_Toc18537"/>
      <w:bookmarkStart w:id="307" w:name="_Toc24275"/>
      <w:bookmarkStart w:id="308" w:name="_Toc515647777"/>
      <w:bookmarkStart w:id="309" w:name="_Toc9987"/>
      <w:bookmarkStart w:id="310" w:name="_Toc11458"/>
      <w:bookmarkStart w:id="311" w:name="_Toc24785"/>
      <w:r>
        <w:rPr>
          <w:rFonts w:hint="eastAsia" w:ascii="仿宋_GB2312" w:hAnsi="仿宋_GB2312" w:eastAsia="仿宋_GB2312" w:cs="仿宋_GB2312"/>
          <w:color w:val="auto"/>
          <w:highlight w:val="none"/>
        </w:rPr>
        <w:t>17.投标文件的接收、修改与撤回</w:t>
      </w:r>
      <w:bookmarkEnd w:id="302"/>
      <w:bookmarkEnd w:id="303"/>
      <w:bookmarkEnd w:id="304"/>
      <w:bookmarkEnd w:id="305"/>
      <w:bookmarkEnd w:id="306"/>
      <w:bookmarkEnd w:id="307"/>
      <w:bookmarkEnd w:id="308"/>
      <w:bookmarkEnd w:id="309"/>
      <w:bookmarkEnd w:id="310"/>
      <w:bookmarkEnd w:id="311"/>
    </w:p>
    <w:p w14:paraId="01B2B508">
      <w:pPr>
        <w:spacing w:line="240" w:lineRule="atLeast"/>
        <w:ind w:left="900" w:hanging="900" w:hangingChars="375"/>
        <w:rPr>
          <w:rFonts w:ascii="宋体" w:hAnsi="宋体" w:cs="宋体"/>
          <w:b/>
          <w:color w:val="auto"/>
          <w:highlight w:val="none"/>
        </w:rPr>
      </w:pPr>
      <w:r>
        <w:rPr>
          <w:rFonts w:hint="eastAsia" w:ascii="宋体" w:hAnsi="宋体" w:cs="宋体"/>
          <w:color w:val="auto"/>
          <w:sz w:val="24"/>
          <w:highlight w:val="none"/>
        </w:rPr>
        <w:t>17.1</w:t>
      </w:r>
      <w:r>
        <w:rPr>
          <w:rFonts w:hint="eastAsia" w:ascii="宋体" w:hAnsi="宋体" w:cs="宋体"/>
          <w:color w:val="auto"/>
          <w:sz w:val="24"/>
          <w:highlight w:val="none"/>
        </w:rPr>
        <w:tab/>
      </w:r>
      <w:r>
        <w:rPr>
          <w:rFonts w:hint="eastAsia" w:ascii="仿宋_GB2312" w:hAnsi="仿宋_GB2312" w:eastAsia="仿宋_GB2312" w:cs="仿宋_GB2312"/>
          <w:color w:val="auto"/>
          <w:sz w:val="24"/>
          <w:highlight w:val="none"/>
        </w:rPr>
        <w:t>在投标截止时间后上传投标文件的，采购人和采购代理机构将</w:t>
      </w:r>
      <w:r>
        <w:rPr>
          <w:rFonts w:hint="eastAsia" w:ascii="宋体" w:hAnsi="宋体" w:cs="宋体"/>
          <w:b/>
          <w:bCs/>
          <w:color w:val="auto"/>
          <w:sz w:val="24"/>
          <w:highlight w:val="none"/>
        </w:rPr>
        <w:t>拒绝接收</w:t>
      </w:r>
      <w:r>
        <w:rPr>
          <w:rFonts w:hint="eastAsia" w:ascii="宋体" w:hAnsi="宋体" w:cs="宋体"/>
          <w:color w:val="auto"/>
          <w:sz w:val="24"/>
          <w:highlight w:val="none"/>
        </w:rPr>
        <w:t>。</w:t>
      </w:r>
    </w:p>
    <w:p w14:paraId="21583A50">
      <w:pPr>
        <w:spacing w:line="288" w:lineRule="auto"/>
        <w:ind w:left="900" w:hanging="900" w:hangingChars="375"/>
        <w:rPr>
          <w:rFonts w:ascii="仿宋_GB2312" w:hAnsi="仿宋_GB2312" w:eastAsia="仿宋_GB2312" w:cs="仿宋_GB2312"/>
          <w:color w:val="auto"/>
          <w:sz w:val="24"/>
          <w:highlight w:val="none"/>
        </w:rPr>
      </w:pPr>
      <w:r>
        <w:rPr>
          <w:rFonts w:hint="eastAsia" w:ascii="宋体" w:hAnsi="宋体" w:cs="宋体"/>
          <w:color w:val="auto"/>
          <w:sz w:val="24"/>
          <w:highlight w:val="none"/>
        </w:rPr>
        <w:t>17.2</w:t>
      </w:r>
      <w:r>
        <w:rPr>
          <w:rFonts w:hint="eastAsia" w:ascii="宋体" w:hAnsi="宋体" w:cs="宋体"/>
          <w:color w:val="auto"/>
          <w:sz w:val="24"/>
          <w:highlight w:val="none"/>
        </w:rPr>
        <w:tab/>
      </w:r>
      <w:r>
        <w:rPr>
          <w:rFonts w:hint="eastAsia" w:ascii="仿宋_GB2312" w:hAnsi="仿宋_GB2312" w:eastAsia="仿宋_GB2312" w:cs="仿宋_GB2312"/>
          <w:color w:val="auto"/>
          <w:sz w:val="24"/>
          <w:highlight w:val="none"/>
        </w:rPr>
        <w:t>采购人或者采购代理机构收到投标文件后，应当如实记载投标文件的送达时间和密封情况。</w:t>
      </w:r>
    </w:p>
    <w:p w14:paraId="03B12508">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递交投标文件以后，如果投标人要进行修改或撤回投标，须提出书面申请并在投标截止时间前上传至</w:t>
      </w:r>
      <w:r>
        <w:rPr>
          <w:rFonts w:hint="eastAsia" w:ascii="宋体" w:hAnsi="宋体" w:cs="宋体"/>
          <w:b/>
          <w:bCs/>
          <w:color w:val="auto"/>
          <w:sz w:val="24"/>
          <w:highlight w:val="none"/>
        </w:rPr>
        <w:t>新疆政采云平台https://www.zcygov.cn</w:t>
      </w:r>
      <w:r>
        <w:rPr>
          <w:rFonts w:hint="eastAsia" w:ascii="宋体" w:hAnsi="宋体" w:cs="宋体"/>
          <w:color w:val="auto"/>
          <w:sz w:val="24"/>
          <w:highlight w:val="none"/>
        </w:rPr>
        <w:t>，</w:t>
      </w:r>
      <w:r>
        <w:rPr>
          <w:rFonts w:hint="eastAsia" w:ascii="仿宋_GB2312" w:hAnsi="仿宋_GB2312" w:eastAsia="仿宋_GB2312" w:cs="仿宋_GB2312"/>
          <w:color w:val="auto"/>
          <w:sz w:val="24"/>
          <w:highlight w:val="none"/>
        </w:rPr>
        <w:t>投标人对投标文件的修改或撤回通知应按本须知规定编制、密封、标记。采购人和采购代理机构将予以接收，并视为投标文件的组成部分。</w:t>
      </w:r>
    </w:p>
    <w:p w14:paraId="55787F47">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在投标截止期之后，采购人和采购代理机构不接受投标人主动对其投标文件做任何修改。</w:t>
      </w:r>
    </w:p>
    <w:p w14:paraId="27E9CDAB">
      <w:pPr>
        <w:spacing w:line="288" w:lineRule="auto"/>
        <w:ind w:left="900" w:hanging="900" w:hangingChars="375"/>
        <w:rPr>
          <w:rFonts w:ascii="仿宋_GB2312" w:hAnsi="仿宋_GB2312" w:eastAsia="仿宋_GB2312" w:cs="仿宋_GB2312"/>
          <w:color w:val="auto"/>
          <w:sz w:val="24"/>
          <w:highlight w:val="none"/>
        </w:rPr>
      </w:pPr>
      <w:bookmarkStart w:id="312" w:name="_Toc19583"/>
      <w:bookmarkStart w:id="313" w:name="_Toc13495"/>
      <w:bookmarkStart w:id="314" w:name="_Toc26872"/>
      <w:r>
        <w:rPr>
          <w:rFonts w:hint="eastAsia" w:ascii="仿宋_GB2312" w:hAnsi="仿宋_GB2312" w:eastAsia="仿宋_GB2312" w:cs="仿宋_GB2312"/>
          <w:color w:val="auto"/>
          <w:sz w:val="24"/>
          <w:highlight w:val="none"/>
        </w:rPr>
        <w:t>17.5</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采购人和采购代理机构对所接收投标文件概不退回。</w:t>
      </w:r>
      <w:bookmarkEnd w:id="312"/>
      <w:bookmarkEnd w:id="313"/>
      <w:bookmarkEnd w:id="314"/>
    </w:p>
    <w:p w14:paraId="7A8BE63A">
      <w:pPr>
        <w:pStyle w:val="4"/>
        <w:spacing w:before="0" w:line="288" w:lineRule="auto"/>
        <w:ind w:left="1079" w:leftChars="257" w:hanging="540"/>
        <w:rPr>
          <w:rFonts w:hint="eastAsia" w:ascii="仿宋_GB2312" w:hAnsi="仿宋_GB2312" w:eastAsia="仿宋_GB2312" w:cs="仿宋_GB2312"/>
          <w:color w:val="auto"/>
          <w:sz w:val="28"/>
          <w:highlight w:val="none"/>
        </w:rPr>
      </w:pPr>
      <w:bookmarkStart w:id="315" w:name="_Toc27778"/>
      <w:bookmarkStart w:id="316" w:name="_Toc26891"/>
      <w:bookmarkStart w:id="317" w:name="_Toc20246"/>
      <w:bookmarkStart w:id="318" w:name="_Toc26876"/>
      <w:bookmarkStart w:id="319" w:name="_Toc515647778"/>
      <w:bookmarkStart w:id="320" w:name="_Toc25610"/>
      <w:bookmarkStart w:id="321" w:name="_Toc5077"/>
      <w:bookmarkStart w:id="322" w:name="_Toc6326"/>
      <w:bookmarkStart w:id="323" w:name="_Toc12436"/>
      <w:bookmarkStart w:id="324" w:name="_Toc4683"/>
      <w:bookmarkStart w:id="325" w:name="_Toc216582809"/>
      <w:bookmarkStart w:id="326" w:name="_Toc520356163"/>
      <w:bookmarkStart w:id="327" w:name="_Toc28581"/>
      <w:bookmarkStart w:id="328" w:name="_Toc28398"/>
      <w:bookmarkStart w:id="329" w:name="_Toc22638"/>
      <w:bookmarkStart w:id="330" w:name="_Toc6994"/>
      <w:bookmarkStart w:id="331" w:name="_Toc31290"/>
      <w:bookmarkStart w:id="332" w:name="_Toc515647780"/>
      <w:bookmarkStart w:id="333" w:name="_Toc21372"/>
      <w:bookmarkStart w:id="334" w:name="_Toc19296"/>
      <w:r>
        <w:rPr>
          <w:rFonts w:hint="eastAsia" w:ascii="仿宋_GB2312" w:hAnsi="仿宋_GB2312" w:eastAsia="仿宋_GB2312" w:cs="仿宋_GB2312"/>
          <w:color w:val="auto"/>
          <w:sz w:val="28"/>
          <w:highlight w:val="none"/>
        </w:rPr>
        <w:t>五 开标及评标</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A60B96F">
      <w:pPr>
        <w:pStyle w:val="5"/>
        <w:numPr>
          <w:ilvl w:val="0"/>
          <w:numId w:val="4"/>
        </w:numPr>
        <w:spacing w:line="288" w:lineRule="auto"/>
        <w:rPr>
          <w:rFonts w:ascii="仿宋_GB2312" w:hAnsi="仿宋_GB2312" w:eastAsia="仿宋_GB2312" w:cs="仿宋_GB2312"/>
          <w:color w:val="auto"/>
          <w:highlight w:val="none"/>
        </w:rPr>
      </w:pPr>
      <w:bookmarkStart w:id="335" w:name="_Toc515647779"/>
      <w:bookmarkStart w:id="336" w:name="_Toc18521"/>
      <w:bookmarkStart w:id="337" w:name="_Toc17257"/>
      <w:bookmarkStart w:id="338" w:name="_Toc433"/>
      <w:bookmarkStart w:id="339" w:name="_Toc11395"/>
      <w:bookmarkStart w:id="340" w:name="_Toc6310"/>
      <w:bookmarkStart w:id="341" w:name="_Toc7186"/>
      <w:bookmarkStart w:id="342" w:name="_Toc32258"/>
      <w:bookmarkStart w:id="343" w:name="_Toc520356164"/>
      <w:bookmarkStart w:id="344" w:name="_Toc28774"/>
      <w:bookmarkStart w:id="345" w:name="_Toc30465"/>
      <w:bookmarkStart w:id="346" w:name="_Toc21932"/>
      <w:bookmarkStart w:id="347" w:name="_Toc25345"/>
      <w:bookmarkStart w:id="348" w:name="_Toc15239"/>
      <w:bookmarkStart w:id="349" w:name="_Toc17235"/>
      <w:r>
        <w:rPr>
          <w:rFonts w:hint="eastAsia" w:ascii="仿宋_GB2312" w:hAnsi="仿宋_GB2312" w:eastAsia="仿宋_GB2312" w:cs="仿宋_GB2312"/>
          <w:color w:val="auto"/>
          <w:highlight w:val="none"/>
        </w:rPr>
        <w:t>开标</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14D8ED8B">
      <w:pPr>
        <w:numPr>
          <w:ilvl w:val="1"/>
          <w:numId w:val="4"/>
        </w:num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采购人和采购代理机构将按</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中规定的开标时间和地点组织公开开标并邀请所有投标人代表参加。</w:t>
      </w:r>
    </w:p>
    <w:p w14:paraId="64F537D1">
      <w:pPr>
        <w:spacing w:line="288" w:lineRule="auto"/>
        <w:ind w:left="735" w:leftChars="350" w:firstLine="120" w:firstLineChars="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投标人不足3家的，不得开标。</w:t>
      </w:r>
    </w:p>
    <w:p w14:paraId="0536CF90">
      <w:pPr>
        <w:spacing w:line="288" w:lineRule="auto"/>
        <w:ind w:left="960" w:hanging="960" w:hanging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18.2   </w:t>
      </w:r>
      <w:r>
        <w:rPr>
          <w:rFonts w:hint="eastAsia" w:ascii="宋体" w:hAnsi="宋体" w:cs="宋体"/>
          <w:b/>
          <w:bCs/>
          <w:color w:val="auto"/>
          <w:sz w:val="24"/>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逾期未解密的视为投标无效</w:t>
      </w:r>
      <w:r>
        <w:rPr>
          <w:rFonts w:hint="eastAsia" w:ascii="仿宋_GB2312" w:hAnsi="仿宋_GB2312" w:eastAsia="仿宋_GB2312" w:cs="仿宋_GB2312"/>
          <w:color w:val="auto"/>
          <w:sz w:val="24"/>
          <w:highlight w:val="none"/>
        </w:rPr>
        <w:t>。</w:t>
      </w:r>
    </w:p>
    <w:p w14:paraId="429F62BE">
      <w:pPr>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   采购人或采购代理机构将对开标过程进行记录，由参加开标的各投标人代表和相关工作人员签字确认，并存档备查。</w:t>
      </w:r>
    </w:p>
    <w:p w14:paraId="7A07A0B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18.4    投标人代表对开标过程和开标记录有疑义，以及认为采购人、采购代理机构相关工作人员有需要回避的情形的，应当场提出询问或者回避申请。</w:t>
      </w:r>
    </w:p>
    <w:p w14:paraId="06A66CC6">
      <w:pPr>
        <w:pStyle w:val="5"/>
        <w:spacing w:before="0" w:after="0" w:line="288" w:lineRule="auto"/>
        <w:rPr>
          <w:rFonts w:ascii="仿宋_GB2312" w:hAnsi="仿宋_GB2312" w:eastAsia="仿宋_GB2312" w:cs="仿宋_GB2312"/>
          <w:color w:val="auto"/>
          <w:highlight w:val="none"/>
        </w:rPr>
      </w:pPr>
      <w:bookmarkStart w:id="350" w:name="_Toc10173"/>
      <w:bookmarkStart w:id="351" w:name="_Toc1719"/>
      <w:bookmarkStart w:id="352" w:name="_Toc11574"/>
      <w:bookmarkStart w:id="353" w:name="_Toc1947"/>
      <w:bookmarkStart w:id="354" w:name="_Toc16060"/>
      <w:bookmarkStart w:id="355" w:name="_Toc25379"/>
      <w:bookmarkStart w:id="356" w:name="_Toc13177"/>
      <w:bookmarkStart w:id="357" w:name="_Toc10635"/>
      <w:bookmarkStart w:id="358" w:name="_Toc30404"/>
      <w:bookmarkStart w:id="359" w:name="_Toc3739"/>
      <w:r>
        <w:rPr>
          <w:rFonts w:hint="eastAsia" w:ascii="仿宋_GB2312" w:hAnsi="仿宋_GB2312" w:eastAsia="仿宋_GB2312" w:cs="仿宋_GB2312"/>
          <w:color w:val="auto"/>
          <w:highlight w:val="none"/>
        </w:rPr>
        <w:t>19.资格审查及组建评标委员会</w:t>
      </w:r>
      <w:bookmarkEnd w:id="331"/>
      <w:bookmarkEnd w:id="332"/>
      <w:bookmarkEnd w:id="333"/>
      <w:bookmarkEnd w:id="334"/>
      <w:bookmarkEnd w:id="350"/>
      <w:bookmarkEnd w:id="351"/>
      <w:bookmarkEnd w:id="352"/>
      <w:bookmarkEnd w:id="353"/>
      <w:bookmarkEnd w:id="354"/>
      <w:bookmarkEnd w:id="355"/>
      <w:bookmarkEnd w:id="356"/>
      <w:bookmarkEnd w:id="357"/>
      <w:bookmarkEnd w:id="358"/>
      <w:bookmarkEnd w:id="359"/>
    </w:p>
    <w:p w14:paraId="1AA24DE7">
      <w:pPr>
        <w:spacing w:line="288" w:lineRule="auto"/>
        <w:ind w:left="960" w:hanging="960" w:hanging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    采购人或采购代理机构依据法律法规和招标文件中规定的内容，对投标人及其货物的资格进行审查，未通过资格审查的投标人不进入评标；通过资格审查的投标人少于不足三家的，不得评标。</w:t>
      </w:r>
    </w:p>
    <w:p w14:paraId="18C7F68E">
      <w:pPr>
        <w:spacing w:line="240" w:lineRule="atLeast"/>
        <w:ind w:left="857" w:leftChars="2" w:hanging="85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19.2</w:t>
      </w:r>
      <w:bookmarkStart w:id="360" w:name="_Toc520356166"/>
      <w:r>
        <w:rPr>
          <w:rFonts w:hint="eastAsia" w:ascii="仿宋_GB2312" w:hAnsi="仿宋_GB2312" w:eastAsia="仿宋_GB2312" w:cs="仿宋_GB2312"/>
          <w:color w:val="auto"/>
          <w:sz w:val="24"/>
          <w:highlight w:val="none"/>
        </w:rPr>
        <w:t>采购人或采购代理机构将在开标前1个工作日至投标截止后1小时的期间内查询投标人的信用记录。投标人存在不良信用记录的，其投标将被认定为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105E5933">
      <w:pPr>
        <w:spacing w:line="240" w:lineRule="atLeast"/>
        <w:ind w:left="857" w:leftChars="2" w:hanging="853"/>
        <w:rPr>
          <w:rFonts w:ascii="仿宋_GB2312" w:hAnsi="仿宋_GB2312" w:eastAsia="仿宋_GB2312" w:cs="仿宋_GB2312"/>
          <w:color w:val="auto"/>
          <w:sz w:val="24"/>
          <w:highlight w:val="none"/>
        </w:rPr>
      </w:pPr>
      <w:r>
        <w:rPr>
          <w:rFonts w:hint="eastAsia" w:ascii="宋体" w:hAnsi="宋体" w:cs="宋体"/>
          <w:color w:val="auto"/>
          <w:sz w:val="24"/>
          <w:highlight w:val="none"/>
        </w:rPr>
        <w:t xml:space="preserve">19.2.1 </w:t>
      </w:r>
      <w:r>
        <w:rPr>
          <w:rFonts w:hint="eastAsia" w:ascii="仿宋_GB2312" w:hAnsi="仿宋_GB2312" w:eastAsia="仿宋_GB2312" w:cs="仿宋_GB2312"/>
          <w:color w:val="auto"/>
          <w:sz w:val="24"/>
          <w:highlight w:val="none"/>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2479F1D2">
      <w:pPr>
        <w:spacing w:line="240" w:lineRule="atLeast"/>
        <w:ind w:left="857" w:leftChars="2" w:hanging="85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以联合体形式参加投标的，联合体任何成员存在以上不良信用记录的，联合体投标将被认定为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54259B05">
      <w:pPr>
        <w:spacing w:line="240" w:lineRule="atLeast"/>
        <w:ind w:left="857" w:leftChars="2" w:hanging="853"/>
        <w:rPr>
          <w:rFonts w:ascii="仿宋_GB2312" w:hAnsi="仿宋_GB2312" w:eastAsia="仿宋_GB2312" w:cs="仿宋_GB2312"/>
          <w:color w:val="auto"/>
          <w:sz w:val="24"/>
          <w:highlight w:val="none"/>
        </w:rPr>
      </w:pPr>
      <w:r>
        <w:rPr>
          <w:rFonts w:hint="eastAsia" w:hAnsi="宋体" w:cs="宋体"/>
          <w:color w:val="auto"/>
          <w:highlight w:val="none"/>
        </w:rPr>
        <w:t xml:space="preserve">19.2.2 </w:t>
      </w:r>
      <w:r>
        <w:rPr>
          <w:rFonts w:hint="eastAsia" w:ascii="仿宋_GB2312" w:hAnsi="仿宋_GB2312" w:eastAsia="仿宋_GB2312" w:cs="仿宋_GB2312"/>
          <w:color w:val="auto"/>
          <w:sz w:val="24"/>
          <w:highlight w:val="none"/>
        </w:rPr>
        <w:t>查询及记录方式：采购人或采购代理机构经办人将查询网页打印、签字并存档备查。投标人不良信用记录以采购人或采购代理机构查询结果为准。</w:t>
      </w:r>
    </w:p>
    <w:p w14:paraId="7479B960">
      <w:pPr>
        <w:spacing w:line="240" w:lineRule="atLeast"/>
        <w:ind w:left="968" w:leftChars="458" w:hanging="7" w:hangingChars="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在本招标文件规定的查询时间之后，网站信息发生的任何变更均不再作为评标依据。</w:t>
      </w:r>
    </w:p>
    <w:p w14:paraId="7DE08CD0">
      <w:pPr>
        <w:spacing w:line="240" w:lineRule="atLeast"/>
        <w:ind w:left="968" w:leftChars="458" w:hanging="7" w:hangingChars="3"/>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投标人自行提供的与网站信息不一致的其他证明材料亦不作为资格审查依据。</w:t>
      </w:r>
    </w:p>
    <w:p w14:paraId="544CE5A0">
      <w:pPr>
        <w:pStyle w:val="20"/>
        <w:ind w:left="960" w:hanging="960" w:hangingChars="400"/>
        <w:rPr>
          <w:color w:val="auto"/>
          <w:highlight w:val="none"/>
        </w:rPr>
      </w:pPr>
      <w:r>
        <w:rPr>
          <w:rFonts w:hint="eastAsia" w:ascii="宋体" w:hAnsi="宋体" w:cs="宋体"/>
          <w:color w:val="auto"/>
          <w:sz w:val="24"/>
          <w:highlight w:val="none"/>
        </w:rPr>
        <w:t xml:space="preserve">19.3   </w:t>
      </w:r>
      <w:r>
        <w:rPr>
          <w:rFonts w:hint="eastAsia" w:ascii="仿宋_GB2312" w:hAnsi="仿宋_GB2312" w:eastAsia="仿宋_GB2312" w:cs="仿宋_GB2312"/>
          <w:color w:val="auto"/>
          <w:sz w:val="24"/>
          <w:highlight w:val="none"/>
        </w:rPr>
        <w:t>按照《中华人民共和国政府采购法》、《中华人民共和国政府采购法实施条例》及本项目本级和上级财政部门的有关规定依法组建的评标委员会，负责评标工作。</w:t>
      </w:r>
      <w:r>
        <w:rPr>
          <w:rFonts w:hint="eastAsia" w:ascii="仿宋_GB2312" w:hAnsi="仿宋_GB2312" w:eastAsia="仿宋_GB2312" w:cs="仿宋_GB2312"/>
          <w:b/>
          <w:bCs/>
          <w:color w:val="auto"/>
          <w:sz w:val="24"/>
          <w:highlight w:val="none"/>
          <w:u w:val="single"/>
        </w:rPr>
        <w:t>本项目评标委员会由5人单数组成，其中：业主代表1人，评委4人（政采云专家库随机抽取）。</w:t>
      </w:r>
    </w:p>
    <w:p w14:paraId="55AF9698">
      <w:pPr>
        <w:pStyle w:val="20"/>
        <w:rPr>
          <w:color w:val="auto"/>
          <w:highlight w:val="none"/>
        </w:rPr>
      </w:pPr>
    </w:p>
    <w:p w14:paraId="3A140522">
      <w:pPr>
        <w:pStyle w:val="5"/>
        <w:spacing w:before="0" w:after="0" w:line="288" w:lineRule="auto"/>
        <w:rPr>
          <w:rFonts w:ascii="仿宋_GB2312" w:hAnsi="仿宋_GB2312" w:eastAsia="仿宋_GB2312" w:cs="仿宋_GB2312"/>
          <w:b w:val="0"/>
          <w:bCs/>
          <w:color w:val="auto"/>
          <w:highlight w:val="none"/>
          <w:bdr w:val="single" w:color="auto" w:sz="4" w:space="0"/>
        </w:rPr>
      </w:pPr>
      <w:bookmarkStart w:id="361" w:name="_Toc28479"/>
      <w:bookmarkStart w:id="362" w:name="_Toc20899"/>
      <w:bookmarkStart w:id="363" w:name="_Toc515647781"/>
      <w:bookmarkStart w:id="364" w:name="_Toc31579"/>
      <w:bookmarkStart w:id="365" w:name="_Toc30633"/>
      <w:bookmarkStart w:id="366" w:name="_Toc23586"/>
      <w:bookmarkStart w:id="367" w:name="_Toc26332"/>
      <w:bookmarkStart w:id="368" w:name="_Toc12297"/>
      <w:bookmarkStart w:id="369" w:name="_Toc2541"/>
      <w:bookmarkStart w:id="370" w:name="_Toc25418"/>
      <w:bookmarkStart w:id="371" w:name="_Toc19949"/>
      <w:bookmarkStart w:id="372" w:name="_Toc13960"/>
      <w:bookmarkStart w:id="373" w:name="_Toc29906"/>
      <w:bookmarkStart w:id="374" w:name="_Toc21183"/>
      <w:r>
        <w:rPr>
          <w:rFonts w:hint="eastAsia" w:ascii="仿宋_GB2312" w:hAnsi="仿宋_GB2312" w:eastAsia="仿宋_GB2312" w:cs="仿宋_GB2312"/>
          <w:color w:val="auto"/>
          <w:highlight w:val="none"/>
        </w:rPr>
        <w:t>20.投标文件</w:t>
      </w:r>
      <w:bookmarkEnd w:id="360"/>
      <w:r>
        <w:rPr>
          <w:rFonts w:hint="eastAsia" w:ascii="仿宋_GB2312" w:hAnsi="仿宋_GB2312" w:eastAsia="仿宋_GB2312" w:cs="仿宋_GB2312"/>
          <w:color w:val="auto"/>
          <w:highlight w:val="none"/>
        </w:rPr>
        <w:t>符合性审查与澄清</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B8D61C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   符合性审查是指依据招标文件的规定，从投标文件的有效性和完整性对招标文件的响应程度进行审查，以确定是否对招标文件的实质性要求做出响应。</w:t>
      </w:r>
      <w:bookmarkStart w:id="375" w:name="_Hlt522424701"/>
      <w:bookmarkEnd w:id="375"/>
      <w:bookmarkStart w:id="376" w:name="_Toc520356167"/>
    </w:p>
    <w:p w14:paraId="29068759">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投标文件的澄清</w:t>
      </w:r>
    </w:p>
    <w:p w14:paraId="3F459624">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的澄清、说明或补正应在评标委员会规定的时间内以书面方式进行，并不得超出投标文件范围或者改变投标文件的实质性内容。</w:t>
      </w:r>
    </w:p>
    <w:p w14:paraId="179C14D1">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20.2.2  投标人的的澄清、说明或补正将作为投标文件的一部分。</w:t>
      </w:r>
    </w:p>
    <w:p w14:paraId="578A4CB6">
      <w:pPr>
        <w:spacing w:line="288" w:lineRule="auto"/>
        <w:ind w:left="904" w:hanging="900" w:hangingChars="375"/>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20.3  投标文件报价出现前后不一致的，按照下列规定修正：</w:t>
      </w:r>
    </w:p>
    <w:p w14:paraId="00FADF28">
      <w:pPr>
        <w:spacing w:line="288" w:lineRule="auto"/>
        <w:ind w:left="1018" w:leftChars="228" w:hanging="540" w:hangingChars="22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（一）投标文件中开标一览表（报价表）内容与投标文件中相应内容不一致的，以开标一览表（报价表）为准；</w:t>
      </w:r>
    </w:p>
    <w:p w14:paraId="3894DD08">
      <w:pPr>
        <w:spacing w:line="288" w:lineRule="auto"/>
        <w:ind w:left="898" w:leftChars="228" w:hanging="420" w:hangingChars="1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（二）大写金额和小写金额不一致的，以大写金额为准；</w:t>
      </w:r>
    </w:p>
    <w:p w14:paraId="76206948">
      <w:pPr>
        <w:spacing w:line="288" w:lineRule="auto"/>
        <w:ind w:left="1019" w:leftChars="114" w:hanging="780" w:hangingChars="32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（三）单价金额小数点或者百分比有明显错位的，以开标一览表的总价为准，并修改单价；</w:t>
      </w:r>
    </w:p>
    <w:p w14:paraId="1865B87C">
      <w:pPr>
        <w:spacing w:line="288" w:lineRule="auto"/>
        <w:ind w:left="899" w:leftChars="114" w:hanging="660" w:hangingChars="2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（四）总价金额与按单价汇总金额不一致的，以单价金额计算结果为准。</w:t>
      </w:r>
    </w:p>
    <w:p w14:paraId="2F30555E">
      <w:pPr>
        <w:spacing w:line="288" w:lineRule="auto"/>
        <w:ind w:left="898" w:leftChars="228" w:hanging="420" w:hangingChars="1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同时出现两种以上不一致的，按照前款规定的顺序修正。修正后的报价按照第20.2条的规定经投标人确认后产生约束力，投标人不确认的，其投标将被认定为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62E34C58">
      <w:pPr>
        <w:spacing w:line="288" w:lineRule="auto"/>
        <w:ind w:left="735" w:leftChars="350" w:firstLine="120" w:firstLineChars="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对不同文字文本投标文件的解释发生异议的，以中文文本为准。</w:t>
      </w:r>
    </w:p>
    <w:p w14:paraId="21EC6D34">
      <w:pPr>
        <w:spacing w:line="288" w:lineRule="auto"/>
        <w:ind w:left="904" w:hanging="900" w:hangingChars="375"/>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20.4   如一个分包内只有一种产品，不同投标人所投产品为同一品牌的，按如下方式处理：</w:t>
      </w:r>
    </w:p>
    <w:p w14:paraId="11827AEA">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20.4.1  如本项目使用最低评标价法，提供相同品牌产品的不同投标人以其中通过资格审查、符合性审查且报价最低的参加评标；报价相同的，由采购人或者采购人委托评标委员会按照招标文件第六章中评标办法规定的方式确定一个参加评标的投标人；未规定的采取随机抽取方式确定，其他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7EF2A5B6">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第六章中评标办法规定的方式确定一个投标人获得中标人推荐资格；未规定的采取随机抽取方式确定，其他同品牌投标人不作为中标候选人。</w:t>
      </w:r>
    </w:p>
    <w:p w14:paraId="431A0011">
      <w:pPr>
        <w:spacing w:line="288" w:lineRule="auto"/>
        <w:ind w:left="900" w:hanging="900" w:hangingChars="375"/>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 xml:space="preserve">20.5   </w:t>
      </w:r>
      <w:r>
        <w:rPr>
          <w:rFonts w:hint="eastAsia" w:ascii="仿宋_GB2312" w:hAnsi="仿宋_GB2312" w:eastAsia="仿宋_GB2312" w:cs="仿宋_GB2312"/>
          <w:b/>
          <w:bCs/>
          <w:color w:val="auto"/>
          <w:sz w:val="24"/>
          <w:highlight w:val="none"/>
        </w:rPr>
        <w:t>如一个分包内包含多种产品的，采购人或采购代理机构将在</w:t>
      </w:r>
      <w:r>
        <w:rPr>
          <w:rFonts w:hint="eastAsia" w:ascii="仿宋_GB2312" w:hAnsi="仿宋_GB2312" w:eastAsia="仿宋_GB2312" w:cs="仿宋_GB2312"/>
          <w:b/>
          <w:bCs/>
          <w:color w:val="auto"/>
          <w:sz w:val="24"/>
          <w:highlight w:val="none"/>
          <w:u w:val="single" w:color="000000"/>
        </w:rPr>
        <w:t>投标人须知资料表</w:t>
      </w:r>
      <w:r>
        <w:rPr>
          <w:rFonts w:hint="eastAsia" w:ascii="仿宋_GB2312" w:hAnsi="仿宋_GB2312" w:eastAsia="仿宋_GB2312" w:cs="仿宋_GB2312"/>
          <w:b/>
          <w:bCs/>
          <w:color w:val="auto"/>
          <w:sz w:val="24"/>
          <w:highlight w:val="none"/>
        </w:rPr>
        <w:t>中载明核心产品。</w:t>
      </w:r>
    </w:p>
    <w:p w14:paraId="53B0AA13">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20.6   投标人所投产品如被列入财政部与国家主管部门颁发的节能产品目录或环境标志产品目录，应提供相关证明，在评标时予以优先采购，具体优先采购办法见第六章评标方法和标准。</w:t>
      </w:r>
    </w:p>
    <w:p w14:paraId="270EB5B0">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w:t>
      </w:r>
    </w:p>
    <w:p w14:paraId="405E0BCE">
      <w:pPr>
        <w:pStyle w:val="5"/>
        <w:spacing w:before="0" w:after="0" w:line="288" w:lineRule="auto"/>
        <w:rPr>
          <w:rFonts w:ascii="仿宋_GB2312" w:hAnsi="仿宋_GB2312" w:eastAsia="仿宋_GB2312" w:cs="仿宋_GB2312"/>
          <w:color w:val="auto"/>
          <w:highlight w:val="none"/>
        </w:rPr>
      </w:pPr>
      <w:bookmarkStart w:id="377" w:name="_Toc15064"/>
      <w:bookmarkStart w:id="378" w:name="_Toc24227"/>
      <w:bookmarkStart w:id="379" w:name="_Toc515647782"/>
      <w:bookmarkStart w:id="380" w:name="_Toc18529"/>
      <w:bookmarkStart w:id="381" w:name="_Toc12839"/>
      <w:bookmarkStart w:id="382" w:name="_Toc15628"/>
      <w:bookmarkStart w:id="383" w:name="_Toc20043"/>
      <w:bookmarkStart w:id="384" w:name="_Toc6003"/>
      <w:bookmarkStart w:id="385" w:name="_Toc25623"/>
      <w:bookmarkStart w:id="386" w:name="_Toc5986"/>
      <w:bookmarkStart w:id="387" w:name="_Toc8063"/>
      <w:bookmarkStart w:id="388" w:name="_Toc9469"/>
      <w:bookmarkStart w:id="389" w:name="_Toc6364"/>
      <w:bookmarkStart w:id="390" w:name="_Toc5230"/>
      <w:r>
        <w:rPr>
          <w:rFonts w:hint="eastAsia" w:ascii="仿宋_GB2312" w:hAnsi="仿宋_GB2312" w:eastAsia="仿宋_GB2312" w:cs="仿宋_GB2312"/>
          <w:color w:val="auto"/>
          <w:highlight w:val="none"/>
        </w:rPr>
        <w:t>21.投标偏离</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0AD1D6A3">
      <w:pPr>
        <w:spacing w:line="288" w:lineRule="auto"/>
        <w:ind w:left="847" w:leftChars="99" w:hanging="640" w:hangingChars="26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评标委员会可以接受投标文件中不构成实质性偏离的不正规或不一致。</w:t>
      </w:r>
    </w:p>
    <w:p w14:paraId="2164FF1A">
      <w:pPr>
        <w:pStyle w:val="5"/>
        <w:spacing w:before="0" w:after="0" w:line="288" w:lineRule="auto"/>
        <w:rPr>
          <w:rFonts w:ascii="仿宋_GB2312" w:hAnsi="仿宋_GB2312" w:eastAsia="仿宋_GB2312" w:cs="仿宋_GB2312"/>
          <w:color w:val="auto"/>
          <w:highlight w:val="none"/>
        </w:rPr>
      </w:pPr>
      <w:bookmarkStart w:id="391" w:name="_Toc515647783"/>
      <w:bookmarkStart w:id="392" w:name="_Toc506"/>
      <w:bookmarkStart w:id="393" w:name="_Toc32270"/>
      <w:bookmarkStart w:id="394" w:name="_Toc15752"/>
      <w:bookmarkStart w:id="395" w:name="_Toc17567"/>
      <w:bookmarkStart w:id="396" w:name="_Toc18719"/>
      <w:bookmarkStart w:id="397" w:name="_Toc7006"/>
      <w:bookmarkStart w:id="398" w:name="_Toc4950"/>
      <w:bookmarkStart w:id="399" w:name="_Toc23936"/>
      <w:bookmarkStart w:id="400" w:name="_Toc11878"/>
      <w:bookmarkStart w:id="401" w:name="_Toc21694"/>
      <w:bookmarkStart w:id="402" w:name="_Toc6092"/>
      <w:bookmarkStart w:id="403" w:name="_Toc21189"/>
      <w:bookmarkStart w:id="404" w:name="_Toc21597"/>
      <w:r>
        <w:rPr>
          <w:rFonts w:hint="eastAsia" w:ascii="仿宋_GB2312" w:hAnsi="仿宋_GB2312" w:eastAsia="仿宋_GB2312" w:cs="仿宋_GB2312"/>
          <w:color w:val="auto"/>
          <w:highlight w:val="none"/>
        </w:rPr>
        <w:t>22.投标</w:t>
      </w:r>
      <w:bookmarkEnd w:id="391"/>
      <w:r>
        <w:rPr>
          <w:rFonts w:hint="eastAsia" w:ascii="仿宋_GB2312" w:hAnsi="仿宋_GB2312" w:eastAsia="仿宋_GB2312" w:cs="仿宋_GB2312"/>
          <w:color w:val="auto"/>
          <w:highlight w:val="none"/>
        </w:rPr>
        <w:t>无效</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5BC23073">
      <w:pPr>
        <w:spacing w:line="288" w:lineRule="auto"/>
        <w:ind w:left="852" w:leftChars="-23"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。投标人不得通过修正或撤销不符合要求的偏离，从而使其投标成为实质上响应的投标。</w:t>
      </w:r>
    </w:p>
    <w:p w14:paraId="6823AC14">
      <w:pPr>
        <w:spacing w:line="288" w:lineRule="auto"/>
        <w:ind w:left="791" w:leftChars="37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评标委员会决定投标的响应性只根据招标文件要求、投标文件内容及财政主管部门指定相关信息发布媒体。</w:t>
      </w:r>
    </w:p>
    <w:p w14:paraId="42C4CB5A">
      <w:pPr>
        <w:spacing w:line="288" w:lineRule="auto"/>
        <w:ind w:left="900" w:hanging="900" w:hangingChars="375"/>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22.2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b/>
          <w:bCs/>
          <w:color w:val="auto"/>
          <w:sz w:val="24"/>
          <w:highlight w:val="none"/>
        </w:rPr>
        <w:t>如发现下列情况之一的，其投标将被认定为投标无效：（以下情形应当在招标文件中规定，并以醒目的方式标明）</w:t>
      </w:r>
    </w:p>
    <w:p w14:paraId="54B31AC6">
      <w:pPr>
        <w:numPr>
          <w:ilvl w:val="0"/>
          <w:numId w:val="5"/>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未按招标文件规定的形式和金额提交投标保证金的；</w:t>
      </w:r>
    </w:p>
    <w:p w14:paraId="176ACCFE">
      <w:pPr>
        <w:numPr>
          <w:ilvl w:val="0"/>
          <w:numId w:val="5"/>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未按照招标文件规定要求签署、盖章的；</w:t>
      </w:r>
    </w:p>
    <w:p w14:paraId="6A0BDB7A">
      <w:pPr>
        <w:numPr>
          <w:ilvl w:val="0"/>
          <w:numId w:val="5"/>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未满足招标文件中技术条款的实质性要求；</w:t>
      </w:r>
    </w:p>
    <w:p w14:paraId="30F8F1C7">
      <w:pPr>
        <w:numPr>
          <w:ilvl w:val="0"/>
          <w:numId w:val="5"/>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与其他投标人串通投标，或者与招标人串通投标；</w:t>
      </w:r>
    </w:p>
    <w:p w14:paraId="3E77C86D">
      <w:pPr>
        <w:numPr>
          <w:ilvl w:val="0"/>
          <w:numId w:val="5"/>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属于招标文件规定的其他</w:t>
      </w:r>
      <w:r>
        <w:rPr>
          <w:rFonts w:hint="eastAsia" w:ascii="仿宋_GB2312" w:hAnsi="仿宋_GB2312" w:eastAsia="仿宋_GB2312" w:cs="仿宋_GB2312"/>
          <w:b/>
          <w:bCs/>
          <w:color w:val="auto"/>
          <w:sz w:val="24"/>
          <w:highlight w:val="none"/>
        </w:rPr>
        <w:t>投标无效</w:t>
      </w:r>
      <w:r>
        <w:rPr>
          <w:rFonts w:hint="eastAsia" w:ascii="仿宋_GB2312" w:hAnsi="仿宋_GB2312" w:eastAsia="仿宋_GB2312" w:cs="仿宋_GB2312"/>
          <w:color w:val="auto"/>
          <w:sz w:val="24"/>
          <w:highlight w:val="none"/>
        </w:rPr>
        <w:t>情形；</w:t>
      </w:r>
    </w:p>
    <w:p w14:paraId="0A6843DC">
      <w:pPr>
        <w:numPr>
          <w:ilvl w:val="0"/>
          <w:numId w:val="5"/>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评标委员会认为投标人的报价明显低于其他通过符合性检查投标人的报价，有可能影响履约的，且投标人未按照规定证明其报价合理性的；</w:t>
      </w:r>
    </w:p>
    <w:p w14:paraId="32D49E83">
      <w:pPr>
        <w:numPr>
          <w:ilvl w:val="0"/>
          <w:numId w:val="5"/>
        </w:numPr>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投标文件含有采购人不能接受的附加条件的；</w:t>
      </w:r>
    </w:p>
    <w:p w14:paraId="0F71CA4F">
      <w:pPr>
        <w:numPr>
          <w:ilvl w:val="0"/>
          <w:numId w:val="5"/>
        </w:numPr>
        <w:tabs>
          <w:tab w:val="left" w:pos="0"/>
        </w:tabs>
        <w:spacing w:line="288" w:lineRule="auto"/>
        <w:ind w:left="1080" w:leftChars="429" w:hanging="1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不符合法规和招标文件中规定的其他实质性要求的。</w:t>
      </w:r>
    </w:p>
    <w:p w14:paraId="5EF8C46C">
      <w:pPr>
        <w:tabs>
          <w:tab w:val="left" w:pos="0"/>
        </w:tabs>
        <w:spacing w:line="288" w:lineRule="auto"/>
        <w:rPr>
          <w:rFonts w:ascii="仿宋_GB2312" w:hAnsi="仿宋_GB2312" w:eastAsia="仿宋_GB2312" w:cs="仿宋_GB2312"/>
          <w:b/>
          <w:bCs/>
          <w:color w:val="auto"/>
          <w:sz w:val="24"/>
          <w:highlight w:val="none"/>
        </w:rPr>
      </w:pPr>
      <w:bookmarkStart w:id="405" w:name="_Toc515647784"/>
      <w:bookmarkStart w:id="406" w:name="_Toc13652"/>
      <w:bookmarkStart w:id="407" w:name="_Toc22941"/>
      <w:bookmarkStart w:id="408" w:name="_Toc8521"/>
      <w:r>
        <w:rPr>
          <w:rFonts w:hint="eastAsia" w:ascii="仿宋_GB2312" w:hAnsi="仿宋_GB2312" w:eastAsia="仿宋_GB2312" w:cs="仿宋_GB2312"/>
          <w:b/>
          <w:bCs/>
          <w:color w:val="auto"/>
          <w:sz w:val="24"/>
          <w:highlight w:val="none"/>
        </w:rPr>
        <w:t>23.</w:t>
      </w:r>
      <w:bookmarkEnd w:id="376"/>
      <w:r>
        <w:rPr>
          <w:rFonts w:hint="eastAsia" w:ascii="仿宋_GB2312" w:hAnsi="仿宋_GB2312" w:eastAsia="仿宋_GB2312" w:cs="仿宋_GB2312"/>
          <w:b/>
          <w:bCs/>
          <w:color w:val="auto"/>
          <w:sz w:val="24"/>
          <w:highlight w:val="none"/>
        </w:rPr>
        <w:t>比较与评价</w:t>
      </w:r>
      <w:bookmarkEnd w:id="405"/>
      <w:bookmarkEnd w:id="406"/>
      <w:bookmarkEnd w:id="407"/>
      <w:bookmarkEnd w:id="408"/>
    </w:p>
    <w:p w14:paraId="342F0A82">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经符合性审查合格的投标文件，评标委员会将根据招标文件确定的评标方法和标准，对其投标文件作进一步的比较和评价。</w:t>
      </w:r>
    </w:p>
    <w:p w14:paraId="664DA21C">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23.2  </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评标严格按照招标文件的要求和条件进行。根据实际情况，在</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中规定采用下列一种评标方法，详细评标标准见招标文件第六章：</w:t>
      </w:r>
    </w:p>
    <w:p w14:paraId="49A064CD">
      <w:pPr>
        <w:pStyle w:val="13"/>
        <w:spacing w:line="288" w:lineRule="auto"/>
        <w:ind w:left="899" w:leftChars="342" w:hanging="181"/>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 最低评标价法，是指投标文件满足招标文件全部实质性要求，且投标报价最低的投标人为中标候选人的评标方法。</w:t>
      </w:r>
    </w:p>
    <w:p w14:paraId="2A1514B7">
      <w:pPr>
        <w:pStyle w:val="13"/>
        <w:spacing w:line="288" w:lineRule="auto"/>
        <w:ind w:left="898" w:leftChars="342" w:hanging="18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 综合评分法，是指投标文件满足招标文件全部实质性要求，且按照评审因素的量化指标评审得分最高的投标人为中标候选人的评标方法。</w:t>
      </w:r>
    </w:p>
    <w:p w14:paraId="40D49A14">
      <w:pPr>
        <w:pStyle w:val="13"/>
        <w:keepNext w:val="0"/>
        <w:keepLines w:val="0"/>
        <w:pageBreakBefore w:val="0"/>
        <w:widowControl/>
        <w:kinsoku/>
        <w:wordWrap/>
        <w:overflowPunct/>
        <w:topLinePunct w:val="0"/>
        <w:autoSpaceDE/>
        <w:autoSpaceDN/>
        <w:bidi w:val="0"/>
        <w:adjustRightInd/>
        <w:snapToGrid/>
        <w:spacing w:line="288" w:lineRule="auto"/>
        <w:ind w:left="960" w:hanging="960" w:hangingChars="400"/>
        <w:textAlignment w:val="baseline"/>
        <w:rPr>
          <w:rFonts w:hint="eastAsia" w:ascii="仿宋_GB2312" w:hAnsi="仿宋_GB2312" w:eastAsia="仿宋_GB2312" w:cs="仿宋_GB2312"/>
          <w:color w:val="auto"/>
          <w:sz w:val="24"/>
          <w:szCs w:val="24"/>
          <w:highlight w:val="none"/>
          <w:u w:val="single"/>
          <w:lang w:eastAsia="zh-CN"/>
        </w:rPr>
      </w:pPr>
      <w:r>
        <w:rPr>
          <w:rFonts w:hint="eastAsia" w:hAnsi="宋体" w:cs="宋体"/>
          <w:color w:val="auto"/>
          <w:sz w:val="24"/>
          <w:szCs w:val="24"/>
          <w:highlight w:val="none"/>
        </w:rPr>
        <w:t xml:space="preserve">23.3  </w:t>
      </w:r>
      <w:r>
        <w:rPr>
          <w:rFonts w:hint="eastAsia" w:hAnsi="宋体" w:cs="宋体"/>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u w:val="single"/>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后参与评审。具体办法详见招标文件第6章。</w:t>
      </w:r>
    </w:p>
    <w:p w14:paraId="691C796C">
      <w:pPr>
        <w:pStyle w:val="13"/>
        <w:spacing w:line="288" w:lineRule="auto"/>
        <w:ind w:left="898" w:leftChars="342" w:hanging="180"/>
        <w:rPr>
          <w:rFonts w:ascii="仿宋_GB2312" w:hAnsi="仿宋_GB2312" w:eastAsia="仿宋_GB2312" w:cs="仿宋_GB2312"/>
          <w:color w:val="auto"/>
          <w:sz w:val="24"/>
          <w:szCs w:val="24"/>
          <w:highlight w:val="none"/>
        </w:rPr>
      </w:pPr>
    </w:p>
    <w:p w14:paraId="2C4565E6">
      <w:pPr>
        <w:pStyle w:val="5"/>
        <w:spacing w:before="0" w:after="0" w:line="288" w:lineRule="auto"/>
        <w:rPr>
          <w:rFonts w:ascii="仿宋_GB2312" w:hAnsi="仿宋_GB2312" w:eastAsia="仿宋_GB2312" w:cs="仿宋_GB2312"/>
          <w:color w:val="auto"/>
          <w:highlight w:val="none"/>
        </w:rPr>
      </w:pPr>
      <w:bookmarkStart w:id="409" w:name="_Toc520356168"/>
      <w:bookmarkStart w:id="410" w:name="_Toc16454"/>
      <w:bookmarkStart w:id="411" w:name="_Toc23673"/>
      <w:bookmarkStart w:id="412" w:name="_Toc11401"/>
      <w:bookmarkStart w:id="413" w:name="_Toc14242"/>
      <w:bookmarkStart w:id="414" w:name="_Toc8424"/>
      <w:bookmarkStart w:id="415" w:name="_Toc20227"/>
      <w:bookmarkStart w:id="416" w:name="_Toc515647785"/>
      <w:bookmarkStart w:id="417" w:name="_Toc15293"/>
      <w:bookmarkStart w:id="418" w:name="_Toc18723"/>
      <w:bookmarkStart w:id="419" w:name="_Toc29670"/>
      <w:bookmarkStart w:id="420" w:name="_Toc31728"/>
      <w:bookmarkStart w:id="421" w:name="_Toc17546"/>
      <w:bookmarkStart w:id="422" w:name="_Toc15050"/>
      <w:bookmarkStart w:id="423" w:name="_Toc9378"/>
      <w:r>
        <w:rPr>
          <w:rFonts w:hint="eastAsia" w:ascii="仿宋_GB2312" w:hAnsi="仿宋_GB2312" w:eastAsia="仿宋_GB2312" w:cs="仿宋_GB2312"/>
          <w:color w:val="auto"/>
          <w:highlight w:val="none"/>
        </w:rPr>
        <w:t>24</w:t>
      </w:r>
      <w:bookmarkEnd w:id="409"/>
      <w:r>
        <w:rPr>
          <w:rFonts w:hint="eastAsia" w:ascii="仿宋_GB2312" w:hAnsi="仿宋_GB2312" w:eastAsia="仿宋_GB2312" w:cs="仿宋_GB2312"/>
          <w:color w:val="auto"/>
          <w:highlight w:val="none"/>
        </w:rPr>
        <w:t>.废标</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BA3F7B3">
      <w:pPr>
        <w:spacing w:line="288" w:lineRule="auto"/>
        <w:ind w:left="897" w:leftChars="399" w:hanging="60" w:hangingChars="2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出现下列情形之一，将导致项目废标：</w:t>
      </w:r>
    </w:p>
    <w:p w14:paraId="6F50EC58">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（1）符合专业条件的供应商或者对招标文件做实质性响应的供应商不足三家；</w:t>
      </w:r>
    </w:p>
    <w:p w14:paraId="465456F5">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（2）出现影响采购公正的违法、违规行为的；</w:t>
      </w:r>
    </w:p>
    <w:p w14:paraId="18ED5B2A">
      <w:pPr>
        <w:spacing w:line="288" w:lineRule="auto"/>
        <w:ind w:firstLine="840" w:firstLine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（3）投标人的报价均超过了采购预算，采购人不能支付的；</w:t>
      </w:r>
    </w:p>
    <w:p w14:paraId="253433A6">
      <w:pPr>
        <w:spacing w:line="288" w:lineRule="auto"/>
        <w:ind w:firstLine="840" w:firstLineChars="3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（4）因重大变故，采购任务取消的。</w:t>
      </w:r>
    </w:p>
    <w:p w14:paraId="75C877B6">
      <w:pPr>
        <w:pStyle w:val="5"/>
        <w:spacing w:before="0" w:after="0" w:line="288" w:lineRule="auto"/>
        <w:rPr>
          <w:rFonts w:ascii="仿宋_GB2312" w:hAnsi="仿宋_GB2312" w:eastAsia="仿宋_GB2312" w:cs="仿宋_GB2312"/>
          <w:color w:val="auto"/>
          <w:highlight w:val="none"/>
        </w:rPr>
      </w:pPr>
      <w:bookmarkStart w:id="424" w:name="_Toc16912"/>
      <w:bookmarkStart w:id="425" w:name="_Toc19908"/>
      <w:bookmarkStart w:id="426" w:name="_Toc20311"/>
      <w:bookmarkStart w:id="427" w:name="_Toc10707"/>
      <w:bookmarkStart w:id="428" w:name="_Toc32068"/>
      <w:bookmarkStart w:id="429" w:name="_Toc27384"/>
      <w:bookmarkStart w:id="430" w:name="_Toc31289"/>
      <w:bookmarkStart w:id="431" w:name="_Toc11699"/>
      <w:bookmarkStart w:id="432" w:name="_Toc30606"/>
      <w:bookmarkStart w:id="433" w:name="_Toc30826"/>
      <w:bookmarkStart w:id="434" w:name="_Toc24972"/>
      <w:bookmarkStart w:id="435" w:name="_Toc515647786"/>
      <w:bookmarkStart w:id="436" w:name="_Toc11175"/>
      <w:bookmarkStart w:id="437" w:name="_Toc12228"/>
      <w:bookmarkStart w:id="438" w:name="_Toc520356169"/>
      <w:r>
        <w:rPr>
          <w:rFonts w:hint="eastAsia" w:ascii="仿宋_GB2312" w:hAnsi="仿宋_GB2312" w:eastAsia="仿宋_GB2312" w:cs="仿宋_GB2312"/>
          <w:color w:val="auto"/>
          <w:highlight w:val="none"/>
        </w:rPr>
        <w:t>25.保密原则</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26B10785">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评标将在严格保密的情况下进行。</w:t>
      </w:r>
    </w:p>
    <w:p w14:paraId="36779475">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政府采购评审专家应当遵守评审工作纪律，不得泄露评审文件、评审情况和评审中获悉的商业秘密。</w:t>
      </w:r>
      <w:bookmarkStart w:id="439" w:name="_Toc12143"/>
      <w:bookmarkStart w:id="440" w:name="_Toc515647787"/>
      <w:bookmarkStart w:id="441" w:name="_Toc2153"/>
      <w:bookmarkStart w:id="442" w:name="_Toc216582810"/>
      <w:bookmarkStart w:id="443" w:name="_Toc23904"/>
    </w:p>
    <w:p w14:paraId="21290EC2">
      <w:pPr>
        <w:pStyle w:val="4"/>
        <w:spacing w:before="0" w:line="288" w:lineRule="auto"/>
        <w:ind w:left="1079" w:leftChars="257" w:hanging="540"/>
        <w:rPr>
          <w:rFonts w:hint="eastAsia" w:ascii="仿宋_GB2312" w:hAnsi="仿宋_GB2312" w:eastAsia="仿宋_GB2312" w:cs="仿宋_GB2312"/>
          <w:color w:val="auto"/>
          <w:sz w:val="28"/>
          <w:highlight w:val="none"/>
        </w:rPr>
      </w:pPr>
      <w:bookmarkStart w:id="444" w:name="_Toc4830"/>
      <w:bookmarkStart w:id="445" w:name="_Toc31457"/>
      <w:bookmarkStart w:id="446" w:name="_Toc17670"/>
      <w:bookmarkStart w:id="447" w:name="_Toc2098"/>
      <w:bookmarkStart w:id="448" w:name="_Toc13388"/>
      <w:bookmarkStart w:id="449" w:name="_Toc6207"/>
      <w:bookmarkStart w:id="450" w:name="_Toc11673"/>
      <w:bookmarkStart w:id="451" w:name="_Toc4031"/>
      <w:bookmarkStart w:id="452" w:name="_Toc31174"/>
      <w:bookmarkStart w:id="453" w:name="_Toc29576"/>
      <w:r>
        <w:rPr>
          <w:rFonts w:hint="eastAsia" w:ascii="仿宋_GB2312" w:hAnsi="仿宋_GB2312" w:eastAsia="仿宋_GB2312" w:cs="仿宋_GB2312"/>
          <w:color w:val="auto"/>
          <w:sz w:val="28"/>
          <w:highlight w:val="none"/>
        </w:rPr>
        <w:t xml:space="preserve">六 </w:t>
      </w:r>
      <w:bookmarkEnd w:id="438"/>
      <w:r>
        <w:rPr>
          <w:rFonts w:hint="eastAsia" w:ascii="仿宋_GB2312" w:hAnsi="仿宋_GB2312" w:eastAsia="仿宋_GB2312" w:cs="仿宋_GB2312"/>
          <w:color w:val="auto"/>
          <w:sz w:val="28"/>
          <w:highlight w:val="none"/>
        </w:rPr>
        <w:t>确定中标</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795DCC4">
      <w:pPr>
        <w:pStyle w:val="6"/>
        <w:spacing w:line="288" w:lineRule="auto"/>
        <w:rPr>
          <w:rFonts w:ascii="仿宋_GB2312" w:hAnsi="仿宋_GB2312" w:eastAsia="仿宋_GB2312" w:cs="仿宋_GB2312"/>
          <w:color w:val="auto"/>
          <w:highlight w:val="none"/>
        </w:rPr>
      </w:pPr>
    </w:p>
    <w:p w14:paraId="48718BA1">
      <w:pPr>
        <w:pStyle w:val="5"/>
        <w:spacing w:before="0" w:after="0" w:line="288" w:lineRule="auto"/>
        <w:rPr>
          <w:rFonts w:ascii="仿宋_GB2312" w:hAnsi="仿宋_GB2312" w:eastAsia="仿宋_GB2312" w:cs="仿宋_GB2312"/>
          <w:color w:val="auto"/>
          <w:highlight w:val="none"/>
        </w:rPr>
      </w:pPr>
      <w:bookmarkStart w:id="454" w:name="_Toc32399"/>
      <w:bookmarkStart w:id="455" w:name="_Ref467307010"/>
      <w:bookmarkStart w:id="456" w:name="_Toc13522"/>
      <w:bookmarkStart w:id="457" w:name="_Toc30556"/>
      <w:bookmarkStart w:id="458" w:name="_Toc23617"/>
      <w:bookmarkStart w:id="459" w:name="_Toc16130"/>
      <w:bookmarkStart w:id="460" w:name="_Toc520356170"/>
      <w:bookmarkStart w:id="461" w:name="_Toc515647788"/>
      <w:bookmarkStart w:id="462" w:name="_Toc11587"/>
      <w:bookmarkStart w:id="463" w:name="_Toc30908"/>
      <w:bookmarkStart w:id="464" w:name="_Toc28066"/>
      <w:bookmarkStart w:id="465" w:name="_Toc23762"/>
      <w:bookmarkStart w:id="466" w:name="_Toc29826"/>
      <w:bookmarkStart w:id="467" w:name="_Toc25225"/>
      <w:bookmarkStart w:id="468" w:name="_Toc286"/>
      <w:bookmarkStart w:id="469" w:name="_Toc23538"/>
      <w:r>
        <w:rPr>
          <w:rFonts w:hint="eastAsia" w:ascii="仿宋_GB2312" w:hAnsi="仿宋_GB2312" w:eastAsia="仿宋_GB2312" w:cs="仿宋_GB2312"/>
          <w:color w:val="auto"/>
          <w:highlight w:val="none"/>
        </w:rPr>
        <w:t>26.中标候选人的确定原则及标准</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40FEA37B">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除第28条规定外，对实质上响应招标文件的投标人按下列方法进行排序，确定投标候选人：</w:t>
      </w:r>
    </w:p>
    <w:p w14:paraId="096A5BBA">
      <w:pPr>
        <w:spacing w:line="288" w:lineRule="auto"/>
        <w:ind w:left="901"/>
        <w:rPr>
          <w:rFonts w:ascii="仿宋_GB2312" w:hAnsi="仿宋_GB2312" w:eastAsia="仿宋_GB2312" w:cs="仿宋_GB2312"/>
          <w:color w:val="auto"/>
          <w:sz w:val="24"/>
          <w:highlight w:val="none"/>
        </w:rPr>
      </w:pPr>
      <w:bookmarkStart w:id="470" w:name="_Toc520356171"/>
      <w:bookmarkStart w:id="471" w:name="_Toc515647789"/>
      <w:r>
        <w:rPr>
          <w:rFonts w:hint="eastAsia" w:ascii="仿宋_GB2312" w:hAnsi="仿宋_GB2312" w:eastAsia="仿宋_GB2312" w:cs="仿宋_GB2312"/>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163EB642">
      <w:pPr>
        <w:spacing w:line="288" w:lineRule="auto"/>
        <w:ind w:left="901"/>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6586AC5">
      <w:pPr>
        <w:pStyle w:val="5"/>
        <w:tabs>
          <w:tab w:val="left" w:pos="900"/>
        </w:tabs>
        <w:spacing w:before="0" w:after="0" w:line="288" w:lineRule="auto"/>
        <w:rPr>
          <w:rFonts w:ascii="仿宋_GB2312" w:hAnsi="仿宋_GB2312" w:eastAsia="仿宋_GB2312" w:cs="仿宋_GB2312"/>
          <w:color w:val="auto"/>
          <w:highlight w:val="none"/>
        </w:rPr>
      </w:pPr>
      <w:bookmarkStart w:id="472" w:name="_Toc15415"/>
      <w:bookmarkStart w:id="473" w:name="_Toc17755"/>
      <w:bookmarkStart w:id="474" w:name="_Toc19685"/>
      <w:bookmarkStart w:id="475" w:name="_Toc15282"/>
      <w:bookmarkStart w:id="476" w:name="_Toc8300"/>
      <w:bookmarkStart w:id="477" w:name="_Toc28266"/>
      <w:bookmarkStart w:id="478" w:name="_Toc14469"/>
      <w:bookmarkStart w:id="479" w:name="_Toc1493"/>
      <w:bookmarkStart w:id="480" w:name="_Toc22105"/>
      <w:bookmarkStart w:id="481" w:name="_Toc10359"/>
      <w:bookmarkStart w:id="482" w:name="_Toc9653"/>
      <w:bookmarkStart w:id="483" w:name="_Toc23951"/>
      <w:bookmarkStart w:id="484" w:name="_Toc19950"/>
      <w:r>
        <w:rPr>
          <w:rFonts w:hint="eastAsia" w:ascii="仿宋_GB2312" w:hAnsi="仿宋_GB2312" w:eastAsia="仿宋_GB2312" w:cs="仿宋_GB2312"/>
          <w:color w:val="auto"/>
          <w:highlight w:val="none"/>
        </w:rPr>
        <w:t>27</w:t>
      </w:r>
      <w:bookmarkEnd w:id="470"/>
      <w:r>
        <w:rPr>
          <w:rFonts w:hint="eastAsia" w:ascii="仿宋_GB2312" w:hAnsi="仿宋_GB2312" w:eastAsia="仿宋_GB2312" w:cs="仿宋_GB2312"/>
          <w:color w:val="auto"/>
          <w:highlight w:val="none"/>
        </w:rPr>
        <w:t>.确定中标候选人和中标人</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68FA205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评标委员会将根据评标标准，按</w:t>
      </w:r>
      <w:r>
        <w:rPr>
          <w:rFonts w:hint="eastAsia" w:ascii="仿宋_GB2312" w:hAnsi="仿宋_GB2312" w:eastAsia="仿宋_GB2312" w:cs="仿宋_GB2312"/>
          <w:color w:val="auto"/>
          <w:sz w:val="24"/>
          <w:highlight w:val="none"/>
          <w:u w:val="single" w:color="000000"/>
        </w:rPr>
        <w:t>投标人须知资料表中</w:t>
      </w:r>
      <w:r>
        <w:rPr>
          <w:rFonts w:hint="eastAsia" w:ascii="仿宋_GB2312" w:hAnsi="仿宋_GB2312" w:eastAsia="仿宋_GB2312" w:cs="仿宋_GB2312"/>
          <w:color w:val="auto"/>
          <w:sz w:val="24"/>
          <w:highlight w:val="none"/>
        </w:rPr>
        <w:t>规定数量推荐中标候选人；或根据采购人的委托，直接确定中标人。</w:t>
      </w:r>
    </w:p>
    <w:p w14:paraId="63AC26FD">
      <w:pPr>
        <w:pStyle w:val="5"/>
        <w:tabs>
          <w:tab w:val="left" w:pos="900"/>
        </w:tabs>
        <w:spacing w:before="0" w:after="0" w:line="288" w:lineRule="auto"/>
        <w:rPr>
          <w:rFonts w:ascii="仿宋_GB2312" w:hAnsi="仿宋_GB2312" w:eastAsia="仿宋_GB2312" w:cs="仿宋_GB2312"/>
          <w:color w:val="auto"/>
          <w:highlight w:val="none"/>
        </w:rPr>
      </w:pPr>
      <w:bookmarkStart w:id="485" w:name="_Toc520356173"/>
      <w:bookmarkStart w:id="486" w:name="_Ref467306874"/>
      <w:bookmarkStart w:id="487" w:name="_Toc515647790"/>
      <w:bookmarkStart w:id="488" w:name="_Toc26160"/>
      <w:bookmarkStart w:id="489" w:name="_Toc27049"/>
      <w:bookmarkStart w:id="490" w:name="_Toc8958"/>
      <w:bookmarkStart w:id="491" w:name="_Toc10877"/>
      <w:bookmarkStart w:id="492" w:name="_Toc26197"/>
      <w:bookmarkStart w:id="493" w:name="_Toc28621"/>
      <w:bookmarkStart w:id="494" w:name="_Toc13782"/>
      <w:bookmarkStart w:id="495" w:name="_Toc28562"/>
      <w:bookmarkStart w:id="496" w:name="_Toc11867"/>
      <w:bookmarkStart w:id="497" w:name="_Toc6582"/>
      <w:bookmarkStart w:id="498" w:name="_Toc7783"/>
      <w:bookmarkStart w:id="499" w:name="_Toc19331"/>
      <w:bookmarkStart w:id="500" w:name="_Toc8389"/>
      <w:r>
        <w:rPr>
          <w:rFonts w:hint="eastAsia" w:ascii="仿宋_GB2312" w:hAnsi="仿宋_GB2312" w:eastAsia="仿宋_GB2312" w:cs="仿宋_GB2312"/>
          <w:color w:val="auto"/>
          <w:highlight w:val="none"/>
        </w:rPr>
        <w:t>28.</w:t>
      </w:r>
      <w:bookmarkEnd w:id="485"/>
      <w:bookmarkEnd w:id="486"/>
      <w:r>
        <w:rPr>
          <w:rFonts w:hint="eastAsia" w:ascii="仿宋_GB2312" w:hAnsi="仿宋_GB2312" w:eastAsia="仿宋_GB2312" w:cs="仿宋_GB2312"/>
          <w:color w:val="auto"/>
          <w:highlight w:val="none"/>
        </w:rPr>
        <w:t>采购任务取消</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1DE5E0E6">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因重大变故采购任务取消时，采购人有权拒绝任何投标人中标，且对受影响的投标人不承担任何责任。</w:t>
      </w:r>
      <w:bookmarkStart w:id="501" w:name="_Toc520356174"/>
    </w:p>
    <w:p w14:paraId="68102D1B">
      <w:pPr>
        <w:pStyle w:val="5"/>
        <w:spacing w:before="0" w:after="0" w:line="288" w:lineRule="auto"/>
        <w:rPr>
          <w:rFonts w:ascii="仿宋_GB2312" w:hAnsi="仿宋_GB2312" w:eastAsia="仿宋_GB2312" w:cs="仿宋_GB2312"/>
          <w:color w:val="auto"/>
          <w:highlight w:val="none"/>
        </w:rPr>
      </w:pPr>
      <w:bookmarkStart w:id="502" w:name="_Toc30170"/>
      <w:bookmarkStart w:id="503" w:name="_Toc25468"/>
      <w:bookmarkStart w:id="504" w:name="_Toc515647791"/>
      <w:bookmarkStart w:id="505" w:name="_Toc14073"/>
      <w:bookmarkStart w:id="506" w:name="_Toc3276"/>
      <w:bookmarkStart w:id="507" w:name="_Toc31281"/>
      <w:bookmarkStart w:id="508" w:name="_Toc22190"/>
      <w:bookmarkStart w:id="509" w:name="_Toc10164"/>
      <w:bookmarkStart w:id="510" w:name="_Toc31142"/>
      <w:bookmarkStart w:id="511" w:name="_Toc13508"/>
      <w:bookmarkStart w:id="512" w:name="_Toc5136"/>
      <w:bookmarkStart w:id="513" w:name="_Toc31099"/>
      <w:bookmarkStart w:id="514" w:name="_Toc2614"/>
      <w:bookmarkStart w:id="515" w:name="_Toc31992"/>
      <w:r>
        <w:rPr>
          <w:rFonts w:hint="eastAsia" w:ascii="仿宋_GB2312" w:hAnsi="仿宋_GB2312" w:eastAsia="仿宋_GB2312" w:cs="仿宋_GB2312"/>
          <w:color w:val="auto"/>
          <w:highlight w:val="none"/>
        </w:rPr>
        <w:t>29.中标通知书</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6C074220">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在投标有效期内，中标人确定后，采购人或者采购代理机构发布中标公告，公示期后以书面形式向中标人发出中标通知书。</w:t>
      </w:r>
    </w:p>
    <w:p w14:paraId="5292FB48">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29.2</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中标通知书是合同的组成部分。</w:t>
      </w:r>
    </w:p>
    <w:p w14:paraId="6C74851F">
      <w:pPr>
        <w:pStyle w:val="5"/>
        <w:spacing w:before="0" w:after="0" w:line="288" w:lineRule="auto"/>
        <w:rPr>
          <w:rFonts w:ascii="仿宋_GB2312" w:hAnsi="仿宋_GB2312" w:eastAsia="仿宋_GB2312" w:cs="仿宋_GB2312"/>
          <w:color w:val="auto"/>
          <w:highlight w:val="none"/>
        </w:rPr>
      </w:pPr>
      <w:bookmarkStart w:id="516" w:name="_Toc7779"/>
      <w:bookmarkStart w:id="517" w:name="_Toc17224"/>
      <w:bookmarkStart w:id="518" w:name="_Ref467307062"/>
      <w:bookmarkStart w:id="519" w:name="_Toc28367"/>
      <w:bookmarkStart w:id="520" w:name="_Toc14795"/>
      <w:bookmarkStart w:id="521" w:name="_Toc10227"/>
      <w:bookmarkStart w:id="522" w:name="_Ref467306978"/>
      <w:bookmarkStart w:id="523" w:name="_Toc19020"/>
      <w:bookmarkStart w:id="524" w:name="_Toc31080"/>
      <w:bookmarkStart w:id="525" w:name="_Toc32036"/>
      <w:bookmarkStart w:id="526" w:name="_Toc520356175"/>
      <w:bookmarkStart w:id="527" w:name="_Ref467307204"/>
      <w:bookmarkStart w:id="528" w:name="_Toc24763"/>
      <w:bookmarkStart w:id="529" w:name="_Toc515647792"/>
      <w:bookmarkStart w:id="530" w:name="_Toc27557"/>
      <w:bookmarkStart w:id="531" w:name="_Toc12440"/>
      <w:bookmarkStart w:id="532" w:name="_Toc790"/>
      <w:bookmarkStart w:id="533" w:name="_Ref467306377"/>
      <w:bookmarkStart w:id="534" w:name="_Toc28520"/>
      <w:r>
        <w:rPr>
          <w:rFonts w:hint="eastAsia" w:ascii="仿宋_GB2312" w:hAnsi="仿宋_GB2312" w:eastAsia="仿宋_GB2312" w:cs="仿宋_GB2312"/>
          <w:color w:val="auto"/>
          <w:highlight w:val="none"/>
        </w:rPr>
        <w:t>30.签订合同</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232FE2A3">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中标人应当自发出中标通知书之日起30日内，与采购人签订合同。</w:t>
      </w:r>
    </w:p>
    <w:p w14:paraId="74CF94A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30.2</w:t>
      </w:r>
      <w:r>
        <w:rPr>
          <w:rFonts w:hint="eastAsia" w:ascii="仿宋_GB2312" w:hAnsi="仿宋_GB2312" w:eastAsia="仿宋_GB2312" w:cs="仿宋_GB2312"/>
          <w:color w:val="auto"/>
          <w:sz w:val="24"/>
          <w:highlight w:val="none"/>
        </w:rPr>
        <w:tab/>
      </w:r>
      <w:bookmarkStart w:id="535" w:name="_Toc520356176"/>
      <w:bookmarkStart w:id="536" w:name="_Ref467307090"/>
      <w:bookmarkStart w:id="537" w:name="_Ref467306425"/>
      <w:r>
        <w:rPr>
          <w:rFonts w:hint="eastAsia" w:ascii="仿宋_GB2312" w:hAnsi="仿宋_GB2312" w:eastAsia="仿宋_GB2312" w:cs="仿宋_GB2312"/>
          <w:color w:val="auto"/>
          <w:sz w:val="24"/>
          <w:highlight w:val="none"/>
        </w:rPr>
        <w:t>招标文件、中标人的投标文件及其澄清文件等，均为签订合同的依据。</w:t>
      </w:r>
    </w:p>
    <w:p w14:paraId="3577475B">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30.3   中标人拒绝与采购人签订合同的，采购人可以按照评审报告推荐的中标候选人名单排序，确定下一中标候选人为中标人，也可以重新开展政府采购活动。</w:t>
      </w:r>
    </w:p>
    <w:p w14:paraId="444C4FEA">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30.4   当出现法规规定的</w:t>
      </w:r>
      <w:r>
        <w:rPr>
          <w:rFonts w:hint="eastAsia" w:ascii="仿宋_GB2312" w:hAnsi="仿宋_GB2312" w:eastAsia="仿宋_GB2312" w:cs="仿宋_GB2312"/>
          <w:b/>
          <w:color w:val="auto"/>
          <w:sz w:val="24"/>
          <w:highlight w:val="none"/>
        </w:rPr>
        <w:t>中标无效或中标结果无效</w:t>
      </w:r>
      <w:r>
        <w:rPr>
          <w:rFonts w:hint="eastAsia" w:ascii="仿宋_GB2312" w:hAnsi="仿宋_GB2312" w:eastAsia="仿宋_GB2312" w:cs="仿宋_GB2312"/>
          <w:color w:val="auto"/>
          <w:sz w:val="24"/>
          <w:highlight w:val="none"/>
        </w:rPr>
        <w:t>情形时，采购人可与排名下一位的中标候选人另行签订合同，或依法重新开展采购活动。</w:t>
      </w:r>
    </w:p>
    <w:p w14:paraId="2147371C">
      <w:pPr>
        <w:pStyle w:val="5"/>
        <w:spacing w:before="0" w:after="0" w:line="288" w:lineRule="auto"/>
        <w:rPr>
          <w:rFonts w:ascii="仿宋_GB2312" w:hAnsi="仿宋_GB2312" w:eastAsia="仿宋_GB2312" w:cs="仿宋_GB2312"/>
          <w:color w:val="auto"/>
          <w:highlight w:val="none"/>
        </w:rPr>
      </w:pPr>
      <w:bookmarkStart w:id="538" w:name="_Toc25751"/>
      <w:bookmarkStart w:id="539" w:name="_Toc16031"/>
      <w:bookmarkStart w:id="540" w:name="_Toc16785"/>
      <w:bookmarkStart w:id="541" w:name="_Toc10395"/>
      <w:bookmarkStart w:id="542" w:name="_Toc27954"/>
      <w:bookmarkStart w:id="543" w:name="_Toc13900"/>
      <w:bookmarkStart w:id="544" w:name="_Toc515647793"/>
      <w:bookmarkStart w:id="545" w:name="_Toc11523"/>
      <w:bookmarkStart w:id="546" w:name="_Toc7188"/>
      <w:bookmarkStart w:id="547" w:name="_Toc5487"/>
      <w:bookmarkStart w:id="548" w:name="_Toc22555"/>
      <w:bookmarkStart w:id="549" w:name="_Toc10608"/>
      <w:bookmarkStart w:id="550" w:name="_Toc25154"/>
      <w:bookmarkStart w:id="551" w:name="_Toc14080"/>
      <w:r>
        <w:rPr>
          <w:rFonts w:hint="eastAsia" w:ascii="仿宋_GB2312" w:hAnsi="仿宋_GB2312" w:eastAsia="仿宋_GB2312" w:cs="仿宋_GB2312"/>
          <w:color w:val="auto"/>
          <w:highlight w:val="none"/>
        </w:rPr>
        <w:t>31.履约保证金</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7C0720D6">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31.1</w:t>
      </w:r>
      <w:r>
        <w:rPr>
          <w:rFonts w:hint="eastAsia" w:ascii="仿宋_GB2312" w:hAnsi="仿宋_GB2312" w:eastAsia="仿宋_GB2312" w:cs="仿宋_GB2312"/>
          <w:color w:val="auto"/>
          <w:sz w:val="24"/>
          <w:highlight w:val="none"/>
        </w:rPr>
        <w:tab/>
      </w:r>
      <w:r>
        <w:rPr>
          <w:rFonts w:hint="eastAsia" w:ascii="仿宋_GB2312" w:hAnsi="仿宋_GB2312" w:eastAsia="仿宋_GB2312" w:cs="仿宋_GB2312"/>
          <w:color w:val="auto"/>
          <w:sz w:val="24"/>
          <w:highlight w:val="none"/>
        </w:rPr>
        <w:t>中标人应按照</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规定向采购人缴纳履约保证金。</w:t>
      </w:r>
    </w:p>
    <w:p w14:paraId="73300EC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31.2   如果中标人没有按照上述履约保证金的规定执行，将视为放弃中标资格，中标人的投标保证金将不予退还。在此情况下，采购人可确定下一候选人为中标人，也可以重新开展采购活动。</w:t>
      </w:r>
    </w:p>
    <w:p w14:paraId="0D9EA110">
      <w:pPr>
        <w:pStyle w:val="5"/>
        <w:spacing w:before="0" w:after="0" w:line="288" w:lineRule="auto"/>
        <w:rPr>
          <w:rFonts w:ascii="仿宋_GB2312" w:hAnsi="仿宋_GB2312" w:eastAsia="仿宋_GB2312" w:cs="仿宋_GB2312"/>
          <w:color w:val="auto"/>
          <w:highlight w:val="none"/>
        </w:rPr>
      </w:pPr>
      <w:bookmarkStart w:id="552" w:name="_Toc10961"/>
      <w:bookmarkStart w:id="553" w:name="_Toc30049"/>
      <w:bookmarkStart w:id="554" w:name="_Toc3090"/>
      <w:bookmarkStart w:id="555" w:name="_Toc29408"/>
      <w:bookmarkStart w:id="556" w:name="_Toc515647794"/>
      <w:bookmarkStart w:id="557" w:name="_Toc19288"/>
      <w:bookmarkStart w:id="558" w:name="_Toc12106"/>
      <w:bookmarkStart w:id="559" w:name="_Toc11875"/>
      <w:bookmarkStart w:id="560" w:name="_Toc24667"/>
      <w:bookmarkStart w:id="561" w:name="_Toc1278"/>
      <w:bookmarkStart w:id="562" w:name="_Toc15895"/>
      <w:bookmarkStart w:id="563" w:name="_Toc7922"/>
      <w:bookmarkStart w:id="564" w:name="_Toc27777"/>
      <w:bookmarkStart w:id="565" w:name="_Toc31936"/>
      <w:r>
        <w:rPr>
          <w:rFonts w:hint="eastAsia" w:ascii="仿宋_GB2312" w:hAnsi="仿宋_GB2312" w:eastAsia="仿宋_GB2312" w:cs="仿宋_GB2312"/>
          <w:color w:val="auto"/>
          <w:highlight w:val="none"/>
        </w:rPr>
        <w:t>32.中标服务费</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38A0B3B8">
      <w:pPr>
        <w:spacing w:line="288" w:lineRule="auto"/>
        <w:ind w:left="840" w:leftChars="200" w:hanging="420" w:hangingChars="1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中标人须按照</w:t>
      </w:r>
      <w:r>
        <w:rPr>
          <w:rFonts w:hint="eastAsia" w:ascii="仿宋_GB2312" w:hAnsi="仿宋_GB2312" w:eastAsia="仿宋_GB2312" w:cs="仿宋_GB2312"/>
          <w:color w:val="auto"/>
          <w:sz w:val="24"/>
          <w:highlight w:val="none"/>
          <w:u w:val="single" w:color="000000"/>
        </w:rPr>
        <w:t>投标须知资料表</w:t>
      </w:r>
      <w:r>
        <w:rPr>
          <w:rFonts w:hint="eastAsia" w:ascii="仿宋_GB2312" w:hAnsi="仿宋_GB2312" w:eastAsia="仿宋_GB2312" w:cs="仿宋_GB2312"/>
          <w:color w:val="auto"/>
          <w:sz w:val="24"/>
          <w:highlight w:val="none"/>
        </w:rPr>
        <w:t>规定，向采购代理机构支付中标服务费。</w:t>
      </w:r>
    </w:p>
    <w:p w14:paraId="483C2A70">
      <w:pPr>
        <w:pStyle w:val="5"/>
        <w:spacing w:before="0" w:after="0" w:line="288" w:lineRule="auto"/>
        <w:rPr>
          <w:rFonts w:ascii="仿宋_GB2312" w:hAnsi="仿宋_GB2312" w:eastAsia="仿宋_GB2312" w:cs="仿宋_GB2312"/>
          <w:color w:val="auto"/>
          <w:highlight w:val="none"/>
        </w:rPr>
      </w:pPr>
      <w:bookmarkStart w:id="566" w:name="_Toc24674"/>
      <w:bookmarkStart w:id="567" w:name="_Toc14390"/>
      <w:bookmarkStart w:id="568" w:name="_Toc515647795"/>
      <w:bookmarkStart w:id="569" w:name="_Toc13588"/>
      <w:bookmarkStart w:id="570" w:name="_Toc28457"/>
      <w:bookmarkStart w:id="571" w:name="_Toc24553"/>
      <w:bookmarkStart w:id="572" w:name="_Toc3954"/>
      <w:bookmarkStart w:id="573" w:name="_Toc12385"/>
      <w:bookmarkStart w:id="574" w:name="_Toc31369"/>
      <w:bookmarkStart w:id="575" w:name="_Toc6923"/>
      <w:bookmarkStart w:id="576" w:name="_Toc7049"/>
      <w:bookmarkStart w:id="577" w:name="_Toc17196"/>
      <w:bookmarkStart w:id="578" w:name="_Toc30722"/>
      <w:bookmarkStart w:id="579" w:name="_Toc16253"/>
      <w:r>
        <w:rPr>
          <w:rFonts w:hint="eastAsia" w:ascii="仿宋_GB2312" w:hAnsi="仿宋_GB2312" w:eastAsia="仿宋_GB2312" w:cs="仿宋_GB2312"/>
          <w:color w:val="auto"/>
          <w:highlight w:val="none"/>
        </w:rPr>
        <w:t>33.政府采购信用担保</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B6AD243">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   本项目是否属于信用担保试点范围见</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w:t>
      </w:r>
    </w:p>
    <w:p w14:paraId="4C4C85B0">
      <w:pPr>
        <w:spacing w:line="288" w:lineRule="auto"/>
        <w:ind w:left="850" w:hanging="849" w:hangingChars="354"/>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   如属于政府采购信用担保试点范围内，中小型企业投标人可以自由按照财政部门的规定，采用投标担保、履约担保和融资担保。</w:t>
      </w:r>
    </w:p>
    <w:p w14:paraId="24A2DC0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33.2.1 投标人递交的投标担保函和履约担保函应符合本招标文件的规定。</w:t>
      </w:r>
    </w:p>
    <w:p w14:paraId="2BBC8DE8">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33.2.2 中标人可以采取融资担保的形式为政府采购项目履约进行融资。</w:t>
      </w:r>
    </w:p>
    <w:p w14:paraId="4783139C">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33.2.3 合格的政府采购专业信用担保机构名单见</w:t>
      </w:r>
      <w:r>
        <w:rPr>
          <w:rFonts w:hint="eastAsia" w:ascii="仿宋_GB2312" w:hAnsi="仿宋_GB2312" w:eastAsia="仿宋_GB2312" w:cs="仿宋_GB2312"/>
          <w:color w:val="auto"/>
          <w:sz w:val="24"/>
          <w:highlight w:val="none"/>
          <w:u w:val="single" w:color="000000"/>
        </w:rPr>
        <w:t>投标人须知资料表</w:t>
      </w:r>
      <w:r>
        <w:rPr>
          <w:rFonts w:hint="eastAsia" w:ascii="仿宋_GB2312" w:hAnsi="仿宋_GB2312" w:eastAsia="仿宋_GB2312" w:cs="仿宋_GB2312"/>
          <w:color w:val="auto"/>
          <w:sz w:val="24"/>
          <w:highlight w:val="none"/>
        </w:rPr>
        <w:t>。</w:t>
      </w:r>
    </w:p>
    <w:p w14:paraId="575010DF">
      <w:pPr>
        <w:pStyle w:val="5"/>
        <w:spacing w:before="0" w:after="0" w:line="288" w:lineRule="auto"/>
        <w:rPr>
          <w:rFonts w:ascii="仿宋_GB2312" w:hAnsi="仿宋_GB2312" w:eastAsia="仿宋_GB2312" w:cs="仿宋_GB2312"/>
          <w:color w:val="auto"/>
          <w:highlight w:val="none"/>
        </w:rPr>
      </w:pPr>
      <w:bookmarkStart w:id="580" w:name="_Toc6716"/>
      <w:bookmarkStart w:id="581" w:name="_Toc9817"/>
      <w:bookmarkStart w:id="582" w:name="_Toc27852"/>
      <w:bookmarkStart w:id="583" w:name="_Toc23999"/>
      <w:bookmarkStart w:id="584" w:name="_Toc515647796"/>
      <w:bookmarkStart w:id="585" w:name="_Toc22070"/>
      <w:bookmarkStart w:id="586" w:name="_Toc12794"/>
      <w:bookmarkStart w:id="587" w:name="_Toc21223"/>
      <w:bookmarkStart w:id="588" w:name="_Toc27198"/>
      <w:bookmarkStart w:id="589" w:name="_Toc9688"/>
      <w:bookmarkStart w:id="590" w:name="_Toc2133"/>
      <w:bookmarkStart w:id="591" w:name="_Toc20713"/>
      <w:bookmarkStart w:id="592" w:name="_Toc7"/>
      <w:bookmarkStart w:id="593" w:name="_Toc28024"/>
      <w:r>
        <w:rPr>
          <w:rFonts w:hint="eastAsia" w:ascii="仿宋_GB2312" w:hAnsi="仿宋_GB2312" w:eastAsia="仿宋_GB2312" w:cs="仿宋_GB2312"/>
          <w:color w:val="auto"/>
          <w:highlight w:val="none"/>
        </w:rPr>
        <w:t>34.廉洁自律规定</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236EC56E">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   采购代理机构工作人员不得以不正当手段获取政府采购代理业务，不得与采购人、供应商恶意串通操纵政府采购活动。</w:t>
      </w:r>
    </w:p>
    <w:p w14:paraId="68499E25">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27B3DFEB">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34.3   为强化采购代理机构内部监督机制，供应商可按</w:t>
      </w:r>
      <w:r>
        <w:rPr>
          <w:rFonts w:hint="eastAsia" w:ascii="仿宋_GB2312" w:hAnsi="仿宋_GB2312" w:eastAsia="仿宋_GB2312" w:cs="仿宋_GB2312"/>
          <w:color w:val="auto"/>
          <w:sz w:val="24"/>
          <w:highlight w:val="none"/>
          <w:u w:val="single" w:color="000000"/>
        </w:rPr>
        <w:t>投标人须知资料表中的</w:t>
      </w:r>
      <w:r>
        <w:rPr>
          <w:rFonts w:hint="eastAsia" w:ascii="仿宋_GB2312" w:hAnsi="仿宋_GB2312" w:eastAsia="仿宋_GB2312" w:cs="仿宋_GB2312"/>
          <w:color w:val="auto"/>
          <w:sz w:val="24"/>
          <w:highlight w:val="none"/>
        </w:rPr>
        <w:t>监督电话和邮箱，反映采购代理机构的廉洁自律等问题。</w:t>
      </w:r>
    </w:p>
    <w:p w14:paraId="1AD502A9">
      <w:pPr>
        <w:pStyle w:val="5"/>
        <w:spacing w:before="0" w:after="0" w:line="288" w:lineRule="auto"/>
        <w:rPr>
          <w:rFonts w:ascii="仿宋_GB2312" w:hAnsi="仿宋_GB2312" w:eastAsia="仿宋_GB2312" w:cs="仿宋_GB2312"/>
          <w:color w:val="auto"/>
          <w:highlight w:val="none"/>
        </w:rPr>
      </w:pPr>
      <w:bookmarkStart w:id="594" w:name="_Toc10437"/>
      <w:bookmarkStart w:id="595" w:name="_Toc1541"/>
      <w:bookmarkStart w:id="596" w:name="_Toc25480"/>
      <w:bookmarkStart w:id="597" w:name="_Toc3888"/>
      <w:bookmarkStart w:id="598" w:name="_Toc24038"/>
      <w:bookmarkStart w:id="599" w:name="_Toc22285"/>
      <w:bookmarkStart w:id="600" w:name="_Toc10376"/>
      <w:bookmarkStart w:id="601" w:name="_Toc31644"/>
      <w:bookmarkStart w:id="602" w:name="_Toc18027"/>
      <w:bookmarkStart w:id="603" w:name="_Toc515647797"/>
      <w:bookmarkStart w:id="604" w:name="_Toc29021"/>
      <w:bookmarkStart w:id="605" w:name="_Toc11586"/>
      <w:bookmarkStart w:id="606" w:name="_Toc14897"/>
      <w:bookmarkStart w:id="607" w:name="_Toc6874"/>
      <w:r>
        <w:rPr>
          <w:rFonts w:hint="eastAsia" w:ascii="仿宋_GB2312" w:hAnsi="仿宋_GB2312" w:eastAsia="仿宋_GB2312" w:cs="仿宋_GB2312"/>
          <w:color w:val="auto"/>
          <w:highlight w:val="none"/>
        </w:rPr>
        <w:t>35.人员回避</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5D786080">
      <w:pPr>
        <w:spacing w:line="288" w:lineRule="auto"/>
        <w:ind w:left="900" w:hanging="900" w:hangingChars="375"/>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投标人认为采购人员及其相关人员有法律法规所列与其他供应商有利害关系的，可以向采购人或采购代理机构书面提出回避申请，并说明理由。</w:t>
      </w:r>
    </w:p>
    <w:p w14:paraId="6EA8F963">
      <w:pPr>
        <w:pStyle w:val="5"/>
        <w:spacing w:before="0" w:after="0" w:line="340" w:lineRule="exact"/>
        <w:rPr>
          <w:rFonts w:ascii="仿宋_GB2312" w:hAnsi="仿宋_GB2312" w:eastAsia="仿宋_GB2312" w:cs="仿宋_GB2312"/>
          <w:color w:val="auto"/>
          <w:szCs w:val="24"/>
          <w:highlight w:val="none"/>
          <w:u w:val="none"/>
        </w:rPr>
      </w:pPr>
      <w:bookmarkStart w:id="608" w:name="_Toc14397"/>
      <w:bookmarkStart w:id="609" w:name="_Toc16862"/>
      <w:bookmarkStart w:id="610" w:name="_Toc23678"/>
      <w:bookmarkStart w:id="611" w:name="_Toc23883"/>
      <w:bookmarkStart w:id="612" w:name="_Toc30751"/>
      <w:bookmarkStart w:id="613" w:name="_Toc3083"/>
      <w:bookmarkStart w:id="614" w:name="_Toc518923103"/>
      <w:r>
        <w:rPr>
          <w:rFonts w:hint="eastAsia" w:ascii="仿宋_GB2312" w:hAnsi="仿宋_GB2312" w:eastAsia="仿宋_GB2312" w:cs="仿宋_GB2312"/>
          <w:color w:val="auto"/>
          <w:szCs w:val="24"/>
          <w:highlight w:val="none"/>
          <w:u w:val="none"/>
        </w:rPr>
        <w:t>36.质疑与接收</w:t>
      </w:r>
      <w:bookmarkEnd w:id="608"/>
      <w:bookmarkEnd w:id="609"/>
    </w:p>
    <w:p w14:paraId="782E35C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36.1   供应商认为招标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65B334D4">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7FF080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超出法定质疑期的、重复提出的、分次提出的或内容、形式不符合《政府采购质疑和投诉办法》的，质疑供应商将依法承担不利后果。</w:t>
      </w:r>
    </w:p>
    <w:p w14:paraId="703F5D73">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36.3   采购代理机构质疑函接收部门、联系电话和通讯地址, 见供应商须知资料表。</w:t>
      </w:r>
    </w:p>
    <w:p w14:paraId="5A296732">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36.4、质疑的提出</w:t>
      </w:r>
    </w:p>
    <w:p w14:paraId="6F515ED6">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36.5   本采购文件中所称质疑及答复，是指参加本次采购活动的供应商对政府采购活动中的采购文件、采购过程和成交结果向采购方提出质疑，采购方答复质疑的行为。</w:t>
      </w:r>
    </w:p>
    <w:p w14:paraId="2AAD6F6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36.6   供应商认为采购文件、采购过程和成交结果使自己的权益受到损害的，可以在知道或者应知其权益受到损害之日起7个工作日内，以书面形式向采购方提出质疑。供应商应知其权益受到损害之日，是指：</w:t>
      </w:r>
    </w:p>
    <w:p w14:paraId="65C31942">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（一）对可以质疑的采购文件提出质疑的，为收到采购文件之日或者采购文件公告期限届满之日；</w:t>
      </w:r>
    </w:p>
    <w:p w14:paraId="44FADE59">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（二）对采购过程提出质疑的，为各采购程序环节结束之日；</w:t>
      </w:r>
    </w:p>
    <w:p w14:paraId="7C2C0999">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（三）对成交结果提出质疑的，为成交结果公告期限届满之日。</w:t>
      </w:r>
    </w:p>
    <w:p w14:paraId="0458C57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36.7   对可以质疑的采购文件提出质疑的，质疑人为参与本项目的报价方或潜在报价方。可质疑的文件为采购公告以及采购文件（包括属于其组成部分的澄清、修改、补充文件和评审标准、合同文本等）。</w:t>
      </w:r>
    </w:p>
    <w:p w14:paraId="51712CE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36.8   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13930B6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36.9   提出质疑应当符合下列条件：</w:t>
      </w:r>
    </w:p>
    <w:p w14:paraId="6038CA6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（一）质疑主体应当符合有关规定；</w:t>
      </w:r>
    </w:p>
    <w:p w14:paraId="578DCFE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（二）在质疑法定期限内提出；</w:t>
      </w:r>
    </w:p>
    <w:p w14:paraId="171B5B22">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（三）属于可以提出质疑的政府采购事项受理范围和本项目采购人的管辖权范围；</w:t>
      </w:r>
    </w:p>
    <w:p w14:paraId="6AFA6BA4">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（四）政府采购法律、法规、规章规定的其他条件。</w:t>
      </w:r>
    </w:p>
    <w:p w14:paraId="6DB652A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71178E85">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40.1  质疑人所提供的证明材料应当具有真实性、合法性以及与质疑事项的关联性和证明力，否则不能作为认定该质疑事项成立的依据。</w:t>
      </w:r>
    </w:p>
    <w:p w14:paraId="40DDB10D">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40.2   质疑人提出质疑时应当提交质疑函。质疑函包括下列内容：</w:t>
      </w:r>
    </w:p>
    <w:p w14:paraId="67B2095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（一）提出质疑的质疑人的名称、地址、邮编、联系人及联系电话等；</w:t>
      </w:r>
    </w:p>
    <w:p w14:paraId="3D2A566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（二）质疑项目的名称、编号；</w:t>
      </w:r>
    </w:p>
    <w:p w14:paraId="00C171D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（三）质疑事项；</w:t>
      </w:r>
    </w:p>
    <w:p w14:paraId="1EA279E9">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（四）事实依据和证明材料；</w:t>
      </w:r>
    </w:p>
    <w:p w14:paraId="538875E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（五）法律依据；</w:t>
      </w:r>
    </w:p>
    <w:p w14:paraId="0083CE82">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（六）提出质疑的日期。</w:t>
      </w:r>
    </w:p>
    <w:p w14:paraId="211E2E0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1FDCCD32">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40.3    质疑人可以委托代理人进行质疑。代理人应当提交授权委托书。授权委托书应当载明委托代理的具体权限、期限和相关事项。</w:t>
      </w:r>
    </w:p>
    <w:p w14:paraId="3A75BBF9">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40.4、质疑的审查和受理</w:t>
      </w:r>
    </w:p>
    <w:p w14:paraId="32886192">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采购方在收到质疑函后应当及时审查是否符合质疑受理条件，对符合质疑受理条件的，及时予以受理。</w:t>
      </w:r>
    </w:p>
    <w:p w14:paraId="265A6063">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40.5   对不符合质疑受理条件的，分别按照下列不同情形予以处理：</w:t>
      </w:r>
    </w:p>
    <w:p w14:paraId="5723661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（一）质疑函内容不符合规定的，告知质疑人进行修改并重新提出质疑。修改后质疑事项仍不具体、不明确或者最终递交质疑函的时间超过质疑法定期限的，不予受理；</w:t>
      </w:r>
    </w:p>
    <w:p w14:paraId="04109A79">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（二）质疑主体不符合有关规定的，告知质疑人不予受理；</w:t>
      </w:r>
    </w:p>
    <w:p w14:paraId="51810CED">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（三）超过质疑法定期限提出质疑的，告知质疑人不予受理；</w:t>
      </w:r>
    </w:p>
    <w:p w14:paraId="4E102D4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（四）对不属于可以提出质疑的政府采购事项提出质疑的，告知质疑人不予受理；</w:t>
      </w:r>
    </w:p>
    <w:p w14:paraId="608BE5CD">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（五）质疑不属于本项目采购方管辖的，告知质疑人向有管辖权的采购人提出质疑；</w:t>
      </w:r>
    </w:p>
    <w:p w14:paraId="2E6E1F71">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（六）质疑不符合其他条件的，告知质疑人不予受理。</w:t>
      </w:r>
    </w:p>
    <w:p w14:paraId="093461A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40.6、质疑的处理和答复</w:t>
      </w:r>
    </w:p>
    <w:p w14:paraId="1F2A311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40.7   采购方受理质疑后，将及时把质疑函发送给被质疑人，并要求其在一定限期内提交书面答复，同时提供有关证据、依据和相关材料。</w:t>
      </w:r>
    </w:p>
    <w:p w14:paraId="7F772FB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40.8   对于质疑事项中涉及的问题较多、情况比较复杂的，为了全面查清事实、取得充分的证据，采购方认为有必要时，可以进行调查取证或者组织质证。</w:t>
      </w:r>
    </w:p>
    <w:p w14:paraId="2816265B">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40.9   对评审过程、成交结果提出质疑的，采购方可以组织原评审委员会协助答复质疑。</w:t>
      </w:r>
    </w:p>
    <w:p w14:paraId="05B3031E">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   质疑处理过程中，质疑人书面申请撤回质疑的，将终止质疑处理程序。</w:t>
      </w:r>
    </w:p>
    <w:p w14:paraId="56586950">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64126FAB">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41.1   质疑人拒绝配合采购方依法对质疑进行调查处理的，采购方将按质疑人自动撤回质疑处理；被质疑人拒绝配合采购方依法对质疑进行调查处理的，采购方将视同其认可质疑事项。</w:t>
      </w:r>
    </w:p>
    <w:p w14:paraId="416A4E6D">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41.2   采购方将在正式受理质疑后7个工作日内作出答复。</w:t>
      </w:r>
    </w:p>
    <w:p w14:paraId="2919D4DD">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41.3   质疑答复应当包括下列内容：</w:t>
      </w:r>
    </w:p>
    <w:p w14:paraId="2E2BD376">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（一）质疑人的姓名或者名称；</w:t>
      </w:r>
    </w:p>
    <w:p w14:paraId="60FF977D">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（二）收到质疑函的日期、质疑项目名称及编号；</w:t>
      </w:r>
    </w:p>
    <w:p w14:paraId="32C77CD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（三）质疑事项、质疑答复的具体内容、事实依据和法律依据；</w:t>
      </w:r>
    </w:p>
    <w:p w14:paraId="1914C59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（四）告知质疑供应商依法投诉的权利；</w:t>
      </w:r>
    </w:p>
    <w:p w14:paraId="21365954">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（五）质疑答复人名称；</w:t>
      </w:r>
    </w:p>
    <w:p w14:paraId="4AFBCCA4">
      <w:pPr>
        <w:widowControl w:val="0"/>
        <w:spacing w:line="340" w:lineRule="exact"/>
        <w:ind w:left="900" w:hanging="900" w:hangingChars="375"/>
        <w:textAlignment w:val="auto"/>
        <w:rPr>
          <w:rFonts w:ascii="仿宋_GB2312" w:hAnsi="仿宋_GB2312" w:eastAsia="仿宋_GB2312" w:cs="仿宋_GB2312"/>
          <w:b/>
          <w:bCs/>
          <w:color w:val="auto"/>
          <w:sz w:val="24"/>
          <w:highlight w:val="none"/>
        </w:rPr>
      </w:pPr>
      <w:r>
        <w:rPr>
          <w:rFonts w:hint="eastAsia" w:ascii="仿宋_GB2312" w:hAnsi="仿宋_GB2312" w:eastAsia="仿宋_GB2312" w:cs="仿宋_GB2312"/>
          <w:color w:val="auto"/>
          <w:sz w:val="24"/>
          <w:highlight w:val="none"/>
        </w:rPr>
        <w:t>（六）答复质疑的日期。</w:t>
      </w:r>
    </w:p>
    <w:p w14:paraId="63EAEA1E">
      <w:pPr>
        <w:widowControl w:val="0"/>
        <w:spacing w:line="340" w:lineRule="exact"/>
        <w:ind w:left="904" w:hanging="900" w:hangingChars="375"/>
        <w:jc w:val="center"/>
        <w:textAlignment w:val="auto"/>
        <w:rPr>
          <w:rFonts w:ascii="仿宋_GB2312" w:hAnsi="仿宋_GB2312" w:eastAsia="仿宋_GB2312" w:cs="仿宋_GB2312"/>
          <w:b/>
          <w:bCs/>
          <w:color w:val="auto"/>
          <w:sz w:val="24"/>
          <w:highlight w:val="none"/>
        </w:rPr>
      </w:pPr>
    </w:p>
    <w:p w14:paraId="08B12BA0">
      <w:pPr>
        <w:widowControl w:val="0"/>
        <w:spacing w:line="340" w:lineRule="exact"/>
        <w:ind w:left="904" w:hanging="900" w:hangingChars="375"/>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质疑函范本</w:t>
      </w:r>
    </w:p>
    <w:p w14:paraId="1A863DB3">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一、质疑供应商基本信息</w:t>
      </w:r>
    </w:p>
    <w:p w14:paraId="59550660">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质疑供应商：</w:t>
      </w:r>
    </w:p>
    <w:p w14:paraId="4B5465E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14:paraId="53FB084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联系人：联系电话：</w:t>
      </w:r>
    </w:p>
    <w:p w14:paraId="0EFDA4A8">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授权代表：</w:t>
      </w:r>
    </w:p>
    <w:p w14:paraId="392B7449">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14:paraId="1E6B6004">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地址：邮编：</w:t>
      </w:r>
    </w:p>
    <w:p w14:paraId="0AAA92DF">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二、质疑项目基本情况</w:t>
      </w:r>
    </w:p>
    <w:p w14:paraId="7302AC80">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p>
    <w:p w14:paraId="1A87C0E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质疑项目的编号：包号：</w:t>
      </w:r>
    </w:p>
    <w:p w14:paraId="51956315">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p>
    <w:p w14:paraId="2698830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p>
    <w:p w14:paraId="7FD2F240">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三、质疑事项具体内容</w:t>
      </w:r>
    </w:p>
    <w:p w14:paraId="2F8022D6">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质疑事项1：</w:t>
      </w:r>
    </w:p>
    <w:p w14:paraId="4DB0D5CB">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p>
    <w:p w14:paraId="6E3EED15">
      <w:pPr>
        <w:widowControl w:val="0"/>
        <w:spacing w:line="340" w:lineRule="exact"/>
        <w:ind w:left="900" w:hanging="900" w:hangingChars="375"/>
        <w:textAlignment w:val="auto"/>
        <w:rPr>
          <w:rFonts w:ascii="仿宋_GB2312" w:hAnsi="仿宋_GB2312" w:eastAsia="仿宋_GB2312" w:cs="仿宋_GB2312"/>
          <w:color w:val="auto"/>
          <w:sz w:val="24"/>
          <w:highlight w:val="none"/>
        </w:rPr>
      </w:pPr>
    </w:p>
    <w:p w14:paraId="44EFF803">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法律依据：</w:t>
      </w:r>
    </w:p>
    <w:p w14:paraId="207DD674">
      <w:pPr>
        <w:widowControl w:val="0"/>
        <w:spacing w:line="340" w:lineRule="exact"/>
        <w:ind w:left="900" w:hanging="900" w:hangingChars="375"/>
        <w:textAlignment w:val="auto"/>
        <w:rPr>
          <w:rFonts w:ascii="仿宋_GB2312" w:hAnsi="仿宋_GB2312" w:eastAsia="仿宋_GB2312" w:cs="仿宋_GB2312"/>
          <w:color w:val="auto"/>
          <w:sz w:val="24"/>
          <w:highlight w:val="none"/>
        </w:rPr>
      </w:pPr>
    </w:p>
    <w:p w14:paraId="703794E5">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质疑事项2</w:t>
      </w:r>
    </w:p>
    <w:p w14:paraId="3D83C1B4">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14:paraId="0024F205">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四、与质疑事项相关的质疑请求</w:t>
      </w:r>
    </w:p>
    <w:p w14:paraId="0080881C">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p>
    <w:p w14:paraId="7B8AD805">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签字(签章)：公章：</w:t>
      </w:r>
    </w:p>
    <w:p w14:paraId="101DADC7">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3E08C214">
      <w:pPr>
        <w:widowControl w:val="0"/>
        <w:spacing w:line="340" w:lineRule="exact"/>
        <w:ind w:left="900" w:hanging="900" w:hangingChars="375"/>
        <w:textAlignment w:val="auto"/>
        <w:rPr>
          <w:rFonts w:ascii="仿宋_GB2312" w:hAnsi="仿宋_GB2312" w:eastAsia="仿宋_GB2312" w:cs="仿宋_GB2312"/>
          <w:color w:val="auto"/>
          <w:sz w:val="24"/>
          <w:highlight w:val="none"/>
        </w:rPr>
      </w:pPr>
    </w:p>
    <w:p w14:paraId="4C2E32AC">
      <w:pPr>
        <w:widowControl w:val="0"/>
        <w:spacing w:line="340" w:lineRule="exact"/>
        <w:ind w:left="900" w:hanging="900" w:hangingChars="375"/>
        <w:textAlignment w:val="auto"/>
        <w:rPr>
          <w:rFonts w:ascii="仿宋_GB2312" w:hAnsi="仿宋_GB2312" w:eastAsia="仿宋_GB2312" w:cs="仿宋_GB2312"/>
          <w:color w:val="auto"/>
          <w:sz w:val="24"/>
          <w:highlight w:val="none"/>
        </w:rPr>
      </w:pPr>
    </w:p>
    <w:p w14:paraId="6E881706">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质疑函制作说明：</w:t>
      </w:r>
    </w:p>
    <w:p w14:paraId="23005A2A">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14:paraId="393309C5">
      <w:pPr>
        <w:keepNext w:val="0"/>
        <w:keepLines w:val="0"/>
        <w:pageBreakBefore w:val="0"/>
        <w:widowControl w:val="0"/>
        <w:kinsoku w:val="0"/>
        <w:wordWrap/>
        <w:overflowPunct/>
        <w:topLinePunct w:val="0"/>
        <w:autoSpaceDE w:val="0"/>
        <w:autoSpaceDN w:val="0"/>
        <w:bidi w:val="0"/>
        <w:adjustRightInd w:val="0"/>
        <w:snapToGrid w:val="0"/>
        <w:spacing w:line="340" w:lineRule="exact"/>
        <w:ind w:left="0" w:firstLine="0" w:firstLineChars="0"/>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C608DB">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14:paraId="704D6654">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14:paraId="3F2FE87D">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14:paraId="2D678CBE">
      <w:pPr>
        <w:widowControl w:val="0"/>
        <w:spacing w:line="340" w:lineRule="exact"/>
        <w:ind w:left="900" w:hanging="900" w:hangingChars="375"/>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0F6D54">
      <w:pPr>
        <w:widowControl w:val="0"/>
        <w:spacing w:line="240" w:lineRule="atLeast"/>
        <w:ind w:left="1079" w:leftChars="257" w:hanging="540"/>
        <w:rPr>
          <w:rFonts w:ascii="宋体" w:hAnsi="宋体" w:cs="宋体"/>
          <w:color w:val="auto"/>
          <w:highlight w:val="none"/>
        </w:rPr>
      </w:pPr>
      <w:r>
        <w:rPr>
          <w:rFonts w:hint="eastAsia" w:ascii="仿宋_GB2312" w:hAnsi="仿宋_GB2312" w:eastAsia="仿宋_GB2312" w:cs="仿宋_GB2312"/>
          <w:color w:val="auto"/>
          <w:sz w:val="24"/>
          <w:highlight w:val="none"/>
        </w:rPr>
        <w:br w:type="page"/>
      </w:r>
      <w:r>
        <w:rPr>
          <w:rFonts w:hint="eastAsia" w:ascii="宋体" w:hAnsi="宋体" w:cs="宋体"/>
          <w:color w:val="auto"/>
          <w:highlight w:val="none"/>
        </w:rPr>
        <w:t>附件1：履约保证金保函（格式）</w:t>
      </w:r>
      <w:bookmarkEnd w:id="610"/>
      <w:bookmarkEnd w:id="611"/>
      <w:bookmarkEnd w:id="612"/>
      <w:bookmarkEnd w:id="613"/>
      <w:bookmarkEnd w:id="614"/>
    </w:p>
    <w:p w14:paraId="418DE488">
      <w:pPr>
        <w:pStyle w:val="13"/>
        <w:widowControl w:val="0"/>
        <w:spacing w:line="240" w:lineRule="atLeast"/>
        <w:ind w:left="1079" w:leftChars="257" w:hanging="540"/>
        <w:jc w:val="center"/>
        <w:rPr>
          <w:rFonts w:hAnsi="宋体" w:cs="宋体"/>
          <w:b/>
          <w:color w:val="auto"/>
          <w:sz w:val="24"/>
          <w:highlight w:val="none"/>
        </w:rPr>
      </w:pPr>
      <w:r>
        <w:rPr>
          <w:rFonts w:hint="eastAsia" w:hAnsi="宋体" w:cs="宋体"/>
          <w:b/>
          <w:color w:val="auto"/>
          <w:sz w:val="24"/>
          <w:highlight w:val="none"/>
        </w:rPr>
        <w:t>（中标后开具）</w:t>
      </w:r>
    </w:p>
    <w:p w14:paraId="396C7F5B">
      <w:pPr>
        <w:pStyle w:val="13"/>
        <w:widowControl w:val="0"/>
        <w:spacing w:line="240" w:lineRule="atLeast"/>
        <w:ind w:left="1079" w:leftChars="257" w:hanging="540"/>
        <w:rPr>
          <w:rFonts w:hAnsi="宋体" w:cs="宋体"/>
          <w:b/>
          <w:color w:val="auto"/>
          <w:sz w:val="24"/>
          <w:highlight w:val="none"/>
        </w:rPr>
      </w:pPr>
    </w:p>
    <w:p w14:paraId="0AFA8D27">
      <w:pPr>
        <w:pStyle w:val="13"/>
        <w:widowControl w:val="0"/>
        <w:spacing w:line="240" w:lineRule="atLeast"/>
        <w:ind w:left="1079" w:leftChars="257" w:hanging="540"/>
        <w:rPr>
          <w:rFonts w:hAnsi="宋体" w:cs="宋体"/>
          <w:b/>
          <w:color w:val="auto"/>
          <w:sz w:val="24"/>
          <w:highlight w:val="none"/>
        </w:rPr>
      </w:pPr>
    </w:p>
    <w:p w14:paraId="1C4A1435">
      <w:pPr>
        <w:pStyle w:val="13"/>
        <w:widowControl w:val="0"/>
        <w:spacing w:line="240" w:lineRule="atLeast"/>
        <w:rPr>
          <w:rFonts w:hAnsi="宋体" w:cs="宋体"/>
          <w:color w:val="auto"/>
          <w:sz w:val="24"/>
          <w:szCs w:val="24"/>
          <w:highlight w:val="none"/>
        </w:rPr>
      </w:pPr>
      <w:r>
        <w:rPr>
          <w:rFonts w:hint="eastAsia" w:hAnsi="宋体" w:cs="宋体"/>
          <w:color w:val="auto"/>
          <w:sz w:val="24"/>
          <w:szCs w:val="24"/>
          <w:highlight w:val="none"/>
        </w:rPr>
        <w:t>致: (</w:t>
      </w:r>
      <w:r>
        <w:rPr>
          <w:rFonts w:hint="eastAsia" w:hAnsi="宋体" w:cs="宋体"/>
          <w:i/>
          <w:color w:val="auto"/>
          <w:sz w:val="24"/>
          <w:szCs w:val="24"/>
          <w:highlight w:val="none"/>
          <w:u w:val="single"/>
        </w:rPr>
        <w:t>买方名称</w:t>
      </w:r>
      <w:r>
        <w:rPr>
          <w:rFonts w:hint="eastAsia" w:hAnsi="宋体" w:cs="宋体"/>
          <w:color w:val="auto"/>
          <w:sz w:val="24"/>
          <w:szCs w:val="24"/>
          <w:highlight w:val="none"/>
        </w:rPr>
        <w:t>)</w:t>
      </w:r>
    </w:p>
    <w:p w14:paraId="4F3567EB">
      <w:pPr>
        <w:pStyle w:val="13"/>
        <w:widowControl w:val="0"/>
        <w:spacing w:line="240" w:lineRule="atLeast"/>
        <w:ind w:left="1079" w:leftChars="257" w:hanging="540"/>
        <w:jc w:val="center"/>
        <w:rPr>
          <w:rFonts w:hAnsi="宋体" w:cs="宋体"/>
          <w:color w:val="auto"/>
          <w:sz w:val="24"/>
          <w:szCs w:val="24"/>
          <w:highlight w:val="none"/>
        </w:rPr>
      </w:pPr>
      <w:r>
        <w:rPr>
          <w:rFonts w:hint="eastAsia" w:hAnsi="宋体" w:cs="宋体"/>
          <w:color w:val="auto"/>
          <w:sz w:val="24"/>
          <w:szCs w:val="24"/>
          <w:highlight w:val="none"/>
        </w:rPr>
        <w:t>号合同履约保函</w:t>
      </w:r>
    </w:p>
    <w:p w14:paraId="03E48055">
      <w:pPr>
        <w:pStyle w:val="13"/>
        <w:widowControl w:val="0"/>
        <w:spacing w:line="240" w:lineRule="atLeast"/>
        <w:ind w:left="1079" w:leftChars="257" w:hanging="540"/>
        <w:jc w:val="center"/>
        <w:rPr>
          <w:rFonts w:hAnsi="宋体" w:cs="宋体"/>
          <w:color w:val="auto"/>
          <w:sz w:val="24"/>
          <w:szCs w:val="24"/>
          <w:highlight w:val="none"/>
        </w:rPr>
      </w:pPr>
    </w:p>
    <w:p w14:paraId="653D8975">
      <w:pPr>
        <w:pStyle w:val="13"/>
        <w:widowControl w:val="0"/>
        <w:spacing w:line="240" w:lineRule="atLeast"/>
        <w:ind w:firstLine="600" w:firstLineChars="250"/>
        <w:rPr>
          <w:rFonts w:hAnsi="宋体" w:cs="宋体"/>
          <w:color w:val="auto"/>
          <w:sz w:val="24"/>
          <w:szCs w:val="24"/>
          <w:highlight w:val="none"/>
        </w:rPr>
      </w:pPr>
      <w:r>
        <w:rPr>
          <w:rFonts w:hint="eastAsia" w:hAnsi="宋体" w:cs="宋体"/>
          <w:color w:val="auto"/>
          <w:sz w:val="24"/>
          <w:szCs w:val="24"/>
          <w:highlight w:val="none"/>
        </w:rPr>
        <w:t>本保函作为贵方与(</w:t>
      </w:r>
      <w:r>
        <w:rPr>
          <w:rFonts w:hint="eastAsia" w:hAnsi="宋体" w:cs="宋体"/>
          <w:i/>
          <w:color w:val="auto"/>
          <w:sz w:val="24"/>
          <w:szCs w:val="24"/>
          <w:highlight w:val="none"/>
          <w:u w:val="single"/>
        </w:rPr>
        <w:t>卖方名称</w:t>
      </w:r>
      <w:r>
        <w:rPr>
          <w:rFonts w:hint="eastAsia" w:hAnsi="宋体" w:cs="宋体"/>
          <w:color w:val="auto"/>
          <w:sz w:val="24"/>
          <w:szCs w:val="24"/>
          <w:highlight w:val="none"/>
        </w:rPr>
        <w:t>)(以下简称卖方)于年月日就项目(以下简称项目)项下提供(</w:t>
      </w:r>
      <w:r>
        <w:rPr>
          <w:rFonts w:hint="eastAsia" w:hAnsi="宋体" w:cs="宋体"/>
          <w:i/>
          <w:color w:val="auto"/>
          <w:sz w:val="24"/>
          <w:szCs w:val="24"/>
          <w:highlight w:val="none"/>
          <w:u w:val="single"/>
        </w:rPr>
        <w:t>货物名称</w:t>
      </w:r>
      <w:r>
        <w:rPr>
          <w:rFonts w:hint="eastAsia" w:hAnsi="宋体" w:cs="宋体"/>
          <w:color w:val="auto"/>
          <w:sz w:val="24"/>
          <w:szCs w:val="24"/>
          <w:highlight w:val="none"/>
        </w:rPr>
        <w:t>)(以下简称货物)签订的(</w:t>
      </w:r>
      <w:r>
        <w:rPr>
          <w:rFonts w:hint="eastAsia" w:hAnsi="宋体" w:cs="宋体"/>
          <w:i/>
          <w:color w:val="auto"/>
          <w:sz w:val="24"/>
          <w:szCs w:val="24"/>
          <w:highlight w:val="none"/>
          <w:u w:val="single"/>
        </w:rPr>
        <w:t>合同号</w:t>
      </w:r>
      <w:r>
        <w:rPr>
          <w:rFonts w:hint="eastAsia" w:hAnsi="宋体" w:cs="宋体"/>
          <w:color w:val="auto"/>
          <w:sz w:val="24"/>
          <w:szCs w:val="24"/>
          <w:highlight w:val="none"/>
        </w:rPr>
        <w:t>)号合同的履约保函。</w:t>
      </w:r>
    </w:p>
    <w:p w14:paraId="1A8E6A18">
      <w:pPr>
        <w:pStyle w:val="13"/>
        <w:widowControl w:val="0"/>
        <w:spacing w:line="240" w:lineRule="atLeast"/>
        <w:ind w:firstLine="540" w:firstLineChars="225"/>
        <w:rPr>
          <w:rFonts w:hAnsi="宋体" w:cs="宋体"/>
          <w:color w:val="auto"/>
          <w:sz w:val="24"/>
          <w:szCs w:val="24"/>
          <w:highlight w:val="none"/>
        </w:rPr>
      </w:pPr>
      <w:r>
        <w:rPr>
          <w:rFonts w:hint="eastAsia" w:hAnsi="宋体" w:cs="宋体"/>
          <w:color w:val="auto"/>
          <w:sz w:val="24"/>
          <w:szCs w:val="24"/>
          <w:highlight w:val="none"/>
        </w:rPr>
        <w:t>(</w:t>
      </w:r>
      <w:r>
        <w:rPr>
          <w:rFonts w:hint="eastAsia" w:hAnsi="宋体" w:cs="宋体"/>
          <w:i/>
          <w:color w:val="auto"/>
          <w:sz w:val="24"/>
          <w:szCs w:val="24"/>
          <w:highlight w:val="none"/>
          <w:u w:val="single"/>
        </w:rPr>
        <w:t>出具保函的银行名称</w:t>
      </w:r>
      <w:r>
        <w:rPr>
          <w:rFonts w:hint="eastAsia" w:hAnsi="宋体" w:cs="宋体"/>
          <w:color w:val="auto"/>
          <w:sz w:val="24"/>
          <w:szCs w:val="24"/>
          <w:highlight w:val="none"/>
        </w:rPr>
        <w:t>)(以下简称银行)无条件地、不可撤销地具结保证本行、其继承人和受让人无追索地向贵方以(</w:t>
      </w:r>
      <w:r>
        <w:rPr>
          <w:rFonts w:hint="eastAsia" w:hAnsi="宋体" w:cs="宋体"/>
          <w:i/>
          <w:color w:val="auto"/>
          <w:sz w:val="24"/>
          <w:szCs w:val="24"/>
          <w:highlight w:val="none"/>
          <w:u w:val="single"/>
        </w:rPr>
        <w:t>货币名称</w:t>
      </w:r>
      <w:r>
        <w:rPr>
          <w:rFonts w:hint="eastAsia" w:hAnsi="宋体" w:cs="宋体"/>
          <w:color w:val="auto"/>
          <w:sz w:val="24"/>
          <w:szCs w:val="24"/>
          <w:highlight w:val="none"/>
        </w:rPr>
        <w:t>)支付总额不超过(</w:t>
      </w:r>
      <w:r>
        <w:rPr>
          <w:rFonts w:hint="eastAsia" w:hAnsi="宋体" w:cs="宋体"/>
          <w:i/>
          <w:color w:val="auto"/>
          <w:sz w:val="24"/>
          <w:szCs w:val="24"/>
          <w:highlight w:val="none"/>
          <w:u w:val="single"/>
        </w:rPr>
        <w:t>货币数量</w:t>
      </w:r>
      <w:r>
        <w:rPr>
          <w:rFonts w:hint="eastAsia" w:hAnsi="宋体" w:cs="宋体"/>
          <w:color w:val="auto"/>
          <w:sz w:val="24"/>
          <w:szCs w:val="24"/>
          <w:highlight w:val="none"/>
        </w:rPr>
        <w:t>),即相当于合同价格的%,并以此约定如下:</w:t>
      </w:r>
    </w:p>
    <w:p w14:paraId="352BE89E">
      <w:pPr>
        <w:pStyle w:val="13"/>
        <w:widowControl w:val="0"/>
        <w:spacing w:line="240" w:lineRule="atLeast"/>
        <w:ind w:left="539" w:leftChars="257"/>
        <w:rPr>
          <w:rFonts w:hAnsi="宋体" w:cs="宋体"/>
          <w:color w:val="auto"/>
          <w:sz w:val="24"/>
          <w:szCs w:val="24"/>
          <w:highlight w:val="none"/>
        </w:rPr>
      </w:pPr>
      <w:r>
        <w:rPr>
          <w:rFonts w:hint="eastAsia" w:hAnsi="宋体" w:cs="宋体"/>
          <w:color w:val="auto"/>
          <w:sz w:val="24"/>
          <w:szCs w:val="24"/>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143FA64F">
      <w:pPr>
        <w:pStyle w:val="13"/>
        <w:widowControl w:val="0"/>
        <w:spacing w:line="240" w:lineRule="atLeast"/>
        <w:ind w:left="540"/>
        <w:rPr>
          <w:rFonts w:hAnsi="宋体" w:cs="宋体"/>
          <w:color w:val="auto"/>
          <w:sz w:val="24"/>
          <w:szCs w:val="24"/>
          <w:highlight w:val="none"/>
        </w:rPr>
      </w:pPr>
      <w:r>
        <w:rPr>
          <w:rFonts w:hint="eastAsia" w:hAnsi="宋体" w:cs="宋体"/>
          <w:color w:val="auto"/>
          <w:sz w:val="24"/>
          <w:szCs w:val="24"/>
          <w:highlight w:val="none"/>
        </w:rPr>
        <w:t>2.本保函项下的任何支付应为免税和净值。对于现有或将来的税收、关税、收费、费用扣减或预提税款，不论这些款项是何种性质和由谁征收，都不应从本保函项下的支付中扣除。</w:t>
      </w:r>
    </w:p>
    <w:p w14:paraId="064CA371">
      <w:pPr>
        <w:pStyle w:val="13"/>
        <w:widowControl w:val="0"/>
        <w:spacing w:line="240" w:lineRule="atLeast"/>
        <w:ind w:left="540"/>
        <w:rPr>
          <w:rFonts w:hAnsi="宋体" w:cs="宋体"/>
          <w:color w:val="auto"/>
          <w:sz w:val="24"/>
          <w:szCs w:val="24"/>
          <w:highlight w:val="none"/>
        </w:rPr>
      </w:pPr>
      <w:r>
        <w:rPr>
          <w:rFonts w:hint="eastAsia" w:hAnsi="宋体" w:cs="宋体"/>
          <w:color w:val="auto"/>
          <w:sz w:val="24"/>
          <w:szCs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49D8EB5">
      <w:pPr>
        <w:pStyle w:val="13"/>
        <w:widowControl w:val="0"/>
        <w:spacing w:line="240" w:lineRule="atLeast"/>
        <w:ind w:left="1079" w:leftChars="257" w:hanging="540"/>
        <w:rPr>
          <w:rFonts w:hAnsi="宋体" w:cs="宋体"/>
          <w:color w:val="auto"/>
          <w:sz w:val="24"/>
          <w:szCs w:val="24"/>
          <w:highlight w:val="none"/>
        </w:rPr>
      </w:pPr>
      <w:bookmarkStart w:id="615" w:name="_Toc1076"/>
      <w:bookmarkStart w:id="616" w:name="_Toc6985"/>
      <w:r>
        <w:rPr>
          <w:rFonts w:hint="eastAsia" w:hAnsi="宋体" w:cs="宋体"/>
          <w:color w:val="auto"/>
          <w:sz w:val="24"/>
          <w:szCs w:val="24"/>
          <w:highlight w:val="none"/>
        </w:rPr>
        <w:t>4.本保函在本合同规定的保证期期满前完全有效。</w:t>
      </w:r>
      <w:bookmarkEnd w:id="615"/>
      <w:bookmarkEnd w:id="616"/>
    </w:p>
    <w:p w14:paraId="44CB91FD">
      <w:pPr>
        <w:pStyle w:val="13"/>
        <w:widowControl w:val="0"/>
        <w:spacing w:line="240" w:lineRule="atLeast"/>
        <w:ind w:left="1079" w:leftChars="257" w:hanging="540"/>
        <w:rPr>
          <w:rFonts w:hAnsi="宋体" w:cs="宋体"/>
          <w:color w:val="auto"/>
          <w:sz w:val="24"/>
          <w:szCs w:val="24"/>
          <w:highlight w:val="none"/>
        </w:rPr>
      </w:pPr>
    </w:p>
    <w:p w14:paraId="6E7DD980">
      <w:pPr>
        <w:pStyle w:val="13"/>
        <w:widowControl w:val="0"/>
        <w:spacing w:line="240" w:lineRule="atLeast"/>
        <w:ind w:left="1079" w:leftChars="257" w:hanging="540"/>
        <w:rPr>
          <w:rFonts w:hAnsi="宋体" w:cs="宋体"/>
          <w:color w:val="auto"/>
          <w:sz w:val="24"/>
          <w:szCs w:val="24"/>
          <w:highlight w:val="none"/>
        </w:rPr>
      </w:pPr>
      <w:r>
        <w:rPr>
          <w:rFonts w:hint="eastAsia" w:hAnsi="宋体" w:cs="宋体"/>
          <w:color w:val="auto"/>
          <w:sz w:val="24"/>
          <w:szCs w:val="24"/>
          <w:highlight w:val="none"/>
        </w:rPr>
        <w:t>谨启</w:t>
      </w:r>
    </w:p>
    <w:p w14:paraId="0C31BE54">
      <w:pPr>
        <w:pStyle w:val="13"/>
        <w:widowControl w:val="0"/>
        <w:spacing w:line="240" w:lineRule="atLeast"/>
        <w:ind w:left="1079" w:leftChars="257" w:hanging="540"/>
        <w:rPr>
          <w:rFonts w:hAnsi="宋体" w:cs="宋体"/>
          <w:color w:val="auto"/>
          <w:sz w:val="24"/>
          <w:szCs w:val="24"/>
          <w:highlight w:val="none"/>
        </w:rPr>
      </w:pPr>
      <w:r>
        <w:rPr>
          <w:rFonts w:hint="eastAsia" w:hAnsi="宋体" w:cs="宋体"/>
          <w:color w:val="auto"/>
          <w:sz w:val="24"/>
          <w:szCs w:val="24"/>
          <w:highlight w:val="none"/>
        </w:rPr>
        <w:t>出具保函银行名称：</w:t>
      </w:r>
    </w:p>
    <w:p w14:paraId="3BA3AA78">
      <w:pPr>
        <w:pStyle w:val="13"/>
        <w:widowControl w:val="0"/>
        <w:spacing w:line="240" w:lineRule="atLeast"/>
        <w:ind w:left="1079" w:leftChars="257" w:hanging="540"/>
        <w:rPr>
          <w:rFonts w:hAnsi="宋体" w:cs="宋体"/>
          <w:color w:val="auto"/>
          <w:sz w:val="24"/>
          <w:szCs w:val="24"/>
          <w:highlight w:val="none"/>
          <w:u w:val="single"/>
        </w:rPr>
      </w:pPr>
      <w:r>
        <w:rPr>
          <w:rFonts w:hint="eastAsia" w:hAnsi="宋体" w:cs="宋体"/>
          <w:color w:val="auto"/>
          <w:sz w:val="24"/>
          <w:szCs w:val="24"/>
          <w:highlight w:val="none"/>
        </w:rPr>
        <w:t>签字人姓名和职务：</w:t>
      </w:r>
    </w:p>
    <w:p w14:paraId="5D7CE525">
      <w:pPr>
        <w:pStyle w:val="13"/>
        <w:widowControl w:val="0"/>
        <w:spacing w:line="240" w:lineRule="atLeast"/>
        <w:ind w:left="1079" w:leftChars="257" w:hanging="540"/>
        <w:rPr>
          <w:rFonts w:hAnsi="宋体" w:cs="宋体"/>
          <w:color w:val="auto"/>
          <w:sz w:val="24"/>
          <w:szCs w:val="24"/>
          <w:highlight w:val="none"/>
        </w:rPr>
      </w:pPr>
      <w:r>
        <w:rPr>
          <w:rFonts w:hint="eastAsia" w:hAnsi="宋体" w:cs="宋体"/>
          <w:color w:val="auto"/>
          <w:sz w:val="24"/>
          <w:szCs w:val="24"/>
          <w:highlight w:val="none"/>
        </w:rPr>
        <w:t>签字人签名：</w:t>
      </w:r>
    </w:p>
    <w:p w14:paraId="224D95E1">
      <w:pPr>
        <w:pStyle w:val="13"/>
        <w:widowControl w:val="0"/>
        <w:spacing w:line="240" w:lineRule="atLeast"/>
        <w:ind w:left="1079" w:leftChars="257" w:hanging="540"/>
        <w:rPr>
          <w:rFonts w:hAnsi="宋体" w:cs="宋体"/>
          <w:color w:val="auto"/>
          <w:sz w:val="24"/>
          <w:szCs w:val="24"/>
          <w:highlight w:val="none"/>
          <w:u w:val="single"/>
        </w:rPr>
      </w:pPr>
      <w:r>
        <w:rPr>
          <w:rFonts w:hint="eastAsia" w:hAnsi="宋体" w:cs="宋体"/>
          <w:color w:val="auto"/>
          <w:sz w:val="24"/>
          <w:szCs w:val="24"/>
          <w:highlight w:val="none"/>
        </w:rPr>
        <w:t>公章：</w:t>
      </w:r>
    </w:p>
    <w:p w14:paraId="69DB79C1">
      <w:pPr>
        <w:rPr>
          <w:color w:val="auto"/>
          <w:highlight w:val="none"/>
        </w:rPr>
      </w:pPr>
      <w:r>
        <w:rPr>
          <w:color w:val="auto"/>
          <w:highlight w:val="none"/>
        </w:rPr>
        <w:br w:type="page"/>
      </w:r>
    </w:p>
    <w:p w14:paraId="3F023CB4">
      <w:pPr>
        <w:pStyle w:val="2"/>
        <w:rPr>
          <w:color w:val="auto"/>
          <w:highlight w:val="none"/>
        </w:rPr>
      </w:pPr>
    </w:p>
    <w:p w14:paraId="0559317B">
      <w:pPr>
        <w:widowControl w:val="0"/>
        <w:spacing w:line="240" w:lineRule="atLeast"/>
        <w:ind w:left="1079" w:leftChars="257" w:hanging="540"/>
        <w:rPr>
          <w:rFonts w:ascii="宋体" w:hAnsi="宋体" w:cs="宋体"/>
          <w:color w:val="auto"/>
          <w:highlight w:val="none"/>
        </w:rPr>
      </w:pPr>
      <w:bookmarkStart w:id="617" w:name="_Toc27788"/>
      <w:bookmarkStart w:id="618" w:name="_Toc22540"/>
      <w:bookmarkStart w:id="619" w:name="_Toc16707"/>
      <w:bookmarkStart w:id="620" w:name="_Toc518923104"/>
      <w:bookmarkStart w:id="621" w:name="_Toc27581"/>
      <w:bookmarkStart w:id="622" w:name="_Toc21744"/>
      <w:r>
        <w:rPr>
          <w:rFonts w:hint="eastAsia" w:ascii="宋体" w:hAnsi="宋体" w:cs="宋体"/>
          <w:color w:val="auto"/>
          <w:highlight w:val="none"/>
        </w:rPr>
        <w:t>附件2：履约担保函格式</w:t>
      </w:r>
      <w:bookmarkEnd w:id="617"/>
      <w:bookmarkEnd w:id="618"/>
      <w:bookmarkEnd w:id="619"/>
      <w:bookmarkEnd w:id="620"/>
      <w:bookmarkEnd w:id="621"/>
      <w:bookmarkEnd w:id="622"/>
    </w:p>
    <w:p w14:paraId="384B3815">
      <w:pPr>
        <w:widowControl w:val="0"/>
        <w:spacing w:line="240" w:lineRule="atLeast"/>
        <w:ind w:left="1079" w:leftChars="257" w:hanging="540"/>
        <w:rPr>
          <w:rFonts w:ascii="宋体" w:hAnsi="宋体" w:cs="宋体"/>
          <w:color w:val="auto"/>
          <w:highlight w:val="none"/>
        </w:rPr>
      </w:pPr>
      <w:bookmarkStart w:id="623" w:name="_Toc515647801"/>
      <w:bookmarkStart w:id="624" w:name="_Toc7209"/>
      <w:bookmarkStart w:id="625" w:name="_Toc162"/>
      <w:bookmarkStart w:id="626" w:name="_Toc13962"/>
      <w:bookmarkStart w:id="627" w:name="_Toc32574"/>
      <w:bookmarkStart w:id="628" w:name="_Toc9735"/>
      <w:r>
        <w:rPr>
          <w:rFonts w:hint="eastAsia" w:ascii="宋体" w:hAnsi="宋体" w:cs="宋体"/>
          <w:color w:val="auto"/>
          <w:highlight w:val="none"/>
        </w:rPr>
        <w:t>（采用政府采购信用担保形式时使用）</w:t>
      </w:r>
      <w:bookmarkEnd w:id="623"/>
      <w:bookmarkEnd w:id="624"/>
      <w:bookmarkEnd w:id="625"/>
      <w:bookmarkEnd w:id="626"/>
      <w:bookmarkEnd w:id="627"/>
      <w:bookmarkEnd w:id="628"/>
    </w:p>
    <w:p w14:paraId="12E6F88A">
      <w:pPr>
        <w:widowControl w:val="0"/>
        <w:spacing w:line="240" w:lineRule="atLeast"/>
        <w:ind w:left="1079" w:leftChars="257" w:hanging="540"/>
        <w:rPr>
          <w:rFonts w:ascii="宋体" w:hAnsi="宋体" w:cs="宋体"/>
          <w:b/>
          <w:color w:val="auto"/>
          <w:kern w:val="0"/>
          <w:sz w:val="24"/>
          <w:szCs w:val="20"/>
          <w:highlight w:val="none"/>
        </w:rPr>
      </w:pPr>
    </w:p>
    <w:p w14:paraId="4DF9AA59">
      <w:pPr>
        <w:widowControl w:val="0"/>
        <w:jc w:val="center"/>
        <w:rPr>
          <w:rFonts w:ascii="宋体" w:hAnsi="宋体" w:cs="宋体"/>
          <w:color w:val="auto"/>
          <w:sz w:val="24"/>
          <w:highlight w:val="none"/>
        </w:rPr>
      </w:pPr>
      <w:r>
        <w:rPr>
          <w:rFonts w:hint="eastAsia" w:ascii="宋体" w:hAnsi="宋体" w:cs="宋体"/>
          <w:color w:val="auto"/>
          <w:sz w:val="24"/>
          <w:highlight w:val="none"/>
        </w:rPr>
        <w:t>政府采购履约担保函（项目用）</w:t>
      </w:r>
    </w:p>
    <w:p w14:paraId="239D478B">
      <w:pPr>
        <w:widowControl w:val="0"/>
        <w:rPr>
          <w:rFonts w:ascii="宋体" w:hAnsi="宋体" w:cs="宋体"/>
          <w:color w:val="auto"/>
          <w:sz w:val="24"/>
          <w:highlight w:val="none"/>
        </w:rPr>
      </w:pPr>
      <w:r>
        <w:rPr>
          <w:rFonts w:hint="eastAsia" w:ascii="宋体" w:hAnsi="宋体" w:cs="宋体"/>
          <w:color w:val="auto"/>
          <w:sz w:val="24"/>
          <w:highlight w:val="none"/>
        </w:rPr>
        <w:t xml:space="preserve">                                                   编号：</w:t>
      </w:r>
    </w:p>
    <w:p w14:paraId="2348059C">
      <w:pPr>
        <w:widowControl w:val="0"/>
        <w:rPr>
          <w:rFonts w:ascii="宋体" w:hAnsi="宋体" w:cs="宋体"/>
          <w:color w:val="auto"/>
          <w:sz w:val="24"/>
          <w:highlight w:val="none"/>
        </w:rPr>
      </w:pPr>
    </w:p>
    <w:p w14:paraId="7BC0E76D">
      <w:pPr>
        <w:widowControl w:val="0"/>
        <w:rPr>
          <w:rFonts w:ascii="宋体" w:hAnsi="宋体" w:cs="宋体"/>
          <w:color w:val="auto"/>
          <w:sz w:val="24"/>
          <w:highlight w:val="none"/>
        </w:rPr>
      </w:pPr>
      <w:r>
        <w:rPr>
          <w:rFonts w:hint="eastAsia" w:ascii="宋体" w:hAnsi="宋体" w:cs="宋体"/>
          <w:color w:val="auto"/>
          <w:sz w:val="24"/>
          <w:highlight w:val="none"/>
        </w:rPr>
        <w:t>（采购人）：</w:t>
      </w:r>
    </w:p>
    <w:p w14:paraId="030EB686">
      <w:pPr>
        <w:widowControl w:val="0"/>
        <w:rPr>
          <w:rFonts w:ascii="宋体" w:hAnsi="宋体" w:cs="宋体"/>
          <w:color w:val="auto"/>
          <w:sz w:val="24"/>
          <w:highlight w:val="none"/>
        </w:rPr>
      </w:pPr>
    </w:p>
    <w:p w14:paraId="325C7351">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鉴于你方与（以下简称供应商）于年月日签定编号为</w:t>
      </w:r>
      <w:r>
        <w:rPr>
          <w:rFonts w:hint="eastAsia" w:ascii="宋体" w:hAnsi="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的《政府采购合同》（以下简称主合同），且依据该合同的约定，供应商应在年</w:t>
      </w:r>
    </w:p>
    <w:p w14:paraId="329865F7">
      <w:pPr>
        <w:widowControl w:val="0"/>
        <w:rPr>
          <w:rFonts w:ascii="宋体" w:hAnsi="宋体" w:cs="宋体"/>
          <w:color w:val="auto"/>
          <w:sz w:val="24"/>
          <w:highlight w:val="none"/>
        </w:rPr>
      </w:pPr>
      <w:r>
        <w:rPr>
          <w:rFonts w:hint="eastAsia" w:ascii="宋体" w:hAnsi="宋体" w:cs="宋体"/>
          <w:color w:val="auto"/>
          <w:sz w:val="24"/>
          <w:highlight w:val="none"/>
        </w:rPr>
        <w:t>月日前向你方交纳履约保证金，且可以履约担保函的形式交纳履约保证金。应供应商的申请，我方以保证的方式向你方提供如下履约保证金担保：</w:t>
      </w:r>
    </w:p>
    <w:p w14:paraId="62EE2082">
      <w:pPr>
        <w:widowControl w:val="0"/>
        <w:ind w:firstLine="480" w:firstLineChars="200"/>
        <w:rPr>
          <w:rFonts w:ascii="宋体" w:hAnsi="宋体" w:cs="宋体"/>
          <w:color w:val="auto"/>
          <w:sz w:val="24"/>
          <w:highlight w:val="none"/>
        </w:rPr>
      </w:pPr>
      <w:bookmarkStart w:id="629" w:name="_Toc16807"/>
      <w:r>
        <w:rPr>
          <w:rFonts w:hint="eastAsia" w:ascii="宋体" w:hAnsi="宋体" w:cs="宋体"/>
          <w:color w:val="auto"/>
          <w:sz w:val="24"/>
          <w:highlight w:val="none"/>
        </w:rPr>
        <w:t>一、保证责任的情形及保证金额</w:t>
      </w:r>
      <w:bookmarkEnd w:id="629"/>
    </w:p>
    <w:p w14:paraId="7C9A477B">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14:paraId="3A761EEB">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1．将中标项目转让给他人，或者在投标文件中未说明，且未经采购招标机构人同意，将中标项目分包给他人的；</w:t>
      </w:r>
    </w:p>
    <w:p w14:paraId="1BD4FCC6">
      <w:pPr>
        <w:widowControl w:val="0"/>
        <w:rPr>
          <w:rFonts w:ascii="宋体" w:hAnsi="宋体" w:cs="宋体"/>
          <w:color w:val="auto"/>
          <w:sz w:val="24"/>
          <w:highlight w:val="none"/>
        </w:rPr>
      </w:pPr>
      <w:r>
        <w:rPr>
          <w:rFonts w:hint="eastAsia" w:ascii="宋体" w:hAnsi="宋体" w:cs="宋体"/>
          <w:color w:val="auto"/>
          <w:sz w:val="24"/>
          <w:highlight w:val="none"/>
        </w:rPr>
        <w:t>　　</w:t>
      </w:r>
      <w:bookmarkStart w:id="630" w:name="_Toc806"/>
      <w:bookmarkStart w:id="631" w:name="_Toc2434"/>
      <w:bookmarkStart w:id="632" w:name="_Toc30650"/>
      <w:r>
        <w:rPr>
          <w:rFonts w:hint="eastAsia" w:ascii="宋体" w:hAnsi="宋体" w:cs="宋体"/>
          <w:color w:val="auto"/>
          <w:sz w:val="24"/>
          <w:highlight w:val="none"/>
        </w:rPr>
        <w:t>2．主合同约定的应当缴纳履约保证金的情形:</w:t>
      </w:r>
      <w:bookmarkEnd w:id="630"/>
      <w:bookmarkEnd w:id="631"/>
      <w:bookmarkEnd w:id="632"/>
    </w:p>
    <w:p w14:paraId="6E052ED1">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14:paraId="08473876">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rPr>
        <w:t>。</w:t>
      </w:r>
    </w:p>
    <w:p w14:paraId="2E1C19DC">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（二）我方的保证范围是主合同约定的合同价款总额的%数额为元（大写），币种为。（即主合同履约保证金金额）</w:t>
      </w:r>
    </w:p>
    <w:p w14:paraId="0F876EBB">
      <w:pPr>
        <w:widowControl w:val="0"/>
        <w:ind w:firstLine="480" w:firstLineChars="200"/>
        <w:rPr>
          <w:rFonts w:ascii="宋体" w:hAnsi="宋体" w:cs="宋体"/>
          <w:color w:val="auto"/>
          <w:sz w:val="24"/>
          <w:highlight w:val="none"/>
        </w:rPr>
      </w:pPr>
      <w:bookmarkStart w:id="633" w:name="_Toc16733"/>
      <w:r>
        <w:rPr>
          <w:rFonts w:hint="eastAsia" w:ascii="宋体" w:hAnsi="宋体" w:cs="宋体"/>
          <w:color w:val="auto"/>
          <w:sz w:val="24"/>
          <w:highlight w:val="none"/>
        </w:rPr>
        <w:t>二、保证的方式及保证期间</w:t>
      </w:r>
      <w:bookmarkEnd w:id="633"/>
    </w:p>
    <w:p w14:paraId="6949EB7D">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我方保证的方式为：连带责任保证。</w:t>
      </w:r>
    </w:p>
    <w:p w14:paraId="311A0443">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我方保证的期间为：自本合同生效之日起至供应商按照主合同约定的供货/完工期限届满后日内。</w:t>
      </w:r>
    </w:p>
    <w:p w14:paraId="7B62BE58">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14:paraId="4F1A5986">
      <w:pPr>
        <w:widowControl w:val="0"/>
        <w:ind w:firstLine="480" w:firstLineChars="200"/>
        <w:rPr>
          <w:rFonts w:ascii="宋体" w:hAnsi="宋体" w:cs="宋体"/>
          <w:color w:val="auto"/>
          <w:sz w:val="24"/>
          <w:highlight w:val="none"/>
        </w:rPr>
      </w:pPr>
      <w:bookmarkStart w:id="634" w:name="_Toc19668"/>
      <w:r>
        <w:rPr>
          <w:rFonts w:hint="eastAsia" w:ascii="宋体" w:hAnsi="宋体" w:cs="宋体"/>
          <w:color w:val="auto"/>
          <w:sz w:val="24"/>
          <w:highlight w:val="none"/>
        </w:rPr>
        <w:t>三、承担保证责任的程序</w:t>
      </w:r>
      <w:bookmarkEnd w:id="634"/>
    </w:p>
    <w:p w14:paraId="0CBA08B3">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19C5665C">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516E7DDB">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 我方收到你方的书面索赔通知及相应证明材料，在工作日内进行核定后按照本保函的承诺承担保证责任。</w:t>
      </w:r>
    </w:p>
    <w:p w14:paraId="7A903CB8">
      <w:pPr>
        <w:widowControl w:val="0"/>
        <w:ind w:firstLine="480" w:firstLineChars="200"/>
        <w:rPr>
          <w:rFonts w:ascii="宋体" w:hAnsi="宋体" w:cs="宋体"/>
          <w:color w:val="auto"/>
          <w:sz w:val="24"/>
          <w:highlight w:val="none"/>
        </w:rPr>
      </w:pPr>
      <w:bookmarkStart w:id="635" w:name="_Toc11641"/>
      <w:r>
        <w:rPr>
          <w:rFonts w:hint="eastAsia" w:ascii="宋体" w:hAnsi="宋体" w:cs="宋体"/>
          <w:color w:val="auto"/>
          <w:sz w:val="24"/>
          <w:highlight w:val="none"/>
        </w:rPr>
        <w:t>四、保证责任的终止</w:t>
      </w:r>
      <w:bookmarkEnd w:id="635"/>
    </w:p>
    <w:p w14:paraId="52A6B4E0">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756B8D6">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14:paraId="44BD2A3E">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3．按照法律法规的规定或出现应终止我方保证责任的其它情形的，我方在本保函项下的保证责任亦终止。</w:t>
      </w:r>
    </w:p>
    <w:p w14:paraId="7285E356">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02A0DF6">
      <w:pPr>
        <w:widowControl w:val="0"/>
        <w:ind w:firstLine="480" w:firstLineChars="200"/>
        <w:rPr>
          <w:rFonts w:ascii="宋体" w:hAnsi="宋体" w:cs="宋体"/>
          <w:color w:val="auto"/>
          <w:sz w:val="24"/>
          <w:highlight w:val="none"/>
        </w:rPr>
      </w:pPr>
      <w:bookmarkStart w:id="636" w:name="_Toc3542"/>
      <w:r>
        <w:rPr>
          <w:rFonts w:hint="eastAsia" w:ascii="宋体" w:hAnsi="宋体" w:cs="宋体"/>
          <w:color w:val="auto"/>
          <w:sz w:val="24"/>
          <w:highlight w:val="none"/>
        </w:rPr>
        <w:t>五、免责条款</w:t>
      </w:r>
      <w:bookmarkEnd w:id="636"/>
    </w:p>
    <w:p w14:paraId="298858D4">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14:paraId="6D5AAAB3">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14:paraId="3655B634">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14:paraId="2D355A6C">
      <w:pPr>
        <w:widowControl w:val="0"/>
        <w:ind w:firstLine="480" w:firstLineChars="200"/>
        <w:rPr>
          <w:rFonts w:ascii="宋体" w:hAnsi="宋体" w:cs="宋体"/>
          <w:color w:val="auto"/>
          <w:sz w:val="24"/>
          <w:highlight w:val="none"/>
        </w:rPr>
      </w:pPr>
      <w:bookmarkStart w:id="637" w:name="_Toc908"/>
      <w:r>
        <w:rPr>
          <w:rFonts w:hint="eastAsia" w:ascii="宋体" w:hAnsi="宋体" w:cs="宋体"/>
          <w:color w:val="auto"/>
          <w:sz w:val="24"/>
          <w:highlight w:val="none"/>
        </w:rPr>
        <w:t>六、争议的解决</w:t>
      </w:r>
      <w:bookmarkEnd w:id="637"/>
    </w:p>
    <w:p w14:paraId="354B44FE">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因本保函发生的纠纷，由你我双方协商解决，协商不成的，通过诉讼程序解决，诉讼管辖地法院为法院。</w:t>
      </w:r>
    </w:p>
    <w:p w14:paraId="768F5495">
      <w:pPr>
        <w:widowControl w:val="0"/>
        <w:ind w:firstLine="480" w:firstLineChars="200"/>
        <w:rPr>
          <w:rFonts w:ascii="宋体" w:hAnsi="宋体" w:cs="宋体"/>
          <w:color w:val="auto"/>
          <w:sz w:val="24"/>
          <w:highlight w:val="none"/>
        </w:rPr>
      </w:pPr>
      <w:bookmarkStart w:id="638" w:name="_Toc17651"/>
      <w:r>
        <w:rPr>
          <w:rFonts w:hint="eastAsia" w:ascii="宋体" w:hAnsi="宋体" w:cs="宋体"/>
          <w:color w:val="auto"/>
          <w:sz w:val="24"/>
          <w:highlight w:val="none"/>
        </w:rPr>
        <w:t>七、保函的生效</w:t>
      </w:r>
      <w:bookmarkEnd w:id="638"/>
    </w:p>
    <w:p w14:paraId="3011C124">
      <w:pPr>
        <w:widowControl w:val="0"/>
        <w:ind w:firstLine="480" w:firstLineChars="200"/>
        <w:rPr>
          <w:rFonts w:ascii="宋体" w:hAnsi="宋体" w:cs="宋体"/>
          <w:color w:val="auto"/>
          <w:sz w:val="24"/>
          <w:highlight w:val="none"/>
        </w:rPr>
      </w:pPr>
      <w:r>
        <w:rPr>
          <w:rFonts w:hint="eastAsia" w:ascii="宋体" w:hAnsi="宋体" w:cs="宋体"/>
          <w:color w:val="auto"/>
          <w:sz w:val="24"/>
          <w:highlight w:val="none"/>
        </w:rPr>
        <w:t>本保函自我方加盖公章之日起生效。</w:t>
      </w:r>
    </w:p>
    <w:p w14:paraId="406B2FDB">
      <w:pPr>
        <w:pStyle w:val="20"/>
        <w:rPr>
          <w:rFonts w:ascii="宋体" w:hAnsi="宋体" w:cs="宋体"/>
          <w:color w:val="auto"/>
          <w:sz w:val="24"/>
          <w:highlight w:val="none"/>
        </w:rPr>
      </w:pPr>
    </w:p>
    <w:p w14:paraId="6B8CFB00">
      <w:pPr>
        <w:pStyle w:val="2"/>
        <w:rPr>
          <w:color w:val="auto"/>
          <w:highlight w:val="none"/>
        </w:rPr>
      </w:pPr>
    </w:p>
    <w:p w14:paraId="3D4E53BE">
      <w:pPr>
        <w:widowControl w:val="0"/>
        <w:rPr>
          <w:rFonts w:ascii="宋体" w:hAnsi="宋体" w:cs="宋体"/>
          <w:color w:val="auto"/>
          <w:sz w:val="24"/>
          <w:highlight w:val="none"/>
        </w:rPr>
      </w:pPr>
    </w:p>
    <w:p w14:paraId="560FC602">
      <w:pPr>
        <w:widowControl w:val="0"/>
        <w:rPr>
          <w:rFonts w:ascii="宋体" w:hAnsi="宋体" w:cs="宋体"/>
          <w:color w:val="auto"/>
          <w:sz w:val="24"/>
          <w:highlight w:val="none"/>
        </w:rPr>
      </w:pPr>
    </w:p>
    <w:p w14:paraId="472CE771">
      <w:pPr>
        <w:widowControl w:val="0"/>
        <w:ind w:left="5040" w:leftChars="0" w:firstLine="420" w:firstLineChars="0"/>
        <w:rPr>
          <w:rFonts w:ascii="宋体" w:hAnsi="宋体" w:cs="宋体"/>
          <w:color w:val="auto"/>
          <w:sz w:val="24"/>
          <w:highlight w:val="none"/>
        </w:rPr>
      </w:pPr>
      <w:r>
        <w:rPr>
          <w:rFonts w:hint="eastAsia" w:ascii="宋体" w:hAnsi="宋体" w:cs="宋体"/>
          <w:color w:val="auto"/>
          <w:sz w:val="24"/>
          <w:highlight w:val="none"/>
        </w:rPr>
        <w:t>保证人：（公章）</w:t>
      </w:r>
    </w:p>
    <w:p w14:paraId="2D74B943">
      <w:pPr>
        <w:widowControl w:val="0"/>
        <w:ind w:left="5040" w:leftChars="0" w:firstLine="420" w:firstLineChars="0"/>
        <w:rPr>
          <w:rFonts w:ascii="宋体" w:hAnsi="宋体" w:cs="宋体"/>
          <w:color w:val="auto"/>
          <w:sz w:val="24"/>
          <w:highlight w:val="none"/>
        </w:rPr>
      </w:pPr>
      <w:r>
        <w:rPr>
          <w:rFonts w:hint="eastAsia" w:ascii="宋体" w:hAnsi="宋体" w:cs="宋体"/>
          <w:color w:val="auto"/>
          <w:sz w:val="24"/>
          <w:highlight w:val="none"/>
        </w:rPr>
        <w:t>年     月      日</w:t>
      </w:r>
    </w:p>
    <w:p w14:paraId="1CA28614">
      <w:pPr>
        <w:widowControl w:val="0"/>
        <w:rPr>
          <w:rFonts w:ascii="宋体" w:hAnsi="宋体" w:cs="宋体"/>
          <w:color w:val="auto"/>
          <w:sz w:val="24"/>
          <w:highlight w:val="none"/>
        </w:rPr>
      </w:pPr>
    </w:p>
    <w:p w14:paraId="4647EF3C">
      <w:pPr>
        <w:rPr>
          <w:color w:val="auto"/>
          <w:highlight w:val="none"/>
        </w:rPr>
      </w:pPr>
      <w:r>
        <w:rPr>
          <w:rFonts w:ascii="仿宋_GB2312" w:hAnsi="仿宋_GB2312" w:eastAsia="仿宋_GB2312" w:cs="仿宋_GB2312"/>
          <w:b/>
          <w:color w:val="auto"/>
          <w:sz w:val="44"/>
          <w:szCs w:val="44"/>
          <w:highlight w:val="none"/>
        </w:rPr>
        <w:br w:type="page"/>
      </w:r>
    </w:p>
    <w:p w14:paraId="4B823C36">
      <w:pPr>
        <w:rPr>
          <w:rFonts w:hint="eastAsia"/>
          <w:color w:val="auto"/>
          <w:highlight w:val="none"/>
        </w:rPr>
      </w:pPr>
    </w:p>
    <w:p w14:paraId="65323EC3">
      <w:pPr>
        <w:rPr>
          <w:rFonts w:hint="eastAsia" w:ascii="仿宋_GB2312" w:hAnsi="仿宋_GB2312" w:eastAsia="仿宋_GB2312" w:cs="仿宋_GB2312"/>
          <w:color w:val="auto"/>
          <w:kern w:val="0"/>
          <w:sz w:val="44"/>
          <w:szCs w:val="44"/>
          <w:highlight w:val="none"/>
        </w:rPr>
      </w:pPr>
    </w:p>
    <w:p w14:paraId="7AE54392">
      <w:pPr>
        <w:pStyle w:val="3"/>
        <w:tabs>
          <w:tab w:val="left" w:pos="0"/>
        </w:tabs>
        <w:spacing w:before="0" w:after="0" w:line="240" w:lineRule="atLeast"/>
        <w:rPr>
          <w:rFonts w:ascii="仿宋_GB2312" w:hAnsi="仿宋_GB2312" w:eastAsia="仿宋_GB2312" w:cs="仿宋_GB2312"/>
          <w:color w:val="auto"/>
          <w:sz w:val="44"/>
          <w:szCs w:val="44"/>
          <w:highlight w:val="none"/>
        </w:rPr>
      </w:pPr>
      <w:bookmarkStart w:id="639" w:name="_Toc29173"/>
      <w:r>
        <w:rPr>
          <w:rFonts w:hint="eastAsia" w:ascii="仿宋_GB2312" w:hAnsi="仿宋_GB2312" w:eastAsia="仿宋_GB2312" w:cs="仿宋_GB2312"/>
          <w:color w:val="auto"/>
          <w:kern w:val="0"/>
          <w:sz w:val="44"/>
          <w:szCs w:val="44"/>
          <w:highlight w:val="none"/>
        </w:rPr>
        <w:t>第二章</w:t>
      </w:r>
      <w:r>
        <w:rPr>
          <w:rFonts w:hint="eastAsia" w:ascii="仿宋_GB2312" w:hAnsi="仿宋_GB2312" w:eastAsia="仿宋_GB2312" w:cs="仿宋_GB2312"/>
          <w:color w:val="auto"/>
          <w:sz w:val="44"/>
          <w:szCs w:val="44"/>
          <w:highlight w:val="none"/>
        </w:rPr>
        <w:t xml:space="preserve">  投标文件格式</w:t>
      </w:r>
      <w:bookmarkEnd w:id="639"/>
    </w:p>
    <w:p w14:paraId="19907C78">
      <w:pPr>
        <w:rPr>
          <w:color w:val="auto"/>
          <w:sz w:val="20"/>
          <w:highlight w:val="none"/>
        </w:rPr>
      </w:pPr>
    </w:p>
    <w:p w14:paraId="1A161836">
      <w:pPr>
        <w:rPr>
          <w:color w:val="auto"/>
          <w:highlight w:val="none"/>
        </w:rPr>
      </w:pPr>
      <w:bookmarkStart w:id="640" w:name="_Toc15142"/>
      <w:bookmarkStart w:id="641" w:name="_Toc518923107"/>
    </w:p>
    <w:p w14:paraId="4E6A2C3C">
      <w:pPr>
        <w:pStyle w:val="4"/>
        <w:spacing w:before="0" w:line="240" w:lineRule="atLeast"/>
        <w:ind w:left="1079" w:leftChars="257" w:hanging="540"/>
        <w:rPr>
          <w:rFonts w:ascii="仿宋_GB2312" w:hAnsi="宋体" w:eastAsia="仿宋_GB2312"/>
          <w:color w:val="auto"/>
          <w:sz w:val="24"/>
          <w:highlight w:val="none"/>
        </w:rPr>
      </w:pPr>
      <w:bookmarkStart w:id="642" w:name="_Toc10047"/>
      <w:bookmarkStart w:id="643" w:name="_Toc13309"/>
      <w:bookmarkStart w:id="644" w:name="_Toc21312"/>
      <w:bookmarkStart w:id="645" w:name="_Toc7162"/>
      <w:bookmarkStart w:id="646" w:name="_Toc378"/>
      <w:bookmarkStart w:id="647" w:name="_Toc8875"/>
      <w:bookmarkStart w:id="648" w:name="_Toc11730"/>
      <w:bookmarkStart w:id="649" w:name="_Toc14363"/>
      <w:bookmarkStart w:id="650" w:name="_Toc24822"/>
      <w:bookmarkStart w:id="651" w:name="_Toc11201"/>
      <w:r>
        <w:rPr>
          <w:rFonts w:ascii="仿宋_GB2312" w:hAnsi="宋体" w:eastAsia="仿宋_GB2312"/>
          <w:color w:val="auto"/>
          <w:sz w:val="24"/>
          <w:highlight w:val="none"/>
        </w:rPr>
        <w:t>第一部分</w:t>
      </w:r>
      <w:r>
        <w:rPr>
          <w:rFonts w:hint="eastAsia" w:ascii="仿宋_GB2312" w:hAnsi="宋体" w:eastAsia="仿宋_GB2312"/>
          <w:color w:val="auto"/>
          <w:sz w:val="24"/>
          <w:highlight w:val="none"/>
        </w:rPr>
        <w:t xml:space="preserve"> 开标一览表及资格证明文件</w:t>
      </w:r>
      <w:bookmarkEnd w:id="640"/>
      <w:bookmarkEnd w:id="641"/>
      <w:bookmarkEnd w:id="642"/>
      <w:bookmarkEnd w:id="643"/>
      <w:bookmarkEnd w:id="644"/>
      <w:bookmarkEnd w:id="645"/>
      <w:bookmarkEnd w:id="646"/>
      <w:bookmarkEnd w:id="647"/>
      <w:bookmarkEnd w:id="648"/>
      <w:bookmarkEnd w:id="649"/>
      <w:bookmarkEnd w:id="650"/>
      <w:bookmarkEnd w:id="651"/>
    </w:p>
    <w:p w14:paraId="21A83D04">
      <w:pPr>
        <w:spacing w:line="288" w:lineRule="auto"/>
        <w:rPr>
          <w:rFonts w:ascii="仿宋_GB2312" w:hAnsi="仿宋_GB2312" w:eastAsia="仿宋_GB2312" w:cs="仿宋_GB2312"/>
          <w:color w:val="auto"/>
          <w:sz w:val="24"/>
          <w:highlight w:val="none"/>
        </w:rPr>
      </w:pPr>
    </w:p>
    <w:p w14:paraId="3256683A">
      <w:pPr>
        <w:spacing w:line="240" w:lineRule="atLeast"/>
        <w:ind w:left="708" w:hanging="708" w:hangingChars="295"/>
        <w:jc w:val="center"/>
        <w:rPr>
          <w:rFonts w:ascii="仿宋_GB2312" w:hAnsi="宋体" w:eastAsia="仿宋_GB2312"/>
          <w:color w:val="auto"/>
          <w:sz w:val="24"/>
          <w:highlight w:val="none"/>
        </w:rPr>
      </w:pPr>
    </w:p>
    <w:p w14:paraId="012C974F">
      <w:pPr>
        <w:pStyle w:val="13"/>
        <w:spacing w:line="288"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1、开标一览表</w:t>
      </w:r>
    </w:p>
    <w:p w14:paraId="6AAA107B">
      <w:pPr>
        <w:pStyle w:val="13"/>
        <w:spacing w:line="288"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2、法人或者非法人组织的营业执照等证明文件</w:t>
      </w:r>
    </w:p>
    <w:p w14:paraId="34738013">
      <w:pPr>
        <w:pStyle w:val="13"/>
        <w:spacing w:line="288"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3、法定代表人身份证明</w:t>
      </w:r>
    </w:p>
    <w:p w14:paraId="1690E4D3">
      <w:pPr>
        <w:pStyle w:val="13"/>
        <w:spacing w:line="288"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4、法定代表人授权委托书</w:t>
      </w:r>
    </w:p>
    <w:p w14:paraId="6591AD93">
      <w:pPr>
        <w:pStyle w:val="13"/>
        <w:spacing w:line="288"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5、投标保证金缴纳凭证复印件</w:t>
      </w:r>
      <w:r>
        <w:rPr>
          <w:rFonts w:hint="eastAsia" w:ascii="仿宋_GB2312" w:hAnsi="仿宋" w:eastAsia="仿宋_GB2312"/>
          <w:color w:val="auto"/>
          <w:sz w:val="24"/>
          <w:highlight w:val="none"/>
        </w:rPr>
        <w:t>或银行保函复印件</w:t>
      </w:r>
    </w:p>
    <w:p w14:paraId="4800DE57">
      <w:pPr>
        <w:pStyle w:val="13"/>
        <w:spacing w:line="288" w:lineRule="auto"/>
        <w:ind w:left="478" w:leftChars="228" w:firstLine="0" w:firstLineChars="0"/>
        <w:jc w:val="left"/>
        <w:rPr>
          <w:rFonts w:hint="default"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rPr>
        <w:t>6、社会保障资金的缴纳记录</w:t>
      </w:r>
    </w:p>
    <w:p w14:paraId="58C7CEAE">
      <w:pPr>
        <w:pStyle w:val="13"/>
        <w:spacing w:line="288"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7、良好的商业信誉和健全的财务会计制度证明材料</w:t>
      </w:r>
    </w:p>
    <w:p w14:paraId="432EDCF6">
      <w:pPr>
        <w:pStyle w:val="13"/>
        <w:spacing w:line="288" w:lineRule="auto"/>
        <w:ind w:left="478" w:leftChars="228" w:firstLine="0" w:firstLineChars="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8、依法缴纳税收的证明</w:t>
      </w:r>
    </w:p>
    <w:p w14:paraId="048A7CB9">
      <w:pPr>
        <w:pStyle w:val="13"/>
        <w:spacing w:line="288"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9、参加政府采购活动前3年内在经营活动中没有重大违法记录的书面声明及反商业受贿承诺</w:t>
      </w:r>
    </w:p>
    <w:p w14:paraId="30AC48EF">
      <w:pPr>
        <w:pStyle w:val="13"/>
        <w:spacing w:line="288"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10、投标人须知资料表要求的其他资格证明文件</w:t>
      </w:r>
    </w:p>
    <w:p w14:paraId="1DC6FD38">
      <w:pPr>
        <w:rPr>
          <w:color w:val="auto"/>
          <w:highlight w:val="none"/>
        </w:rPr>
      </w:pPr>
      <w:r>
        <w:rPr>
          <w:rFonts w:ascii="仿宋_GB2312" w:hAnsi="仿宋_GB2312" w:eastAsia="仿宋_GB2312" w:cs="仿宋_GB2312"/>
          <w:color w:val="auto"/>
          <w:sz w:val="24"/>
          <w:highlight w:val="none"/>
        </w:rPr>
        <w:br w:type="page"/>
      </w:r>
    </w:p>
    <w:p w14:paraId="5749D771">
      <w:pPr>
        <w:pStyle w:val="5"/>
        <w:spacing w:before="0" w:after="0" w:line="288" w:lineRule="auto"/>
        <w:ind w:left="1078" w:leftChars="257" w:hanging="539"/>
        <w:jc w:val="center"/>
        <w:rPr>
          <w:rFonts w:ascii="仿宋_GB2312" w:hAnsi="仿宋_GB2312" w:eastAsia="仿宋_GB2312" w:cs="仿宋_GB2312"/>
          <w:color w:val="auto"/>
          <w:highlight w:val="none"/>
          <w:u w:val="none"/>
        </w:rPr>
      </w:pPr>
      <w:bookmarkStart w:id="652" w:name="_Toc4959"/>
      <w:bookmarkStart w:id="653" w:name="_Toc16568"/>
      <w:bookmarkStart w:id="654" w:name="_Toc18565"/>
      <w:bookmarkStart w:id="655" w:name="_Toc9428"/>
      <w:bookmarkStart w:id="656" w:name="_Toc9159"/>
      <w:bookmarkStart w:id="657" w:name="_Toc29905"/>
      <w:bookmarkStart w:id="658" w:name="_Toc9681"/>
      <w:bookmarkStart w:id="659" w:name="_Toc14603"/>
      <w:bookmarkStart w:id="660" w:name="_Toc32488"/>
      <w:bookmarkStart w:id="661" w:name="_Toc30524"/>
      <w:bookmarkStart w:id="662" w:name="_Toc2495"/>
      <w:bookmarkStart w:id="663" w:name="_Toc515647804"/>
      <w:bookmarkStart w:id="664" w:name="_Toc14309"/>
      <w:bookmarkStart w:id="665" w:name="_Toc2776"/>
      <w:r>
        <w:rPr>
          <w:rFonts w:hint="eastAsia" w:ascii="仿宋_GB2312" w:hAnsi="仿宋_GB2312" w:eastAsia="仿宋_GB2312" w:cs="仿宋_GB2312"/>
          <w:color w:val="auto"/>
          <w:highlight w:val="none"/>
          <w:u w:val="none"/>
        </w:rPr>
        <w:t>1  开标一览表</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77468BF1">
      <w:pPr>
        <w:pStyle w:val="13"/>
        <w:tabs>
          <w:tab w:val="left" w:pos="5580"/>
        </w:tabs>
        <w:spacing w:line="288" w:lineRule="auto"/>
        <w:ind w:left="268" w:leftChars="128"/>
        <w:rPr>
          <w:rFonts w:ascii="仿宋_GB2312" w:hAnsi="仿宋_GB2312" w:eastAsia="仿宋_GB2312" w:cs="仿宋_GB2312"/>
          <w:color w:val="auto"/>
          <w:sz w:val="24"/>
          <w:highlight w:val="none"/>
        </w:rPr>
      </w:pPr>
    </w:p>
    <w:p w14:paraId="707909B9">
      <w:pPr>
        <w:pStyle w:val="13"/>
        <w:tabs>
          <w:tab w:val="left" w:pos="5580"/>
        </w:tabs>
        <w:spacing w:line="288" w:lineRule="auto"/>
        <w:ind w:left="268" w:leftChars="128"/>
        <w:rPr>
          <w:rFonts w:ascii="仿宋_GB2312" w:hAnsi="仿宋_GB2312" w:eastAsia="仿宋_GB2312" w:cs="仿宋_GB2312"/>
          <w:color w:val="auto"/>
          <w:sz w:val="24"/>
          <w:szCs w:val="24"/>
          <w:highlight w:val="none"/>
        </w:rPr>
      </w:pPr>
    </w:p>
    <w:p w14:paraId="2FA5B806">
      <w:pPr>
        <w:pStyle w:val="20"/>
        <w:spacing w:line="288" w:lineRule="auto"/>
        <w:rPr>
          <w:color w:val="auto"/>
          <w:sz w:val="24"/>
          <w:highlight w:val="none"/>
        </w:rPr>
      </w:pPr>
      <w:bookmarkStart w:id="666" w:name="_Hlt520356241"/>
      <w:bookmarkEnd w:id="666"/>
      <w:r>
        <w:rPr>
          <w:rFonts w:hint="eastAsia"/>
          <w:color w:val="auto"/>
          <w:sz w:val="24"/>
          <w:highlight w:val="none"/>
        </w:rPr>
        <w:t>项目名称：</w:t>
      </w:r>
    </w:p>
    <w:p w14:paraId="56187724">
      <w:pPr>
        <w:pStyle w:val="20"/>
        <w:spacing w:line="288" w:lineRule="auto"/>
        <w:rPr>
          <w:color w:val="auto"/>
          <w:sz w:val="24"/>
          <w:highlight w:val="none"/>
        </w:rPr>
      </w:pPr>
      <w:r>
        <w:rPr>
          <w:rFonts w:hint="eastAsia"/>
          <w:color w:val="auto"/>
          <w:sz w:val="24"/>
          <w:highlight w:val="none"/>
        </w:rPr>
        <w:t>项目编号：</w:t>
      </w:r>
    </w:p>
    <w:p w14:paraId="1B114821">
      <w:pPr>
        <w:pStyle w:val="20"/>
        <w:spacing w:line="288" w:lineRule="auto"/>
        <w:jc w:val="right"/>
        <w:rPr>
          <w:rFonts w:hint="eastAsia"/>
          <w:color w:val="auto"/>
          <w:sz w:val="24"/>
          <w:highlight w:val="none"/>
        </w:rPr>
      </w:pPr>
      <w:r>
        <w:rPr>
          <w:rFonts w:hint="eastAsia"/>
          <w:color w:val="auto"/>
          <w:sz w:val="24"/>
          <w:highlight w:val="none"/>
        </w:rPr>
        <w:t>单位：人民币元</w:t>
      </w:r>
    </w:p>
    <w:p w14:paraId="77F722FE">
      <w:pPr>
        <w:pStyle w:val="20"/>
        <w:spacing w:line="288" w:lineRule="auto"/>
        <w:rPr>
          <w:rFonts w:hint="eastAsia"/>
          <w:color w:val="auto"/>
          <w:sz w:val="24"/>
          <w:highlight w:val="none"/>
        </w:rPr>
      </w:pPr>
    </w:p>
    <w:tbl>
      <w:tblPr>
        <w:tblStyle w:val="27"/>
        <w:tblpPr w:leftFromText="180" w:rightFromText="180" w:vertAnchor="text" w:horzAnchor="page" w:tblpX="1162" w:tblpY="85"/>
        <w:tblOverlap w:val="never"/>
        <w:tblW w:w="9764" w:type="dxa"/>
        <w:tblInd w:w="0" w:type="dxa"/>
        <w:tblLayout w:type="fixed"/>
        <w:tblCellMar>
          <w:top w:w="15" w:type="dxa"/>
          <w:left w:w="15" w:type="dxa"/>
          <w:bottom w:w="15" w:type="dxa"/>
          <w:right w:w="15" w:type="dxa"/>
        </w:tblCellMar>
      </w:tblPr>
      <w:tblGrid>
        <w:gridCol w:w="1077"/>
        <w:gridCol w:w="1419"/>
        <w:gridCol w:w="1936"/>
        <w:gridCol w:w="1309"/>
        <w:gridCol w:w="1296"/>
        <w:gridCol w:w="1582"/>
        <w:gridCol w:w="1145"/>
      </w:tblGrid>
      <w:tr w14:paraId="54508546">
        <w:tblPrEx>
          <w:tblCellMar>
            <w:top w:w="15" w:type="dxa"/>
            <w:left w:w="15" w:type="dxa"/>
            <w:bottom w:w="15" w:type="dxa"/>
            <w:right w:w="15" w:type="dxa"/>
          </w:tblCellMar>
        </w:tblPrEx>
        <w:trPr>
          <w:trHeight w:val="1315" w:hRule="atLeast"/>
        </w:trPr>
        <w:tc>
          <w:tcPr>
            <w:tcW w:w="1077" w:type="dxa"/>
            <w:tcBorders>
              <w:top w:val="single" w:color="auto" w:sz="4" w:space="0"/>
              <w:left w:val="single" w:color="auto" w:sz="4" w:space="0"/>
              <w:bottom w:val="single" w:color="auto" w:sz="4" w:space="0"/>
              <w:right w:val="single" w:color="auto" w:sz="4" w:space="0"/>
            </w:tcBorders>
            <w:noWrap/>
            <w:vAlign w:val="center"/>
          </w:tcPr>
          <w:p w14:paraId="073AFCD2">
            <w:pPr>
              <w:snapToGrid w:val="0"/>
              <w:spacing w:line="288"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项目名称</w:t>
            </w:r>
          </w:p>
        </w:tc>
        <w:tc>
          <w:tcPr>
            <w:tcW w:w="1419" w:type="dxa"/>
            <w:tcBorders>
              <w:top w:val="single" w:color="auto" w:sz="4" w:space="0"/>
              <w:left w:val="single" w:color="auto" w:sz="4" w:space="0"/>
              <w:bottom w:val="single" w:color="auto" w:sz="4" w:space="0"/>
              <w:right w:val="single" w:color="auto" w:sz="4" w:space="0"/>
            </w:tcBorders>
            <w:noWrap/>
            <w:vAlign w:val="center"/>
          </w:tcPr>
          <w:p w14:paraId="26278A0F">
            <w:pPr>
              <w:pStyle w:val="20"/>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投标总价</w:t>
            </w:r>
          </w:p>
        </w:tc>
        <w:tc>
          <w:tcPr>
            <w:tcW w:w="1936" w:type="dxa"/>
            <w:tcBorders>
              <w:top w:val="single" w:color="auto" w:sz="4" w:space="0"/>
              <w:left w:val="single" w:color="auto" w:sz="4" w:space="0"/>
              <w:bottom w:val="single" w:color="auto" w:sz="4" w:space="0"/>
              <w:right w:val="single" w:color="auto" w:sz="4" w:space="0"/>
            </w:tcBorders>
            <w:noWrap/>
            <w:vAlign w:val="center"/>
          </w:tcPr>
          <w:p w14:paraId="279B3B4D">
            <w:pPr>
              <w:snapToGrid w:val="0"/>
              <w:spacing w:line="288" w:lineRule="auto"/>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投标保证金缴纳方式</w:t>
            </w:r>
          </w:p>
        </w:tc>
        <w:tc>
          <w:tcPr>
            <w:tcW w:w="1309" w:type="dxa"/>
            <w:tcBorders>
              <w:top w:val="single" w:color="auto" w:sz="4" w:space="0"/>
              <w:left w:val="single" w:color="auto" w:sz="4" w:space="0"/>
              <w:bottom w:val="single" w:color="auto" w:sz="4" w:space="0"/>
              <w:right w:val="single" w:color="auto" w:sz="4" w:space="0"/>
            </w:tcBorders>
            <w:noWrap/>
            <w:vAlign w:val="center"/>
          </w:tcPr>
          <w:p w14:paraId="26FB2AEA">
            <w:pPr>
              <w:snapToGrid w:val="0"/>
              <w:spacing w:line="288"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eastAsia="zh-CN"/>
              </w:rPr>
              <w:t>履约期限</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供货时间</w:t>
            </w:r>
          </w:p>
        </w:tc>
        <w:tc>
          <w:tcPr>
            <w:tcW w:w="1296" w:type="dxa"/>
            <w:tcBorders>
              <w:top w:val="single" w:color="auto" w:sz="4" w:space="0"/>
              <w:left w:val="single" w:color="auto" w:sz="4" w:space="0"/>
              <w:bottom w:val="single" w:color="auto" w:sz="4" w:space="0"/>
              <w:right w:val="single" w:color="auto" w:sz="4" w:space="0"/>
            </w:tcBorders>
            <w:noWrap/>
            <w:vAlign w:val="center"/>
          </w:tcPr>
          <w:p w14:paraId="1F7D663F">
            <w:pPr>
              <w:snapToGrid w:val="0"/>
              <w:spacing w:line="288" w:lineRule="auto"/>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履约地点/交货地点</w:t>
            </w:r>
          </w:p>
        </w:tc>
        <w:tc>
          <w:tcPr>
            <w:tcW w:w="1582" w:type="dxa"/>
            <w:tcBorders>
              <w:top w:val="single" w:color="auto" w:sz="4" w:space="0"/>
              <w:left w:val="single" w:color="auto" w:sz="4" w:space="0"/>
              <w:bottom w:val="single" w:color="auto" w:sz="4" w:space="0"/>
              <w:right w:val="single" w:color="auto" w:sz="4" w:space="0"/>
            </w:tcBorders>
            <w:noWrap/>
            <w:vAlign w:val="center"/>
          </w:tcPr>
          <w:p w14:paraId="61ACA3DB">
            <w:pPr>
              <w:snapToGrid w:val="0"/>
              <w:spacing w:line="288"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投标有效期</w:t>
            </w:r>
          </w:p>
        </w:tc>
        <w:tc>
          <w:tcPr>
            <w:tcW w:w="1145" w:type="dxa"/>
            <w:tcBorders>
              <w:top w:val="single" w:color="auto" w:sz="4" w:space="0"/>
              <w:left w:val="single" w:color="auto" w:sz="4" w:space="0"/>
              <w:bottom w:val="single" w:color="auto" w:sz="4" w:space="0"/>
              <w:right w:val="single" w:color="auto" w:sz="4" w:space="0"/>
            </w:tcBorders>
            <w:noWrap/>
            <w:vAlign w:val="center"/>
          </w:tcPr>
          <w:p w14:paraId="308A8F77">
            <w:pPr>
              <w:snapToGrid w:val="0"/>
              <w:spacing w:line="288"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是否进口产品</w:t>
            </w:r>
          </w:p>
        </w:tc>
      </w:tr>
      <w:tr w14:paraId="6FDB9973">
        <w:tblPrEx>
          <w:tblCellMar>
            <w:top w:w="15" w:type="dxa"/>
            <w:left w:w="15" w:type="dxa"/>
            <w:bottom w:w="15" w:type="dxa"/>
            <w:right w:w="15" w:type="dxa"/>
          </w:tblCellMar>
        </w:tblPrEx>
        <w:trPr>
          <w:trHeight w:val="1632" w:hRule="atLeast"/>
        </w:trPr>
        <w:tc>
          <w:tcPr>
            <w:tcW w:w="1077" w:type="dxa"/>
            <w:tcBorders>
              <w:top w:val="single" w:color="auto" w:sz="4" w:space="0"/>
              <w:left w:val="single" w:color="auto" w:sz="4" w:space="0"/>
              <w:bottom w:val="single" w:color="auto" w:sz="4" w:space="0"/>
              <w:right w:val="single" w:color="auto" w:sz="4" w:space="0"/>
            </w:tcBorders>
            <w:noWrap/>
            <w:vAlign w:val="center"/>
          </w:tcPr>
          <w:p w14:paraId="737021AD">
            <w:pPr>
              <w:snapToGrid w:val="0"/>
              <w:spacing w:line="288" w:lineRule="auto"/>
              <w:jc w:val="center"/>
              <w:textAlignment w:val="center"/>
              <w:rPr>
                <w:rFonts w:ascii="宋体" w:hAnsi="宋体" w:cs="宋体"/>
                <w:color w:val="auto"/>
                <w:kern w:val="0"/>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1D47DEE">
            <w:pPr>
              <w:snapToGrid w:val="0"/>
              <w:spacing w:line="288" w:lineRule="auto"/>
              <w:jc w:val="both"/>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大写：</w:t>
            </w:r>
          </w:p>
          <w:p w14:paraId="02380762">
            <w:pPr>
              <w:pStyle w:val="2"/>
              <w:rPr>
                <w:rFonts w:hint="eastAsia"/>
                <w:lang w:eastAsia="zh-CN"/>
              </w:rPr>
            </w:pPr>
            <w:r>
              <w:rPr>
                <w:rFonts w:hint="eastAsia" w:ascii="宋体" w:hAnsi="宋体" w:eastAsia="宋体" w:cs="宋体"/>
                <w:color w:val="auto"/>
                <w:kern w:val="0"/>
                <w:sz w:val="24"/>
                <w:szCs w:val="24"/>
                <w:highlight w:val="none"/>
                <w:lang w:val="en-US" w:eastAsia="zh-CN" w:bidi="ar-SA"/>
              </w:rPr>
              <w:t>小写</w:t>
            </w:r>
            <w:r>
              <w:rPr>
                <w:rFonts w:hint="eastAsia" w:cs="宋体"/>
                <w:color w:val="auto"/>
                <w:kern w:val="0"/>
                <w:sz w:val="24"/>
                <w:szCs w:val="24"/>
                <w:highlight w:val="none"/>
                <w:lang w:val="en-US" w:eastAsia="zh-CN" w:bidi="ar-SA"/>
              </w:rPr>
              <w:t>：</w:t>
            </w:r>
          </w:p>
        </w:tc>
        <w:tc>
          <w:tcPr>
            <w:tcW w:w="1936" w:type="dxa"/>
            <w:tcBorders>
              <w:top w:val="single" w:color="auto" w:sz="4" w:space="0"/>
              <w:left w:val="single" w:color="auto" w:sz="4" w:space="0"/>
              <w:bottom w:val="single" w:color="auto" w:sz="4" w:space="0"/>
              <w:right w:val="single" w:color="auto" w:sz="4" w:space="0"/>
            </w:tcBorders>
            <w:noWrap/>
            <w:vAlign w:val="center"/>
          </w:tcPr>
          <w:p w14:paraId="0ACB2945">
            <w:pPr>
              <w:snapToGrid w:val="0"/>
              <w:spacing w:line="288" w:lineRule="auto"/>
              <w:jc w:val="center"/>
              <w:textAlignment w:val="center"/>
              <w:rPr>
                <w:rFonts w:ascii="宋体" w:hAnsi="宋体" w:cs="宋体"/>
                <w:color w:val="auto"/>
                <w:kern w:val="0"/>
                <w:sz w:val="24"/>
                <w:highlight w:val="none"/>
              </w:rPr>
            </w:pPr>
          </w:p>
        </w:tc>
        <w:tc>
          <w:tcPr>
            <w:tcW w:w="1309" w:type="dxa"/>
            <w:tcBorders>
              <w:top w:val="single" w:color="auto" w:sz="4" w:space="0"/>
              <w:left w:val="single" w:color="auto" w:sz="4" w:space="0"/>
              <w:bottom w:val="single" w:color="auto" w:sz="4" w:space="0"/>
              <w:right w:val="single" w:color="auto" w:sz="4" w:space="0"/>
            </w:tcBorders>
            <w:noWrap/>
            <w:vAlign w:val="center"/>
          </w:tcPr>
          <w:p w14:paraId="59825721">
            <w:pPr>
              <w:snapToGrid w:val="0"/>
              <w:spacing w:line="288" w:lineRule="auto"/>
              <w:jc w:val="center"/>
              <w:textAlignment w:val="center"/>
              <w:rPr>
                <w:rFonts w:ascii="宋体" w:hAnsi="宋体" w:cs="宋体"/>
                <w:color w:val="auto"/>
                <w:kern w:val="0"/>
                <w:sz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14:paraId="12375BD1">
            <w:pPr>
              <w:snapToGrid w:val="0"/>
              <w:spacing w:line="288" w:lineRule="auto"/>
              <w:jc w:val="center"/>
              <w:textAlignment w:val="center"/>
              <w:rPr>
                <w:rFonts w:ascii="宋体" w:hAnsi="宋体" w:cs="宋体"/>
                <w:color w:val="auto"/>
                <w:kern w:val="0"/>
                <w:sz w:val="24"/>
                <w:highlight w:val="none"/>
              </w:rPr>
            </w:pPr>
          </w:p>
        </w:tc>
        <w:tc>
          <w:tcPr>
            <w:tcW w:w="1582" w:type="dxa"/>
            <w:tcBorders>
              <w:top w:val="single" w:color="auto" w:sz="4" w:space="0"/>
              <w:left w:val="single" w:color="auto" w:sz="4" w:space="0"/>
              <w:bottom w:val="single" w:color="auto" w:sz="4" w:space="0"/>
              <w:right w:val="single" w:color="auto" w:sz="4" w:space="0"/>
            </w:tcBorders>
            <w:noWrap/>
            <w:vAlign w:val="center"/>
          </w:tcPr>
          <w:p w14:paraId="5EF5F016">
            <w:pPr>
              <w:snapToGrid w:val="0"/>
              <w:spacing w:line="288" w:lineRule="auto"/>
              <w:jc w:val="center"/>
              <w:textAlignment w:val="center"/>
              <w:rPr>
                <w:rFonts w:ascii="宋体" w:hAnsi="宋体" w:cs="宋体"/>
                <w:color w:val="auto"/>
                <w:kern w:val="0"/>
                <w:sz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4A0ADBB">
            <w:pPr>
              <w:snapToGrid w:val="0"/>
              <w:spacing w:line="288" w:lineRule="auto"/>
              <w:jc w:val="center"/>
              <w:textAlignment w:val="center"/>
              <w:rPr>
                <w:rFonts w:ascii="宋体" w:hAnsi="宋体" w:cs="宋体"/>
                <w:color w:val="auto"/>
                <w:kern w:val="0"/>
                <w:sz w:val="24"/>
                <w:highlight w:val="none"/>
              </w:rPr>
            </w:pPr>
          </w:p>
        </w:tc>
      </w:tr>
    </w:tbl>
    <w:p w14:paraId="3D025F0F">
      <w:pPr>
        <w:rPr>
          <w:rFonts w:ascii="宋体"/>
          <w:color w:val="auto"/>
          <w:sz w:val="24"/>
          <w:highlight w:val="none"/>
        </w:rPr>
      </w:pPr>
    </w:p>
    <w:p w14:paraId="170754D8">
      <w:pPr>
        <w:pStyle w:val="2"/>
      </w:pPr>
    </w:p>
    <w:p w14:paraId="0FB491D5">
      <w:pPr>
        <w:pStyle w:val="20"/>
        <w:jc w:val="both"/>
        <w:rPr>
          <w:rFonts w:ascii="宋体"/>
          <w:color w:val="auto"/>
          <w:sz w:val="24"/>
          <w:highlight w:val="none"/>
        </w:rPr>
      </w:pPr>
      <w:r>
        <w:rPr>
          <w:rFonts w:hint="eastAsia" w:ascii="宋体"/>
          <w:color w:val="auto"/>
          <w:sz w:val="24"/>
          <w:highlight w:val="none"/>
        </w:rPr>
        <w:t>注：</w:t>
      </w:r>
    </w:p>
    <w:p w14:paraId="68439B7C">
      <w:pPr>
        <w:pStyle w:val="20"/>
        <w:spacing w:line="360" w:lineRule="auto"/>
        <w:ind w:firstLine="480" w:firstLineChars="200"/>
        <w:rPr>
          <w:rFonts w:hint="eastAsia" w:ascii="宋体"/>
          <w:color w:val="auto"/>
          <w:sz w:val="24"/>
          <w:highlight w:val="none"/>
        </w:rPr>
      </w:pPr>
      <w:r>
        <w:rPr>
          <w:rFonts w:hint="eastAsia" w:ascii="宋体"/>
          <w:color w:val="auto"/>
          <w:sz w:val="24"/>
          <w:highlight w:val="none"/>
        </w:rPr>
        <w:t>1.</w:t>
      </w:r>
      <w:r>
        <w:rPr>
          <w:rFonts w:hint="eastAsia" w:hAnsi="宋体"/>
          <w:color w:val="auto"/>
          <w:sz w:val="24"/>
          <w:highlight w:val="none"/>
        </w:rPr>
        <w:t>“开标一览表”中</w:t>
      </w:r>
      <w:r>
        <w:rPr>
          <w:rFonts w:ascii="宋体" w:hAnsi="宋体" w:eastAsia="宋体" w:cs="宋体"/>
          <w:sz w:val="24"/>
          <w:szCs w:val="24"/>
        </w:rPr>
        <w:t>每个分包的投标总价应和投标分项报价表的总价相一致。</w:t>
      </w:r>
    </w:p>
    <w:p w14:paraId="4C707566">
      <w:pPr>
        <w:pageBreakBefore w:val="0"/>
        <w:widowControl/>
        <w:tabs>
          <w:tab w:val="left" w:pos="1069"/>
        </w:tabs>
        <w:kinsoku/>
        <w:wordWrap/>
        <w:overflowPunct/>
        <w:topLinePunct w:val="0"/>
        <w:bidi w:val="0"/>
        <w:spacing w:line="240" w:lineRule="auto"/>
        <w:ind w:firstLine="480" w:firstLineChars="200"/>
        <w:jc w:val="left"/>
        <w:rPr>
          <w:rFonts w:ascii="宋体" w:hAnsi="宋体" w:eastAsia="宋体" w:cs="宋体"/>
          <w:kern w:val="2"/>
          <w:sz w:val="24"/>
          <w:szCs w:val="24"/>
          <w:lang w:val="en-US" w:eastAsia="zh-CN" w:bidi="ar-SA"/>
        </w:rPr>
      </w:pPr>
      <w:r>
        <w:rPr>
          <w:rFonts w:hint="eastAsia" w:ascii="宋体"/>
          <w:color w:val="auto"/>
          <w:sz w:val="24"/>
          <w:highlight w:val="none"/>
          <w:lang w:val="en-US" w:eastAsia="zh-CN"/>
        </w:rPr>
        <w:t>2.</w:t>
      </w:r>
      <w:r>
        <w:rPr>
          <w:rFonts w:hint="eastAsia" w:hAnsi="宋体"/>
          <w:color w:val="auto"/>
          <w:sz w:val="24"/>
          <w:highlight w:val="none"/>
        </w:rPr>
        <w:t>“开标一览表”中的报价包含招标文件中规定的所有采购货物且数量一致，</w:t>
      </w:r>
      <w:r>
        <w:rPr>
          <w:rFonts w:hint="eastAsia" w:ascii="宋体"/>
          <w:color w:val="auto"/>
          <w:sz w:val="24"/>
          <w:highlight w:val="none"/>
        </w:rPr>
        <w:t>报价应是最终用户验收合格后的总价</w:t>
      </w:r>
      <w:r>
        <w:rPr>
          <w:rFonts w:hint="eastAsia" w:ascii="宋体" w:hAnsi="宋体" w:eastAsia="宋体" w:cs="宋体"/>
          <w:kern w:val="2"/>
          <w:sz w:val="24"/>
          <w:szCs w:val="24"/>
          <w:lang w:val="en-US" w:eastAsia="zh-CN" w:bidi="ar-SA"/>
        </w:rPr>
        <w:t>，时包含税费、运费、货物本身价格（购车款、购置税、上牌费等购车产生的费用），1年车辆全额保险费（含交强险、车损险、第三者责任险200万元、驾乘意外险20万元等）、车辆装饰贴膜、脚垫、警灯、警示警徽标贴等。</w:t>
      </w:r>
    </w:p>
    <w:p w14:paraId="054040F9">
      <w:pPr>
        <w:spacing w:line="360" w:lineRule="auto"/>
        <w:ind w:firstLine="470" w:firstLineChars="196"/>
        <w:jc w:val="left"/>
        <w:rPr>
          <w:rFonts w:ascii="宋体"/>
          <w:color w:val="auto"/>
          <w:sz w:val="24"/>
          <w:highlight w:val="none"/>
        </w:rPr>
      </w:pPr>
      <w:bookmarkStart w:id="667" w:name="_Toc677"/>
      <w:bookmarkStart w:id="668" w:name="_Toc31653"/>
      <w:bookmarkStart w:id="669" w:name="_Toc4333"/>
      <w:bookmarkStart w:id="670" w:name="_Toc32608"/>
      <w:bookmarkStart w:id="671" w:name="_Toc13226"/>
      <w:bookmarkStart w:id="672" w:name="_Toc2616"/>
      <w:r>
        <w:rPr>
          <w:rFonts w:hint="eastAsia" w:ascii="宋体"/>
          <w:color w:val="auto"/>
          <w:sz w:val="24"/>
          <w:highlight w:val="none"/>
          <w:lang w:val="en-US" w:eastAsia="zh-CN"/>
        </w:rPr>
        <w:t>3</w:t>
      </w:r>
      <w:r>
        <w:rPr>
          <w:rFonts w:hint="eastAsia" w:ascii="宋体"/>
          <w:color w:val="auto"/>
          <w:sz w:val="24"/>
          <w:highlight w:val="none"/>
        </w:rPr>
        <w:t>.“开标一览表”为多页的，每页均需加盖投标人公章。</w:t>
      </w:r>
      <w:bookmarkEnd w:id="667"/>
      <w:bookmarkEnd w:id="668"/>
      <w:bookmarkEnd w:id="669"/>
      <w:bookmarkEnd w:id="670"/>
      <w:bookmarkEnd w:id="671"/>
      <w:bookmarkEnd w:id="672"/>
    </w:p>
    <w:p w14:paraId="75ED0091">
      <w:pPr>
        <w:spacing w:line="360" w:lineRule="auto"/>
        <w:ind w:firstLine="470" w:firstLineChars="196"/>
        <w:jc w:val="left"/>
        <w:rPr>
          <w:rFonts w:ascii="宋体"/>
          <w:color w:val="auto"/>
          <w:sz w:val="24"/>
          <w:highlight w:val="none"/>
        </w:rPr>
      </w:pPr>
      <w:bookmarkStart w:id="673" w:name="_Toc24640"/>
      <w:bookmarkStart w:id="674" w:name="_Toc24080"/>
      <w:bookmarkStart w:id="675" w:name="_Toc18302"/>
      <w:bookmarkStart w:id="676" w:name="_Toc16295"/>
      <w:bookmarkStart w:id="677" w:name="_Toc7822"/>
      <w:bookmarkStart w:id="678" w:name="_Toc4215"/>
    </w:p>
    <w:bookmarkEnd w:id="673"/>
    <w:bookmarkEnd w:id="674"/>
    <w:bookmarkEnd w:id="675"/>
    <w:bookmarkEnd w:id="676"/>
    <w:bookmarkEnd w:id="677"/>
    <w:bookmarkEnd w:id="678"/>
    <w:p w14:paraId="3D91A1F1">
      <w:pPr>
        <w:autoSpaceDE w:val="0"/>
        <w:autoSpaceDN w:val="0"/>
        <w:ind w:firstLine="120" w:firstLineChars="50"/>
        <w:rPr>
          <w:rFonts w:hint="eastAsia" w:ascii="仿宋" w:hAnsi="仿宋" w:eastAsia="仿宋" w:cs="仿宋"/>
          <w:color w:val="auto"/>
          <w:sz w:val="24"/>
          <w:highlight w:val="none"/>
          <w:lang w:val="zh-CN"/>
        </w:rPr>
      </w:pPr>
      <w:bookmarkStart w:id="679" w:name="_Toc29899"/>
      <w:bookmarkStart w:id="680" w:name="_Toc17577"/>
      <w:bookmarkStart w:id="681" w:name="_Toc515647805"/>
      <w:bookmarkStart w:id="682" w:name="_Toc608"/>
    </w:p>
    <w:p w14:paraId="628E300F">
      <w:pPr>
        <w:pStyle w:val="2"/>
        <w:rPr>
          <w:rFonts w:hint="eastAsia"/>
          <w:lang w:val="zh-CN"/>
        </w:rPr>
      </w:pPr>
    </w:p>
    <w:p w14:paraId="6E62E913">
      <w:pPr>
        <w:spacing w:line="360" w:lineRule="auto"/>
        <w:ind w:firstLine="470" w:firstLineChars="196"/>
        <w:jc w:val="left"/>
        <w:rPr>
          <w:rFonts w:hint="eastAsia" w:ascii="宋体" w:hAnsi="Times New Roman" w:eastAsia="宋体"/>
          <w:color w:val="auto"/>
          <w:sz w:val="24"/>
          <w:highlight w:val="none"/>
          <w:lang w:val="zh-CN"/>
        </w:rPr>
      </w:pPr>
      <w:r>
        <w:rPr>
          <w:rFonts w:hint="eastAsia" w:ascii="宋体" w:hAnsi="Times New Roman" w:eastAsia="宋体"/>
          <w:color w:val="auto"/>
          <w:sz w:val="24"/>
          <w:highlight w:val="none"/>
          <w:lang w:val="zh-CN"/>
        </w:rPr>
        <w:t>供应商名称（公章）：</w:t>
      </w:r>
    </w:p>
    <w:p w14:paraId="69580957">
      <w:pPr>
        <w:spacing w:line="360" w:lineRule="auto"/>
        <w:ind w:firstLine="470" w:firstLineChars="196"/>
        <w:jc w:val="left"/>
        <w:rPr>
          <w:rFonts w:hint="eastAsia" w:ascii="宋体" w:hAnsi="Times New Roman" w:eastAsia="宋体"/>
          <w:color w:val="auto"/>
          <w:sz w:val="24"/>
          <w:highlight w:val="none"/>
          <w:lang w:val="zh-CN"/>
        </w:rPr>
      </w:pPr>
    </w:p>
    <w:p w14:paraId="268D9DA4">
      <w:pPr>
        <w:spacing w:line="360" w:lineRule="auto"/>
        <w:ind w:firstLine="470" w:firstLineChars="196"/>
        <w:jc w:val="left"/>
        <w:rPr>
          <w:rFonts w:hint="eastAsia" w:ascii="宋体" w:hAnsi="Times New Roman" w:eastAsia="宋体"/>
          <w:color w:val="auto"/>
          <w:sz w:val="24"/>
          <w:highlight w:val="none"/>
          <w:u w:val="single"/>
          <w:lang w:val="zh-CN"/>
        </w:rPr>
      </w:pPr>
      <w:r>
        <w:rPr>
          <w:rFonts w:hint="eastAsia" w:ascii="宋体" w:hAnsi="Times New Roman" w:eastAsia="宋体"/>
          <w:color w:val="auto"/>
          <w:sz w:val="24"/>
          <w:highlight w:val="none"/>
          <w:lang w:val="zh-CN"/>
        </w:rPr>
        <w:t>法定代表人或其授权代表（签字或盖章）：</w:t>
      </w:r>
      <w:r>
        <w:rPr>
          <w:rFonts w:hint="eastAsia" w:ascii="宋体" w:hAnsi="Times New Roman" w:eastAsia="宋体"/>
          <w:color w:val="auto"/>
          <w:sz w:val="24"/>
          <w:highlight w:val="none"/>
          <w:u w:val="single"/>
          <w:lang w:val="zh-CN"/>
        </w:rPr>
        <w:t xml:space="preserve">   </w:t>
      </w:r>
    </w:p>
    <w:p w14:paraId="10B99A92">
      <w:pPr>
        <w:spacing w:line="360" w:lineRule="auto"/>
        <w:ind w:firstLine="470" w:firstLineChars="196"/>
        <w:jc w:val="left"/>
        <w:rPr>
          <w:rFonts w:hint="eastAsia" w:ascii="宋体" w:hAnsi="Times New Roman" w:eastAsia="宋体"/>
          <w:color w:val="auto"/>
          <w:sz w:val="24"/>
          <w:highlight w:val="none"/>
          <w:u w:val="single"/>
          <w:lang w:val="zh-CN"/>
        </w:rPr>
      </w:pPr>
    </w:p>
    <w:p w14:paraId="6C97C9A6">
      <w:pPr>
        <w:spacing w:line="360" w:lineRule="auto"/>
        <w:ind w:firstLine="470" w:firstLineChars="196"/>
        <w:jc w:val="left"/>
        <w:rPr>
          <w:rFonts w:hint="eastAsia" w:ascii="宋体" w:hAnsi="Times New Roman" w:eastAsia="宋体"/>
          <w:color w:val="auto"/>
          <w:sz w:val="24"/>
          <w:highlight w:val="none"/>
          <w:lang w:val="zh-CN"/>
        </w:rPr>
      </w:pPr>
      <w:r>
        <w:rPr>
          <w:rFonts w:hint="eastAsia" w:ascii="宋体" w:hAnsi="Times New Roman" w:eastAsia="宋体"/>
          <w:color w:val="auto"/>
          <w:sz w:val="24"/>
          <w:highlight w:val="none"/>
          <w:lang w:val="zh-CN"/>
        </w:rPr>
        <w:t>日期：</w:t>
      </w:r>
      <w:r>
        <w:rPr>
          <w:rFonts w:hint="eastAsia" w:ascii="宋体" w:hAnsi="Times New Roman" w:eastAsia="宋体"/>
          <w:color w:val="auto"/>
          <w:sz w:val="24"/>
          <w:highlight w:val="none"/>
          <w:u w:val="single"/>
          <w:lang w:val="zh-CN"/>
        </w:rPr>
        <w:t xml:space="preserve">         </w:t>
      </w:r>
      <w:r>
        <w:rPr>
          <w:rFonts w:hint="eastAsia" w:ascii="宋体" w:hAnsi="Times New Roman" w:eastAsia="宋体"/>
          <w:color w:val="auto"/>
          <w:sz w:val="24"/>
          <w:highlight w:val="none"/>
          <w:lang w:val="zh-CN"/>
        </w:rPr>
        <w:t>年</w:t>
      </w:r>
      <w:r>
        <w:rPr>
          <w:rFonts w:hint="eastAsia" w:ascii="宋体" w:hAnsi="Times New Roman" w:eastAsia="宋体"/>
          <w:color w:val="auto"/>
          <w:sz w:val="24"/>
          <w:highlight w:val="none"/>
          <w:u w:val="single"/>
          <w:lang w:val="zh-CN"/>
        </w:rPr>
        <w:t xml:space="preserve">     </w:t>
      </w:r>
      <w:r>
        <w:rPr>
          <w:rFonts w:hint="eastAsia" w:ascii="宋体" w:hAnsi="Times New Roman" w:eastAsia="宋体"/>
          <w:color w:val="auto"/>
          <w:sz w:val="24"/>
          <w:highlight w:val="none"/>
          <w:lang w:val="zh-CN"/>
        </w:rPr>
        <w:t>月</w:t>
      </w:r>
      <w:r>
        <w:rPr>
          <w:rFonts w:hint="eastAsia" w:ascii="宋体" w:hAnsi="Times New Roman" w:eastAsia="宋体"/>
          <w:color w:val="auto"/>
          <w:sz w:val="24"/>
          <w:highlight w:val="none"/>
          <w:u w:val="single"/>
          <w:lang w:val="zh-CN"/>
        </w:rPr>
        <w:t xml:space="preserve">  </w:t>
      </w:r>
      <w:r>
        <w:rPr>
          <w:rFonts w:hint="eastAsia" w:ascii="宋体"/>
          <w:color w:val="auto"/>
          <w:sz w:val="24"/>
          <w:highlight w:val="none"/>
          <w:u w:val="single"/>
          <w:lang w:val="en-US" w:eastAsia="zh-CN"/>
        </w:rPr>
        <w:t xml:space="preserve"> </w:t>
      </w:r>
      <w:r>
        <w:rPr>
          <w:rFonts w:hint="eastAsia" w:ascii="宋体" w:hAnsi="Times New Roman" w:eastAsia="宋体"/>
          <w:color w:val="auto"/>
          <w:sz w:val="24"/>
          <w:highlight w:val="none"/>
          <w:u w:val="single"/>
          <w:lang w:val="zh-CN"/>
        </w:rPr>
        <w:t xml:space="preserve"> </w:t>
      </w:r>
      <w:r>
        <w:rPr>
          <w:rFonts w:hint="eastAsia" w:ascii="宋体" w:hAnsi="Times New Roman" w:eastAsia="宋体"/>
          <w:color w:val="auto"/>
          <w:sz w:val="24"/>
          <w:highlight w:val="none"/>
          <w:lang w:val="zh-CN"/>
        </w:rPr>
        <w:t>日</w:t>
      </w:r>
    </w:p>
    <w:p w14:paraId="60D64F01">
      <w:pPr>
        <w:spacing w:line="360" w:lineRule="auto"/>
        <w:ind w:firstLine="470" w:firstLineChars="196"/>
        <w:jc w:val="left"/>
        <w:rPr>
          <w:rFonts w:hint="eastAsia" w:ascii="宋体" w:hAnsi="Times New Roman" w:eastAsia="宋体"/>
          <w:color w:val="auto"/>
          <w:sz w:val="24"/>
          <w:highlight w:val="none"/>
          <w:lang w:val="zh-CN"/>
        </w:rPr>
      </w:pPr>
    </w:p>
    <w:p w14:paraId="43C52C0A">
      <w:pPr>
        <w:spacing w:line="360" w:lineRule="auto"/>
        <w:ind w:firstLine="470" w:firstLineChars="196"/>
        <w:jc w:val="left"/>
        <w:rPr>
          <w:rFonts w:hint="eastAsia" w:ascii="宋体" w:hAnsi="Times New Roman" w:eastAsia="宋体"/>
          <w:color w:val="auto"/>
          <w:sz w:val="24"/>
          <w:highlight w:val="none"/>
          <w:lang w:val="zh-CN"/>
        </w:rPr>
      </w:pPr>
    </w:p>
    <w:p w14:paraId="71816543">
      <w:pPr>
        <w:spacing w:line="360" w:lineRule="auto"/>
        <w:ind w:firstLine="470" w:firstLineChars="196"/>
        <w:jc w:val="left"/>
        <w:rPr>
          <w:rFonts w:hint="eastAsia" w:ascii="宋体" w:hAnsi="Times New Roman" w:eastAsia="宋体"/>
          <w:color w:val="auto"/>
          <w:sz w:val="24"/>
          <w:highlight w:val="none"/>
          <w:lang w:val="zh-CN"/>
        </w:rPr>
      </w:pPr>
    </w:p>
    <w:p w14:paraId="39015E9E">
      <w:pPr>
        <w:rPr>
          <w:color w:val="auto"/>
          <w:highlight w:val="none"/>
        </w:rPr>
      </w:pPr>
      <w:r>
        <w:rPr>
          <w:color w:val="auto"/>
          <w:highlight w:val="none"/>
        </w:rPr>
        <w:br w:type="page"/>
      </w:r>
    </w:p>
    <w:p w14:paraId="1F9C4D82">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683" w:name="_Toc6477"/>
      <w:bookmarkStart w:id="684" w:name="_Toc18942"/>
      <w:bookmarkStart w:id="685" w:name="_Toc3097"/>
      <w:bookmarkStart w:id="686" w:name="_Toc22243"/>
      <w:bookmarkStart w:id="687" w:name="_Toc9524"/>
      <w:bookmarkStart w:id="688" w:name="_Toc18028"/>
      <w:bookmarkStart w:id="689" w:name="_Toc25926"/>
      <w:bookmarkStart w:id="690" w:name="_Toc14381"/>
      <w:bookmarkStart w:id="691" w:name="_Toc12928"/>
      <w:bookmarkStart w:id="692" w:name="_Toc2685"/>
      <w:r>
        <w:rPr>
          <w:rFonts w:hint="eastAsia" w:ascii="仿宋_GB2312" w:hAnsi="仿宋_GB2312" w:eastAsia="仿宋_GB2312" w:cs="仿宋_GB2312"/>
          <w:color w:val="auto"/>
          <w:highlight w:val="none"/>
          <w:u w:val="none"/>
        </w:rPr>
        <w:t>2  法人或者非法人组织的营业执照等证明文件</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171DE4FA">
      <w:pPr>
        <w:pStyle w:val="13"/>
        <w:tabs>
          <w:tab w:val="left" w:pos="5580"/>
        </w:tabs>
        <w:spacing w:line="288" w:lineRule="auto"/>
        <w:ind w:left="1079" w:leftChars="257" w:hanging="540"/>
        <w:jc w:val="center"/>
        <w:rPr>
          <w:rFonts w:ascii="仿宋_GB2312" w:hAnsi="仿宋_GB2312" w:eastAsia="仿宋_GB2312" w:cs="仿宋_GB2312"/>
          <w:b/>
          <w:color w:val="auto"/>
          <w:sz w:val="24"/>
          <w:highlight w:val="none"/>
        </w:rPr>
      </w:pPr>
    </w:p>
    <w:p w14:paraId="1A3A8747">
      <w:pPr>
        <w:pStyle w:val="13"/>
        <w:tabs>
          <w:tab w:val="left" w:pos="5580"/>
        </w:tabs>
        <w:spacing w:line="288" w:lineRule="auto"/>
        <w:rPr>
          <w:rFonts w:ascii="仿宋_GB2312" w:hAnsi="仿宋_GB2312" w:eastAsia="仿宋_GB2312" w:cs="仿宋_GB2312"/>
          <w:b/>
          <w:color w:val="auto"/>
          <w:sz w:val="24"/>
          <w:highlight w:val="none"/>
        </w:rPr>
      </w:pPr>
    </w:p>
    <w:p w14:paraId="2126869C">
      <w:pPr>
        <w:pStyle w:val="13"/>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说明：</w:t>
      </w:r>
      <w:r>
        <w:rPr>
          <w:rFonts w:hint="eastAsia" w:ascii="仿宋_GB2312" w:hAnsi="宋体" w:eastAsia="仿宋_GB2312"/>
          <w:color w:val="auto"/>
          <w:sz w:val="24"/>
          <w:highlight w:val="none"/>
        </w:rPr>
        <w:t>1.提供有效的营业执照等证明文件复印件，复印件上应加盖本单位章。</w:t>
      </w:r>
    </w:p>
    <w:p w14:paraId="32A84A66">
      <w:pPr>
        <w:pStyle w:val="13"/>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2. 投标人为自然人的，应提供身份证明的复印件。</w:t>
      </w:r>
    </w:p>
    <w:p w14:paraId="3CF02203">
      <w:pPr>
        <w:pStyle w:val="13"/>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3.联合体投标应提供联合体各方满足以上要求的证明文件。</w:t>
      </w:r>
    </w:p>
    <w:p w14:paraId="5BC830B2">
      <w:pPr>
        <w:pStyle w:val="13"/>
        <w:tabs>
          <w:tab w:val="left" w:pos="5580"/>
        </w:tabs>
        <w:spacing w:line="288" w:lineRule="auto"/>
        <w:rPr>
          <w:rFonts w:ascii="仿宋_GB2312" w:hAnsi="仿宋_GB2312" w:eastAsia="仿宋_GB2312" w:cs="仿宋_GB2312"/>
          <w:color w:val="auto"/>
          <w:sz w:val="24"/>
          <w:highlight w:val="none"/>
        </w:rPr>
      </w:pPr>
    </w:p>
    <w:p w14:paraId="1DDC7250">
      <w:pPr>
        <w:pStyle w:val="13"/>
        <w:tabs>
          <w:tab w:val="left" w:pos="5580"/>
        </w:tabs>
        <w:spacing w:line="288" w:lineRule="auto"/>
        <w:rPr>
          <w:rFonts w:ascii="仿宋_GB2312" w:hAnsi="仿宋_GB2312" w:eastAsia="仿宋_GB2312" w:cs="仿宋_GB2312"/>
          <w:color w:val="auto"/>
          <w:sz w:val="24"/>
          <w:highlight w:val="none"/>
        </w:rPr>
      </w:pPr>
    </w:p>
    <w:p w14:paraId="47123BFB">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693" w:name="_Toc26563"/>
      <w:bookmarkStart w:id="694" w:name="_Toc13066"/>
      <w:bookmarkStart w:id="695" w:name="_Toc29162"/>
      <w:bookmarkStart w:id="696" w:name="_Toc31591"/>
      <w:bookmarkStart w:id="697" w:name="_Toc3865"/>
      <w:bookmarkStart w:id="698" w:name="_Toc12767"/>
      <w:bookmarkStart w:id="699" w:name="_Toc26259"/>
      <w:bookmarkStart w:id="700" w:name="_Toc29158"/>
      <w:bookmarkStart w:id="701" w:name="_Toc1578"/>
      <w:bookmarkStart w:id="702" w:name="_Toc23004_WPSOffice_Level2"/>
      <w:bookmarkStart w:id="703" w:name="_Toc21673"/>
      <w:bookmarkStart w:id="704" w:name="_Toc3498"/>
      <w:bookmarkStart w:id="705" w:name="_Toc25159"/>
      <w:r>
        <w:rPr>
          <w:rFonts w:hint="eastAsia" w:ascii="仿宋_GB2312" w:hAnsi="仿宋_GB2312" w:eastAsia="仿宋_GB2312" w:cs="仿宋_GB2312"/>
          <w:color w:val="auto"/>
          <w:highlight w:val="none"/>
          <w:u w:val="none"/>
        </w:rPr>
        <w:t>3  法定代表人身份证明</w:t>
      </w:r>
      <w:bookmarkEnd w:id="693"/>
      <w:bookmarkEnd w:id="694"/>
      <w:bookmarkEnd w:id="695"/>
      <w:bookmarkEnd w:id="696"/>
      <w:bookmarkEnd w:id="697"/>
      <w:bookmarkEnd w:id="698"/>
      <w:bookmarkEnd w:id="699"/>
      <w:bookmarkEnd w:id="700"/>
      <w:bookmarkEnd w:id="701"/>
      <w:bookmarkEnd w:id="702"/>
      <w:bookmarkEnd w:id="703"/>
      <w:bookmarkEnd w:id="704"/>
      <w:bookmarkEnd w:id="705"/>
    </w:p>
    <w:p w14:paraId="59A4D94E">
      <w:pPr>
        <w:rPr>
          <w:color w:val="auto"/>
          <w:highlight w:val="none"/>
        </w:rPr>
      </w:pPr>
    </w:p>
    <w:p w14:paraId="1D2609C3">
      <w:pPr>
        <w:spacing w:line="360" w:lineRule="auto"/>
        <w:ind w:firstLine="240" w:firstLineChars="100"/>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同志，现任我单位</w:t>
      </w:r>
      <w:r>
        <w:rPr>
          <w:rFonts w:hint="eastAsia" w:ascii="仿宋_GB2312" w:hAnsi="仿宋_GB2312" w:eastAsia="仿宋_GB2312" w:cs="仿宋_GB2312"/>
          <w:color w:val="auto"/>
          <w:sz w:val="24"/>
          <w:szCs w:val="20"/>
          <w:highlight w:val="none"/>
          <w:u w:val="single" w:color="000000"/>
        </w:rPr>
        <w:t xml:space="preserve">          职</w:t>
      </w:r>
      <w:r>
        <w:rPr>
          <w:rFonts w:hint="eastAsia" w:ascii="仿宋_GB2312" w:hAnsi="仿宋_GB2312" w:eastAsia="仿宋_GB2312" w:cs="仿宋_GB2312"/>
          <w:color w:val="auto"/>
          <w:sz w:val="24"/>
          <w:szCs w:val="20"/>
          <w:highlight w:val="none"/>
        </w:rPr>
        <w:t>务，为法定代表人，特此证明。</w:t>
      </w:r>
    </w:p>
    <w:p w14:paraId="5D8D28F5">
      <w:pPr>
        <w:spacing w:line="360" w:lineRule="auto"/>
        <w:ind w:firstLine="240" w:firstLineChars="100"/>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 xml:space="preserve">签发日期：                  单位：          </w:t>
      </w:r>
    </w:p>
    <w:p w14:paraId="50E0EC72">
      <w:pPr>
        <w:spacing w:line="360" w:lineRule="auto"/>
        <w:ind w:firstLine="240" w:firstLineChars="100"/>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附：代表人性别：            年龄：           身份证号码：</w:t>
      </w:r>
    </w:p>
    <w:p w14:paraId="1BF01595">
      <w:pPr>
        <w:spacing w:line="360" w:lineRule="auto"/>
        <w:ind w:firstLine="240" w:firstLineChars="100"/>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联系电话：</w:t>
      </w:r>
    </w:p>
    <w:p w14:paraId="224F825C">
      <w:pPr>
        <w:spacing w:line="360" w:lineRule="auto"/>
        <w:ind w:firstLine="240" w:firstLineChars="100"/>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营业执照号码：              经济性质：</w:t>
      </w:r>
    </w:p>
    <w:p w14:paraId="5D18BC9E">
      <w:pPr>
        <w:spacing w:line="360" w:lineRule="auto"/>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说明：</w:t>
      </w:r>
    </w:p>
    <w:p w14:paraId="688C5427">
      <w:pPr>
        <w:spacing w:line="360" w:lineRule="auto"/>
        <w:ind w:firstLine="240" w:firstLineChars="100"/>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1、法定代表人为企业事业单位、国家机关、社会团体的主要行政负责人。</w:t>
      </w:r>
    </w:p>
    <w:p w14:paraId="2FA4783B">
      <w:pPr>
        <w:spacing w:line="360" w:lineRule="auto"/>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 xml:space="preserve">  2、内容必须填写真实、清楚、涂改无效，不得转让。</w:t>
      </w:r>
    </w:p>
    <w:p w14:paraId="55E2B6DA">
      <w:pPr>
        <w:spacing w:line="360" w:lineRule="auto"/>
        <w:ind w:firstLine="240" w:firstLineChars="100"/>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3、将此证明书原件提交采购代理机构作为响应文件附件。</w:t>
      </w:r>
    </w:p>
    <w:p w14:paraId="147620DF">
      <w:pPr>
        <w:spacing w:line="360" w:lineRule="auto"/>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 xml:space="preserve">  (为避免废标，请供应商务必提供本附件)</w:t>
      </w:r>
    </w:p>
    <w:p w14:paraId="61942E19">
      <w:pPr>
        <w:spacing w:line="360" w:lineRule="auto"/>
        <w:rPr>
          <w:rFonts w:ascii="仿宋_GB2312" w:hAnsi="仿宋_GB2312" w:eastAsia="仿宋_GB2312" w:cs="仿宋_GB2312"/>
          <w:color w:val="auto"/>
          <w:sz w:val="24"/>
          <w:szCs w:val="20"/>
          <w:highlight w:val="none"/>
        </w:rPr>
      </w:pPr>
      <w:r>
        <w:rPr>
          <w:rFonts w:ascii="仿宋_GB2312" w:hAnsi="仿宋_GB2312" w:eastAsia="仿宋_GB2312" w:cs="仿宋_GB2312"/>
          <w:color w:val="auto"/>
          <w:sz w:val="24"/>
          <w:szCs w:val="20"/>
          <w:highlight w:val="none"/>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496185" cy="1652270"/>
                <wp:effectExtent l="4445" t="4445" r="13970" b="19685"/>
                <wp:wrapNone/>
                <wp:docPr id="14" name="流程图: 可选过程 14"/>
                <wp:cNvGraphicFramePr/>
                <a:graphic xmlns:a="http://schemas.openxmlformats.org/drawingml/2006/main">
                  <a:graphicData uri="http://schemas.microsoft.com/office/word/2010/wordprocessingShape">
                    <wps:wsp>
                      <wps:cNvSpPr/>
                      <wps:spPr>
                        <a:xfrm>
                          <a:off x="0" y="0"/>
                          <a:ext cx="2496185" cy="16522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B6D73D">
                            <w:pPr>
                              <w:jc w:val="center"/>
                              <w:rPr>
                                <w:rFonts w:hAnsi="宋体"/>
                                <w:szCs w:val="21"/>
                              </w:rPr>
                            </w:pPr>
                          </w:p>
                          <w:p w14:paraId="598130CD">
                            <w:pPr>
                              <w:jc w:val="center"/>
                              <w:rPr>
                                <w:rFonts w:hAnsi="宋体"/>
                                <w:szCs w:val="21"/>
                              </w:rPr>
                            </w:pPr>
                          </w:p>
                          <w:p w14:paraId="1E86360B">
                            <w:pPr>
                              <w:jc w:val="center"/>
                              <w:rPr>
                                <w:rFonts w:hAnsi="宋体"/>
                                <w:szCs w:val="21"/>
                              </w:rPr>
                            </w:pPr>
                          </w:p>
                          <w:p w14:paraId="6F18CA00">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0.85pt;height:130.1pt;width:196.55pt;z-index:251661312;mso-width-relative:page;mso-height-relative:page;" fillcolor="#FFFFFF" filled="t" stroked="t" coordsize="21600,21600" o:gfxdata="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CAuu1gAAAAgBAAAPAAAAAAAAAAEAIAAAACIAAABkcnMvZG93bnJldi54bWxQ&#10;SwECFAAUAAAACACHTuJAjgvxbTICAABgBAAADgAAAAAAAAABACAAAAAlAQAAZHJzL2Uyb0RvYy54&#10;bWxQSwUGAAAAAAYABgBZAQAAyQUAAAAA&#10;">
                <v:fill on="t" focussize="0,0"/>
                <v:stroke color="#000000" joinstyle="miter"/>
                <v:imagedata o:title=""/>
                <o:lock v:ext="edit" aspectratio="f"/>
                <v:textbox>
                  <w:txbxContent>
                    <w:p w14:paraId="06B6D73D">
                      <w:pPr>
                        <w:jc w:val="center"/>
                        <w:rPr>
                          <w:rFonts w:hAnsi="宋体"/>
                          <w:szCs w:val="21"/>
                        </w:rPr>
                      </w:pPr>
                    </w:p>
                    <w:p w14:paraId="598130CD">
                      <w:pPr>
                        <w:jc w:val="center"/>
                        <w:rPr>
                          <w:rFonts w:hAnsi="宋体"/>
                          <w:szCs w:val="21"/>
                        </w:rPr>
                      </w:pPr>
                    </w:p>
                    <w:p w14:paraId="1E86360B">
                      <w:pPr>
                        <w:jc w:val="center"/>
                        <w:rPr>
                          <w:rFonts w:hAnsi="宋体"/>
                          <w:szCs w:val="21"/>
                        </w:rPr>
                      </w:pPr>
                    </w:p>
                    <w:p w14:paraId="6F18CA00">
                      <w:pPr>
                        <w:jc w:val="center"/>
                        <w:rPr>
                          <w:szCs w:val="21"/>
                        </w:rPr>
                      </w:pPr>
                      <w:r>
                        <w:rPr>
                          <w:rFonts w:hint="eastAsia" w:hAnsi="宋体"/>
                          <w:szCs w:val="21"/>
                        </w:rPr>
                        <w:t>法定代表人身份证复印件</w:t>
                      </w:r>
                    </w:p>
                  </w:txbxContent>
                </v:textbox>
              </v:shape>
            </w:pict>
          </mc:Fallback>
        </mc:AlternateContent>
      </w:r>
      <w:r>
        <w:rPr>
          <w:rFonts w:ascii="仿宋_GB2312" w:hAnsi="仿宋_GB2312" w:eastAsia="仿宋_GB2312" w:cs="仿宋_GB2312"/>
          <w:color w:val="auto"/>
          <w:sz w:val="24"/>
          <w:szCs w:val="20"/>
          <w:highlight w:val="none"/>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529205" cy="1605915"/>
                <wp:effectExtent l="7620" t="7620" r="15875" b="24765"/>
                <wp:wrapNone/>
                <wp:docPr id="15" name="圆角矩形 15"/>
                <wp:cNvGraphicFramePr/>
                <a:graphic xmlns:a="http://schemas.openxmlformats.org/drawingml/2006/main">
                  <a:graphicData uri="http://schemas.microsoft.com/office/word/2010/wordprocessingShape">
                    <wps:wsp>
                      <wps:cNvSpPr/>
                      <wps:spPr>
                        <a:xfrm>
                          <a:off x="0" y="0"/>
                          <a:ext cx="2529205" cy="160591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754E98E">
                            <w:pPr>
                              <w:jc w:val="center"/>
                              <w:rPr>
                                <w:rFonts w:hAnsi="宋体"/>
                                <w:szCs w:val="21"/>
                              </w:rPr>
                            </w:pPr>
                          </w:p>
                          <w:p w14:paraId="287FA6F0">
                            <w:pPr>
                              <w:jc w:val="center"/>
                              <w:rPr>
                                <w:rFonts w:hAnsi="宋体"/>
                                <w:szCs w:val="21"/>
                              </w:rPr>
                            </w:pPr>
                          </w:p>
                          <w:p w14:paraId="65FE82B1">
                            <w:pPr>
                              <w:jc w:val="center"/>
                              <w:rPr>
                                <w:rFonts w:hAnsi="宋体"/>
                                <w:szCs w:val="21"/>
                              </w:rPr>
                            </w:pPr>
                          </w:p>
                          <w:p w14:paraId="4F6A34EA">
                            <w:pPr>
                              <w:jc w:val="center"/>
                              <w:rPr>
                                <w:szCs w:val="21"/>
                              </w:rPr>
                            </w:pPr>
                            <w:r>
                              <w:rPr>
                                <w:rFonts w:hint="eastAsia" w:hAnsi="宋体"/>
                                <w:szCs w:val="21"/>
                              </w:rPr>
                              <w:t>法人身份证复印件反面</w:t>
                            </w:r>
                          </w:p>
                          <w:p w14:paraId="40985BC0"/>
                          <w:p w14:paraId="4262698F">
                            <w:pPr>
                              <w:pStyle w:val="6"/>
                            </w:pPr>
                          </w:p>
                          <w:p w14:paraId="3921C1C2">
                            <w:pPr>
                              <w:pStyle w:val="6"/>
                            </w:pPr>
                          </w:p>
                          <w:p w14:paraId="7A551AC9">
                            <w:pPr>
                              <w:pStyle w:val="6"/>
                            </w:pPr>
                          </w:p>
                          <w:p w14:paraId="2B3CF95F">
                            <w:pPr>
                              <w:pStyle w:val="6"/>
                            </w:pPr>
                          </w:p>
                        </w:txbxContent>
                      </wps:txbx>
                      <wps:bodyPr upright="1"/>
                    </wps:wsp>
                  </a:graphicData>
                </a:graphic>
              </wp:anchor>
            </w:drawing>
          </mc:Choice>
          <mc:Fallback>
            <w:pict>
              <v:roundrect id="_x0000_s1026" o:spid="_x0000_s1026" o:spt="2" style="position:absolute;left:0pt;margin-left:229.8pt;margin-top:2.25pt;height:126.45pt;width:199.15pt;z-index:251662336;mso-width-relative:page;mso-height-relative:page;" fillcolor="#FFFFFF" filled="t" stroked="t" coordsize="21600,21600" arcsize="0.166666666666667" o:gfxdata="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bUW+dsAAAAJAQAADwAAAAAAAAABACAAAAAiAAAAZHJzL2Rvd25yZXYueG1sUEsB&#10;AhQAFAAAAAgAh07iQMTjHkArAgAAaAQAAA4AAAAAAAAAAQAgAAAAKgEAAGRycy9lMm9Eb2MueG1s&#10;UEsFBgAAAAAGAAYAWQEAAMcFAAAAAA==&#10;">
                <v:fill on="t" focussize="0,0"/>
                <v:stroke weight="1.25pt" color="#808080" joinstyle="round"/>
                <v:imagedata o:title=""/>
                <o:lock v:ext="edit" aspectratio="f"/>
                <v:textbox>
                  <w:txbxContent>
                    <w:p w14:paraId="5754E98E">
                      <w:pPr>
                        <w:jc w:val="center"/>
                        <w:rPr>
                          <w:rFonts w:hAnsi="宋体"/>
                          <w:szCs w:val="21"/>
                        </w:rPr>
                      </w:pPr>
                    </w:p>
                    <w:p w14:paraId="287FA6F0">
                      <w:pPr>
                        <w:jc w:val="center"/>
                        <w:rPr>
                          <w:rFonts w:hAnsi="宋体"/>
                          <w:szCs w:val="21"/>
                        </w:rPr>
                      </w:pPr>
                    </w:p>
                    <w:p w14:paraId="65FE82B1">
                      <w:pPr>
                        <w:jc w:val="center"/>
                        <w:rPr>
                          <w:rFonts w:hAnsi="宋体"/>
                          <w:szCs w:val="21"/>
                        </w:rPr>
                      </w:pPr>
                    </w:p>
                    <w:p w14:paraId="4F6A34EA">
                      <w:pPr>
                        <w:jc w:val="center"/>
                        <w:rPr>
                          <w:szCs w:val="21"/>
                        </w:rPr>
                      </w:pPr>
                      <w:r>
                        <w:rPr>
                          <w:rFonts w:hint="eastAsia" w:hAnsi="宋体"/>
                          <w:szCs w:val="21"/>
                        </w:rPr>
                        <w:t>法人身份证复印件反面</w:t>
                      </w:r>
                    </w:p>
                    <w:p w14:paraId="40985BC0"/>
                    <w:p w14:paraId="4262698F">
                      <w:pPr>
                        <w:pStyle w:val="6"/>
                      </w:pPr>
                    </w:p>
                    <w:p w14:paraId="3921C1C2">
                      <w:pPr>
                        <w:pStyle w:val="6"/>
                      </w:pPr>
                    </w:p>
                    <w:p w14:paraId="7A551AC9">
                      <w:pPr>
                        <w:pStyle w:val="6"/>
                      </w:pPr>
                    </w:p>
                    <w:p w14:paraId="2B3CF95F">
                      <w:pPr>
                        <w:pStyle w:val="6"/>
                      </w:pPr>
                    </w:p>
                  </w:txbxContent>
                </v:textbox>
              </v:roundrect>
            </w:pict>
          </mc:Fallback>
        </mc:AlternateContent>
      </w:r>
    </w:p>
    <w:p w14:paraId="43AFC229">
      <w:pPr>
        <w:spacing w:line="360" w:lineRule="auto"/>
        <w:rPr>
          <w:rFonts w:ascii="仿宋_GB2312" w:hAnsi="仿宋_GB2312" w:eastAsia="仿宋_GB2312" w:cs="仿宋_GB2312"/>
          <w:color w:val="auto"/>
          <w:sz w:val="24"/>
          <w:szCs w:val="20"/>
          <w:highlight w:val="none"/>
        </w:rPr>
      </w:pPr>
    </w:p>
    <w:p w14:paraId="60A8638B">
      <w:pPr>
        <w:spacing w:line="360" w:lineRule="auto"/>
        <w:rPr>
          <w:rFonts w:ascii="仿宋_GB2312" w:hAnsi="仿宋_GB2312" w:eastAsia="仿宋_GB2312" w:cs="仿宋_GB2312"/>
          <w:color w:val="auto"/>
          <w:sz w:val="24"/>
          <w:szCs w:val="20"/>
          <w:highlight w:val="none"/>
        </w:rPr>
      </w:pPr>
    </w:p>
    <w:p w14:paraId="4D77404A">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_GB2312" w:hAnsi="仿宋_GB2312" w:eastAsia="仿宋_GB2312" w:cs="仿宋_GB2312"/>
          <w:color w:val="auto"/>
          <w:sz w:val="24"/>
          <w:szCs w:val="20"/>
          <w:highlight w:val="none"/>
        </w:rPr>
      </w:pPr>
    </w:p>
    <w:p w14:paraId="05D97CA3">
      <w:pPr>
        <w:spacing w:line="360" w:lineRule="auto"/>
        <w:ind w:right="246"/>
        <w:rPr>
          <w:rFonts w:ascii="仿宋_GB2312" w:hAnsi="仿宋_GB2312" w:eastAsia="仿宋_GB2312" w:cs="仿宋_GB2312"/>
          <w:color w:val="auto"/>
          <w:sz w:val="24"/>
          <w:szCs w:val="20"/>
          <w:highlight w:val="none"/>
        </w:rPr>
      </w:pPr>
    </w:p>
    <w:p w14:paraId="716008F9">
      <w:pPr>
        <w:spacing w:line="360" w:lineRule="auto"/>
        <w:ind w:right="246" w:firstLine="784" w:firstLineChars="327"/>
        <w:rPr>
          <w:rFonts w:ascii="仿宋_GB2312" w:hAnsi="仿宋_GB2312" w:eastAsia="仿宋_GB2312" w:cs="仿宋_GB2312"/>
          <w:color w:val="auto"/>
          <w:sz w:val="24"/>
          <w:szCs w:val="20"/>
          <w:highlight w:val="none"/>
        </w:rPr>
      </w:pPr>
    </w:p>
    <w:p w14:paraId="1BB9A251">
      <w:pPr>
        <w:spacing w:line="360" w:lineRule="auto"/>
        <w:ind w:right="246" w:firstLine="784" w:firstLineChars="327"/>
        <w:rPr>
          <w:rFonts w:ascii="仿宋_GB2312" w:hAnsi="仿宋_GB2312" w:eastAsia="仿宋_GB2312" w:cs="仿宋_GB2312"/>
          <w:color w:val="auto"/>
          <w:sz w:val="24"/>
          <w:szCs w:val="20"/>
          <w:highlight w:val="none"/>
        </w:rPr>
      </w:pPr>
    </w:p>
    <w:p w14:paraId="6659D395">
      <w:pPr>
        <w:spacing w:line="360" w:lineRule="auto"/>
        <w:ind w:right="246" w:firstLine="784" w:firstLineChars="327"/>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 xml:space="preserve">供应商（盖章）：                              </w:t>
      </w:r>
    </w:p>
    <w:p w14:paraId="246499BC">
      <w:pPr>
        <w:snapToGrid w:val="0"/>
        <w:spacing w:line="360" w:lineRule="auto"/>
        <w:ind w:firstLine="784" w:firstLineChars="327"/>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 xml:space="preserve">法定代表人签字或盖章：                    </w:t>
      </w:r>
    </w:p>
    <w:p w14:paraId="3408E879">
      <w:pPr>
        <w:snapToGrid w:val="0"/>
        <w:spacing w:line="360" w:lineRule="auto"/>
        <w:ind w:firstLine="784" w:firstLineChars="327"/>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 xml:space="preserve">日期：                                       </w:t>
      </w:r>
    </w:p>
    <w:p w14:paraId="1A9AE248">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491353AA">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11F771D1">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1B477771">
      <w:pPr>
        <w:jc w:val="center"/>
        <w:rPr>
          <w:b/>
          <w:bCs/>
          <w:color w:val="auto"/>
          <w:sz w:val="20"/>
          <w:highlight w:val="none"/>
        </w:rPr>
      </w:pPr>
    </w:p>
    <w:p w14:paraId="2B93A020">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706" w:name="_Toc19476"/>
      <w:bookmarkStart w:id="707" w:name="_Toc6725"/>
      <w:bookmarkStart w:id="708" w:name="_Toc14754"/>
      <w:r>
        <w:rPr>
          <w:rFonts w:hint="eastAsia" w:ascii="仿宋_GB2312" w:hAnsi="仿宋_GB2312" w:eastAsia="仿宋_GB2312" w:cs="仿宋_GB2312"/>
          <w:color w:val="auto"/>
          <w:highlight w:val="none"/>
          <w:u w:val="none"/>
        </w:rPr>
        <w:t>4  法定代表人授权委托书</w:t>
      </w:r>
      <w:bookmarkEnd w:id="706"/>
      <w:bookmarkEnd w:id="707"/>
      <w:bookmarkEnd w:id="708"/>
    </w:p>
    <w:p w14:paraId="76EE727B">
      <w:pPr>
        <w:rPr>
          <w:rFonts w:hint="eastAsia"/>
          <w:color w:val="auto"/>
          <w:highlight w:val="none"/>
        </w:rPr>
      </w:pPr>
    </w:p>
    <w:p w14:paraId="45E11595">
      <w:pPr>
        <w:pStyle w:val="13"/>
        <w:keepNext w:val="0"/>
        <w:keepLines w:val="0"/>
        <w:pageBreakBefore w:val="0"/>
        <w:widowControl/>
        <w:tabs>
          <w:tab w:val="left" w:pos="5580"/>
        </w:tabs>
        <w:kinsoku/>
        <w:wordWrap/>
        <w:overflowPunct/>
        <w:topLinePunct w:val="0"/>
        <w:autoSpaceDE/>
        <w:autoSpaceDN/>
        <w:bidi w:val="0"/>
        <w:adjustRightInd/>
        <w:snapToGrid/>
        <w:spacing w:line="240" w:lineRule="atLeast"/>
        <w:ind w:firstLine="480" w:firstLineChars="200"/>
        <w:textAlignment w:val="baseline"/>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本授权书声明：注册于</w:t>
      </w:r>
      <w:r>
        <w:rPr>
          <w:rFonts w:hint="eastAsia" w:ascii="仿宋_GB2312" w:hAnsi="仿宋_GB2312" w:eastAsia="仿宋_GB2312" w:cs="仿宋_GB2312"/>
          <w:color w:val="auto"/>
          <w:sz w:val="24"/>
          <w:highlight w:val="none"/>
          <w:u w:val="single"/>
        </w:rPr>
        <w:t>（国家或地区的名称）</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rPr>
        <w:t>（供应商）</w:t>
      </w:r>
      <w:r>
        <w:rPr>
          <w:rFonts w:hint="eastAsia" w:ascii="仿宋_GB2312" w:hAnsi="仿宋_GB2312" w:eastAsia="仿宋_GB2312" w:cs="仿宋_GB2312"/>
          <w:color w:val="auto"/>
          <w:sz w:val="24"/>
          <w:highlight w:val="none"/>
        </w:rPr>
        <w:t>的在下面签字的</w:t>
      </w:r>
      <w:r>
        <w:rPr>
          <w:rFonts w:hint="eastAsia" w:ascii="仿宋_GB2312" w:hAnsi="仿宋_GB2312" w:eastAsia="仿宋_GB2312" w:cs="仿宋_GB2312"/>
          <w:color w:val="auto"/>
          <w:sz w:val="24"/>
          <w:highlight w:val="none"/>
          <w:u w:val="single"/>
        </w:rPr>
        <w:t>（法人代表姓名、职务）</w:t>
      </w:r>
      <w:r>
        <w:rPr>
          <w:rFonts w:hint="eastAsia" w:ascii="仿宋_GB2312" w:hAnsi="仿宋_GB2312" w:eastAsia="仿宋_GB2312" w:cs="仿宋_GB2312"/>
          <w:color w:val="auto"/>
          <w:sz w:val="24"/>
          <w:highlight w:val="none"/>
        </w:rPr>
        <w:t>代表我单位授权</w:t>
      </w:r>
      <w:r>
        <w:rPr>
          <w:rFonts w:hint="eastAsia" w:ascii="仿宋_GB2312" w:hAnsi="仿宋_GB2312" w:eastAsia="仿宋_GB2312" w:cs="仿宋_GB2312"/>
          <w:color w:val="auto"/>
          <w:sz w:val="24"/>
          <w:highlight w:val="none"/>
          <w:u w:val="single"/>
        </w:rPr>
        <w:t>（单位名称）</w:t>
      </w:r>
      <w:r>
        <w:rPr>
          <w:rFonts w:hint="eastAsia" w:ascii="仿宋_GB2312" w:hAnsi="仿宋_GB2312" w:eastAsia="仿宋_GB2312" w:cs="仿宋_GB2312"/>
          <w:color w:val="auto"/>
          <w:sz w:val="24"/>
          <w:highlight w:val="none"/>
        </w:rPr>
        <w:t>的在下面签字的</w:t>
      </w:r>
      <w:r>
        <w:rPr>
          <w:rFonts w:hint="eastAsia" w:ascii="仿宋_GB2312" w:hAnsi="仿宋_GB2312" w:eastAsia="仿宋_GB2312" w:cs="仿宋_GB2312"/>
          <w:color w:val="auto"/>
          <w:sz w:val="24"/>
          <w:highlight w:val="none"/>
          <w:u w:val="single"/>
        </w:rPr>
        <w:t>（被授权人的姓名、职务）</w:t>
      </w:r>
      <w:r>
        <w:rPr>
          <w:rFonts w:hint="eastAsia" w:ascii="仿宋_GB2312" w:hAnsi="仿宋_GB2312" w:eastAsia="仿宋_GB2312" w:cs="仿宋_GB2312"/>
          <w:color w:val="auto"/>
          <w:sz w:val="24"/>
          <w:highlight w:val="none"/>
        </w:rPr>
        <w:t>为我单位的合法代理人，就项目名称</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u w:val="single"/>
        </w:rPr>
        <w:t>（编号名称）</w:t>
      </w:r>
      <w:r>
        <w:rPr>
          <w:rFonts w:hint="eastAsia" w:ascii="仿宋_GB2312" w:hAnsi="仿宋_GB2312" w:eastAsia="仿宋_GB2312" w:cs="仿宋_GB2312"/>
          <w:color w:val="auto"/>
          <w:sz w:val="24"/>
          <w:highlight w:val="none"/>
          <w:lang w:eastAsia="zh-CN"/>
        </w:rPr>
        <w:t>的项目</w:t>
      </w:r>
      <w:r>
        <w:rPr>
          <w:rFonts w:hint="eastAsia" w:ascii="仿宋_GB2312" w:hAnsi="仿宋_GB2312" w:eastAsia="仿宋_GB2312" w:cs="仿宋_GB2312"/>
          <w:color w:val="auto"/>
          <w:sz w:val="24"/>
          <w:highlight w:val="none"/>
        </w:rPr>
        <w:t>，以我单位名义处理一切与之有关的事务。</w:t>
      </w:r>
      <w:r>
        <w:rPr>
          <w:rFonts w:hint="eastAsia" w:ascii="仿宋_GB2312" w:hAnsi="仿宋_GB2312" w:eastAsia="仿宋_GB2312" w:cs="仿宋_GB2312"/>
          <w:color w:val="auto"/>
          <w:sz w:val="24"/>
          <w:highlight w:val="none"/>
        </w:rPr>
        <w:cr/>
      </w:r>
    </w:p>
    <w:p w14:paraId="18D22AF1">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2810510</wp:posOffset>
                </wp:positionH>
                <wp:positionV relativeFrom="paragraph">
                  <wp:posOffset>591185</wp:posOffset>
                </wp:positionV>
                <wp:extent cx="2506980" cy="1424940"/>
                <wp:effectExtent l="8255" t="7620" r="18415" b="15240"/>
                <wp:wrapNone/>
                <wp:docPr id="2" name="圆角矩形 2"/>
                <wp:cNvGraphicFramePr/>
                <a:graphic xmlns:a="http://schemas.openxmlformats.org/drawingml/2006/main">
                  <a:graphicData uri="http://schemas.microsoft.com/office/word/2010/wordprocessingShape">
                    <wps:wsp>
                      <wps:cNvSpPr/>
                      <wps:spPr>
                        <a:xfrm>
                          <a:off x="0" y="0"/>
                          <a:ext cx="2506980" cy="142494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4E18B31">
                            <w:pPr>
                              <w:rPr>
                                <w:rFonts w:hAnsi="宋体"/>
                              </w:rPr>
                            </w:pPr>
                          </w:p>
                          <w:p w14:paraId="0F07B7E1">
                            <w:pPr>
                              <w:rPr>
                                <w:rFonts w:hAnsi="宋体"/>
                              </w:rPr>
                            </w:pPr>
                          </w:p>
                          <w:p w14:paraId="0379A522">
                            <w:r>
                              <w:rPr>
                                <w:rFonts w:hint="eastAsia" w:hAnsi="宋体"/>
                              </w:rPr>
                              <w:t>授权委托人身份证复印件反面</w:t>
                            </w:r>
                          </w:p>
                          <w:p w14:paraId="53EF3631"/>
                        </w:txbxContent>
                      </wps:txbx>
                      <wps:bodyPr upright="1"/>
                    </wps:wsp>
                  </a:graphicData>
                </a:graphic>
              </wp:anchor>
            </w:drawing>
          </mc:Choice>
          <mc:Fallback>
            <w:pict>
              <v:roundrect id="_x0000_s1026" o:spid="_x0000_s1026" o:spt="2" style="position:absolute;left:0pt;margin-left:221.3pt;margin-top:46.55pt;height:112.2pt;width:197.4pt;z-index:251664384;mso-width-relative:page;mso-height-relative:page;" fillcolor="#FFFFFF" filled="t" stroked="t" coordsize="21600,21600" arcsize="0.166666666666667" o:gfxdata="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L15ItwAAAAKAQAADwAAAAAAAAABACAAAAAiAAAAZHJzL2Rvd25yZXYueG1s&#10;UEsBAhQAFAAAAAgAh07iQJJaPk4tAgAAZgQAAA4AAAAAAAAAAQAgAAAAKwEAAGRycy9lMm9Eb2Mu&#10;eG1sUEsFBgAAAAAGAAYAWQEAAMoFAAAAAA==&#10;">
                <v:fill on="t" focussize="0,0"/>
                <v:stroke weight="1.25pt" color="#808080" joinstyle="round"/>
                <v:imagedata o:title=""/>
                <o:lock v:ext="edit" aspectratio="f"/>
                <v:textbox>
                  <w:txbxContent>
                    <w:p w14:paraId="04E18B31">
                      <w:pPr>
                        <w:rPr>
                          <w:rFonts w:hAnsi="宋体"/>
                        </w:rPr>
                      </w:pPr>
                    </w:p>
                    <w:p w14:paraId="0F07B7E1">
                      <w:pPr>
                        <w:rPr>
                          <w:rFonts w:hAnsi="宋体"/>
                        </w:rPr>
                      </w:pPr>
                    </w:p>
                    <w:p w14:paraId="0379A522">
                      <w:r>
                        <w:rPr>
                          <w:rFonts w:hint="eastAsia" w:hAnsi="宋体"/>
                        </w:rPr>
                        <w:t>授权委托人身份证复印件反面</w:t>
                      </w:r>
                    </w:p>
                    <w:p w14:paraId="53EF3631"/>
                  </w:txbxContent>
                </v:textbox>
              </v:roundrect>
            </w:pict>
          </mc:Fallback>
        </mc:AlternateContent>
      </w:r>
      <w:r>
        <w:rPr>
          <w:rFonts w:hint="eastAsia" w:ascii="仿宋_GB2312" w:hAnsi="仿宋_GB2312" w:eastAsia="仿宋_GB2312" w:cs="仿宋_GB2312"/>
          <w:color w:val="auto"/>
          <w:sz w:val="24"/>
          <w:highlight w:val="none"/>
        </w:rPr>
        <w:t>本授权书于           年     月     日签字生效,特此声明。</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cr/>
      </w:r>
    </w:p>
    <w:p w14:paraId="5AC794DF">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6350</wp:posOffset>
                </wp:positionV>
                <wp:extent cx="2440305" cy="1426210"/>
                <wp:effectExtent l="4445" t="4445" r="12700" b="17145"/>
                <wp:wrapNone/>
                <wp:docPr id="4" name="流程图: 可选过程 4"/>
                <wp:cNvGraphicFramePr/>
                <a:graphic xmlns:a="http://schemas.openxmlformats.org/drawingml/2006/main">
                  <a:graphicData uri="http://schemas.microsoft.com/office/word/2010/wordprocessingShape">
                    <wps:wsp>
                      <wps:cNvSpPr/>
                      <wps:spPr>
                        <a:xfrm>
                          <a:off x="0" y="0"/>
                          <a:ext cx="2440305" cy="14262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ECF1430">
                            <w:pPr>
                              <w:jc w:val="center"/>
                              <w:rPr>
                                <w:rFonts w:hAnsi="宋体"/>
                              </w:rPr>
                            </w:pPr>
                          </w:p>
                          <w:p w14:paraId="7E4087D3">
                            <w:pPr>
                              <w:jc w:val="center"/>
                              <w:rPr>
                                <w:rFonts w:hAnsi="宋体"/>
                              </w:rPr>
                            </w:pPr>
                          </w:p>
                          <w:p w14:paraId="3F6F27BB">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9.05pt;margin-top:0.5pt;height:112.3pt;width:192.15pt;z-index:251663360;mso-width-relative:page;mso-height-relative:page;" fillcolor="#FFFFFF" filled="t" stroked="t" coordsize="21600,21600" o:gfxdata="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l84h1gAAAAgBAAAPAAAAAAAAAAEAIAAAACIAAABkcnMvZG93bnJldi54bWxQSwEC&#10;FAAUAAAACACHTuJAGVsLLy8CAABeBAAADgAAAAAAAAABACAAAAAlAQAAZHJzL2Uyb0RvYy54bWxQ&#10;SwUGAAAAAAYABgBZAQAAxgUAAAAA&#10;">
                <v:fill on="t" focussize="0,0"/>
                <v:stroke color="#000000" joinstyle="miter"/>
                <v:imagedata o:title=""/>
                <o:lock v:ext="edit" aspectratio="f"/>
                <v:textbox>
                  <w:txbxContent>
                    <w:p w14:paraId="6ECF1430">
                      <w:pPr>
                        <w:jc w:val="center"/>
                        <w:rPr>
                          <w:rFonts w:hAnsi="宋体"/>
                        </w:rPr>
                      </w:pPr>
                    </w:p>
                    <w:p w14:paraId="7E4087D3">
                      <w:pPr>
                        <w:jc w:val="center"/>
                        <w:rPr>
                          <w:rFonts w:hAnsi="宋体"/>
                        </w:rPr>
                      </w:pPr>
                    </w:p>
                    <w:p w14:paraId="3F6F27BB">
                      <w:r>
                        <w:rPr>
                          <w:rFonts w:hint="eastAsia" w:hAnsi="宋体"/>
                        </w:rPr>
                        <w:t>授权委托人身份证复印件正面</w:t>
                      </w:r>
                    </w:p>
                  </w:txbxContent>
                </v:textbox>
              </v:shape>
            </w:pict>
          </mc:Fallback>
        </mc:AlternateContent>
      </w:r>
    </w:p>
    <w:p w14:paraId="633142C3">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3559D85B">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42792F36">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271B7534">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4767C0E2">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3FAC3B23">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372FF816">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2845435</wp:posOffset>
                </wp:positionH>
                <wp:positionV relativeFrom="paragraph">
                  <wp:posOffset>121285</wp:posOffset>
                </wp:positionV>
                <wp:extent cx="2491105" cy="1392555"/>
                <wp:effectExtent l="7620" t="7620" r="15875" b="9525"/>
                <wp:wrapNone/>
                <wp:docPr id="9" name="圆角矩形 9"/>
                <wp:cNvGraphicFramePr/>
                <a:graphic xmlns:a="http://schemas.openxmlformats.org/drawingml/2006/main">
                  <a:graphicData uri="http://schemas.microsoft.com/office/word/2010/wordprocessingShape">
                    <wps:wsp>
                      <wps:cNvSpPr/>
                      <wps:spPr>
                        <a:xfrm>
                          <a:off x="0" y="0"/>
                          <a:ext cx="2491105" cy="13925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853A355">
                            <w:pPr>
                              <w:rPr>
                                <w:rFonts w:hAnsi="宋体"/>
                              </w:rPr>
                            </w:pPr>
                          </w:p>
                          <w:p w14:paraId="527AFA36">
                            <w:pPr>
                              <w:ind w:firstLine="420" w:firstLineChars="200"/>
                              <w:rPr>
                                <w:rFonts w:hAnsi="宋体"/>
                              </w:rPr>
                            </w:pPr>
                          </w:p>
                          <w:p w14:paraId="5DA69543">
                            <w:pPr>
                              <w:ind w:firstLine="420" w:firstLineChars="200"/>
                            </w:pPr>
                            <w:r>
                              <w:rPr>
                                <w:rFonts w:hint="eastAsia" w:hAnsi="宋体"/>
                              </w:rPr>
                              <w:t>法人身份证复印件反面</w:t>
                            </w:r>
                          </w:p>
                          <w:p w14:paraId="3F3B0526"/>
                        </w:txbxContent>
                      </wps:txbx>
                      <wps:bodyPr upright="1"/>
                    </wps:wsp>
                  </a:graphicData>
                </a:graphic>
              </wp:anchor>
            </w:drawing>
          </mc:Choice>
          <mc:Fallback>
            <w:pict>
              <v:roundrect id="_x0000_s1026" o:spid="_x0000_s1026" o:spt="2" style="position:absolute;left:0pt;margin-left:224.05pt;margin-top:9.55pt;height:109.65pt;width:196.15pt;z-index:251666432;mso-width-relative:page;mso-height-relative:page;" fillcolor="#FFFFFF" filled="t" stroked="t" coordsize="21600,21600" arcsize="0.166666666666667" o:gfxdata="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qSzjbAAAACgEAAA8AAAAAAAAAAQAgAAAAIgAAAGRycy9kb3ducmV2LnhtbFBL&#10;AQIUABQAAAAIAIdO4kCo/v9dLAIAAGYEAAAOAAAAAAAAAAEAIAAAACoBAABkcnMvZTJvRG9jLnht&#10;bFBLBQYAAAAABgAGAFkBAADIBQAAAAA=&#10;">
                <v:fill on="t" focussize="0,0"/>
                <v:stroke weight="1.25pt" color="#808080" joinstyle="round"/>
                <v:imagedata o:title=""/>
                <o:lock v:ext="edit" aspectratio="f"/>
                <v:textbox>
                  <w:txbxContent>
                    <w:p w14:paraId="5853A355">
                      <w:pPr>
                        <w:rPr>
                          <w:rFonts w:hAnsi="宋体"/>
                        </w:rPr>
                      </w:pPr>
                    </w:p>
                    <w:p w14:paraId="527AFA36">
                      <w:pPr>
                        <w:ind w:firstLine="420" w:firstLineChars="200"/>
                        <w:rPr>
                          <w:rFonts w:hAnsi="宋体"/>
                        </w:rPr>
                      </w:pPr>
                    </w:p>
                    <w:p w14:paraId="5DA69543">
                      <w:pPr>
                        <w:ind w:firstLine="420" w:firstLineChars="200"/>
                      </w:pPr>
                      <w:r>
                        <w:rPr>
                          <w:rFonts w:hint="eastAsia" w:hAnsi="宋体"/>
                        </w:rPr>
                        <w:t>法人身份证复印件反面</w:t>
                      </w:r>
                    </w:p>
                    <w:p w14:paraId="3F3B0526"/>
                  </w:txbxContent>
                </v:textbox>
              </v:roundrect>
            </w:pict>
          </mc:Fallback>
        </mc:AlternateContent>
      </w:r>
      <w:r>
        <w:rPr>
          <w:rFonts w:ascii="仿宋_GB2312" w:hAnsi="仿宋_GB2312" w:eastAsia="仿宋_GB2312" w:cs="仿宋_GB2312"/>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244475</wp:posOffset>
                </wp:positionH>
                <wp:positionV relativeFrom="paragraph">
                  <wp:posOffset>111125</wp:posOffset>
                </wp:positionV>
                <wp:extent cx="2461895" cy="1411605"/>
                <wp:effectExtent l="7620" t="7620" r="26035" b="9525"/>
                <wp:wrapNone/>
                <wp:docPr id="5" name="圆角矩形 5"/>
                <wp:cNvGraphicFramePr/>
                <a:graphic xmlns:a="http://schemas.openxmlformats.org/drawingml/2006/main">
                  <a:graphicData uri="http://schemas.microsoft.com/office/word/2010/wordprocessingShape">
                    <wps:wsp>
                      <wps:cNvSpPr/>
                      <wps:spPr>
                        <a:xfrm>
                          <a:off x="0" y="0"/>
                          <a:ext cx="2461895" cy="141160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1B400B6">
                            <w:pPr>
                              <w:jc w:val="center"/>
                              <w:rPr>
                                <w:rFonts w:hAnsi="宋体"/>
                              </w:rPr>
                            </w:pPr>
                          </w:p>
                          <w:p w14:paraId="752FC98A">
                            <w:pPr>
                              <w:jc w:val="center"/>
                              <w:rPr>
                                <w:rFonts w:hAnsi="宋体"/>
                              </w:rPr>
                            </w:pPr>
                          </w:p>
                          <w:p w14:paraId="4EA3A38C">
                            <w:pPr>
                              <w:ind w:firstLine="420" w:firstLineChars="200"/>
                            </w:pPr>
                            <w:r>
                              <w:rPr>
                                <w:rFonts w:hint="eastAsia" w:hAnsi="宋体"/>
                              </w:rPr>
                              <w:t>法人身份证复印件正面</w:t>
                            </w:r>
                          </w:p>
                          <w:p w14:paraId="05C8D14F"/>
                        </w:txbxContent>
                      </wps:txbx>
                      <wps:bodyPr upright="1"/>
                    </wps:wsp>
                  </a:graphicData>
                </a:graphic>
              </wp:anchor>
            </w:drawing>
          </mc:Choice>
          <mc:Fallback>
            <w:pict>
              <v:roundrect id="_x0000_s1026" o:spid="_x0000_s1026" o:spt="2" style="position:absolute;left:0pt;margin-left:19.25pt;margin-top:8.75pt;height:111.15pt;width:193.85pt;z-index:251665408;mso-width-relative:page;mso-height-relative:page;" fillcolor="#FFFFFF" filled="t" stroked="t" coordsize="21600,21600" arcsize="0.166666666666667" o:gfxdata="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oDVrnbAAAACQEAAA8AAAAAAAAAAQAgAAAAIgAAAGRycy9kb3ducmV2LnhtbFBL&#10;AQIUABQAAAAIAIdO4kAiLqhYLAIAAGYEAAAOAAAAAAAAAAEAIAAAACoBAABkcnMvZTJvRG9jLnht&#10;bFBLBQYAAAAABgAGAFkBAADIBQAAAAA=&#10;">
                <v:fill on="t" focussize="0,0"/>
                <v:stroke weight="1.25pt" color="#808080" joinstyle="round"/>
                <v:imagedata o:title=""/>
                <o:lock v:ext="edit" aspectratio="f"/>
                <v:textbox>
                  <w:txbxContent>
                    <w:p w14:paraId="11B400B6">
                      <w:pPr>
                        <w:jc w:val="center"/>
                        <w:rPr>
                          <w:rFonts w:hAnsi="宋体"/>
                        </w:rPr>
                      </w:pPr>
                    </w:p>
                    <w:p w14:paraId="752FC98A">
                      <w:pPr>
                        <w:jc w:val="center"/>
                        <w:rPr>
                          <w:rFonts w:hAnsi="宋体"/>
                        </w:rPr>
                      </w:pPr>
                    </w:p>
                    <w:p w14:paraId="4EA3A38C">
                      <w:pPr>
                        <w:ind w:firstLine="420" w:firstLineChars="200"/>
                      </w:pPr>
                      <w:r>
                        <w:rPr>
                          <w:rFonts w:hint="eastAsia" w:hAnsi="宋体"/>
                        </w:rPr>
                        <w:t>法人身份证复印件正面</w:t>
                      </w:r>
                    </w:p>
                    <w:p w14:paraId="05C8D14F"/>
                  </w:txbxContent>
                </v:textbox>
              </v:roundrect>
            </w:pict>
          </mc:Fallback>
        </mc:AlternateContent>
      </w:r>
    </w:p>
    <w:p w14:paraId="63B12351">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3ECC5CAB">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3C0A2160">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0D47BD75">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p>
    <w:p w14:paraId="7C22BCB6">
      <w:pPr>
        <w:pStyle w:val="13"/>
        <w:tabs>
          <w:tab w:val="left" w:pos="5580"/>
        </w:tabs>
        <w:spacing w:line="240" w:lineRule="atLeast"/>
        <w:ind w:left="1079" w:leftChars="257" w:hanging="540"/>
        <w:rPr>
          <w:rFonts w:hint="eastAsia" w:ascii="仿宋_GB2312" w:hAnsi="仿宋_GB2312" w:eastAsia="仿宋_GB2312" w:cs="仿宋_GB2312"/>
          <w:color w:val="auto"/>
          <w:sz w:val="24"/>
          <w:highlight w:val="none"/>
        </w:rPr>
      </w:pPr>
    </w:p>
    <w:p w14:paraId="515186F6">
      <w:pPr>
        <w:pStyle w:val="13"/>
        <w:tabs>
          <w:tab w:val="left" w:pos="5580"/>
        </w:tabs>
        <w:spacing w:line="240" w:lineRule="atLeast"/>
        <w:ind w:left="1079" w:leftChars="257" w:hanging="540"/>
        <w:rPr>
          <w:rFonts w:hint="eastAsia" w:ascii="仿宋_GB2312" w:hAnsi="仿宋_GB2312" w:eastAsia="仿宋_GB2312" w:cs="仿宋_GB2312"/>
          <w:color w:val="auto"/>
          <w:sz w:val="24"/>
          <w:highlight w:val="none"/>
        </w:rPr>
      </w:pPr>
    </w:p>
    <w:p w14:paraId="14592044">
      <w:pPr>
        <w:pStyle w:val="13"/>
        <w:tabs>
          <w:tab w:val="left" w:pos="5580"/>
        </w:tabs>
        <w:spacing w:line="240" w:lineRule="atLeast"/>
        <w:ind w:left="1079" w:leftChars="257" w:hanging="540"/>
        <w:rPr>
          <w:rFonts w:hint="eastAsia" w:ascii="仿宋_GB2312" w:hAnsi="仿宋_GB2312" w:eastAsia="仿宋_GB2312" w:cs="仿宋_GB2312"/>
          <w:color w:val="auto"/>
          <w:sz w:val="24"/>
          <w:highlight w:val="none"/>
        </w:rPr>
      </w:pPr>
    </w:p>
    <w:p w14:paraId="77F30A59">
      <w:pPr>
        <w:pStyle w:val="13"/>
        <w:tabs>
          <w:tab w:val="left" w:pos="5580"/>
        </w:tabs>
        <w:spacing w:line="240" w:lineRule="atLeast"/>
        <w:ind w:left="1079" w:leftChars="257" w:hanging="540"/>
        <w:rPr>
          <w:rFonts w:hint="eastAsia" w:ascii="仿宋_GB2312" w:hAnsi="仿宋_GB2312" w:eastAsia="仿宋_GB2312" w:cs="仿宋_GB2312"/>
          <w:color w:val="auto"/>
          <w:sz w:val="24"/>
          <w:highlight w:val="none"/>
        </w:rPr>
      </w:pPr>
    </w:p>
    <w:p w14:paraId="033FB9A5">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供应商（盖单位章）;__________                           </w:t>
      </w:r>
    </w:p>
    <w:p w14:paraId="2BE0529E">
      <w:pPr>
        <w:pStyle w:val="13"/>
        <w:tabs>
          <w:tab w:val="left" w:pos="5580"/>
        </w:tabs>
        <w:spacing w:line="240" w:lineRule="atLeast"/>
        <w:ind w:left="1079" w:leftChars="257" w:hanging="54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法定代表人（签字或签章）：__________</w:t>
      </w:r>
    </w:p>
    <w:p w14:paraId="5E1F41DA">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身份证号码：__________________________________ </w:t>
      </w:r>
    </w:p>
    <w:p w14:paraId="71DF7993">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委托代理人：（签字或签章）__________</w:t>
      </w:r>
    </w:p>
    <w:p w14:paraId="33173662">
      <w:pPr>
        <w:pStyle w:val="13"/>
        <w:tabs>
          <w:tab w:val="left" w:pos="5580"/>
        </w:tabs>
        <w:spacing w:line="240" w:lineRule="atLeast"/>
        <w:ind w:left="1079" w:leftChars="257" w:hanging="54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身份证号码：__________________________________</w:t>
      </w:r>
      <w:r>
        <w:rPr>
          <w:rFonts w:hint="eastAsia" w:ascii="仿宋_GB2312" w:hAnsi="仿宋_GB2312" w:eastAsia="仿宋_GB2312" w:cs="仿宋_GB2312"/>
          <w:color w:val="auto"/>
          <w:sz w:val="24"/>
          <w:highlight w:val="none"/>
          <w:lang w:val="en-US" w:eastAsia="zh-CN"/>
        </w:rPr>
        <w:t xml:space="preserve"> </w:t>
      </w:r>
    </w:p>
    <w:p w14:paraId="1B7B1D49">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详细通讯地址：__________</w:t>
      </w:r>
    </w:p>
    <w:p w14:paraId="4F5E873A">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 政 编 码 ：__________</w:t>
      </w:r>
    </w:p>
    <w:p w14:paraId="0D33FA96">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真：__________</w:t>
      </w:r>
    </w:p>
    <w:p w14:paraId="5B8F38C5">
      <w:pPr>
        <w:pStyle w:val="13"/>
        <w:tabs>
          <w:tab w:val="left" w:pos="5580"/>
        </w:tabs>
        <w:spacing w:line="240" w:lineRule="atLeast"/>
        <w:ind w:left="1079" w:leftChars="257" w:hanging="5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　　　　话：__________</w:t>
      </w:r>
    </w:p>
    <w:p w14:paraId="1D7E85B9">
      <w:pPr>
        <w:rPr>
          <w:rFonts w:hint="eastAsia"/>
          <w:color w:val="auto"/>
          <w:highlight w:val="none"/>
        </w:rPr>
      </w:pPr>
      <w:bookmarkStart w:id="709" w:name="_Toc515647810"/>
      <w:bookmarkStart w:id="710" w:name="_Toc18754"/>
      <w:bookmarkStart w:id="711" w:name="_Toc5710"/>
      <w:bookmarkStart w:id="712" w:name="_Toc41737064"/>
      <w:r>
        <w:rPr>
          <w:rFonts w:ascii="仿宋_GB2312" w:hAnsi="微软雅黑 Light" w:eastAsia="仿宋_GB2312" w:cs="微软雅黑 Light"/>
          <w:b/>
          <w:bCs/>
          <w:iCs/>
          <w:color w:val="auto"/>
          <w:sz w:val="24"/>
          <w:highlight w:val="none"/>
        </w:rPr>
        <w:br w:type="page"/>
      </w:r>
      <w:bookmarkStart w:id="713" w:name="_Toc9134"/>
      <w:bookmarkStart w:id="714" w:name="_Toc11572"/>
    </w:p>
    <w:p w14:paraId="7823D912">
      <w:pPr>
        <w:rPr>
          <w:rFonts w:hint="eastAsia"/>
          <w:color w:val="auto"/>
          <w:highlight w:val="none"/>
        </w:rPr>
      </w:pPr>
    </w:p>
    <w:p w14:paraId="675D7855">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715" w:name="_Toc28031"/>
      <w:r>
        <w:rPr>
          <w:rFonts w:hint="eastAsia" w:ascii="仿宋_GB2312" w:hAnsi="仿宋_GB2312" w:eastAsia="仿宋_GB2312" w:cs="仿宋_GB2312"/>
          <w:color w:val="auto"/>
          <w:highlight w:val="none"/>
          <w:u w:val="none"/>
        </w:rPr>
        <w:t>5  投标保证金缴纳凭证复印件</w:t>
      </w:r>
      <w:bookmarkEnd w:id="713"/>
      <w:bookmarkEnd w:id="714"/>
      <w:bookmarkEnd w:id="715"/>
    </w:p>
    <w:p w14:paraId="60425F4B">
      <w:pPr>
        <w:pStyle w:val="23"/>
        <w:spacing w:beforeAutospacing="0" w:afterAutospacing="0" w:line="360" w:lineRule="auto"/>
        <w:ind w:left="147" w:firstLine="480" w:firstLineChars="200"/>
        <w:textAlignment w:val="auto"/>
        <w:rPr>
          <w:rFonts w:ascii="仿宋" w:hAnsi="仿宋" w:eastAsia="仿宋"/>
          <w:color w:val="auto"/>
          <w:highlight w:val="none"/>
        </w:rPr>
      </w:pPr>
      <w:r>
        <w:rPr>
          <w:rFonts w:hint="eastAsia" w:ascii="仿宋" w:hAnsi="仿宋" w:eastAsia="仿宋" w:cs="Times New Roman"/>
          <w:color w:val="auto"/>
          <w:highlight w:val="none"/>
        </w:rPr>
        <w:t>投标保证金应当以支票、汇票、本票或者金融机构、担保机构出具的保函等非现金形式提交。投标人未按照招标文件要求提交投标保证金的，投标无效。</w:t>
      </w:r>
      <w:bookmarkStart w:id="716" w:name="_Toc494296665"/>
      <w:bookmarkStart w:id="717" w:name="_Toc494296991"/>
      <w:r>
        <w:rPr>
          <w:rFonts w:hint="eastAsia" w:ascii="仿宋" w:hAnsi="仿宋" w:eastAsia="仿宋" w:cs="Times New Roman"/>
          <w:color w:val="auto"/>
          <w:highlight w:val="none"/>
        </w:rPr>
        <w:t>投</w:t>
      </w:r>
      <w:r>
        <w:rPr>
          <w:rFonts w:hint="eastAsia" w:ascii="仿宋" w:hAnsi="仿宋" w:eastAsia="仿宋"/>
          <w:color w:val="auto"/>
          <w:highlight w:val="none"/>
        </w:rPr>
        <w:t>标人可将本项目</w:t>
      </w:r>
      <w:r>
        <w:rPr>
          <w:rFonts w:ascii="仿宋" w:hAnsi="仿宋" w:eastAsia="仿宋"/>
          <w:color w:val="auto"/>
          <w:highlight w:val="none"/>
        </w:rPr>
        <w:t>保证金</w:t>
      </w:r>
      <w:r>
        <w:rPr>
          <w:rFonts w:hint="eastAsia" w:ascii="仿宋" w:hAnsi="仿宋" w:eastAsia="仿宋" w:cs="Times New Roman"/>
          <w:color w:val="auto"/>
          <w:highlight w:val="none"/>
        </w:rPr>
        <w:t>凭证</w:t>
      </w:r>
      <w:r>
        <w:rPr>
          <w:rFonts w:hint="eastAsia" w:ascii="仿宋" w:hAnsi="仿宋" w:eastAsia="仿宋"/>
          <w:color w:val="auto"/>
          <w:highlight w:val="none"/>
        </w:rPr>
        <w:t>的复印件作为缴纳凭证体现在本部分中，复印件上应加盖本单位章；使用</w:t>
      </w:r>
      <w:r>
        <w:rPr>
          <w:rFonts w:ascii="仿宋" w:hAnsi="仿宋" w:eastAsia="仿宋"/>
          <w:color w:val="auto"/>
          <w:highlight w:val="none"/>
        </w:rPr>
        <w:t>银行保函</w:t>
      </w:r>
      <w:r>
        <w:rPr>
          <w:rFonts w:hint="eastAsia" w:ascii="仿宋" w:hAnsi="仿宋" w:eastAsia="仿宋"/>
          <w:color w:val="auto"/>
          <w:highlight w:val="none"/>
        </w:rPr>
        <w:t>等其他投标</w:t>
      </w:r>
      <w:r>
        <w:rPr>
          <w:rFonts w:ascii="仿宋" w:hAnsi="仿宋" w:eastAsia="仿宋"/>
          <w:color w:val="auto"/>
          <w:highlight w:val="none"/>
        </w:rPr>
        <w:t>担保函的，</w:t>
      </w:r>
      <w:r>
        <w:rPr>
          <w:rFonts w:hint="eastAsia" w:ascii="仿宋" w:hAnsi="仿宋" w:eastAsia="仿宋"/>
          <w:color w:val="auto"/>
          <w:highlight w:val="none"/>
        </w:rPr>
        <w:t>应将</w:t>
      </w:r>
      <w:r>
        <w:rPr>
          <w:rFonts w:ascii="仿宋" w:hAnsi="仿宋" w:eastAsia="仿宋"/>
          <w:color w:val="auto"/>
          <w:highlight w:val="none"/>
        </w:rPr>
        <w:t>担保函</w:t>
      </w:r>
      <w:r>
        <w:rPr>
          <w:rFonts w:hint="eastAsia" w:ascii="仿宋" w:hAnsi="仿宋" w:eastAsia="仿宋"/>
          <w:color w:val="auto"/>
          <w:highlight w:val="none"/>
        </w:rPr>
        <w:t>复印件，体现在本部分</w:t>
      </w:r>
      <w:r>
        <w:rPr>
          <w:rFonts w:ascii="仿宋" w:hAnsi="仿宋" w:eastAsia="仿宋"/>
          <w:color w:val="auto"/>
          <w:highlight w:val="none"/>
        </w:rPr>
        <w:t>中；</w:t>
      </w:r>
      <w:r>
        <w:rPr>
          <w:rFonts w:hint="eastAsia" w:ascii="仿宋" w:hAnsi="仿宋" w:eastAsia="仿宋"/>
          <w:color w:val="auto"/>
          <w:highlight w:val="none"/>
        </w:rPr>
        <w:t>如采用政府采购信用担保形式的，</w:t>
      </w:r>
      <w:r>
        <w:rPr>
          <w:rFonts w:ascii="仿宋" w:hAnsi="仿宋" w:eastAsia="仿宋"/>
          <w:color w:val="auto"/>
          <w:highlight w:val="none"/>
        </w:rPr>
        <w:t>应使用</w:t>
      </w:r>
      <w:r>
        <w:rPr>
          <w:rFonts w:hint="eastAsia" w:ascii="仿宋" w:hAnsi="仿宋" w:eastAsia="仿宋"/>
          <w:color w:val="auto"/>
          <w:highlight w:val="none"/>
        </w:rPr>
        <w:t>以下模板,将复印件体现</w:t>
      </w:r>
      <w:r>
        <w:rPr>
          <w:rFonts w:ascii="仿宋" w:hAnsi="仿宋" w:eastAsia="仿宋"/>
          <w:color w:val="auto"/>
          <w:highlight w:val="none"/>
        </w:rPr>
        <w:t>在本部分中</w:t>
      </w:r>
      <w:r>
        <w:rPr>
          <w:rFonts w:hint="eastAsia" w:ascii="仿宋" w:hAnsi="仿宋" w:eastAsia="仿宋"/>
          <w:color w:val="auto"/>
          <w:highlight w:val="none"/>
        </w:rPr>
        <w:t>。</w:t>
      </w:r>
      <w:bookmarkEnd w:id="716"/>
      <w:bookmarkEnd w:id="717"/>
    </w:p>
    <w:p w14:paraId="153721B7">
      <w:pPr>
        <w:pStyle w:val="26"/>
        <w:ind w:firstLine="0" w:firstLineChars="0"/>
        <w:rPr>
          <w:rFonts w:hint="default"/>
          <w:color w:val="auto"/>
          <w:highlight w:val="none"/>
        </w:rPr>
      </w:pPr>
    </w:p>
    <w:p w14:paraId="582387B1">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br w:type="page"/>
      </w:r>
    </w:p>
    <w:p w14:paraId="4CCC9DC4">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政府采购投标担保函 （项目用）</w:t>
      </w:r>
    </w:p>
    <w:p w14:paraId="62480B23">
      <w:pPr>
        <w:ind w:firstLine="6720" w:firstLineChars="3200"/>
        <w:rPr>
          <w:rFonts w:ascii="仿宋" w:hAnsi="仿宋" w:eastAsia="仿宋"/>
          <w:color w:val="auto"/>
          <w:highlight w:val="none"/>
        </w:rPr>
      </w:pPr>
      <w:r>
        <w:rPr>
          <w:rFonts w:hint="eastAsia" w:ascii="仿宋" w:hAnsi="仿宋" w:eastAsia="仿宋"/>
          <w:color w:val="auto"/>
          <w:highlight w:val="none"/>
        </w:rPr>
        <w:t>编号：</w:t>
      </w:r>
    </w:p>
    <w:p w14:paraId="0166ECD1">
      <w:pPr>
        <w:tabs>
          <w:tab w:val="left" w:pos="6669"/>
        </w:tabs>
        <w:rPr>
          <w:rFonts w:ascii="仿宋" w:hAnsi="仿宋" w:eastAsia="仿宋"/>
          <w:color w:val="auto"/>
          <w:highlight w:val="none"/>
        </w:rPr>
      </w:pPr>
      <w:r>
        <w:rPr>
          <w:rFonts w:hint="eastAsia" w:ascii="仿宋" w:hAnsi="仿宋" w:eastAsia="仿宋"/>
          <w:color w:val="auto"/>
          <w:highlight w:val="none"/>
        </w:rPr>
        <w:t>（采购人或采购代理机构）：</w:t>
      </w:r>
      <w:r>
        <w:rPr>
          <w:rFonts w:hint="eastAsia" w:ascii="仿宋" w:hAnsi="仿宋" w:eastAsia="仿宋"/>
          <w:color w:val="auto"/>
          <w:highlight w:val="none"/>
        </w:rPr>
        <w:tab/>
      </w:r>
    </w:p>
    <w:p w14:paraId="6743E330">
      <w:pPr>
        <w:rPr>
          <w:rFonts w:ascii="仿宋" w:hAnsi="仿宋" w:eastAsia="仿宋"/>
          <w:color w:val="auto"/>
          <w:highlight w:val="none"/>
        </w:rPr>
      </w:pPr>
    </w:p>
    <w:p w14:paraId="5651FD10">
      <w:pPr>
        <w:ind w:firstLine="420" w:firstLineChars="200"/>
        <w:rPr>
          <w:rFonts w:ascii="仿宋" w:hAnsi="仿宋" w:eastAsia="仿宋"/>
          <w:color w:val="auto"/>
          <w:highlight w:val="none"/>
        </w:rPr>
      </w:pPr>
      <w:r>
        <w:rPr>
          <w:rFonts w:hint="eastAsia" w:ascii="仿宋" w:hAnsi="仿宋" w:eastAsia="仿宋"/>
          <w:color w:val="auto"/>
          <w:highlight w:val="none"/>
        </w:rPr>
        <w:t>鉴于（以下简称“投标人”）拟参加编号为的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5419F56">
      <w:pPr>
        <w:ind w:firstLine="420" w:firstLineChars="200"/>
        <w:rPr>
          <w:rFonts w:ascii="仿宋" w:hAnsi="仿宋" w:eastAsia="仿宋"/>
          <w:color w:val="auto"/>
          <w:highlight w:val="none"/>
        </w:rPr>
      </w:pPr>
      <w:r>
        <w:rPr>
          <w:rFonts w:hint="eastAsia" w:ascii="仿宋" w:hAnsi="仿宋" w:eastAsia="仿宋"/>
          <w:color w:val="auto"/>
          <w:highlight w:val="none"/>
        </w:rPr>
        <w:t>一、保证责任的情形及保证金额</w:t>
      </w:r>
    </w:p>
    <w:p w14:paraId="47BD96DF">
      <w:pPr>
        <w:ind w:firstLine="210" w:firstLineChars="100"/>
        <w:rPr>
          <w:rFonts w:ascii="仿宋" w:hAnsi="仿宋" w:eastAsia="仿宋"/>
          <w:color w:val="auto"/>
          <w:highlight w:val="none"/>
        </w:rPr>
      </w:pPr>
      <w:r>
        <w:rPr>
          <w:rFonts w:hint="eastAsia" w:ascii="仿宋" w:hAnsi="仿宋" w:eastAsia="仿宋"/>
          <w:color w:val="auto"/>
          <w:highlight w:val="none"/>
        </w:rPr>
        <w:t>（一）在投标人出现下列情形之一时，我方承担保证责任：</w:t>
      </w:r>
    </w:p>
    <w:p w14:paraId="559C2727">
      <w:pPr>
        <w:ind w:firstLine="420" w:firstLineChars="200"/>
        <w:rPr>
          <w:rFonts w:ascii="仿宋" w:hAnsi="仿宋" w:eastAsia="仿宋"/>
          <w:color w:val="auto"/>
          <w:highlight w:val="none"/>
        </w:rPr>
      </w:pPr>
      <w:r>
        <w:rPr>
          <w:rFonts w:hint="eastAsia" w:ascii="仿宋" w:hAnsi="仿宋" w:eastAsia="仿宋"/>
          <w:color w:val="auto"/>
          <w:highlight w:val="none"/>
        </w:rPr>
        <w:t>1．中标后投标人无正当理由不与采购人或者采购代理机构签订《政府采购合同》；</w:t>
      </w:r>
    </w:p>
    <w:p w14:paraId="35C825E5">
      <w:pPr>
        <w:ind w:firstLine="420" w:firstLineChars="200"/>
        <w:rPr>
          <w:rFonts w:ascii="仿宋" w:hAnsi="仿宋" w:eastAsia="仿宋"/>
          <w:color w:val="auto"/>
          <w:highlight w:val="none"/>
        </w:rPr>
      </w:pPr>
      <w:r>
        <w:rPr>
          <w:rFonts w:hint="eastAsia" w:ascii="仿宋" w:hAnsi="仿宋" w:eastAsia="仿宋"/>
          <w:color w:val="auto"/>
          <w:highlight w:val="none"/>
        </w:rPr>
        <w:t>2．招标文件规定的投标人应当缴纳保证金的其他情形。</w:t>
      </w:r>
    </w:p>
    <w:p w14:paraId="33B8DD5B">
      <w:pPr>
        <w:ind w:firstLine="210" w:firstLineChars="100"/>
        <w:rPr>
          <w:rFonts w:ascii="仿宋" w:hAnsi="仿宋" w:eastAsia="仿宋"/>
          <w:color w:val="auto"/>
          <w:highlight w:val="none"/>
        </w:rPr>
      </w:pPr>
      <w:r>
        <w:rPr>
          <w:rFonts w:hint="eastAsia" w:ascii="仿宋" w:hAnsi="仿宋" w:eastAsia="仿宋"/>
          <w:color w:val="auto"/>
          <w:highlight w:val="none"/>
        </w:rPr>
        <w:t>（二）我方承担保证责任的最高金额为人民币元（大写），即本项目的投标保证金金额。</w:t>
      </w:r>
    </w:p>
    <w:p w14:paraId="390A23C3">
      <w:pPr>
        <w:ind w:firstLine="420" w:firstLineChars="200"/>
        <w:rPr>
          <w:rFonts w:ascii="仿宋" w:hAnsi="仿宋" w:eastAsia="仿宋"/>
          <w:color w:val="auto"/>
          <w:highlight w:val="none"/>
        </w:rPr>
      </w:pPr>
      <w:r>
        <w:rPr>
          <w:rFonts w:hint="eastAsia" w:ascii="仿宋" w:hAnsi="仿宋" w:eastAsia="仿宋"/>
          <w:color w:val="auto"/>
          <w:highlight w:val="none"/>
        </w:rPr>
        <w:t>二、保证的方式及保证期间</w:t>
      </w:r>
    </w:p>
    <w:p w14:paraId="2FABD451">
      <w:pPr>
        <w:ind w:firstLine="420" w:firstLineChars="200"/>
        <w:rPr>
          <w:rFonts w:ascii="仿宋" w:hAnsi="仿宋" w:eastAsia="仿宋"/>
          <w:color w:val="auto"/>
          <w:highlight w:val="none"/>
        </w:rPr>
      </w:pPr>
      <w:r>
        <w:rPr>
          <w:rFonts w:hint="eastAsia" w:ascii="仿宋" w:hAnsi="仿宋" w:eastAsia="仿宋"/>
          <w:color w:val="auto"/>
          <w:highlight w:val="none"/>
        </w:rPr>
        <w:t>我方保证的方式为：连带责任保证。</w:t>
      </w:r>
    </w:p>
    <w:p w14:paraId="6937B4F7">
      <w:pPr>
        <w:ind w:firstLine="420" w:firstLineChars="200"/>
        <w:rPr>
          <w:rFonts w:ascii="仿宋" w:hAnsi="仿宋" w:eastAsia="仿宋"/>
          <w:color w:val="auto"/>
          <w:highlight w:val="none"/>
        </w:rPr>
      </w:pPr>
      <w:r>
        <w:rPr>
          <w:rFonts w:hint="eastAsia" w:ascii="仿宋" w:hAnsi="仿宋" w:eastAsia="仿宋"/>
          <w:color w:val="auto"/>
          <w:highlight w:val="none"/>
        </w:rPr>
        <w:t>我方的保证期间为：自本保函生效之日起</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个月止。</w:t>
      </w:r>
    </w:p>
    <w:p w14:paraId="4602347F">
      <w:pPr>
        <w:ind w:firstLine="420" w:firstLineChars="200"/>
        <w:rPr>
          <w:rFonts w:ascii="仿宋" w:hAnsi="仿宋" w:eastAsia="仿宋"/>
          <w:color w:val="auto"/>
          <w:highlight w:val="none"/>
        </w:rPr>
      </w:pPr>
      <w:r>
        <w:rPr>
          <w:rFonts w:hint="eastAsia" w:ascii="仿宋" w:hAnsi="仿宋" w:eastAsia="仿宋"/>
          <w:color w:val="auto"/>
          <w:highlight w:val="none"/>
        </w:rPr>
        <w:t>三、承担保证责任的程序</w:t>
      </w:r>
    </w:p>
    <w:p w14:paraId="072BA6DC">
      <w:pPr>
        <w:ind w:firstLine="420" w:firstLineChars="200"/>
        <w:rPr>
          <w:rFonts w:ascii="仿宋" w:hAnsi="仿宋" w:eastAsia="仿宋"/>
          <w:color w:val="auto"/>
          <w:highlight w:val="none"/>
        </w:rPr>
      </w:pPr>
      <w:r>
        <w:rPr>
          <w:rFonts w:hint="eastAsia" w:ascii="仿宋" w:hAnsi="仿宋" w:eastAsia="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477A097E">
      <w:pPr>
        <w:ind w:firstLine="420" w:firstLineChars="200"/>
        <w:rPr>
          <w:rFonts w:ascii="仿宋" w:hAnsi="仿宋" w:eastAsia="仿宋"/>
          <w:color w:val="auto"/>
          <w:highlight w:val="none"/>
        </w:rPr>
      </w:pPr>
      <w:r>
        <w:rPr>
          <w:rFonts w:hint="eastAsia" w:ascii="仿宋" w:hAnsi="仿宋" w:eastAsia="仿宋"/>
          <w:color w:val="auto"/>
          <w:highlight w:val="none"/>
        </w:rPr>
        <w:t>2．我方在收到索赔通知及相关证明材料后，在</w:t>
      </w:r>
      <w:r>
        <w:rPr>
          <w:rFonts w:hint="eastAsia" w:ascii="仿宋" w:hAnsi="仿宋" w:eastAsia="仿宋"/>
          <w:color w:val="auto"/>
          <w:highlight w:val="none"/>
          <w:u w:val="single"/>
        </w:rPr>
        <w:t>　　　</w:t>
      </w:r>
      <w:r>
        <w:rPr>
          <w:rFonts w:hint="eastAsia" w:ascii="仿宋" w:hAnsi="仿宋" w:eastAsia="仿宋"/>
          <w:color w:val="auto"/>
          <w:highlight w:val="none"/>
        </w:rPr>
        <w:t>个工作日内进行审查，符合应承担保证责任情形的，我方应按照你方的要求代投标人向你方支付投标保证金。</w:t>
      </w:r>
    </w:p>
    <w:p w14:paraId="323AA14A">
      <w:pPr>
        <w:ind w:firstLine="420" w:firstLineChars="200"/>
        <w:rPr>
          <w:rFonts w:ascii="仿宋" w:hAnsi="仿宋" w:eastAsia="仿宋"/>
          <w:color w:val="auto"/>
          <w:highlight w:val="none"/>
        </w:rPr>
      </w:pPr>
      <w:r>
        <w:rPr>
          <w:rFonts w:hint="eastAsia" w:ascii="仿宋" w:hAnsi="仿宋" w:eastAsia="仿宋"/>
          <w:color w:val="auto"/>
          <w:highlight w:val="none"/>
        </w:rPr>
        <w:t>四、保证责任的终止</w:t>
      </w:r>
    </w:p>
    <w:p w14:paraId="6E623C88">
      <w:pPr>
        <w:ind w:firstLine="420" w:firstLineChars="200"/>
        <w:rPr>
          <w:rFonts w:ascii="仿宋" w:hAnsi="仿宋" w:eastAsia="仿宋"/>
          <w:color w:val="auto"/>
          <w:highlight w:val="none"/>
        </w:rPr>
      </w:pPr>
      <w:r>
        <w:rPr>
          <w:rFonts w:hint="eastAsia" w:ascii="仿宋" w:hAnsi="仿宋" w:eastAsia="仿宋"/>
          <w:color w:val="auto"/>
          <w:highlight w:val="none"/>
        </w:rPr>
        <w:t>1．保证期间届满你方未向我方书面主张保证责任的，自保证期间届满次日起，我方保证责任自动终止。</w:t>
      </w:r>
    </w:p>
    <w:p w14:paraId="4142E8E1">
      <w:pPr>
        <w:ind w:firstLine="420" w:firstLineChars="200"/>
        <w:rPr>
          <w:rFonts w:ascii="仿宋" w:hAnsi="仿宋" w:eastAsia="仿宋"/>
          <w:color w:val="auto"/>
          <w:highlight w:val="none"/>
        </w:rPr>
      </w:pPr>
      <w:r>
        <w:rPr>
          <w:rFonts w:hint="eastAsia" w:ascii="仿宋" w:hAnsi="仿宋" w:eastAsia="仿宋"/>
          <w:color w:val="auto"/>
          <w:highlight w:val="none"/>
        </w:rPr>
        <w:t>2．我方按照本保函向你贵方履行了保证责任后，自我方向你贵方支付款项（支付款项从我方账户划出）之日起，保证责任终止。</w:t>
      </w:r>
    </w:p>
    <w:p w14:paraId="65F57B30">
      <w:pPr>
        <w:ind w:firstLine="420" w:firstLineChars="200"/>
        <w:rPr>
          <w:rFonts w:ascii="仿宋" w:hAnsi="仿宋" w:eastAsia="仿宋"/>
          <w:color w:val="auto"/>
          <w:highlight w:val="none"/>
        </w:rPr>
      </w:pPr>
      <w:r>
        <w:rPr>
          <w:rFonts w:hint="eastAsia" w:ascii="仿宋" w:hAnsi="仿宋" w:eastAsia="仿宋"/>
          <w:color w:val="auto"/>
          <w:highlight w:val="none"/>
        </w:rPr>
        <w:t>3．按照法律法规的规定或出现我方保证责任终止的其它情形的，我方在本保函项下的保证责任亦终止。</w:t>
      </w:r>
    </w:p>
    <w:p w14:paraId="7D207748">
      <w:pPr>
        <w:ind w:firstLine="420" w:firstLineChars="200"/>
        <w:rPr>
          <w:rFonts w:ascii="仿宋" w:hAnsi="仿宋" w:eastAsia="仿宋"/>
          <w:color w:val="auto"/>
          <w:highlight w:val="none"/>
        </w:rPr>
      </w:pPr>
      <w:r>
        <w:rPr>
          <w:rFonts w:hint="eastAsia" w:ascii="仿宋" w:hAnsi="仿宋" w:eastAsia="仿宋"/>
          <w:color w:val="auto"/>
          <w:highlight w:val="none"/>
        </w:rPr>
        <w:t>五、免责条款</w:t>
      </w:r>
    </w:p>
    <w:p w14:paraId="5B4FE85E">
      <w:pPr>
        <w:ind w:firstLine="420" w:firstLineChars="200"/>
        <w:rPr>
          <w:rFonts w:ascii="仿宋" w:hAnsi="仿宋" w:eastAsia="仿宋"/>
          <w:color w:val="auto"/>
          <w:highlight w:val="none"/>
        </w:rPr>
      </w:pPr>
      <w:r>
        <w:rPr>
          <w:rFonts w:hint="eastAsia" w:ascii="仿宋" w:hAnsi="仿宋" w:eastAsia="仿宋"/>
          <w:color w:val="auto"/>
          <w:highlight w:val="none"/>
        </w:rPr>
        <w:t>1．依照法律规定或你方与投标人的另行约定，全部或者部分免除投标人投标保证金义务时，我方亦免除相应的保证责任。</w:t>
      </w:r>
    </w:p>
    <w:p w14:paraId="1E4E4F9E">
      <w:pPr>
        <w:ind w:firstLine="420" w:firstLineChars="200"/>
        <w:rPr>
          <w:rFonts w:ascii="仿宋" w:hAnsi="仿宋" w:eastAsia="仿宋"/>
          <w:color w:val="auto"/>
          <w:highlight w:val="none"/>
        </w:rPr>
      </w:pPr>
      <w:r>
        <w:rPr>
          <w:rFonts w:hint="eastAsia" w:ascii="仿宋" w:hAnsi="仿宋" w:eastAsia="仿宋"/>
          <w:color w:val="auto"/>
          <w:highlight w:val="none"/>
        </w:rPr>
        <w:t>2．因你方原因致使投标人发生本保函第一条第（一）款约定情形的，我方不承担保证责任。</w:t>
      </w:r>
    </w:p>
    <w:p w14:paraId="54398A8C">
      <w:pPr>
        <w:ind w:firstLine="420" w:firstLineChars="200"/>
        <w:rPr>
          <w:rFonts w:ascii="仿宋" w:hAnsi="仿宋" w:eastAsia="仿宋"/>
          <w:color w:val="auto"/>
          <w:highlight w:val="none"/>
        </w:rPr>
      </w:pPr>
      <w:r>
        <w:rPr>
          <w:rFonts w:hint="eastAsia" w:ascii="仿宋" w:hAnsi="仿宋" w:eastAsia="仿宋"/>
          <w:color w:val="auto"/>
          <w:highlight w:val="none"/>
        </w:rPr>
        <w:t>3．因不可抗力造成投标人发生本保函第一条约定情形的，我方不承担保证责任。</w:t>
      </w:r>
    </w:p>
    <w:p w14:paraId="75FB9D8D">
      <w:pPr>
        <w:ind w:firstLine="420" w:firstLineChars="200"/>
        <w:rPr>
          <w:rFonts w:ascii="仿宋" w:hAnsi="仿宋" w:eastAsia="仿宋"/>
          <w:color w:val="auto"/>
          <w:highlight w:val="none"/>
        </w:rPr>
      </w:pPr>
      <w:r>
        <w:rPr>
          <w:rFonts w:hint="eastAsia" w:ascii="仿宋" w:hAnsi="仿宋" w:eastAsia="仿宋"/>
          <w:color w:val="auto"/>
          <w:highlight w:val="none"/>
        </w:rPr>
        <w:t>4．你方或其他有权机关对招标文件进行任何澄清或修改，加重我方保证责任的，我方对加重部分不承担保证责任，但该澄清或修改经我方事先书面同意的除外。</w:t>
      </w:r>
    </w:p>
    <w:p w14:paraId="4A100D81">
      <w:pPr>
        <w:ind w:firstLine="420" w:firstLineChars="200"/>
        <w:rPr>
          <w:rFonts w:ascii="仿宋" w:hAnsi="仿宋" w:eastAsia="仿宋"/>
          <w:color w:val="auto"/>
          <w:highlight w:val="none"/>
        </w:rPr>
      </w:pPr>
      <w:r>
        <w:rPr>
          <w:rFonts w:hint="eastAsia" w:ascii="仿宋" w:hAnsi="仿宋" w:eastAsia="仿宋"/>
          <w:color w:val="auto"/>
          <w:highlight w:val="none"/>
        </w:rPr>
        <w:t>六、争议的解决</w:t>
      </w:r>
    </w:p>
    <w:p w14:paraId="7511E059">
      <w:pPr>
        <w:ind w:firstLine="420" w:firstLineChars="200"/>
        <w:rPr>
          <w:rFonts w:ascii="仿宋" w:hAnsi="仿宋" w:eastAsia="仿宋"/>
          <w:color w:val="auto"/>
          <w:highlight w:val="none"/>
        </w:rPr>
      </w:pPr>
      <w:r>
        <w:rPr>
          <w:rFonts w:hint="eastAsia" w:ascii="仿宋" w:hAnsi="仿宋" w:eastAsia="仿宋"/>
          <w:color w:val="auto"/>
          <w:highlight w:val="none"/>
        </w:rPr>
        <w:t>因本保函发生的纠纷，由你我双方协商解决，协商不成的，通过诉讼程序解决，诉讼管辖地法院为法院。</w:t>
      </w:r>
    </w:p>
    <w:p w14:paraId="5B13CCFD">
      <w:pPr>
        <w:ind w:firstLine="420" w:firstLineChars="200"/>
        <w:rPr>
          <w:rFonts w:ascii="仿宋" w:hAnsi="仿宋" w:eastAsia="仿宋"/>
          <w:color w:val="auto"/>
          <w:highlight w:val="none"/>
        </w:rPr>
      </w:pPr>
      <w:r>
        <w:rPr>
          <w:rFonts w:hint="eastAsia" w:ascii="仿宋" w:hAnsi="仿宋" w:eastAsia="仿宋"/>
          <w:color w:val="auto"/>
          <w:highlight w:val="none"/>
        </w:rPr>
        <w:t>七、保函的生效</w:t>
      </w:r>
    </w:p>
    <w:p w14:paraId="1E6763C2">
      <w:pPr>
        <w:ind w:firstLine="420" w:firstLineChars="200"/>
        <w:rPr>
          <w:rFonts w:ascii="仿宋" w:hAnsi="仿宋" w:eastAsia="仿宋"/>
          <w:color w:val="auto"/>
          <w:highlight w:val="none"/>
        </w:rPr>
      </w:pPr>
      <w:r>
        <w:rPr>
          <w:rFonts w:hint="eastAsia" w:ascii="仿宋" w:hAnsi="仿宋" w:eastAsia="仿宋"/>
          <w:color w:val="auto"/>
          <w:highlight w:val="none"/>
        </w:rPr>
        <w:t>本保函自我方加盖公章之日起生效。</w:t>
      </w:r>
    </w:p>
    <w:p w14:paraId="06E2DE15">
      <w:pPr>
        <w:ind w:firstLine="3990" w:firstLineChars="1900"/>
        <w:rPr>
          <w:rFonts w:hint="eastAsia" w:ascii="仿宋" w:hAnsi="仿宋" w:eastAsia="仿宋"/>
          <w:color w:val="auto"/>
          <w:highlight w:val="none"/>
          <w:lang w:val="en-US" w:eastAsia="zh-CN"/>
        </w:rPr>
        <w:sectPr>
          <w:headerReference r:id="rId5" w:type="default"/>
          <w:footerReference r:id="rId6" w:type="default"/>
          <w:pgSz w:w="11906" w:h="16838"/>
          <w:pgMar w:top="1100" w:right="1060" w:bottom="1100" w:left="1060" w:header="851" w:footer="992" w:gutter="0"/>
          <w:pgNumType w:fmt="decimal" w:start="1"/>
          <w:cols w:space="720" w:num="1"/>
          <w:docGrid w:type="linesAndChars" w:linePitch="312" w:charSpace="0"/>
        </w:sectPr>
      </w:pPr>
      <w:r>
        <w:rPr>
          <w:rFonts w:hint="eastAsia" w:ascii="仿宋" w:hAnsi="仿宋" w:eastAsia="仿宋"/>
          <w:color w:val="auto"/>
          <w:highlight w:val="none"/>
        </w:rPr>
        <w:t>保证人：（公章）</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 xml:space="preserve">年     月    </w:t>
      </w:r>
      <w:r>
        <w:rPr>
          <w:rFonts w:hint="eastAsia" w:ascii="仿宋" w:hAnsi="仿宋" w:eastAsia="仿宋"/>
          <w:color w:val="auto"/>
          <w:highlight w:val="none"/>
          <w:lang w:val="en-US" w:eastAsia="zh-CN"/>
        </w:rPr>
        <w:t>日</w:t>
      </w:r>
    </w:p>
    <w:p w14:paraId="50A397C8">
      <w:pPr>
        <w:rPr>
          <w:color w:val="auto"/>
          <w:highlight w:val="none"/>
        </w:rPr>
      </w:pPr>
    </w:p>
    <w:p w14:paraId="21129F14">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718" w:name="_Toc7329"/>
      <w:bookmarkStart w:id="719" w:name="_Toc21047"/>
      <w:bookmarkStart w:id="720" w:name="_Toc21576"/>
      <w:bookmarkStart w:id="721" w:name="_Toc11556"/>
      <w:bookmarkStart w:id="722" w:name="_Toc6247"/>
      <w:bookmarkStart w:id="723" w:name="_Toc29022"/>
      <w:bookmarkStart w:id="724" w:name="_Toc15919"/>
      <w:bookmarkStart w:id="725" w:name="_Toc10990"/>
      <w:bookmarkStart w:id="726" w:name="_Toc19756"/>
      <w:bookmarkStart w:id="727" w:name="_Toc29966"/>
      <w:r>
        <w:rPr>
          <w:rFonts w:hint="eastAsia" w:ascii="仿宋_GB2312" w:hAnsi="仿宋_GB2312" w:eastAsia="仿宋_GB2312" w:cs="仿宋_GB2312"/>
          <w:color w:val="auto"/>
          <w:highlight w:val="none"/>
          <w:u w:val="none"/>
        </w:rPr>
        <w:t>6  社会保障资金的缴纳记录</w:t>
      </w:r>
      <w:bookmarkEnd w:id="709"/>
      <w:bookmarkEnd w:id="710"/>
      <w:bookmarkEnd w:id="711"/>
      <w:bookmarkEnd w:id="712"/>
      <w:bookmarkEnd w:id="718"/>
      <w:bookmarkEnd w:id="719"/>
      <w:bookmarkEnd w:id="720"/>
      <w:bookmarkEnd w:id="721"/>
      <w:bookmarkEnd w:id="722"/>
      <w:bookmarkEnd w:id="723"/>
      <w:bookmarkEnd w:id="724"/>
      <w:bookmarkEnd w:id="725"/>
      <w:bookmarkEnd w:id="726"/>
      <w:bookmarkEnd w:id="727"/>
    </w:p>
    <w:p w14:paraId="544BDBCC">
      <w:pPr>
        <w:pStyle w:val="13"/>
        <w:tabs>
          <w:tab w:val="left" w:pos="5580"/>
        </w:tabs>
        <w:spacing w:line="288" w:lineRule="auto"/>
        <w:rPr>
          <w:rFonts w:ascii="仿宋_GB2312" w:hAnsi="仿宋_GB2312" w:eastAsia="仿宋_GB2312" w:cs="仿宋_GB2312"/>
          <w:b/>
          <w:color w:val="auto"/>
          <w:sz w:val="24"/>
          <w:highlight w:val="none"/>
        </w:rPr>
      </w:pPr>
    </w:p>
    <w:p w14:paraId="21DE62CE">
      <w:pPr>
        <w:pStyle w:val="13"/>
        <w:tabs>
          <w:tab w:val="left" w:pos="5580"/>
        </w:tabs>
        <w:spacing w:line="240" w:lineRule="atLeast"/>
        <w:ind w:left="540"/>
        <w:rPr>
          <w:rFonts w:ascii="仿宋_GB2312" w:hAnsi="宋体" w:eastAsia="仿宋_GB2312"/>
          <w:color w:val="auto"/>
          <w:sz w:val="24"/>
          <w:highlight w:val="none"/>
        </w:rPr>
      </w:pPr>
      <w:r>
        <w:rPr>
          <w:rFonts w:hint="eastAsia" w:ascii="仿宋_GB2312" w:hAnsi="仿宋_GB2312" w:eastAsia="仿宋_GB2312" w:cs="仿宋_GB2312"/>
          <w:color w:val="auto"/>
          <w:sz w:val="24"/>
          <w:highlight w:val="none"/>
        </w:rPr>
        <w:t>说明：</w:t>
      </w:r>
      <w:r>
        <w:rPr>
          <w:rFonts w:hint="eastAsia" w:ascii="仿宋_GB2312" w:hAnsi="宋体" w:eastAsia="仿宋_GB2312"/>
          <w:color w:val="auto"/>
          <w:sz w:val="24"/>
          <w:highlight w:val="none"/>
        </w:rPr>
        <w:t>说明：1.按照</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中的规定提供复印件。</w:t>
      </w:r>
    </w:p>
    <w:p w14:paraId="47737F26">
      <w:pPr>
        <w:pStyle w:val="13"/>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2.复印件上应加盖本单位章。</w:t>
      </w:r>
    </w:p>
    <w:p w14:paraId="40180755">
      <w:pPr>
        <w:tabs>
          <w:tab w:val="left" w:pos="5580"/>
        </w:tabs>
        <w:spacing w:line="240" w:lineRule="atLeast"/>
        <w:ind w:left="1079" w:leftChars="257" w:hanging="540"/>
        <w:rPr>
          <w:color w:val="auto"/>
          <w:sz w:val="18"/>
          <w:highlight w:val="none"/>
        </w:rPr>
      </w:pPr>
      <w:r>
        <w:rPr>
          <w:rFonts w:hint="eastAsia" w:ascii="仿宋_GB2312" w:hAnsi="宋体" w:eastAsia="仿宋_GB2312"/>
          <w:color w:val="auto"/>
          <w:sz w:val="24"/>
          <w:highlight w:val="none"/>
        </w:rPr>
        <w:t xml:space="preserve">      3.</w:t>
      </w:r>
      <w:r>
        <w:rPr>
          <w:rFonts w:hint="eastAsia" w:ascii="仿宋_GB2312" w:eastAsia="仿宋_GB2312"/>
          <w:color w:val="auto"/>
          <w:sz w:val="24"/>
          <w:highlight w:val="none"/>
        </w:rPr>
        <w:t>如果是联合体投标，联合体各方均需提供上述证明。</w:t>
      </w:r>
    </w:p>
    <w:p w14:paraId="43C1B95E">
      <w:pPr>
        <w:spacing w:line="288" w:lineRule="auto"/>
        <w:rPr>
          <w:rFonts w:ascii="仿宋_GB2312" w:hAnsi="仿宋_GB2312" w:eastAsia="仿宋_GB2312" w:cs="仿宋_GB2312"/>
          <w:color w:val="auto"/>
          <w:sz w:val="24"/>
          <w:highlight w:val="none"/>
        </w:rPr>
      </w:pPr>
    </w:p>
    <w:p w14:paraId="582C678B">
      <w:pPr>
        <w:spacing w:line="288" w:lineRule="auto"/>
        <w:rPr>
          <w:rFonts w:ascii="仿宋_GB2312" w:hAnsi="仿宋_GB2312" w:eastAsia="仿宋_GB2312" w:cs="仿宋_GB2312"/>
          <w:color w:val="auto"/>
          <w:sz w:val="24"/>
          <w:highlight w:val="none"/>
        </w:rPr>
      </w:pPr>
    </w:p>
    <w:p w14:paraId="23DDE79C">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728" w:name="_Toc22265"/>
      <w:bookmarkStart w:id="729" w:name="_Toc28491"/>
      <w:bookmarkStart w:id="730" w:name="_Toc20976"/>
      <w:bookmarkStart w:id="731" w:name="_Toc31547"/>
      <w:bookmarkStart w:id="732" w:name="_Toc23700"/>
      <w:bookmarkStart w:id="733" w:name="_Toc13105"/>
      <w:bookmarkStart w:id="734" w:name="_Toc26718"/>
      <w:bookmarkStart w:id="735" w:name="_Toc6321"/>
      <w:bookmarkStart w:id="736" w:name="_Toc28908"/>
      <w:bookmarkStart w:id="737" w:name="_Toc15284"/>
      <w:r>
        <w:rPr>
          <w:rFonts w:hint="eastAsia" w:ascii="仿宋_GB2312" w:hAnsi="仿宋_GB2312" w:eastAsia="仿宋_GB2312" w:cs="仿宋_GB2312"/>
          <w:color w:val="auto"/>
          <w:highlight w:val="none"/>
          <w:u w:val="none"/>
        </w:rPr>
        <w:t>7 良好的商业信誉和健全的财务会计制度证明材料</w:t>
      </w:r>
      <w:bookmarkEnd w:id="728"/>
      <w:bookmarkEnd w:id="729"/>
      <w:bookmarkEnd w:id="730"/>
      <w:bookmarkEnd w:id="731"/>
      <w:bookmarkEnd w:id="732"/>
      <w:bookmarkEnd w:id="733"/>
      <w:bookmarkEnd w:id="734"/>
      <w:bookmarkEnd w:id="735"/>
    </w:p>
    <w:bookmarkEnd w:id="736"/>
    <w:bookmarkEnd w:id="737"/>
    <w:p w14:paraId="74A35B89">
      <w:pPr>
        <w:tabs>
          <w:tab w:val="left" w:pos="5580"/>
        </w:tabs>
        <w:spacing w:line="240" w:lineRule="atLeast"/>
        <w:ind w:left="1079" w:leftChars="257" w:hanging="540"/>
        <w:rPr>
          <w:rFonts w:ascii="仿宋_GB2312" w:eastAsia="仿宋_GB2312"/>
          <w:color w:val="auto"/>
          <w:sz w:val="24"/>
          <w:highlight w:val="none"/>
        </w:rPr>
      </w:pPr>
      <w:r>
        <w:rPr>
          <w:rFonts w:hint="eastAsia" w:ascii="仿宋_GB2312" w:eastAsia="仿宋_GB2312"/>
          <w:color w:val="auto"/>
          <w:sz w:val="24"/>
          <w:highlight w:val="none"/>
        </w:rPr>
        <w:t>说明：</w:t>
      </w:r>
    </w:p>
    <w:p w14:paraId="3A10779F">
      <w:pPr>
        <w:tabs>
          <w:tab w:val="left" w:pos="5580"/>
        </w:tabs>
        <w:spacing w:line="240" w:lineRule="atLeast"/>
        <w:ind w:left="540"/>
        <w:rPr>
          <w:rFonts w:ascii="仿宋_GB2312" w:hAnsi="宋体" w:eastAsia="仿宋_GB2312"/>
          <w:bCs/>
          <w:color w:val="auto"/>
          <w:sz w:val="24"/>
          <w:highlight w:val="none"/>
        </w:rPr>
      </w:pPr>
      <w:r>
        <w:rPr>
          <w:rFonts w:hint="eastAsia" w:ascii="仿宋_GB2312" w:eastAsia="仿宋_GB2312"/>
          <w:color w:val="auto"/>
          <w:sz w:val="24"/>
          <w:highlight w:val="none"/>
        </w:rPr>
        <w:t>1、如提供本单位</w:t>
      </w:r>
      <w:r>
        <w:rPr>
          <w:rFonts w:hint="eastAsia" w:ascii="仿宋_GB2312" w:eastAsia="仿宋_GB2312"/>
          <w:color w:val="auto"/>
          <w:sz w:val="24"/>
          <w:highlight w:val="none"/>
          <w:lang w:val="en-US" w:eastAsia="zh-CN"/>
        </w:rPr>
        <w:t>2023或2024</w:t>
      </w:r>
      <w:r>
        <w:rPr>
          <w:rFonts w:hint="eastAsia" w:ascii="仿宋_GB2312" w:eastAsia="仿宋_GB2312"/>
          <w:color w:val="auto"/>
          <w:sz w:val="24"/>
          <w:highlight w:val="none"/>
        </w:rPr>
        <w:t>年度经会计师事务所出具的审计报告复印件须加盖</w:t>
      </w:r>
      <w:r>
        <w:rPr>
          <w:rFonts w:hint="eastAsia" w:ascii="仿宋_GB2312" w:hAnsi="宋体" w:eastAsia="仿宋_GB2312"/>
          <w:bCs/>
          <w:color w:val="auto"/>
          <w:sz w:val="24"/>
          <w:highlight w:val="none"/>
        </w:rPr>
        <w:t>本单位</w:t>
      </w:r>
      <w:r>
        <w:rPr>
          <w:rFonts w:hint="eastAsia" w:ascii="仿宋_GB2312" w:eastAsia="仿宋_GB2312"/>
          <w:bCs/>
          <w:color w:val="auto"/>
          <w:sz w:val="24"/>
          <w:highlight w:val="none"/>
        </w:rPr>
        <w:t>章。</w:t>
      </w:r>
    </w:p>
    <w:p w14:paraId="7FEBD114">
      <w:pPr>
        <w:tabs>
          <w:tab w:val="left" w:pos="5580"/>
        </w:tabs>
        <w:spacing w:line="240" w:lineRule="atLeast"/>
        <w:ind w:left="540"/>
        <w:rPr>
          <w:rFonts w:ascii="仿宋_GB2312" w:eastAsia="仿宋_GB2312"/>
          <w:color w:val="auto"/>
          <w:sz w:val="24"/>
          <w:highlight w:val="none"/>
        </w:rPr>
      </w:pPr>
      <w:r>
        <w:rPr>
          <w:rFonts w:hint="eastAsia" w:ascii="仿宋_GB2312" w:eastAsia="仿宋_GB2312"/>
          <w:color w:val="auto"/>
          <w:sz w:val="24"/>
          <w:highlight w:val="none"/>
        </w:rPr>
        <w:t>2、如提供</w:t>
      </w:r>
      <w:r>
        <w:rPr>
          <w:rFonts w:hint="eastAsia" w:ascii="仿宋_GB2312" w:hAnsi="宋体" w:eastAsia="仿宋_GB2312"/>
          <w:color w:val="auto"/>
          <w:sz w:val="24"/>
          <w:highlight w:val="none"/>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color w:val="auto"/>
          <w:sz w:val="24"/>
          <w:highlight w:val="none"/>
        </w:rPr>
        <w:t>银行出具</w:t>
      </w:r>
      <w:r>
        <w:rPr>
          <w:rFonts w:ascii="仿宋_GB2312" w:eastAsia="仿宋_GB2312"/>
          <w:color w:val="auto"/>
          <w:sz w:val="24"/>
          <w:highlight w:val="none"/>
        </w:rPr>
        <w:t>的</w:t>
      </w:r>
      <w:r>
        <w:rPr>
          <w:rFonts w:hint="eastAsia" w:ascii="仿宋_GB2312" w:eastAsia="仿宋_GB2312"/>
          <w:color w:val="auto"/>
          <w:sz w:val="24"/>
          <w:highlight w:val="none"/>
        </w:rPr>
        <w:t>证明文件应能说明该投标人与银行之间业务往来正常，企业信誉良好等。</w:t>
      </w:r>
    </w:p>
    <w:p w14:paraId="1ECDED54">
      <w:pPr>
        <w:tabs>
          <w:tab w:val="left" w:pos="5580"/>
        </w:tabs>
        <w:spacing w:line="240" w:lineRule="atLeast"/>
        <w:ind w:left="1079" w:leftChars="257" w:hanging="540"/>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、如果是联合体投标，联合体各方均需提供上述证明。</w:t>
      </w:r>
    </w:p>
    <w:p w14:paraId="246CEC79">
      <w:pPr>
        <w:pStyle w:val="20"/>
        <w:rPr>
          <w:color w:val="auto"/>
          <w:highlight w:val="none"/>
        </w:rPr>
      </w:pPr>
    </w:p>
    <w:p w14:paraId="4DA36544">
      <w:pPr>
        <w:pStyle w:val="2"/>
        <w:rPr>
          <w:color w:val="auto"/>
          <w:highlight w:val="none"/>
        </w:rPr>
      </w:pPr>
    </w:p>
    <w:p w14:paraId="51E6A4B6">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738" w:name="_Toc21546"/>
      <w:bookmarkStart w:id="739" w:name="_Toc16284"/>
      <w:bookmarkStart w:id="740" w:name="_Toc16318"/>
      <w:bookmarkStart w:id="741" w:name="_Toc13664"/>
      <w:bookmarkStart w:id="742" w:name="_Toc28013"/>
      <w:bookmarkStart w:id="743" w:name="_Toc11835"/>
      <w:bookmarkStart w:id="744" w:name="_Toc18809"/>
      <w:bookmarkStart w:id="745" w:name="_Toc13883"/>
      <w:bookmarkStart w:id="746" w:name="_Toc16690"/>
      <w:bookmarkStart w:id="747" w:name="_Toc22053"/>
      <w:r>
        <w:rPr>
          <w:rFonts w:hint="eastAsia" w:ascii="仿宋_GB2312" w:hAnsi="仿宋_GB2312" w:eastAsia="仿宋_GB2312" w:cs="仿宋_GB2312"/>
          <w:color w:val="auto"/>
          <w:highlight w:val="none"/>
          <w:u w:val="none"/>
        </w:rPr>
        <w:t>8 依法缴纳税收的证明</w:t>
      </w:r>
      <w:bookmarkEnd w:id="738"/>
      <w:bookmarkEnd w:id="739"/>
      <w:bookmarkEnd w:id="740"/>
      <w:bookmarkEnd w:id="741"/>
      <w:bookmarkEnd w:id="742"/>
      <w:bookmarkEnd w:id="743"/>
      <w:bookmarkEnd w:id="744"/>
      <w:bookmarkEnd w:id="745"/>
      <w:bookmarkEnd w:id="746"/>
      <w:bookmarkEnd w:id="747"/>
    </w:p>
    <w:p w14:paraId="569502B7">
      <w:pPr>
        <w:pStyle w:val="13"/>
        <w:tabs>
          <w:tab w:val="left" w:pos="5580"/>
        </w:tabs>
        <w:spacing w:line="240" w:lineRule="atLeast"/>
        <w:ind w:left="540"/>
        <w:rPr>
          <w:rFonts w:ascii="仿宋_GB2312" w:hAnsi="宋体" w:eastAsia="仿宋_GB2312"/>
          <w:color w:val="auto"/>
          <w:sz w:val="24"/>
          <w:highlight w:val="none"/>
        </w:rPr>
      </w:pPr>
      <w:r>
        <w:rPr>
          <w:rFonts w:hint="eastAsia" w:ascii="仿宋_GB2312" w:hAnsi="宋体" w:eastAsia="仿宋_GB2312"/>
          <w:color w:val="auto"/>
          <w:sz w:val="24"/>
          <w:highlight w:val="none"/>
        </w:rPr>
        <w:t>说明：1.按照</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中的规定提供复印件。</w:t>
      </w:r>
    </w:p>
    <w:p w14:paraId="1191A073">
      <w:pPr>
        <w:pStyle w:val="13"/>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2.复印件上应加盖本单位章。</w:t>
      </w:r>
    </w:p>
    <w:p w14:paraId="3D85E3C5">
      <w:pPr>
        <w:pStyle w:val="13"/>
        <w:tabs>
          <w:tab w:val="left" w:pos="5580"/>
        </w:tabs>
        <w:spacing w:line="288" w:lineRule="auto"/>
        <w:ind w:left="1079" w:leftChars="257" w:hanging="540"/>
        <w:rPr>
          <w:rFonts w:ascii="仿宋_GB2312" w:hAnsi="仿宋_GB2312" w:eastAsia="仿宋_GB2312" w:cs="仿宋_GB2312"/>
          <w:color w:val="auto"/>
          <w:sz w:val="24"/>
          <w:highlight w:val="none"/>
        </w:rPr>
      </w:pPr>
      <w:r>
        <w:rPr>
          <w:rFonts w:hint="eastAsia" w:ascii="仿宋_GB2312" w:hAnsi="宋体" w:eastAsia="仿宋_GB2312"/>
          <w:color w:val="auto"/>
          <w:sz w:val="24"/>
          <w:highlight w:val="none"/>
        </w:rPr>
        <w:t xml:space="preserve">      3.</w:t>
      </w:r>
      <w:r>
        <w:rPr>
          <w:rFonts w:hint="eastAsia" w:ascii="仿宋_GB2312" w:eastAsia="仿宋_GB2312"/>
          <w:color w:val="auto"/>
          <w:sz w:val="24"/>
          <w:highlight w:val="none"/>
        </w:rPr>
        <w:t>如果是联合体投标，联合体各方均需提供上述证明。</w:t>
      </w:r>
    </w:p>
    <w:p w14:paraId="495440BE">
      <w:pPr>
        <w:rPr>
          <w:color w:val="auto"/>
          <w:highlight w:val="none"/>
        </w:rPr>
      </w:pPr>
    </w:p>
    <w:p w14:paraId="1A9F3D26">
      <w:pPr>
        <w:rPr>
          <w:color w:val="auto"/>
          <w:highlight w:val="none"/>
        </w:rPr>
      </w:pPr>
    </w:p>
    <w:p w14:paraId="632E0906">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748" w:name="_Toc21065"/>
      <w:bookmarkStart w:id="749" w:name="_Toc31910"/>
      <w:bookmarkStart w:id="750" w:name="_Toc17564"/>
      <w:r>
        <w:rPr>
          <w:rFonts w:hint="eastAsia" w:ascii="仿宋_GB2312" w:hAnsi="仿宋_GB2312" w:eastAsia="仿宋_GB2312" w:cs="仿宋_GB2312"/>
          <w:color w:val="auto"/>
          <w:highlight w:val="none"/>
          <w:u w:val="none"/>
        </w:rPr>
        <w:t>9  参加政府采购活动前3年内在经营活动中没有重大违法记录的书面声明及反商业受贿承诺</w:t>
      </w:r>
      <w:bookmarkEnd w:id="748"/>
      <w:bookmarkEnd w:id="749"/>
      <w:bookmarkEnd w:id="750"/>
    </w:p>
    <w:p w14:paraId="69CE6087">
      <w:pPr>
        <w:rPr>
          <w:rFonts w:hint="eastAsia" w:ascii="仿宋_GB2312" w:hAnsi="仿宋_GB2312" w:eastAsia="仿宋_GB2312" w:cs="仿宋_GB2312"/>
          <w:color w:val="auto"/>
          <w:highlight w:val="none"/>
          <w:u w:val="none"/>
        </w:rPr>
      </w:pPr>
    </w:p>
    <w:p w14:paraId="601C22BB">
      <w:pPr>
        <w:rPr>
          <w:rFonts w:hint="default" w:ascii="仿宋_GB2312" w:hAnsi="仿宋_GB2312" w:eastAsia="仿宋_GB2312" w:cs="仿宋_GB2312"/>
          <w:color w:val="auto"/>
          <w:highlight w:val="none"/>
          <w:u w:val="none"/>
        </w:rPr>
      </w:pPr>
    </w:p>
    <w:p w14:paraId="22AF4CAA">
      <w:pPr>
        <w:rPr>
          <w:color w:val="auto"/>
          <w:highlight w:val="none"/>
        </w:rPr>
      </w:pPr>
    </w:p>
    <w:p w14:paraId="21B71FE2">
      <w:pPr>
        <w:pStyle w:val="5"/>
        <w:spacing w:before="0" w:after="0" w:line="288" w:lineRule="auto"/>
        <w:ind w:left="1078" w:leftChars="257" w:hanging="539"/>
        <w:jc w:val="center"/>
        <w:rPr>
          <w:rFonts w:hint="eastAsia" w:ascii="仿宋_GB2312" w:hAnsi="仿宋_GB2312" w:eastAsia="仿宋_GB2312" w:cs="仿宋_GB2312"/>
          <w:color w:val="auto"/>
          <w:highlight w:val="none"/>
          <w:u w:val="none"/>
        </w:rPr>
      </w:pPr>
      <w:bookmarkStart w:id="751" w:name="_Toc11340"/>
      <w:bookmarkStart w:id="752" w:name="_Toc11464"/>
      <w:bookmarkStart w:id="753" w:name="_Toc4680"/>
      <w:bookmarkStart w:id="754" w:name="_Toc29051"/>
      <w:bookmarkStart w:id="755" w:name="_Toc18306"/>
      <w:bookmarkStart w:id="756" w:name="_Toc3659"/>
      <w:bookmarkStart w:id="757" w:name="_Toc2815"/>
      <w:bookmarkStart w:id="758" w:name="_Toc25801"/>
      <w:bookmarkStart w:id="759" w:name="_Toc21347"/>
      <w:bookmarkStart w:id="760" w:name="_Toc25860"/>
      <w:r>
        <w:rPr>
          <w:rFonts w:hint="eastAsia" w:ascii="仿宋_GB2312" w:hAnsi="仿宋_GB2312" w:eastAsia="仿宋_GB2312" w:cs="仿宋_GB2312"/>
          <w:color w:val="auto"/>
          <w:highlight w:val="none"/>
          <w:u w:val="none"/>
        </w:rPr>
        <w:t>10  投标人须知资料表要求的其他资格证明文件</w:t>
      </w:r>
      <w:bookmarkEnd w:id="751"/>
      <w:bookmarkEnd w:id="752"/>
      <w:bookmarkEnd w:id="753"/>
      <w:bookmarkEnd w:id="754"/>
      <w:bookmarkEnd w:id="755"/>
      <w:bookmarkEnd w:id="756"/>
      <w:bookmarkEnd w:id="757"/>
      <w:bookmarkEnd w:id="758"/>
      <w:bookmarkEnd w:id="759"/>
      <w:bookmarkEnd w:id="760"/>
    </w:p>
    <w:p w14:paraId="1BBB3820">
      <w:pPr>
        <w:pStyle w:val="13"/>
        <w:tabs>
          <w:tab w:val="left" w:pos="5580"/>
        </w:tabs>
        <w:spacing w:line="288" w:lineRule="auto"/>
        <w:ind w:left="1079" w:leftChars="257" w:hanging="540"/>
        <w:rPr>
          <w:rFonts w:ascii="仿宋_GB2312" w:hAnsi="仿宋_GB2312" w:eastAsia="仿宋_GB2312" w:cs="仿宋_GB2312"/>
          <w:color w:val="auto"/>
          <w:sz w:val="24"/>
          <w:highlight w:val="none"/>
        </w:rPr>
      </w:pPr>
    </w:p>
    <w:p w14:paraId="46A134EF">
      <w:pPr>
        <w:pStyle w:val="13"/>
        <w:tabs>
          <w:tab w:val="left" w:pos="5580"/>
        </w:tabs>
        <w:spacing w:line="240" w:lineRule="atLeast"/>
        <w:ind w:left="1079" w:leftChars="257" w:hanging="540"/>
        <w:rPr>
          <w:rFonts w:ascii="仿宋_GB2312" w:hAnsi="宋体" w:eastAsia="仿宋_GB2312"/>
          <w:color w:val="auto"/>
          <w:sz w:val="24"/>
          <w:highlight w:val="none"/>
        </w:rPr>
      </w:pPr>
      <w:r>
        <w:rPr>
          <w:rFonts w:hint="eastAsia" w:ascii="仿宋_GB2312" w:hAnsi="宋体" w:eastAsia="仿宋_GB2312"/>
          <w:color w:val="auto"/>
          <w:sz w:val="24"/>
          <w:highlight w:val="none"/>
        </w:rPr>
        <w:t>说明：</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z w:val="24"/>
          <w:highlight w:val="none"/>
        </w:rPr>
        <w:t>1.应提供</w:t>
      </w:r>
      <w:r>
        <w:rPr>
          <w:rFonts w:hint="eastAsia" w:ascii="仿宋_GB2312" w:hAnsi="宋体" w:eastAsia="仿宋_GB2312"/>
          <w:color w:val="auto"/>
          <w:sz w:val="24"/>
          <w:highlight w:val="none"/>
          <w:u w:val="single"/>
        </w:rPr>
        <w:t>投标人须知资料表</w:t>
      </w:r>
      <w:r>
        <w:rPr>
          <w:rFonts w:hint="eastAsia" w:ascii="仿宋_GB2312" w:hAnsi="宋体" w:eastAsia="仿宋_GB2312"/>
          <w:color w:val="auto"/>
          <w:sz w:val="24"/>
          <w:highlight w:val="none"/>
        </w:rPr>
        <w:t>要求的其他资格证明文件。</w:t>
      </w:r>
    </w:p>
    <w:p w14:paraId="487D5D06">
      <w:pPr>
        <w:pStyle w:val="13"/>
        <w:tabs>
          <w:tab w:val="left" w:pos="5580"/>
        </w:tabs>
        <w:spacing w:line="240" w:lineRule="atLeast"/>
        <w:ind w:left="1079" w:leftChars="257" w:hanging="540"/>
        <w:rPr>
          <w:rFonts w:ascii="仿宋_GB2312" w:hAnsi="宋体" w:eastAsia="仿宋_GB2312"/>
          <w:color w:val="auto"/>
          <w:spacing w:val="-6"/>
          <w:sz w:val="24"/>
          <w:highlight w:val="none"/>
        </w:rPr>
      </w:pPr>
      <w:r>
        <w:rPr>
          <w:rFonts w:hint="eastAsia" w:ascii="仿宋_GB2312" w:hAnsi="宋体" w:eastAsia="仿宋_GB2312"/>
          <w:color w:val="auto"/>
          <w:sz w:val="24"/>
          <w:highlight w:val="none"/>
        </w:rPr>
        <w:t xml:space="preserve">      </w:t>
      </w:r>
      <w:r>
        <w:rPr>
          <w:rFonts w:hint="eastAsia" w:ascii="仿宋_GB2312" w:hAnsi="宋体" w:eastAsia="仿宋_GB2312"/>
          <w:color w:val="auto"/>
          <w:sz w:val="24"/>
          <w:highlight w:val="none"/>
          <w:lang w:val="en-US" w:eastAsia="zh-CN"/>
        </w:rPr>
        <w:t xml:space="preserve"> </w:t>
      </w:r>
      <w:r>
        <w:rPr>
          <w:rFonts w:hint="eastAsia" w:ascii="仿宋_GB2312" w:hAnsi="宋体" w:eastAsia="仿宋_GB2312"/>
          <w:color w:val="auto"/>
          <w:spacing w:val="-6"/>
          <w:sz w:val="24"/>
          <w:highlight w:val="none"/>
        </w:rPr>
        <w:t>2.复印件上应加盖本单位章（自然人投标的无需盖章，需要签字）。</w:t>
      </w:r>
    </w:p>
    <w:p w14:paraId="7CD1FB67">
      <w:pPr>
        <w:pStyle w:val="13"/>
        <w:tabs>
          <w:tab w:val="left" w:pos="5580"/>
        </w:tabs>
        <w:spacing w:line="240" w:lineRule="atLeast"/>
        <w:ind w:left="1260" w:leftChars="344" w:hanging="538"/>
        <w:rPr>
          <w:rFonts w:hint="eastAsia" w:ascii="仿宋_GB2312" w:hAnsi="宋体" w:eastAsia="仿宋_GB2312"/>
          <w:color w:val="auto"/>
          <w:spacing w:val="-6"/>
          <w:sz w:val="24"/>
          <w:highlight w:val="none"/>
        </w:rPr>
      </w:pPr>
      <w:r>
        <w:rPr>
          <w:rFonts w:hint="eastAsia" w:ascii="仿宋_GB2312" w:hAnsi="宋体" w:eastAsia="仿宋_GB2312"/>
          <w:color w:val="auto"/>
          <w:sz w:val="24"/>
          <w:highlight w:val="none"/>
        </w:rPr>
        <w:t xml:space="preserve">  </w:t>
      </w:r>
      <w:r>
        <w:rPr>
          <w:rFonts w:hint="eastAsia" w:ascii="仿宋_GB2312" w:hAnsi="宋体" w:eastAsia="仿宋_GB2312"/>
          <w:color w:val="auto"/>
          <w:spacing w:val="-6"/>
          <w:sz w:val="24"/>
          <w:highlight w:val="none"/>
        </w:rPr>
        <w:t xml:space="preserve"> </w:t>
      </w:r>
      <w:r>
        <w:rPr>
          <w:rFonts w:hint="eastAsia" w:ascii="仿宋_GB2312" w:hAnsi="宋体" w:eastAsia="仿宋_GB2312"/>
          <w:color w:val="auto"/>
          <w:spacing w:val="-6"/>
          <w:sz w:val="24"/>
          <w:highlight w:val="none"/>
          <w:lang w:val="en-US" w:eastAsia="zh-CN"/>
        </w:rPr>
        <w:t xml:space="preserve">  </w:t>
      </w:r>
      <w:r>
        <w:rPr>
          <w:rFonts w:hint="eastAsia" w:ascii="仿宋_GB2312" w:hAnsi="宋体" w:eastAsia="仿宋_GB2312"/>
          <w:color w:val="auto"/>
          <w:spacing w:val="-6"/>
          <w:sz w:val="24"/>
          <w:highlight w:val="none"/>
        </w:rPr>
        <w:t xml:space="preserve"> 3. 如果是联合体投标，联合体各方需提供的满足招标文件要求的其他资格证明文件。</w:t>
      </w:r>
    </w:p>
    <w:p w14:paraId="2F81D9DF">
      <w:pPr>
        <w:pStyle w:val="20"/>
        <w:numPr>
          <w:ilvl w:val="0"/>
          <w:numId w:val="6"/>
        </w:numPr>
        <w:rPr>
          <w:color w:val="auto"/>
          <w:highlight w:val="none"/>
        </w:rPr>
        <w:sectPr>
          <w:headerReference r:id="rId7" w:type="default"/>
          <w:footerReference r:id="rId8" w:type="default"/>
          <w:pgSz w:w="11906" w:h="16838"/>
          <w:pgMar w:top="1440" w:right="1797" w:bottom="1440" w:left="1797" w:header="851" w:footer="992" w:gutter="0"/>
          <w:pgNumType w:fmt="decimal"/>
          <w:cols w:space="720" w:num="1"/>
          <w:docGrid w:type="linesAndChars" w:linePitch="312" w:charSpace="0"/>
        </w:sectPr>
      </w:pPr>
    </w:p>
    <w:p w14:paraId="3FDF4C0E">
      <w:pPr>
        <w:pStyle w:val="13"/>
        <w:tabs>
          <w:tab w:val="left" w:pos="5580"/>
        </w:tabs>
        <w:snapToGrid w:val="0"/>
        <w:spacing w:line="288" w:lineRule="auto"/>
        <w:ind w:left="1080" w:leftChars="257" w:hanging="540"/>
        <w:rPr>
          <w:rFonts w:ascii="仿宋_GB2312" w:hAnsi="仿宋_GB2312" w:eastAsia="仿宋_GB2312" w:cs="仿宋_GB2312"/>
          <w:color w:val="auto"/>
          <w:sz w:val="24"/>
          <w:highlight w:val="none"/>
        </w:rPr>
      </w:pPr>
    </w:p>
    <w:p w14:paraId="33E27A02">
      <w:pPr>
        <w:pStyle w:val="4"/>
        <w:snapToGrid w:val="0"/>
        <w:spacing w:before="0" w:line="288" w:lineRule="auto"/>
        <w:ind w:left="1080" w:leftChars="257" w:hanging="540"/>
        <w:rPr>
          <w:rFonts w:ascii="仿宋" w:hAnsi="仿宋" w:eastAsia="仿宋" w:cs="仿宋"/>
          <w:color w:val="auto"/>
          <w:sz w:val="24"/>
          <w:highlight w:val="none"/>
        </w:rPr>
      </w:pPr>
      <w:bookmarkStart w:id="761" w:name="_Toc26950"/>
      <w:bookmarkStart w:id="762" w:name="_Toc23967"/>
      <w:bookmarkStart w:id="763" w:name="_Toc515647816"/>
      <w:bookmarkStart w:id="764" w:name="_Toc26404"/>
      <w:bookmarkStart w:id="765" w:name="_Toc30317"/>
      <w:bookmarkStart w:id="766" w:name="_Toc21263"/>
      <w:bookmarkStart w:id="767" w:name="_Toc19244"/>
      <w:bookmarkStart w:id="768" w:name="_Toc22967"/>
      <w:bookmarkStart w:id="769" w:name="_Toc27549"/>
      <w:bookmarkStart w:id="770" w:name="_Toc18127"/>
      <w:bookmarkStart w:id="771" w:name="_Toc11180"/>
      <w:bookmarkStart w:id="772" w:name="_Toc168"/>
      <w:bookmarkStart w:id="773" w:name="_Toc22608"/>
      <w:bookmarkStart w:id="774" w:name="_Toc26028"/>
      <w:r>
        <w:rPr>
          <w:rFonts w:ascii="仿宋_GB2312" w:hAnsi="宋体" w:eastAsia="仿宋_GB2312"/>
          <w:color w:val="auto"/>
          <w:sz w:val="24"/>
          <w:highlight w:val="none"/>
        </w:rPr>
        <w:t>第</w:t>
      </w:r>
      <w:r>
        <w:rPr>
          <w:rFonts w:hint="eastAsia" w:ascii="仿宋_GB2312" w:hAnsi="宋体" w:eastAsia="仿宋_GB2312"/>
          <w:color w:val="auto"/>
          <w:sz w:val="24"/>
          <w:highlight w:val="none"/>
        </w:rPr>
        <w:t>二</w:t>
      </w:r>
      <w:r>
        <w:rPr>
          <w:rFonts w:ascii="仿宋_GB2312" w:hAnsi="宋体" w:eastAsia="仿宋_GB2312"/>
          <w:color w:val="auto"/>
          <w:sz w:val="24"/>
          <w:highlight w:val="none"/>
        </w:rPr>
        <w:t>部分</w:t>
      </w:r>
      <w:r>
        <w:rPr>
          <w:rFonts w:hint="eastAsia" w:ascii="仿宋" w:hAnsi="仿宋" w:eastAsia="仿宋" w:cs="仿宋"/>
          <w:color w:val="auto"/>
          <w:sz w:val="24"/>
          <w:szCs w:val="24"/>
          <w:highlight w:val="none"/>
        </w:rPr>
        <w:t xml:space="preserve"> 商务及技术文件</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70A6D432">
      <w:pPr>
        <w:pStyle w:val="13"/>
        <w:snapToGrid w:val="0"/>
        <w:spacing w:line="288" w:lineRule="auto"/>
        <w:ind w:left="1080" w:leftChars="257" w:hanging="54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1、投标书</w:t>
      </w:r>
    </w:p>
    <w:p w14:paraId="19CCAD10">
      <w:pPr>
        <w:pStyle w:val="13"/>
        <w:snapToGrid w:val="0"/>
        <w:spacing w:line="288" w:lineRule="auto"/>
        <w:ind w:left="1080" w:leftChars="257" w:hanging="54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2、投标分项报价表</w:t>
      </w:r>
    </w:p>
    <w:p w14:paraId="2DB97BC6">
      <w:pPr>
        <w:pStyle w:val="13"/>
        <w:snapToGrid w:val="0"/>
        <w:spacing w:line="288" w:lineRule="auto"/>
        <w:ind w:left="1080" w:leftChars="257" w:hanging="54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3、技术规格偏离表</w:t>
      </w:r>
    </w:p>
    <w:p w14:paraId="0D1E8946">
      <w:pPr>
        <w:pStyle w:val="13"/>
        <w:snapToGrid w:val="0"/>
        <w:spacing w:line="288" w:lineRule="auto"/>
        <w:ind w:left="1080" w:leftChars="257" w:hanging="54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4、商务条款偏离表</w:t>
      </w:r>
    </w:p>
    <w:p w14:paraId="7780FB2B">
      <w:pPr>
        <w:pStyle w:val="13"/>
        <w:snapToGrid w:val="0"/>
        <w:spacing w:line="288" w:lineRule="auto"/>
        <w:ind w:left="1080" w:leftChars="257" w:hanging="54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-1《中小企业声明函（货物)》</w:t>
      </w:r>
    </w:p>
    <w:p w14:paraId="4F720E44">
      <w:pPr>
        <w:pStyle w:val="13"/>
        <w:snapToGrid w:val="0"/>
        <w:spacing w:line="288" w:lineRule="auto"/>
        <w:ind w:left="1080" w:leftChars="257" w:hanging="54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-2《残疾人福利性单位声明函》</w:t>
      </w:r>
    </w:p>
    <w:p w14:paraId="05F8A7D1">
      <w:pPr>
        <w:pStyle w:val="13"/>
        <w:snapToGrid w:val="0"/>
        <w:spacing w:line="288" w:lineRule="auto"/>
        <w:ind w:left="1080" w:leftChars="257" w:hanging="54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-3《监狱企业适用》</w:t>
      </w:r>
    </w:p>
    <w:p w14:paraId="50651F7D">
      <w:pPr>
        <w:pStyle w:val="13"/>
        <w:numPr>
          <w:ilvl w:val="0"/>
          <w:numId w:val="0"/>
        </w:numPr>
        <w:snapToGrid w:val="0"/>
        <w:spacing w:line="288" w:lineRule="auto"/>
        <w:ind w:leftChars="0"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投标文件还应包括第五章、综合评分表的所有技术文件</w:t>
      </w:r>
    </w:p>
    <w:p w14:paraId="6F635DBD">
      <w:pPr>
        <w:pStyle w:val="13"/>
        <w:numPr>
          <w:ilvl w:val="0"/>
          <w:numId w:val="0"/>
        </w:numPr>
        <w:snapToGrid w:val="0"/>
        <w:spacing w:line="288" w:lineRule="auto"/>
        <w:ind w:left="210" w:leftChars="0"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投标人关联单位的说明（格式自拟）</w:t>
      </w:r>
    </w:p>
    <w:p w14:paraId="7A63FDFE">
      <w:pPr>
        <w:pStyle w:val="13"/>
        <w:numPr>
          <w:ilvl w:val="0"/>
          <w:numId w:val="0"/>
        </w:numPr>
        <w:snapToGrid w:val="0"/>
        <w:spacing w:line="288" w:lineRule="auto"/>
        <w:ind w:left="210" w:leftChars="0"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其他有利于投标人的文件或证明材料</w:t>
      </w:r>
    </w:p>
    <w:p w14:paraId="36002F69">
      <w:pPr>
        <w:pStyle w:val="13"/>
        <w:numPr>
          <w:ilvl w:val="0"/>
          <w:numId w:val="0"/>
        </w:numPr>
        <w:snapToGrid w:val="0"/>
        <w:spacing w:line="288" w:lineRule="auto"/>
        <w:ind w:left="210" w:leftChars="0" w:firstLine="240" w:firstLineChars="1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对本项目投标文件（响应文件）中资料真实性的承诺</w:t>
      </w:r>
    </w:p>
    <w:p w14:paraId="40BCD2E2">
      <w:pPr>
        <w:pStyle w:val="13"/>
        <w:snapToGrid w:val="0"/>
        <w:rPr>
          <w:rFonts w:ascii="仿宋" w:hAnsi="仿宋" w:eastAsia="仿宋" w:cs="仿宋"/>
          <w:color w:val="auto"/>
          <w:sz w:val="24"/>
          <w:szCs w:val="24"/>
          <w:highlight w:val="none"/>
        </w:rPr>
      </w:pPr>
    </w:p>
    <w:p w14:paraId="3F746781">
      <w:pPr>
        <w:rPr>
          <w:rFonts w:hint="eastAsia" w:ascii="仿宋_GB2312" w:hAnsi="仿宋_GB2312" w:eastAsia="仿宋_GB2312" w:cs="仿宋_GB2312"/>
          <w:color w:val="auto"/>
          <w:highlight w:val="none"/>
          <w:u w:val="none"/>
        </w:rPr>
      </w:pPr>
      <w:bookmarkStart w:id="775" w:name="_Toc31410"/>
      <w:bookmarkStart w:id="776" w:name="_Toc11043"/>
      <w:bookmarkStart w:id="777" w:name="_Toc24743"/>
      <w:bookmarkStart w:id="778" w:name="_Toc17635"/>
      <w:bookmarkStart w:id="779" w:name="_Toc3618"/>
      <w:bookmarkStart w:id="780" w:name="_Toc31638"/>
      <w:bookmarkStart w:id="781" w:name="_Toc21159"/>
      <w:bookmarkStart w:id="782" w:name="_Toc14062"/>
      <w:bookmarkStart w:id="783" w:name="_Toc25213"/>
      <w:r>
        <w:rPr>
          <w:rFonts w:hint="eastAsia" w:ascii="仿宋_GB2312" w:hAnsi="仿宋_GB2312" w:eastAsia="仿宋_GB2312" w:cs="仿宋_GB2312"/>
          <w:color w:val="auto"/>
          <w:highlight w:val="none"/>
          <w:u w:val="none"/>
        </w:rPr>
        <w:br w:type="page"/>
      </w:r>
    </w:p>
    <w:p w14:paraId="3F484337">
      <w:pPr>
        <w:pStyle w:val="5"/>
        <w:spacing w:before="0" w:after="0" w:line="288" w:lineRule="auto"/>
        <w:ind w:left="1079" w:leftChars="257" w:hanging="539"/>
        <w:jc w:val="center"/>
        <w:rPr>
          <w:rFonts w:ascii="仿宋_GB2312" w:hAnsi="仿宋_GB2312" w:eastAsia="仿宋_GB2312" w:cs="仿宋_GB2312"/>
          <w:color w:val="auto"/>
          <w:highlight w:val="none"/>
          <w:u w:val="none"/>
        </w:rPr>
      </w:pPr>
      <w:bookmarkStart w:id="784" w:name="_Toc1300"/>
      <w:r>
        <w:rPr>
          <w:rFonts w:hint="eastAsia" w:ascii="仿宋_GB2312" w:hAnsi="仿宋_GB2312" w:eastAsia="仿宋_GB2312" w:cs="仿宋_GB2312"/>
          <w:color w:val="auto"/>
          <w:highlight w:val="none"/>
          <w:u w:val="none"/>
        </w:rPr>
        <w:t>1  投标书</w:t>
      </w:r>
      <w:bookmarkEnd w:id="775"/>
      <w:bookmarkEnd w:id="776"/>
      <w:bookmarkEnd w:id="777"/>
      <w:bookmarkEnd w:id="778"/>
      <w:bookmarkEnd w:id="779"/>
      <w:bookmarkEnd w:id="780"/>
      <w:bookmarkEnd w:id="781"/>
      <w:bookmarkEnd w:id="782"/>
      <w:bookmarkEnd w:id="783"/>
      <w:bookmarkEnd w:id="784"/>
    </w:p>
    <w:p w14:paraId="5F33BFC9">
      <w:pPr>
        <w:tabs>
          <w:tab w:val="left" w:pos="5580"/>
        </w:tabs>
        <w:snapToGrid w:val="0"/>
        <w:spacing w:line="240" w:lineRule="atLeast"/>
        <w:ind w:left="1080" w:leftChars="257" w:hanging="540"/>
        <w:rPr>
          <w:rFonts w:ascii="仿宋_GB2312" w:hAnsi="仿宋_GB2312" w:eastAsia="仿宋_GB2312" w:cs="仿宋_GB2312"/>
          <w:color w:val="auto"/>
          <w:sz w:val="32"/>
          <w:szCs w:val="32"/>
          <w:highlight w:val="none"/>
        </w:rPr>
      </w:pPr>
    </w:p>
    <w:p w14:paraId="6D4C80CA">
      <w:pPr>
        <w:tabs>
          <w:tab w:val="left" w:pos="5580"/>
        </w:tabs>
        <w:snapToGrid w:val="0"/>
        <w:spacing w:line="320" w:lineRule="exact"/>
        <w:ind w:left="1080" w:hanging="1080"/>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color="000000"/>
        </w:rPr>
        <w:t xml:space="preserve"> （采购人名称）</w:t>
      </w:r>
    </w:p>
    <w:p w14:paraId="346DDBF3">
      <w:pPr>
        <w:pStyle w:val="13"/>
        <w:tabs>
          <w:tab w:val="left" w:pos="5580"/>
        </w:tabs>
        <w:snapToGrid w:val="0"/>
        <w:spacing w:line="320" w:lineRule="exact"/>
        <w:ind w:left="1080" w:leftChars="257" w:hanging="540"/>
        <w:rPr>
          <w:rFonts w:ascii="仿宋" w:hAnsi="仿宋" w:eastAsia="仿宋" w:cs="仿宋"/>
          <w:color w:val="auto"/>
          <w:sz w:val="24"/>
          <w:highlight w:val="none"/>
        </w:rPr>
      </w:pPr>
    </w:p>
    <w:p w14:paraId="00C45A6B">
      <w:pPr>
        <w:pStyle w:val="13"/>
        <w:tabs>
          <w:tab w:val="left" w:pos="5580"/>
        </w:tabs>
        <w:spacing w:line="400" w:lineRule="exact"/>
        <w:ind w:left="2" w:leftChars="1"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根据贵方(项目名称)项目的投标邀请(招标编号),签字代表(姓名、职务)经正式授权并代表投标人（名称、地址）上传</w:t>
      </w:r>
      <w:r>
        <w:rPr>
          <w:rFonts w:hint="eastAsia" w:ascii="仿宋_GB2312" w:hAnsi="仿宋_GB2312" w:eastAsia="仿宋_GB2312" w:cs="仿宋_GB2312"/>
          <w:color w:val="auto"/>
          <w:sz w:val="24"/>
          <w:szCs w:val="24"/>
          <w:highlight w:val="none"/>
          <w:u w:val="single"/>
        </w:rPr>
        <w:t>响应文件</w:t>
      </w:r>
      <w:r>
        <w:rPr>
          <w:rFonts w:hint="eastAsia" w:ascii="仿宋_GB2312" w:hAnsi="仿宋_GB2312" w:eastAsia="仿宋_GB2312" w:cs="仿宋_GB2312"/>
          <w:color w:val="auto"/>
          <w:sz w:val="24"/>
          <w:szCs w:val="24"/>
          <w:highlight w:val="none"/>
        </w:rPr>
        <w:t>，并以形式出具的金额为人民币</w:t>
      </w:r>
      <w:r>
        <w:rPr>
          <w:rFonts w:hint="eastAsia" w:ascii="仿宋_GB2312" w:hAnsi="仿宋_GB2312" w:eastAsia="仿宋_GB2312" w:cs="仿宋_GB2312"/>
          <w:color w:val="auto"/>
          <w:sz w:val="24"/>
          <w:szCs w:val="24"/>
          <w:highlight w:val="none"/>
          <w:u w:val="single"/>
        </w:rPr>
        <w:t>　　　　</w:t>
      </w:r>
      <w:r>
        <w:rPr>
          <w:rFonts w:hint="eastAsia" w:ascii="仿宋_GB2312" w:hAnsi="仿宋_GB2312" w:eastAsia="仿宋_GB2312" w:cs="仿宋_GB2312"/>
          <w:color w:val="auto"/>
          <w:sz w:val="24"/>
          <w:szCs w:val="24"/>
          <w:highlight w:val="none"/>
        </w:rPr>
        <w:t>元的投标保证金。</w:t>
      </w:r>
    </w:p>
    <w:p w14:paraId="268D8585">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据此，签字代表宣布同意如下：</w:t>
      </w:r>
    </w:p>
    <w:p w14:paraId="1CFB51E6">
      <w:pPr>
        <w:pStyle w:val="13"/>
        <w:tabs>
          <w:tab w:val="left" w:pos="720"/>
          <w:tab w:val="left" w:pos="900"/>
        </w:tabs>
        <w:snapToGrid w:val="0"/>
        <w:spacing w:line="320" w:lineRule="exact"/>
        <w:ind w:left="769" w:leftChars="257" w:hanging="229"/>
        <w:rPr>
          <w:rFonts w:ascii="仿宋" w:hAnsi="仿宋" w:eastAsia="仿宋" w:cs="仿宋"/>
          <w:color w:val="auto"/>
          <w:sz w:val="24"/>
          <w:highlight w:val="none"/>
          <w:u w:val="single" w:color="000000"/>
        </w:rPr>
      </w:pPr>
      <w:r>
        <w:rPr>
          <w:rFonts w:hint="eastAsia" w:ascii="仿宋" w:hAnsi="仿宋" w:eastAsia="仿宋" w:cs="仿宋"/>
          <w:color w:val="auto"/>
          <w:sz w:val="24"/>
          <w:highlight w:val="none"/>
        </w:rPr>
        <w:t>（1）附投标价格表中规定的应提供货物的投标总价详见开标一览表，</w:t>
      </w:r>
      <w:r>
        <w:rPr>
          <w:rFonts w:hint="eastAsia" w:ascii="仿宋" w:hAnsi="仿宋" w:eastAsia="仿宋" w:cs="仿宋"/>
          <w:color w:val="auto"/>
          <w:sz w:val="24"/>
          <w:highlight w:val="none"/>
          <w:u w:val="single" w:color="000000"/>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color="000000"/>
        </w:rPr>
        <w:t xml:space="preserve">      （用文字和数字表示），占投标总价    %</w:t>
      </w:r>
      <w:r>
        <w:rPr>
          <w:rFonts w:hint="eastAsia" w:ascii="仿宋" w:hAnsi="仿宋" w:eastAsia="仿宋" w:cs="仿宋"/>
          <w:color w:val="auto"/>
          <w:sz w:val="24"/>
          <w:highlight w:val="none"/>
        </w:rPr>
        <w:t>。</w:t>
      </w:r>
    </w:p>
    <w:p w14:paraId="231C35CC">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（2）本投标有效期为自投标截止之日起个</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日历日。</w:t>
      </w:r>
    </w:p>
    <w:p w14:paraId="658FF38B">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（3）联合体中的大中型企业和其他自然人、法人或者非法人组织，与联合体中的小型、微型企业之间</w:t>
      </w:r>
      <w:r>
        <w:rPr>
          <w:rFonts w:hint="eastAsia" w:ascii="仿宋" w:hAnsi="仿宋" w:eastAsia="仿宋" w:cs="仿宋"/>
          <w:color w:val="auto"/>
          <w:sz w:val="24"/>
          <w:highlight w:val="none"/>
          <w:u w:val="single" w:color="000000"/>
        </w:rPr>
        <w:t xml:space="preserve">     （</w:t>
      </w:r>
      <w:r>
        <w:rPr>
          <w:rFonts w:hint="eastAsia" w:ascii="仿宋" w:hAnsi="仿宋" w:eastAsia="仿宋" w:cs="仿宋"/>
          <w:color w:val="auto"/>
          <w:sz w:val="24"/>
          <w:highlight w:val="none"/>
        </w:rPr>
        <w:t>存在、不存在）投资关系（如果是联合体的话）。</w:t>
      </w:r>
    </w:p>
    <w:p w14:paraId="6D5E3146">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（4）已详细审查全部招标文件，包括所有补充通知（如果有的话），完全理解并同意放弃对这方面有不明、误解和质疑的权力。</w:t>
      </w:r>
    </w:p>
    <w:p w14:paraId="34E54D1F">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（5）在规定的开标时间后，遵守招标文件中有关保证金的规定。</w:t>
      </w:r>
    </w:p>
    <w:p w14:paraId="05E9054D">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54342606">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（7）在领取中标通知书的同时按招标文件规定的形式，向贵方一次性支付中标服务费。</w:t>
      </w:r>
    </w:p>
    <w:p w14:paraId="368576B6">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67B9D4FB">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（9）在中标公示期过后7个工作日内领取中标通知书，不领取中标通知书视为自动放弃中标资格，采购人可依法进行相应处罚。</w:t>
      </w:r>
    </w:p>
    <w:p w14:paraId="50D7B523">
      <w:pPr>
        <w:pStyle w:val="13"/>
        <w:tabs>
          <w:tab w:val="left" w:pos="5580"/>
        </w:tabs>
        <w:snapToGrid w:val="0"/>
        <w:spacing w:line="32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（10）按照招标文件的规定履行合同责任和义务。</w:t>
      </w:r>
    </w:p>
    <w:p w14:paraId="5CFC7DB5">
      <w:pPr>
        <w:pStyle w:val="13"/>
        <w:tabs>
          <w:tab w:val="left" w:pos="5580"/>
        </w:tabs>
        <w:snapToGrid w:val="0"/>
        <w:spacing w:line="320" w:lineRule="exact"/>
        <w:ind w:left="1080" w:leftChars="257" w:hanging="540"/>
        <w:rPr>
          <w:rFonts w:hint="eastAsia" w:ascii="仿宋" w:hAnsi="仿宋" w:eastAsia="仿宋" w:cs="仿宋"/>
          <w:color w:val="auto"/>
          <w:sz w:val="24"/>
          <w:highlight w:val="none"/>
        </w:rPr>
      </w:pPr>
    </w:p>
    <w:p w14:paraId="6495C4AE">
      <w:pPr>
        <w:pStyle w:val="13"/>
        <w:tabs>
          <w:tab w:val="left" w:pos="5580"/>
        </w:tabs>
        <w:snapToGrid w:val="0"/>
        <w:spacing w:line="320" w:lineRule="exact"/>
        <w:ind w:left="359" w:leftChars="68" w:hanging="216" w:hangingChars="90"/>
        <w:rPr>
          <w:rFonts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74ABE7CF">
      <w:pPr>
        <w:pStyle w:val="13"/>
        <w:tabs>
          <w:tab w:val="left" w:pos="5580"/>
        </w:tabs>
        <w:snapToGrid w:val="0"/>
        <w:spacing w:line="320" w:lineRule="exact"/>
        <w:ind w:left="1080" w:leftChars="257" w:hanging="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lang w:eastAsia="zh-CN"/>
        </w:rPr>
        <w:t>：</w:t>
      </w:r>
    </w:p>
    <w:p w14:paraId="66A69BAC">
      <w:pPr>
        <w:pStyle w:val="13"/>
        <w:tabs>
          <w:tab w:val="left" w:pos="5580"/>
        </w:tabs>
        <w:snapToGrid w:val="0"/>
        <w:spacing w:line="320" w:lineRule="exact"/>
        <w:ind w:left="1080" w:leftChars="257" w:hanging="540"/>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lang w:eastAsia="zh-CN"/>
        </w:rPr>
        <w:t>：</w:t>
      </w:r>
    </w:p>
    <w:p w14:paraId="23399187">
      <w:pPr>
        <w:pStyle w:val="13"/>
        <w:tabs>
          <w:tab w:val="left" w:pos="5580"/>
        </w:tabs>
        <w:snapToGrid w:val="0"/>
        <w:spacing w:line="320" w:lineRule="exact"/>
        <w:ind w:left="1080" w:leftChars="257" w:hanging="540"/>
        <w:rPr>
          <w:rFonts w:ascii="仿宋" w:hAnsi="仿宋" w:eastAsia="仿宋" w:cs="仿宋"/>
          <w:color w:val="auto"/>
          <w:sz w:val="24"/>
          <w:highlight w:val="none"/>
        </w:rPr>
      </w:pPr>
    </w:p>
    <w:p w14:paraId="55923BD1">
      <w:pPr>
        <w:pStyle w:val="13"/>
        <w:tabs>
          <w:tab w:val="left" w:pos="5580"/>
        </w:tabs>
        <w:snapToGrid w:val="0"/>
        <w:spacing w:line="320" w:lineRule="exact"/>
        <w:ind w:left="1080" w:leftChars="257" w:hanging="54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法定代表人（或企业负责人）或其委托代理人签字</w:t>
      </w:r>
      <w:r>
        <w:rPr>
          <w:rFonts w:hint="eastAsia" w:ascii="仿宋" w:hAnsi="仿宋" w:eastAsia="仿宋" w:cs="仿宋"/>
          <w:color w:val="auto"/>
          <w:sz w:val="24"/>
          <w:highlight w:val="none"/>
          <w:lang w:eastAsia="zh-CN"/>
        </w:rPr>
        <w:t>（章）：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p>
    <w:p w14:paraId="0F4FB084">
      <w:pPr>
        <w:pStyle w:val="13"/>
        <w:tabs>
          <w:tab w:val="left" w:pos="5580"/>
        </w:tabs>
        <w:snapToGrid w:val="0"/>
        <w:spacing w:line="320" w:lineRule="exac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投标人名称（全称）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p>
    <w:p w14:paraId="0205294B">
      <w:pPr>
        <w:pStyle w:val="13"/>
        <w:tabs>
          <w:tab w:val="left" w:pos="5580"/>
        </w:tabs>
        <w:snapToGrid w:val="0"/>
        <w:spacing w:line="320" w:lineRule="exact"/>
        <w:ind w:left="1080" w:leftChars="257" w:hanging="54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p>
    <w:p w14:paraId="0A96A3C5">
      <w:pPr>
        <w:pStyle w:val="13"/>
        <w:tabs>
          <w:tab w:val="left" w:pos="5580"/>
        </w:tabs>
        <w:snapToGrid w:val="0"/>
        <w:spacing w:line="320" w:lineRule="exact"/>
        <w:ind w:left="1080" w:leftChars="257" w:hanging="54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投标人银行帐号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p>
    <w:p w14:paraId="092CDD4C">
      <w:pPr>
        <w:pStyle w:val="13"/>
        <w:tabs>
          <w:tab w:val="left" w:pos="5580"/>
        </w:tabs>
        <w:snapToGrid w:val="0"/>
        <w:spacing w:line="320" w:lineRule="exact"/>
        <w:ind w:left="1080" w:leftChars="257" w:hanging="54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投标人单位章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p>
    <w:p w14:paraId="5B7B8D4F">
      <w:pPr>
        <w:pStyle w:val="13"/>
        <w:tabs>
          <w:tab w:val="left" w:pos="5580"/>
        </w:tabs>
        <w:snapToGrid w:val="0"/>
        <w:spacing w:line="320" w:lineRule="exact"/>
        <w:ind w:left="1080" w:leftChars="257" w:hanging="540"/>
        <w:rPr>
          <w:rFonts w:ascii="仿宋_GB2312" w:hAnsi="仿宋_GB2312" w:eastAsia="仿宋_GB2312" w:cs="仿宋_GB2312"/>
          <w:color w:val="auto"/>
          <w:sz w:val="32"/>
          <w:szCs w:val="32"/>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br w:type="page"/>
      </w:r>
    </w:p>
    <w:p w14:paraId="058C734D">
      <w:pPr>
        <w:pStyle w:val="13"/>
        <w:snapToGrid w:val="0"/>
        <w:spacing w:line="240" w:lineRule="atLeast"/>
        <w:ind w:left="1080" w:leftChars="257" w:hanging="540"/>
        <w:rPr>
          <w:rFonts w:ascii="仿宋_GB2312" w:hAnsi="仿宋_GB2312" w:eastAsia="仿宋_GB2312" w:cs="仿宋_GB2312"/>
          <w:color w:val="auto"/>
          <w:sz w:val="24"/>
          <w:highlight w:val="none"/>
        </w:rPr>
      </w:pPr>
    </w:p>
    <w:p w14:paraId="5E4A4FBC">
      <w:pPr>
        <w:pStyle w:val="5"/>
        <w:spacing w:before="0" w:after="0" w:line="288" w:lineRule="auto"/>
        <w:ind w:left="1079" w:leftChars="257" w:hanging="539"/>
        <w:jc w:val="center"/>
        <w:rPr>
          <w:rFonts w:hint="eastAsia" w:ascii="仿宋_GB2312" w:hAnsi="仿宋_GB2312" w:eastAsia="仿宋_GB2312" w:cs="仿宋_GB2312"/>
          <w:color w:val="auto"/>
          <w:highlight w:val="none"/>
          <w:u w:val="none"/>
        </w:rPr>
      </w:pPr>
      <w:bookmarkStart w:id="785" w:name="_Toc22852"/>
      <w:bookmarkStart w:id="786" w:name="_Toc19321"/>
      <w:bookmarkStart w:id="787" w:name="_Toc16287"/>
      <w:bookmarkStart w:id="788" w:name="_Toc18267"/>
      <w:bookmarkStart w:id="789" w:name="_Toc515647819"/>
      <w:bookmarkStart w:id="790" w:name="_Toc14037"/>
      <w:bookmarkStart w:id="791" w:name="_Toc32398"/>
      <w:bookmarkStart w:id="792" w:name="_Toc216582816"/>
      <w:r>
        <w:rPr>
          <w:rFonts w:hint="eastAsia" w:ascii="仿宋_GB2312" w:hAnsi="仿宋_GB2312" w:eastAsia="仿宋_GB2312" w:cs="仿宋_GB2312"/>
          <w:color w:val="auto"/>
          <w:highlight w:val="none"/>
          <w:u w:val="none"/>
        </w:rPr>
        <w:t>2  投标分项报价表</w:t>
      </w:r>
      <w:bookmarkEnd w:id="785"/>
      <w:bookmarkEnd w:id="786"/>
      <w:bookmarkEnd w:id="787"/>
    </w:p>
    <w:p w14:paraId="46A0404D">
      <w:pPr>
        <w:pStyle w:val="13"/>
        <w:snapToGrid w:val="0"/>
        <w:spacing w:line="240" w:lineRule="atLeast"/>
        <w:ind w:left="1080" w:leftChars="257" w:hanging="540"/>
        <w:rPr>
          <w:rFonts w:ascii="仿宋_GB2312" w:hAnsi="仿宋_GB2312" w:eastAsia="仿宋_GB2312" w:cs="仿宋_GB2312"/>
          <w:color w:val="auto"/>
          <w:sz w:val="24"/>
          <w:highlight w:val="none"/>
        </w:rPr>
      </w:pPr>
    </w:p>
    <w:p w14:paraId="1C4D174D">
      <w:pPr>
        <w:pStyle w:val="13"/>
        <w:snapToGrid w:val="0"/>
        <w:spacing w:line="240" w:lineRule="atLeast"/>
        <w:ind w:left="79" w:leftChars="-27" w:hanging="136" w:hangingChars="5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项目名称:                                        招标编号:                       </w:t>
      </w:r>
    </w:p>
    <w:p w14:paraId="6165E52A">
      <w:pPr>
        <w:pStyle w:val="13"/>
        <w:snapToGrid w:val="0"/>
        <w:spacing w:line="240" w:lineRule="atLeast"/>
        <w:ind w:left="79" w:leftChars="-27" w:hanging="136" w:hangingChars="57"/>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标    段: 　 　                                  报价单位：人民币元</w:t>
      </w:r>
    </w:p>
    <w:p w14:paraId="4B6A493C">
      <w:pPr>
        <w:pStyle w:val="13"/>
        <w:snapToGrid w:val="0"/>
        <w:spacing w:line="240" w:lineRule="atLeast"/>
        <w:ind w:left="1080" w:leftChars="257" w:hanging="540"/>
        <w:rPr>
          <w:rFonts w:ascii="仿宋_GB2312" w:hAnsi="仿宋_GB2312" w:eastAsia="仿宋_GB2312" w:cs="仿宋_GB2312"/>
          <w:color w:val="auto"/>
          <w:sz w:val="24"/>
          <w:highlight w:val="none"/>
        </w:rPr>
      </w:pPr>
    </w:p>
    <w:tbl>
      <w:tblPr>
        <w:tblStyle w:val="27"/>
        <w:tblW w:w="9847"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22"/>
        <w:gridCol w:w="1445"/>
        <w:gridCol w:w="1043"/>
        <w:gridCol w:w="945"/>
        <w:gridCol w:w="1517"/>
        <w:gridCol w:w="995"/>
        <w:gridCol w:w="1173"/>
        <w:gridCol w:w="777"/>
      </w:tblGrid>
      <w:tr w14:paraId="6930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630" w:type="dxa"/>
            <w:noWrap/>
            <w:vAlign w:val="center"/>
          </w:tcPr>
          <w:p w14:paraId="57B9B637">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322" w:type="dxa"/>
            <w:noWrap/>
            <w:vAlign w:val="center"/>
          </w:tcPr>
          <w:p w14:paraId="02D78C1A">
            <w:pPr>
              <w:pStyle w:val="13"/>
              <w:snapToGrid w:val="0"/>
              <w:spacing w:line="240" w:lineRule="atLeas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名称</w:t>
            </w:r>
          </w:p>
        </w:tc>
        <w:tc>
          <w:tcPr>
            <w:tcW w:w="1445" w:type="dxa"/>
            <w:noWrap/>
            <w:vAlign w:val="center"/>
          </w:tcPr>
          <w:p w14:paraId="131BA5DE">
            <w:pPr>
              <w:pStyle w:val="13"/>
              <w:snapToGrid w:val="0"/>
              <w:spacing w:line="240" w:lineRule="atLeast"/>
              <w:jc w:val="center"/>
              <w:rPr>
                <w:rFonts w:hint="eastAsia" w:ascii="仿宋_GB2312" w:hAnsi="仿宋_GB2312" w:eastAsia="仿宋_GB2312" w:cs="仿宋_GB2312"/>
                <w:color w:val="auto"/>
                <w:sz w:val="24"/>
                <w:highlight w:val="none"/>
              </w:rPr>
            </w:pPr>
          </w:p>
          <w:p w14:paraId="79E4356D">
            <w:pPr>
              <w:pStyle w:val="13"/>
              <w:snapToGrid w:val="0"/>
              <w:spacing w:line="240" w:lineRule="atLeas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品牌型号</w:t>
            </w:r>
            <w:r>
              <w:rPr>
                <w:rFonts w:hint="eastAsia" w:ascii="仿宋_GB2312" w:hAnsi="仿宋_GB2312" w:eastAsia="仿宋_GB2312" w:cs="仿宋_GB2312"/>
                <w:color w:val="auto"/>
                <w:sz w:val="24"/>
                <w:highlight w:val="none"/>
                <w:lang w:eastAsia="zh-CN"/>
              </w:rPr>
              <w:t>和</w:t>
            </w:r>
            <w:r>
              <w:rPr>
                <w:rFonts w:hint="eastAsia" w:ascii="仿宋_GB2312" w:hAnsi="仿宋_GB2312" w:eastAsia="仿宋_GB2312" w:cs="仿宋_GB2312"/>
                <w:color w:val="auto"/>
                <w:sz w:val="24"/>
                <w:highlight w:val="none"/>
              </w:rPr>
              <w:t>规格</w:t>
            </w:r>
          </w:p>
          <w:p w14:paraId="087EE446">
            <w:pPr>
              <w:pStyle w:val="13"/>
              <w:snapToGrid w:val="0"/>
              <w:spacing w:line="240" w:lineRule="atLeast"/>
              <w:jc w:val="center"/>
              <w:rPr>
                <w:rFonts w:hint="eastAsia" w:ascii="仿宋_GB2312" w:hAnsi="仿宋_GB2312" w:eastAsia="仿宋_GB2312" w:cs="仿宋_GB2312"/>
                <w:color w:val="auto"/>
                <w:sz w:val="24"/>
                <w:highlight w:val="none"/>
              </w:rPr>
            </w:pPr>
          </w:p>
        </w:tc>
        <w:tc>
          <w:tcPr>
            <w:tcW w:w="1043" w:type="dxa"/>
            <w:noWrap/>
            <w:vAlign w:val="center"/>
          </w:tcPr>
          <w:p w14:paraId="52726018">
            <w:pPr>
              <w:pStyle w:val="13"/>
              <w:snapToGrid w:val="0"/>
              <w:spacing w:line="240" w:lineRule="atLeas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数量</w:t>
            </w:r>
          </w:p>
        </w:tc>
        <w:tc>
          <w:tcPr>
            <w:tcW w:w="945" w:type="dxa"/>
            <w:noWrap/>
            <w:vAlign w:val="center"/>
          </w:tcPr>
          <w:p w14:paraId="11F54370">
            <w:pPr>
              <w:pStyle w:val="13"/>
              <w:snapToGrid w:val="0"/>
              <w:spacing w:line="240" w:lineRule="atLeas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w:t>
            </w:r>
          </w:p>
        </w:tc>
        <w:tc>
          <w:tcPr>
            <w:tcW w:w="1517" w:type="dxa"/>
            <w:noWrap/>
            <w:vAlign w:val="center"/>
          </w:tcPr>
          <w:p w14:paraId="35CAEEF6">
            <w:pPr>
              <w:pStyle w:val="13"/>
              <w:snapToGrid w:val="0"/>
              <w:spacing w:line="240" w:lineRule="atLeas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制造商名称</w:t>
            </w:r>
          </w:p>
        </w:tc>
        <w:tc>
          <w:tcPr>
            <w:tcW w:w="995" w:type="dxa"/>
            <w:noWrap/>
            <w:vAlign w:val="center"/>
          </w:tcPr>
          <w:p w14:paraId="610C9508">
            <w:pPr>
              <w:pStyle w:val="13"/>
              <w:snapToGrid w:val="0"/>
              <w:spacing w:line="240" w:lineRule="atLeas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单价</w:t>
            </w:r>
          </w:p>
        </w:tc>
        <w:tc>
          <w:tcPr>
            <w:tcW w:w="1173" w:type="dxa"/>
            <w:noWrap/>
            <w:vAlign w:val="center"/>
          </w:tcPr>
          <w:p w14:paraId="72C6B1BE">
            <w:pPr>
              <w:pStyle w:val="13"/>
              <w:snapToGrid w:val="0"/>
              <w:spacing w:line="240" w:lineRule="atLeas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总价</w:t>
            </w:r>
          </w:p>
        </w:tc>
        <w:tc>
          <w:tcPr>
            <w:tcW w:w="777" w:type="dxa"/>
            <w:noWrap/>
            <w:vAlign w:val="center"/>
          </w:tcPr>
          <w:p w14:paraId="4AFB0391">
            <w:pPr>
              <w:pStyle w:val="13"/>
              <w:snapToGrid w:val="0"/>
              <w:spacing w:line="240" w:lineRule="atLeas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14:paraId="590A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613263E8">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22" w:type="dxa"/>
            <w:noWrap/>
            <w:vAlign w:val="center"/>
          </w:tcPr>
          <w:p w14:paraId="5FB02180">
            <w:pPr>
              <w:snapToGrid w:val="0"/>
              <w:jc w:val="both"/>
              <w:textAlignment w:val="center"/>
              <w:rPr>
                <w:rFonts w:ascii="仿宋_GB2312" w:hAnsi="仿宋_GB2312" w:eastAsia="仿宋_GB2312" w:cs="仿宋_GB2312"/>
                <w:color w:val="auto"/>
                <w:sz w:val="24"/>
                <w:highlight w:val="none"/>
              </w:rPr>
            </w:pPr>
          </w:p>
        </w:tc>
        <w:tc>
          <w:tcPr>
            <w:tcW w:w="1445" w:type="dxa"/>
            <w:noWrap/>
            <w:vAlign w:val="center"/>
          </w:tcPr>
          <w:p w14:paraId="6E6326A0">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043" w:type="dxa"/>
            <w:noWrap/>
            <w:vAlign w:val="center"/>
          </w:tcPr>
          <w:p w14:paraId="108BBBF2">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945" w:type="dxa"/>
            <w:noWrap/>
            <w:vAlign w:val="center"/>
          </w:tcPr>
          <w:p w14:paraId="69DA64AE">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517" w:type="dxa"/>
            <w:noWrap/>
            <w:vAlign w:val="center"/>
          </w:tcPr>
          <w:p w14:paraId="2A6C39F3">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995" w:type="dxa"/>
            <w:noWrap/>
            <w:vAlign w:val="center"/>
          </w:tcPr>
          <w:p w14:paraId="4C8F34A2">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173" w:type="dxa"/>
            <w:noWrap/>
            <w:vAlign w:val="center"/>
          </w:tcPr>
          <w:p w14:paraId="7506ABC6">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777" w:type="dxa"/>
            <w:noWrap/>
            <w:vAlign w:val="center"/>
          </w:tcPr>
          <w:p w14:paraId="66DC2D10">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r>
      <w:tr w14:paraId="73D2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30" w:type="dxa"/>
            <w:noWrap/>
            <w:vAlign w:val="center"/>
          </w:tcPr>
          <w:p w14:paraId="764022B5">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22" w:type="dxa"/>
            <w:noWrap/>
            <w:vAlign w:val="center"/>
          </w:tcPr>
          <w:p w14:paraId="3DFE26CD">
            <w:pPr>
              <w:snapToGrid w:val="0"/>
              <w:jc w:val="both"/>
              <w:textAlignment w:val="center"/>
              <w:rPr>
                <w:rFonts w:ascii="仿宋_GB2312" w:hAnsi="仿宋_GB2312" w:eastAsia="仿宋_GB2312" w:cs="仿宋_GB2312"/>
                <w:color w:val="auto"/>
                <w:sz w:val="24"/>
                <w:highlight w:val="none"/>
              </w:rPr>
            </w:pPr>
          </w:p>
        </w:tc>
        <w:tc>
          <w:tcPr>
            <w:tcW w:w="1445" w:type="dxa"/>
            <w:noWrap/>
            <w:vAlign w:val="center"/>
          </w:tcPr>
          <w:p w14:paraId="31FBB27D">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043" w:type="dxa"/>
            <w:noWrap/>
            <w:vAlign w:val="center"/>
          </w:tcPr>
          <w:p w14:paraId="53AC4E8C">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945" w:type="dxa"/>
            <w:noWrap/>
            <w:vAlign w:val="center"/>
          </w:tcPr>
          <w:p w14:paraId="4AC56B81">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517" w:type="dxa"/>
            <w:noWrap/>
            <w:vAlign w:val="center"/>
          </w:tcPr>
          <w:p w14:paraId="6194406A">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995" w:type="dxa"/>
            <w:noWrap/>
            <w:vAlign w:val="center"/>
          </w:tcPr>
          <w:p w14:paraId="2F995778">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173" w:type="dxa"/>
            <w:noWrap/>
            <w:vAlign w:val="center"/>
          </w:tcPr>
          <w:p w14:paraId="2939C6FB">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777" w:type="dxa"/>
            <w:noWrap/>
            <w:vAlign w:val="center"/>
          </w:tcPr>
          <w:p w14:paraId="0E47C7A0">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r>
      <w:tr w14:paraId="57A8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09DBCF94">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322" w:type="dxa"/>
            <w:noWrap/>
            <w:vAlign w:val="center"/>
          </w:tcPr>
          <w:p w14:paraId="29B9E96E">
            <w:pPr>
              <w:snapToGrid w:val="0"/>
              <w:jc w:val="both"/>
              <w:textAlignment w:val="center"/>
              <w:rPr>
                <w:rFonts w:ascii="仿宋_GB2312" w:hAnsi="仿宋_GB2312" w:eastAsia="仿宋_GB2312" w:cs="仿宋_GB2312"/>
                <w:color w:val="auto"/>
                <w:sz w:val="24"/>
                <w:highlight w:val="none"/>
              </w:rPr>
            </w:pPr>
          </w:p>
        </w:tc>
        <w:tc>
          <w:tcPr>
            <w:tcW w:w="1445" w:type="dxa"/>
            <w:noWrap/>
            <w:vAlign w:val="center"/>
          </w:tcPr>
          <w:p w14:paraId="6975B4F4">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043" w:type="dxa"/>
            <w:noWrap/>
            <w:vAlign w:val="center"/>
          </w:tcPr>
          <w:p w14:paraId="596EFBD4">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945" w:type="dxa"/>
            <w:noWrap/>
            <w:vAlign w:val="center"/>
          </w:tcPr>
          <w:p w14:paraId="3FF6B5E0">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517" w:type="dxa"/>
            <w:noWrap/>
            <w:vAlign w:val="center"/>
          </w:tcPr>
          <w:p w14:paraId="62D319F4">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995" w:type="dxa"/>
            <w:noWrap/>
            <w:vAlign w:val="center"/>
          </w:tcPr>
          <w:p w14:paraId="43CD1038">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173" w:type="dxa"/>
            <w:noWrap/>
            <w:vAlign w:val="center"/>
          </w:tcPr>
          <w:p w14:paraId="14C87CB1">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777" w:type="dxa"/>
            <w:noWrap/>
            <w:vAlign w:val="center"/>
          </w:tcPr>
          <w:p w14:paraId="554D4402">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r>
      <w:tr w14:paraId="6998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30" w:type="dxa"/>
            <w:noWrap/>
            <w:vAlign w:val="center"/>
          </w:tcPr>
          <w:p w14:paraId="699DC543">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322" w:type="dxa"/>
            <w:noWrap/>
            <w:vAlign w:val="center"/>
          </w:tcPr>
          <w:p w14:paraId="4F7BA352">
            <w:pPr>
              <w:snapToGrid w:val="0"/>
              <w:jc w:val="both"/>
              <w:textAlignment w:val="center"/>
              <w:rPr>
                <w:rFonts w:ascii="仿宋_GB2312" w:hAnsi="仿宋_GB2312" w:eastAsia="仿宋_GB2312" w:cs="仿宋_GB2312"/>
                <w:color w:val="auto"/>
                <w:sz w:val="24"/>
                <w:highlight w:val="none"/>
              </w:rPr>
            </w:pPr>
          </w:p>
        </w:tc>
        <w:tc>
          <w:tcPr>
            <w:tcW w:w="1445" w:type="dxa"/>
            <w:noWrap/>
            <w:vAlign w:val="center"/>
          </w:tcPr>
          <w:p w14:paraId="3A6E41A3">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043" w:type="dxa"/>
            <w:noWrap/>
            <w:vAlign w:val="center"/>
          </w:tcPr>
          <w:p w14:paraId="23D949EB">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945" w:type="dxa"/>
            <w:noWrap/>
            <w:vAlign w:val="center"/>
          </w:tcPr>
          <w:p w14:paraId="4364B5A8">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517" w:type="dxa"/>
            <w:noWrap/>
            <w:vAlign w:val="center"/>
          </w:tcPr>
          <w:p w14:paraId="723E2D23">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995" w:type="dxa"/>
            <w:noWrap/>
            <w:vAlign w:val="center"/>
          </w:tcPr>
          <w:p w14:paraId="4F6AB17B">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173" w:type="dxa"/>
            <w:noWrap/>
            <w:vAlign w:val="center"/>
          </w:tcPr>
          <w:p w14:paraId="009454BF">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777" w:type="dxa"/>
            <w:noWrap/>
            <w:vAlign w:val="center"/>
          </w:tcPr>
          <w:p w14:paraId="261C9F86">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r>
      <w:tr w14:paraId="777A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847" w:type="dxa"/>
            <w:gridSpan w:val="9"/>
            <w:noWrap/>
            <w:vAlign w:val="center"/>
          </w:tcPr>
          <w:p w14:paraId="49230A89">
            <w:pPr>
              <w:pStyle w:val="13"/>
              <w:snapToGrid w:val="0"/>
              <w:spacing w:line="240" w:lineRule="atLeast"/>
              <w:ind w:left="1080" w:leftChars="257" w:hanging="54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总价：</w:t>
            </w:r>
          </w:p>
        </w:tc>
      </w:tr>
    </w:tbl>
    <w:p w14:paraId="7D49304C">
      <w:pPr>
        <w:pStyle w:val="13"/>
        <w:snapToGrid w:val="0"/>
        <w:spacing w:line="240" w:lineRule="atLeast"/>
        <w:ind w:left="1080" w:leftChars="257" w:hanging="540"/>
        <w:rPr>
          <w:rFonts w:ascii="仿宋_GB2312" w:hAnsi="仿宋_GB2312" w:eastAsia="仿宋_GB2312" w:cs="仿宋_GB2312"/>
          <w:color w:val="auto"/>
          <w:sz w:val="24"/>
          <w:highlight w:val="none"/>
        </w:rPr>
      </w:pPr>
    </w:p>
    <w:p w14:paraId="50188F25">
      <w:pPr>
        <w:pStyle w:val="13"/>
        <w:snapToGrid w:val="0"/>
        <w:spacing w:line="240" w:lineRule="atLeast"/>
        <w:ind w:left="1080" w:leftChars="257" w:hanging="54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法定代表人（或企业负责人）或其委托代理人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lang w:eastAsia="zh-CN"/>
        </w:rPr>
        <w:t>或签章）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u w:val="single" w:color="000000"/>
          <w:lang w:val="en-US" w:eastAsia="zh-CN"/>
        </w:rPr>
        <w:t xml:space="preserve">            </w:t>
      </w:r>
    </w:p>
    <w:p w14:paraId="34E229B9">
      <w:pPr>
        <w:pStyle w:val="13"/>
        <w:tabs>
          <w:tab w:val="left" w:pos="5370"/>
        </w:tabs>
        <w:snapToGrid w:val="0"/>
        <w:spacing w:line="240" w:lineRule="atLeast"/>
        <w:ind w:left="1080" w:leftChars="257" w:hanging="540"/>
        <w:rPr>
          <w:rFonts w:hint="eastAsia" w:ascii="仿宋" w:hAnsi="仿宋" w:eastAsia="仿宋" w:cs="仿宋"/>
          <w:color w:val="auto"/>
          <w:sz w:val="24"/>
          <w:highlight w:val="none"/>
          <w:u w:val="single" w:color="000000"/>
          <w:lang w:val="en-US" w:eastAsia="zh-CN"/>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color="000000"/>
        </w:rPr>
        <w:tab/>
      </w:r>
      <w:r>
        <w:rPr>
          <w:rFonts w:hint="eastAsia" w:ascii="仿宋" w:hAnsi="仿宋" w:eastAsia="仿宋" w:cs="仿宋"/>
          <w:color w:val="auto"/>
          <w:sz w:val="24"/>
          <w:highlight w:val="none"/>
          <w:u w:val="single" w:color="000000"/>
          <w:lang w:val="en-US" w:eastAsia="zh-CN"/>
        </w:rPr>
        <w:t xml:space="preserve"> </w:t>
      </w:r>
    </w:p>
    <w:p w14:paraId="30B73A5D">
      <w:pPr>
        <w:pStyle w:val="13"/>
        <w:tabs>
          <w:tab w:val="left" w:pos="5370"/>
        </w:tabs>
        <w:snapToGrid w:val="0"/>
        <w:spacing w:line="240" w:lineRule="atLeast"/>
        <w:ind w:left="1080" w:leftChars="257" w:hanging="540"/>
        <w:rPr>
          <w:rFonts w:hint="eastAsia" w:ascii="仿宋" w:hAnsi="仿宋" w:eastAsia="仿宋" w:cs="仿宋"/>
          <w:color w:val="auto"/>
          <w:sz w:val="24"/>
          <w:highlight w:val="none"/>
          <w:u w:val="single" w:color="000000"/>
          <w:lang w:val="en-US" w:eastAsia="zh-CN"/>
        </w:rPr>
      </w:pPr>
    </w:p>
    <w:p w14:paraId="3269313D">
      <w:pPr>
        <w:pStyle w:val="13"/>
        <w:tabs>
          <w:tab w:val="left" w:pos="5370"/>
        </w:tabs>
        <w:snapToGrid w:val="0"/>
        <w:spacing w:line="240" w:lineRule="atLeast"/>
        <w:ind w:left="1080" w:leftChars="257" w:hanging="540"/>
        <w:rPr>
          <w:rFonts w:hint="eastAsia" w:ascii="仿宋" w:hAnsi="仿宋" w:eastAsia="仿宋" w:cs="仿宋"/>
          <w:color w:val="auto"/>
          <w:sz w:val="24"/>
          <w:highlight w:val="none"/>
          <w:u w:val="single" w:color="000000"/>
          <w:lang w:val="en-US" w:eastAsia="zh-CN"/>
        </w:rPr>
      </w:pPr>
    </w:p>
    <w:p w14:paraId="528EA441">
      <w:pPr>
        <w:pStyle w:val="13"/>
        <w:tabs>
          <w:tab w:val="left" w:pos="5370"/>
        </w:tabs>
        <w:snapToGrid w:val="0"/>
        <w:spacing w:line="240" w:lineRule="atLeast"/>
        <w:ind w:left="1080" w:leftChars="257" w:hanging="540"/>
        <w:rPr>
          <w:rFonts w:hint="eastAsia" w:ascii="仿宋" w:hAnsi="仿宋" w:eastAsia="仿宋" w:cs="仿宋"/>
          <w:color w:val="auto"/>
          <w:sz w:val="24"/>
          <w:highlight w:val="none"/>
          <w:u w:val="single" w:color="000000"/>
          <w:lang w:val="en-US" w:eastAsia="zh-CN"/>
        </w:rPr>
      </w:pPr>
    </w:p>
    <w:p w14:paraId="2DE215D5">
      <w:pPr>
        <w:pStyle w:val="13"/>
        <w:snapToGrid w:val="0"/>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 1.如果投标人认为需要，每种服务、货物填写一份该表。</w:t>
      </w:r>
    </w:p>
    <w:p w14:paraId="6EDDECB8">
      <w:pPr>
        <w:pStyle w:val="13"/>
        <w:snapToGrid w:val="0"/>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2.如果按单价计算的结果与总价不一致,以单价为准修正总价。</w:t>
      </w:r>
    </w:p>
    <w:p w14:paraId="020121EF">
      <w:pPr>
        <w:pStyle w:val="13"/>
        <w:snapToGrid w:val="0"/>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3.如果开标一览表（报价表）内容与投标文件中明细表内容不一致的，以开标一览表（报价表）内容为准。</w:t>
      </w:r>
    </w:p>
    <w:p w14:paraId="2981A2D8">
      <w:pPr>
        <w:pStyle w:val="13"/>
        <w:snapToGrid w:val="0"/>
        <w:spacing w:line="240" w:lineRule="atLeas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b/>
          <w:bCs/>
          <w:color w:val="auto"/>
          <w:sz w:val="24"/>
          <w:highlight w:val="none"/>
          <w:lang w:val="en-US" w:eastAsia="zh-CN"/>
        </w:rPr>
        <w:t>如果不提供详细分项报价将视为没有实质性响应招标文件作废标处理（名称、 品牌型号和规格、数量、单位、制造商名称、单价、总价需全部完整填写）</w:t>
      </w:r>
      <w:r>
        <w:rPr>
          <w:rFonts w:hint="eastAsia" w:ascii="仿宋" w:hAnsi="仿宋" w:eastAsia="仿宋" w:cs="仿宋"/>
          <w:color w:val="auto"/>
          <w:sz w:val="24"/>
          <w:highlight w:val="none"/>
          <w:lang w:val="en-US" w:eastAsia="zh-CN"/>
        </w:rPr>
        <w:t>。</w:t>
      </w:r>
    </w:p>
    <w:p w14:paraId="32401ACB">
      <w:pPr>
        <w:pStyle w:val="13"/>
        <w:snapToGrid w:val="0"/>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.投标人可根据需要自行增减表格行数。</w:t>
      </w:r>
    </w:p>
    <w:p w14:paraId="5988C346">
      <w:pPr>
        <w:pStyle w:val="13"/>
        <w:snapToGrid w:val="0"/>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.投标人对所报相关内容的真实性负责，采购代理机构有权将相关内容进行公示，因弄虚作假导致的后果由投标人自行承担。</w:t>
      </w:r>
    </w:p>
    <w:p w14:paraId="7DE4AC70">
      <w:pPr>
        <w:pStyle w:val="13"/>
        <w:snapToGrid w:val="0"/>
        <w:spacing w:line="240" w:lineRule="atLeast"/>
        <w:ind w:firstLine="480" w:firstLineChars="200"/>
        <w:rPr>
          <w:color w:val="auto"/>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.以上报价的货物、技术服务，包装、仓储、运输、装卸、保险、安装、税金（规费、税金）等的一切费用。</w:t>
      </w:r>
    </w:p>
    <w:p w14:paraId="26F8D4D2">
      <w:pPr>
        <w:rPr>
          <w:rFonts w:ascii="仿宋_GB2312" w:hAnsi="仿宋_GB2312" w:eastAsia="仿宋_GB2312" w:cs="仿宋_GB2312"/>
          <w:color w:val="auto"/>
          <w:sz w:val="24"/>
          <w:highlight w:val="none"/>
          <w:u w:val="single"/>
        </w:rPr>
      </w:pPr>
      <w:bookmarkStart w:id="793" w:name="_Toc30769"/>
      <w:bookmarkStart w:id="794" w:name="_Toc1207"/>
      <w:bookmarkStart w:id="795" w:name="_Toc7334"/>
      <w:bookmarkStart w:id="796" w:name="_Toc25123"/>
      <w:bookmarkStart w:id="797" w:name="_Toc7368"/>
      <w:bookmarkStart w:id="798" w:name="_Toc1486"/>
      <w:bookmarkStart w:id="799" w:name="_Toc19912"/>
      <w:bookmarkStart w:id="800" w:name="_Toc21472"/>
      <w:bookmarkStart w:id="801" w:name="_Toc24906"/>
      <w:r>
        <w:rPr>
          <w:rFonts w:hint="eastAsia" w:ascii="仿宋_GB2312" w:hAnsi="仿宋_GB2312" w:eastAsia="仿宋_GB2312" w:cs="仿宋_GB2312"/>
          <w:color w:val="auto"/>
          <w:highlight w:val="none"/>
          <w:u w:val="none"/>
        </w:rPr>
        <w:br w:type="page"/>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4898112C">
      <w:pPr>
        <w:pStyle w:val="13"/>
        <w:snapToGrid w:val="0"/>
        <w:spacing w:line="240" w:lineRule="atLeast"/>
        <w:jc w:val="both"/>
        <w:rPr>
          <w:rFonts w:ascii="仿宋_GB2312" w:hAnsi="仿宋_GB2312" w:eastAsia="仿宋_GB2312" w:cs="仿宋_GB2312"/>
          <w:color w:val="auto"/>
          <w:sz w:val="24"/>
          <w:highlight w:val="none"/>
        </w:rPr>
        <w:sectPr>
          <w:headerReference r:id="rId9" w:type="default"/>
          <w:footerReference r:id="rId10" w:type="default"/>
          <w:pgSz w:w="11906" w:h="16838"/>
          <w:pgMar w:top="1440" w:right="1797" w:bottom="1440" w:left="1797" w:header="851" w:footer="992" w:gutter="0"/>
          <w:pgNumType w:fmt="decimal"/>
          <w:cols w:space="720" w:num="1"/>
          <w:docGrid w:linePitch="312" w:charSpace="0"/>
        </w:sectPr>
      </w:pPr>
    </w:p>
    <w:p w14:paraId="5E4A186A">
      <w:pPr>
        <w:pStyle w:val="5"/>
        <w:spacing w:before="0" w:after="0" w:line="288" w:lineRule="auto"/>
        <w:jc w:val="center"/>
        <w:rPr>
          <w:rFonts w:hint="eastAsia" w:ascii="仿宋_GB2312" w:hAnsi="仿宋_GB2312" w:eastAsia="仿宋_GB2312" w:cs="仿宋_GB2312"/>
          <w:color w:val="auto"/>
          <w:highlight w:val="none"/>
          <w:u w:val="none"/>
        </w:rPr>
      </w:pPr>
      <w:bookmarkStart w:id="802" w:name="_Toc5951"/>
      <w:bookmarkStart w:id="803" w:name="_Toc10052"/>
      <w:bookmarkStart w:id="804" w:name="_Toc14695"/>
      <w:bookmarkStart w:id="805" w:name="_Toc216582817"/>
      <w:bookmarkStart w:id="806" w:name="_Toc28689"/>
      <w:bookmarkStart w:id="807" w:name="_Toc1112"/>
      <w:bookmarkStart w:id="808" w:name="_Toc28959"/>
      <w:bookmarkStart w:id="809" w:name="_Toc32464"/>
      <w:bookmarkStart w:id="810" w:name="_Toc16874"/>
      <w:bookmarkStart w:id="811" w:name="_Toc29133"/>
      <w:bookmarkStart w:id="812" w:name="_Toc22563"/>
      <w:bookmarkStart w:id="813" w:name="_Toc12128"/>
      <w:bookmarkStart w:id="814" w:name="_Toc29780"/>
      <w:bookmarkStart w:id="815" w:name="_Toc515647820"/>
      <w:bookmarkStart w:id="816" w:name="_Toc24855"/>
      <w:r>
        <w:rPr>
          <w:rFonts w:hint="eastAsia" w:ascii="仿宋_GB2312" w:hAnsi="仿宋_GB2312" w:eastAsia="仿宋_GB2312" w:cs="仿宋_GB2312"/>
          <w:color w:val="auto"/>
          <w:highlight w:val="none"/>
          <w:u w:val="none"/>
          <w:lang w:val="en-US" w:eastAsia="zh-CN"/>
        </w:rPr>
        <w:t xml:space="preserve">3  </w:t>
      </w:r>
      <w:r>
        <w:rPr>
          <w:rFonts w:hint="eastAsia" w:ascii="仿宋_GB2312" w:hAnsi="仿宋_GB2312" w:eastAsia="仿宋_GB2312" w:cs="仿宋_GB2312"/>
          <w:color w:val="auto"/>
          <w:highlight w:val="none"/>
          <w:u w:val="none"/>
        </w:rPr>
        <w:t>技术规格偏离表</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2D8B4AB9">
      <w:pPr>
        <w:pStyle w:val="13"/>
        <w:snapToGrid w:val="0"/>
        <w:spacing w:line="240" w:lineRule="atLeast"/>
        <w:ind w:left="1080" w:leftChars="257" w:hanging="540"/>
        <w:rPr>
          <w:rFonts w:ascii="仿宋_GB2312" w:hAnsi="仿宋_GB2312" w:eastAsia="仿宋_GB2312" w:cs="仿宋_GB2312"/>
          <w:color w:val="auto"/>
          <w:sz w:val="24"/>
          <w:highlight w:val="none"/>
        </w:rPr>
      </w:pPr>
    </w:p>
    <w:p w14:paraId="3F434235">
      <w:pPr>
        <w:pStyle w:val="13"/>
        <w:snapToGrid w:val="0"/>
        <w:spacing w:line="240" w:lineRule="atLeast"/>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                       招标编号:                 包号:</w:t>
      </w:r>
    </w:p>
    <w:p w14:paraId="2419F6E2">
      <w:pPr>
        <w:pStyle w:val="13"/>
        <w:snapToGrid w:val="0"/>
        <w:spacing w:line="240" w:lineRule="atLeast"/>
        <w:ind w:left="1080" w:leftChars="257" w:hanging="540"/>
        <w:rPr>
          <w:rFonts w:ascii="仿宋_GB2312" w:hAnsi="仿宋_GB2312" w:eastAsia="仿宋_GB2312" w:cs="仿宋_GB2312"/>
          <w:color w:val="auto"/>
          <w:sz w:val="24"/>
          <w:highlight w:val="none"/>
        </w:rPr>
      </w:pPr>
    </w:p>
    <w:tbl>
      <w:tblPr>
        <w:tblStyle w:val="2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686"/>
        <w:gridCol w:w="1809"/>
        <w:gridCol w:w="1534"/>
        <w:gridCol w:w="1435"/>
        <w:gridCol w:w="1119"/>
      </w:tblGrid>
      <w:tr w14:paraId="1124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vAlign w:val="center"/>
          </w:tcPr>
          <w:p w14:paraId="419B15B0">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686" w:type="dxa"/>
            <w:noWrap/>
            <w:vAlign w:val="center"/>
          </w:tcPr>
          <w:p w14:paraId="4BA13753">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货物名称</w:t>
            </w:r>
          </w:p>
        </w:tc>
        <w:tc>
          <w:tcPr>
            <w:tcW w:w="1809" w:type="dxa"/>
            <w:noWrap/>
            <w:vAlign w:val="center"/>
          </w:tcPr>
          <w:p w14:paraId="6BB2218E">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招标规格</w:t>
            </w:r>
          </w:p>
        </w:tc>
        <w:tc>
          <w:tcPr>
            <w:tcW w:w="1534" w:type="dxa"/>
            <w:noWrap/>
            <w:vAlign w:val="center"/>
          </w:tcPr>
          <w:p w14:paraId="5474F6EA">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投标规格</w:t>
            </w:r>
          </w:p>
        </w:tc>
        <w:tc>
          <w:tcPr>
            <w:tcW w:w="1435" w:type="dxa"/>
            <w:noWrap/>
            <w:vAlign w:val="center"/>
          </w:tcPr>
          <w:p w14:paraId="7E521006">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偏离</w:t>
            </w:r>
          </w:p>
        </w:tc>
        <w:tc>
          <w:tcPr>
            <w:tcW w:w="1119" w:type="dxa"/>
            <w:noWrap/>
            <w:vAlign w:val="center"/>
          </w:tcPr>
          <w:p w14:paraId="114E1074">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说明</w:t>
            </w:r>
          </w:p>
        </w:tc>
      </w:tr>
      <w:tr w14:paraId="7DB3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3F442EB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6465823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4F72BD43">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3343B7D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038C976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58A12E54">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7E17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5C655433">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598546A4">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14AE868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64E385C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7945BA1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71ED5E9C">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4D27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5C163864">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209D02F3">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2689832D">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517C3F2C">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3821E82A">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42AE79A5">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7245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17615BAD">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53B34D06">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19D903C2">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5908BEA6">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631B34C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7E7CDA84">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6AA8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E2E429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35569A4A">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6C773F85">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6FADBB6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070E6B1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025CADD7">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2BF6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20A49CB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7CB2E935">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3CAAFCD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41C0F6F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085E6CB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44F7839C">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63AB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676830BA">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65B3AE4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62CC2DF1">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2F7F81B4">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3557346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3652A9EA">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45E5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FB0DDDA">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38F23FEC">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78494069">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6A751FC9">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5E0D7FF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4DC09EF4">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1868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139BCBA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584995C6">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630F587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3E689F3C">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258CDA2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78EF84CD">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0A9F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48E0F6B9">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6C6FF9D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387AD713">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392DE44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6F276E5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541FFA11">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768E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9" w:type="dxa"/>
            <w:noWrap/>
          </w:tcPr>
          <w:p w14:paraId="795181D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083DB124">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25878BC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0E0FDAA4">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627988A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07F36B88">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565B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89" w:type="dxa"/>
            <w:noWrap/>
          </w:tcPr>
          <w:p w14:paraId="09AFBA71">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686" w:type="dxa"/>
            <w:noWrap/>
          </w:tcPr>
          <w:p w14:paraId="1C63CEF9">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9" w:type="dxa"/>
            <w:noWrap/>
          </w:tcPr>
          <w:p w14:paraId="24F3A58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534" w:type="dxa"/>
            <w:noWrap/>
          </w:tcPr>
          <w:p w14:paraId="5CDE38A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435" w:type="dxa"/>
            <w:noWrap/>
          </w:tcPr>
          <w:p w14:paraId="21720E1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119" w:type="dxa"/>
            <w:noWrap/>
          </w:tcPr>
          <w:p w14:paraId="0FC52B66">
            <w:pPr>
              <w:pStyle w:val="13"/>
              <w:snapToGrid w:val="0"/>
              <w:spacing w:line="240" w:lineRule="atLeast"/>
              <w:ind w:left="1080" w:leftChars="257" w:hanging="540"/>
              <w:rPr>
                <w:rFonts w:ascii="仿宋_GB2312" w:hAnsi="仿宋_GB2312" w:eastAsia="仿宋_GB2312" w:cs="仿宋_GB2312"/>
                <w:color w:val="auto"/>
                <w:sz w:val="24"/>
                <w:highlight w:val="none"/>
              </w:rPr>
            </w:pPr>
          </w:p>
        </w:tc>
      </w:tr>
    </w:tbl>
    <w:p w14:paraId="787C88DA">
      <w:pPr>
        <w:pStyle w:val="13"/>
        <w:snapToGrid w:val="0"/>
        <w:spacing w:line="240" w:lineRule="atLeast"/>
        <w:ind w:left="1080" w:leftChars="257" w:hanging="540"/>
        <w:rPr>
          <w:rFonts w:ascii="仿宋_GB2312" w:hAnsi="仿宋_GB2312" w:eastAsia="仿宋_GB2312" w:cs="仿宋_GB2312"/>
          <w:color w:val="auto"/>
          <w:sz w:val="24"/>
          <w:highlight w:val="none"/>
        </w:rPr>
      </w:pPr>
    </w:p>
    <w:p w14:paraId="4B6013C7">
      <w:pPr>
        <w:pStyle w:val="13"/>
        <w:snapToGrid w:val="0"/>
        <w:spacing w:line="240" w:lineRule="atLeast"/>
        <w:ind w:left="1080" w:leftChars="257" w:hanging="540"/>
        <w:rPr>
          <w:rFonts w:hint="default" w:ascii="仿宋_GB2312" w:hAnsi="仿宋_GB2312" w:eastAsia="仿宋_GB2312" w:cs="仿宋_GB2312"/>
          <w:b/>
          <w:bCs/>
          <w:color w:val="auto"/>
          <w:sz w:val="24"/>
          <w:highlight w:val="none"/>
          <w:u w:val="single"/>
          <w:lang w:val="en-US" w:eastAsia="zh-CN"/>
        </w:rPr>
      </w:pPr>
      <w:r>
        <w:rPr>
          <w:rFonts w:hint="eastAsia" w:ascii="仿宋_GB2312" w:hAnsi="仿宋_GB2312" w:eastAsia="仿宋_GB2312" w:cs="仿宋_GB2312"/>
          <w:color w:val="auto"/>
          <w:sz w:val="24"/>
          <w:highlight w:val="none"/>
        </w:rPr>
        <w:t>法定代表人或其委托代理人签字</w:t>
      </w:r>
      <w:r>
        <w:rPr>
          <w:rFonts w:hint="eastAsia" w:ascii="仿宋_GB2312" w:hAnsi="仿宋_GB2312" w:eastAsia="仿宋_GB2312" w:cs="仿宋_GB2312"/>
          <w:color w:val="auto"/>
          <w:sz w:val="24"/>
          <w:highlight w:val="none"/>
          <w:lang w:eastAsia="zh-CN"/>
        </w:rPr>
        <w:t>（章）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color="auto"/>
          <w:lang w:val="en-US" w:eastAsia="zh-CN"/>
        </w:rPr>
        <w:t xml:space="preserve">     </w:t>
      </w:r>
      <w:r>
        <w:rPr>
          <w:rFonts w:hint="eastAsia" w:ascii="仿宋_GB2312" w:hAnsi="仿宋_GB2312" w:eastAsia="仿宋_GB2312" w:cs="仿宋_GB2312"/>
          <w:color w:val="auto"/>
          <w:sz w:val="24"/>
          <w:highlight w:val="none"/>
          <w:u w:val="single" w:color="000000"/>
        </w:rPr>
        <w:tab/>
      </w:r>
      <w:r>
        <w:rPr>
          <w:rFonts w:hint="eastAsia" w:ascii="仿宋_GB2312" w:hAnsi="仿宋_GB2312" w:eastAsia="仿宋_GB2312" w:cs="仿宋_GB2312"/>
          <w:color w:val="auto"/>
          <w:sz w:val="24"/>
          <w:highlight w:val="none"/>
          <w:u w:val="single" w:color="000000"/>
          <w:lang w:val="en-US" w:eastAsia="zh-CN"/>
        </w:rPr>
        <w:t xml:space="preserve">  </w:t>
      </w:r>
      <w:r>
        <w:rPr>
          <w:rFonts w:hint="eastAsia" w:ascii="仿宋_GB2312" w:hAnsi="仿宋_GB2312" w:eastAsia="仿宋_GB2312" w:cs="仿宋_GB2312"/>
          <w:color w:val="auto"/>
          <w:sz w:val="24"/>
          <w:highlight w:val="none"/>
          <w:u w:val="single" w:color="auto"/>
          <w:lang w:val="en-US" w:eastAsia="zh-CN"/>
        </w:rPr>
        <w:t xml:space="preserve">    </w:t>
      </w:r>
      <w:r>
        <w:rPr>
          <w:rFonts w:hint="eastAsia" w:ascii="仿宋_GB2312" w:hAnsi="仿宋_GB2312" w:eastAsia="仿宋_GB2312" w:cs="仿宋_GB2312"/>
          <w:color w:val="auto"/>
          <w:sz w:val="24"/>
          <w:highlight w:val="none"/>
          <w:u w:val="single" w:color="000000"/>
          <w:lang w:val="en-US" w:eastAsia="zh-CN"/>
        </w:rPr>
        <w:t xml:space="preserve">              </w:t>
      </w:r>
    </w:p>
    <w:p w14:paraId="577C1A35">
      <w:pPr>
        <w:pStyle w:val="13"/>
        <w:tabs>
          <w:tab w:val="left" w:pos="5370"/>
        </w:tabs>
        <w:snapToGrid w:val="0"/>
        <w:spacing w:line="240" w:lineRule="atLeast"/>
        <w:ind w:left="1080" w:leftChars="257" w:hanging="54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投标人(盖单位章):</w:t>
      </w:r>
      <w:r>
        <w:rPr>
          <w:rFonts w:hint="eastAsia" w:ascii="仿宋_GB2312" w:hAnsi="仿宋_GB2312" w:eastAsia="仿宋_GB2312" w:cs="仿宋_GB2312"/>
          <w:color w:val="auto"/>
          <w:sz w:val="24"/>
          <w:highlight w:val="none"/>
          <w:u w:val="single" w:color="000000"/>
        </w:rPr>
        <w:tab/>
      </w:r>
    </w:p>
    <w:p w14:paraId="49E3ED6A">
      <w:pPr>
        <w:pStyle w:val="13"/>
        <w:tabs>
          <w:tab w:val="left" w:pos="5580"/>
        </w:tabs>
        <w:snapToGrid w:val="0"/>
        <w:spacing w:line="240" w:lineRule="atLeast"/>
        <w:rPr>
          <w:rFonts w:ascii="仿宋_GB2312" w:hAnsi="仿宋_GB2312" w:eastAsia="仿宋_GB2312" w:cs="仿宋_GB2312"/>
          <w:color w:val="auto"/>
          <w:sz w:val="24"/>
          <w:highlight w:val="none"/>
          <w:u w:val="single"/>
        </w:rPr>
      </w:pPr>
    </w:p>
    <w:p w14:paraId="36AC3EF2">
      <w:pPr>
        <w:snapToGrid w:val="0"/>
        <w:jc w:val="left"/>
        <w:rPr>
          <w:rFonts w:ascii="仿宋" w:hAnsi="仿宋" w:eastAsia="仿宋" w:cs="仿宋"/>
          <w:color w:val="auto"/>
          <w:kern w:val="0"/>
          <w:sz w:val="20"/>
          <w:szCs w:val="20"/>
          <w:highlight w:val="none"/>
        </w:rPr>
      </w:pPr>
    </w:p>
    <w:p w14:paraId="62A177DA">
      <w:pPr>
        <w:pStyle w:val="13"/>
        <w:snapToGrid w:val="0"/>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7F44D06F">
      <w:pPr>
        <w:pStyle w:val="13"/>
        <w:snapToGrid w:val="0"/>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1、投标人应根据招标要求逐条逐项表述说明投标响应情况。</w:t>
      </w:r>
    </w:p>
    <w:p w14:paraId="1756D68B">
      <w:pPr>
        <w:pStyle w:val="13"/>
        <w:snapToGrid w:val="0"/>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2、投标人提交的投标文件中的服务响应与招标文件的服务、技术要求应逐条逐项如实填列在偏离表中。投标人不如实填写偏离情况、存在弄虚作假行为的，将依法承担相应的法律责任</w:t>
      </w:r>
    </w:p>
    <w:p w14:paraId="48D83641">
      <w:pPr>
        <w:pStyle w:val="13"/>
        <w:snapToGrid w:val="0"/>
        <w:spacing w:line="240" w:lineRule="atLeas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应结合实际情况说明或描述其实际服务内容。如果完全复制粘贴本招标文件之服务、技术要求，或者只注明“符合”、“满足”等类似无具体内容的表述，因此而产生的不利于投标人的评审风险由投标人自行承担。</w:t>
      </w:r>
    </w:p>
    <w:p w14:paraId="57E8BA67">
      <w:pPr>
        <w:pStyle w:val="13"/>
        <w:snapToGrid w:val="0"/>
        <w:spacing w:line="240" w:lineRule="atLeas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4、投标人可根据需要自行增减表格行数。</w:t>
      </w:r>
    </w:p>
    <w:p w14:paraId="699F990D">
      <w:pPr>
        <w:pStyle w:val="13"/>
        <w:tabs>
          <w:tab w:val="left" w:pos="5580"/>
        </w:tabs>
        <w:snapToGrid w:val="0"/>
        <w:spacing w:line="240" w:lineRule="atLeast"/>
        <w:rPr>
          <w:rFonts w:ascii="仿宋_GB2312" w:hAnsi="仿宋_GB2312" w:eastAsia="仿宋_GB2312" w:cs="仿宋_GB2312"/>
          <w:color w:val="auto"/>
          <w:sz w:val="24"/>
          <w:highlight w:val="none"/>
        </w:rPr>
      </w:pPr>
    </w:p>
    <w:p w14:paraId="1D6D3AAB">
      <w:pPr>
        <w:rPr>
          <w:color w:val="auto"/>
          <w:highlight w:val="none"/>
        </w:rPr>
      </w:pPr>
      <w:bookmarkStart w:id="817" w:name="_Toc216582818"/>
      <w:bookmarkStart w:id="818" w:name="_Toc28374"/>
      <w:bookmarkStart w:id="819" w:name="_Toc1980"/>
      <w:bookmarkStart w:id="820" w:name="_Toc515647821"/>
      <w:bookmarkStart w:id="821" w:name="_Toc23"/>
    </w:p>
    <w:p w14:paraId="438276CB">
      <w:pPr>
        <w:rPr>
          <w:color w:val="auto"/>
          <w:sz w:val="20"/>
          <w:highlight w:val="none"/>
        </w:rPr>
      </w:pPr>
    </w:p>
    <w:p w14:paraId="2F72971F">
      <w:pPr>
        <w:pStyle w:val="5"/>
        <w:spacing w:before="0" w:after="0" w:line="288" w:lineRule="auto"/>
        <w:ind w:left="1079" w:leftChars="257" w:hanging="539"/>
        <w:jc w:val="center"/>
        <w:rPr>
          <w:rFonts w:ascii="仿宋_GB2312" w:hAnsi="仿宋_GB2312" w:eastAsia="仿宋_GB2312" w:cs="仿宋_GB2312"/>
          <w:color w:val="auto"/>
          <w:highlight w:val="none"/>
          <w:u w:val="none"/>
        </w:rPr>
      </w:pPr>
      <w:bookmarkStart w:id="822" w:name="_Toc14202"/>
      <w:bookmarkStart w:id="823" w:name="_Toc16991"/>
      <w:bookmarkStart w:id="824" w:name="_Toc471"/>
      <w:bookmarkStart w:id="825" w:name="_Toc25036"/>
      <w:bookmarkStart w:id="826" w:name="_Toc5952"/>
      <w:bookmarkStart w:id="827" w:name="_Toc11402"/>
      <w:bookmarkStart w:id="828" w:name="_Toc17874"/>
      <w:bookmarkStart w:id="829" w:name="_Toc21884"/>
      <w:bookmarkStart w:id="830" w:name="_Toc9803"/>
      <w:bookmarkStart w:id="831" w:name="_Toc29157"/>
      <w:r>
        <w:rPr>
          <w:rFonts w:hint="eastAsia" w:ascii="仿宋_GB2312" w:hAnsi="仿宋_GB2312" w:eastAsia="仿宋_GB2312" w:cs="仿宋_GB2312"/>
          <w:color w:val="auto"/>
          <w:highlight w:val="none"/>
          <w:u w:val="none"/>
          <w:lang w:val="en-US" w:eastAsia="zh-CN"/>
        </w:rPr>
        <w:t>4</w:t>
      </w:r>
      <w:r>
        <w:rPr>
          <w:rFonts w:hint="eastAsia" w:ascii="仿宋_GB2312" w:hAnsi="仿宋_GB2312" w:eastAsia="仿宋_GB2312" w:cs="仿宋_GB2312"/>
          <w:color w:val="auto"/>
          <w:highlight w:val="none"/>
          <w:u w:val="none"/>
        </w:rPr>
        <w:t xml:space="preserve">  商务条款偏离表</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46D09E77">
      <w:pPr>
        <w:pStyle w:val="13"/>
        <w:snapToGrid w:val="0"/>
        <w:spacing w:line="240" w:lineRule="atLeast"/>
        <w:rPr>
          <w:rFonts w:ascii="仿宋_GB2312" w:hAnsi="仿宋_GB2312" w:eastAsia="仿宋_GB2312" w:cs="仿宋_GB2312"/>
          <w:color w:val="auto"/>
          <w:sz w:val="24"/>
          <w:highlight w:val="none"/>
        </w:rPr>
      </w:pPr>
    </w:p>
    <w:p w14:paraId="0F2A0867">
      <w:pPr>
        <w:pStyle w:val="13"/>
        <w:snapToGrid w:val="0"/>
        <w:spacing w:line="240" w:lineRule="atLeast"/>
        <w:ind w:left="1080" w:leftChars="257" w:hanging="54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                      招标编号:             包号:</w:t>
      </w:r>
    </w:p>
    <w:p w14:paraId="52A05AC9">
      <w:pPr>
        <w:pStyle w:val="13"/>
        <w:snapToGrid w:val="0"/>
        <w:spacing w:line="240" w:lineRule="atLeast"/>
        <w:ind w:left="1080" w:leftChars="257" w:hanging="540"/>
        <w:rPr>
          <w:rFonts w:ascii="仿宋_GB2312" w:hAnsi="仿宋_GB2312" w:eastAsia="仿宋_GB2312" w:cs="仿宋_GB2312"/>
          <w:color w:val="auto"/>
          <w:sz w:val="24"/>
          <w:highlight w:val="none"/>
        </w:rPr>
      </w:pPr>
    </w:p>
    <w:tbl>
      <w:tblPr>
        <w:tblStyle w:val="27"/>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520"/>
        <w:gridCol w:w="2520"/>
        <w:gridCol w:w="1805"/>
      </w:tblGrid>
      <w:tr w14:paraId="2D86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vAlign w:val="center"/>
          </w:tcPr>
          <w:p w14:paraId="4F7ED83C">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520" w:type="dxa"/>
            <w:noWrap/>
            <w:vAlign w:val="center"/>
          </w:tcPr>
          <w:p w14:paraId="388FFE22">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招标文件的商务条款</w:t>
            </w:r>
          </w:p>
        </w:tc>
        <w:tc>
          <w:tcPr>
            <w:tcW w:w="2520" w:type="dxa"/>
            <w:noWrap/>
            <w:vAlign w:val="center"/>
          </w:tcPr>
          <w:p w14:paraId="2D415C41">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投标文件的商务条款</w:t>
            </w:r>
          </w:p>
        </w:tc>
        <w:tc>
          <w:tcPr>
            <w:tcW w:w="1805" w:type="dxa"/>
            <w:noWrap/>
            <w:vAlign w:val="center"/>
          </w:tcPr>
          <w:p w14:paraId="623C4E34">
            <w:pPr>
              <w:pStyle w:val="13"/>
              <w:snapToGrid w:val="0"/>
              <w:spacing w:line="240" w:lineRule="atLeas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说明</w:t>
            </w:r>
          </w:p>
        </w:tc>
      </w:tr>
      <w:tr w14:paraId="482A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0C97A4A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0A882FC9">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2520" w:type="dxa"/>
            <w:noWrap/>
          </w:tcPr>
          <w:p w14:paraId="1F1BC0BD">
            <w:pPr>
              <w:pStyle w:val="13"/>
              <w:snapToGrid w:val="0"/>
              <w:spacing w:line="240" w:lineRule="atLeast"/>
              <w:ind w:left="1080" w:leftChars="257" w:hanging="540"/>
              <w:jc w:val="center"/>
              <w:rPr>
                <w:rFonts w:ascii="仿宋_GB2312" w:hAnsi="仿宋_GB2312" w:eastAsia="仿宋_GB2312" w:cs="仿宋_GB2312"/>
                <w:color w:val="auto"/>
                <w:sz w:val="24"/>
                <w:highlight w:val="none"/>
              </w:rPr>
            </w:pPr>
          </w:p>
        </w:tc>
        <w:tc>
          <w:tcPr>
            <w:tcW w:w="1805" w:type="dxa"/>
            <w:noWrap/>
          </w:tcPr>
          <w:p w14:paraId="56E3E775">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3CBD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08D8D8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45BE3FF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7E360392">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7D54CDAB">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1B46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3686F8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4675FB6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3B9F2F3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5CCB9F83">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6B2C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0D38697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47C6409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6B80E8F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5C7FF923">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4128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91" w:type="dxa"/>
            <w:noWrap/>
          </w:tcPr>
          <w:p w14:paraId="5CF6D909">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16340312">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72A07392">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66583C95">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3E37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3CFED46">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598C457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44B33FD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4F9B2D94">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7E96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68D3AB4">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160B6209">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6524AE3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11B1B39E">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4F5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842F773">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3B34AFD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42C6FF5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5C315DDA">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60D6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6AE1B9A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075888E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659DE8A5">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2311B7D7">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6272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915442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09DCC4C1">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0E368DF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6C2B0EF1">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3C03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BE63F71">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18AF882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50C4A262">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406612BB">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234A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34A19FD1">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36FAD1E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4069B6EC">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4C93EB52">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3650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12CDB59A">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3617E8E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65DAD0B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5A7099D2">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59C4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5D0BAD54">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2B31786F">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6E28684D">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2D229B57">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7569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D5A3257">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3E8BEDEC">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33D1BFD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24608B8D">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27B3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71911C98">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4736A29E">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054FE03B">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2B57176E">
            <w:pPr>
              <w:pStyle w:val="13"/>
              <w:snapToGrid w:val="0"/>
              <w:spacing w:line="240" w:lineRule="atLeast"/>
              <w:ind w:left="1080" w:leftChars="257" w:hanging="540"/>
              <w:rPr>
                <w:rFonts w:ascii="仿宋_GB2312" w:hAnsi="仿宋_GB2312" w:eastAsia="仿宋_GB2312" w:cs="仿宋_GB2312"/>
                <w:color w:val="auto"/>
                <w:sz w:val="24"/>
                <w:highlight w:val="none"/>
              </w:rPr>
            </w:pPr>
          </w:p>
        </w:tc>
      </w:tr>
      <w:tr w14:paraId="631C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491" w:type="dxa"/>
            <w:noWrap/>
          </w:tcPr>
          <w:p w14:paraId="035861F6">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442DF98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2520" w:type="dxa"/>
            <w:noWrap/>
          </w:tcPr>
          <w:p w14:paraId="70A198B0">
            <w:pPr>
              <w:pStyle w:val="13"/>
              <w:snapToGrid w:val="0"/>
              <w:spacing w:line="240" w:lineRule="atLeast"/>
              <w:ind w:left="1080" w:leftChars="257" w:hanging="540"/>
              <w:rPr>
                <w:rFonts w:ascii="仿宋_GB2312" w:hAnsi="仿宋_GB2312" w:eastAsia="仿宋_GB2312" w:cs="仿宋_GB2312"/>
                <w:color w:val="auto"/>
                <w:sz w:val="24"/>
                <w:highlight w:val="none"/>
              </w:rPr>
            </w:pPr>
          </w:p>
        </w:tc>
        <w:tc>
          <w:tcPr>
            <w:tcW w:w="1805" w:type="dxa"/>
            <w:noWrap/>
          </w:tcPr>
          <w:p w14:paraId="288DE619">
            <w:pPr>
              <w:pStyle w:val="13"/>
              <w:snapToGrid w:val="0"/>
              <w:spacing w:line="240" w:lineRule="atLeast"/>
              <w:ind w:left="1080" w:leftChars="257" w:hanging="540"/>
              <w:rPr>
                <w:rFonts w:ascii="仿宋_GB2312" w:hAnsi="仿宋_GB2312" w:eastAsia="仿宋_GB2312" w:cs="仿宋_GB2312"/>
                <w:color w:val="auto"/>
                <w:sz w:val="24"/>
                <w:highlight w:val="none"/>
              </w:rPr>
            </w:pPr>
          </w:p>
        </w:tc>
      </w:tr>
    </w:tbl>
    <w:p w14:paraId="6D421132">
      <w:pPr>
        <w:pStyle w:val="13"/>
        <w:snapToGrid w:val="0"/>
        <w:spacing w:line="240" w:lineRule="atLeast"/>
        <w:ind w:left="1080" w:leftChars="257" w:hanging="540"/>
        <w:rPr>
          <w:rFonts w:ascii="仿宋_GB2312" w:hAnsi="仿宋_GB2312" w:eastAsia="仿宋_GB2312" w:cs="仿宋_GB2312"/>
          <w:color w:val="auto"/>
          <w:sz w:val="24"/>
          <w:highlight w:val="none"/>
        </w:rPr>
      </w:pPr>
    </w:p>
    <w:p w14:paraId="517D95E4">
      <w:pPr>
        <w:pStyle w:val="13"/>
        <w:snapToGrid w:val="0"/>
        <w:spacing w:line="240" w:lineRule="atLeast"/>
        <w:ind w:left="1080" w:leftChars="257" w:hanging="540"/>
        <w:rPr>
          <w:rFonts w:ascii="仿宋_GB2312" w:hAnsi="仿宋_GB2312" w:eastAsia="仿宋_GB2312" w:cs="仿宋_GB2312"/>
          <w:color w:val="auto"/>
          <w:sz w:val="24"/>
          <w:highlight w:val="none"/>
        </w:rPr>
      </w:pPr>
    </w:p>
    <w:p w14:paraId="770DEE4E">
      <w:pPr>
        <w:pStyle w:val="13"/>
        <w:snapToGrid w:val="0"/>
        <w:spacing w:line="240" w:lineRule="atLeast"/>
        <w:ind w:left="1080" w:leftChars="257" w:hanging="540"/>
        <w:rPr>
          <w:rFonts w:ascii="仿宋_GB2312" w:hAnsi="仿宋_GB2312" w:eastAsia="仿宋_GB2312" w:cs="仿宋_GB2312"/>
          <w:color w:val="auto"/>
          <w:sz w:val="24"/>
          <w:highlight w:val="none"/>
        </w:rPr>
      </w:pPr>
    </w:p>
    <w:p w14:paraId="72233B7A">
      <w:pPr>
        <w:pStyle w:val="13"/>
        <w:snapToGrid w:val="0"/>
        <w:spacing w:line="240" w:lineRule="atLeast"/>
        <w:ind w:left="1080" w:leftChars="257" w:hanging="540"/>
        <w:rPr>
          <w:rFonts w:hint="default"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rPr>
        <w:t>法定代表人或其委托代理人签字</w:t>
      </w:r>
      <w:r>
        <w:rPr>
          <w:rFonts w:hint="eastAsia" w:ascii="仿宋_GB2312" w:hAnsi="仿宋_GB2312" w:eastAsia="仿宋_GB2312" w:cs="仿宋_GB2312"/>
          <w:color w:val="auto"/>
          <w:sz w:val="24"/>
          <w:highlight w:val="none"/>
          <w:lang w:eastAsia="zh-CN"/>
        </w:rPr>
        <w:t>（章）</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lang w:val="en-US" w:eastAsia="zh-CN"/>
        </w:rPr>
        <w:t xml:space="preserve">                         </w:t>
      </w:r>
    </w:p>
    <w:p w14:paraId="206E317C">
      <w:pPr>
        <w:pStyle w:val="13"/>
        <w:tabs>
          <w:tab w:val="left" w:pos="5370"/>
        </w:tabs>
        <w:snapToGrid w:val="0"/>
        <w:spacing w:line="240" w:lineRule="atLeast"/>
        <w:ind w:left="1080" w:leftChars="257" w:hanging="54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投标人(盖单位章):</w:t>
      </w:r>
      <w:r>
        <w:rPr>
          <w:rFonts w:hint="eastAsia" w:ascii="仿宋_GB2312" w:hAnsi="仿宋_GB2312" w:eastAsia="仿宋_GB2312" w:cs="仿宋_GB2312"/>
          <w:color w:val="auto"/>
          <w:sz w:val="24"/>
          <w:highlight w:val="none"/>
          <w:u w:val="single" w:color="000000"/>
        </w:rPr>
        <w:tab/>
      </w:r>
      <w:bookmarkStart w:id="832" w:name="_Hlt520273711"/>
      <w:bookmarkEnd w:id="832"/>
      <w:bookmarkStart w:id="833" w:name="_Hlt520350957"/>
      <w:bookmarkEnd w:id="833"/>
      <w:bookmarkStart w:id="834" w:name="_Hlt520274407"/>
      <w:bookmarkEnd w:id="834"/>
      <w:bookmarkStart w:id="835" w:name="_Hlt520274065"/>
      <w:bookmarkEnd w:id="835"/>
      <w:bookmarkStart w:id="836" w:name="_Hlt520350918"/>
      <w:bookmarkEnd w:id="836"/>
      <w:bookmarkStart w:id="837" w:name="_Hlt520274911"/>
      <w:bookmarkEnd w:id="837"/>
      <w:bookmarkStart w:id="838" w:name="_Hlt520343000"/>
      <w:bookmarkEnd w:id="838"/>
      <w:bookmarkStart w:id="839" w:name="_Hlt520271212"/>
      <w:bookmarkEnd w:id="839"/>
      <w:bookmarkStart w:id="840" w:name="_Hlt520273973"/>
      <w:bookmarkEnd w:id="840"/>
      <w:bookmarkStart w:id="841" w:name="_Hlt520343392"/>
      <w:bookmarkEnd w:id="841"/>
      <w:bookmarkStart w:id="842" w:name="_Hlt520274393"/>
      <w:bookmarkEnd w:id="842"/>
    </w:p>
    <w:p w14:paraId="77E0B9D0">
      <w:pPr>
        <w:rPr>
          <w:rFonts w:hint="eastAsia"/>
          <w:color w:val="auto"/>
          <w:highlight w:val="none"/>
        </w:rPr>
      </w:pPr>
      <w:bookmarkStart w:id="843" w:name="_Toc10725"/>
      <w:bookmarkStart w:id="844" w:name="_Toc515647823"/>
      <w:bookmarkStart w:id="845" w:name="_Toc28936"/>
      <w:bookmarkStart w:id="846" w:name="_Toc18272"/>
      <w:bookmarkStart w:id="847" w:name="_Toc18491"/>
      <w:bookmarkStart w:id="848" w:name="_Toc5437"/>
      <w:r>
        <w:rPr>
          <w:rFonts w:hint="eastAsia"/>
          <w:color w:val="auto"/>
          <w:highlight w:val="none"/>
        </w:rPr>
        <w:br w:type="page"/>
      </w:r>
    </w:p>
    <w:p w14:paraId="2318AD3F">
      <w:pPr>
        <w:rPr>
          <w:rFonts w:hint="eastAsia"/>
          <w:color w:val="auto"/>
          <w:highlight w:val="none"/>
        </w:rPr>
      </w:pPr>
    </w:p>
    <w:p w14:paraId="336CC0CA">
      <w:pPr>
        <w:pStyle w:val="5"/>
        <w:spacing w:before="0" w:after="0" w:line="288" w:lineRule="auto"/>
        <w:ind w:left="1079" w:leftChars="257" w:hanging="539"/>
        <w:jc w:val="center"/>
        <w:rPr>
          <w:rFonts w:hint="eastAsia" w:ascii="仿宋_GB2312" w:hAnsi="仿宋_GB2312" w:eastAsia="仿宋_GB2312" w:cs="仿宋_GB2312"/>
          <w:color w:val="auto"/>
          <w:highlight w:val="none"/>
          <w:u w:val="none"/>
        </w:rPr>
      </w:pPr>
      <w:bookmarkStart w:id="849" w:name="_Toc6229"/>
      <w:r>
        <w:rPr>
          <w:rFonts w:hint="eastAsia" w:ascii="仿宋_GB2312" w:hAnsi="仿宋_GB2312" w:eastAsia="仿宋_GB2312" w:cs="仿宋_GB2312"/>
          <w:color w:val="auto"/>
          <w:highlight w:val="none"/>
          <w:u w:val="none"/>
          <w:lang w:val="en-US" w:eastAsia="zh-CN"/>
        </w:rPr>
        <w:t>5</w:t>
      </w:r>
      <w:r>
        <w:rPr>
          <w:rFonts w:hint="eastAsia" w:ascii="仿宋_GB2312" w:hAnsi="仿宋_GB2312" w:eastAsia="仿宋_GB2312" w:cs="仿宋_GB2312"/>
          <w:color w:val="auto"/>
          <w:highlight w:val="none"/>
          <w:u w:val="none"/>
        </w:rPr>
        <w:t xml:space="preserve">-1 </w:t>
      </w:r>
      <w:bookmarkEnd w:id="843"/>
      <w:bookmarkEnd w:id="844"/>
      <w:bookmarkEnd w:id="845"/>
      <w:bookmarkStart w:id="850" w:name="_Toc29288"/>
      <w:bookmarkStart w:id="851" w:name="_Toc515647824"/>
      <w:bookmarkStart w:id="852" w:name="_Toc11803"/>
      <w:bookmarkStart w:id="853" w:name="_Toc10977"/>
      <w:r>
        <w:rPr>
          <w:rFonts w:hint="eastAsia" w:ascii="仿宋_GB2312" w:hAnsi="仿宋_GB2312" w:eastAsia="仿宋_GB2312" w:cs="仿宋_GB2312"/>
          <w:color w:val="auto"/>
          <w:highlight w:val="none"/>
          <w:u w:val="none"/>
        </w:rPr>
        <w:t>中小企业声明函（货物）</w:t>
      </w:r>
      <w:bookmarkEnd w:id="846"/>
      <w:bookmarkEnd w:id="847"/>
      <w:bookmarkEnd w:id="849"/>
      <w:bookmarkEnd w:id="850"/>
    </w:p>
    <w:p w14:paraId="25B6AFEF">
      <w:pPr>
        <w:shd w:val="clear" w:color="auto" w:fill="FFFFFF"/>
        <w:spacing w:before="100" w:beforeAutospacing="1" w:after="100" w:afterAutospacing="1"/>
        <w:ind w:firstLine="48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本公司（联合体）郑重声明，根据《政府采购促进中小企业发展管理办法》（财库﹝2020﹞46号）的规定，本公司（联合体）参加</w:t>
      </w:r>
      <w:r>
        <w:rPr>
          <w:rFonts w:hint="eastAsia" w:ascii="仿宋" w:hAnsi="仿宋" w:eastAsia="仿宋" w:cs="仿宋"/>
          <w:color w:val="auto"/>
          <w:kern w:val="0"/>
          <w:sz w:val="24"/>
          <w:highlight w:val="none"/>
          <w:u w:val="single"/>
          <w:shd w:val="clear" w:color="auto" w:fill="FFFFFF"/>
        </w:rPr>
        <w:t>     （单位名称）</w:t>
      </w:r>
      <w:r>
        <w:rPr>
          <w:rFonts w:hint="eastAsia" w:ascii="仿宋" w:hAnsi="仿宋" w:eastAsia="仿宋" w:cs="仿宋"/>
          <w:color w:val="auto"/>
          <w:kern w:val="0"/>
          <w:sz w:val="24"/>
          <w:highlight w:val="none"/>
          <w:shd w:val="clear" w:color="auto" w:fill="FFFFFF"/>
        </w:rPr>
        <w:t>的</w:t>
      </w:r>
      <w:r>
        <w:rPr>
          <w:rFonts w:hint="eastAsia" w:ascii="仿宋" w:hAnsi="仿宋" w:eastAsia="仿宋" w:cs="仿宋"/>
          <w:color w:val="auto"/>
          <w:kern w:val="0"/>
          <w:sz w:val="24"/>
          <w:highlight w:val="none"/>
          <w:u w:val="single"/>
          <w:shd w:val="clear" w:color="auto" w:fill="FFFFFF"/>
        </w:rPr>
        <w:t>    （项目名称）</w:t>
      </w:r>
      <w:r>
        <w:rPr>
          <w:rFonts w:hint="eastAsia" w:ascii="仿宋" w:hAnsi="仿宋" w:eastAsia="仿宋" w:cs="仿宋"/>
          <w:color w:val="auto"/>
          <w:kern w:val="0"/>
          <w:sz w:val="24"/>
          <w:highlight w:val="none"/>
          <w:shd w:val="clear" w:color="auto" w:fill="FFFFFF"/>
        </w:rPr>
        <w:t>采购活动，提供的货物全部由符合政策要求的中小企业制造。相关企业（含联合体中的中小企业、签订分包意向协议的中小企业）的具体情况如下：</w:t>
      </w:r>
    </w:p>
    <w:p w14:paraId="4B82EF40">
      <w:pPr>
        <w:shd w:val="clear" w:color="auto" w:fill="FFFFFF"/>
        <w:spacing w:before="100" w:beforeAutospacing="1" w:after="100" w:afterAutospacing="1"/>
        <w:ind w:firstLine="48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1.</w:t>
      </w:r>
      <w:r>
        <w:rPr>
          <w:rFonts w:hint="eastAsia" w:ascii="仿宋" w:hAnsi="仿宋" w:eastAsia="仿宋" w:cs="仿宋"/>
          <w:color w:val="auto"/>
          <w:kern w:val="0"/>
          <w:sz w:val="24"/>
          <w:highlight w:val="none"/>
          <w:u w:val="single"/>
          <w:shd w:val="clear" w:color="auto" w:fill="FFFFFF"/>
        </w:rPr>
        <w:t>     （标的名称）</w:t>
      </w:r>
      <w:r>
        <w:rPr>
          <w:rFonts w:hint="eastAsia" w:ascii="仿宋" w:hAnsi="仿宋" w:eastAsia="仿宋" w:cs="仿宋"/>
          <w:color w:val="auto"/>
          <w:kern w:val="0"/>
          <w:sz w:val="24"/>
          <w:highlight w:val="none"/>
          <w:shd w:val="clear" w:color="auto" w:fill="FFFFFF"/>
        </w:rPr>
        <w:t>，属于</w:t>
      </w:r>
      <w:r>
        <w:rPr>
          <w:rFonts w:hint="eastAsia" w:ascii="仿宋" w:hAnsi="仿宋" w:eastAsia="仿宋" w:cs="仿宋"/>
          <w:color w:val="auto"/>
          <w:kern w:val="0"/>
          <w:sz w:val="24"/>
          <w:highlight w:val="none"/>
          <w:u w:val="single"/>
          <w:shd w:val="clear" w:color="auto" w:fill="FFFFFF"/>
        </w:rPr>
        <w:t>     （采购文件中明确的所属行业）</w:t>
      </w:r>
      <w:r>
        <w:rPr>
          <w:rFonts w:hint="eastAsia" w:ascii="仿宋" w:hAnsi="仿宋" w:eastAsia="仿宋" w:cs="仿宋"/>
          <w:color w:val="auto"/>
          <w:kern w:val="0"/>
          <w:sz w:val="24"/>
          <w:highlight w:val="none"/>
          <w:shd w:val="clear" w:color="auto" w:fill="FFFFFF"/>
        </w:rPr>
        <w:t>行业；制造商为</w:t>
      </w:r>
      <w:r>
        <w:rPr>
          <w:rFonts w:hint="eastAsia" w:ascii="仿宋" w:hAnsi="仿宋" w:eastAsia="仿宋" w:cs="仿宋"/>
          <w:color w:val="auto"/>
          <w:kern w:val="0"/>
          <w:sz w:val="24"/>
          <w:highlight w:val="none"/>
          <w:u w:val="single"/>
          <w:shd w:val="clear" w:color="auto" w:fill="FFFFFF"/>
        </w:rPr>
        <w:t>       （企业名称）</w:t>
      </w:r>
      <w:r>
        <w:rPr>
          <w:rFonts w:hint="eastAsia" w:ascii="仿宋" w:hAnsi="仿宋" w:eastAsia="仿宋" w:cs="仿宋"/>
          <w:color w:val="auto"/>
          <w:kern w:val="0"/>
          <w:sz w:val="24"/>
          <w:highlight w:val="none"/>
          <w:shd w:val="clear" w:color="auto" w:fill="FFFFFF"/>
        </w:rPr>
        <w:t>，从业人员</w:t>
      </w:r>
      <w:r>
        <w:rPr>
          <w:rFonts w:hint="eastAsia" w:ascii="仿宋" w:hAnsi="仿宋" w:eastAsia="仿宋" w:cs="仿宋"/>
          <w:color w:val="auto"/>
          <w:kern w:val="0"/>
          <w:sz w:val="24"/>
          <w:highlight w:val="none"/>
          <w:u w:val="single"/>
          <w:shd w:val="clear" w:color="auto" w:fill="FFFFFF"/>
        </w:rPr>
        <w:t>    </w:t>
      </w:r>
      <w:r>
        <w:rPr>
          <w:rFonts w:hint="eastAsia" w:ascii="仿宋" w:hAnsi="仿宋" w:eastAsia="仿宋" w:cs="仿宋"/>
          <w:color w:val="auto"/>
          <w:kern w:val="0"/>
          <w:sz w:val="24"/>
          <w:highlight w:val="none"/>
          <w:shd w:val="clear" w:color="auto" w:fill="FFFFFF"/>
        </w:rPr>
        <w:t>人，营业收入为</w:t>
      </w:r>
      <w:r>
        <w:rPr>
          <w:rFonts w:hint="eastAsia" w:ascii="仿宋" w:hAnsi="仿宋" w:eastAsia="仿宋" w:cs="仿宋"/>
          <w:color w:val="auto"/>
          <w:kern w:val="0"/>
          <w:sz w:val="24"/>
          <w:highlight w:val="none"/>
          <w:u w:val="single"/>
          <w:shd w:val="clear" w:color="auto" w:fill="FFFFFF"/>
        </w:rPr>
        <w:t>    </w:t>
      </w:r>
      <w:r>
        <w:rPr>
          <w:rFonts w:hint="eastAsia" w:ascii="仿宋" w:hAnsi="仿宋" w:eastAsia="仿宋" w:cs="仿宋"/>
          <w:color w:val="auto"/>
          <w:kern w:val="0"/>
          <w:sz w:val="24"/>
          <w:highlight w:val="none"/>
          <w:shd w:val="clear" w:color="auto" w:fill="FFFFFF"/>
        </w:rPr>
        <w:t>万元，资产总额为</w:t>
      </w:r>
      <w:r>
        <w:rPr>
          <w:rFonts w:hint="eastAsia" w:ascii="仿宋" w:hAnsi="仿宋" w:eastAsia="仿宋" w:cs="仿宋"/>
          <w:color w:val="auto"/>
          <w:kern w:val="0"/>
          <w:sz w:val="24"/>
          <w:highlight w:val="none"/>
          <w:u w:val="single"/>
          <w:shd w:val="clear" w:color="auto" w:fill="FFFFFF"/>
        </w:rPr>
        <w:t>   </w:t>
      </w:r>
      <w:r>
        <w:rPr>
          <w:rFonts w:hint="eastAsia" w:ascii="仿宋" w:hAnsi="仿宋" w:eastAsia="仿宋" w:cs="仿宋"/>
          <w:color w:val="auto"/>
          <w:kern w:val="0"/>
          <w:sz w:val="24"/>
          <w:highlight w:val="none"/>
          <w:shd w:val="clear" w:color="auto" w:fill="FFFFFF"/>
        </w:rPr>
        <w:t>万元</w:t>
      </w:r>
      <w:r>
        <w:rPr>
          <w:rFonts w:hint="eastAsia" w:ascii="仿宋" w:hAnsi="仿宋" w:eastAsia="仿宋" w:cs="仿宋"/>
          <w:color w:val="auto"/>
          <w:kern w:val="0"/>
          <w:sz w:val="24"/>
          <w:highlight w:val="none"/>
          <w:shd w:val="clear" w:color="auto" w:fill="FFFFFF"/>
          <w:vertAlign w:val="superscript"/>
        </w:rPr>
        <w:t>1</w:t>
      </w:r>
      <w:r>
        <w:rPr>
          <w:rFonts w:hint="eastAsia" w:ascii="仿宋" w:hAnsi="仿宋" w:eastAsia="仿宋" w:cs="仿宋"/>
          <w:color w:val="auto"/>
          <w:kern w:val="0"/>
          <w:sz w:val="24"/>
          <w:highlight w:val="none"/>
          <w:shd w:val="clear" w:color="auto" w:fill="FFFFFF"/>
        </w:rPr>
        <w:t>，属于</w:t>
      </w:r>
      <w:r>
        <w:rPr>
          <w:rFonts w:hint="eastAsia" w:ascii="仿宋" w:hAnsi="仿宋" w:eastAsia="仿宋" w:cs="仿宋"/>
          <w:color w:val="auto"/>
          <w:kern w:val="0"/>
          <w:sz w:val="24"/>
          <w:highlight w:val="none"/>
          <w:u w:val="single"/>
          <w:shd w:val="clear" w:color="auto" w:fill="FFFFFF"/>
        </w:rPr>
        <w:t>     （中型企业、小型企业、微型企业）</w:t>
      </w:r>
      <w:r>
        <w:rPr>
          <w:rFonts w:hint="eastAsia" w:ascii="仿宋" w:hAnsi="仿宋" w:eastAsia="仿宋" w:cs="仿宋"/>
          <w:color w:val="auto"/>
          <w:kern w:val="0"/>
          <w:sz w:val="24"/>
          <w:highlight w:val="none"/>
          <w:shd w:val="clear" w:color="auto" w:fill="FFFFFF"/>
        </w:rPr>
        <w:t>；</w:t>
      </w:r>
    </w:p>
    <w:p w14:paraId="0DED3578">
      <w:pPr>
        <w:shd w:val="clear" w:color="auto" w:fill="FFFFFF"/>
        <w:spacing w:before="100" w:beforeAutospacing="1" w:after="100" w:afterAutospacing="1"/>
        <w:ind w:firstLine="48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2.</w:t>
      </w:r>
      <w:r>
        <w:rPr>
          <w:rFonts w:hint="eastAsia" w:ascii="仿宋" w:hAnsi="仿宋" w:eastAsia="仿宋" w:cs="仿宋"/>
          <w:color w:val="auto"/>
          <w:kern w:val="0"/>
          <w:sz w:val="24"/>
          <w:highlight w:val="none"/>
          <w:u w:val="single"/>
          <w:shd w:val="clear" w:color="auto" w:fill="FFFFFF"/>
        </w:rPr>
        <w:t>     （标的名称）</w:t>
      </w:r>
      <w:r>
        <w:rPr>
          <w:rFonts w:hint="eastAsia" w:ascii="仿宋" w:hAnsi="仿宋" w:eastAsia="仿宋" w:cs="仿宋"/>
          <w:color w:val="auto"/>
          <w:kern w:val="0"/>
          <w:sz w:val="24"/>
          <w:highlight w:val="none"/>
          <w:shd w:val="clear" w:color="auto" w:fill="FFFFFF"/>
        </w:rPr>
        <w:t>，属于</w:t>
      </w:r>
      <w:r>
        <w:rPr>
          <w:rFonts w:hint="eastAsia" w:ascii="仿宋" w:hAnsi="仿宋" w:eastAsia="仿宋" w:cs="仿宋"/>
          <w:color w:val="auto"/>
          <w:kern w:val="0"/>
          <w:sz w:val="24"/>
          <w:highlight w:val="none"/>
          <w:u w:val="single"/>
          <w:shd w:val="clear" w:color="auto" w:fill="FFFFFF"/>
        </w:rPr>
        <w:t>     （采购文件中明确的所属行业）</w:t>
      </w:r>
      <w:r>
        <w:rPr>
          <w:rFonts w:hint="eastAsia" w:ascii="仿宋" w:hAnsi="仿宋" w:eastAsia="仿宋" w:cs="仿宋"/>
          <w:color w:val="auto"/>
          <w:kern w:val="0"/>
          <w:sz w:val="24"/>
          <w:highlight w:val="none"/>
          <w:shd w:val="clear" w:color="auto" w:fill="FFFFFF"/>
        </w:rPr>
        <w:t>行业；制造商为</w:t>
      </w:r>
      <w:r>
        <w:rPr>
          <w:rFonts w:hint="eastAsia" w:ascii="仿宋" w:hAnsi="仿宋" w:eastAsia="仿宋" w:cs="仿宋"/>
          <w:color w:val="auto"/>
          <w:kern w:val="0"/>
          <w:sz w:val="24"/>
          <w:highlight w:val="none"/>
          <w:u w:val="single"/>
          <w:shd w:val="clear" w:color="auto" w:fill="FFFFFF"/>
        </w:rPr>
        <w:t>       （企业名称）</w:t>
      </w:r>
      <w:r>
        <w:rPr>
          <w:rFonts w:hint="eastAsia" w:ascii="仿宋" w:hAnsi="仿宋" w:eastAsia="仿宋" w:cs="仿宋"/>
          <w:color w:val="auto"/>
          <w:kern w:val="0"/>
          <w:sz w:val="24"/>
          <w:highlight w:val="none"/>
          <w:shd w:val="clear" w:color="auto" w:fill="FFFFFF"/>
        </w:rPr>
        <w:t>，从业人员</w:t>
      </w:r>
      <w:r>
        <w:rPr>
          <w:rFonts w:hint="eastAsia" w:ascii="仿宋" w:hAnsi="仿宋" w:eastAsia="仿宋" w:cs="仿宋"/>
          <w:color w:val="auto"/>
          <w:kern w:val="0"/>
          <w:sz w:val="24"/>
          <w:highlight w:val="none"/>
          <w:u w:val="single"/>
          <w:shd w:val="clear" w:color="auto" w:fill="FFFFFF"/>
        </w:rPr>
        <w:t>    </w:t>
      </w:r>
      <w:r>
        <w:rPr>
          <w:rFonts w:hint="eastAsia" w:ascii="仿宋" w:hAnsi="仿宋" w:eastAsia="仿宋" w:cs="仿宋"/>
          <w:color w:val="auto"/>
          <w:kern w:val="0"/>
          <w:sz w:val="24"/>
          <w:highlight w:val="none"/>
          <w:shd w:val="clear" w:color="auto" w:fill="FFFFFF"/>
        </w:rPr>
        <w:t>人，营业收入为</w:t>
      </w:r>
      <w:r>
        <w:rPr>
          <w:rFonts w:hint="eastAsia" w:ascii="仿宋" w:hAnsi="仿宋" w:eastAsia="仿宋" w:cs="仿宋"/>
          <w:color w:val="auto"/>
          <w:kern w:val="0"/>
          <w:sz w:val="24"/>
          <w:highlight w:val="none"/>
          <w:u w:val="single"/>
          <w:shd w:val="clear" w:color="auto" w:fill="FFFFFF"/>
        </w:rPr>
        <w:t>    </w:t>
      </w:r>
      <w:r>
        <w:rPr>
          <w:rFonts w:hint="eastAsia" w:ascii="仿宋" w:hAnsi="仿宋" w:eastAsia="仿宋" w:cs="仿宋"/>
          <w:color w:val="auto"/>
          <w:kern w:val="0"/>
          <w:sz w:val="24"/>
          <w:highlight w:val="none"/>
          <w:shd w:val="clear" w:color="auto" w:fill="FFFFFF"/>
        </w:rPr>
        <w:t>万元，资产总额为</w:t>
      </w:r>
      <w:r>
        <w:rPr>
          <w:rFonts w:hint="eastAsia" w:ascii="仿宋" w:hAnsi="仿宋" w:eastAsia="仿宋" w:cs="仿宋"/>
          <w:color w:val="auto"/>
          <w:kern w:val="0"/>
          <w:sz w:val="24"/>
          <w:highlight w:val="none"/>
          <w:u w:val="single"/>
          <w:shd w:val="clear" w:color="auto" w:fill="FFFFFF"/>
        </w:rPr>
        <w:t>   </w:t>
      </w:r>
      <w:r>
        <w:rPr>
          <w:rFonts w:hint="eastAsia" w:ascii="仿宋" w:hAnsi="仿宋" w:eastAsia="仿宋" w:cs="仿宋"/>
          <w:color w:val="auto"/>
          <w:kern w:val="0"/>
          <w:sz w:val="24"/>
          <w:highlight w:val="none"/>
          <w:shd w:val="clear" w:color="auto" w:fill="FFFFFF"/>
        </w:rPr>
        <w:t>万元</w:t>
      </w:r>
      <w:r>
        <w:rPr>
          <w:rFonts w:hint="eastAsia" w:ascii="仿宋" w:hAnsi="仿宋" w:eastAsia="仿宋" w:cs="仿宋"/>
          <w:color w:val="auto"/>
          <w:kern w:val="0"/>
          <w:sz w:val="24"/>
          <w:highlight w:val="none"/>
          <w:shd w:val="clear" w:color="auto" w:fill="FFFFFF"/>
          <w:vertAlign w:val="superscript"/>
        </w:rPr>
        <w:t>1</w:t>
      </w:r>
      <w:r>
        <w:rPr>
          <w:rFonts w:hint="eastAsia" w:ascii="仿宋" w:hAnsi="仿宋" w:eastAsia="仿宋" w:cs="仿宋"/>
          <w:color w:val="auto"/>
          <w:kern w:val="0"/>
          <w:sz w:val="24"/>
          <w:highlight w:val="none"/>
          <w:shd w:val="clear" w:color="auto" w:fill="FFFFFF"/>
        </w:rPr>
        <w:t>，属于</w:t>
      </w:r>
      <w:r>
        <w:rPr>
          <w:rFonts w:hint="eastAsia" w:ascii="仿宋" w:hAnsi="仿宋" w:eastAsia="仿宋" w:cs="仿宋"/>
          <w:color w:val="auto"/>
          <w:kern w:val="0"/>
          <w:sz w:val="24"/>
          <w:highlight w:val="none"/>
          <w:u w:val="single"/>
          <w:shd w:val="clear" w:color="auto" w:fill="FFFFFF"/>
        </w:rPr>
        <w:t>     （中型企业、小型企业、微型企业）</w:t>
      </w:r>
      <w:r>
        <w:rPr>
          <w:rFonts w:hint="eastAsia" w:ascii="仿宋" w:hAnsi="仿宋" w:eastAsia="仿宋" w:cs="仿宋"/>
          <w:color w:val="auto"/>
          <w:kern w:val="0"/>
          <w:sz w:val="24"/>
          <w:highlight w:val="none"/>
          <w:shd w:val="clear" w:color="auto" w:fill="FFFFFF"/>
        </w:rPr>
        <w:t>；</w:t>
      </w:r>
    </w:p>
    <w:p w14:paraId="451B1260">
      <w:pPr>
        <w:shd w:val="clear" w:color="auto" w:fill="FFFFFF"/>
        <w:spacing w:before="100" w:beforeAutospacing="1" w:after="100" w:afterAutospacing="1"/>
        <w:ind w:firstLine="48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w:t>
      </w:r>
    </w:p>
    <w:p w14:paraId="5F95BF42">
      <w:pPr>
        <w:shd w:val="clear" w:color="auto" w:fill="FFFFFF"/>
        <w:spacing w:before="100" w:beforeAutospacing="1" w:after="100" w:afterAutospacing="1"/>
        <w:ind w:firstLine="48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以上企业，不属于大企业的分支机构，不存在控股股东为大企业的情形，也不存在与大企业的负责人为同一人的情形。</w:t>
      </w:r>
    </w:p>
    <w:p w14:paraId="77DDA242">
      <w:pPr>
        <w:shd w:val="clear" w:color="auto" w:fill="FFFFFF"/>
        <w:spacing w:before="100" w:beforeAutospacing="1" w:after="100" w:afterAutospacing="1"/>
        <w:ind w:firstLine="48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本企业对上述声明内容的真实性负责。如有虚假，将依法承担相应责任。</w:t>
      </w:r>
    </w:p>
    <w:p w14:paraId="0596D99B">
      <w:pPr>
        <w:shd w:val="clear" w:color="auto" w:fill="FFFFFF"/>
        <w:spacing w:before="100" w:beforeAutospacing="1" w:after="100" w:afterAutospacing="1"/>
        <w:ind w:firstLine="528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企业名称（盖章）：</w:t>
      </w:r>
    </w:p>
    <w:p w14:paraId="40977469">
      <w:pPr>
        <w:shd w:val="clear" w:color="auto" w:fill="FFFFFF"/>
        <w:spacing w:before="100" w:beforeAutospacing="1" w:after="100" w:afterAutospacing="1"/>
        <w:ind w:firstLine="5280"/>
        <w:jc w:val="left"/>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shd w:val="clear" w:color="auto" w:fill="FFFFFF"/>
        </w:rPr>
        <w:t>日 期：</w:t>
      </w:r>
    </w:p>
    <w:p w14:paraId="49DD63C2">
      <w:pPr>
        <w:shd w:val="clear" w:color="auto" w:fill="FFFFFF"/>
        <w:spacing w:before="100" w:beforeAutospacing="1" w:after="100" w:afterAutospacing="1"/>
        <w:ind w:firstLine="480"/>
        <w:jc w:val="left"/>
        <w:textAlignment w:val="auto"/>
        <w:rPr>
          <w:rFonts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注：</w:t>
      </w:r>
    </w:p>
    <w:p w14:paraId="7E2550C3">
      <w:pPr>
        <w:shd w:val="clear" w:color="auto" w:fill="FFFFFF"/>
        <w:spacing w:before="100" w:beforeAutospacing="1" w:after="100" w:afterAutospacing="1"/>
        <w:ind w:firstLine="480"/>
        <w:jc w:val="left"/>
        <w:textAlignment w:val="auto"/>
        <w:rPr>
          <w:rFonts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（1）从业人员、营业收入、资产总额填报上一年度数据，无上一年度数据的新成立企业可不填报。</w:t>
      </w:r>
    </w:p>
    <w:p w14:paraId="04BE2A6D">
      <w:pPr>
        <w:shd w:val="clear" w:color="auto" w:fill="FFFFFF"/>
        <w:spacing w:before="100" w:beforeAutospacing="1" w:after="100" w:afterAutospacing="1"/>
        <w:ind w:firstLine="480"/>
        <w:jc w:val="left"/>
        <w:textAlignment w:val="auto"/>
        <w:rPr>
          <w:rFonts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2）潜在投标企业属于中小微企业的，请在响应文件中提供“中小企业声明函”，如果未提供或提供虚假的“中小企业声明函”，投标企业将承担由此造成的一切不利后果。注：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45DF30D4">
      <w:pPr>
        <w:shd w:val="clear" w:color="auto" w:fill="FFFFFF"/>
        <w:spacing w:before="100" w:beforeAutospacing="1" w:after="100" w:afterAutospacing="1"/>
        <w:ind w:firstLine="480"/>
        <w:jc w:val="left"/>
        <w:rPr>
          <w:rFonts w:ascii="仿宋" w:hAnsi="仿宋" w:eastAsia="仿宋" w:cs="仿宋"/>
          <w:b/>
          <w:bCs/>
          <w:color w:val="auto"/>
          <w:kern w:val="0"/>
          <w:sz w:val="24"/>
          <w:highlight w:val="none"/>
          <w:shd w:val="clear" w:color="auto" w:fill="FFFFFF"/>
        </w:rPr>
      </w:pPr>
      <w:r>
        <w:rPr>
          <w:rFonts w:hint="eastAsia" w:ascii="仿宋" w:hAnsi="仿宋" w:eastAsia="仿宋" w:cs="仿宋"/>
          <w:b/>
          <w:bCs/>
          <w:color w:val="auto"/>
          <w:kern w:val="0"/>
          <w:sz w:val="24"/>
          <w:highlight w:val="none"/>
          <w:shd w:val="clear" w:color="auto" w:fill="FFFFFF"/>
        </w:rPr>
        <w:t>（3）（本项目对应的中小企业划分标准所属行业为：</w:t>
      </w:r>
      <w:r>
        <w:rPr>
          <w:rFonts w:hint="eastAsia" w:ascii="仿宋" w:hAnsi="仿宋" w:eastAsia="仿宋" w:cs="仿宋"/>
          <w:b/>
          <w:bCs/>
          <w:color w:val="auto"/>
          <w:kern w:val="0"/>
          <w:sz w:val="24"/>
          <w:highlight w:val="none"/>
          <w:shd w:val="clear" w:color="auto" w:fill="FFFFFF"/>
          <w:lang w:eastAsia="zh-CN"/>
        </w:rPr>
        <w:t>工业</w:t>
      </w:r>
      <w:r>
        <w:rPr>
          <w:rFonts w:hint="eastAsia" w:ascii="仿宋" w:hAnsi="仿宋" w:eastAsia="仿宋" w:cs="仿宋"/>
          <w:b/>
          <w:bCs/>
          <w:color w:val="auto"/>
          <w:kern w:val="0"/>
          <w:sz w:val="24"/>
          <w:highlight w:val="none"/>
          <w:shd w:val="clear" w:color="auto" w:fill="FFFFFF"/>
        </w:rPr>
        <w:t>）</w:t>
      </w:r>
    </w:p>
    <w:bookmarkEnd w:id="851"/>
    <w:bookmarkEnd w:id="852"/>
    <w:bookmarkEnd w:id="853"/>
    <w:p w14:paraId="1A9E9B71">
      <w:pPr>
        <w:jc w:val="left"/>
        <w:rPr>
          <w:rFonts w:ascii="微软雅黑" w:hAnsi="微软雅黑" w:eastAsia="微软雅黑" w:cs="微软雅黑"/>
          <w:b/>
          <w:bCs/>
          <w:color w:val="auto"/>
          <w:kern w:val="0"/>
          <w:sz w:val="28"/>
          <w:szCs w:val="28"/>
          <w:highlight w:val="none"/>
        </w:rPr>
      </w:pPr>
    </w:p>
    <w:p w14:paraId="3B33EA12">
      <w:pPr>
        <w:pStyle w:val="2"/>
        <w:rPr>
          <w:color w:val="auto"/>
          <w:highlight w:val="none"/>
        </w:rPr>
      </w:pPr>
    </w:p>
    <w:p w14:paraId="76FF6E9B">
      <w:pPr>
        <w:jc w:val="left"/>
        <w:rPr>
          <w:rFonts w:ascii="微软雅黑" w:hAnsi="微软雅黑" w:eastAsia="微软雅黑" w:cs="微软雅黑"/>
          <w:b/>
          <w:bCs/>
          <w:color w:val="auto"/>
          <w:kern w:val="0"/>
          <w:sz w:val="28"/>
          <w:szCs w:val="28"/>
          <w:highlight w:val="none"/>
        </w:rPr>
      </w:pPr>
      <w:r>
        <w:rPr>
          <w:rFonts w:hint="eastAsia" w:ascii="微软雅黑" w:hAnsi="微软雅黑" w:eastAsia="微软雅黑" w:cs="微软雅黑"/>
          <w:b/>
          <w:bCs/>
          <w:color w:val="auto"/>
          <w:kern w:val="0"/>
          <w:sz w:val="28"/>
          <w:szCs w:val="28"/>
          <w:highlight w:val="none"/>
        </w:rPr>
        <w:t>附：</w:t>
      </w:r>
    </w:p>
    <w:p w14:paraId="4D14AB96">
      <w:pPr>
        <w:jc w:val="center"/>
        <w:rPr>
          <w:rFonts w:ascii="微软雅黑" w:hAnsi="微软雅黑" w:eastAsia="微软雅黑" w:cs="微软雅黑"/>
          <w:b/>
          <w:bCs/>
          <w:color w:val="auto"/>
          <w:kern w:val="0"/>
          <w:sz w:val="28"/>
          <w:szCs w:val="28"/>
          <w:highlight w:val="none"/>
        </w:rPr>
      </w:pPr>
      <w:r>
        <w:rPr>
          <w:rFonts w:hint="eastAsia" w:ascii="微软雅黑" w:hAnsi="微软雅黑" w:eastAsia="微软雅黑" w:cs="微软雅黑"/>
          <w:b/>
          <w:bCs/>
          <w:color w:val="auto"/>
          <w:kern w:val="0"/>
          <w:sz w:val="28"/>
          <w:szCs w:val="28"/>
          <w:highlight w:val="none"/>
        </w:rPr>
        <w:t>中小微企业划型标准</w:t>
      </w:r>
    </w:p>
    <w:tbl>
      <w:tblPr>
        <w:tblStyle w:val="27"/>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FF95858">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noWrap/>
            <w:vAlign w:val="center"/>
          </w:tcPr>
          <w:p w14:paraId="330D9818">
            <w:pPr>
              <w:snapToGrid w:val="0"/>
              <w:contextualSpacing/>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行业名称</w:t>
            </w:r>
          </w:p>
        </w:tc>
        <w:tc>
          <w:tcPr>
            <w:tcW w:w="1660" w:type="dxa"/>
            <w:tcBorders>
              <w:top w:val="single" w:color="auto" w:sz="4" w:space="0"/>
              <w:left w:val="nil"/>
              <w:bottom w:val="single" w:color="auto" w:sz="4" w:space="0"/>
              <w:right w:val="single" w:color="auto" w:sz="4" w:space="0"/>
            </w:tcBorders>
            <w:noWrap/>
            <w:vAlign w:val="center"/>
          </w:tcPr>
          <w:p w14:paraId="5A954D3C">
            <w:pPr>
              <w:snapToGrid w:val="0"/>
              <w:contextualSpacing/>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指标名称</w:t>
            </w:r>
          </w:p>
        </w:tc>
        <w:tc>
          <w:tcPr>
            <w:tcW w:w="1466" w:type="dxa"/>
            <w:tcBorders>
              <w:top w:val="single" w:color="auto" w:sz="4" w:space="0"/>
              <w:left w:val="nil"/>
              <w:bottom w:val="single" w:color="auto" w:sz="4" w:space="0"/>
              <w:right w:val="single" w:color="auto" w:sz="4" w:space="0"/>
            </w:tcBorders>
            <w:noWrap/>
            <w:vAlign w:val="center"/>
          </w:tcPr>
          <w:p w14:paraId="2E60AB0E">
            <w:pPr>
              <w:snapToGrid w:val="0"/>
              <w:contextualSpacing/>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计量单位</w:t>
            </w:r>
          </w:p>
        </w:tc>
        <w:tc>
          <w:tcPr>
            <w:tcW w:w="1903" w:type="dxa"/>
            <w:tcBorders>
              <w:top w:val="single" w:color="auto" w:sz="4" w:space="0"/>
              <w:left w:val="nil"/>
              <w:bottom w:val="single" w:color="auto" w:sz="4" w:space="0"/>
              <w:right w:val="single" w:color="auto" w:sz="4" w:space="0"/>
            </w:tcBorders>
            <w:noWrap/>
            <w:vAlign w:val="center"/>
          </w:tcPr>
          <w:p w14:paraId="67A1B435">
            <w:pPr>
              <w:snapToGrid w:val="0"/>
              <w:contextualSpacing/>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中型</w:t>
            </w:r>
          </w:p>
        </w:tc>
        <w:tc>
          <w:tcPr>
            <w:tcW w:w="1692" w:type="dxa"/>
            <w:tcBorders>
              <w:top w:val="single" w:color="auto" w:sz="4" w:space="0"/>
              <w:left w:val="nil"/>
              <w:bottom w:val="single" w:color="auto" w:sz="4" w:space="0"/>
              <w:right w:val="single" w:color="auto" w:sz="4" w:space="0"/>
            </w:tcBorders>
            <w:noWrap/>
            <w:vAlign w:val="center"/>
          </w:tcPr>
          <w:p w14:paraId="47089745">
            <w:pPr>
              <w:snapToGrid w:val="0"/>
              <w:contextualSpacing/>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小型</w:t>
            </w:r>
          </w:p>
        </w:tc>
        <w:tc>
          <w:tcPr>
            <w:tcW w:w="1087" w:type="dxa"/>
            <w:tcBorders>
              <w:top w:val="single" w:color="auto" w:sz="4" w:space="0"/>
              <w:left w:val="nil"/>
              <w:bottom w:val="single" w:color="auto" w:sz="4" w:space="0"/>
              <w:right w:val="single" w:color="auto" w:sz="4" w:space="0"/>
            </w:tcBorders>
            <w:noWrap/>
            <w:vAlign w:val="center"/>
          </w:tcPr>
          <w:p w14:paraId="40923BBB">
            <w:pPr>
              <w:snapToGrid w:val="0"/>
              <w:contextualSpacing/>
              <w:jc w:val="center"/>
              <w:rPr>
                <w:rFonts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微型</w:t>
            </w:r>
          </w:p>
        </w:tc>
      </w:tr>
      <w:tr w14:paraId="07D99320">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2176D3AA">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农、林、牧、渔</w:t>
            </w:r>
          </w:p>
        </w:tc>
        <w:tc>
          <w:tcPr>
            <w:tcW w:w="1660" w:type="dxa"/>
            <w:tcBorders>
              <w:top w:val="nil"/>
              <w:left w:val="nil"/>
              <w:bottom w:val="single" w:color="auto" w:sz="4" w:space="0"/>
              <w:right w:val="single" w:color="auto" w:sz="4" w:space="0"/>
            </w:tcBorders>
            <w:noWrap/>
            <w:vAlign w:val="center"/>
          </w:tcPr>
          <w:p w14:paraId="2ADB85B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32572C8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6114BF6A">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500≤Y＜20000</w:t>
            </w:r>
          </w:p>
        </w:tc>
        <w:tc>
          <w:tcPr>
            <w:tcW w:w="1692" w:type="dxa"/>
            <w:tcBorders>
              <w:top w:val="nil"/>
              <w:left w:val="nil"/>
              <w:bottom w:val="single" w:color="auto" w:sz="4" w:space="0"/>
              <w:right w:val="single" w:color="auto" w:sz="4" w:space="0"/>
            </w:tcBorders>
            <w:noWrap/>
            <w:vAlign w:val="center"/>
          </w:tcPr>
          <w:p w14:paraId="55F3782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50≤Y＜500</w:t>
            </w:r>
          </w:p>
        </w:tc>
        <w:tc>
          <w:tcPr>
            <w:tcW w:w="1087" w:type="dxa"/>
            <w:tcBorders>
              <w:top w:val="nil"/>
              <w:left w:val="nil"/>
              <w:bottom w:val="single" w:color="auto" w:sz="4" w:space="0"/>
              <w:right w:val="single" w:color="auto" w:sz="4" w:space="0"/>
            </w:tcBorders>
            <w:noWrap/>
            <w:vAlign w:val="center"/>
          </w:tcPr>
          <w:p w14:paraId="3FD90D6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Y＜50</w:t>
            </w:r>
          </w:p>
        </w:tc>
      </w:tr>
      <w:tr w14:paraId="47DB850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78E5F732">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工业</w:t>
            </w:r>
          </w:p>
        </w:tc>
        <w:tc>
          <w:tcPr>
            <w:tcW w:w="1660" w:type="dxa"/>
            <w:tcBorders>
              <w:top w:val="nil"/>
              <w:left w:val="nil"/>
              <w:bottom w:val="single" w:color="auto" w:sz="4" w:space="0"/>
              <w:right w:val="single" w:color="auto" w:sz="4" w:space="0"/>
            </w:tcBorders>
            <w:noWrap/>
            <w:vAlign w:val="center"/>
          </w:tcPr>
          <w:p w14:paraId="38DD62BF">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36A9B813">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5B1987F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300≤X＜1000</w:t>
            </w:r>
          </w:p>
        </w:tc>
        <w:tc>
          <w:tcPr>
            <w:tcW w:w="1692" w:type="dxa"/>
            <w:tcBorders>
              <w:top w:val="nil"/>
              <w:left w:val="nil"/>
              <w:bottom w:val="single" w:color="auto" w:sz="4" w:space="0"/>
              <w:right w:val="single" w:color="auto" w:sz="4" w:space="0"/>
            </w:tcBorders>
            <w:noWrap/>
            <w:vAlign w:val="center"/>
          </w:tcPr>
          <w:p w14:paraId="6E228EA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20≤X＜300</w:t>
            </w:r>
          </w:p>
        </w:tc>
        <w:tc>
          <w:tcPr>
            <w:tcW w:w="1087" w:type="dxa"/>
            <w:tcBorders>
              <w:top w:val="nil"/>
              <w:left w:val="nil"/>
              <w:bottom w:val="single" w:color="auto" w:sz="4" w:space="0"/>
              <w:right w:val="single" w:color="auto" w:sz="4" w:space="0"/>
            </w:tcBorders>
            <w:noWrap/>
            <w:vAlign w:val="center"/>
          </w:tcPr>
          <w:p w14:paraId="0CA6831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X＜20</w:t>
            </w:r>
          </w:p>
        </w:tc>
      </w:tr>
      <w:tr w14:paraId="4E605E4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8744662">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181F6CF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3E8A7E1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5A89672B">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2000≤Y＜40000</w:t>
            </w:r>
          </w:p>
        </w:tc>
        <w:tc>
          <w:tcPr>
            <w:tcW w:w="1692" w:type="dxa"/>
            <w:tcBorders>
              <w:top w:val="nil"/>
              <w:left w:val="nil"/>
              <w:bottom w:val="single" w:color="auto" w:sz="4" w:space="0"/>
              <w:right w:val="single" w:color="auto" w:sz="4" w:space="0"/>
            </w:tcBorders>
            <w:noWrap/>
            <w:vAlign w:val="center"/>
          </w:tcPr>
          <w:p w14:paraId="63727E0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300≤Y＜2000</w:t>
            </w:r>
          </w:p>
        </w:tc>
        <w:tc>
          <w:tcPr>
            <w:tcW w:w="1087" w:type="dxa"/>
            <w:tcBorders>
              <w:top w:val="nil"/>
              <w:left w:val="nil"/>
              <w:bottom w:val="single" w:color="auto" w:sz="4" w:space="0"/>
              <w:right w:val="single" w:color="auto" w:sz="4" w:space="0"/>
            </w:tcBorders>
            <w:noWrap/>
            <w:vAlign w:val="center"/>
          </w:tcPr>
          <w:p w14:paraId="3531895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Y＜300</w:t>
            </w:r>
          </w:p>
        </w:tc>
      </w:tr>
      <w:tr w14:paraId="4A41B03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D3C4EA0">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建筑业</w:t>
            </w:r>
          </w:p>
        </w:tc>
        <w:tc>
          <w:tcPr>
            <w:tcW w:w="1660" w:type="dxa"/>
            <w:tcBorders>
              <w:top w:val="nil"/>
              <w:left w:val="nil"/>
              <w:bottom w:val="single" w:color="auto" w:sz="4" w:space="0"/>
              <w:right w:val="single" w:color="auto" w:sz="4" w:space="0"/>
            </w:tcBorders>
            <w:noWrap/>
            <w:vAlign w:val="center"/>
          </w:tcPr>
          <w:p w14:paraId="3083027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19FFBB0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3546DCD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6000≤Y＜80000</w:t>
            </w:r>
          </w:p>
        </w:tc>
        <w:tc>
          <w:tcPr>
            <w:tcW w:w="1692" w:type="dxa"/>
            <w:tcBorders>
              <w:top w:val="nil"/>
              <w:left w:val="nil"/>
              <w:bottom w:val="single" w:color="auto" w:sz="4" w:space="0"/>
              <w:right w:val="single" w:color="auto" w:sz="4" w:space="0"/>
            </w:tcBorders>
            <w:noWrap/>
            <w:vAlign w:val="center"/>
          </w:tcPr>
          <w:p w14:paraId="70CFFF3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300≤Y＜6000</w:t>
            </w:r>
          </w:p>
        </w:tc>
        <w:tc>
          <w:tcPr>
            <w:tcW w:w="1087" w:type="dxa"/>
            <w:tcBorders>
              <w:top w:val="nil"/>
              <w:left w:val="nil"/>
              <w:bottom w:val="single" w:color="auto" w:sz="4" w:space="0"/>
              <w:right w:val="single" w:color="auto" w:sz="4" w:space="0"/>
            </w:tcBorders>
            <w:noWrap/>
            <w:vAlign w:val="center"/>
          </w:tcPr>
          <w:p w14:paraId="543CB3DA">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Y＜300</w:t>
            </w:r>
          </w:p>
        </w:tc>
      </w:tr>
      <w:tr w14:paraId="59D229D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4565C1A">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7019F89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资产总额（Z）</w:t>
            </w:r>
          </w:p>
        </w:tc>
        <w:tc>
          <w:tcPr>
            <w:tcW w:w="1466" w:type="dxa"/>
            <w:tcBorders>
              <w:top w:val="nil"/>
              <w:left w:val="nil"/>
              <w:bottom w:val="single" w:color="auto" w:sz="4" w:space="0"/>
              <w:right w:val="single" w:color="auto" w:sz="4" w:space="0"/>
            </w:tcBorders>
            <w:noWrap/>
            <w:vAlign w:val="center"/>
          </w:tcPr>
          <w:p w14:paraId="48B9A02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5E88AED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5000≤Z＜80000</w:t>
            </w:r>
          </w:p>
        </w:tc>
        <w:tc>
          <w:tcPr>
            <w:tcW w:w="1692" w:type="dxa"/>
            <w:tcBorders>
              <w:top w:val="nil"/>
              <w:left w:val="nil"/>
              <w:bottom w:val="single" w:color="auto" w:sz="4" w:space="0"/>
              <w:right w:val="single" w:color="auto" w:sz="4" w:space="0"/>
            </w:tcBorders>
            <w:noWrap/>
            <w:vAlign w:val="center"/>
          </w:tcPr>
          <w:p w14:paraId="0208ADE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300≤Z＜5000</w:t>
            </w:r>
          </w:p>
        </w:tc>
        <w:tc>
          <w:tcPr>
            <w:tcW w:w="1087" w:type="dxa"/>
            <w:tcBorders>
              <w:top w:val="nil"/>
              <w:left w:val="nil"/>
              <w:bottom w:val="single" w:color="auto" w:sz="4" w:space="0"/>
              <w:right w:val="single" w:color="auto" w:sz="4" w:space="0"/>
            </w:tcBorders>
            <w:noWrap/>
            <w:vAlign w:val="center"/>
          </w:tcPr>
          <w:p w14:paraId="547D705A">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Z＜300</w:t>
            </w:r>
          </w:p>
        </w:tc>
      </w:tr>
      <w:tr w14:paraId="54795859">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45868E2">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批发业</w:t>
            </w:r>
          </w:p>
        </w:tc>
        <w:tc>
          <w:tcPr>
            <w:tcW w:w="1660" w:type="dxa"/>
            <w:tcBorders>
              <w:top w:val="nil"/>
              <w:left w:val="nil"/>
              <w:bottom w:val="single" w:color="auto" w:sz="4" w:space="0"/>
              <w:right w:val="single" w:color="auto" w:sz="4" w:space="0"/>
            </w:tcBorders>
            <w:noWrap/>
            <w:vAlign w:val="center"/>
          </w:tcPr>
          <w:p w14:paraId="0F78EF4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4FED44C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57BA3A1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20≤X＜200</w:t>
            </w:r>
          </w:p>
        </w:tc>
        <w:tc>
          <w:tcPr>
            <w:tcW w:w="1692" w:type="dxa"/>
            <w:tcBorders>
              <w:top w:val="nil"/>
              <w:left w:val="nil"/>
              <w:bottom w:val="single" w:color="auto" w:sz="4" w:space="0"/>
              <w:right w:val="single" w:color="auto" w:sz="4" w:space="0"/>
            </w:tcBorders>
            <w:noWrap/>
            <w:vAlign w:val="center"/>
          </w:tcPr>
          <w:p w14:paraId="4754F1B3">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5≤X＜20</w:t>
            </w:r>
          </w:p>
        </w:tc>
        <w:tc>
          <w:tcPr>
            <w:tcW w:w="1087" w:type="dxa"/>
            <w:tcBorders>
              <w:top w:val="nil"/>
              <w:left w:val="nil"/>
              <w:bottom w:val="single" w:color="auto" w:sz="4" w:space="0"/>
              <w:right w:val="single" w:color="auto" w:sz="4" w:space="0"/>
            </w:tcBorders>
            <w:noWrap/>
            <w:vAlign w:val="center"/>
          </w:tcPr>
          <w:p w14:paraId="7E16E06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X＜5</w:t>
            </w:r>
          </w:p>
        </w:tc>
      </w:tr>
      <w:tr w14:paraId="2CBE774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240C799">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4E0003A2">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2EA99B4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236D1F13">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5000≤Y＜40000</w:t>
            </w:r>
          </w:p>
        </w:tc>
        <w:tc>
          <w:tcPr>
            <w:tcW w:w="1692" w:type="dxa"/>
            <w:tcBorders>
              <w:top w:val="nil"/>
              <w:left w:val="nil"/>
              <w:bottom w:val="single" w:color="auto" w:sz="4" w:space="0"/>
              <w:right w:val="single" w:color="auto" w:sz="4" w:space="0"/>
            </w:tcBorders>
            <w:noWrap/>
            <w:vAlign w:val="center"/>
          </w:tcPr>
          <w:p w14:paraId="08CC498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1000≤Y＜5000</w:t>
            </w:r>
          </w:p>
        </w:tc>
        <w:tc>
          <w:tcPr>
            <w:tcW w:w="1087" w:type="dxa"/>
            <w:tcBorders>
              <w:top w:val="nil"/>
              <w:left w:val="nil"/>
              <w:bottom w:val="single" w:color="auto" w:sz="4" w:space="0"/>
              <w:right w:val="single" w:color="auto" w:sz="4" w:space="0"/>
            </w:tcBorders>
            <w:noWrap/>
            <w:vAlign w:val="center"/>
          </w:tcPr>
          <w:p w14:paraId="750A250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Y＜1000</w:t>
            </w:r>
          </w:p>
        </w:tc>
      </w:tr>
      <w:tr w14:paraId="3ACDB25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0AA1F142">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零售业</w:t>
            </w:r>
          </w:p>
        </w:tc>
        <w:tc>
          <w:tcPr>
            <w:tcW w:w="1660" w:type="dxa"/>
            <w:tcBorders>
              <w:top w:val="nil"/>
              <w:left w:val="nil"/>
              <w:bottom w:val="single" w:color="auto" w:sz="4" w:space="0"/>
              <w:right w:val="single" w:color="auto" w:sz="4" w:space="0"/>
            </w:tcBorders>
            <w:noWrap/>
            <w:vAlign w:val="center"/>
          </w:tcPr>
          <w:p w14:paraId="2FEF4A1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0EBA499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6549FD9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50≤X＜300</w:t>
            </w:r>
          </w:p>
        </w:tc>
        <w:tc>
          <w:tcPr>
            <w:tcW w:w="1692" w:type="dxa"/>
            <w:tcBorders>
              <w:top w:val="nil"/>
              <w:left w:val="nil"/>
              <w:bottom w:val="single" w:color="auto" w:sz="4" w:space="0"/>
              <w:right w:val="single" w:color="auto" w:sz="4" w:space="0"/>
            </w:tcBorders>
            <w:noWrap/>
            <w:vAlign w:val="center"/>
          </w:tcPr>
          <w:p w14:paraId="0F36917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10≤X＜50</w:t>
            </w:r>
          </w:p>
        </w:tc>
        <w:tc>
          <w:tcPr>
            <w:tcW w:w="1087" w:type="dxa"/>
            <w:tcBorders>
              <w:top w:val="nil"/>
              <w:left w:val="nil"/>
              <w:bottom w:val="single" w:color="auto" w:sz="4" w:space="0"/>
              <w:right w:val="single" w:color="auto" w:sz="4" w:space="0"/>
            </w:tcBorders>
            <w:noWrap/>
            <w:vAlign w:val="center"/>
          </w:tcPr>
          <w:p w14:paraId="62BC9BA2">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26C198A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164BFEE2">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1F01511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08682AAD">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4E6E9ABA">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500≤Y＜20000</w:t>
            </w:r>
          </w:p>
        </w:tc>
        <w:tc>
          <w:tcPr>
            <w:tcW w:w="1692" w:type="dxa"/>
            <w:tcBorders>
              <w:top w:val="nil"/>
              <w:left w:val="nil"/>
              <w:bottom w:val="single" w:color="auto" w:sz="4" w:space="0"/>
              <w:right w:val="single" w:color="auto" w:sz="4" w:space="0"/>
            </w:tcBorders>
            <w:noWrap/>
            <w:vAlign w:val="center"/>
          </w:tcPr>
          <w:p w14:paraId="38183592">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100≤Y＜500</w:t>
            </w:r>
          </w:p>
        </w:tc>
        <w:tc>
          <w:tcPr>
            <w:tcW w:w="1087" w:type="dxa"/>
            <w:tcBorders>
              <w:top w:val="nil"/>
              <w:left w:val="nil"/>
              <w:bottom w:val="single" w:color="auto" w:sz="4" w:space="0"/>
              <w:right w:val="single" w:color="auto" w:sz="4" w:space="0"/>
            </w:tcBorders>
            <w:noWrap/>
            <w:vAlign w:val="center"/>
          </w:tcPr>
          <w:p w14:paraId="02E8C24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256332F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7EBEA560">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交通运输业</w:t>
            </w:r>
          </w:p>
        </w:tc>
        <w:tc>
          <w:tcPr>
            <w:tcW w:w="1660" w:type="dxa"/>
            <w:tcBorders>
              <w:top w:val="nil"/>
              <w:left w:val="nil"/>
              <w:bottom w:val="single" w:color="auto" w:sz="4" w:space="0"/>
              <w:right w:val="single" w:color="auto" w:sz="4" w:space="0"/>
            </w:tcBorders>
            <w:noWrap/>
            <w:vAlign w:val="center"/>
          </w:tcPr>
          <w:p w14:paraId="0D4A9D6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7DD5F01A">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32BFE54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300≤X＜1000</w:t>
            </w:r>
          </w:p>
        </w:tc>
        <w:tc>
          <w:tcPr>
            <w:tcW w:w="1692" w:type="dxa"/>
            <w:tcBorders>
              <w:top w:val="nil"/>
              <w:left w:val="nil"/>
              <w:bottom w:val="single" w:color="auto" w:sz="4" w:space="0"/>
              <w:right w:val="single" w:color="auto" w:sz="4" w:space="0"/>
            </w:tcBorders>
            <w:noWrap/>
            <w:vAlign w:val="center"/>
          </w:tcPr>
          <w:p w14:paraId="1B910A4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20≤X＜300</w:t>
            </w:r>
          </w:p>
        </w:tc>
        <w:tc>
          <w:tcPr>
            <w:tcW w:w="1087" w:type="dxa"/>
            <w:tcBorders>
              <w:top w:val="nil"/>
              <w:left w:val="nil"/>
              <w:bottom w:val="single" w:color="auto" w:sz="4" w:space="0"/>
              <w:right w:val="single" w:color="auto" w:sz="4" w:space="0"/>
            </w:tcBorders>
            <w:noWrap/>
            <w:vAlign w:val="center"/>
          </w:tcPr>
          <w:p w14:paraId="362E1B8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X＜20</w:t>
            </w:r>
          </w:p>
        </w:tc>
      </w:tr>
      <w:tr w14:paraId="6605F1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3E39928">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3FEFC83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3942B939">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72C5D29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3000≤Y＜30000</w:t>
            </w:r>
          </w:p>
        </w:tc>
        <w:tc>
          <w:tcPr>
            <w:tcW w:w="1692" w:type="dxa"/>
            <w:tcBorders>
              <w:top w:val="nil"/>
              <w:left w:val="nil"/>
              <w:bottom w:val="single" w:color="auto" w:sz="4" w:space="0"/>
              <w:right w:val="single" w:color="auto" w:sz="4" w:space="0"/>
            </w:tcBorders>
            <w:noWrap/>
            <w:vAlign w:val="center"/>
          </w:tcPr>
          <w:p w14:paraId="0F75D92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200≤Y＜3000</w:t>
            </w:r>
          </w:p>
        </w:tc>
        <w:tc>
          <w:tcPr>
            <w:tcW w:w="1087" w:type="dxa"/>
            <w:tcBorders>
              <w:top w:val="nil"/>
              <w:left w:val="nil"/>
              <w:bottom w:val="single" w:color="auto" w:sz="4" w:space="0"/>
              <w:right w:val="single" w:color="auto" w:sz="4" w:space="0"/>
            </w:tcBorders>
            <w:noWrap/>
            <w:vAlign w:val="center"/>
          </w:tcPr>
          <w:p w14:paraId="277309E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Y＜200</w:t>
            </w:r>
          </w:p>
        </w:tc>
      </w:tr>
      <w:tr w14:paraId="2E3531C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B2D7B65">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仓储业</w:t>
            </w:r>
          </w:p>
        </w:tc>
        <w:tc>
          <w:tcPr>
            <w:tcW w:w="1660" w:type="dxa"/>
            <w:tcBorders>
              <w:top w:val="nil"/>
              <w:left w:val="nil"/>
              <w:bottom w:val="single" w:color="auto" w:sz="4" w:space="0"/>
              <w:right w:val="single" w:color="auto" w:sz="4" w:space="0"/>
            </w:tcBorders>
            <w:noWrap/>
            <w:vAlign w:val="center"/>
          </w:tcPr>
          <w:p w14:paraId="0885CBC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4473F6A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19F7DD2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100≤X＜200</w:t>
            </w:r>
          </w:p>
        </w:tc>
        <w:tc>
          <w:tcPr>
            <w:tcW w:w="1692" w:type="dxa"/>
            <w:tcBorders>
              <w:top w:val="nil"/>
              <w:left w:val="nil"/>
              <w:bottom w:val="single" w:color="auto" w:sz="4" w:space="0"/>
              <w:right w:val="single" w:color="auto" w:sz="4" w:space="0"/>
            </w:tcBorders>
            <w:noWrap/>
            <w:vAlign w:val="center"/>
          </w:tcPr>
          <w:p w14:paraId="6B1DA25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20≤X＜100</w:t>
            </w:r>
          </w:p>
        </w:tc>
        <w:tc>
          <w:tcPr>
            <w:tcW w:w="1087" w:type="dxa"/>
            <w:tcBorders>
              <w:top w:val="nil"/>
              <w:left w:val="nil"/>
              <w:bottom w:val="single" w:color="auto" w:sz="4" w:space="0"/>
              <w:right w:val="single" w:color="auto" w:sz="4" w:space="0"/>
            </w:tcBorders>
            <w:noWrap/>
            <w:vAlign w:val="center"/>
          </w:tcPr>
          <w:p w14:paraId="4A78C92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X＜20</w:t>
            </w:r>
          </w:p>
        </w:tc>
      </w:tr>
      <w:tr w14:paraId="0860483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A9DAE4C">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5A1D923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45CD1CEB">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02DA7E4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1000≤Y＜30000</w:t>
            </w:r>
          </w:p>
        </w:tc>
        <w:tc>
          <w:tcPr>
            <w:tcW w:w="1692" w:type="dxa"/>
            <w:tcBorders>
              <w:top w:val="nil"/>
              <w:left w:val="nil"/>
              <w:bottom w:val="single" w:color="auto" w:sz="4" w:space="0"/>
              <w:right w:val="single" w:color="auto" w:sz="4" w:space="0"/>
            </w:tcBorders>
            <w:noWrap/>
            <w:vAlign w:val="center"/>
          </w:tcPr>
          <w:p w14:paraId="4C01F00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100≤Y＜1000</w:t>
            </w:r>
          </w:p>
        </w:tc>
        <w:tc>
          <w:tcPr>
            <w:tcW w:w="1087" w:type="dxa"/>
            <w:tcBorders>
              <w:top w:val="nil"/>
              <w:left w:val="nil"/>
              <w:bottom w:val="single" w:color="auto" w:sz="4" w:space="0"/>
              <w:right w:val="single" w:color="auto" w:sz="4" w:space="0"/>
            </w:tcBorders>
            <w:noWrap/>
            <w:vAlign w:val="center"/>
          </w:tcPr>
          <w:p w14:paraId="62D6DA2B">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2654BFC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203F997A">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邮政业</w:t>
            </w:r>
          </w:p>
        </w:tc>
        <w:tc>
          <w:tcPr>
            <w:tcW w:w="1660" w:type="dxa"/>
            <w:tcBorders>
              <w:top w:val="nil"/>
              <w:left w:val="nil"/>
              <w:bottom w:val="single" w:color="auto" w:sz="4" w:space="0"/>
              <w:right w:val="single" w:color="auto" w:sz="4" w:space="0"/>
            </w:tcBorders>
            <w:noWrap/>
            <w:vAlign w:val="center"/>
          </w:tcPr>
          <w:p w14:paraId="32AE87AB">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5D48028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7D6C49D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300≤X＜1000</w:t>
            </w:r>
          </w:p>
        </w:tc>
        <w:tc>
          <w:tcPr>
            <w:tcW w:w="1692" w:type="dxa"/>
            <w:tcBorders>
              <w:top w:val="nil"/>
              <w:left w:val="nil"/>
              <w:bottom w:val="single" w:color="auto" w:sz="4" w:space="0"/>
              <w:right w:val="single" w:color="auto" w:sz="4" w:space="0"/>
            </w:tcBorders>
            <w:noWrap/>
            <w:vAlign w:val="center"/>
          </w:tcPr>
          <w:p w14:paraId="30025FA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20≤X＜300</w:t>
            </w:r>
          </w:p>
        </w:tc>
        <w:tc>
          <w:tcPr>
            <w:tcW w:w="1087" w:type="dxa"/>
            <w:tcBorders>
              <w:top w:val="nil"/>
              <w:left w:val="nil"/>
              <w:bottom w:val="single" w:color="auto" w:sz="4" w:space="0"/>
              <w:right w:val="single" w:color="auto" w:sz="4" w:space="0"/>
            </w:tcBorders>
            <w:noWrap/>
            <w:vAlign w:val="center"/>
          </w:tcPr>
          <w:p w14:paraId="56B41E5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X＜20</w:t>
            </w:r>
          </w:p>
        </w:tc>
      </w:tr>
      <w:tr w14:paraId="77BF367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F16BD05">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4394945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7427F1D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1C9803A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2000≤Y＜30000</w:t>
            </w:r>
          </w:p>
        </w:tc>
        <w:tc>
          <w:tcPr>
            <w:tcW w:w="1692" w:type="dxa"/>
            <w:tcBorders>
              <w:top w:val="nil"/>
              <w:left w:val="nil"/>
              <w:bottom w:val="single" w:color="auto" w:sz="4" w:space="0"/>
              <w:right w:val="single" w:color="auto" w:sz="4" w:space="0"/>
            </w:tcBorders>
            <w:noWrap/>
            <w:vAlign w:val="center"/>
          </w:tcPr>
          <w:p w14:paraId="255F468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100≤Y＜2000</w:t>
            </w:r>
          </w:p>
        </w:tc>
        <w:tc>
          <w:tcPr>
            <w:tcW w:w="1087" w:type="dxa"/>
            <w:tcBorders>
              <w:top w:val="nil"/>
              <w:left w:val="nil"/>
              <w:bottom w:val="single" w:color="auto" w:sz="4" w:space="0"/>
              <w:right w:val="single" w:color="auto" w:sz="4" w:space="0"/>
            </w:tcBorders>
            <w:noWrap/>
            <w:vAlign w:val="center"/>
          </w:tcPr>
          <w:p w14:paraId="2234F00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001182F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A924A8D">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住宿业</w:t>
            </w:r>
          </w:p>
        </w:tc>
        <w:tc>
          <w:tcPr>
            <w:tcW w:w="1660" w:type="dxa"/>
            <w:tcBorders>
              <w:top w:val="nil"/>
              <w:left w:val="nil"/>
              <w:bottom w:val="single" w:color="auto" w:sz="4" w:space="0"/>
              <w:right w:val="single" w:color="auto" w:sz="4" w:space="0"/>
            </w:tcBorders>
            <w:noWrap/>
            <w:vAlign w:val="center"/>
          </w:tcPr>
          <w:p w14:paraId="642400A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29BEBD0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4282722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ign w:val="center"/>
          </w:tcPr>
          <w:p w14:paraId="6B2627D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ign w:val="center"/>
          </w:tcPr>
          <w:p w14:paraId="43955B79">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00F78F8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6B20E64E">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6099797A">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56E6259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1D3594E9">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2000≤Y＜10000</w:t>
            </w:r>
          </w:p>
        </w:tc>
        <w:tc>
          <w:tcPr>
            <w:tcW w:w="1692" w:type="dxa"/>
            <w:tcBorders>
              <w:top w:val="nil"/>
              <w:left w:val="nil"/>
              <w:bottom w:val="single" w:color="auto" w:sz="4" w:space="0"/>
              <w:right w:val="single" w:color="auto" w:sz="4" w:space="0"/>
            </w:tcBorders>
            <w:noWrap/>
            <w:vAlign w:val="center"/>
          </w:tcPr>
          <w:p w14:paraId="6F7FE62B">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100≤Y＜2000</w:t>
            </w:r>
          </w:p>
        </w:tc>
        <w:tc>
          <w:tcPr>
            <w:tcW w:w="1087" w:type="dxa"/>
            <w:tcBorders>
              <w:top w:val="nil"/>
              <w:left w:val="nil"/>
              <w:bottom w:val="single" w:color="auto" w:sz="4" w:space="0"/>
              <w:right w:val="single" w:color="auto" w:sz="4" w:space="0"/>
            </w:tcBorders>
            <w:noWrap/>
            <w:vAlign w:val="center"/>
          </w:tcPr>
          <w:p w14:paraId="734D645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74BA7B3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162C2A09">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餐饮业</w:t>
            </w:r>
          </w:p>
        </w:tc>
        <w:tc>
          <w:tcPr>
            <w:tcW w:w="1660" w:type="dxa"/>
            <w:tcBorders>
              <w:top w:val="nil"/>
              <w:left w:val="nil"/>
              <w:bottom w:val="single" w:color="auto" w:sz="4" w:space="0"/>
              <w:right w:val="single" w:color="auto" w:sz="4" w:space="0"/>
            </w:tcBorders>
            <w:noWrap/>
            <w:vAlign w:val="center"/>
          </w:tcPr>
          <w:p w14:paraId="2EE9980F">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7357EEF9">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41847FE2">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ign w:val="center"/>
          </w:tcPr>
          <w:p w14:paraId="77E33FF3">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ign w:val="center"/>
          </w:tcPr>
          <w:p w14:paraId="4646E199">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2087E67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79502CB3">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75C8D9D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2595C46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1BEE238B">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2000≤Y＜10000</w:t>
            </w:r>
          </w:p>
        </w:tc>
        <w:tc>
          <w:tcPr>
            <w:tcW w:w="1692" w:type="dxa"/>
            <w:tcBorders>
              <w:top w:val="nil"/>
              <w:left w:val="nil"/>
              <w:bottom w:val="single" w:color="auto" w:sz="4" w:space="0"/>
              <w:right w:val="single" w:color="auto" w:sz="4" w:space="0"/>
            </w:tcBorders>
            <w:noWrap/>
            <w:vAlign w:val="center"/>
          </w:tcPr>
          <w:p w14:paraId="78CCFD1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100≤Y＜2000</w:t>
            </w:r>
          </w:p>
        </w:tc>
        <w:tc>
          <w:tcPr>
            <w:tcW w:w="1087" w:type="dxa"/>
            <w:tcBorders>
              <w:top w:val="nil"/>
              <w:left w:val="nil"/>
              <w:bottom w:val="single" w:color="auto" w:sz="4" w:space="0"/>
              <w:right w:val="single" w:color="auto" w:sz="4" w:space="0"/>
            </w:tcBorders>
            <w:noWrap/>
            <w:vAlign w:val="center"/>
          </w:tcPr>
          <w:p w14:paraId="408FE9A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618087B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4B47248D">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信息传输业</w:t>
            </w:r>
          </w:p>
        </w:tc>
        <w:tc>
          <w:tcPr>
            <w:tcW w:w="1660" w:type="dxa"/>
            <w:tcBorders>
              <w:top w:val="nil"/>
              <w:left w:val="nil"/>
              <w:bottom w:val="single" w:color="auto" w:sz="4" w:space="0"/>
              <w:right w:val="single" w:color="auto" w:sz="4" w:space="0"/>
            </w:tcBorders>
            <w:noWrap/>
            <w:vAlign w:val="center"/>
          </w:tcPr>
          <w:p w14:paraId="0A86F59D">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354EFB5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25143C3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100≤X＜2000</w:t>
            </w:r>
          </w:p>
        </w:tc>
        <w:tc>
          <w:tcPr>
            <w:tcW w:w="1692" w:type="dxa"/>
            <w:tcBorders>
              <w:top w:val="nil"/>
              <w:left w:val="nil"/>
              <w:bottom w:val="single" w:color="auto" w:sz="4" w:space="0"/>
              <w:right w:val="single" w:color="auto" w:sz="4" w:space="0"/>
            </w:tcBorders>
            <w:noWrap/>
            <w:vAlign w:val="center"/>
          </w:tcPr>
          <w:p w14:paraId="6EDA0CA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ign w:val="center"/>
          </w:tcPr>
          <w:p w14:paraId="7FF9D07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69D1D19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53176B4">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14D2011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0C94C81D">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32D2785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1000≤Y＜100000</w:t>
            </w:r>
          </w:p>
        </w:tc>
        <w:tc>
          <w:tcPr>
            <w:tcW w:w="1692" w:type="dxa"/>
            <w:tcBorders>
              <w:top w:val="nil"/>
              <w:left w:val="nil"/>
              <w:bottom w:val="single" w:color="auto" w:sz="4" w:space="0"/>
              <w:right w:val="single" w:color="auto" w:sz="4" w:space="0"/>
            </w:tcBorders>
            <w:noWrap/>
            <w:vAlign w:val="center"/>
          </w:tcPr>
          <w:p w14:paraId="01A42B7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100≤Y＜1000</w:t>
            </w:r>
          </w:p>
        </w:tc>
        <w:tc>
          <w:tcPr>
            <w:tcW w:w="1087" w:type="dxa"/>
            <w:tcBorders>
              <w:top w:val="nil"/>
              <w:left w:val="nil"/>
              <w:bottom w:val="single" w:color="auto" w:sz="4" w:space="0"/>
              <w:right w:val="single" w:color="auto" w:sz="4" w:space="0"/>
            </w:tcBorders>
            <w:noWrap/>
            <w:vAlign w:val="center"/>
          </w:tcPr>
          <w:p w14:paraId="3F24973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5F2050C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18B0A0E2">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软件和信息技术服务业</w:t>
            </w:r>
          </w:p>
        </w:tc>
        <w:tc>
          <w:tcPr>
            <w:tcW w:w="1660" w:type="dxa"/>
            <w:tcBorders>
              <w:top w:val="nil"/>
              <w:left w:val="nil"/>
              <w:bottom w:val="single" w:color="auto" w:sz="4" w:space="0"/>
              <w:right w:val="single" w:color="auto" w:sz="4" w:space="0"/>
            </w:tcBorders>
            <w:noWrap/>
            <w:vAlign w:val="center"/>
          </w:tcPr>
          <w:p w14:paraId="79BA2ED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1139BF02">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68F0750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ign w:val="center"/>
          </w:tcPr>
          <w:p w14:paraId="2DF79B5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ign w:val="center"/>
          </w:tcPr>
          <w:p w14:paraId="66124E4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33111AB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42DA11F9">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6E4DD76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0A1F123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7D50310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1000≤Y＜10000</w:t>
            </w:r>
          </w:p>
        </w:tc>
        <w:tc>
          <w:tcPr>
            <w:tcW w:w="1692" w:type="dxa"/>
            <w:tcBorders>
              <w:top w:val="nil"/>
              <w:left w:val="nil"/>
              <w:bottom w:val="single" w:color="auto" w:sz="4" w:space="0"/>
              <w:right w:val="single" w:color="auto" w:sz="4" w:space="0"/>
            </w:tcBorders>
            <w:noWrap/>
            <w:vAlign w:val="center"/>
          </w:tcPr>
          <w:p w14:paraId="222C507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50≤Y＜1000</w:t>
            </w:r>
          </w:p>
        </w:tc>
        <w:tc>
          <w:tcPr>
            <w:tcW w:w="1087" w:type="dxa"/>
            <w:tcBorders>
              <w:top w:val="nil"/>
              <w:left w:val="nil"/>
              <w:bottom w:val="single" w:color="auto" w:sz="4" w:space="0"/>
              <w:right w:val="single" w:color="auto" w:sz="4" w:space="0"/>
            </w:tcBorders>
            <w:noWrap/>
            <w:vAlign w:val="center"/>
          </w:tcPr>
          <w:p w14:paraId="53B2AC1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Y＜50</w:t>
            </w:r>
          </w:p>
        </w:tc>
      </w:tr>
      <w:tr w14:paraId="6D16BA7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59CC6F05">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房地产开发经营</w:t>
            </w:r>
          </w:p>
        </w:tc>
        <w:tc>
          <w:tcPr>
            <w:tcW w:w="1660" w:type="dxa"/>
            <w:tcBorders>
              <w:top w:val="nil"/>
              <w:left w:val="nil"/>
              <w:bottom w:val="single" w:color="auto" w:sz="4" w:space="0"/>
              <w:right w:val="single" w:color="auto" w:sz="4" w:space="0"/>
            </w:tcBorders>
            <w:noWrap/>
            <w:vAlign w:val="center"/>
          </w:tcPr>
          <w:p w14:paraId="145B717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1B8BDB6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227F58BD">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1000≤Y＜200000</w:t>
            </w:r>
          </w:p>
        </w:tc>
        <w:tc>
          <w:tcPr>
            <w:tcW w:w="1692" w:type="dxa"/>
            <w:tcBorders>
              <w:top w:val="nil"/>
              <w:left w:val="nil"/>
              <w:bottom w:val="single" w:color="auto" w:sz="4" w:space="0"/>
              <w:right w:val="single" w:color="auto" w:sz="4" w:space="0"/>
            </w:tcBorders>
            <w:noWrap/>
            <w:vAlign w:val="center"/>
          </w:tcPr>
          <w:p w14:paraId="302D0C9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100≤X＜1000</w:t>
            </w:r>
          </w:p>
        </w:tc>
        <w:tc>
          <w:tcPr>
            <w:tcW w:w="1087" w:type="dxa"/>
            <w:tcBorders>
              <w:top w:val="nil"/>
              <w:left w:val="nil"/>
              <w:bottom w:val="single" w:color="auto" w:sz="4" w:space="0"/>
              <w:right w:val="single" w:color="auto" w:sz="4" w:space="0"/>
            </w:tcBorders>
            <w:noWrap/>
            <w:vAlign w:val="center"/>
          </w:tcPr>
          <w:p w14:paraId="15EC24DF">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X＜100</w:t>
            </w:r>
          </w:p>
        </w:tc>
      </w:tr>
      <w:tr w14:paraId="312A3FC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06A9AF87">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55F4926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资产总额（Z）</w:t>
            </w:r>
          </w:p>
        </w:tc>
        <w:tc>
          <w:tcPr>
            <w:tcW w:w="1466" w:type="dxa"/>
            <w:tcBorders>
              <w:top w:val="nil"/>
              <w:left w:val="nil"/>
              <w:bottom w:val="single" w:color="auto" w:sz="4" w:space="0"/>
              <w:right w:val="single" w:color="auto" w:sz="4" w:space="0"/>
            </w:tcBorders>
            <w:noWrap/>
            <w:vAlign w:val="center"/>
          </w:tcPr>
          <w:p w14:paraId="06609B7F">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7B5CB53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5000≤Z＜10000</w:t>
            </w:r>
          </w:p>
        </w:tc>
        <w:tc>
          <w:tcPr>
            <w:tcW w:w="1692" w:type="dxa"/>
            <w:tcBorders>
              <w:top w:val="nil"/>
              <w:left w:val="nil"/>
              <w:bottom w:val="single" w:color="auto" w:sz="4" w:space="0"/>
              <w:right w:val="single" w:color="auto" w:sz="4" w:space="0"/>
            </w:tcBorders>
            <w:noWrap/>
            <w:vAlign w:val="center"/>
          </w:tcPr>
          <w:p w14:paraId="5016A7A1">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2000≤Y＜5000</w:t>
            </w:r>
          </w:p>
        </w:tc>
        <w:tc>
          <w:tcPr>
            <w:tcW w:w="1087" w:type="dxa"/>
            <w:tcBorders>
              <w:top w:val="nil"/>
              <w:left w:val="nil"/>
              <w:bottom w:val="single" w:color="auto" w:sz="4" w:space="0"/>
              <w:right w:val="single" w:color="auto" w:sz="4" w:space="0"/>
            </w:tcBorders>
            <w:noWrap/>
            <w:vAlign w:val="center"/>
          </w:tcPr>
          <w:p w14:paraId="7A9207D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Y＜2000</w:t>
            </w:r>
          </w:p>
        </w:tc>
      </w:tr>
      <w:tr w14:paraId="22D48865">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372DA7A8">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物业管理</w:t>
            </w:r>
          </w:p>
        </w:tc>
        <w:tc>
          <w:tcPr>
            <w:tcW w:w="1660" w:type="dxa"/>
            <w:tcBorders>
              <w:top w:val="nil"/>
              <w:left w:val="nil"/>
              <w:bottom w:val="single" w:color="auto" w:sz="4" w:space="0"/>
              <w:right w:val="single" w:color="auto" w:sz="4" w:space="0"/>
            </w:tcBorders>
            <w:noWrap/>
            <w:vAlign w:val="center"/>
          </w:tcPr>
          <w:p w14:paraId="372AEA7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282E863B">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43F3EC0F">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300≤X＜1000</w:t>
            </w:r>
          </w:p>
        </w:tc>
        <w:tc>
          <w:tcPr>
            <w:tcW w:w="1692" w:type="dxa"/>
            <w:tcBorders>
              <w:top w:val="nil"/>
              <w:left w:val="nil"/>
              <w:bottom w:val="single" w:color="auto" w:sz="4" w:space="0"/>
              <w:right w:val="single" w:color="auto" w:sz="4" w:space="0"/>
            </w:tcBorders>
            <w:noWrap/>
            <w:vAlign w:val="center"/>
          </w:tcPr>
          <w:p w14:paraId="4B3DB30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087" w:type="dxa"/>
            <w:tcBorders>
              <w:top w:val="nil"/>
              <w:left w:val="nil"/>
              <w:bottom w:val="single" w:color="auto" w:sz="4" w:space="0"/>
              <w:right w:val="single" w:color="auto" w:sz="4" w:space="0"/>
            </w:tcBorders>
            <w:noWrap/>
            <w:vAlign w:val="center"/>
          </w:tcPr>
          <w:p w14:paraId="676AC87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X＜100</w:t>
            </w:r>
          </w:p>
        </w:tc>
      </w:tr>
      <w:tr w14:paraId="626B8A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5ABC4700">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3101D31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营业收入（Y）</w:t>
            </w:r>
          </w:p>
        </w:tc>
        <w:tc>
          <w:tcPr>
            <w:tcW w:w="1466" w:type="dxa"/>
            <w:tcBorders>
              <w:top w:val="nil"/>
              <w:left w:val="nil"/>
              <w:bottom w:val="single" w:color="auto" w:sz="4" w:space="0"/>
              <w:right w:val="single" w:color="auto" w:sz="4" w:space="0"/>
            </w:tcBorders>
            <w:noWrap/>
            <w:vAlign w:val="center"/>
          </w:tcPr>
          <w:p w14:paraId="31688C7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781F3C6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1000≤Y＜5000</w:t>
            </w:r>
          </w:p>
        </w:tc>
        <w:tc>
          <w:tcPr>
            <w:tcW w:w="1692" w:type="dxa"/>
            <w:tcBorders>
              <w:top w:val="nil"/>
              <w:left w:val="nil"/>
              <w:bottom w:val="single" w:color="auto" w:sz="4" w:space="0"/>
              <w:right w:val="single" w:color="auto" w:sz="4" w:space="0"/>
            </w:tcBorders>
            <w:noWrap/>
            <w:vAlign w:val="center"/>
          </w:tcPr>
          <w:p w14:paraId="10440CDF">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500≤Y＜1000</w:t>
            </w:r>
          </w:p>
        </w:tc>
        <w:tc>
          <w:tcPr>
            <w:tcW w:w="1087" w:type="dxa"/>
            <w:tcBorders>
              <w:top w:val="nil"/>
              <w:left w:val="nil"/>
              <w:bottom w:val="single" w:color="auto" w:sz="4" w:space="0"/>
              <w:right w:val="single" w:color="auto" w:sz="4" w:space="0"/>
            </w:tcBorders>
            <w:noWrap/>
            <w:vAlign w:val="center"/>
          </w:tcPr>
          <w:p w14:paraId="49B9BE40">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Y＜500</w:t>
            </w:r>
          </w:p>
        </w:tc>
      </w:tr>
      <w:tr w14:paraId="2BE1EA3A">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ign w:val="center"/>
          </w:tcPr>
          <w:p w14:paraId="1D3D77DC">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租赁和商务服务业</w:t>
            </w:r>
          </w:p>
        </w:tc>
        <w:tc>
          <w:tcPr>
            <w:tcW w:w="1660" w:type="dxa"/>
            <w:tcBorders>
              <w:top w:val="nil"/>
              <w:left w:val="nil"/>
              <w:bottom w:val="single" w:color="auto" w:sz="4" w:space="0"/>
              <w:right w:val="single" w:color="auto" w:sz="4" w:space="0"/>
            </w:tcBorders>
            <w:noWrap/>
            <w:vAlign w:val="center"/>
          </w:tcPr>
          <w:p w14:paraId="647C32F2">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1C633248">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3B3EDBEC">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ign w:val="center"/>
          </w:tcPr>
          <w:p w14:paraId="06C8893F">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ign w:val="center"/>
          </w:tcPr>
          <w:p w14:paraId="4D23F1F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r w14:paraId="7295D49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ign w:val="center"/>
          </w:tcPr>
          <w:p w14:paraId="3FE1B560">
            <w:pPr>
              <w:snapToGrid w:val="0"/>
              <w:contextualSpacing/>
              <w:jc w:val="center"/>
              <w:rPr>
                <w:rFonts w:ascii="微软雅黑" w:hAnsi="微软雅黑" w:eastAsia="微软雅黑" w:cs="微软雅黑"/>
                <w:b/>
                <w:bCs/>
                <w:color w:val="auto"/>
                <w:kern w:val="0"/>
                <w:sz w:val="24"/>
                <w:highlight w:val="none"/>
              </w:rPr>
            </w:pPr>
          </w:p>
        </w:tc>
        <w:tc>
          <w:tcPr>
            <w:tcW w:w="1660" w:type="dxa"/>
            <w:tcBorders>
              <w:top w:val="nil"/>
              <w:left w:val="nil"/>
              <w:bottom w:val="single" w:color="auto" w:sz="4" w:space="0"/>
              <w:right w:val="single" w:color="auto" w:sz="4" w:space="0"/>
            </w:tcBorders>
            <w:noWrap/>
            <w:vAlign w:val="center"/>
          </w:tcPr>
          <w:p w14:paraId="355D07CB">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资产总额（Z）</w:t>
            </w:r>
          </w:p>
        </w:tc>
        <w:tc>
          <w:tcPr>
            <w:tcW w:w="1466" w:type="dxa"/>
            <w:tcBorders>
              <w:top w:val="nil"/>
              <w:left w:val="nil"/>
              <w:bottom w:val="single" w:color="auto" w:sz="4" w:space="0"/>
              <w:right w:val="single" w:color="auto" w:sz="4" w:space="0"/>
            </w:tcBorders>
            <w:noWrap/>
            <w:vAlign w:val="center"/>
          </w:tcPr>
          <w:p w14:paraId="115F43D2">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万元</w:t>
            </w:r>
          </w:p>
        </w:tc>
        <w:tc>
          <w:tcPr>
            <w:tcW w:w="1903" w:type="dxa"/>
            <w:tcBorders>
              <w:top w:val="nil"/>
              <w:left w:val="nil"/>
              <w:bottom w:val="single" w:color="auto" w:sz="4" w:space="0"/>
              <w:right w:val="single" w:color="auto" w:sz="4" w:space="0"/>
            </w:tcBorders>
            <w:noWrap/>
            <w:vAlign w:val="center"/>
          </w:tcPr>
          <w:p w14:paraId="4A5D9024">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8000≤Z＜120000</w:t>
            </w:r>
          </w:p>
        </w:tc>
        <w:tc>
          <w:tcPr>
            <w:tcW w:w="1692" w:type="dxa"/>
            <w:tcBorders>
              <w:top w:val="nil"/>
              <w:left w:val="nil"/>
              <w:bottom w:val="single" w:color="auto" w:sz="4" w:space="0"/>
              <w:right w:val="single" w:color="auto" w:sz="4" w:space="0"/>
            </w:tcBorders>
            <w:noWrap/>
            <w:vAlign w:val="center"/>
          </w:tcPr>
          <w:p w14:paraId="38217259">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100≤Z＜8000</w:t>
            </w:r>
          </w:p>
        </w:tc>
        <w:tc>
          <w:tcPr>
            <w:tcW w:w="1087" w:type="dxa"/>
            <w:tcBorders>
              <w:top w:val="nil"/>
              <w:left w:val="nil"/>
              <w:bottom w:val="single" w:color="auto" w:sz="4" w:space="0"/>
              <w:right w:val="single" w:color="auto" w:sz="4" w:space="0"/>
            </w:tcBorders>
            <w:noWrap/>
            <w:vAlign w:val="center"/>
          </w:tcPr>
          <w:p w14:paraId="7E9292B9">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Y＜100</w:t>
            </w:r>
          </w:p>
        </w:tc>
      </w:tr>
      <w:tr w14:paraId="75761C1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ign w:val="center"/>
          </w:tcPr>
          <w:p w14:paraId="5F831C14">
            <w:pPr>
              <w:snapToGrid w:val="0"/>
              <w:contextualSpacing/>
              <w:jc w:val="center"/>
              <w:rPr>
                <w:rFonts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其他未列明行业</w:t>
            </w:r>
          </w:p>
        </w:tc>
        <w:tc>
          <w:tcPr>
            <w:tcW w:w="1660" w:type="dxa"/>
            <w:tcBorders>
              <w:top w:val="nil"/>
              <w:left w:val="nil"/>
              <w:bottom w:val="single" w:color="auto" w:sz="4" w:space="0"/>
              <w:right w:val="single" w:color="auto" w:sz="4" w:space="0"/>
            </w:tcBorders>
            <w:noWrap/>
            <w:vAlign w:val="center"/>
          </w:tcPr>
          <w:p w14:paraId="26753507">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从业人员（X）</w:t>
            </w:r>
          </w:p>
        </w:tc>
        <w:tc>
          <w:tcPr>
            <w:tcW w:w="1466" w:type="dxa"/>
            <w:tcBorders>
              <w:top w:val="nil"/>
              <w:left w:val="nil"/>
              <w:bottom w:val="single" w:color="auto" w:sz="4" w:space="0"/>
              <w:right w:val="single" w:color="auto" w:sz="4" w:space="0"/>
            </w:tcBorders>
            <w:noWrap/>
            <w:vAlign w:val="center"/>
          </w:tcPr>
          <w:p w14:paraId="7555312D">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人</w:t>
            </w:r>
          </w:p>
        </w:tc>
        <w:tc>
          <w:tcPr>
            <w:tcW w:w="1903" w:type="dxa"/>
            <w:tcBorders>
              <w:top w:val="nil"/>
              <w:left w:val="nil"/>
              <w:bottom w:val="single" w:color="auto" w:sz="4" w:space="0"/>
              <w:right w:val="single" w:color="auto" w:sz="4" w:space="0"/>
            </w:tcBorders>
            <w:noWrap/>
            <w:vAlign w:val="center"/>
          </w:tcPr>
          <w:p w14:paraId="534F5E66">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100≤X＜300</w:t>
            </w:r>
          </w:p>
        </w:tc>
        <w:tc>
          <w:tcPr>
            <w:tcW w:w="1692" w:type="dxa"/>
            <w:tcBorders>
              <w:top w:val="nil"/>
              <w:left w:val="nil"/>
              <w:bottom w:val="single" w:color="auto" w:sz="4" w:space="0"/>
              <w:right w:val="single" w:color="auto" w:sz="4" w:space="0"/>
            </w:tcBorders>
            <w:noWrap/>
            <w:vAlign w:val="center"/>
          </w:tcPr>
          <w:p w14:paraId="3BF882CE">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10≤X＜100</w:t>
            </w:r>
          </w:p>
        </w:tc>
        <w:tc>
          <w:tcPr>
            <w:tcW w:w="1087" w:type="dxa"/>
            <w:tcBorders>
              <w:top w:val="nil"/>
              <w:left w:val="nil"/>
              <w:bottom w:val="single" w:color="auto" w:sz="4" w:space="0"/>
              <w:right w:val="single" w:color="auto" w:sz="4" w:space="0"/>
            </w:tcBorders>
            <w:noWrap/>
            <w:vAlign w:val="center"/>
          </w:tcPr>
          <w:p w14:paraId="45D93B35">
            <w:pPr>
              <w:snapToGrid w:val="0"/>
              <w:contextualSpacing/>
              <w:jc w:val="center"/>
              <w:rPr>
                <w:rFonts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X＜10</w:t>
            </w:r>
          </w:p>
        </w:tc>
      </w:tr>
    </w:tbl>
    <w:p w14:paraId="00CE938F">
      <w:pPr>
        <w:spacing w:line="46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b/>
          <w:bCs/>
          <w:color w:val="auto"/>
          <w:kern w:val="0"/>
          <w:sz w:val="24"/>
          <w:highlight w:val="none"/>
          <w:shd w:val="clear" w:color="auto" w:fill="FFFFFF"/>
        </w:rPr>
        <w:t>说明：</w:t>
      </w:r>
      <w:r>
        <w:rPr>
          <w:rFonts w:hint="eastAsia" w:ascii="微软雅黑" w:hAnsi="微软雅黑" w:eastAsia="微软雅黑" w:cs="微软雅黑"/>
          <w:color w:val="auto"/>
          <w:kern w:val="0"/>
          <w:sz w:val="24"/>
          <w:highlight w:val="none"/>
          <w:shd w:val="clear" w:color="auto" w:fill="FFFFFF"/>
        </w:rPr>
        <w:t>上述标准参照《关于印发中小企业划型标准规定的通知》（工信部联企业[2011]300号），大型、中型和小型企业须同时满足所列指标的下限，否则下划一档；微型企业只须满足所列指标中的一项即可。</w:t>
      </w:r>
    </w:p>
    <w:p w14:paraId="560569E2">
      <w:pPr>
        <w:spacing w:line="46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本招标文件所称中小企业，是指在中华人民共和国境内依法设立，依据国务院批准的</w:t>
      </w:r>
    </w:p>
    <w:p w14:paraId="55AB6C79">
      <w:pPr>
        <w:spacing w:line="46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6D311E3">
      <w:pPr>
        <w:spacing w:line="46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（1）在货物采购项目中，货物由中小企业制造，即货物由中小企业生产且使用该中小企业商号或者注册商标，不对其中涉及的工程承建商和服务的承接商作出要求；</w:t>
      </w:r>
    </w:p>
    <w:p w14:paraId="16B9A4CB">
      <w:pPr>
        <w:spacing w:line="46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（2）在工程采购项目中，工程由中小企业承建，即工程施工单位为中小企业，不对其中涉及的货物的制造商和服务的承接商作出要求；</w:t>
      </w:r>
    </w:p>
    <w:p w14:paraId="78534C49">
      <w:pPr>
        <w:spacing w:line="46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（3）在服务采购项目中，服务由中小企业承接，即提供服务的人员为中小企业依照《中华人民共和国劳动合同法》订立劳动合同的从业人员，不对其中涉及的货物的制造商和工程承建商作出要求。</w:t>
      </w:r>
    </w:p>
    <w:p w14:paraId="3F23C699">
      <w:pPr>
        <w:spacing w:line="46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53069A45">
      <w:pPr>
        <w:spacing w:line="460" w:lineRule="exact"/>
        <w:ind w:firstLine="480" w:firstLineChars="200"/>
        <w:jc w:val="left"/>
        <w:textAlignment w:val="auto"/>
        <w:rPr>
          <w:rFonts w:ascii="微软雅黑" w:hAnsi="微软雅黑" w:eastAsia="微软雅黑" w:cs="微软雅黑"/>
          <w:color w:val="auto"/>
          <w:kern w:val="0"/>
          <w:sz w:val="24"/>
          <w:highlight w:val="none"/>
          <w:shd w:val="clear" w:color="auto" w:fill="FFFFFF"/>
        </w:rPr>
      </w:pPr>
      <w:r>
        <w:rPr>
          <w:rFonts w:hint="eastAsia" w:ascii="微软雅黑" w:hAnsi="微软雅黑" w:eastAsia="微软雅黑" w:cs="微软雅黑"/>
          <w:color w:val="auto"/>
          <w:kern w:val="0"/>
          <w:sz w:val="24"/>
          <w:highlight w:val="none"/>
          <w:shd w:val="clear" w:color="auto" w:fill="FFFFFF"/>
        </w:rPr>
        <w:t>依据本招标文件规定享受扶持政策获得政府采购合同的，小微企业不得将合同分包给大中型企业，中型企业不得将合同分包给大型企业。</w:t>
      </w:r>
    </w:p>
    <w:p w14:paraId="7EE374C7">
      <w:pPr>
        <w:rPr>
          <w:color w:val="auto"/>
          <w:highlight w:val="none"/>
        </w:rPr>
      </w:pPr>
    </w:p>
    <w:p w14:paraId="69D51F96">
      <w:pPr>
        <w:rPr>
          <w:color w:val="auto"/>
          <w:highlight w:val="none"/>
        </w:rPr>
      </w:pPr>
      <w:r>
        <w:rPr>
          <w:color w:val="auto"/>
          <w:highlight w:val="none"/>
        </w:rPr>
        <w:br w:type="page"/>
      </w:r>
    </w:p>
    <w:p w14:paraId="3C93951A">
      <w:pPr>
        <w:pStyle w:val="26"/>
        <w:rPr>
          <w:color w:val="auto"/>
          <w:highlight w:val="none"/>
        </w:rPr>
      </w:pPr>
    </w:p>
    <w:p w14:paraId="475BD08A">
      <w:pPr>
        <w:pStyle w:val="5"/>
        <w:spacing w:before="0" w:after="0" w:line="288" w:lineRule="auto"/>
        <w:ind w:left="1079" w:leftChars="257" w:hanging="539"/>
        <w:jc w:val="center"/>
        <w:rPr>
          <w:rFonts w:hint="eastAsia" w:ascii="仿宋_GB2312" w:hAnsi="仿宋_GB2312" w:eastAsia="仿宋_GB2312" w:cs="仿宋_GB2312"/>
          <w:color w:val="auto"/>
          <w:highlight w:val="none"/>
          <w:u w:val="none"/>
        </w:rPr>
      </w:pPr>
      <w:bookmarkStart w:id="854" w:name="_Toc1817"/>
      <w:r>
        <w:rPr>
          <w:rFonts w:hint="eastAsia" w:ascii="仿宋_GB2312" w:hAnsi="仿宋_GB2312" w:eastAsia="仿宋_GB2312" w:cs="仿宋_GB2312"/>
          <w:color w:val="auto"/>
          <w:highlight w:val="none"/>
          <w:u w:val="none"/>
          <w:lang w:val="en-US" w:eastAsia="zh-CN"/>
        </w:rPr>
        <w:t>5</w:t>
      </w:r>
      <w:r>
        <w:rPr>
          <w:rFonts w:hint="eastAsia" w:ascii="仿宋_GB2312" w:hAnsi="仿宋_GB2312" w:eastAsia="仿宋_GB2312" w:cs="仿宋_GB2312"/>
          <w:color w:val="auto"/>
          <w:highlight w:val="none"/>
          <w:u w:val="none"/>
        </w:rPr>
        <w:t>-2 残疾人福利性单位声明函</w:t>
      </w:r>
      <w:bookmarkEnd w:id="854"/>
    </w:p>
    <w:p w14:paraId="4170E401">
      <w:pPr>
        <w:widowControl w:val="0"/>
        <w:spacing w:afterLines="25" w:line="30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本投标人郑重声明，根据《财政部民政部中国残疾人联合会关于促进残疾人就业政府采购政策的通知》（财库〔2017〕141 号）的规定，本投标人参加（采购人名称）的（项目名称）采购活动，提供的货物全部由符合政策要求的残疾人福利性单位制造。相关残疾人福利性单位的具体情况如下：</w:t>
      </w:r>
    </w:p>
    <w:p w14:paraId="3FFEA7CF">
      <w:pPr>
        <w:widowControl w:val="0"/>
        <w:spacing w:afterLines="25" w:line="30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（标的名称），制造商为（单位名称），属于残疾人福利性单位；</w:t>
      </w:r>
    </w:p>
    <w:p w14:paraId="41FF4088">
      <w:pPr>
        <w:widowControl w:val="0"/>
        <w:spacing w:afterLines="25" w:line="30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（标的名称），制造商为（单位名称），属于残疾人福利性单位。</w:t>
      </w:r>
    </w:p>
    <w:p w14:paraId="5BFD8357">
      <w:pPr>
        <w:widowControl w:val="0"/>
        <w:spacing w:afterLines="25" w:line="300" w:lineRule="auto"/>
        <w:ind w:firstLine="480" w:firstLineChars="2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14:paraId="7F93D56C">
      <w:pPr>
        <w:widowControl w:val="0"/>
        <w:spacing w:afterLines="25" w:line="300" w:lineRule="auto"/>
        <w:ind w:firstLine="480" w:firstLineChars="200"/>
        <w:textAlignment w:val="auto"/>
        <w:rPr>
          <w:rFonts w:ascii="仿宋" w:hAnsi="仿宋" w:eastAsia="仿宋" w:cs="仿宋"/>
          <w:color w:val="auto"/>
          <w:kern w:val="0"/>
          <w:sz w:val="24"/>
          <w:highlight w:val="none"/>
        </w:rPr>
      </w:pPr>
      <w:bookmarkStart w:id="855" w:name="_Hlk73562331"/>
      <w:r>
        <w:rPr>
          <w:rFonts w:hint="eastAsia" w:ascii="仿宋" w:hAnsi="仿宋" w:eastAsia="仿宋" w:cs="仿宋"/>
          <w:color w:val="auto"/>
          <w:kern w:val="0"/>
          <w:sz w:val="24"/>
          <w:highlight w:val="none"/>
        </w:rPr>
        <w:t>本投标人已知悉《财政部民政部中国残疾人联合会关于促进残疾人就业政府采购政策的通知》（财库〔2017〕141 号）的规定，承诺提供的声明函内容是真实的，如提供声明函内容不实，则依法追究相关法律责任。</w:t>
      </w:r>
      <w:bookmarkEnd w:id="855"/>
    </w:p>
    <w:p w14:paraId="661D8CDC">
      <w:pPr>
        <w:widowControl w:val="0"/>
        <w:spacing w:afterLines="25" w:line="300" w:lineRule="auto"/>
        <w:jc w:val="right"/>
        <w:textAlignment w:val="auto"/>
        <w:rPr>
          <w:rFonts w:ascii="仿宋" w:hAnsi="仿宋" w:eastAsia="仿宋" w:cs="仿宋"/>
          <w:color w:val="auto"/>
          <w:kern w:val="0"/>
          <w:sz w:val="24"/>
          <w:highlight w:val="none"/>
        </w:rPr>
      </w:pPr>
    </w:p>
    <w:p w14:paraId="786A50A5">
      <w:pPr>
        <w:widowControl w:val="0"/>
        <w:spacing w:afterLines="25" w:line="300" w:lineRule="auto"/>
        <w:ind w:right="420" w:firstLine="5040" w:firstLineChars="2100"/>
        <w:textAlignment w:val="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投标人（投标单位）：</w:t>
      </w:r>
    </w:p>
    <w:p w14:paraId="3F844FCF">
      <w:pPr>
        <w:widowControl w:val="0"/>
        <w:spacing w:afterLines="25" w:line="300" w:lineRule="auto"/>
        <w:ind w:right="420" w:firstLine="6600" w:firstLineChars="2750"/>
        <w:textAlignment w:val="auto"/>
        <w:rPr>
          <w:rFonts w:ascii="宋体" w:hAnsi="宋体" w:cs="Times New Roman"/>
          <w:bCs/>
          <w:color w:val="auto"/>
          <w:kern w:val="0"/>
          <w:sz w:val="24"/>
          <w:szCs w:val="21"/>
          <w:highlight w:val="none"/>
        </w:rPr>
      </w:pPr>
      <w:r>
        <w:rPr>
          <w:rFonts w:hint="eastAsia" w:ascii="仿宋" w:hAnsi="仿宋" w:eastAsia="仿宋" w:cs="仿宋"/>
          <w:color w:val="auto"/>
          <w:kern w:val="0"/>
          <w:sz w:val="24"/>
          <w:highlight w:val="none"/>
        </w:rPr>
        <w:t>日期：</w:t>
      </w:r>
    </w:p>
    <w:p w14:paraId="1BDA970B">
      <w:pPr>
        <w:snapToGrid w:val="0"/>
        <w:rPr>
          <w:rFonts w:ascii="仿宋" w:hAnsi="仿宋" w:eastAsia="仿宋" w:cs="仿宋"/>
          <w:color w:val="auto"/>
          <w:sz w:val="20"/>
          <w:highlight w:val="none"/>
        </w:rPr>
      </w:pPr>
    </w:p>
    <w:p w14:paraId="4C178B1A">
      <w:pPr>
        <w:pStyle w:val="11"/>
        <w:ind w:firstLine="400"/>
        <w:rPr>
          <w:rFonts w:ascii="仿宋" w:hAnsi="仿宋" w:eastAsia="仿宋" w:cs="仿宋"/>
          <w:color w:val="auto"/>
          <w:sz w:val="20"/>
          <w:highlight w:val="none"/>
        </w:rPr>
      </w:pPr>
    </w:p>
    <w:p w14:paraId="74820882">
      <w:pPr>
        <w:rPr>
          <w:color w:val="auto"/>
          <w:highlight w:val="none"/>
        </w:rPr>
      </w:pPr>
    </w:p>
    <w:p w14:paraId="7946BD48">
      <w:pPr>
        <w:rPr>
          <w:color w:val="auto"/>
          <w:highlight w:val="none"/>
        </w:rPr>
      </w:pPr>
    </w:p>
    <w:p w14:paraId="25ED8427">
      <w:pPr>
        <w:pStyle w:val="5"/>
        <w:spacing w:before="0" w:after="0" w:line="288" w:lineRule="auto"/>
        <w:ind w:left="1079" w:leftChars="257" w:hanging="539"/>
        <w:jc w:val="center"/>
        <w:rPr>
          <w:rFonts w:hint="eastAsia" w:ascii="仿宋_GB2312" w:hAnsi="仿宋_GB2312" w:eastAsia="仿宋_GB2312" w:cs="仿宋_GB2312"/>
          <w:color w:val="auto"/>
          <w:highlight w:val="none"/>
          <w:u w:val="none"/>
        </w:rPr>
      </w:pPr>
      <w:bookmarkStart w:id="856" w:name="_Toc2813"/>
      <w:bookmarkStart w:id="857" w:name="_Toc28310"/>
      <w:bookmarkStart w:id="858" w:name="_Toc13378"/>
      <w:bookmarkStart w:id="859" w:name="_Toc7440"/>
      <w:bookmarkStart w:id="860" w:name="_Toc17181"/>
      <w:bookmarkStart w:id="861" w:name="_Toc16783"/>
      <w:bookmarkStart w:id="862" w:name="_Toc19006"/>
      <w:bookmarkStart w:id="863" w:name="_Toc8498"/>
      <w:bookmarkStart w:id="864" w:name="_Toc9078"/>
      <w:bookmarkStart w:id="865" w:name="_Toc19677"/>
      <w:bookmarkStart w:id="866" w:name="_Toc11271"/>
      <w:bookmarkStart w:id="867" w:name="_Toc27063"/>
      <w:r>
        <w:rPr>
          <w:rFonts w:hint="eastAsia" w:ascii="仿宋_GB2312" w:hAnsi="仿宋_GB2312" w:eastAsia="仿宋_GB2312" w:cs="仿宋_GB2312"/>
          <w:color w:val="auto"/>
          <w:highlight w:val="none"/>
          <w:u w:val="none"/>
          <w:lang w:val="en-US" w:eastAsia="zh-CN"/>
        </w:rPr>
        <w:t>5</w:t>
      </w:r>
      <w:r>
        <w:rPr>
          <w:rFonts w:hint="eastAsia" w:ascii="仿宋_GB2312" w:hAnsi="仿宋_GB2312" w:eastAsia="仿宋_GB2312" w:cs="仿宋_GB2312"/>
          <w:color w:val="auto"/>
          <w:highlight w:val="none"/>
          <w:u w:val="none"/>
        </w:rPr>
        <w:t xml:space="preserve">-3 </w:t>
      </w:r>
      <w:bookmarkEnd w:id="856"/>
      <w:bookmarkEnd w:id="857"/>
      <w:bookmarkEnd w:id="858"/>
      <w:bookmarkEnd w:id="859"/>
      <w:bookmarkEnd w:id="860"/>
      <w:bookmarkEnd w:id="861"/>
      <w:bookmarkEnd w:id="862"/>
      <w:r>
        <w:rPr>
          <w:rFonts w:hint="eastAsia" w:ascii="仿宋_GB2312" w:hAnsi="仿宋_GB2312" w:eastAsia="仿宋_GB2312" w:cs="仿宋_GB2312"/>
          <w:color w:val="auto"/>
          <w:highlight w:val="none"/>
          <w:u w:val="none"/>
        </w:rPr>
        <w:t>监狱企业</w:t>
      </w:r>
      <w:bookmarkEnd w:id="863"/>
      <w:r>
        <w:rPr>
          <w:rFonts w:hint="eastAsia" w:ascii="仿宋_GB2312" w:hAnsi="仿宋_GB2312" w:eastAsia="仿宋_GB2312" w:cs="仿宋_GB2312"/>
          <w:color w:val="auto"/>
          <w:highlight w:val="none"/>
          <w:u w:val="none"/>
        </w:rPr>
        <w:t>声明函</w:t>
      </w:r>
      <w:bookmarkEnd w:id="864"/>
      <w:bookmarkEnd w:id="865"/>
      <w:bookmarkEnd w:id="866"/>
      <w:bookmarkEnd w:id="867"/>
    </w:p>
    <w:p w14:paraId="7A984381">
      <w:pPr>
        <w:pStyle w:val="23"/>
        <w:spacing w:before="75" w:beforeAutospacing="0" w:after="75" w:afterAutospacing="0" w:line="420"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rPr>
        <w:t>本公司郑重声明，根据《关于政府采购支持监狱企业发展有关问题的通知》（财库[2014]68号）的规定，本公司为监狱企业。</w:t>
      </w:r>
    </w:p>
    <w:p w14:paraId="2999E12B">
      <w:pPr>
        <w:pStyle w:val="23"/>
        <w:spacing w:before="75" w:beforeAutospacing="0" w:after="75" w:afterAutospacing="0" w:line="420" w:lineRule="atLeast"/>
        <w:rPr>
          <w:rFonts w:ascii="仿宋" w:hAnsi="仿宋" w:eastAsia="仿宋" w:cs="仿宋"/>
          <w:color w:val="auto"/>
          <w:highlight w:val="none"/>
        </w:rPr>
      </w:pPr>
      <w:r>
        <w:rPr>
          <w:rFonts w:hint="eastAsia" w:ascii="仿宋" w:hAnsi="仿宋" w:eastAsia="仿宋" w:cs="仿宋"/>
          <w:color w:val="auto"/>
          <w:highlight w:val="none"/>
        </w:rPr>
        <w:t>本公司参加______单位的______项目采购活动，采购活动提供本企业（填写制造的货物，由本企业承担工程、提供服务）。</w:t>
      </w:r>
    </w:p>
    <w:p w14:paraId="4719307F">
      <w:pPr>
        <w:pStyle w:val="23"/>
        <w:spacing w:before="75" w:beforeAutospacing="0" w:after="75" w:afterAutospacing="0" w:line="420" w:lineRule="atLeast"/>
        <w:rPr>
          <w:rFonts w:ascii="仿宋" w:hAnsi="仿宋" w:eastAsia="仿宋" w:cs="仿宋"/>
          <w:color w:val="auto"/>
          <w:highlight w:val="none"/>
        </w:rPr>
      </w:pPr>
      <w:r>
        <w:rPr>
          <w:rFonts w:hint="eastAsia" w:ascii="仿宋" w:hAnsi="仿宋" w:eastAsia="仿宋" w:cs="仿宋"/>
          <w:color w:val="auto"/>
          <w:highlight w:val="none"/>
        </w:rPr>
        <w:t>本条所称货物不包括使用大型企业注册商标的货物和服务。</w:t>
      </w:r>
    </w:p>
    <w:p w14:paraId="62F26D32">
      <w:pPr>
        <w:pStyle w:val="23"/>
        <w:spacing w:before="75" w:beforeAutospacing="0" w:after="75" w:afterAutospacing="0" w:line="420" w:lineRule="atLeast"/>
        <w:rPr>
          <w:rFonts w:ascii="仿宋" w:hAnsi="仿宋" w:eastAsia="仿宋" w:cs="仿宋"/>
          <w:color w:val="auto"/>
          <w:highlight w:val="none"/>
        </w:rPr>
      </w:pPr>
      <w:r>
        <w:rPr>
          <w:rFonts w:hint="eastAsia" w:ascii="仿宋" w:hAnsi="仿宋" w:eastAsia="仿宋" w:cs="仿宋"/>
          <w:color w:val="auto"/>
          <w:highlight w:val="none"/>
        </w:rPr>
        <w:t>本公司对上述声明的真实性负责。如有虚假，将依法承担相应责任。</w:t>
      </w:r>
    </w:p>
    <w:p w14:paraId="19A901BD">
      <w:pPr>
        <w:pStyle w:val="23"/>
        <w:spacing w:before="75" w:beforeAutospacing="0" w:after="75" w:afterAutospacing="0" w:line="420" w:lineRule="atLeast"/>
        <w:rPr>
          <w:rFonts w:ascii="仿宋" w:hAnsi="仿宋" w:eastAsia="仿宋" w:cs="仿宋"/>
          <w:color w:val="auto"/>
          <w:highlight w:val="none"/>
        </w:rPr>
      </w:pPr>
    </w:p>
    <w:p w14:paraId="799CA342">
      <w:pPr>
        <w:pStyle w:val="23"/>
        <w:spacing w:before="75" w:beforeAutospacing="0" w:after="75" w:afterAutospacing="0" w:line="420" w:lineRule="atLeast"/>
        <w:rPr>
          <w:rFonts w:ascii="仿宋" w:hAnsi="仿宋" w:eastAsia="仿宋" w:cs="仿宋"/>
          <w:color w:val="auto"/>
          <w:highlight w:val="none"/>
        </w:rPr>
      </w:pPr>
      <w:r>
        <w:rPr>
          <w:rFonts w:hint="eastAsia" w:ascii="仿宋" w:hAnsi="仿宋" w:eastAsia="仿宋" w:cs="仿宋"/>
          <w:color w:val="auto"/>
          <w:highlight w:val="none"/>
        </w:rPr>
        <w:t>企业名称（加盖公章）：</w:t>
      </w:r>
    </w:p>
    <w:p w14:paraId="260EB2F7">
      <w:pPr>
        <w:pStyle w:val="23"/>
        <w:spacing w:before="75" w:beforeAutospacing="0" w:after="75" w:afterAutospacing="0" w:line="420" w:lineRule="atLeast"/>
        <w:rPr>
          <w:rFonts w:ascii="仿宋" w:hAnsi="仿宋" w:eastAsia="仿宋" w:cs="仿宋"/>
          <w:color w:val="auto"/>
          <w:highlight w:val="none"/>
        </w:rPr>
      </w:pPr>
      <w:r>
        <w:rPr>
          <w:rFonts w:hint="eastAsia" w:ascii="仿宋" w:hAnsi="仿宋" w:eastAsia="仿宋" w:cs="仿宋"/>
          <w:color w:val="auto"/>
          <w:highlight w:val="none"/>
        </w:rPr>
        <w:t>法定代表人（负责人）或其授权代表(签字</w:t>
      </w:r>
      <w:r>
        <w:rPr>
          <w:rFonts w:hint="eastAsia" w:ascii="仿宋" w:hAnsi="仿宋" w:eastAsia="仿宋" w:cs="仿宋"/>
          <w:color w:val="auto"/>
          <w:highlight w:val="none"/>
          <w:lang w:eastAsia="zh-CN"/>
        </w:rPr>
        <w:t>或章</w:t>
      </w:r>
      <w:r>
        <w:rPr>
          <w:rFonts w:hint="eastAsia" w:ascii="仿宋" w:hAnsi="仿宋" w:eastAsia="仿宋" w:cs="仿宋"/>
          <w:color w:val="auto"/>
          <w:highlight w:val="none"/>
        </w:rPr>
        <w:t>)：</w:t>
      </w:r>
    </w:p>
    <w:p w14:paraId="3A9C3CE6">
      <w:pPr>
        <w:pStyle w:val="23"/>
        <w:spacing w:before="75" w:beforeAutospacing="0" w:after="75" w:afterAutospacing="0" w:line="420" w:lineRule="atLeast"/>
        <w:rPr>
          <w:rFonts w:ascii="仿宋" w:hAnsi="仿宋" w:eastAsia="仿宋" w:cs="仿宋"/>
          <w:color w:val="auto"/>
          <w:highlight w:val="none"/>
        </w:rPr>
      </w:pPr>
      <w:r>
        <w:rPr>
          <w:rFonts w:hint="eastAsia" w:ascii="仿宋" w:hAnsi="仿宋" w:eastAsia="仿宋" w:cs="仿宋"/>
          <w:color w:val="auto"/>
          <w:highlight w:val="none"/>
        </w:rPr>
        <w:t>日期：</w:t>
      </w:r>
    </w:p>
    <w:p w14:paraId="3E1932A2">
      <w:pPr>
        <w:pStyle w:val="23"/>
        <w:spacing w:before="75" w:beforeAutospacing="0" w:after="75" w:afterAutospacing="0" w:line="420" w:lineRule="atLeast"/>
        <w:rPr>
          <w:rFonts w:ascii="仿宋" w:hAnsi="仿宋" w:eastAsia="仿宋" w:cs="仿宋"/>
          <w:color w:val="auto"/>
          <w:highlight w:val="none"/>
        </w:rPr>
      </w:pPr>
    </w:p>
    <w:p w14:paraId="5D73B226">
      <w:pPr>
        <w:rPr>
          <w:color w:val="auto"/>
          <w:highlight w:val="none"/>
        </w:rPr>
      </w:pPr>
      <w:bookmarkStart w:id="868" w:name="_Toc22178"/>
    </w:p>
    <w:p w14:paraId="2B07028D">
      <w:pPr>
        <w:pStyle w:val="5"/>
        <w:spacing w:before="0" w:after="0" w:line="288" w:lineRule="auto"/>
        <w:ind w:left="1079" w:leftChars="257" w:hanging="539"/>
        <w:jc w:val="center"/>
        <w:rPr>
          <w:rFonts w:hint="eastAsia" w:ascii="仿宋_GB2312" w:hAnsi="仿宋_GB2312" w:eastAsia="仿宋_GB2312" w:cs="仿宋_GB2312"/>
          <w:color w:val="auto"/>
          <w:highlight w:val="none"/>
          <w:u w:val="none"/>
        </w:rPr>
      </w:pPr>
      <w:bookmarkStart w:id="869" w:name="_Toc11090"/>
      <w:r>
        <w:rPr>
          <w:rFonts w:hint="eastAsia" w:ascii="仿宋_GB2312" w:hAnsi="仿宋_GB2312" w:eastAsia="仿宋_GB2312" w:cs="仿宋_GB2312"/>
          <w:color w:val="auto"/>
          <w:highlight w:val="none"/>
          <w:u w:val="none"/>
          <w:lang w:val="en-US" w:eastAsia="zh-CN"/>
        </w:rPr>
        <w:t>6</w:t>
      </w:r>
      <w:r>
        <w:rPr>
          <w:rFonts w:hint="eastAsia" w:ascii="仿宋_GB2312" w:hAnsi="仿宋_GB2312" w:eastAsia="仿宋_GB2312" w:cs="仿宋_GB2312"/>
          <w:color w:val="auto"/>
          <w:highlight w:val="none"/>
          <w:u w:val="none"/>
        </w:rPr>
        <w:t xml:space="preserve"> 投标文件还应包括第五章、综合评分表的所有技术文件</w:t>
      </w:r>
      <w:bookmarkEnd w:id="848"/>
      <w:bookmarkEnd w:id="868"/>
      <w:bookmarkEnd w:id="869"/>
    </w:p>
    <w:p w14:paraId="40F31078">
      <w:pPr>
        <w:rPr>
          <w:color w:val="auto"/>
          <w:highlight w:val="none"/>
        </w:rPr>
      </w:pPr>
      <w:bookmarkStart w:id="870" w:name="_Toc30795"/>
      <w:bookmarkStart w:id="871" w:name="_Toc515647827"/>
      <w:bookmarkStart w:id="872" w:name="_Toc10002"/>
      <w:bookmarkStart w:id="873" w:name="_Toc28099"/>
    </w:p>
    <w:p w14:paraId="6549F795">
      <w:pPr>
        <w:pStyle w:val="11"/>
        <w:ind w:left="0" w:leftChars="0" w:firstLine="0" w:firstLineChars="0"/>
        <w:rPr>
          <w:color w:val="auto"/>
          <w:highlight w:val="none"/>
        </w:rPr>
      </w:pPr>
    </w:p>
    <w:p w14:paraId="7DCAA60C">
      <w:pPr>
        <w:pStyle w:val="5"/>
        <w:spacing w:before="0" w:after="0" w:line="288" w:lineRule="auto"/>
        <w:ind w:left="1079" w:leftChars="257" w:hanging="539"/>
        <w:jc w:val="center"/>
        <w:rPr>
          <w:rFonts w:hint="eastAsia" w:ascii="仿宋_GB2312" w:hAnsi="仿宋_GB2312" w:eastAsia="仿宋_GB2312" w:cs="仿宋_GB2312"/>
          <w:color w:val="auto"/>
          <w:highlight w:val="none"/>
          <w:u w:val="none"/>
        </w:rPr>
      </w:pPr>
      <w:bookmarkStart w:id="874" w:name="_Toc26500"/>
      <w:bookmarkStart w:id="875" w:name="_Toc15187"/>
      <w:bookmarkStart w:id="876" w:name="_Toc12381"/>
      <w:bookmarkStart w:id="877" w:name="_Toc8592"/>
      <w:bookmarkStart w:id="878" w:name="_Toc6272"/>
      <w:bookmarkStart w:id="879" w:name="_Toc14100"/>
      <w:bookmarkStart w:id="880" w:name="_Toc24363"/>
      <w:bookmarkStart w:id="881" w:name="_Toc13869"/>
      <w:bookmarkStart w:id="882" w:name="_Toc6646"/>
      <w:bookmarkStart w:id="883" w:name="_Toc7250"/>
      <w:r>
        <w:rPr>
          <w:rFonts w:hint="eastAsia" w:ascii="仿宋_GB2312" w:hAnsi="仿宋_GB2312" w:eastAsia="仿宋_GB2312" w:cs="仿宋_GB2312"/>
          <w:color w:val="auto"/>
          <w:highlight w:val="none"/>
          <w:u w:val="none"/>
          <w:lang w:val="en-US" w:eastAsia="zh-CN"/>
        </w:rPr>
        <w:t>7</w:t>
      </w:r>
      <w:r>
        <w:rPr>
          <w:rFonts w:hint="eastAsia" w:ascii="仿宋_GB2312" w:hAnsi="仿宋_GB2312" w:eastAsia="仿宋_GB2312" w:cs="仿宋_GB2312"/>
          <w:color w:val="auto"/>
          <w:highlight w:val="none"/>
          <w:u w:val="none"/>
        </w:rPr>
        <w:t xml:space="preserve"> 投标人关联单位的说明</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14:paraId="37134A2F">
      <w:pPr>
        <w:pStyle w:val="6"/>
        <w:snapToGrid w:val="0"/>
        <w:jc w:val="center"/>
        <w:rPr>
          <w:rFonts w:ascii="仿宋_GB2312" w:hAnsi="仿宋_GB2312" w:eastAsia="仿宋_GB2312" w:cs="仿宋_GB2312"/>
          <w:color w:val="auto"/>
          <w:highlight w:val="none"/>
        </w:rPr>
      </w:pPr>
    </w:p>
    <w:p w14:paraId="4539FB56">
      <w:pPr>
        <w:pStyle w:val="6"/>
        <w:snapToGrid w:val="0"/>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说明：投标人应当如实披露与本单位存在下列关联关系的单位名称：</w:t>
      </w:r>
    </w:p>
    <w:p w14:paraId="1AF93ECC">
      <w:pPr>
        <w:pStyle w:val="6"/>
        <w:snapToGrid w:val="0"/>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（1）与投标人单位负责人为同一人的其他单位；</w:t>
      </w:r>
    </w:p>
    <w:p w14:paraId="1EEE6509">
      <w:pPr>
        <w:pStyle w:val="6"/>
        <w:snapToGrid w:val="0"/>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（2）与投标人存在直接控股、管理关系的其他单位。</w:t>
      </w:r>
    </w:p>
    <w:p w14:paraId="5570DBC6">
      <w:pPr>
        <w:pStyle w:val="2"/>
        <w:rPr>
          <w:color w:val="auto"/>
          <w:highlight w:val="none"/>
        </w:rPr>
      </w:pPr>
    </w:p>
    <w:p w14:paraId="2A29E5D6">
      <w:pPr>
        <w:pStyle w:val="5"/>
        <w:spacing w:before="0" w:after="0" w:line="288" w:lineRule="auto"/>
        <w:ind w:left="1079" w:leftChars="257" w:hanging="539"/>
        <w:jc w:val="center"/>
        <w:rPr>
          <w:rFonts w:hint="eastAsia" w:ascii="仿宋_GB2312" w:hAnsi="仿宋_GB2312" w:eastAsia="仿宋_GB2312" w:cs="仿宋_GB2312"/>
          <w:color w:val="auto"/>
          <w:highlight w:val="none"/>
          <w:u w:val="none"/>
        </w:rPr>
      </w:pPr>
      <w:bookmarkStart w:id="884" w:name="_Toc28623"/>
      <w:bookmarkStart w:id="885" w:name="_Toc18125"/>
      <w:bookmarkStart w:id="886" w:name="_Toc16143"/>
      <w:r>
        <w:rPr>
          <w:rFonts w:hint="eastAsia" w:ascii="仿宋_GB2312" w:hAnsi="仿宋_GB2312" w:eastAsia="仿宋_GB2312" w:cs="仿宋_GB2312"/>
          <w:color w:val="auto"/>
          <w:highlight w:val="none"/>
          <w:u w:val="none"/>
          <w:lang w:val="en-US" w:eastAsia="zh-CN"/>
        </w:rPr>
        <w:t>8</w:t>
      </w:r>
      <w:r>
        <w:rPr>
          <w:rFonts w:hint="eastAsia" w:ascii="仿宋_GB2312" w:hAnsi="仿宋_GB2312" w:eastAsia="仿宋_GB2312" w:cs="仿宋_GB2312"/>
          <w:color w:val="auto"/>
          <w:highlight w:val="none"/>
          <w:u w:val="none"/>
        </w:rPr>
        <w:t xml:space="preserve"> 其他有利于投标人的文件或证明材料</w:t>
      </w:r>
      <w:bookmarkEnd w:id="884"/>
      <w:bookmarkEnd w:id="885"/>
      <w:bookmarkEnd w:id="886"/>
    </w:p>
    <w:p w14:paraId="07A71314">
      <w:pPr>
        <w:pStyle w:val="20"/>
        <w:ind w:left="480" w:hanging="480" w:hangingChars="200"/>
        <w:rPr>
          <w:rFonts w:ascii="仿宋_GB2312" w:hAnsi="仿宋_GB2312" w:eastAsia="仿宋_GB2312" w:cs="仿宋_GB2312"/>
          <w:b/>
          <w:color w:val="auto"/>
          <w:sz w:val="24"/>
          <w:highlight w:val="none"/>
        </w:rPr>
      </w:pPr>
      <w:r>
        <w:rPr>
          <w:rFonts w:hint="eastAsia" w:ascii="仿宋" w:hAnsi="仿宋" w:eastAsia="仿宋" w:cs="仿宋"/>
          <w:color w:val="auto"/>
          <w:sz w:val="24"/>
          <w:highlight w:val="none"/>
        </w:rPr>
        <w:t>注：参照“第六章评分方法和标准”，提供有力于投标人的其他证明文件或供货及实施方案、服务方案</w:t>
      </w:r>
      <w:bookmarkStart w:id="887" w:name="_Toc9667"/>
      <w:bookmarkStart w:id="888" w:name="_Toc15737"/>
      <w:bookmarkStart w:id="889" w:name="_Toc9043"/>
      <w:bookmarkStart w:id="890" w:name="_Toc31553"/>
      <w:bookmarkStart w:id="891" w:name="_Toc22391"/>
      <w:bookmarkStart w:id="892" w:name="_Toc283"/>
      <w:bookmarkStart w:id="893" w:name="_Toc26225"/>
    </w:p>
    <w:p w14:paraId="1607B745">
      <w:pPr>
        <w:rPr>
          <w:color w:val="auto"/>
          <w:highlight w:val="none"/>
        </w:rPr>
      </w:pPr>
    </w:p>
    <w:p w14:paraId="477FD8E0">
      <w:pPr>
        <w:rPr>
          <w:color w:val="auto"/>
          <w:highlight w:val="none"/>
        </w:rPr>
      </w:pPr>
    </w:p>
    <w:p w14:paraId="1625EFFA">
      <w:pPr>
        <w:pStyle w:val="5"/>
        <w:spacing w:before="0" w:after="0" w:line="288" w:lineRule="auto"/>
        <w:ind w:left="1079" w:leftChars="257" w:hanging="539"/>
        <w:jc w:val="center"/>
        <w:rPr>
          <w:rFonts w:hint="eastAsia" w:ascii="仿宋_GB2312" w:hAnsi="仿宋_GB2312" w:eastAsia="仿宋_GB2312" w:cs="仿宋_GB2312"/>
          <w:color w:val="auto"/>
          <w:highlight w:val="none"/>
          <w:u w:val="none"/>
        </w:rPr>
      </w:pPr>
      <w:bookmarkStart w:id="894" w:name="_Toc21278"/>
      <w:bookmarkStart w:id="895" w:name="_Toc24777"/>
      <w:r>
        <w:rPr>
          <w:rFonts w:hint="eastAsia" w:ascii="仿宋_GB2312" w:hAnsi="仿宋_GB2312" w:eastAsia="仿宋_GB2312" w:cs="仿宋_GB2312"/>
          <w:color w:val="auto"/>
          <w:highlight w:val="none"/>
          <w:u w:val="none"/>
          <w:lang w:val="en-US" w:eastAsia="zh-CN"/>
        </w:rPr>
        <w:t>9</w:t>
      </w:r>
      <w:r>
        <w:rPr>
          <w:rFonts w:hint="eastAsia" w:ascii="仿宋_GB2312" w:hAnsi="仿宋_GB2312" w:eastAsia="仿宋_GB2312" w:cs="仿宋_GB2312"/>
          <w:color w:val="auto"/>
          <w:highlight w:val="none"/>
          <w:u w:val="none"/>
        </w:rPr>
        <w:t xml:space="preserve"> 对本项目投标文件（响应文件）中资料真实性的承诺</w:t>
      </w:r>
      <w:bookmarkEnd w:id="887"/>
      <w:bookmarkEnd w:id="888"/>
      <w:bookmarkEnd w:id="889"/>
      <w:bookmarkEnd w:id="890"/>
      <w:bookmarkEnd w:id="891"/>
      <w:bookmarkEnd w:id="892"/>
      <w:bookmarkEnd w:id="893"/>
      <w:bookmarkEnd w:id="894"/>
      <w:bookmarkEnd w:id="895"/>
    </w:p>
    <w:p w14:paraId="63A4D0A3">
      <w:pPr>
        <w:snapToGrid w:val="0"/>
        <w:rPr>
          <w:rFonts w:ascii="Tahoma" w:hAnsi="Tahoma" w:cs="Tahoma"/>
          <w:b/>
          <w:color w:val="auto"/>
          <w:sz w:val="28"/>
          <w:szCs w:val="28"/>
          <w:highlight w:val="none"/>
        </w:rPr>
      </w:pPr>
    </w:p>
    <w:p w14:paraId="35881969">
      <w:pPr>
        <w:snapToGrid w:val="0"/>
        <w:spacing w:line="360" w:lineRule="auto"/>
        <w:jc w:val="left"/>
        <w:rPr>
          <w:rFonts w:ascii="Tahoma" w:hAnsi="Tahoma" w:eastAsia="仿宋_GB2312" w:cs="Tahoma"/>
          <w:b/>
          <w:color w:val="auto"/>
          <w:sz w:val="24"/>
          <w:highlight w:val="none"/>
        </w:rPr>
      </w:pPr>
      <w:r>
        <w:rPr>
          <w:rFonts w:hint="eastAsia" w:ascii="Tahoma" w:hAnsi="Tahoma" w:eastAsia="仿宋_GB2312" w:cs="Tahoma"/>
          <w:b/>
          <w:color w:val="auto"/>
          <w:sz w:val="24"/>
          <w:highlight w:val="none"/>
        </w:rPr>
        <w:t>伽师县****项目评标委员会：</w:t>
      </w:r>
    </w:p>
    <w:p w14:paraId="774A9E32">
      <w:pPr>
        <w:snapToGrid w:val="0"/>
        <w:spacing w:line="360" w:lineRule="auto"/>
        <w:ind w:firstLine="480" w:firstLineChars="200"/>
        <w:rPr>
          <w:rFonts w:ascii="仿宋" w:hAnsi="仿宋" w:eastAsia="仿宋" w:cs="仿宋"/>
          <w:color w:val="auto"/>
          <w:sz w:val="24"/>
          <w:highlight w:val="none"/>
        </w:rPr>
      </w:pPr>
      <w:r>
        <w:rPr>
          <w:rFonts w:hint="eastAsia" w:ascii="仿宋_GB2312" w:hAnsi="宋体" w:eastAsia="仿宋_GB2312"/>
          <w:color w:val="auto"/>
          <w:kern w:val="0"/>
          <w:sz w:val="24"/>
          <w:szCs w:val="20"/>
          <w:highlight w:val="none"/>
        </w:rPr>
        <w:t>根据《中华人民共和国政府采购法》、《中华人民共和国政府采购法实施</w:t>
      </w:r>
      <w:r>
        <w:rPr>
          <w:rFonts w:hint="eastAsia" w:ascii="仿宋" w:hAnsi="仿宋" w:eastAsia="仿宋" w:cs="仿宋"/>
          <w:color w:val="auto"/>
          <w:sz w:val="24"/>
          <w:highlight w:val="none"/>
        </w:rPr>
        <w:t>条例》等有关法律、法规的规定和</w:t>
      </w:r>
      <w:r>
        <w:rPr>
          <w:rFonts w:hint="eastAsia" w:ascii="仿宋" w:hAnsi="仿宋" w:eastAsia="仿宋" w:cs="仿宋"/>
          <w:color w:val="auto"/>
          <w:sz w:val="24"/>
          <w:highlight w:val="none"/>
          <w:u w:val="single" w:color="000000"/>
        </w:rPr>
        <w:t>***项目项目编号***、第**标段  </w:t>
      </w:r>
      <w:r>
        <w:rPr>
          <w:rFonts w:hint="eastAsia" w:ascii="仿宋" w:hAnsi="仿宋" w:eastAsia="仿宋" w:cs="仿宋"/>
          <w:color w:val="auto"/>
          <w:sz w:val="24"/>
          <w:highlight w:val="none"/>
        </w:rPr>
        <w:t>的招标文件（或竞争性谈判文件）的要求，我公司在参加</w:t>
      </w:r>
      <w:r>
        <w:rPr>
          <w:rFonts w:hint="eastAsia" w:ascii="仿宋" w:hAnsi="仿宋" w:eastAsia="仿宋" w:cs="仿宋"/>
          <w:color w:val="auto"/>
          <w:sz w:val="24"/>
          <w:highlight w:val="none"/>
          <w:u w:val="single" w:color="000000"/>
        </w:rPr>
        <w:t xml:space="preserve"> ***项目项目编号***、第**标段</w:t>
      </w:r>
      <w:r>
        <w:rPr>
          <w:rFonts w:hint="eastAsia" w:ascii="仿宋" w:hAnsi="仿宋" w:eastAsia="仿宋" w:cs="仿宋"/>
          <w:color w:val="auto"/>
          <w:sz w:val="24"/>
          <w:highlight w:val="none"/>
        </w:rPr>
        <w:t>投标文件（响应文件）中所提供资料真实性作如下承诺：</w:t>
      </w:r>
    </w:p>
    <w:p w14:paraId="5D07514A">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我公司将严格按招标文件</w:t>
      </w:r>
      <w:bookmarkStart w:id="896" w:name="_Hlk5982690"/>
      <w:r>
        <w:rPr>
          <w:rFonts w:hint="eastAsia" w:ascii="仿宋" w:hAnsi="仿宋" w:eastAsia="仿宋" w:cs="仿宋"/>
          <w:color w:val="auto"/>
          <w:sz w:val="24"/>
          <w:highlight w:val="none"/>
        </w:rPr>
        <w:t>（或竞争性谈判）</w:t>
      </w:r>
      <w:bookmarkEnd w:id="896"/>
      <w:r>
        <w:rPr>
          <w:rFonts w:hint="eastAsia" w:ascii="仿宋" w:hAnsi="仿宋" w:eastAsia="仿宋" w:cs="仿宋"/>
          <w:color w:val="auto"/>
          <w:sz w:val="24"/>
          <w:highlight w:val="none"/>
        </w:rPr>
        <w:t xml:space="preserve">要求，在编制本投标文件（响应文件）时，对投标文件中所提供的资料全部真实和正确，并对提供的所有资料（资格、其他材料等）的真实性负责！ </w:t>
      </w:r>
    </w:p>
    <w:p w14:paraId="3704212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对提供的全部资料中有存在不真实（伪造或租借等虚假资料）情形，将无条件接受任何处罚，自行承担由此引起的一切责任！</w:t>
      </w:r>
    </w:p>
    <w:p w14:paraId="31B4E688">
      <w:pPr>
        <w:snapToGrid w:val="0"/>
        <w:spacing w:line="360" w:lineRule="auto"/>
        <w:ind w:firstLine="720" w:firstLineChars="300"/>
        <w:rPr>
          <w:rFonts w:ascii="仿宋" w:hAnsi="仿宋" w:eastAsia="仿宋" w:cs="仿宋"/>
          <w:color w:val="auto"/>
          <w:sz w:val="24"/>
          <w:highlight w:val="none"/>
        </w:rPr>
      </w:pPr>
    </w:p>
    <w:p w14:paraId="4F974298">
      <w:pPr>
        <w:snapToGrid w:val="0"/>
        <w:spacing w:line="360" w:lineRule="auto"/>
        <w:ind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特此承诺</w:t>
      </w:r>
    </w:p>
    <w:p w14:paraId="3F3ACD77">
      <w:pPr>
        <w:snapToGrid w:val="0"/>
        <w:spacing w:line="360" w:lineRule="auto"/>
        <w:rPr>
          <w:rFonts w:ascii="仿宋" w:hAnsi="仿宋" w:eastAsia="仿宋" w:cs="仿宋"/>
          <w:color w:val="auto"/>
          <w:sz w:val="24"/>
          <w:highlight w:val="none"/>
        </w:rPr>
      </w:pPr>
    </w:p>
    <w:p w14:paraId="69F046D2">
      <w:pPr>
        <w:snapToGrid w:val="0"/>
        <w:spacing w:line="360" w:lineRule="auto"/>
        <w:ind w:left="420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供应商名称（加盖盖章）：</w:t>
      </w:r>
    </w:p>
    <w:p w14:paraId="2528CF69">
      <w:pPr>
        <w:snapToGrid w:val="0"/>
        <w:spacing w:line="360" w:lineRule="auto"/>
        <w:ind w:left="4200" w:leftChars="0" w:firstLine="420" w:firstLineChars="0"/>
        <w:rPr>
          <w:rFonts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lang w:eastAsia="zh-CN"/>
        </w:rPr>
        <w:t>或章</w:t>
      </w:r>
      <w:r>
        <w:rPr>
          <w:rFonts w:hint="eastAsia" w:ascii="仿宋" w:hAnsi="仿宋" w:eastAsia="仿宋" w:cs="仿宋"/>
          <w:color w:val="auto"/>
          <w:sz w:val="24"/>
          <w:highlight w:val="none"/>
        </w:rPr>
        <w:t>）：</w:t>
      </w:r>
    </w:p>
    <w:p w14:paraId="7E1DFFF4">
      <w:pPr>
        <w:snapToGrid w:val="0"/>
        <w:spacing w:line="360" w:lineRule="auto"/>
        <w:ind w:left="4200" w:leftChars="0" w:firstLine="420" w:firstLineChars="0"/>
        <w:rPr>
          <w:rFonts w:ascii="仿宋" w:hAnsi="仿宋" w:eastAsia="仿宋" w:cs="仿宋"/>
          <w:color w:val="auto"/>
          <w:sz w:val="24"/>
          <w:highlight w:val="none"/>
        </w:rPr>
      </w:pPr>
      <w:r>
        <w:rPr>
          <w:rFonts w:hint="eastAsia" w:ascii="仿宋" w:hAnsi="仿宋" w:eastAsia="仿宋" w:cs="仿宋"/>
          <w:color w:val="auto"/>
          <w:sz w:val="24"/>
          <w:highlight w:val="none"/>
        </w:rPr>
        <w:t>联系方式：</w:t>
      </w:r>
    </w:p>
    <w:p w14:paraId="3A8FAF20">
      <w:pPr>
        <w:snapToGrid w:val="0"/>
        <w:spacing w:line="360" w:lineRule="auto"/>
        <w:ind w:left="420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119EC2A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932D605"/>
    <w:p w14:paraId="5BE26C21">
      <w:pPr>
        <w:pStyle w:val="2"/>
        <w:jc w:val="center"/>
      </w:pPr>
      <w:r>
        <w:rPr>
          <w:rFonts w:hint="eastAsia" w:ascii="仿宋_GB2312" w:hAnsi="仿宋_GB2312" w:eastAsia="仿宋_GB2312" w:cs="仿宋_GB2312"/>
          <w:b/>
          <w:sz w:val="52"/>
          <w:szCs w:val="52"/>
          <w:lang w:eastAsia="zh-CN"/>
        </w:rPr>
        <w:t>2025年伽师县公安局执法执勤用车采购项目（</w:t>
      </w:r>
      <w:r>
        <w:rPr>
          <w:rFonts w:hint="eastAsia" w:ascii="仿宋_GB2312" w:hAnsi="仿宋_GB2312" w:eastAsia="仿宋_GB2312" w:cs="仿宋_GB2312"/>
          <w:b/>
          <w:sz w:val="52"/>
          <w:szCs w:val="52"/>
          <w:lang w:val="en-US" w:eastAsia="zh-CN"/>
        </w:rPr>
        <w:t>三</w:t>
      </w:r>
      <w:r>
        <w:rPr>
          <w:rFonts w:hint="eastAsia" w:ascii="仿宋_GB2312" w:hAnsi="仿宋_GB2312" w:eastAsia="仿宋_GB2312" w:cs="仿宋_GB2312"/>
          <w:b/>
          <w:sz w:val="52"/>
          <w:szCs w:val="52"/>
          <w:lang w:eastAsia="zh-CN"/>
        </w:rPr>
        <w:t>次）</w:t>
      </w:r>
    </w:p>
    <w:p w14:paraId="738A189A">
      <w:pPr>
        <w:pStyle w:val="2"/>
      </w:pPr>
    </w:p>
    <w:p w14:paraId="0295ACFA"/>
    <w:p w14:paraId="036AE267">
      <w:pPr>
        <w:spacing w:line="240" w:lineRule="atLeast"/>
        <w:ind w:left="1080" w:leftChars="257" w:hanging="54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政府采购公开招标文件</w:t>
      </w:r>
    </w:p>
    <w:p w14:paraId="350BB2FB">
      <w:pPr>
        <w:spacing w:line="240" w:lineRule="atLeast"/>
        <w:ind w:left="1080" w:leftChars="257" w:hanging="540"/>
        <w:rPr>
          <w:rFonts w:ascii="仿宋_GB2312" w:hAnsi="仿宋_GB2312" w:eastAsia="仿宋_GB2312" w:cs="仿宋_GB2312"/>
          <w:b/>
          <w:sz w:val="28"/>
        </w:rPr>
      </w:pPr>
    </w:p>
    <w:p w14:paraId="2C463262">
      <w:pPr>
        <w:pStyle w:val="20"/>
      </w:pPr>
    </w:p>
    <w:p w14:paraId="52E0FF74">
      <w:pPr>
        <w:pStyle w:val="2"/>
      </w:pPr>
    </w:p>
    <w:p w14:paraId="526D03FC"/>
    <w:p w14:paraId="1B340C06"/>
    <w:p w14:paraId="55E59D82">
      <w:pPr>
        <w:spacing w:line="240" w:lineRule="atLeast"/>
        <w:ind w:left="1080" w:leftChars="257" w:hanging="54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第二册</w:t>
      </w:r>
    </w:p>
    <w:p w14:paraId="333ECFC0">
      <w:pPr>
        <w:spacing w:line="240" w:lineRule="atLeast"/>
        <w:ind w:left="1080" w:leftChars="257" w:hanging="540"/>
        <w:rPr>
          <w:rFonts w:ascii="仿宋_GB2312" w:hAnsi="仿宋_GB2312" w:eastAsia="仿宋_GB2312" w:cs="仿宋_GB2312"/>
          <w:b/>
          <w:sz w:val="28"/>
        </w:rPr>
      </w:pPr>
    </w:p>
    <w:p w14:paraId="74A46DF4">
      <w:pPr>
        <w:spacing w:line="240" w:lineRule="atLeast"/>
        <w:ind w:left="1080" w:leftChars="257" w:hanging="540"/>
        <w:rPr>
          <w:rFonts w:ascii="仿宋_GB2312" w:hAnsi="仿宋_GB2312" w:eastAsia="仿宋_GB2312" w:cs="仿宋_GB2312"/>
          <w:b/>
          <w:sz w:val="28"/>
        </w:rPr>
      </w:pPr>
    </w:p>
    <w:p w14:paraId="300E1B43">
      <w:pPr>
        <w:spacing w:line="240" w:lineRule="atLeast"/>
        <w:ind w:left="1080" w:leftChars="257" w:hanging="540"/>
        <w:rPr>
          <w:rFonts w:ascii="仿宋_GB2312" w:hAnsi="仿宋_GB2312" w:eastAsia="仿宋_GB2312" w:cs="仿宋_GB2312"/>
          <w:b/>
          <w:sz w:val="28"/>
        </w:rPr>
      </w:pPr>
    </w:p>
    <w:p w14:paraId="39D7524E">
      <w:pPr>
        <w:spacing w:line="240" w:lineRule="atLeast"/>
        <w:ind w:left="1080" w:leftChars="257" w:hanging="540"/>
        <w:rPr>
          <w:rFonts w:ascii="仿宋_GB2312" w:hAnsi="仿宋_GB2312" w:eastAsia="仿宋_GB2312" w:cs="仿宋_GB2312"/>
          <w:b/>
          <w:sz w:val="28"/>
        </w:rPr>
      </w:pPr>
    </w:p>
    <w:p w14:paraId="4BBC684D">
      <w:pPr>
        <w:spacing w:line="240" w:lineRule="atLeast"/>
        <w:ind w:left="1080" w:leftChars="257" w:hanging="540"/>
        <w:jc w:val="center"/>
        <w:rPr>
          <w:rFonts w:ascii="仿宋_GB2312" w:hAnsi="仿宋_GB2312" w:eastAsia="仿宋_GB2312" w:cs="仿宋_GB2312"/>
          <w:b/>
          <w:sz w:val="52"/>
        </w:rPr>
      </w:pPr>
    </w:p>
    <w:p w14:paraId="5725062B">
      <w:pPr>
        <w:spacing w:line="240" w:lineRule="atLeast"/>
        <w:ind w:left="1080" w:leftChars="257" w:hanging="540"/>
        <w:jc w:val="center"/>
        <w:rPr>
          <w:rFonts w:ascii="仿宋_GB2312" w:hAnsi="仿宋_GB2312" w:eastAsia="仿宋_GB2312" w:cs="仿宋_GB2312"/>
          <w:b/>
          <w:sz w:val="52"/>
        </w:rPr>
      </w:pPr>
    </w:p>
    <w:p w14:paraId="040A6F7B">
      <w:pPr>
        <w:pStyle w:val="2"/>
        <w:rPr>
          <w:rFonts w:ascii="仿宋_GB2312" w:hAnsi="仿宋_GB2312" w:eastAsia="仿宋_GB2312" w:cs="仿宋_GB2312"/>
          <w:b/>
          <w:sz w:val="52"/>
        </w:rPr>
      </w:pPr>
    </w:p>
    <w:p w14:paraId="750059A1">
      <w:pPr>
        <w:rPr>
          <w:rFonts w:ascii="仿宋_GB2312" w:hAnsi="仿宋_GB2312" w:eastAsia="仿宋_GB2312" w:cs="仿宋_GB2312"/>
          <w:b/>
          <w:sz w:val="52"/>
        </w:rPr>
      </w:pPr>
    </w:p>
    <w:p w14:paraId="4E8064D8">
      <w:pPr>
        <w:pStyle w:val="2"/>
        <w:rPr>
          <w:rFonts w:ascii="仿宋_GB2312" w:hAnsi="仿宋_GB2312" w:eastAsia="仿宋_GB2312" w:cs="仿宋_GB2312"/>
          <w:b/>
          <w:sz w:val="52"/>
        </w:rPr>
      </w:pPr>
    </w:p>
    <w:p w14:paraId="4569AAA7">
      <w:pPr>
        <w:rPr>
          <w:rFonts w:ascii="仿宋_GB2312" w:hAnsi="仿宋_GB2312" w:eastAsia="仿宋_GB2312" w:cs="仿宋_GB2312"/>
          <w:b/>
          <w:sz w:val="52"/>
        </w:rPr>
      </w:pPr>
    </w:p>
    <w:p w14:paraId="0625757D">
      <w:pPr>
        <w:pStyle w:val="2"/>
      </w:pPr>
    </w:p>
    <w:p w14:paraId="572A4249">
      <w:pPr>
        <w:pStyle w:val="2"/>
      </w:pPr>
    </w:p>
    <w:p w14:paraId="73B85913">
      <w:pPr>
        <w:jc w:val="left"/>
        <w:textAlignment w:val="auto"/>
        <w:rPr>
          <w:rFonts w:ascii="仿宋_GB2312" w:hAnsi="仿宋_GB2312" w:eastAsia="仿宋_GB2312" w:cs="仿宋_GB2312"/>
          <w:sz w:val="44"/>
          <w:szCs w:val="44"/>
        </w:rPr>
      </w:pPr>
      <w:r>
        <w:rPr>
          <w:rFonts w:ascii="仿宋_GB2312" w:hAnsi="仿宋_GB2312" w:eastAsia="仿宋_GB2312" w:cs="仿宋_GB2312"/>
          <w:sz w:val="44"/>
          <w:szCs w:val="44"/>
        </w:rPr>
        <w:br w:type="page"/>
      </w:r>
    </w:p>
    <w:p w14:paraId="79100990">
      <w:pPr>
        <w:pStyle w:val="3"/>
        <w:tabs>
          <w:tab w:val="left" w:pos="0"/>
        </w:tabs>
        <w:snapToGrid w:val="0"/>
        <w:spacing w:before="0" w:after="0" w:line="240" w:lineRule="atLeast"/>
        <w:rPr>
          <w:rFonts w:ascii="仿宋_GB2312" w:hAnsi="仿宋_GB2312" w:eastAsia="仿宋_GB2312" w:cs="仿宋_GB2312"/>
          <w:color w:val="auto"/>
          <w:sz w:val="44"/>
          <w:szCs w:val="44"/>
          <w:highlight w:val="none"/>
        </w:rPr>
      </w:pPr>
      <w:bookmarkStart w:id="897" w:name="_Toc20718"/>
      <w:r>
        <w:rPr>
          <w:rFonts w:hint="eastAsia" w:ascii="仿宋_GB2312" w:hAnsi="仿宋_GB2312" w:eastAsia="仿宋_GB2312" w:cs="仿宋_GB2312"/>
          <w:color w:val="auto"/>
          <w:sz w:val="44"/>
          <w:szCs w:val="44"/>
          <w:highlight w:val="none"/>
        </w:rPr>
        <w:t>第三章 投标邀请</w:t>
      </w:r>
      <w:bookmarkEnd w:id="897"/>
    </w:p>
    <w:p w14:paraId="5629DD7B">
      <w:pPr>
        <w:snapToGrid w:val="0"/>
        <w:spacing w:line="276" w:lineRule="auto"/>
        <w:jc w:val="center"/>
        <w:rPr>
          <w:rStyle w:val="37"/>
          <w:rFonts w:ascii="宋体" w:hAnsi="宋体" w:cs="宋体"/>
          <w:b/>
          <w:bCs/>
          <w:color w:val="auto"/>
          <w:sz w:val="28"/>
          <w:szCs w:val="28"/>
          <w:highlight w:val="none"/>
        </w:rPr>
      </w:pPr>
      <w:r>
        <w:rPr>
          <w:rStyle w:val="37"/>
          <w:rFonts w:ascii="宋体" w:hAnsi="宋体" w:cs="宋体"/>
          <w:b/>
          <w:bCs/>
          <w:color w:val="auto"/>
          <w:sz w:val="28"/>
          <w:szCs w:val="28"/>
          <w:highlight w:val="none"/>
        </w:rPr>
        <w:t>【县级】</w:t>
      </w:r>
      <w:r>
        <w:rPr>
          <w:rFonts w:hint="eastAsia" w:ascii="宋体" w:hAnsi="宋体" w:cs="宋体"/>
          <w:b/>
          <w:bCs/>
          <w:color w:val="auto"/>
          <w:sz w:val="28"/>
          <w:szCs w:val="28"/>
          <w:highlight w:val="none"/>
          <w:lang w:eastAsia="zh-CN"/>
        </w:rPr>
        <w:t>2025年伽师县公安局执法执勤用车采购项目（</w:t>
      </w:r>
      <w:r>
        <w:rPr>
          <w:rFonts w:hint="eastAsia" w:ascii="宋体" w:hAnsi="宋体" w:cs="宋体"/>
          <w:b/>
          <w:bCs/>
          <w:color w:val="auto"/>
          <w:sz w:val="28"/>
          <w:szCs w:val="28"/>
          <w:highlight w:val="none"/>
          <w:lang w:val="en-US" w:eastAsia="zh-CN"/>
        </w:rPr>
        <w:t>三</w:t>
      </w:r>
      <w:r>
        <w:rPr>
          <w:rFonts w:hint="eastAsia" w:ascii="宋体" w:hAnsi="宋体" w:cs="宋体"/>
          <w:b/>
          <w:bCs/>
          <w:color w:val="auto"/>
          <w:sz w:val="28"/>
          <w:szCs w:val="28"/>
          <w:highlight w:val="none"/>
          <w:lang w:eastAsia="zh-CN"/>
        </w:rPr>
        <w:t>次）</w:t>
      </w:r>
      <w:r>
        <w:rPr>
          <w:rStyle w:val="37"/>
          <w:rFonts w:ascii="宋体" w:hAnsi="宋体" w:cs="宋体"/>
          <w:b/>
          <w:bCs/>
          <w:color w:val="auto"/>
          <w:sz w:val="28"/>
          <w:szCs w:val="28"/>
          <w:highlight w:val="none"/>
        </w:rPr>
        <w:t>公开招标公告</w:t>
      </w:r>
    </w:p>
    <w:p w14:paraId="7D8DBCAE">
      <w:pPr>
        <w:pBdr>
          <w:top w:val="single" w:color="000000" w:sz="4" w:space="1"/>
          <w:left w:val="single" w:color="000000" w:sz="4" w:space="4"/>
          <w:bottom w:val="single" w:color="000000" w:sz="4" w:space="1"/>
          <w:right w:val="single" w:color="000000" w:sz="4" w:space="4"/>
        </w:pBdr>
        <w:snapToGrid w:val="0"/>
        <w:ind w:firstLine="560" w:firstLineChars="200"/>
        <w:rPr>
          <w:rStyle w:val="37"/>
          <w:rFonts w:ascii="仿宋" w:hAnsi="仿宋" w:eastAsia="仿宋"/>
          <w:color w:val="auto"/>
          <w:sz w:val="28"/>
          <w:szCs w:val="28"/>
          <w:highlight w:val="none"/>
        </w:rPr>
      </w:pPr>
      <w:r>
        <w:rPr>
          <w:rStyle w:val="37"/>
          <w:rFonts w:ascii="仿宋" w:hAnsi="仿宋" w:eastAsia="仿宋"/>
          <w:color w:val="auto"/>
          <w:sz w:val="28"/>
          <w:szCs w:val="28"/>
          <w:highlight w:val="none"/>
        </w:rPr>
        <w:t>项目概况</w:t>
      </w:r>
    </w:p>
    <w:p w14:paraId="6A6EB92F">
      <w:pPr>
        <w:pBdr>
          <w:top w:val="single" w:color="000000" w:sz="4" w:space="1"/>
          <w:left w:val="single" w:color="000000" w:sz="4" w:space="4"/>
          <w:bottom w:val="single" w:color="000000" w:sz="4" w:space="1"/>
          <w:right w:val="single" w:color="000000" w:sz="4" w:space="4"/>
        </w:pBdr>
        <w:snapToGrid w:val="0"/>
        <w:ind w:firstLine="560" w:firstLineChars="200"/>
        <w:rPr>
          <w:rStyle w:val="37"/>
          <w:rFonts w:hint="eastAsia" w:ascii="宋体" w:hAnsi="宋体" w:eastAsia="仿宋"/>
          <w:color w:val="auto"/>
          <w:sz w:val="24"/>
          <w:highlight w:val="red"/>
          <w:lang w:eastAsia="zh-CN"/>
        </w:rPr>
      </w:pPr>
      <w:r>
        <w:rPr>
          <w:rStyle w:val="37"/>
          <w:rFonts w:hint="eastAsia" w:ascii="仿宋" w:hAnsi="仿宋" w:eastAsia="仿宋" w:cs="Times New Roman"/>
          <w:color w:val="auto"/>
          <w:sz w:val="28"/>
          <w:szCs w:val="28"/>
          <w:highlight w:val="none"/>
          <w:u w:val="single"/>
          <w:lang w:eastAsia="zh-CN"/>
        </w:rPr>
        <w:t>2025年伽师县公安局执法执勤用车采购项目（</w:t>
      </w:r>
      <w:r>
        <w:rPr>
          <w:rStyle w:val="37"/>
          <w:rFonts w:hint="eastAsia" w:ascii="仿宋" w:hAnsi="仿宋" w:eastAsia="仿宋" w:cs="Times New Roman"/>
          <w:color w:val="auto"/>
          <w:sz w:val="28"/>
          <w:szCs w:val="28"/>
          <w:highlight w:val="none"/>
          <w:u w:val="single"/>
          <w:lang w:val="en-US" w:eastAsia="zh-CN"/>
        </w:rPr>
        <w:t>三</w:t>
      </w:r>
      <w:r>
        <w:rPr>
          <w:rStyle w:val="37"/>
          <w:rFonts w:hint="eastAsia" w:ascii="仿宋" w:hAnsi="仿宋" w:eastAsia="仿宋" w:cs="Times New Roman"/>
          <w:color w:val="auto"/>
          <w:sz w:val="28"/>
          <w:szCs w:val="28"/>
          <w:highlight w:val="none"/>
          <w:u w:val="single"/>
          <w:lang w:eastAsia="zh-CN"/>
        </w:rPr>
        <w:t>次）</w:t>
      </w:r>
      <w:r>
        <w:rPr>
          <w:rStyle w:val="37"/>
          <w:rFonts w:ascii="仿宋" w:hAnsi="仿宋" w:eastAsia="仿宋" w:cs="Times New Roman"/>
          <w:color w:val="auto"/>
          <w:sz w:val="28"/>
          <w:szCs w:val="28"/>
          <w:highlight w:val="none"/>
        </w:rPr>
        <w:t>的潜在</w:t>
      </w:r>
      <w:r>
        <w:rPr>
          <w:rStyle w:val="37"/>
          <w:rFonts w:ascii="仿宋" w:hAnsi="仿宋" w:eastAsia="仿宋"/>
          <w:color w:val="auto"/>
          <w:sz w:val="28"/>
          <w:szCs w:val="28"/>
          <w:highlight w:val="none"/>
        </w:rPr>
        <w:t>投标人应在</w:t>
      </w:r>
      <w:r>
        <w:rPr>
          <w:rStyle w:val="32"/>
          <w:rFonts w:hAnsi="宋体"/>
          <w:color w:val="auto"/>
          <w:sz w:val="24"/>
          <w:highlight w:val="none"/>
          <w:u w:color="0000FF"/>
        </w:rPr>
        <w:t>http://www.ccgp-xinjiang.gov.cn</w:t>
      </w:r>
      <w:r>
        <w:rPr>
          <w:rStyle w:val="37"/>
          <w:rFonts w:ascii="仿宋" w:hAnsi="仿宋" w:eastAsia="仿宋"/>
          <w:color w:val="auto"/>
          <w:sz w:val="28"/>
          <w:szCs w:val="28"/>
          <w:highlight w:val="none"/>
        </w:rPr>
        <w:t>获取招标文件，</w:t>
      </w:r>
      <w:r>
        <w:rPr>
          <w:rFonts w:hint="eastAsia" w:ascii="仿宋" w:hAnsi="仿宋" w:eastAsia="仿宋"/>
          <w:color w:val="auto"/>
          <w:sz w:val="28"/>
          <w:szCs w:val="28"/>
          <w:highlight w:val="none"/>
        </w:rPr>
        <w:t>并于</w:t>
      </w:r>
      <w:r>
        <w:rPr>
          <w:rFonts w:hint="eastAsia" w:ascii="仿宋" w:hAnsi="仿宋" w:eastAsia="仿宋" w:cs="Times New Roman"/>
          <w:bCs/>
          <w:color w:val="auto"/>
          <w:sz w:val="28"/>
          <w:szCs w:val="28"/>
          <w:highlight w:val="yellow"/>
          <w:u w:val="single"/>
          <w:lang w:eastAsia="zh-CN"/>
        </w:rPr>
        <w:t>202</w:t>
      </w:r>
      <w:r>
        <w:rPr>
          <w:rFonts w:hint="eastAsia" w:ascii="仿宋" w:hAnsi="仿宋" w:eastAsia="仿宋" w:cs="Times New Roman"/>
          <w:bCs/>
          <w:color w:val="auto"/>
          <w:sz w:val="28"/>
          <w:szCs w:val="28"/>
          <w:highlight w:val="yellow"/>
          <w:u w:val="single"/>
          <w:lang w:val="en-US" w:eastAsia="zh-CN"/>
        </w:rPr>
        <w:t>5</w:t>
      </w:r>
      <w:r>
        <w:rPr>
          <w:rFonts w:hint="eastAsia" w:ascii="仿宋" w:hAnsi="仿宋" w:eastAsia="仿宋" w:cs="Times New Roman"/>
          <w:bCs/>
          <w:color w:val="auto"/>
          <w:sz w:val="28"/>
          <w:szCs w:val="28"/>
          <w:highlight w:val="yellow"/>
          <w:u w:val="single"/>
          <w:lang w:eastAsia="zh-CN"/>
        </w:rPr>
        <w:t>年</w:t>
      </w:r>
      <w:r>
        <w:rPr>
          <w:rFonts w:hint="eastAsia" w:ascii="仿宋" w:hAnsi="仿宋" w:eastAsia="仿宋" w:cs="Times New Roman"/>
          <w:bCs/>
          <w:color w:val="auto"/>
          <w:sz w:val="28"/>
          <w:szCs w:val="28"/>
          <w:highlight w:val="yellow"/>
          <w:u w:val="single"/>
          <w:lang w:val="en-US" w:eastAsia="zh-CN"/>
        </w:rPr>
        <w:t>7</w:t>
      </w:r>
      <w:r>
        <w:rPr>
          <w:rFonts w:hint="eastAsia" w:ascii="仿宋" w:hAnsi="仿宋" w:eastAsia="仿宋" w:cs="Times New Roman"/>
          <w:bCs/>
          <w:color w:val="auto"/>
          <w:sz w:val="28"/>
          <w:szCs w:val="28"/>
          <w:highlight w:val="yellow"/>
          <w:u w:val="single"/>
          <w:lang w:eastAsia="zh-CN"/>
        </w:rPr>
        <w:t>月</w:t>
      </w:r>
      <w:r>
        <w:rPr>
          <w:rFonts w:hint="eastAsia" w:ascii="仿宋" w:hAnsi="仿宋" w:eastAsia="仿宋" w:cs="Times New Roman"/>
          <w:bCs/>
          <w:color w:val="auto"/>
          <w:sz w:val="28"/>
          <w:szCs w:val="28"/>
          <w:highlight w:val="yellow"/>
          <w:u w:val="single"/>
          <w:lang w:val="en-US" w:eastAsia="zh-CN"/>
        </w:rPr>
        <w:t>25</w:t>
      </w:r>
      <w:r>
        <w:rPr>
          <w:rFonts w:hint="eastAsia" w:ascii="仿宋" w:hAnsi="仿宋" w:eastAsia="仿宋" w:cs="Times New Roman"/>
          <w:bCs/>
          <w:color w:val="auto"/>
          <w:sz w:val="28"/>
          <w:szCs w:val="28"/>
          <w:highlight w:val="yellow"/>
          <w:u w:val="single"/>
          <w:lang w:eastAsia="zh-CN"/>
        </w:rPr>
        <w:t>日 1</w:t>
      </w:r>
      <w:r>
        <w:rPr>
          <w:rFonts w:hint="eastAsia" w:ascii="仿宋" w:hAnsi="仿宋" w:eastAsia="仿宋" w:cs="Times New Roman"/>
          <w:bCs/>
          <w:color w:val="auto"/>
          <w:sz w:val="28"/>
          <w:szCs w:val="28"/>
          <w:highlight w:val="yellow"/>
          <w:u w:val="single"/>
          <w:lang w:val="en-US" w:eastAsia="zh-CN"/>
        </w:rPr>
        <w:t>1</w:t>
      </w:r>
      <w:r>
        <w:rPr>
          <w:rFonts w:hint="eastAsia" w:ascii="仿宋" w:hAnsi="仿宋" w:eastAsia="仿宋" w:cs="Times New Roman"/>
          <w:bCs/>
          <w:color w:val="auto"/>
          <w:sz w:val="28"/>
          <w:szCs w:val="28"/>
          <w:highlight w:val="yellow"/>
          <w:u w:val="single"/>
          <w:lang w:eastAsia="zh-CN"/>
        </w:rPr>
        <w:t>点 00分</w:t>
      </w:r>
      <w:r>
        <w:rPr>
          <w:rFonts w:hint="eastAsia" w:ascii="仿宋" w:hAnsi="仿宋" w:eastAsia="仿宋"/>
          <w:bCs/>
          <w:color w:val="auto"/>
          <w:sz w:val="28"/>
          <w:szCs w:val="28"/>
          <w:highlight w:val="yellow"/>
          <w:u w:val="single"/>
        </w:rPr>
        <w:t>（</w:t>
      </w:r>
      <w:r>
        <w:rPr>
          <w:rFonts w:hint="eastAsia" w:ascii="仿宋" w:hAnsi="仿宋" w:eastAsia="仿宋"/>
          <w:bCs/>
          <w:color w:val="auto"/>
          <w:sz w:val="28"/>
          <w:szCs w:val="28"/>
          <w:highlight w:val="yellow"/>
        </w:rPr>
        <w:t>北京时间）前递交投标</w:t>
      </w:r>
      <w:r>
        <w:rPr>
          <w:rFonts w:ascii="仿宋" w:hAnsi="仿宋" w:eastAsia="仿宋"/>
          <w:bCs/>
          <w:color w:val="auto"/>
          <w:sz w:val="28"/>
          <w:szCs w:val="28"/>
          <w:highlight w:val="yellow"/>
        </w:rPr>
        <w:t>文件</w:t>
      </w:r>
      <w:r>
        <w:rPr>
          <w:rFonts w:hint="eastAsia" w:ascii="仿宋" w:hAnsi="仿宋" w:eastAsia="仿宋"/>
          <w:color w:val="auto"/>
          <w:sz w:val="28"/>
          <w:szCs w:val="28"/>
          <w:highlight w:val="yellow"/>
        </w:rPr>
        <w:t>。</w:t>
      </w:r>
    </w:p>
    <w:p w14:paraId="52D54C98">
      <w:pPr>
        <w:pStyle w:val="36"/>
        <w:numPr>
          <w:ilvl w:val="0"/>
          <w:numId w:val="7"/>
        </w:numPr>
        <w:snapToGrid w:val="0"/>
        <w:spacing w:before="0" w:line="560" w:lineRule="exact"/>
        <w:jc w:val="both"/>
        <w:rPr>
          <w:rStyle w:val="37"/>
          <w:rFonts w:ascii="宋体" w:hAnsi="宋体" w:eastAsia="宋体"/>
          <w:color w:val="auto"/>
          <w:kern w:val="2"/>
          <w:sz w:val="24"/>
          <w:szCs w:val="21"/>
          <w:highlight w:val="none"/>
        </w:rPr>
      </w:pPr>
      <w:r>
        <w:rPr>
          <w:rStyle w:val="37"/>
          <w:rFonts w:ascii="宋体" w:hAnsi="宋体" w:eastAsia="宋体"/>
          <w:color w:val="auto"/>
          <w:kern w:val="2"/>
          <w:sz w:val="24"/>
          <w:szCs w:val="21"/>
          <w:highlight w:val="none"/>
        </w:rPr>
        <w:t>项目基本情况</w:t>
      </w:r>
    </w:p>
    <w:p w14:paraId="639B1B61">
      <w:pPr>
        <w:numPr>
          <w:ilvl w:val="0"/>
          <w:numId w:val="8"/>
        </w:numPr>
        <w:snapToGrid w:val="0"/>
        <w:spacing w:line="520" w:lineRule="exact"/>
        <w:rPr>
          <w:rStyle w:val="37"/>
          <w:rFonts w:hint="eastAsia" w:ascii="宋体" w:hAnsi="宋体" w:cs="Times New Roman"/>
          <w:color w:val="auto"/>
          <w:sz w:val="24"/>
          <w:szCs w:val="21"/>
          <w:highlight w:val="none"/>
        </w:rPr>
      </w:pPr>
      <w:r>
        <w:rPr>
          <w:rStyle w:val="37"/>
          <w:rFonts w:hint="eastAsia" w:ascii="宋体" w:hAnsi="宋体" w:cs="Times New Roman"/>
          <w:color w:val="auto"/>
          <w:sz w:val="24"/>
          <w:szCs w:val="21"/>
          <w:highlight w:val="none"/>
        </w:rPr>
        <w:t>项目编号：</w:t>
      </w:r>
      <w:r>
        <w:rPr>
          <w:rStyle w:val="37"/>
          <w:rFonts w:hint="eastAsia" w:ascii="宋体" w:hAnsi="宋体" w:cs="Times New Roman"/>
          <w:color w:val="auto"/>
          <w:sz w:val="24"/>
          <w:szCs w:val="21"/>
          <w:highlight w:val="none"/>
          <w:lang w:eastAsia="zh-CN"/>
        </w:rPr>
        <w:t>KSJSX(GK)202</w:t>
      </w:r>
      <w:r>
        <w:rPr>
          <w:rStyle w:val="37"/>
          <w:rFonts w:hint="eastAsia" w:ascii="宋体" w:hAnsi="宋体" w:cs="Times New Roman"/>
          <w:color w:val="auto"/>
          <w:sz w:val="24"/>
          <w:szCs w:val="21"/>
          <w:highlight w:val="none"/>
          <w:lang w:val="en-US" w:eastAsia="zh-CN"/>
        </w:rPr>
        <w:t>5</w:t>
      </w:r>
      <w:r>
        <w:rPr>
          <w:rStyle w:val="37"/>
          <w:rFonts w:hint="eastAsia" w:ascii="宋体" w:hAnsi="宋体" w:cs="Times New Roman"/>
          <w:color w:val="auto"/>
          <w:sz w:val="24"/>
          <w:szCs w:val="21"/>
          <w:highlight w:val="none"/>
          <w:lang w:eastAsia="zh-CN"/>
        </w:rPr>
        <w:t>-</w:t>
      </w:r>
      <w:r>
        <w:rPr>
          <w:rStyle w:val="37"/>
          <w:rFonts w:hint="eastAsia" w:ascii="宋体" w:hAnsi="宋体" w:cs="Times New Roman"/>
          <w:color w:val="auto"/>
          <w:sz w:val="24"/>
          <w:szCs w:val="21"/>
          <w:highlight w:val="none"/>
          <w:lang w:val="en-US" w:eastAsia="zh-CN"/>
        </w:rPr>
        <w:t>19</w:t>
      </w:r>
    </w:p>
    <w:p w14:paraId="02C6C35F">
      <w:pPr>
        <w:numPr>
          <w:ilvl w:val="0"/>
          <w:numId w:val="8"/>
        </w:numPr>
        <w:snapToGrid w:val="0"/>
        <w:spacing w:line="520" w:lineRule="exact"/>
        <w:rPr>
          <w:rStyle w:val="37"/>
          <w:rFonts w:ascii="宋体" w:hAnsi="宋体" w:cs="Times New Roman"/>
          <w:color w:val="auto"/>
          <w:sz w:val="24"/>
          <w:szCs w:val="21"/>
          <w:highlight w:val="none"/>
        </w:rPr>
      </w:pPr>
      <w:r>
        <w:rPr>
          <w:rStyle w:val="37"/>
          <w:rFonts w:ascii="宋体" w:hAnsi="宋体"/>
          <w:color w:val="auto"/>
          <w:sz w:val="24"/>
          <w:szCs w:val="21"/>
          <w:highlight w:val="none"/>
        </w:rPr>
        <w:t>项目名称：</w:t>
      </w:r>
      <w:r>
        <w:rPr>
          <w:rStyle w:val="37"/>
          <w:rFonts w:hint="eastAsia" w:ascii="宋体" w:hAnsi="宋体" w:cs="Times New Roman"/>
          <w:color w:val="auto"/>
          <w:sz w:val="24"/>
          <w:szCs w:val="21"/>
          <w:highlight w:val="none"/>
          <w:lang w:eastAsia="zh-CN"/>
        </w:rPr>
        <w:t>2025年伽师县公安局执法执勤用车采购项目</w:t>
      </w:r>
      <w:r>
        <w:rPr>
          <w:rStyle w:val="37"/>
          <w:rFonts w:hint="eastAsia" w:ascii="宋体" w:hAnsi="宋体" w:cs="Times New Roman"/>
          <w:color w:val="auto"/>
          <w:sz w:val="24"/>
          <w:szCs w:val="21"/>
          <w:highlight w:val="none"/>
          <w:lang w:val="en-US" w:eastAsia="zh-CN"/>
        </w:rPr>
        <w:t>(三次)</w:t>
      </w:r>
    </w:p>
    <w:p w14:paraId="560CF12D">
      <w:pPr>
        <w:numPr>
          <w:ilvl w:val="0"/>
          <w:numId w:val="8"/>
        </w:numPr>
        <w:snapToGrid w:val="0"/>
        <w:spacing w:line="520" w:lineRule="exact"/>
        <w:rPr>
          <w:rStyle w:val="37"/>
          <w:rFonts w:ascii="宋体" w:hAnsi="宋体" w:cs="Times New Roman"/>
          <w:color w:val="auto"/>
          <w:sz w:val="24"/>
          <w:szCs w:val="21"/>
          <w:highlight w:val="none"/>
        </w:rPr>
      </w:pPr>
      <w:r>
        <w:rPr>
          <w:rStyle w:val="37"/>
          <w:rFonts w:hint="eastAsia" w:ascii="宋体" w:hAnsi="宋体" w:cs="Times New Roman"/>
          <w:color w:val="auto"/>
          <w:sz w:val="24"/>
          <w:szCs w:val="21"/>
          <w:highlight w:val="none"/>
        </w:rPr>
        <w:t>预</w:t>
      </w:r>
      <w:r>
        <w:rPr>
          <w:rStyle w:val="37"/>
          <w:rFonts w:ascii="宋体" w:hAnsi="宋体" w:cs="Times New Roman"/>
          <w:color w:val="auto"/>
          <w:sz w:val="24"/>
          <w:szCs w:val="21"/>
          <w:highlight w:val="none"/>
        </w:rPr>
        <w:t>算金额：</w:t>
      </w:r>
      <w:r>
        <w:rPr>
          <w:rStyle w:val="37"/>
          <w:rFonts w:hint="eastAsia" w:ascii="宋体" w:hAnsi="宋体" w:cs="Times New Roman"/>
          <w:color w:val="auto"/>
          <w:sz w:val="24"/>
          <w:szCs w:val="21"/>
          <w:highlight w:val="none"/>
          <w:lang w:val="en-US" w:eastAsia="zh-CN"/>
        </w:rPr>
        <w:t>2160000</w:t>
      </w:r>
      <w:r>
        <w:rPr>
          <w:rStyle w:val="37"/>
          <w:rFonts w:hint="eastAsia" w:ascii="宋体" w:hAnsi="宋体" w:cs="Times New Roman"/>
          <w:color w:val="auto"/>
          <w:sz w:val="24"/>
          <w:szCs w:val="21"/>
          <w:highlight w:val="none"/>
        </w:rPr>
        <w:t>元</w:t>
      </w:r>
      <w:r>
        <w:rPr>
          <w:rStyle w:val="37"/>
          <w:rFonts w:hint="eastAsia" w:ascii="宋体" w:hAnsi="宋体" w:cs="Times New Roman"/>
          <w:color w:val="auto"/>
          <w:sz w:val="24"/>
          <w:szCs w:val="21"/>
          <w:highlight w:val="none"/>
          <w:lang w:eastAsia="zh-CN"/>
        </w:rPr>
        <w:t>（</w:t>
      </w:r>
      <w:r>
        <w:rPr>
          <w:rStyle w:val="37"/>
          <w:rFonts w:hint="eastAsia" w:ascii="宋体" w:hAnsi="宋体" w:cs="Times New Roman"/>
          <w:color w:val="auto"/>
          <w:sz w:val="24"/>
          <w:szCs w:val="21"/>
          <w:highlight w:val="none"/>
          <w:lang w:val="en-US" w:eastAsia="zh-CN"/>
        </w:rPr>
        <w:t>贰佰壹拾陆万元整</w:t>
      </w:r>
      <w:r>
        <w:rPr>
          <w:rStyle w:val="37"/>
          <w:rFonts w:hint="eastAsia" w:ascii="宋体" w:hAnsi="宋体" w:cs="Times New Roman"/>
          <w:color w:val="auto"/>
          <w:sz w:val="24"/>
          <w:szCs w:val="21"/>
          <w:highlight w:val="none"/>
          <w:lang w:eastAsia="zh-CN"/>
        </w:rPr>
        <w:t>）；</w:t>
      </w:r>
    </w:p>
    <w:p w14:paraId="5ABFAB93">
      <w:pPr>
        <w:numPr>
          <w:ilvl w:val="0"/>
          <w:numId w:val="0"/>
        </w:numPr>
        <w:snapToGrid w:val="0"/>
        <w:spacing w:line="520" w:lineRule="exact"/>
        <w:ind w:firstLine="240" w:firstLineChars="100"/>
        <w:rPr>
          <w:rStyle w:val="37"/>
          <w:rFonts w:hint="eastAsia" w:ascii="宋体" w:hAnsi="宋体" w:cs="Times New Roman"/>
          <w:color w:val="auto"/>
          <w:sz w:val="24"/>
          <w:szCs w:val="21"/>
          <w:highlight w:val="none"/>
        </w:rPr>
      </w:pPr>
      <w:r>
        <w:rPr>
          <w:rStyle w:val="37"/>
          <w:rFonts w:hint="eastAsia" w:ascii="宋体" w:hAnsi="宋体" w:cs="Times New Roman"/>
          <w:color w:val="auto"/>
          <w:sz w:val="24"/>
          <w:szCs w:val="21"/>
          <w:highlight w:val="none"/>
        </w:rPr>
        <w:t>最高限价：</w:t>
      </w:r>
      <w:r>
        <w:rPr>
          <w:rStyle w:val="37"/>
          <w:rFonts w:hint="eastAsia" w:ascii="宋体" w:hAnsi="宋体" w:cs="Times New Roman"/>
          <w:color w:val="auto"/>
          <w:sz w:val="24"/>
          <w:szCs w:val="21"/>
          <w:highlight w:val="none"/>
          <w:lang w:val="en-US" w:eastAsia="zh-CN"/>
        </w:rPr>
        <w:t>2160000</w:t>
      </w:r>
      <w:r>
        <w:rPr>
          <w:rStyle w:val="37"/>
          <w:rFonts w:hint="eastAsia" w:ascii="宋体" w:hAnsi="宋体" w:cs="Times New Roman"/>
          <w:color w:val="auto"/>
          <w:sz w:val="24"/>
          <w:szCs w:val="21"/>
          <w:highlight w:val="none"/>
        </w:rPr>
        <w:t>元</w:t>
      </w:r>
      <w:r>
        <w:rPr>
          <w:rStyle w:val="37"/>
          <w:rFonts w:hint="eastAsia" w:ascii="宋体" w:hAnsi="宋体" w:cs="Times New Roman"/>
          <w:color w:val="auto"/>
          <w:sz w:val="24"/>
          <w:szCs w:val="21"/>
          <w:highlight w:val="none"/>
          <w:lang w:eastAsia="zh-CN"/>
        </w:rPr>
        <w:t>（</w:t>
      </w:r>
      <w:r>
        <w:rPr>
          <w:rStyle w:val="37"/>
          <w:rFonts w:hint="eastAsia" w:ascii="宋体" w:hAnsi="宋体" w:cs="Times New Roman"/>
          <w:color w:val="auto"/>
          <w:sz w:val="24"/>
          <w:szCs w:val="21"/>
          <w:highlight w:val="none"/>
          <w:lang w:val="en-US" w:eastAsia="zh-CN"/>
        </w:rPr>
        <w:t>贰佰壹拾陆万元整</w:t>
      </w:r>
      <w:r>
        <w:rPr>
          <w:rStyle w:val="37"/>
          <w:rFonts w:hint="eastAsia" w:ascii="宋体" w:hAnsi="宋体" w:cs="Times New Roman"/>
          <w:color w:val="auto"/>
          <w:sz w:val="24"/>
          <w:szCs w:val="21"/>
          <w:highlight w:val="none"/>
          <w:lang w:eastAsia="zh-CN"/>
        </w:rPr>
        <w:t>）</w:t>
      </w:r>
      <w:r>
        <w:rPr>
          <w:rStyle w:val="37"/>
          <w:rFonts w:hint="eastAsia" w:ascii="宋体" w:hAnsi="宋体" w:cs="Times New Roman"/>
          <w:color w:val="auto"/>
          <w:sz w:val="24"/>
          <w:szCs w:val="21"/>
          <w:highlight w:val="none"/>
        </w:rPr>
        <w:t>；</w:t>
      </w:r>
    </w:p>
    <w:p w14:paraId="520A2B32">
      <w:pPr>
        <w:snapToGrid w:val="0"/>
        <w:spacing w:line="520" w:lineRule="exact"/>
        <w:rPr>
          <w:rStyle w:val="37"/>
          <w:rFonts w:ascii="宋体" w:hAnsi="宋体"/>
          <w:color w:val="auto"/>
          <w:sz w:val="24"/>
          <w:szCs w:val="21"/>
          <w:highlight w:val="none"/>
        </w:rPr>
      </w:pPr>
      <w:r>
        <w:rPr>
          <w:rStyle w:val="37"/>
          <w:rFonts w:ascii="宋体" w:hAnsi="宋体"/>
          <w:color w:val="auto"/>
          <w:sz w:val="24"/>
          <w:szCs w:val="21"/>
          <w:highlight w:val="none"/>
        </w:rPr>
        <w:t>4.资金来源：</w:t>
      </w:r>
      <w:r>
        <w:rPr>
          <w:rStyle w:val="37"/>
          <w:rFonts w:hint="eastAsia" w:ascii="宋体" w:hAnsi="宋体"/>
          <w:color w:val="auto"/>
          <w:sz w:val="24"/>
          <w:szCs w:val="21"/>
          <w:highlight w:val="none"/>
        </w:rPr>
        <w:t>专项资金</w:t>
      </w:r>
    </w:p>
    <w:p w14:paraId="4DAD834A">
      <w:pPr>
        <w:snapToGrid w:val="0"/>
        <w:spacing w:line="560" w:lineRule="exact"/>
        <w:rPr>
          <w:rStyle w:val="37"/>
          <w:rFonts w:hint="default" w:ascii="宋体" w:hAnsi="宋体" w:eastAsia="宋体" w:cs="Times New Roman"/>
          <w:color w:val="auto"/>
          <w:sz w:val="24"/>
          <w:szCs w:val="21"/>
          <w:highlight w:val="none"/>
          <w:lang w:val="en-US" w:eastAsia="zh-CN"/>
        </w:rPr>
      </w:pPr>
      <w:r>
        <w:rPr>
          <w:rStyle w:val="37"/>
          <w:rFonts w:ascii="宋体" w:hAnsi="宋体"/>
          <w:color w:val="auto"/>
          <w:sz w:val="24"/>
          <w:szCs w:val="21"/>
          <w:highlight w:val="none"/>
        </w:rPr>
        <w:t>5.采购需求</w:t>
      </w:r>
      <w:r>
        <w:rPr>
          <w:rStyle w:val="37"/>
          <w:rFonts w:ascii="宋体" w:hAnsi="宋体" w:cs="Times New Roman"/>
          <w:color w:val="auto"/>
          <w:sz w:val="24"/>
          <w:szCs w:val="21"/>
          <w:highlight w:val="none"/>
        </w:rPr>
        <w:t>：</w:t>
      </w:r>
      <w:r>
        <w:rPr>
          <w:rStyle w:val="37"/>
          <w:rFonts w:hint="eastAsia" w:ascii="宋体" w:hAnsi="宋体" w:cs="Times New Roman"/>
          <w:color w:val="auto"/>
          <w:sz w:val="24"/>
          <w:szCs w:val="21"/>
          <w:highlight w:val="none"/>
          <w:lang w:val="en-US" w:eastAsia="zh-CN"/>
        </w:rPr>
        <w:t>采购12辆皮卡车</w:t>
      </w:r>
      <w:r>
        <w:rPr>
          <w:rStyle w:val="37"/>
          <w:rFonts w:hint="eastAsia" w:ascii="宋体" w:hAnsi="宋体" w:cs="Times New Roman"/>
          <w:color w:val="auto"/>
          <w:sz w:val="24"/>
          <w:szCs w:val="21"/>
          <w:highlight w:val="none"/>
        </w:rPr>
        <w:t>；</w:t>
      </w:r>
      <w:r>
        <w:rPr>
          <w:rFonts w:hint="eastAsia" w:ascii="宋体" w:hAnsi="宋体"/>
          <w:color w:val="auto"/>
          <w:sz w:val="24"/>
          <w:szCs w:val="21"/>
          <w:highlight w:val="none"/>
        </w:rPr>
        <w:t>（详细设备、数量、具体参数及要求见招标文件）</w:t>
      </w:r>
      <w:r>
        <w:rPr>
          <w:rStyle w:val="37"/>
          <w:rFonts w:ascii="宋体" w:hAnsi="宋体" w:cs="Times New Roman"/>
          <w:color w:val="auto"/>
          <w:sz w:val="24"/>
          <w:szCs w:val="21"/>
          <w:highlight w:val="none"/>
        </w:rPr>
        <w:t>；</w:t>
      </w:r>
    </w:p>
    <w:p w14:paraId="48119EE9">
      <w:pPr>
        <w:snapToGrid w:val="0"/>
        <w:spacing w:line="400" w:lineRule="exact"/>
        <w:rPr>
          <w:rStyle w:val="37"/>
          <w:rFonts w:ascii="宋体" w:hAnsi="宋体"/>
          <w:color w:val="auto"/>
          <w:sz w:val="24"/>
          <w:szCs w:val="21"/>
          <w:highlight w:val="none"/>
        </w:rPr>
      </w:pPr>
      <w:r>
        <w:rPr>
          <w:rStyle w:val="37"/>
          <w:rFonts w:ascii="宋体" w:hAnsi="宋体"/>
          <w:color w:val="auto"/>
          <w:sz w:val="24"/>
          <w:szCs w:val="21"/>
          <w:highlight w:val="none"/>
        </w:rPr>
        <w:t>本项目不接受联合体投标。</w:t>
      </w:r>
    </w:p>
    <w:p w14:paraId="3EB7E10F">
      <w:pPr>
        <w:snapToGrid w:val="0"/>
        <w:spacing w:line="400" w:lineRule="exact"/>
        <w:rPr>
          <w:rStyle w:val="37"/>
          <w:rFonts w:ascii="宋体" w:hAnsi="宋体" w:cs="Times New Roman"/>
          <w:b/>
          <w:bCs/>
          <w:color w:val="auto"/>
          <w:sz w:val="24"/>
          <w:szCs w:val="21"/>
          <w:highlight w:val="none"/>
        </w:rPr>
      </w:pPr>
      <w:r>
        <w:rPr>
          <w:rStyle w:val="37"/>
          <w:rFonts w:ascii="宋体" w:hAnsi="宋体" w:cs="Times New Roman"/>
          <w:b/>
          <w:bCs/>
          <w:color w:val="auto"/>
          <w:sz w:val="24"/>
          <w:szCs w:val="21"/>
          <w:highlight w:val="none"/>
        </w:rPr>
        <w:t>二、申请人的资格要求：</w:t>
      </w:r>
    </w:p>
    <w:p w14:paraId="37964E35">
      <w:pPr>
        <w:snapToGrid w:val="0"/>
        <w:spacing w:line="400" w:lineRule="exact"/>
        <w:rPr>
          <w:rFonts w:hint="eastAsia" w:ascii="宋体" w:hAnsi="宋体"/>
          <w:color w:val="auto"/>
          <w:sz w:val="24"/>
          <w:szCs w:val="21"/>
          <w:highlight w:val="none"/>
        </w:rPr>
      </w:pPr>
      <w:r>
        <w:rPr>
          <w:rFonts w:hint="eastAsia" w:ascii="宋体" w:hAnsi="宋体"/>
          <w:color w:val="auto"/>
          <w:sz w:val="24"/>
          <w:szCs w:val="21"/>
          <w:highlight w:val="none"/>
        </w:rPr>
        <w:t>1.满足《中华人民共和国政府采购法》第二十二条要求：</w:t>
      </w:r>
    </w:p>
    <w:p w14:paraId="45793D05">
      <w:pPr>
        <w:snapToGrid w:val="0"/>
        <w:spacing w:line="400" w:lineRule="exact"/>
        <w:rPr>
          <w:rFonts w:hint="eastAsia" w:ascii="宋体" w:hAnsi="宋体"/>
          <w:color w:val="auto"/>
          <w:sz w:val="24"/>
          <w:szCs w:val="21"/>
          <w:highlight w:val="none"/>
        </w:rPr>
      </w:pPr>
      <w:r>
        <w:rPr>
          <w:rFonts w:hint="eastAsia" w:ascii="宋体" w:hAnsi="宋体"/>
          <w:color w:val="auto"/>
          <w:sz w:val="24"/>
          <w:szCs w:val="21"/>
          <w:highlight w:val="none"/>
        </w:rPr>
        <w:t>（1）具有独立承担民事责任的能力（营业执照及法定代表人证明或法定代表人授权委托书）；</w:t>
      </w:r>
    </w:p>
    <w:p w14:paraId="5C049FE5">
      <w:pPr>
        <w:snapToGrid w:val="0"/>
        <w:spacing w:line="400" w:lineRule="exact"/>
        <w:rPr>
          <w:rFonts w:hint="eastAsia" w:ascii="宋体" w:hAnsi="宋体"/>
          <w:color w:val="auto"/>
          <w:sz w:val="24"/>
          <w:szCs w:val="21"/>
          <w:highlight w:val="none"/>
        </w:rPr>
      </w:pPr>
      <w:r>
        <w:rPr>
          <w:rFonts w:hint="eastAsia" w:ascii="宋体" w:hAnsi="宋体"/>
          <w:color w:val="auto"/>
          <w:sz w:val="24"/>
          <w:szCs w:val="21"/>
          <w:highlight w:val="none"/>
        </w:rPr>
        <w:t>（2）具有健全的财务会计制度（会计事务所出具的202</w:t>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年或202</w:t>
      </w:r>
      <w:r>
        <w:rPr>
          <w:rFonts w:hint="eastAsia" w:ascii="宋体" w:hAnsi="宋体"/>
          <w:color w:val="auto"/>
          <w:sz w:val="24"/>
          <w:szCs w:val="21"/>
          <w:highlight w:val="none"/>
          <w:lang w:val="en-US" w:eastAsia="zh-CN"/>
        </w:rPr>
        <w:t>4</w:t>
      </w:r>
      <w:r>
        <w:rPr>
          <w:rFonts w:hint="eastAsia" w:ascii="宋体" w:hAnsi="宋体"/>
          <w:color w:val="auto"/>
          <w:sz w:val="24"/>
          <w:szCs w:val="21"/>
          <w:highlight w:val="none"/>
        </w:rPr>
        <w:t>年的年度财务审计报告书；注册成立未满一年新公司可提供近三个月内任意一个月的银行资信证明）；</w:t>
      </w:r>
    </w:p>
    <w:p w14:paraId="6C4C1A0A">
      <w:pPr>
        <w:snapToGrid w:val="0"/>
        <w:spacing w:line="400" w:lineRule="exact"/>
        <w:rPr>
          <w:rFonts w:hint="eastAsia" w:ascii="宋体" w:hAnsi="宋体"/>
          <w:color w:val="auto"/>
          <w:sz w:val="24"/>
          <w:szCs w:val="21"/>
          <w:highlight w:val="none"/>
        </w:rPr>
      </w:pPr>
      <w:r>
        <w:rPr>
          <w:rFonts w:hint="eastAsia" w:ascii="宋体" w:hAnsi="宋体"/>
          <w:color w:val="auto"/>
          <w:sz w:val="24"/>
          <w:szCs w:val="21"/>
          <w:highlight w:val="none"/>
        </w:rPr>
        <w:t>（3）具有履行合同所必需的设备和专业技术能力；</w:t>
      </w:r>
    </w:p>
    <w:p w14:paraId="30B0EABD">
      <w:pPr>
        <w:snapToGrid w:val="0"/>
        <w:spacing w:line="400" w:lineRule="exact"/>
        <w:rPr>
          <w:rFonts w:hint="eastAsia" w:ascii="宋体" w:hAnsi="宋体"/>
          <w:color w:val="auto"/>
          <w:sz w:val="24"/>
          <w:szCs w:val="21"/>
          <w:highlight w:val="none"/>
        </w:rPr>
      </w:pPr>
      <w:r>
        <w:rPr>
          <w:rFonts w:hint="eastAsia" w:ascii="宋体" w:hAnsi="宋体"/>
          <w:color w:val="auto"/>
          <w:sz w:val="24"/>
          <w:szCs w:val="21"/>
          <w:highlight w:val="none"/>
        </w:rPr>
        <w:t>（4）有依法缴纳税收和社会保障资金的良好记录（近三个月（任意一个月）社保证明及完税证明）；</w:t>
      </w:r>
    </w:p>
    <w:p w14:paraId="195CB94E">
      <w:pPr>
        <w:snapToGrid w:val="0"/>
        <w:spacing w:line="400" w:lineRule="exact"/>
        <w:rPr>
          <w:rFonts w:hint="eastAsia" w:ascii="宋体" w:hAnsi="宋体"/>
          <w:color w:val="auto"/>
          <w:sz w:val="24"/>
          <w:szCs w:val="21"/>
          <w:highlight w:val="none"/>
        </w:rPr>
      </w:pPr>
      <w:r>
        <w:rPr>
          <w:rFonts w:hint="eastAsia" w:ascii="宋体" w:hAnsi="宋体"/>
          <w:color w:val="auto"/>
          <w:sz w:val="24"/>
          <w:szCs w:val="21"/>
          <w:highlight w:val="none"/>
        </w:rPr>
        <w:t>（5）参加政府采购活动前三年内，在经营活动中没有重大违法记录；</w:t>
      </w:r>
    </w:p>
    <w:p w14:paraId="0920ADB7">
      <w:pPr>
        <w:snapToGrid w:val="0"/>
        <w:spacing w:line="400" w:lineRule="exact"/>
        <w:rPr>
          <w:rFonts w:hint="eastAsia" w:ascii="宋体" w:hAnsi="宋体"/>
          <w:color w:val="auto"/>
          <w:sz w:val="24"/>
          <w:szCs w:val="21"/>
          <w:highlight w:val="none"/>
        </w:rPr>
      </w:pPr>
      <w:r>
        <w:rPr>
          <w:rFonts w:hint="eastAsia" w:ascii="宋体" w:hAnsi="宋体"/>
          <w:color w:val="auto"/>
          <w:sz w:val="24"/>
          <w:szCs w:val="21"/>
          <w:highlight w:val="none"/>
        </w:rPr>
        <w:t>（6）法律、行政法规规定的其他条件；</w:t>
      </w:r>
    </w:p>
    <w:p w14:paraId="1EAFA57B">
      <w:pPr>
        <w:snapToGrid w:val="0"/>
        <w:spacing w:line="400" w:lineRule="exact"/>
        <w:rPr>
          <w:rFonts w:hint="eastAsia" w:ascii="宋体" w:hAnsi="宋体"/>
          <w:color w:val="auto"/>
          <w:sz w:val="24"/>
          <w:szCs w:val="21"/>
          <w:highlight w:val="none"/>
        </w:rPr>
      </w:pPr>
      <w:r>
        <w:rPr>
          <w:rFonts w:hint="eastAsia" w:ascii="宋体" w:hAnsi="宋体"/>
          <w:color w:val="auto"/>
          <w:sz w:val="24"/>
          <w:szCs w:val="21"/>
          <w:highlight w:val="none"/>
        </w:rPr>
        <w:t>2.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w:t>
      </w:r>
    </w:p>
    <w:p w14:paraId="1F1F7767">
      <w:pPr>
        <w:snapToGrid w:val="0"/>
        <w:spacing w:line="400" w:lineRule="exact"/>
        <w:rPr>
          <w:rFonts w:hint="default" w:eastAsia="微软雅黑"/>
          <w:color w:val="auto"/>
          <w:highlight w:val="none"/>
          <w:lang w:val="en-US" w:eastAsia="zh-CN"/>
        </w:rPr>
      </w:pPr>
      <w:r>
        <w:rPr>
          <w:rFonts w:hint="eastAsia" w:ascii="宋体" w:hAnsi="宋体"/>
          <w:color w:val="auto"/>
          <w:sz w:val="24"/>
          <w:szCs w:val="21"/>
          <w:highlight w:val="none"/>
          <w:lang w:val="en-US" w:eastAsia="zh-CN"/>
        </w:rPr>
        <w:t>3.本项目的特定资质要求：具有履行合同所必须的设备和专业技术能力。</w:t>
      </w:r>
    </w:p>
    <w:p w14:paraId="328E5787">
      <w:pPr>
        <w:snapToGrid w:val="0"/>
        <w:spacing w:line="400" w:lineRule="exact"/>
        <w:rPr>
          <w:rStyle w:val="37"/>
          <w:rFonts w:ascii="宋体" w:hAnsi="宋体" w:cs="Times New Roman"/>
          <w:b/>
          <w:bCs/>
          <w:color w:val="auto"/>
          <w:sz w:val="24"/>
          <w:szCs w:val="21"/>
          <w:highlight w:val="none"/>
        </w:rPr>
      </w:pPr>
      <w:r>
        <w:rPr>
          <w:rStyle w:val="37"/>
          <w:rFonts w:ascii="宋体" w:hAnsi="宋体" w:cs="Times New Roman"/>
          <w:b/>
          <w:bCs/>
          <w:color w:val="auto"/>
          <w:sz w:val="24"/>
          <w:szCs w:val="21"/>
          <w:highlight w:val="none"/>
        </w:rPr>
        <w:t>三、获取招标文件</w:t>
      </w:r>
    </w:p>
    <w:p w14:paraId="6684AAD7">
      <w:pPr>
        <w:jc w:val="left"/>
        <w:rPr>
          <w:rFonts w:ascii="宋体" w:hAnsi="宋体" w:cs="Times New Roman"/>
          <w:color w:val="auto"/>
          <w:sz w:val="24"/>
          <w:szCs w:val="21"/>
          <w:highlight w:val="none"/>
        </w:rPr>
      </w:pPr>
      <w:r>
        <w:rPr>
          <w:rFonts w:hint="eastAsia" w:ascii="宋体" w:hAnsi="宋体" w:cs="Times New Roman"/>
          <w:color w:val="auto"/>
          <w:sz w:val="24"/>
          <w:szCs w:val="21"/>
          <w:highlight w:val="none"/>
        </w:rPr>
        <w:t>获取时间：</w:t>
      </w:r>
      <w:r>
        <w:rPr>
          <w:rFonts w:hint="eastAsia" w:ascii="宋体" w:hAnsi="宋体" w:cs="Times New Roman"/>
          <w:color w:val="auto"/>
          <w:sz w:val="24"/>
          <w:szCs w:val="21"/>
          <w:highlight w:val="yellow"/>
        </w:rPr>
        <w:t>202</w:t>
      </w:r>
      <w:r>
        <w:rPr>
          <w:rFonts w:hint="eastAsia" w:ascii="宋体" w:hAnsi="宋体" w:cs="Times New Roman"/>
          <w:color w:val="auto"/>
          <w:sz w:val="24"/>
          <w:szCs w:val="21"/>
          <w:highlight w:val="yellow"/>
          <w:lang w:val="en-US" w:eastAsia="zh-CN"/>
        </w:rPr>
        <w:t>5</w:t>
      </w:r>
      <w:r>
        <w:rPr>
          <w:rFonts w:hint="eastAsia" w:ascii="宋体" w:hAnsi="宋体" w:cs="Times New Roman"/>
          <w:color w:val="auto"/>
          <w:sz w:val="24"/>
          <w:szCs w:val="21"/>
          <w:highlight w:val="yellow"/>
        </w:rPr>
        <w:t>年</w:t>
      </w:r>
      <w:r>
        <w:rPr>
          <w:rFonts w:hint="eastAsia" w:ascii="宋体" w:hAnsi="宋体" w:cs="Times New Roman"/>
          <w:color w:val="auto"/>
          <w:sz w:val="24"/>
          <w:szCs w:val="21"/>
          <w:highlight w:val="yellow"/>
          <w:lang w:val="en-US" w:eastAsia="zh-CN"/>
        </w:rPr>
        <w:t>7</w:t>
      </w:r>
      <w:r>
        <w:rPr>
          <w:rFonts w:hint="eastAsia" w:ascii="宋体" w:hAnsi="宋体" w:cs="Times New Roman"/>
          <w:color w:val="auto"/>
          <w:sz w:val="24"/>
          <w:szCs w:val="21"/>
          <w:highlight w:val="yellow"/>
        </w:rPr>
        <w:t>月</w:t>
      </w:r>
      <w:r>
        <w:rPr>
          <w:rFonts w:hint="eastAsia" w:ascii="宋体" w:hAnsi="宋体" w:cs="Times New Roman"/>
          <w:color w:val="auto"/>
          <w:sz w:val="24"/>
          <w:szCs w:val="21"/>
          <w:highlight w:val="yellow"/>
          <w:lang w:val="en-US" w:eastAsia="zh-CN"/>
        </w:rPr>
        <w:t>3</w:t>
      </w:r>
      <w:r>
        <w:rPr>
          <w:rFonts w:hint="eastAsia" w:ascii="宋体" w:hAnsi="宋体" w:cs="Times New Roman"/>
          <w:color w:val="auto"/>
          <w:sz w:val="24"/>
          <w:szCs w:val="21"/>
          <w:highlight w:val="yellow"/>
        </w:rPr>
        <w:t>日至202</w:t>
      </w:r>
      <w:r>
        <w:rPr>
          <w:rFonts w:hint="eastAsia" w:ascii="宋体" w:hAnsi="宋体" w:cs="Times New Roman"/>
          <w:color w:val="auto"/>
          <w:sz w:val="24"/>
          <w:szCs w:val="21"/>
          <w:highlight w:val="yellow"/>
          <w:lang w:val="en-US" w:eastAsia="zh-CN"/>
        </w:rPr>
        <w:t>5</w:t>
      </w:r>
      <w:r>
        <w:rPr>
          <w:rFonts w:hint="eastAsia" w:ascii="宋体" w:hAnsi="宋体" w:cs="Times New Roman"/>
          <w:color w:val="auto"/>
          <w:sz w:val="24"/>
          <w:szCs w:val="21"/>
          <w:highlight w:val="yellow"/>
        </w:rPr>
        <w:t>年</w:t>
      </w:r>
      <w:r>
        <w:rPr>
          <w:rFonts w:hint="eastAsia" w:ascii="宋体" w:hAnsi="宋体" w:cs="Times New Roman"/>
          <w:color w:val="auto"/>
          <w:sz w:val="24"/>
          <w:szCs w:val="21"/>
          <w:highlight w:val="yellow"/>
          <w:lang w:val="en-US" w:eastAsia="zh-CN"/>
        </w:rPr>
        <w:t>7</w:t>
      </w:r>
      <w:r>
        <w:rPr>
          <w:rFonts w:hint="eastAsia" w:ascii="宋体" w:hAnsi="宋体" w:cs="Times New Roman"/>
          <w:color w:val="auto"/>
          <w:sz w:val="24"/>
          <w:szCs w:val="21"/>
          <w:highlight w:val="yellow"/>
        </w:rPr>
        <w:t>月</w:t>
      </w:r>
      <w:r>
        <w:rPr>
          <w:rFonts w:hint="eastAsia" w:ascii="宋体" w:hAnsi="宋体" w:cs="Times New Roman"/>
          <w:color w:val="auto"/>
          <w:sz w:val="24"/>
          <w:szCs w:val="21"/>
          <w:highlight w:val="yellow"/>
          <w:lang w:val="en-US" w:eastAsia="zh-CN"/>
        </w:rPr>
        <w:t>10</w:t>
      </w:r>
      <w:r>
        <w:rPr>
          <w:rFonts w:hint="eastAsia" w:ascii="宋体" w:hAnsi="宋体" w:cs="Times New Roman"/>
          <w:color w:val="auto"/>
          <w:sz w:val="24"/>
          <w:szCs w:val="21"/>
          <w:highlight w:val="yellow"/>
        </w:rPr>
        <w:t xml:space="preserve">日，每天上午 </w:t>
      </w:r>
      <w:r>
        <w:rPr>
          <w:rFonts w:hint="eastAsia" w:ascii="宋体" w:hAnsi="宋体" w:cs="Times New Roman"/>
          <w:color w:val="auto"/>
          <w:sz w:val="24"/>
          <w:szCs w:val="21"/>
          <w:highlight w:val="yellow"/>
          <w:lang w:val="en-US" w:eastAsia="zh-CN"/>
        </w:rPr>
        <w:t>0</w:t>
      </w:r>
      <w:r>
        <w:rPr>
          <w:rFonts w:hint="eastAsia" w:ascii="宋体" w:hAnsi="宋体" w:cs="Times New Roman"/>
          <w:color w:val="auto"/>
          <w:sz w:val="24"/>
          <w:szCs w:val="21"/>
          <w:highlight w:val="yellow"/>
        </w:rPr>
        <w:t>0:00 至 14:00，下午 1</w:t>
      </w:r>
      <w:r>
        <w:rPr>
          <w:rFonts w:hint="eastAsia" w:ascii="宋体" w:hAnsi="宋体" w:cs="Times New Roman"/>
          <w:color w:val="auto"/>
          <w:sz w:val="24"/>
          <w:szCs w:val="21"/>
          <w:highlight w:val="yellow"/>
          <w:lang w:val="en-US" w:eastAsia="zh-CN"/>
        </w:rPr>
        <w:t>4</w:t>
      </w:r>
      <w:r>
        <w:rPr>
          <w:rFonts w:hint="eastAsia" w:ascii="宋体" w:hAnsi="宋体" w:cs="Times New Roman"/>
          <w:color w:val="auto"/>
          <w:sz w:val="24"/>
          <w:szCs w:val="21"/>
          <w:highlight w:val="yellow"/>
        </w:rPr>
        <w:t>:00 至 2</w:t>
      </w:r>
      <w:r>
        <w:rPr>
          <w:rFonts w:hint="eastAsia" w:ascii="宋体" w:hAnsi="宋体" w:cs="Times New Roman"/>
          <w:color w:val="auto"/>
          <w:sz w:val="24"/>
          <w:szCs w:val="21"/>
          <w:highlight w:val="yellow"/>
          <w:lang w:val="en-US" w:eastAsia="zh-CN"/>
        </w:rPr>
        <w:t>3</w:t>
      </w:r>
      <w:r>
        <w:rPr>
          <w:rFonts w:hint="eastAsia" w:ascii="宋体" w:hAnsi="宋体" w:cs="Times New Roman"/>
          <w:color w:val="auto"/>
          <w:sz w:val="24"/>
          <w:szCs w:val="21"/>
          <w:highlight w:val="yellow"/>
        </w:rPr>
        <w:t>:</w:t>
      </w:r>
      <w:r>
        <w:rPr>
          <w:rFonts w:hint="eastAsia" w:ascii="宋体" w:hAnsi="宋体" w:cs="Times New Roman"/>
          <w:color w:val="auto"/>
          <w:sz w:val="24"/>
          <w:szCs w:val="21"/>
          <w:highlight w:val="yellow"/>
          <w:lang w:val="en-US" w:eastAsia="zh-CN"/>
        </w:rPr>
        <w:t>59</w:t>
      </w:r>
      <w:r>
        <w:rPr>
          <w:rFonts w:hint="eastAsia" w:ascii="宋体" w:hAnsi="宋体" w:cs="Times New Roman"/>
          <w:color w:val="auto"/>
          <w:sz w:val="24"/>
          <w:szCs w:val="21"/>
          <w:highlight w:val="yellow"/>
        </w:rPr>
        <w:t>（北</w:t>
      </w:r>
      <w:r>
        <w:rPr>
          <w:rFonts w:hint="eastAsia" w:ascii="宋体" w:hAnsi="宋体" w:cs="Times New Roman"/>
          <w:color w:val="auto"/>
          <w:sz w:val="24"/>
          <w:szCs w:val="21"/>
          <w:highlight w:val="none"/>
        </w:rPr>
        <w:t>京时间，法定节假日除外）。</w:t>
      </w:r>
    </w:p>
    <w:p w14:paraId="26049598">
      <w:pPr>
        <w:spacing w:line="500" w:lineRule="exact"/>
        <w:rPr>
          <w:rFonts w:ascii="宋体" w:hAnsi="宋体"/>
          <w:color w:val="auto"/>
          <w:szCs w:val="21"/>
          <w:highlight w:val="none"/>
        </w:rPr>
      </w:pPr>
      <w:r>
        <w:rPr>
          <w:rFonts w:hint="eastAsia" w:ascii="宋体" w:hAnsi="宋体" w:cs="Times New Roman"/>
          <w:color w:val="auto"/>
          <w:sz w:val="24"/>
          <w:szCs w:val="21"/>
          <w:highlight w:val="none"/>
        </w:rPr>
        <w:t>获取地点：新疆政府采购网</w:t>
      </w:r>
    </w:p>
    <w:p w14:paraId="0877D1CE">
      <w:pPr>
        <w:widowControl w:val="0"/>
        <w:spacing w:line="400" w:lineRule="exact"/>
        <w:textAlignment w:val="auto"/>
        <w:rPr>
          <w:rFonts w:ascii="宋体" w:hAnsi="宋体" w:cs="Times New Roman"/>
          <w:color w:val="auto"/>
          <w:sz w:val="24"/>
          <w:szCs w:val="21"/>
          <w:highlight w:val="none"/>
        </w:rPr>
      </w:pPr>
      <w:r>
        <w:rPr>
          <w:rFonts w:hint="eastAsia" w:ascii="宋体" w:hAnsi="宋体" w:cs="Times New Roman"/>
          <w:color w:val="auto"/>
          <w:sz w:val="24"/>
          <w:szCs w:val="21"/>
          <w:highlight w:val="none"/>
        </w:rPr>
        <w:t xml:space="preserve">获取方式：供应商登陆政采云平台 http://www.zcygov.cn/，在线获取招标文件 </w:t>
      </w:r>
    </w:p>
    <w:p w14:paraId="1316B3C6">
      <w:pPr>
        <w:widowControl w:val="0"/>
        <w:spacing w:line="400" w:lineRule="exact"/>
        <w:textAlignment w:val="auto"/>
        <w:rPr>
          <w:rFonts w:ascii="宋体" w:hAnsi="宋体" w:cs="Times New Roman"/>
          <w:color w:val="auto"/>
          <w:sz w:val="24"/>
          <w:szCs w:val="21"/>
          <w:highlight w:val="none"/>
        </w:rPr>
      </w:pPr>
      <w:r>
        <w:rPr>
          <w:rFonts w:hint="eastAsia" w:ascii="宋体" w:hAnsi="宋体" w:cs="Times New Roman"/>
          <w:color w:val="auto"/>
          <w:sz w:val="24"/>
          <w:szCs w:val="21"/>
          <w:highlight w:val="none"/>
        </w:rPr>
        <w:t xml:space="preserve">（登录政府采购云平台→ 项目采购 → 获取招标文件，通过后可下载招标文件， </w:t>
      </w:r>
    </w:p>
    <w:p w14:paraId="692BCF2C">
      <w:pPr>
        <w:widowControl w:val="0"/>
        <w:spacing w:line="400" w:lineRule="exact"/>
        <w:textAlignment w:val="auto"/>
        <w:rPr>
          <w:rFonts w:ascii="宋体" w:hAnsi="宋体" w:cs="Times New Roman"/>
          <w:color w:val="auto"/>
          <w:sz w:val="24"/>
          <w:szCs w:val="21"/>
          <w:highlight w:val="none"/>
        </w:rPr>
      </w:pPr>
      <w:r>
        <w:rPr>
          <w:rFonts w:hint="eastAsia" w:ascii="宋体" w:hAnsi="宋体" w:cs="Times New Roman"/>
          <w:color w:val="auto"/>
          <w:sz w:val="24"/>
          <w:szCs w:val="21"/>
          <w:highlight w:val="none"/>
        </w:rPr>
        <w:t>如有操作性问题，可与政采云在线客服进行咨询，咨询电话：</w:t>
      </w:r>
      <w:r>
        <w:rPr>
          <w:rFonts w:ascii="微软雅黑" w:hAnsi="微软雅黑" w:eastAsia="微软雅黑" w:cs="微软雅黑"/>
          <w:color w:val="auto"/>
          <w:szCs w:val="21"/>
          <w:highlight w:val="none"/>
          <w:shd w:val="clear" w:color="auto" w:fill="FFFFFF"/>
        </w:rPr>
        <w:t>95763</w:t>
      </w:r>
      <w:r>
        <w:rPr>
          <w:rFonts w:hint="eastAsia" w:ascii="宋体" w:hAnsi="宋体" w:cs="Times New Roman"/>
          <w:color w:val="auto"/>
          <w:sz w:val="24"/>
          <w:szCs w:val="21"/>
          <w:highlight w:val="none"/>
        </w:rPr>
        <w:t>）</w:t>
      </w:r>
    </w:p>
    <w:p w14:paraId="13433504">
      <w:pPr>
        <w:spacing w:line="500" w:lineRule="exact"/>
        <w:rPr>
          <w:rFonts w:ascii="宋体" w:hAnsi="宋体" w:cs="Times New Roman"/>
          <w:color w:val="auto"/>
          <w:sz w:val="24"/>
          <w:szCs w:val="21"/>
          <w:highlight w:val="none"/>
        </w:rPr>
      </w:pPr>
      <w:r>
        <w:rPr>
          <w:rFonts w:hint="eastAsia" w:ascii="宋体" w:hAnsi="宋体" w:cs="Times New Roman"/>
          <w:color w:val="auto"/>
          <w:sz w:val="24"/>
          <w:szCs w:val="21"/>
          <w:highlight w:val="none"/>
        </w:rPr>
        <w:t>售价：0元</w:t>
      </w:r>
    </w:p>
    <w:p w14:paraId="68D9F96A">
      <w:pPr>
        <w:snapToGrid w:val="0"/>
        <w:spacing w:line="400" w:lineRule="exact"/>
        <w:rPr>
          <w:rStyle w:val="37"/>
          <w:rFonts w:ascii="宋体" w:hAnsi="宋体" w:cs="Times New Roman"/>
          <w:b/>
          <w:bCs/>
          <w:color w:val="auto"/>
          <w:sz w:val="30"/>
          <w:szCs w:val="30"/>
          <w:highlight w:val="none"/>
        </w:rPr>
      </w:pPr>
      <w:r>
        <w:rPr>
          <w:rStyle w:val="37"/>
          <w:rFonts w:ascii="宋体" w:hAnsi="宋体" w:cs="Times New Roman"/>
          <w:b/>
          <w:bCs/>
          <w:color w:val="auto"/>
          <w:sz w:val="24"/>
          <w:szCs w:val="21"/>
          <w:highlight w:val="none"/>
        </w:rPr>
        <w:t>四、提交投标文件截止时间、开标时间和地点</w:t>
      </w:r>
    </w:p>
    <w:p w14:paraId="660EBAF3">
      <w:pPr>
        <w:widowControl w:val="0"/>
        <w:spacing w:line="400" w:lineRule="exact"/>
        <w:textAlignment w:val="auto"/>
        <w:rPr>
          <w:rFonts w:hint="eastAsia" w:ascii="宋体" w:hAnsi="宋体" w:cs="Times New Roman"/>
          <w:color w:val="auto"/>
          <w:sz w:val="24"/>
          <w:szCs w:val="21"/>
          <w:highlight w:val="yellow"/>
        </w:rPr>
      </w:pPr>
      <w:r>
        <w:rPr>
          <w:rFonts w:hint="eastAsia" w:ascii="宋体" w:hAnsi="宋体" w:cs="Times New Roman"/>
          <w:color w:val="auto"/>
          <w:sz w:val="24"/>
          <w:szCs w:val="21"/>
          <w:highlight w:val="none"/>
        </w:rPr>
        <w:t>提交投标文件截止时间：</w:t>
      </w:r>
      <w:r>
        <w:rPr>
          <w:rFonts w:hint="eastAsia" w:ascii="宋体" w:hAnsi="宋体" w:cs="Times New Roman"/>
          <w:color w:val="auto"/>
          <w:sz w:val="24"/>
          <w:szCs w:val="21"/>
          <w:highlight w:val="yellow"/>
        </w:rPr>
        <w:t>202</w:t>
      </w:r>
      <w:r>
        <w:rPr>
          <w:rFonts w:hint="eastAsia" w:ascii="宋体" w:hAnsi="宋体" w:cs="Times New Roman"/>
          <w:color w:val="auto"/>
          <w:sz w:val="24"/>
          <w:szCs w:val="21"/>
          <w:highlight w:val="yellow"/>
          <w:lang w:val="en-US" w:eastAsia="zh-CN"/>
        </w:rPr>
        <w:t>5</w:t>
      </w:r>
      <w:r>
        <w:rPr>
          <w:rFonts w:hint="eastAsia" w:ascii="宋体" w:hAnsi="宋体" w:cs="Times New Roman"/>
          <w:color w:val="auto"/>
          <w:sz w:val="24"/>
          <w:szCs w:val="21"/>
          <w:highlight w:val="yellow"/>
        </w:rPr>
        <w:t>年</w:t>
      </w:r>
      <w:r>
        <w:rPr>
          <w:rFonts w:hint="eastAsia" w:ascii="宋体" w:hAnsi="宋体" w:cs="Times New Roman"/>
          <w:color w:val="auto"/>
          <w:sz w:val="24"/>
          <w:szCs w:val="21"/>
          <w:highlight w:val="yellow"/>
          <w:lang w:val="en-US" w:eastAsia="zh-CN"/>
        </w:rPr>
        <w:t>7</w:t>
      </w:r>
      <w:r>
        <w:rPr>
          <w:rFonts w:hint="eastAsia" w:ascii="宋体" w:hAnsi="宋体" w:cs="Times New Roman"/>
          <w:color w:val="auto"/>
          <w:sz w:val="24"/>
          <w:szCs w:val="21"/>
          <w:highlight w:val="yellow"/>
        </w:rPr>
        <w:t>月</w:t>
      </w:r>
      <w:r>
        <w:rPr>
          <w:rFonts w:hint="eastAsia" w:ascii="宋体" w:hAnsi="宋体" w:cs="Times New Roman"/>
          <w:color w:val="auto"/>
          <w:sz w:val="24"/>
          <w:szCs w:val="21"/>
          <w:highlight w:val="yellow"/>
          <w:lang w:val="en-US" w:eastAsia="zh-CN"/>
        </w:rPr>
        <w:t>25</w:t>
      </w:r>
      <w:r>
        <w:rPr>
          <w:rFonts w:hint="eastAsia" w:ascii="宋体" w:hAnsi="宋体" w:cs="Times New Roman"/>
          <w:color w:val="auto"/>
          <w:sz w:val="24"/>
          <w:szCs w:val="21"/>
          <w:highlight w:val="yellow"/>
        </w:rPr>
        <w:t>日1</w:t>
      </w:r>
      <w:r>
        <w:rPr>
          <w:rFonts w:hint="eastAsia" w:ascii="宋体" w:hAnsi="宋体" w:cs="Times New Roman"/>
          <w:color w:val="auto"/>
          <w:sz w:val="24"/>
          <w:szCs w:val="21"/>
          <w:highlight w:val="yellow"/>
          <w:lang w:val="en-US" w:eastAsia="zh-CN"/>
        </w:rPr>
        <w:t>1</w:t>
      </w:r>
      <w:r>
        <w:rPr>
          <w:rFonts w:hint="eastAsia" w:ascii="宋体" w:hAnsi="宋体" w:cs="Times New Roman"/>
          <w:color w:val="auto"/>
          <w:sz w:val="24"/>
          <w:szCs w:val="21"/>
          <w:highlight w:val="yellow"/>
        </w:rPr>
        <w:t>时00分（北京时间）</w:t>
      </w:r>
    </w:p>
    <w:p w14:paraId="0E4B7EB5">
      <w:pPr>
        <w:widowControl w:val="0"/>
        <w:spacing w:line="400" w:lineRule="exact"/>
        <w:textAlignment w:val="auto"/>
        <w:rPr>
          <w:rFonts w:ascii="宋体" w:hAnsi="宋体" w:cs="Times New Roman"/>
          <w:color w:val="auto"/>
          <w:sz w:val="24"/>
          <w:szCs w:val="21"/>
          <w:highlight w:val="none"/>
        </w:rPr>
      </w:pPr>
      <w:r>
        <w:rPr>
          <w:rFonts w:hint="eastAsia" w:ascii="宋体" w:hAnsi="宋体" w:cs="Times New Roman"/>
          <w:color w:val="auto"/>
          <w:sz w:val="24"/>
          <w:szCs w:val="21"/>
          <w:highlight w:val="none"/>
        </w:rPr>
        <w:t xml:space="preserve">投标地点：政采云平台（https://login.zcygov.cn/user-login/#/login） </w:t>
      </w:r>
    </w:p>
    <w:p w14:paraId="2E524CE3">
      <w:pPr>
        <w:widowControl w:val="0"/>
        <w:spacing w:line="400" w:lineRule="exact"/>
        <w:textAlignment w:val="auto"/>
        <w:rPr>
          <w:rFonts w:ascii="宋体" w:hAnsi="宋体" w:cs="Times New Roman"/>
          <w:color w:val="000000"/>
          <w:sz w:val="24"/>
          <w:szCs w:val="21"/>
        </w:rPr>
      </w:pPr>
      <w:r>
        <w:rPr>
          <w:rFonts w:hint="eastAsia" w:ascii="宋体" w:hAnsi="宋体" w:cs="Times New Roman"/>
          <w:color w:val="auto"/>
          <w:sz w:val="24"/>
          <w:szCs w:val="21"/>
          <w:highlight w:val="none"/>
        </w:rPr>
        <w:t>开标时间：</w:t>
      </w:r>
      <w:r>
        <w:rPr>
          <w:rFonts w:hint="eastAsia" w:ascii="宋体" w:hAnsi="宋体" w:cs="Times New Roman"/>
          <w:color w:val="auto"/>
          <w:sz w:val="24"/>
          <w:szCs w:val="21"/>
          <w:highlight w:val="yellow"/>
        </w:rPr>
        <w:t>202</w:t>
      </w:r>
      <w:r>
        <w:rPr>
          <w:rFonts w:hint="eastAsia" w:ascii="宋体" w:hAnsi="宋体" w:cs="Times New Roman"/>
          <w:color w:val="auto"/>
          <w:sz w:val="24"/>
          <w:szCs w:val="21"/>
          <w:highlight w:val="yellow"/>
          <w:lang w:val="en-US" w:eastAsia="zh-CN"/>
        </w:rPr>
        <w:t>5</w:t>
      </w:r>
      <w:r>
        <w:rPr>
          <w:rFonts w:hint="eastAsia" w:ascii="宋体" w:hAnsi="宋体" w:cs="Times New Roman"/>
          <w:color w:val="auto"/>
          <w:sz w:val="24"/>
          <w:szCs w:val="21"/>
          <w:highlight w:val="yellow"/>
        </w:rPr>
        <w:t>年</w:t>
      </w:r>
      <w:r>
        <w:rPr>
          <w:rFonts w:hint="eastAsia" w:ascii="宋体" w:hAnsi="宋体" w:cs="Times New Roman"/>
          <w:color w:val="auto"/>
          <w:sz w:val="24"/>
          <w:szCs w:val="21"/>
          <w:highlight w:val="yellow"/>
          <w:lang w:val="en-US" w:eastAsia="zh-CN"/>
        </w:rPr>
        <w:t>7</w:t>
      </w:r>
      <w:r>
        <w:rPr>
          <w:rFonts w:hint="eastAsia" w:ascii="宋体" w:hAnsi="宋体" w:cs="Times New Roman"/>
          <w:color w:val="auto"/>
          <w:sz w:val="24"/>
          <w:szCs w:val="21"/>
          <w:highlight w:val="yellow"/>
        </w:rPr>
        <w:t>月</w:t>
      </w:r>
      <w:r>
        <w:rPr>
          <w:rFonts w:hint="eastAsia" w:ascii="宋体" w:hAnsi="宋体" w:cs="Times New Roman"/>
          <w:color w:val="auto"/>
          <w:sz w:val="24"/>
          <w:szCs w:val="21"/>
          <w:highlight w:val="yellow"/>
          <w:lang w:val="en-US" w:eastAsia="zh-CN"/>
        </w:rPr>
        <w:t>25</w:t>
      </w:r>
      <w:r>
        <w:rPr>
          <w:rFonts w:hint="eastAsia" w:ascii="宋体" w:hAnsi="宋体" w:cs="Times New Roman"/>
          <w:color w:val="auto"/>
          <w:sz w:val="24"/>
          <w:szCs w:val="21"/>
          <w:highlight w:val="yellow"/>
        </w:rPr>
        <w:t>日1</w:t>
      </w:r>
      <w:r>
        <w:rPr>
          <w:rFonts w:hint="eastAsia" w:ascii="宋体" w:hAnsi="宋体" w:cs="Times New Roman"/>
          <w:color w:val="auto"/>
          <w:sz w:val="24"/>
          <w:szCs w:val="21"/>
          <w:highlight w:val="yellow"/>
          <w:lang w:val="en-US" w:eastAsia="zh-CN"/>
        </w:rPr>
        <w:t>1</w:t>
      </w:r>
      <w:r>
        <w:rPr>
          <w:rFonts w:hint="eastAsia" w:ascii="宋体" w:hAnsi="宋体" w:cs="Times New Roman"/>
          <w:color w:val="auto"/>
          <w:sz w:val="24"/>
          <w:szCs w:val="21"/>
          <w:highlight w:val="yellow"/>
        </w:rPr>
        <w:t>时00分（北京时间）</w:t>
      </w:r>
      <w:r>
        <w:rPr>
          <w:rFonts w:hint="eastAsia" w:ascii="宋体" w:hAnsi="宋体" w:cs="Times New Roman"/>
          <w:color w:val="000000"/>
          <w:sz w:val="24"/>
          <w:szCs w:val="21"/>
        </w:rPr>
        <w:t>开标地点：</w:t>
      </w:r>
      <w:bookmarkStart w:id="898" w:name="OLE_LINK13"/>
      <w:r>
        <w:rPr>
          <w:rFonts w:hint="eastAsia" w:ascii="宋体" w:hAnsi="宋体" w:cs="Times New Roman"/>
          <w:color w:val="000000"/>
          <w:sz w:val="24"/>
          <w:szCs w:val="21"/>
        </w:rPr>
        <w:t>政采云平台（https://login.zcygov.cn/user-login/#/login）</w:t>
      </w:r>
      <w:bookmarkEnd w:id="898"/>
      <w:r>
        <w:rPr>
          <w:rFonts w:hint="eastAsia" w:ascii="宋体" w:hAnsi="宋体" w:cs="Times New Roman"/>
          <w:color w:val="000000"/>
          <w:sz w:val="24"/>
          <w:szCs w:val="21"/>
        </w:rPr>
        <w:t> </w:t>
      </w:r>
    </w:p>
    <w:p w14:paraId="0CD43EE4">
      <w:pPr>
        <w:snapToGrid w:val="0"/>
        <w:spacing w:line="400" w:lineRule="exact"/>
        <w:rPr>
          <w:rStyle w:val="37"/>
          <w:rFonts w:ascii="宋体" w:hAnsi="宋体" w:cs="Times New Roman"/>
          <w:b/>
          <w:bCs/>
          <w:color w:val="000000"/>
          <w:sz w:val="24"/>
          <w:szCs w:val="21"/>
        </w:rPr>
      </w:pPr>
      <w:r>
        <w:rPr>
          <w:rStyle w:val="37"/>
          <w:rFonts w:ascii="宋体" w:hAnsi="宋体" w:cs="Times New Roman"/>
          <w:b/>
          <w:bCs/>
          <w:color w:val="000000"/>
          <w:sz w:val="24"/>
          <w:szCs w:val="21"/>
        </w:rPr>
        <w:t>五、公告期限</w:t>
      </w:r>
    </w:p>
    <w:p w14:paraId="16001143">
      <w:pPr>
        <w:snapToGrid w:val="0"/>
        <w:spacing w:line="400" w:lineRule="exact"/>
      </w:pPr>
      <w:r>
        <w:rPr>
          <w:rStyle w:val="37"/>
          <w:rFonts w:ascii="宋体" w:hAnsi="宋体"/>
          <w:color w:val="000000"/>
          <w:sz w:val="24"/>
          <w:szCs w:val="21"/>
        </w:rPr>
        <w:t>自本公告发布之日起5个工作日。</w:t>
      </w:r>
    </w:p>
    <w:p w14:paraId="6E8E2FEC">
      <w:pPr>
        <w:numPr>
          <w:ilvl w:val="0"/>
          <w:numId w:val="9"/>
        </w:numPr>
        <w:snapToGrid w:val="0"/>
        <w:spacing w:line="400" w:lineRule="exact"/>
        <w:rPr>
          <w:rStyle w:val="37"/>
          <w:rFonts w:ascii="宋体" w:hAnsi="宋体"/>
          <w:color w:val="000000"/>
          <w:sz w:val="24"/>
          <w:szCs w:val="21"/>
        </w:rPr>
      </w:pPr>
      <w:r>
        <w:rPr>
          <w:rStyle w:val="37"/>
          <w:rFonts w:ascii="宋体" w:hAnsi="宋体" w:cs="Times New Roman"/>
          <w:b/>
          <w:bCs/>
          <w:color w:val="000000"/>
          <w:sz w:val="24"/>
          <w:szCs w:val="21"/>
        </w:rPr>
        <w:t>其他补充事宜</w:t>
      </w:r>
      <w:r>
        <w:rPr>
          <w:rStyle w:val="37"/>
          <w:rFonts w:ascii="宋体" w:hAnsi="宋体"/>
          <w:color w:val="000000"/>
          <w:sz w:val="24"/>
          <w:szCs w:val="21"/>
        </w:rPr>
        <w:t>：</w:t>
      </w:r>
    </w:p>
    <w:p w14:paraId="511D828D">
      <w:pPr>
        <w:numPr>
          <w:ilvl w:val="0"/>
          <w:numId w:val="10"/>
        </w:numPr>
        <w:snapToGrid w:val="0"/>
        <w:spacing w:line="400" w:lineRule="exact"/>
        <w:ind w:firstLine="480" w:firstLineChars="200"/>
        <w:rPr>
          <w:rStyle w:val="37"/>
          <w:rFonts w:ascii="宋体" w:hAnsi="宋体"/>
          <w:color w:val="000000"/>
          <w:sz w:val="24"/>
          <w:szCs w:val="21"/>
        </w:rPr>
      </w:pPr>
      <w:r>
        <w:rPr>
          <w:rStyle w:val="37"/>
          <w:rFonts w:ascii="宋体" w:hAnsi="宋体"/>
          <w:color w:val="000000"/>
          <w:sz w:val="24"/>
          <w:szCs w:val="21"/>
        </w:rPr>
        <w:t>本项目公告期限为5个工作日，供应商认为采购文件使自己的权益受到损害的，可以自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具体开标时间以招标文件为准。</w:t>
      </w:r>
    </w:p>
    <w:p w14:paraId="4C6C6FF1">
      <w:pPr>
        <w:numPr>
          <w:ilvl w:val="0"/>
          <w:numId w:val="9"/>
        </w:numPr>
        <w:snapToGrid w:val="0"/>
        <w:spacing w:line="400" w:lineRule="exact"/>
        <w:rPr>
          <w:rStyle w:val="37"/>
        </w:rPr>
      </w:pPr>
      <w:r>
        <w:rPr>
          <w:rStyle w:val="37"/>
          <w:rFonts w:ascii="宋体" w:hAnsi="宋体" w:cs="Times New Roman"/>
          <w:b/>
          <w:bCs/>
          <w:color w:val="000000"/>
          <w:sz w:val="24"/>
          <w:szCs w:val="21"/>
        </w:rPr>
        <w:t>对本次招标提出询问，请按以下方式联系。</w:t>
      </w:r>
    </w:p>
    <w:p w14:paraId="78225F9D">
      <w:pPr>
        <w:snapToGrid w:val="0"/>
        <w:spacing w:line="400" w:lineRule="exact"/>
        <w:rPr>
          <w:rStyle w:val="37"/>
          <w:rFonts w:ascii="宋体" w:hAnsi="宋体" w:cs="Times New Roman"/>
          <w:b/>
          <w:bCs/>
          <w:color w:val="000000"/>
          <w:sz w:val="24"/>
          <w:szCs w:val="21"/>
        </w:rPr>
      </w:pPr>
      <w:r>
        <w:rPr>
          <w:rStyle w:val="37"/>
          <w:rFonts w:ascii="宋体" w:hAnsi="宋体" w:cs="Times New Roman"/>
          <w:b/>
          <w:bCs/>
          <w:color w:val="000000"/>
          <w:sz w:val="24"/>
          <w:szCs w:val="21"/>
        </w:rPr>
        <w:t>1.采购人信息</w:t>
      </w:r>
    </w:p>
    <w:p w14:paraId="597EEBDB">
      <w:pPr>
        <w:widowControl w:val="0"/>
        <w:spacing w:line="400" w:lineRule="exact"/>
        <w:textAlignment w:val="auto"/>
        <w:rPr>
          <w:rFonts w:ascii="宋体" w:hAnsi="宋体" w:cs="宋体"/>
          <w:sz w:val="24"/>
        </w:rPr>
      </w:pPr>
      <w:r>
        <w:rPr>
          <w:rFonts w:hint="eastAsia" w:ascii="宋体" w:hAnsi="宋体"/>
          <w:color w:val="000000"/>
          <w:sz w:val="24"/>
          <w:szCs w:val="21"/>
        </w:rPr>
        <w:t>名 称：</w:t>
      </w:r>
      <w:r>
        <w:rPr>
          <w:rFonts w:hint="eastAsia" w:ascii="宋体" w:hAnsi="宋体" w:cs="宋体"/>
          <w:sz w:val="24"/>
        </w:rPr>
        <w:t>伽师县公安局</w:t>
      </w:r>
    </w:p>
    <w:p w14:paraId="738E141D">
      <w:pPr>
        <w:widowControl w:val="0"/>
        <w:spacing w:line="400" w:lineRule="exact"/>
        <w:textAlignment w:val="auto"/>
        <w:rPr>
          <w:rFonts w:ascii="宋体" w:hAnsi="宋体"/>
          <w:color w:val="000000"/>
          <w:sz w:val="24"/>
          <w:szCs w:val="21"/>
        </w:rPr>
      </w:pPr>
      <w:r>
        <w:rPr>
          <w:rFonts w:hint="eastAsia" w:ascii="宋体" w:hAnsi="宋体"/>
          <w:color w:val="000000"/>
          <w:sz w:val="24"/>
          <w:szCs w:val="21"/>
        </w:rPr>
        <w:t>地址：伽师县迎宾路36号</w:t>
      </w:r>
    </w:p>
    <w:p w14:paraId="5A202FE7">
      <w:pPr>
        <w:widowControl w:val="0"/>
        <w:spacing w:line="400" w:lineRule="exact"/>
        <w:textAlignment w:val="auto"/>
        <w:rPr>
          <w:rFonts w:hint="eastAsia" w:ascii="宋体" w:hAnsi="宋体" w:eastAsia="宋体"/>
          <w:color w:val="000000"/>
          <w:sz w:val="24"/>
          <w:szCs w:val="21"/>
          <w:lang w:eastAsia="zh-CN"/>
        </w:rPr>
      </w:pPr>
      <w:r>
        <w:rPr>
          <w:rFonts w:hint="eastAsia" w:ascii="宋体" w:hAnsi="宋体"/>
          <w:color w:val="000000"/>
          <w:sz w:val="24"/>
          <w:szCs w:val="21"/>
        </w:rPr>
        <w:t>联系人：</w:t>
      </w:r>
      <w:r>
        <w:rPr>
          <w:rFonts w:hint="eastAsia" w:ascii="宋体" w:hAnsi="宋体"/>
          <w:color w:val="000000"/>
          <w:sz w:val="24"/>
          <w:szCs w:val="21"/>
          <w:lang w:val="en-US" w:eastAsia="zh-CN"/>
        </w:rPr>
        <w:t>张森芝</w:t>
      </w:r>
    </w:p>
    <w:p w14:paraId="02F62BAE">
      <w:pPr>
        <w:snapToGrid w:val="0"/>
        <w:spacing w:line="400" w:lineRule="exact"/>
        <w:rPr>
          <w:rStyle w:val="37"/>
          <w:rFonts w:ascii="宋体" w:hAnsi="宋体"/>
          <w:color w:val="000000"/>
          <w:sz w:val="24"/>
          <w:szCs w:val="21"/>
        </w:rPr>
      </w:pPr>
      <w:r>
        <w:rPr>
          <w:rFonts w:hint="eastAsia" w:ascii="宋体" w:hAnsi="宋体"/>
          <w:color w:val="000000"/>
          <w:sz w:val="24"/>
          <w:szCs w:val="21"/>
        </w:rPr>
        <w:t>联系方式：</w:t>
      </w:r>
      <w:r>
        <w:rPr>
          <w:rFonts w:hint="eastAsia" w:ascii="宋体" w:hAnsi="宋体"/>
          <w:color w:val="000000"/>
          <w:sz w:val="24"/>
          <w:szCs w:val="21"/>
          <w:lang w:val="en-US" w:eastAsia="zh-CN"/>
        </w:rPr>
        <w:t>15660373030</w:t>
      </w:r>
      <w:r>
        <w:rPr>
          <w:rStyle w:val="37"/>
          <w:rFonts w:ascii="宋体" w:hAnsi="宋体"/>
          <w:color w:val="000000"/>
          <w:sz w:val="24"/>
          <w:szCs w:val="21"/>
        </w:rPr>
        <w:t xml:space="preserve"> </w:t>
      </w:r>
    </w:p>
    <w:p w14:paraId="7B139B2B">
      <w:pPr>
        <w:widowControl w:val="0"/>
        <w:spacing w:line="400" w:lineRule="exact"/>
        <w:textAlignment w:val="auto"/>
        <w:rPr>
          <w:rFonts w:ascii="宋体" w:hAnsi="宋体"/>
          <w:b/>
          <w:bCs/>
          <w:color w:val="000000"/>
          <w:sz w:val="24"/>
          <w:szCs w:val="21"/>
        </w:rPr>
      </w:pPr>
      <w:r>
        <w:rPr>
          <w:rFonts w:hint="eastAsia" w:ascii="宋体" w:hAnsi="宋体"/>
          <w:b/>
          <w:bCs/>
          <w:color w:val="000000"/>
          <w:sz w:val="24"/>
          <w:szCs w:val="21"/>
        </w:rPr>
        <w:t>2.采购代理机构信息</w:t>
      </w:r>
    </w:p>
    <w:p w14:paraId="55DB0D0D">
      <w:pPr>
        <w:widowControl w:val="0"/>
        <w:spacing w:line="400" w:lineRule="exact"/>
        <w:textAlignment w:val="auto"/>
        <w:rPr>
          <w:rFonts w:ascii="宋体" w:hAnsi="宋体"/>
          <w:color w:val="000000"/>
          <w:sz w:val="24"/>
          <w:szCs w:val="21"/>
        </w:rPr>
      </w:pPr>
      <w:r>
        <w:rPr>
          <w:rFonts w:hint="eastAsia" w:ascii="宋体" w:hAnsi="宋体"/>
          <w:color w:val="000000"/>
          <w:sz w:val="24"/>
          <w:szCs w:val="21"/>
        </w:rPr>
        <w:t>名 称：伽师县政府采购中心</w:t>
      </w:r>
    </w:p>
    <w:p w14:paraId="560329B1">
      <w:pPr>
        <w:widowControl w:val="0"/>
        <w:spacing w:line="400" w:lineRule="exact"/>
        <w:textAlignment w:val="auto"/>
        <w:rPr>
          <w:rFonts w:ascii="宋体" w:hAnsi="宋体"/>
          <w:color w:val="000000"/>
          <w:sz w:val="24"/>
          <w:szCs w:val="21"/>
        </w:rPr>
      </w:pPr>
      <w:r>
        <w:rPr>
          <w:rFonts w:hint="eastAsia" w:ascii="宋体" w:hAnsi="宋体"/>
          <w:color w:val="000000"/>
          <w:sz w:val="24"/>
          <w:szCs w:val="21"/>
        </w:rPr>
        <w:t>地　址：伽师县行政审批局四楼（伽师县花园路3号）</w:t>
      </w:r>
    </w:p>
    <w:p w14:paraId="198009AF">
      <w:pPr>
        <w:widowControl w:val="0"/>
        <w:spacing w:line="400" w:lineRule="exact"/>
        <w:textAlignment w:val="auto"/>
        <w:rPr>
          <w:rFonts w:ascii="宋体" w:hAnsi="宋体"/>
          <w:color w:val="000000"/>
          <w:sz w:val="24"/>
          <w:szCs w:val="21"/>
        </w:rPr>
      </w:pPr>
      <w:r>
        <w:rPr>
          <w:rFonts w:hint="eastAsia" w:ascii="宋体" w:hAnsi="宋体"/>
          <w:color w:val="000000"/>
          <w:sz w:val="24"/>
          <w:szCs w:val="21"/>
        </w:rPr>
        <w:t>项目联系人：陈雪、依明江</w:t>
      </w:r>
    </w:p>
    <w:p w14:paraId="6CB94428">
      <w:pPr>
        <w:widowControl w:val="0"/>
        <w:spacing w:line="400" w:lineRule="exact"/>
        <w:textAlignment w:val="auto"/>
        <w:rPr>
          <w:rFonts w:ascii="仿宋_GB2312" w:hAnsi="宋体" w:eastAsia="仿宋_GB2312"/>
          <w:sz w:val="24"/>
        </w:rPr>
      </w:pPr>
      <w:r>
        <w:rPr>
          <w:rFonts w:hint="eastAsia" w:ascii="宋体" w:hAnsi="宋体"/>
          <w:color w:val="000000"/>
          <w:sz w:val="24"/>
          <w:szCs w:val="21"/>
        </w:rPr>
        <w:t>联系方式：0998-5713206</w:t>
      </w:r>
    </w:p>
    <w:p w14:paraId="14DEB790">
      <w:pPr>
        <w:widowControl w:val="0"/>
        <w:spacing w:line="400" w:lineRule="exact"/>
        <w:textAlignment w:val="auto"/>
        <w:rPr>
          <w:rFonts w:ascii="宋体" w:hAnsi="宋体"/>
          <w:color w:val="000000"/>
          <w:sz w:val="24"/>
          <w:szCs w:val="21"/>
        </w:rPr>
      </w:pPr>
      <w:r>
        <w:rPr>
          <w:rFonts w:hint="eastAsia" w:ascii="宋体" w:hAnsi="宋体"/>
          <w:color w:val="000000"/>
          <w:sz w:val="24"/>
          <w:szCs w:val="21"/>
        </w:rPr>
        <w:t>3.同级政府采购监督管理部门名称:伽师县政府采购办</w:t>
      </w:r>
    </w:p>
    <w:p w14:paraId="4463434A">
      <w:pPr>
        <w:widowControl w:val="0"/>
        <w:spacing w:line="400" w:lineRule="exact"/>
        <w:textAlignment w:val="auto"/>
        <w:rPr>
          <w:rFonts w:ascii="宋体" w:hAnsi="宋体"/>
          <w:color w:val="000000"/>
          <w:sz w:val="24"/>
          <w:szCs w:val="21"/>
        </w:rPr>
      </w:pPr>
      <w:r>
        <w:rPr>
          <w:rFonts w:hint="eastAsia" w:ascii="宋体" w:hAnsi="宋体"/>
          <w:color w:val="000000"/>
          <w:sz w:val="24"/>
          <w:szCs w:val="21"/>
        </w:rPr>
        <w:t>联系人：阿依努尔</w:t>
      </w:r>
    </w:p>
    <w:p w14:paraId="4DCC2EA6">
      <w:pPr>
        <w:pStyle w:val="35"/>
        <w:tabs>
          <w:tab w:val="left" w:pos="0"/>
        </w:tabs>
        <w:snapToGrid w:val="0"/>
        <w:spacing w:before="0" w:after="0" w:line="240" w:lineRule="atLeast"/>
        <w:jc w:val="both"/>
        <w:rPr>
          <w:rFonts w:hAnsi="宋体"/>
          <w:b w:val="0"/>
          <w:color w:val="000000"/>
          <w:kern w:val="2"/>
          <w:sz w:val="24"/>
          <w:szCs w:val="21"/>
        </w:rPr>
      </w:pPr>
      <w:r>
        <w:rPr>
          <w:rFonts w:hint="eastAsia" w:hAnsi="宋体"/>
          <w:b w:val="0"/>
          <w:color w:val="000000"/>
          <w:kern w:val="2"/>
          <w:sz w:val="24"/>
          <w:szCs w:val="21"/>
        </w:rPr>
        <w:t>监督投诉电话：15384946619</w:t>
      </w:r>
    </w:p>
    <w:p w14:paraId="6482A26F"/>
    <w:p w14:paraId="5DC7A236">
      <w:pPr>
        <w:widowControl w:val="0"/>
        <w:spacing w:line="400" w:lineRule="exact"/>
        <w:textAlignment w:val="auto"/>
        <w:rPr>
          <w:rFonts w:ascii="宋体" w:hAnsi="宋体"/>
          <w:color w:val="000000"/>
          <w:sz w:val="24"/>
          <w:szCs w:val="21"/>
        </w:rPr>
      </w:pPr>
    </w:p>
    <w:p w14:paraId="0DEE4255">
      <w:pPr>
        <w:widowControl w:val="0"/>
        <w:spacing w:line="400" w:lineRule="exact"/>
        <w:textAlignment w:val="auto"/>
        <w:rPr>
          <w:rFonts w:ascii="宋体" w:hAnsi="宋体"/>
          <w:color w:val="000000"/>
          <w:sz w:val="24"/>
          <w:szCs w:val="21"/>
        </w:rPr>
      </w:pPr>
    </w:p>
    <w:p w14:paraId="00888E1C">
      <w:pPr>
        <w:widowControl w:val="0"/>
        <w:spacing w:line="400" w:lineRule="exact"/>
        <w:textAlignment w:val="auto"/>
        <w:rPr>
          <w:rFonts w:ascii="宋体" w:hAnsi="宋体"/>
          <w:color w:val="000000"/>
          <w:sz w:val="24"/>
          <w:szCs w:val="21"/>
        </w:rPr>
      </w:pPr>
    </w:p>
    <w:p w14:paraId="6D820ED1">
      <w:pPr>
        <w:widowControl w:val="0"/>
        <w:spacing w:line="400" w:lineRule="exact"/>
        <w:textAlignment w:val="auto"/>
        <w:rPr>
          <w:rFonts w:ascii="宋体" w:hAnsi="宋体"/>
          <w:color w:val="000000"/>
          <w:sz w:val="24"/>
          <w:szCs w:val="21"/>
        </w:rPr>
      </w:pPr>
    </w:p>
    <w:p w14:paraId="186409A8">
      <w:pPr>
        <w:widowControl w:val="0"/>
        <w:spacing w:line="400" w:lineRule="exact"/>
        <w:textAlignment w:val="auto"/>
        <w:rPr>
          <w:rFonts w:ascii="宋体" w:hAnsi="宋体"/>
          <w:color w:val="000000"/>
          <w:sz w:val="24"/>
          <w:szCs w:val="21"/>
        </w:rPr>
      </w:pPr>
    </w:p>
    <w:p w14:paraId="6AA6202C">
      <w:pPr>
        <w:rPr>
          <w:rFonts w:ascii="仿宋_GB2312" w:hAnsi="仿宋_GB2312" w:eastAsia="仿宋_GB2312" w:cs="仿宋_GB2312"/>
          <w:sz w:val="44"/>
          <w:szCs w:val="44"/>
        </w:rPr>
      </w:pPr>
    </w:p>
    <w:p w14:paraId="4EFADF6A">
      <w:pPr>
        <w:pStyle w:val="11"/>
        <w:ind w:firstLine="880"/>
        <w:rPr>
          <w:rFonts w:ascii="仿宋_GB2312" w:hAnsi="仿宋_GB2312" w:eastAsia="仿宋_GB2312" w:cs="仿宋_GB2312"/>
          <w:sz w:val="44"/>
          <w:szCs w:val="44"/>
        </w:rPr>
      </w:pPr>
    </w:p>
    <w:p w14:paraId="1594B7AF">
      <w:pPr>
        <w:pStyle w:val="6"/>
        <w:rPr>
          <w:rFonts w:ascii="仿宋_GB2312" w:hAnsi="仿宋_GB2312" w:eastAsia="仿宋_GB2312" w:cs="仿宋_GB2312"/>
          <w:sz w:val="44"/>
          <w:szCs w:val="44"/>
        </w:rPr>
      </w:pPr>
    </w:p>
    <w:p w14:paraId="1B79E044">
      <w:pPr>
        <w:rPr>
          <w:rFonts w:ascii="仿宋_GB2312" w:hAnsi="仿宋_GB2312" w:eastAsia="仿宋_GB2312" w:cs="仿宋_GB2312"/>
          <w:sz w:val="44"/>
          <w:szCs w:val="44"/>
        </w:rPr>
      </w:pPr>
    </w:p>
    <w:p w14:paraId="1864B3A4">
      <w:pPr>
        <w:pStyle w:val="11"/>
        <w:ind w:firstLine="880"/>
        <w:rPr>
          <w:rFonts w:ascii="仿宋_GB2312" w:hAnsi="仿宋_GB2312" w:eastAsia="仿宋_GB2312" w:cs="仿宋_GB2312"/>
          <w:sz w:val="44"/>
          <w:szCs w:val="44"/>
        </w:rPr>
      </w:pPr>
    </w:p>
    <w:p w14:paraId="5E3E9CAC">
      <w:pPr>
        <w:pStyle w:val="6"/>
        <w:rPr>
          <w:rFonts w:ascii="仿宋_GB2312" w:hAnsi="仿宋_GB2312" w:eastAsia="仿宋_GB2312" w:cs="仿宋_GB2312"/>
          <w:sz w:val="44"/>
          <w:szCs w:val="44"/>
        </w:rPr>
      </w:pPr>
    </w:p>
    <w:p w14:paraId="5328CB9C">
      <w:pPr>
        <w:rPr>
          <w:rFonts w:ascii="仿宋_GB2312" w:hAnsi="仿宋_GB2312" w:eastAsia="仿宋_GB2312" w:cs="仿宋_GB2312"/>
          <w:sz w:val="44"/>
          <w:szCs w:val="44"/>
        </w:rPr>
      </w:pPr>
    </w:p>
    <w:p w14:paraId="3462E3E7">
      <w:pPr>
        <w:pStyle w:val="11"/>
        <w:ind w:firstLine="880"/>
        <w:rPr>
          <w:rFonts w:ascii="仿宋_GB2312" w:hAnsi="仿宋_GB2312" w:eastAsia="仿宋_GB2312" w:cs="仿宋_GB2312"/>
          <w:sz w:val="44"/>
          <w:szCs w:val="44"/>
        </w:rPr>
      </w:pPr>
    </w:p>
    <w:p w14:paraId="1E573836">
      <w:pPr>
        <w:pStyle w:val="6"/>
        <w:rPr>
          <w:rFonts w:ascii="仿宋_GB2312" w:hAnsi="仿宋_GB2312" w:eastAsia="仿宋_GB2312" w:cs="仿宋_GB2312"/>
          <w:sz w:val="44"/>
          <w:szCs w:val="44"/>
        </w:rPr>
      </w:pPr>
    </w:p>
    <w:p w14:paraId="172CDF8D">
      <w:pPr>
        <w:rPr>
          <w:rFonts w:ascii="仿宋_GB2312" w:hAnsi="仿宋_GB2312" w:eastAsia="仿宋_GB2312" w:cs="仿宋_GB2312"/>
          <w:sz w:val="44"/>
          <w:szCs w:val="44"/>
        </w:rPr>
      </w:pPr>
    </w:p>
    <w:p w14:paraId="3C2C450D">
      <w:pPr>
        <w:jc w:val="left"/>
        <w:textAlignment w:val="auto"/>
        <w:rPr>
          <w:rFonts w:ascii="宋体"/>
          <w:kern w:val="0"/>
          <w:sz w:val="24"/>
          <w:szCs w:val="20"/>
        </w:rPr>
      </w:pPr>
      <w:r>
        <w:br w:type="page"/>
      </w:r>
    </w:p>
    <w:p w14:paraId="04214613">
      <w:pPr>
        <w:pStyle w:val="3"/>
        <w:tabs>
          <w:tab w:val="left" w:pos="0"/>
        </w:tabs>
        <w:snapToGrid w:val="0"/>
        <w:spacing w:before="0" w:after="0" w:line="240" w:lineRule="atLeast"/>
        <w:rPr>
          <w:rStyle w:val="37"/>
          <w:rFonts w:ascii="仿宋_GB2312" w:hAnsi="仿宋_GB2312" w:eastAsia="仿宋_GB2312"/>
          <w:sz w:val="36"/>
          <w:szCs w:val="36"/>
        </w:rPr>
      </w:pPr>
      <w:bookmarkStart w:id="899" w:name="_Toc8482"/>
      <w:r>
        <w:rPr>
          <w:rFonts w:hint="eastAsia" w:ascii="仿宋_GB2312" w:hAnsi="仿宋_GB2312" w:eastAsia="仿宋_GB2312" w:cs="仿宋_GB2312"/>
          <w:sz w:val="44"/>
          <w:szCs w:val="44"/>
        </w:rPr>
        <w:t>第四章  投标人须知资料表</w:t>
      </w:r>
      <w:bookmarkEnd w:id="899"/>
    </w:p>
    <w:p w14:paraId="28C8BA0D">
      <w:pPr>
        <w:snapToGrid w:val="0"/>
        <w:spacing w:line="240" w:lineRule="atLeast"/>
        <w:ind w:firstLine="360" w:firstLineChars="150"/>
        <w:rPr>
          <w:rStyle w:val="37"/>
          <w:rFonts w:ascii="仿宋_GB2312" w:hAnsi="仿宋_GB2312" w:eastAsia="仿宋_GB2312"/>
          <w:sz w:val="24"/>
        </w:rPr>
      </w:pPr>
      <w:r>
        <w:rPr>
          <w:rStyle w:val="37"/>
          <w:rFonts w:ascii="仿宋_GB2312" w:hAnsi="仿宋_GB2312" w:eastAsia="仿宋_GB2312"/>
          <w:sz w:val="24"/>
        </w:rPr>
        <w:t xml:space="preserve"> 本表是本招标项目的具体资料，是对投标人须知的具体补充和修改，如有矛盾，应以本资料表为准。</w:t>
      </w:r>
    </w:p>
    <w:tbl>
      <w:tblPr>
        <w:tblStyle w:val="27"/>
        <w:tblW w:w="8453" w:type="dxa"/>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31"/>
        <w:gridCol w:w="7222"/>
      </w:tblGrid>
      <w:tr w14:paraId="0128E6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1231" w:type="dxa"/>
            <w:tcBorders>
              <w:top w:val="single" w:color="000000" w:sz="12" w:space="0"/>
              <w:left w:val="single" w:color="000000" w:sz="12" w:space="0"/>
              <w:bottom w:val="single" w:color="000000" w:sz="6" w:space="0"/>
              <w:right w:val="single" w:color="000000" w:sz="6" w:space="0"/>
            </w:tcBorders>
            <w:vAlign w:val="center"/>
          </w:tcPr>
          <w:p w14:paraId="7168EE83">
            <w:pPr>
              <w:snapToGrid w:val="0"/>
              <w:spacing w:line="240" w:lineRule="atLeast"/>
              <w:ind w:firstLine="240" w:firstLineChars="100"/>
              <w:rPr>
                <w:rStyle w:val="37"/>
                <w:rFonts w:ascii="仿宋_GB2312" w:hAnsi="仿宋_GB2312" w:eastAsia="仿宋_GB2312"/>
                <w:sz w:val="24"/>
              </w:rPr>
            </w:pPr>
            <w:r>
              <w:rPr>
                <w:rStyle w:val="37"/>
                <w:rFonts w:ascii="仿宋_GB2312" w:hAnsi="仿宋_GB2312" w:eastAsia="仿宋_GB2312"/>
                <w:sz w:val="24"/>
              </w:rPr>
              <w:t>条款号</w:t>
            </w:r>
          </w:p>
        </w:tc>
        <w:tc>
          <w:tcPr>
            <w:tcW w:w="7222" w:type="dxa"/>
            <w:tcBorders>
              <w:top w:val="single" w:color="000000" w:sz="12" w:space="0"/>
              <w:left w:val="single" w:color="000000" w:sz="6" w:space="0"/>
              <w:bottom w:val="single" w:color="000000" w:sz="6" w:space="0"/>
              <w:right w:val="single" w:color="000000" w:sz="12" w:space="0"/>
            </w:tcBorders>
            <w:vAlign w:val="center"/>
          </w:tcPr>
          <w:p w14:paraId="7C95FD40">
            <w:pPr>
              <w:snapToGrid w:val="0"/>
              <w:spacing w:line="240" w:lineRule="atLeast"/>
              <w:ind w:firstLine="2650" w:firstLineChars="1100"/>
              <w:rPr>
                <w:rStyle w:val="37"/>
                <w:rFonts w:ascii="仿宋_GB2312" w:hAnsi="仿宋_GB2312" w:eastAsia="仿宋_GB2312"/>
                <w:b/>
                <w:sz w:val="24"/>
              </w:rPr>
            </w:pPr>
            <w:r>
              <w:rPr>
                <w:rStyle w:val="37"/>
                <w:rFonts w:ascii="仿宋_GB2312" w:hAnsi="仿宋_GB2312" w:eastAsia="仿宋_GB2312"/>
                <w:b/>
                <w:sz w:val="24"/>
              </w:rPr>
              <w:t>内      容</w:t>
            </w:r>
          </w:p>
        </w:tc>
      </w:tr>
      <w:tr w14:paraId="447E71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29968A15">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1.1</w:t>
            </w:r>
          </w:p>
        </w:tc>
        <w:tc>
          <w:tcPr>
            <w:tcW w:w="7222" w:type="dxa"/>
            <w:tcBorders>
              <w:top w:val="single" w:color="000000" w:sz="6" w:space="0"/>
              <w:left w:val="single" w:color="000000" w:sz="6" w:space="0"/>
              <w:bottom w:val="single" w:color="000000" w:sz="6" w:space="0"/>
              <w:right w:val="single" w:color="000000" w:sz="12" w:space="0"/>
            </w:tcBorders>
            <w:vAlign w:val="center"/>
          </w:tcPr>
          <w:p w14:paraId="6A91A882">
            <w:pPr>
              <w:snapToGrid w:val="0"/>
              <w:rPr>
                <w:rStyle w:val="37"/>
                <w:rFonts w:ascii="仿宋_GB2312" w:hAnsi="仿宋_GB2312" w:eastAsia="仿宋_GB2312"/>
                <w:sz w:val="24"/>
              </w:rPr>
            </w:pPr>
            <w:r>
              <w:rPr>
                <w:rStyle w:val="37"/>
                <w:rFonts w:hint="eastAsia" w:ascii="仿宋_GB2312" w:hAnsi="仿宋_GB2312" w:eastAsia="仿宋_GB2312"/>
                <w:sz w:val="24"/>
              </w:rPr>
              <w:t>采购人：伽师县公安局</w:t>
            </w:r>
          </w:p>
          <w:p w14:paraId="4DF60CC0">
            <w:pPr>
              <w:snapToGrid w:val="0"/>
              <w:rPr>
                <w:rStyle w:val="37"/>
                <w:rFonts w:hint="default" w:ascii="仿宋_GB2312" w:hAnsi="仿宋_GB2312" w:eastAsia="仿宋_GB2312"/>
                <w:sz w:val="24"/>
                <w:lang w:val="en-US"/>
              </w:rPr>
            </w:pPr>
            <w:r>
              <w:rPr>
                <w:rStyle w:val="37"/>
                <w:rFonts w:hint="eastAsia" w:ascii="仿宋_GB2312" w:hAnsi="仿宋_GB2312" w:eastAsia="仿宋_GB2312"/>
                <w:sz w:val="24"/>
              </w:rPr>
              <w:t>联系人：</w:t>
            </w:r>
            <w:r>
              <w:rPr>
                <w:rStyle w:val="37"/>
                <w:rFonts w:hint="eastAsia" w:ascii="仿宋_GB2312" w:hAnsi="仿宋_GB2312" w:eastAsia="仿宋_GB2312"/>
                <w:sz w:val="24"/>
                <w:lang w:val="en-US" w:eastAsia="zh-CN"/>
              </w:rPr>
              <w:t>张森芝</w:t>
            </w:r>
            <w:r>
              <w:rPr>
                <w:rStyle w:val="37"/>
                <w:rFonts w:hint="eastAsia" w:ascii="仿宋_GB2312" w:hAnsi="仿宋_GB2312" w:eastAsia="仿宋_GB2312"/>
                <w:sz w:val="24"/>
              </w:rPr>
              <w:t xml:space="preserve">      联系电话：</w:t>
            </w:r>
            <w:r>
              <w:rPr>
                <w:rFonts w:hint="eastAsia" w:ascii="宋体" w:hAnsi="宋体"/>
                <w:color w:val="000000"/>
                <w:sz w:val="24"/>
                <w:szCs w:val="21"/>
                <w:lang w:val="en-US" w:eastAsia="zh-CN"/>
              </w:rPr>
              <w:t>15660373030</w:t>
            </w:r>
          </w:p>
        </w:tc>
      </w:tr>
      <w:tr w14:paraId="26E7D3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1F0F22B2">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1.2</w:t>
            </w:r>
          </w:p>
        </w:tc>
        <w:tc>
          <w:tcPr>
            <w:tcW w:w="7222" w:type="dxa"/>
            <w:tcBorders>
              <w:top w:val="single" w:color="000000" w:sz="6" w:space="0"/>
              <w:left w:val="single" w:color="000000" w:sz="6" w:space="0"/>
              <w:bottom w:val="single" w:color="000000" w:sz="6" w:space="0"/>
              <w:right w:val="single" w:color="000000" w:sz="12" w:space="0"/>
            </w:tcBorders>
            <w:vAlign w:val="center"/>
          </w:tcPr>
          <w:p w14:paraId="18407973">
            <w:pPr>
              <w:spacing w:line="240" w:lineRule="atLeast"/>
              <w:rPr>
                <w:rFonts w:ascii="仿宋_GB2312" w:hAnsi="仿宋_GB2312" w:eastAsia="仿宋_GB2312" w:cs="仿宋_GB2312"/>
                <w:sz w:val="24"/>
                <w:u w:val="single"/>
              </w:rPr>
            </w:pPr>
            <w:r>
              <w:rPr>
                <w:rFonts w:hint="eastAsia" w:ascii="仿宋_GB2312" w:hAnsi="仿宋_GB2312" w:eastAsia="仿宋_GB2312" w:cs="仿宋_GB2312"/>
                <w:sz w:val="24"/>
              </w:rPr>
              <w:t>购代理机构：</w:t>
            </w:r>
            <w:r>
              <w:rPr>
                <w:rFonts w:hint="eastAsia" w:ascii="仿宋_GB2312" w:hAnsi="仿宋_GB2312" w:eastAsia="仿宋_GB2312" w:cs="仿宋_GB2312"/>
                <w:sz w:val="24"/>
                <w:u w:val="single"/>
              </w:rPr>
              <w:t>伽师县政府采购中心</w:t>
            </w:r>
          </w:p>
          <w:p w14:paraId="411EF9A0">
            <w:pPr>
              <w:spacing w:line="240" w:lineRule="atLeast"/>
              <w:rPr>
                <w:rFonts w:ascii="仿宋_GB2312" w:hAnsi="仿宋_GB2312" w:eastAsia="仿宋_GB2312" w:cs="仿宋_GB2312"/>
                <w:sz w:val="24"/>
                <w:u w:val="single"/>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伽师县行政审批局四楼（伽师县花园路3号）</w:t>
            </w:r>
          </w:p>
          <w:p w14:paraId="28FF04A5">
            <w:pPr>
              <w:snapToGrid w:val="0"/>
              <w:spacing w:line="240" w:lineRule="atLeast"/>
              <w:rPr>
                <w:rStyle w:val="37"/>
                <w:rFonts w:ascii="仿宋_GB2312" w:hAnsi="仿宋_GB2312" w:eastAsia="仿宋_GB2312"/>
                <w:sz w:val="24"/>
              </w:rPr>
            </w:pPr>
            <w:r>
              <w:rPr>
                <w:rFonts w:hint="eastAsia" w:ascii="仿宋_GB2312" w:hAnsi="仿宋_GB2312" w:eastAsia="仿宋_GB2312" w:cs="仿宋_GB2312"/>
                <w:sz w:val="24"/>
              </w:rPr>
              <w:t>联系人：陈雪、依明江         电  话：0998-5713206</w:t>
            </w:r>
          </w:p>
        </w:tc>
      </w:tr>
      <w:tr w14:paraId="60A905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696777F9">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1.3.1</w:t>
            </w:r>
          </w:p>
        </w:tc>
        <w:tc>
          <w:tcPr>
            <w:tcW w:w="7222" w:type="dxa"/>
            <w:tcBorders>
              <w:top w:val="single" w:color="000000" w:sz="6" w:space="0"/>
              <w:left w:val="single" w:color="000000" w:sz="6" w:space="0"/>
              <w:bottom w:val="single" w:color="000000" w:sz="6" w:space="0"/>
              <w:right w:val="single" w:color="000000" w:sz="12" w:space="0"/>
            </w:tcBorders>
            <w:vAlign w:val="center"/>
          </w:tcPr>
          <w:p w14:paraId="0955D2FD">
            <w:pPr>
              <w:spacing w:line="240" w:lineRule="atLeast"/>
              <w:rPr>
                <w:rFonts w:ascii="仿宋" w:hAnsi="仿宋" w:eastAsia="仿宋" w:cs="仿宋"/>
                <w:sz w:val="24"/>
              </w:rPr>
            </w:pPr>
            <w:r>
              <w:rPr>
                <w:rFonts w:hint="eastAsia" w:ascii="仿宋" w:hAnsi="仿宋" w:eastAsia="仿宋" w:cs="仿宋"/>
                <w:sz w:val="24"/>
              </w:rPr>
              <w:t>合格投标人开标时需提供的资格证明文件：</w:t>
            </w:r>
          </w:p>
          <w:p w14:paraId="05604AB5">
            <w:pPr>
              <w:pStyle w:val="20"/>
              <w:rPr>
                <w:rFonts w:ascii="仿宋" w:hAnsi="仿宋" w:eastAsia="仿宋" w:cs="仿宋"/>
                <w:sz w:val="24"/>
              </w:rPr>
            </w:pPr>
            <w:r>
              <w:rPr>
                <w:rFonts w:hint="eastAsia" w:ascii="仿宋" w:hAnsi="仿宋" w:eastAsia="仿宋" w:cs="仿宋"/>
                <w:sz w:val="24"/>
              </w:rPr>
              <w:t>1.提供有效的营业执照；</w:t>
            </w:r>
          </w:p>
          <w:p w14:paraId="2C3CE3F8">
            <w:pPr>
              <w:pStyle w:val="20"/>
              <w:rPr>
                <w:rFonts w:ascii="仿宋" w:hAnsi="仿宋" w:eastAsia="仿宋" w:cs="仿宋"/>
                <w:sz w:val="24"/>
              </w:rPr>
            </w:pPr>
            <w:r>
              <w:rPr>
                <w:rFonts w:hint="eastAsia" w:ascii="仿宋" w:hAnsi="仿宋" w:eastAsia="仿宋" w:cs="仿宋"/>
                <w:sz w:val="24"/>
              </w:rPr>
              <w:t>2.法定代表人证明或法定代表人授权委托书签字（章）并加盖公章；</w:t>
            </w:r>
          </w:p>
          <w:p w14:paraId="55C4DF54">
            <w:pPr>
              <w:pStyle w:val="20"/>
              <w:rPr>
                <w:rFonts w:ascii="仿宋" w:hAnsi="仿宋" w:eastAsia="仿宋" w:cs="仿宋"/>
                <w:sz w:val="24"/>
              </w:rPr>
            </w:pPr>
            <w:r>
              <w:rPr>
                <w:rFonts w:hint="eastAsia" w:ascii="仿宋" w:hAnsi="仿宋" w:eastAsia="仿宋" w:cs="仿宋"/>
                <w:sz w:val="24"/>
              </w:rPr>
              <w:t>3.提供投标单位近三个月内（任意一个月）的社保证明；</w:t>
            </w:r>
          </w:p>
          <w:p w14:paraId="7AB5FA68">
            <w:pPr>
              <w:pStyle w:val="8"/>
              <w:ind w:left="0" w:leftChars="0"/>
              <w:rPr>
                <w:rFonts w:ascii="仿宋" w:hAnsi="仿宋" w:eastAsia="仿宋" w:cs="仿宋"/>
                <w:sz w:val="24"/>
              </w:rPr>
            </w:pPr>
            <w:r>
              <w:rPr>
                <w:rFonts w:hint="eastAsia" w:ascii="仿宋" w:hAnsi="仿宋" w:eastAsia="仿宋" w:cs="仿宋"/>
                <w:sz w:val="24"/>
              </w:rPr>
              <w:t>4.近三个月所属期限内（任意一个月）依法缴纳税收的证明（税务部门出具的完税凭证或缴税证明或银行出具的“银行电子缴税付款证”）；</w:t>
            </w:r>
          </w:p>
          <w:p w14:paraId="34CFDE34">
            <w:pPr>
              <w:pStyle w:val="20"/>
              <w:rPr>
                <w:rFonts w:ascii="仿宋" w:hAnsi="仿宋" w:eastAsia="仿宋" w:cs="仿宋"/>
                <w:sz w:val="24"/>
              </w:rPr>
            </w:pPr>
            <w:r>
              <w:rPr>
                <w:rFonts w:hint="eastAsia" w:ascii="仿宋" w:hAnsi="仿宋" w:eastAsia="仿宋" w:cs="仿宋"/>
                <w:sz w:val="24"/>
              </w:rPr>
              <w:t>5.良好的商业信誉和健全的财务会计制度证明材料</w:t>
            </w:r>
            <w:r>
              <w:rPr>
                <w:rFonts w:hint="eastAsia" w:ascii="宋体" w:hAnsi="宋体"/>
                <w:color w:val="000000"/>
                <w:sz w:val="24"/>
                <w:szCs w:val="21"/>
              </w:rPr>
              <w:t>（</w:t>
            </w:r>
            <w:r>
              <w:rPr>
                <w:rFonts w:hint="eastAsia" w:ascii="仿宋" w:hAnsi="仿宋" w:eastAsia="仿宋" w:cs="仿宋"/>
                <w:sz w:val="24"/>
              </w:rPr>
              <w:t>会计事务所出具的</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年及202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年</w:t>
            </w:r>
            <w:r>
              <w:rPr>
                <w:rFonts w:hint="eastAsia" w:ascii="仿宋" w:hAnsi="仿宋" w:eastAsia="仿宋" w:cs="仿宋"/>
                <w:sz w:val="24"/>
              </w:rPr>
              <w:t>的年度财务审计报告书；注册成立未满一年新公司可提供近三个月内任意一个月的银行资信证明）；</w:t>
            </w:r>
          </w:p>
          <w:p w14:paraId="67F17E2D">
            <w:pPr>
              <w:pStyle w:val="20"/>
              <w:rPr>
                <w:rFonts w:ascii="仿宋" w:hAnsi="仿宋" w:eastAsia="仿宋" w:cs="仿宋"/>
                <w:sz w:val="24"/>
              </w:rPr>
            </w:pPr>
            <w:r>
              <w:rPr>
                <w:rFonts w:hint="eastAsia" w:ascii="仿宋" w:hAnsi="仿宋" w:eastAsia="仿宋" w:cs="仿宋"/>
                <w:sz w:val="24"/>
              </w:rPr>
              <w:t>6.提供投标单位按招标文件要求缴纳投标保证金的缴款凭证或金融机构、担保机构出具的保函；</w:t>
            </w:r>
          </w:p>
          <w:p w14:paraId="2BEB17E5">
            <w:pPr>
              <w:pStyle w:val="20"/>
              <w:rPr>
                <w:rFonts w:ascii="仿宋" w:hAnsi="仿宋" w:eastAsia="仿宋" w:cs="仿宋"/>
                <w:sz w:val="24"/>
              </w:rPr>
            </w:pPr>
            <w:r>
              <w:rPr>
                <w:rFonts w:hint="eastAsia" w:ascii="仿宋" w:hAnsi="仿宋" w:eastAsia="仿宋" w:cs="仿宋"/>
                <w:sz w:val="24"/>
              </w:rPr>
              <w:t>7.投标单位（供应商）其法人参加本次采购活动前三年内，在经营活动中没有重大违法记录的声明及对本次项目《反商业贿赂承诺书》；</w:t>
            </w:r>
          </w:p>
          <w:p w14:paraId="50C49C58">
            <w:pPr>
              <w:pStyle w:val="2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.本项目不接受联合体投标，</w:t>
            </w:r>
            <w:r>
              <w:rPr>
                <w:rFonts w:ascii="仿宋" w:hAnsi="仿宋" w:eastAsia="仿宋" w:cs="仿宋"/>
                <w:sz w:val="24"/>
              </w:rPr>
              <w:t>不允许转包和分包</w:t>
            </w:r>
            <w:r>
              <w:rPr>
                <w:rFonts w:hint="eastAsia" w:ascii="仿宋" w:hAnsi="仿宋" w:eastAsia="仿宋" w:cs="仿宋"/>
                <w:sz w:val="24"/>
              </w:rPr>
              <w:t>。</w:t>
            </w:r>
          </w:p>
          <w:p w14:paraId="6455FBB4">
            <w:pPr>
              <w:snapToGrid w:val="0"/>
              <w:spacing w:line="240" w:lineRule="atLeast"/>
              <w:rPr>
                <w:rFonts w:ascii="仿宋" w:hAnsi="仿宋" w:eastAsia="仿宋" w:cs="仿宋"/>
                <w:sz w:val="24"/>
              </w:rPr>
            </w:pPr>
            <w:r>
              <w:rPr>
                <w:rFonts w:hint="eastAsia" w:ascii="仿宋" w:hAnsi="仿宋" w:eastAsia="仿宋" w:cs="仿宋"/>
                <w:sz w:val="24"/>
              </w:rPr>
              <w:t>对供应商的重大违法记录将在开标现场资格审验时在“信用中国”网站及中国政府采购网进行查询，被列入失信被执行人、重大税收违法案件当事人名单以及政府采购严重违法失信行为记录名单的投标单位，将拒绝其参加本次政府采购活动。（以开标现场招标代理或招标人查询为准）</w:t>
            </w:r>
          </w:p>
          <w:p w14:paraId="00549B53">
            <w:pPr>
              <w:pStyle w:val="2"/>
            </w:pPr>
            <w:r>
              <w:rPr>
                <w:rFonts w:cs="宋体"/>
                <w:b/>
                <w:bCs/>
              </w:rPr>
              <w:t>注：1、“提供税务部门出具的完税证明”：①若供应商某月税收为零申报，须提供当月加盖税务局公章的无欠税证明或“国家税务总局电子税务局12366.chinatax.gov.cn/bsfw/onlinetaxation/main）”的申报结果查询截图 ②完税证明中“税种”非养老保险、医疗保险、失业保险、工伤保险和生育保险。请各供应商注意！</w:t>
            </w:r>
          </w:p>
        </w:tc>
      </w:tr>
      <w:tr w14:paraId="459DBE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61C0C997">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 xml:space="preserve">1.3.2   </w:t>
            </w:r>
          </w:p>
        </w:tc>
        <w:tc>
          <w:tcPr>
            <w:tcW w:w="7222" w:type="dxa"/>
            <w:tcBorders>
              <w:top w:val="single" w:color="000000" w:sz="6" w:space="0"/>
              <w:left w:val="single" w:color="000000" w:sz="6" w:space="0"/>
              <w:bottom w:val="single" w:color="000000" w:sz="6" w:space="0"/>
              <w:right w:val="single" w:color="000000" w:sz="12" w:space="0"/>
            </w:tcBorders>
            <w:vAlign w:val="center"/>
          </w:tcPr>
          <w:p w14:paraId="0B86F56C">
            <w:pPr>
              <w:snapToGrid w:val="0"/>
              <w:spacing w:line="240" w:lineRule="atLeast"/>
              <w:rPr>
                <w:rStyle w:val="37"/>
                <w:rFonts w:ascii="仿宋_GB2312" w:hAnsi="仿宋_GB2312" w:eastAsia="仿宋_GB2312"/>
                <w:sz w:val="24"/>
              </w:rPr>
            </w:pPr>
            <w:r>
              <w:rPr>
                <w:rStyle w:val="37"/>
                <w:rFonts w:ascii="仿宋_GB2312" w:hAnsi="仿宋_GB2312" w:eastAsia="仿宋_GB2312"/>
                <w:sz w:val="24"/>
              </w:rPr>
              <w:t>是否允许采购进口产品：</w:t>
            </w:r>
            <w:r>
              <w:rPr>
                <w:rStyle w:val="37"/>
                <w:rFonts w:ascii="仿宋_GB2312" w:hAnsi="仿宋_GB2312" w:eastAsia="仿宋_GB2312"/>
                <w:sz w:val="24"/>
                <w:u w:val="single"/>
              </w:rPr>
              <w:t>否</w:t>
            </w:r>
          </w:p>
        </w:tc>
      </w:tr>
      <w:tr w14:paraId="04EDA9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00B4BCE8">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1.3.3</w:t>
            </w:r>
          </w:p>
        </w:tc>
        <w:tc>
          <w:tcPr>
            <w:tcW w:w="7222" w:type="dxa"/>
            <w:tcBorders>
              <w:top w:val="single" w:color="000000" w:sz="6" w:space="0"/>
              <w:left w:val="single" w:color="000000" w:sz="6" w:space="0"/>
              <w:bottom w:val="single" w:color="000000" w:sz="6" w:space="0"/>
              <w:right w:val="single" w:color="000000" w:sz="12" w:space="0"/>
            </w:tcBorders>
            <w:vAlign w:val="center"/>
          </w:tcPr>
          <w:p w14:paraId="5EDD68C7">
            <w:pPr>
              <w:snapToGrid w:val="0"/>
              <w:spacing w:line="240" w:lineRule="atLeast"/>
              <w:rPr>
                <w:rStyle w:val="37"/>
                <w:rFonts w:hint="default" w:ascii="仿宋_GB2312" w:hAnsi="仿宋_GB2312" w:eastAsia="仿宋_GB2312"/>
                <w:sz w:val="24"/>
                <w:lang w:val="en-US" w:eastAsia="zh-CN"/>
              </w:rPr>
            </w:pPr>
            <w:bookmarkStart w:id="900" w:name="OLE_LINK12"/>
            <w:r>
              <w:rPr>
                <w:rStyle w:val="37"/>
                <w:rFonts w:ascii="仿宋_GB2312" w:hAnsi="仿宋_GB2312" w:eastAsia="仿宋_GB2312"/>
                <w:sz w:val="24"/>
              </w:rPr>
              <w:t>是否为专门面向中小企业采购：</w:t>
            </w:r>
            <w:r>
              <w:rPr>
                <w:rStyle w:val="37"/>
                <w:rFonts w:ascii="仿宋_GB2312" w:hAnsi="仿宋_GB2312" w:eastAsia="仿宋_GB2312"/>
                <w:sz w:val="24"/>
                <w:u w:val="single"/>
              </w:rPr>
              <w:t>否</w:t>
            </w:r>
            <w:bookmarkEnd w:id="900"/>
          </w:p>
        </w:tc>
      </w:tr>
      <w:tr w14:paraId="597B32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276DC20C">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1.4.1</w:t>
            </w:r>
          </w:p>
        </w:tc>
        <w:tc>
          <w:tcPr>
            <w:tcW w:w="7222" w:type="dxa"/>
            <w:tcBorders>
              <w:top w:val="single" w:color="000000" w:sz="6" w:space="0"/>
              <w:left w:val="single" w:color="000000" w:sz="6" w:space="0"/>
              <w:bottom w:val="single" w:color="000000" w:sz="6" w:space="0"/>
              <w:right w:val="single" w:color="000000" w:sz="12" w:space="0"/>
            </w:tcBorders>
            <w:vAlign w:val="center"/>
          </w:tcPr>
          <w:p w14:paraId="77FD2861">
            <w:pPr>
              <w:snapToGrid w:val="0"/>
              <w:spacing w:line="240" w:lineRule="atLeast"/>
              <w:rPr>
                <w:rStyle w:val="37"/>
                <w:rFonts w:ascii="仿宋_GB2312" w:hAnsi="仿宋_GB2312" w:eastAsia="仿宋_GB2312"/>
                <w:sz w:val="24"/>
              </w:rPr>
            </w:pPr>
            <w:r>
              <w:rPr>
                <w:rStyle w:val="37"/>
                <w:rFonts w:ascii="仿宋_GB2312" w:hAnsi="仿宋_GB2312" w:eastAsia="仿宋_GB2312"/>
                <w:sz w:val="24"/>
              </w:rPr>
              <w:t>是否允许联合体投标：</w:t>
            </w:r>
            <w:r>
              <w:rPr>
                <w:rStyle w:val="37"/>
                <w:rFonts w:ascii="仿宋_GB2312" w:hAnsi="仿宋_GB2312" w:eastAsia="仿宋_GB2312"/>
                <w:sz w:val="24"/>
                <w:u w:val="single"/>
              </w:rPr>
              <w:t>否</w:t>
            </w:r>
          </w:p>
        </w:tc>
      </w:tr>
      <w:tr w14:paraId="733540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28FC4947">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1.4.2</w:t>
            </w:r>
          </w:p>
        </w:tc>
        <w:tc>
          <w:tcPr>
            <w:tcW w:w="7222" w:type="dxa"/>
            <w:tcBorders>
              <w:top w:val="single" w:color="000000" w:sz="6" w:space="0"/>
              <w:left w:val="single" w:color="000000" w:sz="6" w:space="0"/>
              <w:bottom w:val="single" w:color="000000" w:sz="6" w:space="0"/>
              <w:right w:val="single" w:color="000000" w:sz="12" w:space="0"/>
            </w:tcBorders>
            <w:vAlign w:val="center"/>
          </w:tcPr>
          <w:p w14:paraId="72BA7AF6">
            <w:pPr>
              <w:snapToGrid w:val="0"/>
              <w:spacing w:line="240" w:lineRule="atLeast"/>
              <w:rPr>
                <w:rStyle w:val="37"/>
                <w:rFonts w:ascii="仿宋_GB2312" w:hAnsi="仿宋_GB2312" w:eastAsia="仿宋_GB2312"/>
                <w:sz w:val="24"/>
              </w:rPr>
            </w:pPr>
            <w:r>
              <w:rPr>
                <w:rStyle w:val="37"/>
                <w:rFonts w:ascii="仿宋_GB2312" w:hAnsi="仿宋_GB2312" w:eastAsia="仿宋_GB2312"/>
                <w:sz w:val="24"/>
              </w:rPr>
              <w:t>联合体的其他资格要求：无</w:t>
            </w:r>
          </w:p>
        </w:tc>
      </w:tr>
      <w:tr w14:paraId="51532C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0D6F949E">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2.1</w:t>
            </w:r>
          </w:p>
        </w:tc>
        <w:tc>
          <w:tcPr>
            <w:tcW w:w="7222" w:type="dxa"/>
            <w:tcBorders>
              <w:top w:val="single" w:color="000000" w:sz="6" w:space="0"/>
              <w:left w:val="single" w:color="000000" w:sz="6" w:space="0"/>
              <w:bottom w:val="single" w:color="000000" w:sz="6" w:space="0"/>
              <w:right w:val="single" w:color="000000" w:sz="12" w:space="0"/>
            </w:tcBorders>
            <w:vAlign w:val="center"/>
          </w:tcPr>
          <w:p w14:paraId="1135C64D">
            <w:pPr>
              <w:snapToGrid w:val="0"/>
              <w:spacing w:line="240" w:lineRule="atLeast"/>
              <w:rPr>
                <w:rStyle w:val="37"/>
                <w:rFonts w:hint="eastAsia" w:ascii="仿宋" w:hAnsi="仿宋" w:eastAsia="仿宋" w:cs="仿宋"/>
                <w:color w:val="000000"/>
                <w:sz w:val="24"/>
                <w:highlight w:val="none"/>
              </w:rPr>
            </w:pPr>
            <w:r>
              <w:rPr>
                <w:rStyle w:val="37"/>
                <w:rFonts w:hint="eastAsia" w:ascii="仿宋" w:hAnsi="仿宋" w:eastAsia="仿宋" w:cs="仿宋"/>
                <w:color w:val="000000"/>
                <w:sz w:val="24"/>
                <w:lang w:val="zh-CN"/>
              </w:rPr>
              <w:t>采购预算：</w:t>
            </w:r>
            <w:r>
              <w:rPr>
                <w:rStyle w:val="37"/>
                <w:rFonts w:hint="eastAsia" w:ascii="仿宋" w:hAnsi="仿宋" w:eastAsia="仿宋" w:cs="仿宋"/>
                <w:color w:val="000000"/>
                <w:sz w:val="24"/>
                <w:szCs w:val="21"/>
                <w:highlight w:val="none"/>
                <w:lang w:eastAsia="zh-CN"/>
              </w:rPr>
              <w:t>2160000</w:t>
            </w:r>
            <w:r>
              <w:rPr>
                <w:rStyle w:val="37"/>
                <w:rFonts w:hint="eastAsia" w:ascii="仿宋" w:hAnsi="仿宋" w:eastAsia="仿宋" w:cs="仿宋"/>
                <w:color w:val="000000"/>
                <w:sz w:val="24"/>
                <w:highlight w:val="none"/>
              </w:rPr>
              <w:t>元（</w:t>
            </w:r>
            <w:r>
              <w:rPr>
                <w:rStyle w:val="37"/>
                <w:rFonts w:hint="eastAsia" w:ascii="仿宋" w:hAnsi="仿宋" w:eastAsia="仿宋" w:cs="仿宋"/>
                <w:color w:val="000000"/>
                <w:sz w:val="24"/>
                <w:highlight w:val="none"/>
                <w:lang w:val="en-US" w:eastAsia="zh-CN"/>
              </w:rPr>
              <w:t>贰佰壹拾陆万元整</w:t>
            </w:r>
            <w:r>
              <w:rPr>
                <w:rStyle w:val="37"/>
                <w:rFonts w:hint="eastAsia" w:ascii="仿宋" w:hAnsi="仿宋" w:eastAsia="仿宋" w:cs="仿宋"/>
                <w:color w:val="000000"/>
                <w:sz w:val="24"/>
                <w:highlight w:val="none"/>
              </w:rPr>
              <w:t>）</w:t>
            </w:r>
          </w:p>
          <w:p w14:paraId="1BD81C1E">
            <w:pPr>
              <w:snapToGrid w:val="0"/>
              <w:spacing w:line="240" w:lineRule="atLeast"/>
              <w:rPr>
                <w:rStyle w:val="37"/>
                <w:rFonts w:hint="eastAsia" w:ascii="仿宋" w:hAnsi="仿宋" w:eastAsia="仿宋" w:cs="仿宋"/>
                <w:color w:val="000000"/>
                <w:sz w:val="24"/>
                <w:highlight w:val="none"/>
              </w:rPr>
            </w:pPr>
            <w:r>
              <w:rPr>
                <w:rStyle w:val="37"/>
                <w:rFonts w:hint="eastAsia" w:ascii="仿宋" w:hAnsi="仿宋" w:eastAsia="仿宋" w:cs="仿宋"/>
                <w:color w:val="000000"/>
                <w:sz w:val="24"/>
                <w:lang w:val="zh-CN"/>
              </w:rPr>
              <w:t>最高限价：</w:t>
            </w:r>
            <w:r>
              <w:rPr>
                <w:rStyle w:val="37"/>
                <w:rFonts w:hint="eastAsia" w:ascii="仿宋" w:hAnsi="仿宋" w:eastAsia="仿宋" w:cs="仿宋"/>
                <w:color w:val="000000"/>
                <w:sz w:val="24"/>
                <w:szCs w:val="21"/>
                <w:highlight w:val="none"/>
                <w:lang w:eastAsia="zh-CN"/>
              </w:rPr>
              <w:t>2160000</w:t>
            </w:r>
            <w:r>
              <w:rPr>
                <w:rStyle w:val="37"/>
                <w:rFonts w:hint="eastAsia" w:ascii="仿宋" w:hAnsi="仿宋" w:eastAsia="仿宋" w:cs="仿宋"/>
                <w:color w:val="000000"/>
                <w:sz w:val="24"/>
                <w:highlight w:val="none"/>
              </w:rPr>
              <w:t>元（</w:t>
            </w:r>
            <w:r>
              <w:rPr>
                <w:rStyle w:val="37"/>
                <w:rFonts w:hint="eastAsia" w:ascii="仿宋" w:hAnsi="仿宋" w:eastAsia="仿宋" w:cs="仿宋"/>
                <w:color w:val="000000"/>
                <w:sz w:val="24"/>
                <w:highlight w:val="none"/>
                <w:lang w:val="en-US" w:eastAsia="zh-CN"/>
              </w:rPr>
              <w:t>贰佰壹拾陆万元整</w:t>
            </w:r>
            <w:r>
              <w:rPr>
                <w:rStyle w:val="37"/>
                <w:rFonts w:hint="eastAsia" w:ascii="仿宋" w:hAnsi="仿宋" w:eastAsia="仿宋" w:cs="仿宋"/>
                <w:color w:val="000000"/>
                <w:sz w:val="24"/>
                <w:highlight w:val="none"/>
              </w:rPr>
              <w:t>）</w:t>
            </w:r>
          </w:p>
          <w:p w14:paraId="73917F61">
            <w:pPr>
              <w:snapToGrid w:val="0"/>
              <w:spacing w:line="240" w:lineRule="atLeast"/>
              <w:rPr>
                <w:rStyle w:val="37"/>
                <w:rFonts w:ascii="仿宋" w:hAnsi="仿宋" w:eastAsia="仿宋"/>
                <w:color w:val="000000"/>
                <w:sz w:val="24"/>
              </w:rPr>
            </w:pPr>
            <w:r>
              <w:rPr>
                <w:rStyle w:val="37"/>
                <w:rFonts w:hint="eastAsia" w:ascii="仿宋" w:hAnsi="仿宋" w:eastAsia="仿宋" w:cs="仿宋"/>
                <w:color w:val="000000"/>
                <w:sz w:val="24"/>
                <w:highlight w:val="none"/>
                <w:lang w:val="zh-CN"/>
              </w:rPr>
              <w:t>（超过最高限价的投标无效）</w:t>
            </w:r>
          </w:p>
        </w:tc>
      </w:tr>
      <w:tr w14:paraId="034063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6B127447">
            <w:pPr>
              <w:snapToGrid w:val="0"/>
              <w:spacing w:line="240" w:lineRule="atLeast"/>
              <w:ind w:firstLine="480" w:firstLineChars="200"/>
              <w:rPr>
                <w:rStyle w:val="37"/>
                <w:rFonts w:ascii="仿宋_GB2312" w:hAnsi="仿宋_GB2312" w:eastAsia="仿宋_GB2312" w:cs="Times New Roman"/>
                <w:color w:val="000000"/>
                <w:sz w:val="24"/>
                <w:lang w:val="zh-CN"/>
              </w:rPr>
            </w:pPr>
            <w:r>
              <w:rPr>
                <w:rStyle w:val="37"/>
                <w:rFonts w:hint="eastAsia" w:ascii="仿宋_GB2312" w:hAnsi="仿宋_GB2312" w:eastAsia="仿宋_GB2312" w:cs="Times New Roman"/>
                <w:color w:val="000000"/>
                <w:sz w:val="24"/>
                <w:lang w:val="zh-CN"/>
              </w:rPr>
              <w:t>2.2</w:t>
            </w:r>
          </w:p>
        </w:tc>
        <w:tc>
          <w:tcPr>
            <w:tcW w:w="7222" w:type="dxa"/>
            <w:tcBorders>
              <w:top w:val="single" w:color="000000" w:sz="6" w:space="0"/>
              <w:left w:val="single" w:color="000000" w:sz="6" w:space="0"/>
              <w:bottom w:val="single" w:color="000000" w:sz="6" w:space="0"/>
              <w:right w:val="single" w:color="000000" w:sz="12" w:space="0"/>
            </w:tcBorders>
            <w:vAlign w:val="center"/>
          </w:tcPr>
          <w:p w14:paraId="37385D5D">
            <w:pPr>
              <w:snapToGrid w:val="0"/>
              <w:spacing w:line="240" w:lineRule="atLeast"/>
              <w:rPr>
                <w:rStyle w:val="37"/>
                <w:rFonts w:ascii="仿宋_GB2312" w:hAnsi="仿宋_GB2312" w:eastAsia="仿宋_GB2312" w:cs="Times New Roman"/>
                <w:color w:val="000000"/>
                <w:sz w:val="24"/>
              </w:rPr>
            </w:pPr>
            <w:r>
              <w:rPr>
                <w:rStyle w:val="37"/>
                <w:rFonts w:hint="eastAsia" w:ascii="仿宋_GB2312" w:hAnsi="仿宋_GB2312" w:eastAsia="仿宋_GB2312" w:cs="Times New Roman"/>
                <w:color w:val="000000"/>
                <w:sz w:val="24"/>
                <w:lang w:val="zh-CN"/>
              </w:rPr>
              <w:t>注：本项目</w:t>
            </w:r>
            <w:r>
              <w:rPr>
                <w:rStyle w:val="37"/>
                <w:rFonts w:hint="eastAsia" w:ascii="仿宋_GB2312" w:hAnsi="仿宋_GB2312" w:eastAsia="仿宋_GB2312" w:cs="Times New Roman"/>
                <w:color w:val="000000"/>
                <w:sz w:val="24"/>
                <w:lang w:val="en-US" w:eastAsia="zh-CN"/>
              </w:rPr>
              <w:t>不分</w:t>
            </w:r>
            <w:r>
              <w:rPr>
                <w:rStyle w:val="37"/>
                <w:rFonts w:hint="eastAsia" w:ascii="仿宋_GB2312" w:hAnsi="仿宋_GB2312" w:eastAsia="仿宋_GB2312" w:cs="Times New Roman"/>
                <w:color w:val="000000"/>
                <w:sz w:val="24"/>
                <w:lang w:val="zh-CN"/>
              </w:rPr>
              <w:t>标段</w:t>
            </w:r>
            <w:r>
              <w:rPr>
                <w:rFonts w:hint="eastAsia" w:ascii="仿宋" w:hAnsi="仿宋" w:eastAsia="仿宋" w:cs="仿宋"/>
                <w:bCs/>
                <w:color w:val="000000"/>
                <w:sz w:val="24"/>
              </w:rPr>
              <w:t>。</w:t>
            </w:r>
          </w:p>
        </w:tc>
      </w:tr>
      <w:tr w14:paraId="504624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3720F8CF">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12.1</w:t>
            </w:r>
          </w:p>
        </w:tc>
        <w:tc>
          <w:tcPr>
            <w:tcW w:w="7222" w:type="dxa"/>
            <w:tcBorders>
              <w:top w:val="single" w:color="000000" w:sz="6" w:space="0"/>
              <w:left w:val="single" w:color="000000" w:sz="6" w:space="0"/>
              <w:bottom w:val="single" w:color="000000" w:sz="6" w:space="0"/>
              <w:right w:val="single" w:color="000000" w:sz="12" w:space="0"/>
            </w:tcBorders>
            <w:vAlign w:val="center"/>
          </w:tcPr>
          <w:p w14:paraId="129A7E2B">
            <w:pPr>
              <w:snapToGrid w:val="0"/>
              <w:spacing w:line="240" w:lineRule="atLeast"/>
              <w:rPr>
                <w:rStyle w:val="37"/>
                <w:rFonts w:ascii="仿宋_GB2312" w:hAnsi="仿宋_GB2312" w:eastAsia="仿宋_GB2312" w:cs="Times New Roman"/>
                <w:color w:val="000000"/>
                <w:sz w:val="24"/>
                <w:highlight w:val="none"/>
              </w:rPr>
            </w:pPr>
            <w:r>
              <w:rPr>
                <w:rStyle w:val="37"/>
                <w:rFonts w:ascii="仿宋_GB2312" w:hAnsi="仿宋_GB2312" w:eastAsia="仿宋_GB2312" w:cs="Times New Roman"/>
                <w:color w:val="000000"/>
                <w:sz w:val="24"/>
                <w:highlight w:val="none"/>
                <w:lang w:val="zh-CN"/>
              </w:rPr>
              <w:t>投标保证金形式：</w:t>
            </w:r>
            <w:r>
              <w:rPr>
                <w:rFonts w:hint="eastAsia" w:ascii="仿宋_GB2312" w:hAnsi="仿宋_GB2312" w:eastAsia="仿宋_GB2312" w:cs="仿宋_GB2312"/>
                <w:sz w:val="24"/>
                <w:highlight w:val="none"/>
              </w:rPr>
              <w:t>☑电汇☑支票☑本票☑保函</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等非现金形式提交</w:t>
            </w:r>
            <w:r>
              <w:rPr>
                <w:rStyle w:val="37"/>
                <w:rFonts w:ascii="仿宋_GB2312" w:hAnsi="仿宋_GB2312" w:eastAsia="仿宋_GB2312" w:cs="Times New Roman"/>
                <w:color w:val="000000"/>
                <w:sz w:val="24"/>
                <w:highlight w:val="none"/>
                <w:lang w:val="zh-CN"/>
              </w:rPr>
              <w:t>投标保证金数额:</w:t>
            </w:r>
            <w:r>
              <w:rPr>
                <w:rStyle w:val="37"/>
                <w:rFonts w:hint="eastAsia" w:ascii="仿宋_GB2312" w:hAnsi="仿宋_GB2312" w:eastAsia="仿宋_GB2312" w:cs="Times New Roman"/>
                <w:color w:val="000000"/>
                <w:sz w:val="24"/>
                <w:highlight w:val="none"/>
                <w:lang w:val="en-US" w:eastAsia="zh-CN"/>
              </w:rPr>
              <w:t>4</w:t>
            </w:r>
            <w:r>
              <w:rPr>
                <w:rStyle w:val="37"/>
                <w:rFonts w:hint="eastAsia" w:ascii="仿宋_GB2312" w:hAnsi="仿宋_GB2312" w:eastAsia="仿宋_GB2312" w:cs="Times New Roman"/>
                <w:color w:val="000000"/>
                <w:sz w:val="24"/>
                <w:highlight w:val="none"/>
              </w:rPr>
              <w:t>0000元（</w:t>
            </w:r>
            <w:r>
              <w:rPr>
                <w:rStyle w:val="37"/>
                <w:rFonts w:hint="eastAsia" w:ascii="仿宋_GB2312" w:hAnsi="仿宋_GB2312" w:eastAsia="仿宋_GB2312" w:cs="Times New Roman"/>
                <w:color w:val="000000"/>
                <w:sz w:val="24"/>
                <w:highlight w:val="none"/>
                <w:lang w:val="en-US" w:eastAsia="zh-CN"/>
              </w:rPr>
              <w:t>肆</w:t>
            </w:r>
            <w:r>
              <w:rPr>
                <w:rStyle w:val="37"/>
                <w:rFonts w:hint="eastAsia" w:ascii="仿宋_GB2312" w:hAnsi="仿宋_GB2312" w:eastAsia="仿宋_GB2312" w:cs="Times New Roman"/>
                <w:color w:val="000000"/>
                <w:sz w:val="24"/>
                <w:highlight w:val="none"/>
              </w:rPr>
              <w:t>万元整）</w:t>
            </w:r>
          </w:p>
          <w:p w14:paraId="458EA75C">
            <w:pPr>
              <w:spacing w:line="24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投标保证金缴纳账户：</w:t>
            </w:r>
            <w:bookmarkStart w:id="901" w:name="OLE_LINK14"/>
            <w:r>
              <w:rPr>
                <w:rFonts w:hint="eastAsia" w:ascii="仿宋_GB2312" w:hAnsi="仿宋_GB2312" w:eastAsia="仿宋_GB2312" w:cs="仿宋_GB2312"/>
                <w:sz w:val="24"/>
                <w:highlight w:val="none"/>
              </w:rPr>
              <w:t>伽师县公安局</w:t>
            </w:r>
            <w:bookmarkEnd w:id="901"/>
          </w:p>
          <w:p w14:paraId="387B76E6">
            <w:pPr>
              <w:spacing w:line="24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银行账号：</w:t>
            </w:r>
            <w:bookmarkStart w:id="902" w:name="OLE_LINK15"/>
            <w:r>
              <w:rPr>
                <w:rFonts w:hint="eastAsia" w:ascii="仿宋_GB2312" w:hAnsi="仿宋_GB2312" w:eastAsia="仿宋_GB2312" w:cs="仿宋_GB2312"/>
                <w:sz w:val="24"/>
                <w:highlight w:val="none"/>
              </w:rPr>
              <w:t>30522101040005758</w:t>
            </w:r>
            <w:bookmarkEnd w:id="902"/>
            <w:r>
              <w:rPr>
                <w:rFonts w:hint="eastAsia" w:ascii="宋体" w:hAnsi="宋体"/>
                <w:sz w:val="24"/>
                <w:szCs w:val="21"/>
                <w:highlight w:val="none"/>
              </w:rPr>
              <w:t>　</w:t>
            </w:r>
          </w:p>
          <w:p w14:paraId="211C02D1">
            <w:pPr>
              <w:pStyle w:val="2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 户 行：</w:t>
            </w:r>
            <w:bookmarkStart w:id="903" w:name="OLE_LINK16"/>
            <w:r>
              <w:rPr>
                <w:rFonts w:hint="eastAsia" w:ascii="仿宋_GB2312" w:hAnsi="仿宋_GB2312" w:eastAsia="仿宋_GB2312" w:cs="仿宋_GB2312"/>
                <w:sz w:val="24"/>
                <w:highlight w:val="none"/>
              </w:rPr>
              <w:t>中国农业股份有限公司伽师县支行</w:t>
            </w:r>
            <w:bookmarkEnd w:id="903"/>
          </w:p>
          <w:p w14:paraId="08FFAEF6">
            <w:pPr>
              <w:pStyle w:val="20"/>
              <w:rPr>
                <w:rFonts w:ascii="仿宋" w:hAnsi="仿宋" w:eastAsia="仿宋" w:cs="仿宋"/>
                <w:b/>
                <w:bCs/>
                <w:color w:val="000000"/>
                <w:kern w:val="0"/>
                <w:sz w:val="24"/>
              </w:rPr>
            </w:pPr>
            <w:r>
              <w:rPr>
                <w:rFonts w:ascii="仿宋" w:hAnsi="仿宋" w:eastAsia="仿宋" w:cs="仿宋"/>
                <w:b/>
                <w:bCs/>
                <w:color w:val="000000"/>
                <w:kern w:val="0"/>
                <w:sz w:val="24"/>
              </w:rPr>
              <w:t>（根据中华人民共和国财政部令第87号《政府采购货物和服务招标投</w:t>
            </w:r>
            <w:r>
              <w:rPr>
                <w:rFonts w:hint="eastAsia" w:ascii="仿宋" w:hAnsi="仿宋" w:eastAsia="仿宋" w:cs="仿宋"/>
                <w:b/>
                <w:bCs/>
                <w:color w:val="000000"/>
                <w:kern w:val="0"/>
                <w:sz w:val="24"/>
              </w:rPr>
              <w:t>标管理办法》第38条：投标保证金应当自中标通知书发出之日起5个工作日内退还未中标人的投标保证金，采购人自采购合同签订之日起5个工作日内退还中标人的投标保证金。）</w:t>
            </w:r>
          </w:p>
          <w:p w14:paraId="05836F35">
            <w:pPr>
              <w:pStyle w:val="20"/>
            </w:pPr>
            <w:r>
              <w:rPr>
                <w:rFonts w:hint="eastAsia" w:ascii="仿宋_GB2312" w:eastAsia="仿宋_GB2312"/>
                <w:b/>
                <w:bCs/>
                <w:sz w:val="24"/>
              </w:rPr>
              <w:t>投标人未按招标文件规定缴纳投标保证金的,投标文件将被拒绝评审。</w:t>
            </w:r>
          </w:p>
        </w:tc>
      </w:tr>
      <w:tr w14:paraId="06BC4F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4EFDA7AC">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13.1</w:t>
            </w:r>
          </w:p>
        </w:tc>
        <w:tc>
          <w:tcPr>
            <w:tcW w:w="7222" w:type="dxa"/>
            <w:tcBorders>
              <w:top w:val="single" w:color="000000" w:sz="6" w:space="0"/>
              <w:left w:val="single" w:color="000000" w:sz="6" w:space="0"/>
              <w:bottom w:val="single" w:color="000000" w:sz="6" w:space="0"/>
              <w:right w:val="single" w:color="000000" w:sz="12" w:space="0"/>
            </w:tcBorders>
            <w:vAlign w:val="center"/>
          </w:tcPr>
          <w:p w14:paraId="46982701">
            <w:pPr>
              <w:snapToGrid w:val="0"/>
              <w:spacing w:line="240" w:lineRule="atLeast"/>
              <w:rPr>
                <w:rStyle w:val="37"/>
                <w:rFonts w:ascii="仿宋_GB2312" w:hAnsi="仿宋_GB2312" w:eastAsia="仿宋_GB2312"/>
                <w:color w:val="000000"/>
                <w:sz w:val="24"/>
                <w:u w:val="single" w:color="000000"/>
              </w:rPr>
            </w:pPr>
            <w:r>
              <w:rPr>
                <w:rStyle w:val="37"/>
                <w:rFonts w:ascii="仿宋_GB2312" w:hAnsi="仿宋_GB2312" w:eastAsia="仿宋_GB2312"/>
                <w:color w:val="000000"/>
                <w:sz w:val="24"/>
              </w:rPr>
              <w:t>投标有效期：</w:t>
            </w:r>
            <w:r>
              <w:rPr>
                <w:rStyle w:val="37"/>
                <w:rFonts w:hint="eastAsia" w:ascii="仿宋_GB2312" w:hAnsi="仿宋_GB2312" w:eastAsia="仿宋_GB2312"/>
                <w:color w:val="000000"/>
                <w:sz w:val="24"/>
                <w:u w:val="single" w:color="000000"/>
              </w:rPr>
              <w:t>90</w:t>
            </w:r>
            <w:r>
              <w:rPr>
                <w:rStyle w:val="37"/>
                <w:rFonts w:ascii="仿宋_GB2312" w:hAnsi="仿宋_GB2312" w:eastAsia="仿宋_GB2312"/>
                <w:color w:val="000000"/>
                <w:sz w:val="24"/>
              </w:rPr>
              <w:t>日历日</w:t>
            </w:r>
          </w:p>
        </w:tc>
      </w:tr>
      <w:tr w14:paraId="63ECDB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66C2CA78">
            <w:pPr>
              <w:snapToGrid w:val="0"/>
              <w:ind w:firstLine="480" w:firstLineChars="200"/>
              <w:rPr>
                <w:rStyle w:val="37"/>
                <w:rFonts w:ascii="仿宋_GB2312" w:hAnsi="仿宋_GB2312" w:eastAsia="仿宋_GB2312"/>
                <w:sz w:val="24"/>
              </w:rPr>
            </w:pPr>
            <w:r>
              <w:rPr>
                <w:rStyle w:val="37"/>
                <w:rFonts w:ascii="仿宋_GB2312" w:hAnsi="仿宋_GB2312" w:eastAsia="仿宋_GB2312"/>
                <w:sz w:val="24"/>
              </w:rPr>
              <w:t>14.1</w:t>
            </w:r>
          </w:p>
        </w:tc>
        <w:tc>
          <w:tcPr>
            <w:tcW w:w="7222" w:type="dxa"/>
            <w:tcBorders>
              <w:top w:val="single" w:color="000000" w:sz="6" w:space="0"/>
              <w:left w:val="single" w:color="000000" w:sz="6" w:space="0"/>
              <w:bottom w:val="single" w:color="000000" w:sz="6" w:space="0"/>
              <w:right w:val="single" w:color="000000" w:sz="12" w:space="0"/>
            </w:tcBorders>
            <w:vAlign w:val="center"/>
          </w:tcPr>
          <w:p w14:paraId="31EE3E59">
            <w:pPr>
              <w:jc w:val="left"/>
            </w:pPr>
            <w:bookmarkStart w:id="904" w:name="OLE_LINK17"/>
            <w:r>
              <w:rPr>
                <w:rFonts w:ascii="仿宋" w:hAnsi="仿宋" w:eastAsia="仿宋" w:cs="仿宋"/>
                <w:color w:val="000000"/>
                <w:kern w:val="0"/>
                <w:sz w:val="24"/>
                <w:lang w:bidi="ar"/>
              </w:rPr>
              <w:t>1.本项目为电子招投标，供应商需要使用 CA 加密设备，凡参加本项</w:t>
            </w:r>
            <w:r>
              <w:rPr>
                <w:rFonts w:hint="eastAsia" w:ascii="仿宋" w:hAnsi="仿宋" w:eastAsia="仿宋" w:cs="仿宋"/>
                <w:color w:val="000000"/>
                <w:kern w:val="0"/>
                <w:sz w:val="24"/>
                <w:lang w:bidi="ar"/>
              </w:rPr>
              <w:t xml:space="preserve">目必须可自主通过新疆 CA 申领渠道“新疆政务通”申请政采云平台可使用的 CA 设备，如原有兵团或公共资源使用的 CA，可与新疆 CA 联系，申请增加电子证书即可，无需重复申领。 </w:t>
            </w:r>
          </w:p>
          <w:p w14:paraId="6AFD9D45">
            <w:pPr>
              <w:jc w:val="left"/>
            </w:pPr>
            <w:r>
              <w:rPr>
                <w:rFonts w:hint="eastAsia" w:ascii="仿宋" w:hAnsi="仿宋" w:eastAsia="仿宋" w:cs="仿宋"/>
                <w:color w:val="000000"/>
                <w:kern w:val="0"/>
                <w:sz w:val="24"/>
                <w:lang w:bidi="ar"/>
              </w:rPr>
              <w:t xml:space="preserve">2.本项目实行网上投标，采用电子投标文件(供应商须使用 CA 加密设备通过政采云电子投标客户端制作投标文件)。若供应商参与投标，自行承担投标一切费用。 </w:t>
            </w:r>
          </w:p>
          <w:p w14:paraId="32882C77">
            <w:pPr>
              <w:jc w:val="left"/>
            </w:pPr>
            <w:r>
              <w:rPr>
                <w:rFonts w:hint="eastAsia" w:ascii="仿宋" w:hAnsi="仿宋" w:eastAsia="仿宋" w:cs="仿宋"/>
                <w:color w:val="000000"/>
                <w:kern w:val="0"/>
                <w:sz w:val="24"/>
                <w:lang w:bidi="ar"/>
              </w:rPr>
              <w:t xml:space="preserve">3.各供应商应在开标前应确保成为新疆政府采购网正式注册入库供应商，并完成 CA 数字证书申领。因未注册入库、未办理 CA 数字证书等原因造成无法投标或投标失败等后果由供应商自行承担。 </w:t>
            </w:r>
          </w:p>
          <w:p w14:paraId="58BAA764">
            <w:pPr>
              <w:jc w:val="left"/>
            </w:pPr>
            <w:r>
              <w:rPr>
                <w:rFonts w:hint="eastAsia" w:ascii="仿宋" w:hAnsi="仿宋" w:eastAsia="仿宋" w:cs="仿宋"/>
                <w:color w:val="000000"/>
                <w:kern w:val="0"/>
                <w:sz w:val="24"/>
                <w:lang w:bidi="ar"/>
              </w:rPr>
              <w:t xml:space="preserve">4.供应商将政采云电子交易客户端下载、安装完成后，可通过账号密码或 CA 登录客户端进行投标文件制作。在使用政采云投标客户端时，建议使用WIN7及以上操作系统。 客户 端请至新疆政府采购网（http://www.ccgp-xinjiang.gov.cn/）下载专区查看，如有问题可拨打政采云客户服务热线95763 进行咨询。 </w:t>
            </w:r>
          </w:p>
          <w:p w14:paraId="49DBA8AD">
            <w:pPr>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5.供应商在开标时须使用制作加密电子投标文件所使用的 CA 锁及电脑，电脑须提前配置好浏览器（建议使用谷歌浏览器），以便开标时解锁。为了保证开评标顺利进行，政采云线上开标功能完全实现，供应商开标所使用的电脑设备须具有视频及语音功能。</w:t>
            </w:r>
          </w:p>
          <w:p w14:paraId="214CD74C">
            <w:pPr>
              <w:jc w:val="left"/>
            </w:pPr>
            <w:r>
              <w:rPr>
                <w:rFonts w:hint="eastAsia" w:ascii="仿宋" w:hAnsi="仿宋" w:eastAsia="仿宋" w:cs="仿宋"/>
                <w:color w:val="000000"/>
                <w:kern w:val="0"/>
                <w:sz w:val="24"/>
                <w:lang w:bidi="ar"/>
              </w:rPr>
              <w:t xml:space="preserve">6.投标保证金缴纳及确认时间：凡拟参加本次招标项目的供应商，必须在开标前将投标保证金汇入指定账户。投标保证金汇款凭证上用途栏应注明:招标项目名称+标项号+投标保证金。否则，届时其投标将被拒绝。 </w:t>
            </w:r>
          </w:p>
          <w:p w14:paraId="465B6D54">
            <w:pPr>
              <w:jc w:val="left"/>
            </w:pPr>
            <w:r>
              <w:rPr>
                <w:rFonts w:hint="eastAsia" w:ascii="仿宋" w:hAnsi="仿宋" w:eastAsia="仿宋" w:cs="仿宋"/>
                <w:color w:val="000000"/>
                <w:kern w:val="0"/>
                <w:sz w:val="24"/>
                <w:lang w:bidi="ar"/>
              </w:rPr>
              <w:t xml:space="preserve">7. 供应商对不见面开评标系统的技术操作咨询，可通过https://edu.zcygov.cn/luban/xinjiang-e-biding 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 </w:t>
            </w:r>
          </w:p>
          <w:p w14:paraId="314A9D52">
            <w:pPr>
              <w:jc w:val="left"/>
            </w:pPr>
            <w:r>
              <w:rPr>
                <w:rFonts w:hint="eastAsia" w:ascii="仿宋" w:hAnsi="仿宋" w:eastAsia="仿宋" w:cs="仿宋"/>
                <w:color w:val="000000"/>
                <w:kern w:val="0"/>
                <w:sz w:val="24"/>
                <w:lang w:bidi="ar"/>
              </w:rPr>
              <w:t xml:space="preserve">8.各供应商须在投标截止时间前完成在系统上递交电子投标文件。 </w:t>
            </w:r>
          </w:p>
          <w:p w14:paraId="554BF1A8">
            <w:pPr>
              <w:jc w:val="left"/>
            </w:pPr>
            <w:r>
              <w:rPr>
                <w:rFonts w:hint="eastAsia" w:ascii="仿宋" w:hAnsi="仿宋" w:eastAsia="仿宋" w:cs="仿宋"/>
                <w:color w:val="000000"/>
                <w:kern w:val="0"/>
                <w:sz w:val="24"/>
                <w:lang w:bidi="ar"/>
              </w:rPr>
              <w:t xml:space="preserve">供应商的电子投标文件是经过 CA 证书加密后上传提交的，任何单位或个人均无法在投标截止时间(即开标时间)之前查看或篡改，不存在泄密风险。（严格按照政采云电子投标流程制作并上传电子投标文件） </w:t>
            </w:r>
          </w:p>
          <w:p w14:paraId="1A9883B8">
            <w:pPr>
              <w:snapToGrid w:val="0"/>
              <w:rPr>
                <w:rStyle w:val="37"/>
                <w:rFonts w:ascii="仿宋_GB2312" w:hAnsi="仿宋_GB2312" w:eastAsia="仿宋_GB2312"/>
                <w:color w:val="000000"/>
                <w:sz w:val="24"/>
              </w:rPr>
            </w:pPr>
            <w:r>
              <w:rPr>
                <w:rFonts w:hint="eastAsia" w:ascii="仿宋" w:hAnsi="仿宋" w:eastAsia="仿宋" w:cs="仿宋"/>
                <w:color w:val="000000"/>
                <w:kern w:val="0"/>
                <w:sz w:val="24"/>
                <w:lang w:bidi="ar"/>
              </w:rPr>
              <w:t>9.解密时长为 30 分钟。</w:t>
            </w:r>
            <w:bookmarkEnd w:id="904"/>
          </w:p>
        </w:tc>
      </w:tr>
      <w:tr w14:paraId="52A5CA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03AC15A1">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16.1</w:t>
            </w:r>
          </w:p>
        </w:tc>
        <w:tc>
          <w:tcPr>
            <w:tcW w:w="7222" w:type="dxa"/>
            <w:tcBorders>
              <w:top w:val="single" w:color="000000" w:sz="6" w:space="0"/>
              <w:left w:val="single" w:color="000000" w:sz="6" w:space="0"/>
              <w:bottom w:val="single" w:color="000000" w:sz="6" w:space="0"/>
              <w:right w:val="single" w:color="000000" w:sz="12" w:space="0"/>
            </w:tcBorders>
            <w:vAlign w:val="center"/>
          </w:tcPr>
          <w:p w14:paraId="574D368C">
            <w:pPr>
              <w:spacing w:line="240" w:lineRule="atLeast"/>
              <w:rPr>
                <w:rStyle w:val="37"/>
                <w:rFonts w:ascii="仿宋_GB2312" w:hAnsi="仿宋_GB2312" w:eastAsia="仿宋_GB2312"/>
                <w:color w:val="000000"/>
                <w:sz w:val="24"/>
                <w:highlight w:val="none"/>
              </w:rPr>
            </w:pPr>
            <w:r>
              <w:rPr>
                <w:rFonts w:hint="eastAsia" w:ascii="仿宋_GB2312" w:hAnsi="仿宋_GB2312" w:eastAsia="仿宋_GB2312" w:cs="仿宋_GB2312"/>
                <w:sz w:val="24"/>
                <w:highlight w:val="yellow"/>
              </w:rPr>
              <w:t>投标截止时间：202</w:t>
            </w:r>
            <w:r>
              <w:rPr>
                <w:rFonts w:hint="eastAsia" w:ascii="仿宋_GB2312" w:hAnsi="仿宋_GB2312" w:eastAsia="仿宋_GB2312" w:cs="仿宋_GB2312"/>
                <w:sz w:val="24"/>
                <w:highlight w:val="yellow"/>
                <w:lang w:val="en-US" w:eastAsia="zh-CN"/>
              </w:rPr>
              <w:t>5</w:t>
            </w:r>
            <w:r>
              <w:rPr>
                <w:rFonts w:hint="eastAsia" w:ascii="仿宋_GB2312" w:hAnsi="仿宋_GB2312" w:eastAsia="仿宋_GB2312" w:cs="仿宋_GB2312"/>
                <w:sz w:val="24"/>
                <w:highlight w:val="yellow"/>
              </w:rPr>
              <w:t>年</w:t>
            </w:r>
            <w:r>
              <w:rPr>
                <w:rFonts w:hint="eastAsia" w:ascii="仿宋_GB2312" w:hAnsi="仿宋_GB2312" w:eastAsia="仿宋_GB2312" w:cs="仿宋_GB2312"/>
                <w:sz w:val="24"/>
                <w:highlight w:val="yellow"/>
                <w:lang w:val="en-US" w:eastAsia="zh-CN"/>
              </w:rPr>
              <w:t>7</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25</w:t>
            </w:r>
            <w:r>
              <w:rPr>
                <w:rFonts w:hint="eastAsia" w:ascii="仿宋_GB2312" w:hAnsi="仿宋_GB2312" w:eastAsia="仿宋_GB2312" w:cs="仿宋_GB2312"/>
                <w:sz w:val="24"/>
                <w:highlight w:val="yellow"/>
              </w:rPr>
              <w:t>日1</w:t>
            </w:r>
            <w:r>
              <w:rPr>
                <w:rFonts w:hint="eastAsia" w:ascii="仿宋_GB2312" w:hAnsi="仿宋_GB2312" w:eastAsia="仿宋_GB2312" w:cs="仿宋_GB2312"/>
                <w:sz w:val="24"/>
                <w:highlight w:val="yellow"/>
                <w:lang w:val="en-US" w:eastAsia="zh-CN"/>
              </w:rPr>
              <w:t>1</w:t>
            </w:r>
            <w:r>
              <w:rPr>
                <w:rFonts w:hint="eastAsia" w:ascii="仿宋_GB2312" w:hAnsi="仿宋_GB2312" w:eastAsia="仿宋_GB2312" w:cs="仿宋_GB2312"/>
                <w:sz w:val="24"/>
                <w:highlight w:val="yellow"/>
              </w:rPr>
              <w:t>：00（北京时间</w:t>
            </w:r>
            <w:r>
              <w:rPr>
                <w:rFonts w:hint="eastAsia" w:ascii="宋体" w:hAnsi="宋体" w:cs="宋体"/>
                <w:kern w:val="0"/>
                <w:sz w:val="24"/>
                <w:highlight w:val="yellow"/>
              </w:rPr>
              <w:t>）</w:t>
            </w:r>
          </w:p>
        </w:tc>
      </w:tr>
      <w:tr w14:paraId="7B66D3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081E6FEB">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18.1</w:t>
            </w:r>
          </w:p>
        </w:tc>
        <w:tc>
          <w:tcPr>
            <w:tcW w:w="7222" w:type="dxa"/>
            <w:tcBorders>
              <w:top w:val="single" w:color="000000" w:sz="6" w:space="0"/>
              <w:left w:val="single" w:color="000000" w:sz="6" w:space="0"/>
              <w:bottom w:val="single" w:color="000000" w:sz="6" w:space="0"/>
              <w:right w:val="single" w:color="000000" w:sz="12" w:space="0"/>
            </w:tcBorders>
            <w:vAlign w:val="center"/>
          </w:tcPr>
          <w:p w14:paraId="4279BE56">
            <w:pPr>
              <w:spacing w:line="240" w:lineRule="atLeast"/>
              <w:rPr>
                <w:rFonts w:ascii="仿宋_GB2312" w:hAnsi="仿宋_GB2312" w:eastAsia="仿宋_GB2312" w:cs="仿宋_GB2312"/>
                <w:sz w:val="24"/>
                <w:highlight w:val="yellow"/>
              </w:rPr>
            </w:pPr>
            <w:r>
              <w:rPr>
                <w:rFonts w:hint="eastAsia" w:ascii="仿宋_GB2312" w:hAnsi="仿宋_GB2312" w:eastAsia="仿宋_GB2312" w:cs="仿宋_GB2312"/>
                <w:sz w:val="24"/>
                <w:highlight w:val="yellow"/>
              </w:rPr>
              <w:t>开标时间：202</w:t>
            </w:r>
            <w:r>
              <w:rPr>
                <w:rFonts w:hint="eastAsia" w:ascii="仿宋_GB2312" w:hAnsi="仿宋_GB2312" w:eastAsia="仿宋_GB2312" w:cs="仿宋_GB2312"/>
                <w:sz w:val="24"/>
                <w:highlight w:val="yellow"/>
                <w:lang w:val="en-US" w:eastAsia="zh-CN"/>
              </w:rPr>
              <w:t>5</w:t>
            </w:r>
            <w:r>
              <w:rPr>
                <w:rFonts w:hint="eastAsia" w:ascii="仿宋_GB2312" w:hAnsi="仿宋_GB2312" w:eastAsia="仿宋_GB2312" w:cs="仿宋_GB2312"/>
                <w:sz w:val="24"/>
                <w:highlight w:val="yellow"/>
              </w:rPr>
              <w:t>年</w:t>
            </w:r>
            <w:r>
              <w:rPr>
                <w:rFonts w:hint="eastAsia" w:ascii="仿宋_GB2312" w:hAnsi="仿宋_GB2312" w:eastAsia="仿宋_GB2312" w:cs="仿宋_GB2312"/>
                <w:sz w:val="24"/>
                <w:highlight w:val="yellow"/>
                <w:lang w:val="en-US" w:eastAsia="zh-CN"/>
              </w:rPr>
              <w:t>7</w:t>
            </w:r>
            <w:r>
              <w:rPr>
                <w:rFonts w:hint="eastAsia" w:ascii="仿宋_GB2312" w:hAnsi="仿宋_GB2312" w:eastAsia="仿宋_GB2312" w:cs="仿宋_GB2312"/>
                <w:sz w:val="24"/>
                <w:highlight w:val="yellow"/>
              </w:rPr>
              <w:t>月</w:t>
            </w:r>
            <w:r>
              <w:rPr>
                <w:rFonts w:hint="eastAsia" w:ascii="仿宋_GB2312" w:hAnsi="仿宋_GB2312" w:eastAsia="仿宋_GB2312" w:cs="仿宋_GB2312"/>
                <w:sz w:val="24"/>
                <w:highlight w:val="yellow"/>
                <w:lang w:val="en-US" w:eastAsia="zh-CN"/>
              </w:rPr>
              <w:t>25</w:t>
            </w:r>
            <w:r>
              <w:rPr>
                <w:rFonts w:hint="eastAsia" w:ascii="仿宋_GB2312" w:hAnsi="仿宋_GB2312" w:eastAsia="仿宋_GB2312" w:cs="仿宋_GB2312"/>
                <w:sz w:val="24"/>
                <w:highlight w:val="yellow"/>
              </w:rPr>
              <w:t>日1</w:t>
            </w:r>
            <w:r>
              <w:rPr>
                <w:rFonts w:hint="eastAsia" w:ascii="仿宋_GB2312" w:hAnsi="仿宋_GB2312" w:eastAsia="仿宋_GB2312" w:cs="仿宋_GB2312"/>
                <w:sz w:val="24"/>
                <w:highlight w:val="yellow"/>
                <w:lang w:val="en-US" w:eastAsia="zh-CN"/>
              </w:rPr>
              <w:t>1</w:t>
            </w:r>
            <w:r>
              <w:rPr>
                <w:rFonts w:hint="eastAsia" w:ascii="仿宋_GB2312" w:hAnsi="仿宋_GB2312" w:eastAsia="仿宋_GB2312" w:cs="仿宋_GB2312"/>
                <w:sz w:val="24"/>
                <w:highlight w:val="yellow"/>
              </w:rPr>
              <w:t>：00（北京时间</w:t>
            </w:r>
            <w:r>
              <w:rPr>
                <w:rFonts w:hint="eastAsia" w:ascii="宋体" w:hAnsi="宋体" w:cs="宋体"/>
                <w:kern w:val="0"/>
                <w:sz w:val="24"/>
                <w:highlight w:val="yellow"/>
              </w:rPr>
              <w:t>）</w:t>
            </w:r>
          </w:p>
          <w:p w14:paraId="3A6B9EC0">
            <w:pPr>
              <w:jc w:val="left"/>
              <w:rPr>
                <w:rStyle w:val="37"/>
                <w:rFonts w:ascii="仿宋_GB2312" w:hAnsi="仿宋_GB2312" w:eastAsia="仿宋_GB2312"/>
                <w:color w:val="000000"/>
                <w:sz w:val="24"/>
                <w:highlight w:val="none"/>
              </w:rPr>
            </w:pPr>
            <w:r>
              <w:rPr>
                <w:rFonts w:hint="eastAsia" w:ascii="仿宋_GB2312" w:hAnsi="仿宋_GB2312" w:eastAsia="仿宋_GB2312" w:cs="仿宋_GB2312"/>
                <w:sz w:val="24"/>
                <w:highlight w:val="none"/>
              </w:rPr>
              <w:t>开标地点：（https://login.zcygov.cn/user-login/#/login）</w:t>
            </w:r>
          </w:p>
        </w:tc>
      </w:tr>
      <w:tr w14:paraId="5CC0C1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60CEF1D5">
            <w:pPr>
              <w:snapToGrid w:val="0"/>
              <w:spacing w:line="240" w:lineRule="atLeast"/>
              <w:ind w:left="1080" w:leftChars="257" w:hanging="540"/>
              <w:rPr>
                <w:rStyle w:val="37"/>
                <w:rFonts w:ascii="仿宋_GB2312" w:hAnsi="仿宋_GB2312" w:eastAsia="仿宋_GB2312"/>
                <w:sz w:val="24"/>
                <w:szCs w:val="22"/>
              </w:rPr>
            </w:pPr>
            <w:r>
              <w:rPr>
                <w:rStyle w:val="37"/>
                <w:rFonts w:ascii="仿宋_GB2312" w:hAnsi="仿宋_GB2312" w:eastAsia="仿宋_GB2312"/>
                <w:sz w:val="24"/>
                <w:szCs w:val="22"/>
              </w:rPr>
              <w:t>2</w:t>
            </w:r>
            <w:r>
              <w:rPr>
                <w:rStyle w:val="37"/>
                <w:rFonts w:hint="eastAsia" w:ascii="仿宋_GB2312" w:hAnsi="仿宋_GB2312" w:eastAsia="仿宋_GB2312"/>
                <w:sz w:val="24"/>
                <w:szCs w:val="22"/>
              </w:rPr>
              <w:t>0</w:t>
            </w:r>
            <w:r>
              <w:rPr>
                <w:rStyle w:val="37"/>
                <w:rFonts w:ascii="仿宋_GB2312" w:hAnsi="仿宋_GB2312" w:eastAsia="仿宋_GB2312"/>
                <w:sz w:val="24"/>
                <w:szCs w:val="22"/>
              </w:rPr>
              <w:t>.</w:t>
            </w:r>
            <w:r>
              <w:rPr>
                <w:rStyle w:val="37"/>
                <w:rFonts w:hint="eastAsia" w:ascii="仿宋_GB2312" w:hAnsi="仿宋_GB2312" w:eastAsia="仿宋_GB2312"/>
                <w:sz w:val="24"/>
                <w:szCs w:val="22"/>
              </w:rPr>
              <w:t>1</w:t>
            </w:r>
          </w:p>
        </w:tc>
        <w:tc>
          <w:tcPr>
            <w:tcW w:w="7222" w:type="dxa"/>
            <w:tcBorders>
              <w:top w:val="single" w:color="000000" w:sz="6" w:space="0"/>
              <w:left w:val="single" w:color="000000" w:sz="6" w:space="0"/>
              <w:bottom w:val="single" w:color="000000" w:sz="6" w:space="0"/>
              <w:right w:val="single" w:color="000000" w:sz="12" w:space="0"/>
            </w:tcBorders>
            <w:vAlign w:val="center"/>
          </w:tcPr>
          <w:p w14:paraId="6762CFF3">
            <w:pPr>
              <w:snapToGrid w:val="0"/>
              <w:spacing w:line="240" w:lineRule="atLeast"/>
              <w:rPr>
                <w:rStyle w:val="37"/>
                <w:rFonts w:hint="default" w:ascii="仿宋_GB2312" w:hAnsi="仿宋_GB2312" w:eastAsia="仿宋_GB2312"/>
                <w:sz w:val="24"/>
                <w:szCs w:val="22"/>
                <w:lang w:val="en-US" w:eastAsia="zh-CN"/>
              </w:rPr>
            </w:pPr>
            <w:r>
              <w:rPr>
                <w:rStyle w:val="37"/>
                <w:rFonts w:hint="eastAsia" w:ascii="仿宋_GB2312" w:hAnsi="仿宋_GB2312" w:eastAsia="仿宋_GB2312" w:cs="Times New Roman"/>
                <w:color w:val="000000"/>
                <w:sz w:val="24"/>
              </w:rPr>
              <w:t>核心产品</w:t>
            </w:r>
            <w:r>
              <w:rPr>
                <w:rStyle w:val="37"/>
                <w:rFonts w:ascii="仿宋_GB2312" w:hAnsi="仿宋_GB2312" w:eastAsia="仿宋_GB2312" w:cs="Times New Roman"/>
                <w:color w:val="000000"/>
                <w:sz w:val="24"/>
              </w:rPr>
              <w:t>：</w:t>
            </w:r>
            <w:r>
              <w:rPr>
                <w:rStyle w:val="37"/>
                <w:rFonts w:hint="eastAsia" w:ascii="仿宋_GB2312" w:hAnsi="仿宋_GB2312" w:eastAsia="仿宋_GB2312" w:cs="Times New Roman"/>
                <w:color w:val="000000"/>
                <w:sz w:val="24"/>
                <w:lang w:val="en-US" w:eastAsia="zh-CN"/>
              </w:rPr>
              <w:t>执法执勤用车-皮卡</w:t>
            </w:r>
          </w:p>
        </w:tc>
      </w:tr>
      <w:tr w14:paraId="758D7C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3E4CD47E">
            <w:pPr>
              <w:snapToGrid w:val="0"/>
              <w:spacing w:line="240" w:lineRule="atLeast"/>
              <w:ind w:left="1080" w:leftChars="257" w:hanging="540"/>
              <w:rPr>
                <w:rFonts w:ascii="仿宋_GB2312" w:hAnsi="仿宋_GB2312" w:eastAsia="仿宋_GB2312"/>
                <w:sz w:val="24"/>
              </w:rPr>
            </w:pPr>
            <w:r>
              <w:rPr>
                <w:rStyle w:val="37"/>
                <w:rFonts w:ascii="仿宋_GB2312" w:hAnsi="仿宋_GB2312" w:eastAsia="仿宋_GB2312"/>
                <w:sz w:val="24"/>
              </w:rPr>
              <w:t>23.2</w:t>
            </w:r>
          </w:p>
        </w:tc>
        <w:tc>
          <w:tcPr>
            <w:tcW w:w="7222" w:type="dxa"/>
            <w:tcBorders>
              <w:top w:val="single" w:color="000000" w:sz="6" w:space="0"/>
              <w:left w:val="single" w:color="000000" w:sz="6" w:space="0"/>
              <w:bottom w:val="single" w:color="000000" w:sz="6" w:space="0"/>
              <w:right w:val="single" w:color="000000" w:sz="12" w:space="0"/>
            </w:tcBorders>
            <w:vAlign w:val="center"/>
          </w:tcPr>
          <w:p w14:paraId="1E0BC7A5">
            <w:pPr>
              <w:snapToGrid w:val="0"/>
              <w:spacing w:line="240" w:lineRule="atLeast"/>
              <w:rPr>
                <w:rFonts w:ascii="仿宋_GB2312" w:hAnsi="仿宋_GB2312" w:eastAsia="仿宋_GB2312"/>
                <w:i/>
                <w:color w:val="000000"/>
                <w:sz w:val="24"/>
              </w:rPr>
            </w:pPr>
            <w:r>
              <w:rPr>
                <w:rStyle w:val="37"/>
                <w:rFonts w:ascii="仿宋_GB2312" w:hAnsi="仿宋_GB2312" w:eastAsia="仿宋_GB2312"/>
                <w:color w:val="000000"/>
                <w:sz w:val="24"/>
              </w:rPr>
              <w:t>本项目评标方法：适用综合评分法　　　　</w:t>
            </w:r>
          </w:p>
        </w:tc>
      </w:tr>
      <w:tr w14:paraId="1776CC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3C75CDE4">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27</w:t>
            </w:r>
          </w:p>
        </w:tc>
        <w:tc>
          <w:tcPr>
            <w:tcW w:w="7222" w:type="dxa"/>
            <w:tcBorders>
              <w:top w:val="single" w:color="000000" w:sz="6" w:space="0"/>
              <w:left w:val="single" w:color="000000" w:sz="6" w:space="0"/>
              <w:bottom w:val="single" w:color="000000" w:sz="6" w:space="0"/>
              <w:right w:val="single" w:color="000000" w:sz="12" w:space="0"/>
            </w:tcBorders>
            <w:vAlign w:val="center"/>
          </w:tcPr>
          <w:p w14:paraId="5A2E2A6F">
            <w:pPr>
              <w:snapToGrid w:val="0"/>
              <w:spacing w:line="240" w:lineRule="atLeast"/>
              <w:rPr>
                <w:rStyle w:val="37"/>
                <w:rFonts w:ascii="仿宋_GB2312" w:hAnsi="仿宋_GB2312" w:eastAsia="仿宋_GB2312"/>
                <w:color w:val="000000"/>
                <w:sz w:val="24"/>
              </w:rPr>
            </w:pPr>
            <w:r>
              <w:rPr>
                <w:rStyle w:val="37"/>
                <w:rFonts w:ascii="仿宋_GB2312" w:hAnsi="仿宋_GB2312" w:eastAsia="仿宋_GB2312"/>
                <w:color w:val="000000"/>
                <w:sz w:val="24"/>
              </w:rPr>
              <w:t>招标人委托评标委员会直接</w:t>
            </w:r>
            <w:r>
              <w:rPr>
                <w:rStyle w:val="37"/>
                <w:rFonts w:ascii="仿宋_GB2312" w:eastAsia="仿宋_GB2312"/>
                <w:color w:val="000000"/>
                <w:sz w:val="24"/>
              </w:rPr>
              <w:t>确定推荐中标候选供应商的数量：</w:t>
            </w:r>
            <w:r>
              <w:rPr>
                <w:rStyle w:val="37"/>
                <w:rFonts w:ascii="仿宋_GB2312" w:eastAsia="仿宋_GB2312"/>
                <w:color w:val="000000"/>
                <w:sz w:val="24"/>
                <w:u w:val="single" w:color="000000"/>
              </w:rPr>
              <w:t>3家</w:t>
            </w:r>
          </w:p>
        </w:tc>
      </w:tr>
      <w:tr w14:paraId="44B952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24B14AA9">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31.1</w:t>
            </w:r>
          </w:p>
        </w:tc>
        <w:tc>
          <w:tcPr>
            <w:tcW w:w="7222" w:type="dxa"/>
            <w:tcBorders>
              <w:top w:val="single" w:color="000000" w:sz="6" w:space="0"/>
              <w:left w:val="single" w:color="000000" w:sz="6" w:space="0"/>
              <w:bottom w:val="single" w:color="000000" w:sz="6" w:space="0"/>
              <w:right w:val="single" w:color="000000" w:sz="12" w:space="0"/>
            </w:tcBorders>
            <w:vAlign w:val="center"/>
          </w:tcPr>
          <w:p w14:paraId="6913ACAC">
            <w:pPr>
              <w:snapToGrid w:val="0"/>
              <w:spacing w:line="240" w:lineRule="atLeast"/>
              <w:rPr>
                <w:rStyle w:val="37"/>
                <w:rFonts w:ascii="仿宋_GB2312" w:hAnsi="仿宋_GB2312" w:eastAsia="仿宋_GB2312"/>
                <w:sz w:val="24"/>
              </w:rPr>
            </w:pPr>
            <w:r>
              <w:rPr>
                <w:rStyle w:val="37"/>
                <w:rFonts w:ascii="仿宋_GB2312" w:hAnsi="仿宋_GB2312" w:eastAsia="仿宋_GB2312"/>
                <w:sz w:val="24"/>
              </w:rPr>
              <w:t>履约保证金金额：</w:t>
            </w:r>
            <w:r>
              <w:rPr>
                <w:rFonts w:hint="eastAsia" w:ascii="仿宋_GB2312" w:hAnsi="仿宋_GB2312" w:eastAsia="仿宋_GB2312" w:cs="仿宋_GB2312"/>
                <w:sz w:val="24"/>
              </w:rPr>
              <w:t>不超过合同总价金额的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w:t>
            </w:r>
          </w:p>
          <w:p w14:paraId="0795FF40">
            <w:pPr>
              <w:snapToGrid w:val="0"/>
              <w:spacing w:line="240" w:lineRule="atLeast"/>
              <w:rPr>
                <w:rStyle w:val="37"/>
                <w:rFonts w:ascii="仿宋_GB2312" w:hAnsi="仿宋_GB2312" w:eastAsia="仿宋_GB2312"/>
                <w:sz w:val="24"/>
                <w:u w:val="single"/>
              </w:rPr>
            </w:pPr>
            <w:r>
              <w:rPr>
                <w:rStyle w:val="37"/>
                <w:rFonts w:ascii="仿宋_GB2312" w:hAnsi="仿宋_GB2312" w:eastAsia="仿宋_GB2312"/>
                <w:sz w:val="24"/>
              </w:rPr>
              <w:t>履约保证金形式：</w:t>
            </w:r>
            <w:r>
              <w:rPr>
                <w:rStyle w:val="37"/>
                <w:rFonts w:ascii="仿宋_GB2312" w:hAnsi="仿宋_GB2312" w:eastAsia="仿宋_GB2312"/>
                <w:sz w:val="24"/>
                <w:u w:val="single" w:color="000000"/>
              </w:rPr>
              <w:t>公对公转账</w:t>
            </w:r>
          </w:p>
          <w:p w14:paraId="34679DCE">
            <w:pPr>
              <w:snapToGrid w:val="0"/>
              <w:spacing w:line="240" w:lineRule="atLeast"/>
              <w:rPr>
                <w:rStyle w:val="37"/>
                <w:rFonts w:ascii="仿宋_GB2312" w:hAnsi="仿宋_GB2312" w:eastAsia="仿宋_GB2312"/>
                <w:sz w:val="24"/>
                <w:u w:val="single"/>
              </w:rPr>
            </w:pPr>
            <w:r>
              <w:rPr>
                <w:rStyle w:val="37"/>
                <w:rFonts w:ascii="仿宋_GB2312" w:hAnsi="仿宋_GB2312" w:eastAsia="仿宋_GB2312"/>
                <w:sz w:val="24"/>
              </w:rPr>
              <w:t>提交履约保证金的时间：</w:t>
            </w:r>
            <w:r>
              <w:rPr>
                <w:rStyle w:val="37"/>
                <w:rFonts w:ascii="仿宋_GB2312" w:hAnsi="仿宋_GB2312" w:eastAsia="仿宋_GB2312"/>
                <w:sz w:val="24"/>
                <w:lang w:val="zh-CN"/>
              </w:rPr>
              <w:t>中标、成交通知书发放后，政府采购合同签订前。</w:t>
            </w:r>
          </w:p>
        </w:tc>
      </w:tr>
      <w:tr w14:paraId="1E2178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53E88593">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32</w:t>
            </w:r>
          </w:p>
        </w:tc>
        <w:tc>
          <w:tcPr>
            <w:tcW w:w="7222" w:type="dxa"/>
            <w:tcBorders>
              <w:top w:val="single" w:color="000000" w:sz="6" w:space="0"/>
              <w:left w:val="single" w:color="000000" w:sz="6" w:space="0"/>
              <w:bottom w:val="single" w:color="000000" w:sz="6" w:space="0"/>
              <w:right w:val="single" w:color="000000" w:sz="12" w:space="0"/>
            </w:tcBorders>
            <w:vAlign w:val="center"/>
          </w:tcPr>
          <w:p w14:paraId="336DC51D">
            <w:pPr>
              <w:snapToGrid w:val="0"/>
              <w:spacing w:line="240" w:lineRule="atLeast"/>
              <w:rPr>
                <w:rStyle w:val="37"/>
                <w:rFonts w:ascii="仿宋_GB2312" w:hAnsi="仿宋_GB2312" w:eastAsia="仿宋_GB2312"/>
                <w:sz w:val="24"/>
              </w:rPr>
            </w:pPr>
            <w:r>
              <w:rPr>
                <w:rStyle w:val="37"/>
                <w:rFonts w:ascii="仿宋_GB2312" w:hAnsi="仿宋_GB2312" w:eastAsia="仿宋_GB2312"/>
                <w:sz w:val="24"/>
              </w:rPr>
              <w:t>中标服务费：本项目不收取中标服务费</w:t>
            </w:r>
          </w:p>
        </w:tc>
      </w:tr>
      <w:tr w14:paraId="18D0F5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5F7A2A46">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33.1</w:t>
            </w:r>
          </w:p>
        </w:tc>
        <w:tc>
          <w:tcPr>
            <w:tcW w:w="7222" w:type="dxa"/>
            <w:tcBorders>
              <w:top w:val="single" w:color="000000" w:sz="6" w:space="0"/>
              <w:left w:val="single" w:color="000000" w:sz="6" w:space="0"/>
              <w:bottom w:val="single" w:color="000000" w:sz="6" w:space="0"/>
              <w:right w:val="single" w:color="000000" w:sz="12" w:space="0"/>
            </w:tcBorders>
            <w:vAlign w:val="center"/>
          </w:tcPr>
          <w:p w14:paraId="1EAD599F">
            <w:pPr>
              <w:snapToGrid w:val="0"/>
              <w:spacing w:line="240" w:lineRule="atLeast"/>
              <w:rPr>
                <w:rStyle w:val="37"/>
                <w:rFonts w:ascii="仿宋_GB2312" w:hAnsi="仿宋_GB2312" w:eastAsia="仿宋_GB2312"/>
                <w:sz w:val="24"/>
              </w:rPr>
            </w:pPr>
            <w:r>
              <w:rPr>
                <w:rStyle w:val="37"/>
                <w:rFonts w:ascii="仿宋_GB2312" w:hAnsi="仿宋_GB2312" w:eastAsia="仿宋_GB2312"/>
                <w:sz w:val="24"/>
              </w:rPr>
              <w:t xml:space="preserve">本项目是否属于信用担保试点范围：否 </w:t>
            </w:r>
          </w:p>
        </w:tc>
      </w:tr>
      <w:tr w14:paraId="4F9376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3A44A3F0">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33.2</w:t>
            </w:r>
          </w:p>
        </w:tc>
        <w:tc>
          <w:tcPr>
            <w:tcW w:w="7222" w:type="dxa"/>
            <w:tcBorders>
              <w:top w:val="single" w:color="000000" w:sz="6" w:space="0"/>
              <w:left w:val="single" w:color="000000" w:sz="6" w:space="0"/>
              <w:bottom w:val="single" w:color="000000" w:sz="6" w:space="0"/>
              <w:right w:val="single" w:color="000000" w:sz="12" w:space="0"/>
            </w:tcBorders>
            <w:vAlign w:val="center"/>
          </w:tcPr>
          <w:p w14:paraId="7965FEC6">
            <w:pPr>
              <w:snapToGrid w:val="0"/>
              <w:spacing w:line="240" w:lineRule="atLeast"/>
              <w:rPr>
                <w:rStyle w:val="37"/>
                <w:rFonts w:ascii="仿宋_GB2312" w:hAnsi="仿宋_GB2312" w:eastAsia="仿宋_GB2312"/>
                <w:sz w:val="24"/>
              </w:rPr>
            </w:pPr>
            <w:r>
              <w:rPr>
                <w:rStyle w:val="37"/>
                <w:rFonts w:ascii="仿宋_GB2312" w:hAnsi="仿宋_GB2312" w:eastAsia="仿宋_GB2312"/>
                <w:sz w:val="24"/>
              </w:rPr>
              <w:t>政府采购专业担保机构：无</w:t>
            </w:r>
          </w:p>
          <w:p w14:paraId="41D26807">
            <w:pPr>
              <w:snapToGrid w:val="0"/>
              <w:spacing w:line="240" w:lineRule="atLeast"/>
              <w:ind w:left="-48" w:leftChars="-23" w:firstLine="48" w:firstLineChars="20"/>
              <w:rPr>
                <w:rStyle w:val="37"/>
                <w:rFonts w:ascii="仿宋_GB2312" w:hAnsi="仿宋_GB2312" w:eastAsia="仿宋_GB2312"/>
                <w:sz w:val="24"/>
              </w:rPr>
            </w:pPr>
            <w:r>
              <w:rPr>
                <w:rStyle w:val="37"/>
                <w:rFonts w:ascii="仿宋_GB2312" w:hAnsi="仿宋_GB2312" w:eastAsia="仿宋_GB2312"/>
                <w:sz w:val="24"/>
              </w:rPr>
              <w:t>本项目采购人本级和上级财政部门政府采购有关规定增加的担保机构：无</w:t>
            </w:r>
          </w:p>
        </w:tc>
      </w:tr>
      <w:tr w14:paraId="30F844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231" w:type="dxa"/>
            <w:tcBorders>
              <w:top w:val="single" w:color="000000" w:sz="6" w:space="0"/>
              <w:left w:val="single" w:color="000000" w:sz="12" w:space="0"/>
              <w:bottom w:val="single" w:color="000000" w:sz="6" w:space="0"/>
              <w:right w:val="single" w:color="000000" w:sz="6" w:space="0"/>
            </w:tcBorders>
            <w:vAlign w:val="center"/>
          </w:tcPr>
          <w:p w14:paraId="5BC20A40">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34.3</w:t>
            </w:r>
          </w:p>
        </w:tc>
        <w:tc>
          <w:tcPr>
            <w:tcW w:w="7222" w:type="dxa"/>
            <w:tcBorders>
              <w:top w:val="single" w:color="000000" w:sz="6" w:space="0"/>
              <w:left w:val="single" w:color="000000" w:sz="6" w:space="0"/>
              <w:bottom w:val="single" w:color="000000" w:sz="6" w:space="0"/>
              <w:right w:val="single" w:color="000000" w:sz="12" w:space="0"/>
            </w:tcBorders>
            <w:vAlign w:val="center"/>
          </w:tcPr>
          <w:p w14:paraId="0E6BE35E">
            <w:pPr>
              <w:snapToGrid w:val="0"/>
              <w:spacing w:line="240" w:lineRule="atLeast"/>
              <w:ind w:left="710" w:leftChars="-23" w:hanging="758"/>
              <w:rPr>
                <w:rStyle w:val="37"/>
                <w:rFonts w:ascii="仿宋_GB2312" w:hAnsi="仿宋_GB2312" w:eastAsia="仿宋_GB2312"/>
                <w:sz w:val="24"/>
              </w:rPr>
            </w:pPr>
            <w:r>
              <w:rPr>
                <w:rStyle w:val="37"/>
                <w:rFonts w:ascii="仿宋_GB2312" w:hAnsi="仿宋_GB2312" w:eastAsia="仿宋_GB2312"/>
                <w:sz w:val="24"/>
              </w:rPr>
              <w:t>反腐倡廉监督电话/邮箱：</w:t>
            </w:r>
            <w:r>
              <w:rPr>
                <w:rStyle w:val="37"/>
                <w:rFonts w:ascii="仿宋_GB2312" w:hAnsi="仿宋_GB2312" w:eastAsia="仿宋_GB2312"/>
                <w:sz w:val="24"/>
                <w:u w:val="single" w:color="000000"/>
              </w:rPr>
              <w:t>0998-6722230</w:t>
            </w:r>
          </w:p>
        </w:tc>
      </w:tr>
      <w:tr w14:paraId="41FE7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1231" w:type="dxa"/>
            <w:tcBorders>
              <w:top w:val="single" w:color="000000" w:sz="6" w:space="0"/>
              <w:left w:val="single" w:color="000000" w:sz="12" w:space="0"/>
              <w:bottom w:val="single" w:color="000000" w:sz="12" w:space="0"/>
              <w:right w:val="single" w:color="000000" w:sz="6" w:space="0"/>
            </w:tcBorders>
            <w:vAlign w:val="center"/>
          </w:tcPr>
          <w:p w14:paraId="76F2853D">
            <w:pPr>
              <w:snapToGrid w:val="0"/>
              <w:spacing w:line="240" w:lineRule="atLeast"/>
              <w:ind w:left="1080" w:leftChars="257" w:hanging="540"/>
              <w:rPr>
                <w:rStyle w:val="37"/>
                <w:rFonts w:ascii="仿宋_GB2312" w:hAnsi="仿宋_GB2312" w:eastAsia="仿宋_GB2312"/>
                <w:sz w:val="24"/>
              </w:rPr>
            </w:pPr>
            <w:r>
              <w:rPr>
                <w:rStyle w:val="37"/>
                <w:rFonts w:ascii="仿宋_GB2312" w:hAnsi="仿宋_GB2312" w:eastAsia="仿宋_GB2312"/>
                <w:sz w:val="24"/>
              </w:rPr>
              <w:t>36.3</w:t>
            </w:r>
          </w:p>
        </w:tc>
        <w:tc>
          <w:tcPr>
            <w:tcW w:w="7222" w:type="dxa"/>
            <w:tcBorders>
              <w:top w:val="single" w:color="000000" w:sz="6" w:space="0"/>
              <w:left w:val="single" w:color="000000" w:sz="6" w:space="0"/>
              <w:bottom w:val="single" w:color="000000" w:sz="12" w:space="0"/>
              <w:right w:val="single" w:color="000000" w:sz="12" w:space="0"/>
            </w:tcBorders>
            <w:vAlign w:val="center"/>
          </w:tcPr>
          <w:p w14:paraId="0345307A">
            <w:pPr>
              <w:spacing w:line="240" w:lineRule="atLeast"/>
              <w:ind w:left="710" w:leftChars="-23" w:hanging="758" w:hangingChars="316"/>
              <w:rPr>
                <w:rFonts w:ascii="仿宋_GB2312" w:hAnsi="仿宋_GB2312" w:eastAsia="仿宋_GB2312" w:cs="仿宋_GB2312"/>
                <w:sz w:val="24"/>
                <w:u w:val="single"/>
              </w:rPr>
            </w:pPr>
            <w:r>
              <w:rPr>
                <w:rFonts w:hint="eastAsia" w:ascii="仿宋_GB2312" w:hAnsi="仿宋_GB2312" w:eastAsia="仿宋_GB2312" w:cs="仿宋_GB2312"/>
                <w:sz w:val="24"/>
              </w:rPr>
              <w:t>接收部门：</w:t>
            </w:r>
            <w:r>
              <w:rPr>
                <w:rFonts w:hint="eastAsia" w:ascii="仿宋_GB2312" w:hAnsi="仿宋_GB2312" w:eastAsia="仿宋_GB2312" w:cs="仿宋_GB2312"/>
                <w:sz w:val="24"/>
                <w:u w:val="single"/>
              </w:rPr>
              <w:t>伽师县政府采购管理办公室</w:t>
            </w:r>
          </w:p>
          <w:p w14:paraId="59501C78">
            <w:pPr>
              <w:spacing w:line="240" w:lineRule="atLeast"/>
              <w:ind w:left="710" w:leftChars="-23" w:hanging="758" w:hangingChars="316"/>
              <w:rPr>
                <w:rFonts w:ascii="仿宋_GB2312" w:hAnsi="仿宋_GB2312" w:eastAsia="仿宋_GB2312" w:cs="仿宋_GB2312"/>
                <w:sz w:val="24"/>
                <w:u w:val="single"/>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15384946619</w:t>
            </w:r>
          </w:p>
          <w:p w14:paraId="7E567023">
            <w:pPr>
              <w:snapToGrid w:val="0"/>
              <w:spacing w:line="240" w:lineRule="atLeast"/>
              <w:ind w:left="710" w:leftChars="-23" w:hanging="758"/>
              <w:rPr>
                <w:rStyle w:val="37"/>
                <w:rFonts w:ascii="仿宋_GB2312" w:hAnsi="仿宋_GB2312" w:eastAsia="仿宋_GB2312"/>
                <w:sz w:val="24"/>
              </w:rPr>
            </w:pPr>
            <w:r>
              <w:rPr>
                <w:rFonts w:hint="eastAsia" w:ascii="仿宋_GB2312" w:hAnsi="仿宋_GB2312" w:eastAsia="仿宋_GB2312" w:cs="仿宋_GB2312"/>
                <w:sz w:val="24"/>
              </w:rPr>
              <w:t>通讯地址：</w:t>
            </w:r>
            <w:r>
              <w:rPr>
                <w:rFonts w:hint="eastAsia" w:ascii="仿宋_GB2312" w:hAnsi="仿宋_GB2312" w:eastAsia="仿宋_GB2312" w:cs="仿宋_GB2312"/>
                <w:sz w:val="24"/>
                <w:u w:val="single"/>
              </w:rPr>
              <w:t xml:space="preserve">伽师县行政审批局四楼 </w:t>
            </w:r>
          </w:p>
        </w:tc>
      </w:tr>
    </w:tbl>
    <w:p w14:paraId="4D103A96">
      <w:pPr>
        <w:snapToGrid w:val="0"/>
        <w:spacing w:line="240" w:lineRule="atLeast"/>
        <w:ind w:left="1080" w:leftChars="257" w:hanging="540"/>
        <w:rPr>
          <w:rStyle w:val="37"/>
          <w:rFonts w:ascii="仿宋_GB2312" w:hAnsi="仿宋_GB2312" w:eastAsia="仿宋_GB2312"/>
          <w:sz w:val="24"/>
        </w:rPr>
        <w:sectPr>
          <w:headerReference r:id="rId11" w:type="default"/>
          <w:footerReference r:id="rId13" w:type="default"/>
          <w:headerReference r:id="rId12" w:type="even"/>
          <w:footerReference r:id="rId14" w:type="even"/>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14:paraId="0FF58F01">
      <w:pPr>
        <w:pStyle w:val="3"/>
        <w:tabs>
          <w:tab w:val="left" w:pos="0"/>
        </w:tabs>
        <w:snapToGrid w:val="0"/>
        <w:spacing w:before="0" w:after="0" w:line="240" w:lineRule="atLeast"/>
        <w:rPr>
          <w:rFonts w:ascii="仿宋_GB2312" w:hAnsi="仿宋_GB2312" w:eastAsia="仿宋_GB2312" w:cs="仿宋_GB2312"/>
          <w:sz w:val="44"/>
          <w:szCs w:val="44"/>
        </w:rPr>
      </w:pPr>
      <w:bookmarkStart w:id="905" w:name="_Toc32208"/>
      <w:bookmarkStart w:id="906" w:name="OLE_LINK4"/>
      <w:r>
        <w:rPr>
          <w:rFonts w:hint="eastAsia" w:ascii="仿宋_GB2312" w:hAnsi="仿宋_GB2312" w:eastAsia="仿宋_GB2312" w:cs="仿宋_GB2312"/>
          <w:sz w:val="44"/>
          <w:szCs w:val="44"/>
        </w:rPr>
        <w:t>第五章  货物需求一览表及技术规格</w:t>
      </w:r>
      <w:bookmarkEnd w:id="905"/>
    </w:p>
    <w:p w14:paraId="1ABABD84">
      <w:pPr>
        <w:pageBreakBefore w:val="0"/>
        <w:numPr>
          <w:ilvl w:val="0"/>
          <w:numId w:val="11"/>
        </w:numPr>
        <w:kinsoku/>
        <w:wordWrap/>
        <w:overflowPunct/>
        <w:topLinePunct w:val="0"/>
        <w:bidi w:val="0"/>
        <w:spacing w:line="360" w:lineRule="auto"/>
        <w:outlineLvl w:val="9"/>
        <w:rPr>
          <w:rFonts w:ascii="微软雅黑" w:hAnsi="微软雅黑" w:eastAsia="微软雅黑" w:cs="微软雅黑"/>
          <w:i w:val="0"/>
          <w:caps w:val="0"/>
          <w:color w:val="000000"/>
          <w:spacing w:val="0"/>
          <w:sz w:val="33"/>
          <w:szCs w:val="33"/>
        </w:rPr>
      </w:pPr>
      <w:bookmarkStart w:id="907" w:name="_Toc140751559"/>
      <w:r>
        <w:rPr>
          <w:rFonts w:hint="eastAsia" w:ascii="宋体" w:hAnsi="宋体" w:cs="宋体"/>
          <w:sz w:val="28"/>
          <w:szCs w:val="28"/>
        </w:rPr>
        <w:t>货物需求一览表</w:t>
      </w:r>
    </w:p>
    <w:bookmarkEnd w:id="906"/>
    <w:tbl>
      <w:tblPr>
        <w:tblStyle w:val="27"/>
        <w:tblW w:w="8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24"/>
        <w:gridCol w:w="4190"/>
      </w:tblGrid>
      <w:tr w14:paraId="33FA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83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337A5DF2">
            <w:pPr>
              <w:spacing w:beforeLines="0" w:afterLines="0" w:line="340" w:lineRule="exact"/>
              <w:jc w:val="center"/>
              <w:textAlignment w:val="center"/>
              <w:rPr>
                <w:rFonts w:hint="default" w:ascii="宋体" w:hAnsi="宋体" w:eastAsia="宋体" w:cs="宋体"/>
                <w:color w:val="auto"/>
                <w:kern w:val="0"/>
                <w:sz w:val="22"/>
                <w:szCs w:val="22"/>
                <w:lang w:bidi="ar"/>
              </w:rPr>
            </w:pPr>
            <w:bookmarkStart w:id="908" w:name="OLE_LINK21"/>
            <w:r>
              <w:rPr>
                <w:rFonts w:hint="default" w:ascii="宋体" w:hAnsi="宋体" w:eastAsia="宋体" w:cs="宋体"/>
                <w:color w:val="auto"/>
                <w:kern w:val="0"/>
                <w:sz w:val="22"/>
                <w:szCs w:val="22"/>
                <w:lang w:bidi="ar"/>
              </w:rPr>
              <w:t>参数表（采购数量12辆）</w:t>
            </w:r>
          </w:p>
        </w:tc>
      </w:tr>
      <w:tr w14:paraId="257D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755EECAB">
            <w:pPr>
              <w:spacing w:beforeLines="0" w:afterLines="0" w:line="340" w:lineRule="exact"/>
              <w:jc w:val="center"/>
              <w:textAlignment w:val="center"/>
              <w:rPr>
                <w:rFonts w:hint="default" w:ascii="宋体" w:hAnsi="宋体" w:eastAsia="宋体" w:cs="宋体"/>
                <w:color w:val="auto"/>
                <w:sz w:val="22"/>
                <w:szCs w:val="22"/>
              </w:rPr>
            </w:pPr>
            <w:r>
              <w:rPr>
                <w:rFonts w:hint="default" w:ascii="宋体" w:hAnsi="宋体" w:eastAsia="宋体" w:cs="宋体"/>
                <w:color w:val="auto"/>
                <w:kern w:val="0"/>
                <w:sz w:val="22"/>
                <w:szCs w:val="22"/>
                <w:lang w:bidi="ar"/>
              </w:rPr>
              <w:t>车型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4331AEFD">
            <w:pPr>
              <w:spacing w:beforeLines="0" w:afterLines="0" w:line="340" w:lineRule="exact"/>
              <w:jc w:val="left"/>
              <w:textAlignment w:val="center"/>
              <w:rPr>
                <w:rFonts w:hint="default" w:ascii="宋体" w:hAnsi="宋体" w:eastAsia="宋体" w:cs="宋体"/>
                <w:color w:val="auto"/>
                <w:sz w:val="22"/>
                <w:szCs w:val="22"/>
              </w:rPr>
            </w:pPr>
            <w:r>
              <w:rPr>
                <w:rFonts w:hint="default" w:ascii="宋体" w:hAnsi="宋体" w:eastAsia="宋体" w:cs="宋体"/>
                <w:color w:val="auto"/>
                <w:kern w:val="0"/>
                <w:sz w:val="22"/>
                <w:szCs w:val="22"/>
                <w:lang w:bidi="ar"/>
              </w:rPr>
              <w:t>▲               皮卡</w:t>
            </w:r>
          </w:p>
        </w:tc>
      </w:tr>
      <w:tr w14:paraId="7334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5D76F73F">
            <w:pPr>
              <w:spacing w:beforeLines="0" w:afterLines="0" w:line="340" w:lineRule="exact"/>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能源类型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09640C0B">
            <w:pPr>
              <w:spacing w:beforeLines="0" w:afterLines="0" w:line="340" w:lineRule="exact"/>
              <w:jc w:val="left"/>
              <w:textAlignment w:val="center"/>
              <w:rPr>
                <w:rFonts w:hint="default" w:ascii="宋体" w:hAnsi="宋体" w:eastAsia="宋体" w:cs="宋体"/>
                <w:color w:val="auto"/>
                <w:sz w:val="22"/>
                <w:szCs w:val="22"/>
              </w:rPr>
            </w:pPr>
            <w:r>
              <w:rPr>
                <w:rFonts w:hint="default" w:ascii="宋体" w:hAnsi="宋体" w:eastAsia="宋体" w:cs="宋体"/>
                <w:color w:val="auto"/>
                <w:kern w:val="0"/>
                <w:sz w:val="22"/>
                <w:szCs w:val="22"/>
                <w:lang w:bidi="ar"/>
              </w:rPr>
              <w:t>▲              纯电动</w:t>
            </w:r>
          </w:p>
        </w:tc>
      </w:tr>
      <w:tr w14:paraId="7990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14808A59">
            <w:pPr>
              <w:spacing w:beforeLines="0" w:afterLines="0" w:line="340" w:lineRule="exact"/>
              <w:jc w:val="center"/>
              <w:textAlignment w:val="center"/>
              <w:rPr>
                <w:rFonts w:hint="default" w:ascii="宋体" w:hAnsi="宋体" w:eastAsia="宋体" w:cs="宋体"/>
                <w:color w:val="auto"/>
                <w:kern w:val="0"/>
                <w:sz w:val="21"/>
                <w:szCs w:val="21"/>
                <w:lang w:bidi="ar"/>
              </w:rPr>
            </w:pPr>
            <w:r>
              <w:rPr>
                <w:rFonts w:hint="default" w:ascii="宋体" w:hAnsi="宋体" w:eastAsia="宋体" w:cs="宋体"/>
                <w:color w:val="auto"/>
                <w:kern w:val="0"/>
                <w:sz w:val="21"/>
                <w:szCs w:val="21"/>
                <w:lang w:bidi="ar"/>
              </w:rPr>
              <w:t>纯电续航里程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510BADE9">
            <w:pPr>
              <w:spacing w:beforeLines="0" w:afterLines="0" w:line="340" w:lineRule="exact"/>
              <w:jc w:val="center"/>
              <w:textAlignment w:val="center"/>
              <w:rPr>
                <w:rFonts w:hint="default" w:ascii="宋体" w:hAnsi="宋体" w:eastAsia="宋体" w:cs="宋体"/>
                <w:color w:val="auto"/>
                <w:kern w:val="0"/>
                <w:sz w:val="22"/>
                <w:szCs w:val="22"/>
                <w:lang w:bidi="ar"/>
              </w:rPr>
            </w:pPr>
            <w:bookmarkStart w:id="909" w:name="OLE_LINK10"/>
            <w:r>
              <w:rPr>
                <w:rFonts w:hint="default" w:ascii="宋体" w:hAnsi="宋体" w:eastAsia="宋体" w:cs="宋体"/>
                <w:color w:val="auto"/>
                <w:kern w:val="0"/>
                <w:sz w:val="22"/>
                <w:szCs w:val="22"/>
                <w:lang w:bidi="ar"/>
              </w:rPr>
              <w:t xml:space="preserve">   ≥</w:t>
            </w:r>
            <w:r>
              <w:rPr>
                <w:rFonts w:hint="eastAsia" w:ascii="宋体" w:hAnsi="宋体" w:eastAsia="宋体" w:cs="宋体"/>
                <w:color w:val="auto"/>
                <w:kern w:val="0"/>
                <w:sz w:val="22"/>
                <w:szCs w:val="22"/>
                <w:lang w:val="en-US" w:eastAsia="zh-CN" w:bidi="ar"/>
              </w:rPr>
              <w:t>40</w:t>
            </w:r>
            <w:r>
              <w:rPr>
                <w:rFonts w:hint="default" w:ascii="宋体" w:hAnsi="宋体" w:eastAsia="宋体" w:cs="宋体"/>
                <w:color w:val="auto"/>
                <w:kern w:val="0"/>
                <w:sz w:val="22"/>
                <w:szCs w:val="22"/>
                <w:lang w:bidi="ar"/>
              </w:rPr>
              <w:t>0KM</w:t>
            </w:r>
            <w:bookmarkEnd w:id="909"/>
          </w:p>
        </w:tc>
      </w:tr>
      <w:tr w14:paraId="3E2A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05D49DD7">
            <w:pPr>
              <w:spacing w:beforeLines="0" w:afterLines="0" w:line="340" w:lineRule="exact"/>
              <w:jc w:val="center"/>
              <w:textAlignment w:val="center"/>
              <w:rPr>
                <w:rFonts w:hint="default" w:ascii="宋体" w:hAnsi="宋体" w:eastAsia="宋体" w:cs="宋体"/>
                <w:color w:val="auto"/>
                <w:sz w:val="21"/>
                <w:szCs w:val="21"/>
              </w:rPr>
            </w:pPr>
            <w:bookmarkStart w:id="910" w:name="OLE_LINK8" w:colFirst="0" w:colLast="1"/>
            <w:bookmarkStart w:id="911" w:name="OLE_LINK2" w:colFirst="1" w:colLast="1"/>
            <w:r>
              <w:rPr>
                <w:rStyle w:val="131"/>
                <w:rFonts w:hint="default"/>
                <w:color w:val="auto"/>
                <w:sz w:val="21"/>
                <w:szCs w:val="21"/>
                <w:lang w:bidi="ar"/>
              </w:rPr>
              <w:t>长</w:t>
            </w:r>
            <w:r>
              <w:rPr>
                <w:rFonts w:hint="default" w:ascii="Calibri" w:hAnsi="Calibri" w:eastAsia="宋体" w:cs="Calibri"/>
                <w:color w:val="auto"/>
                <w:kern w:val="0"/>
                <w:sz w:val="21"/>
                <w:szCs w:val="21"/>
                <w:lang w:bidi="ar"/>
              </w:rPr>
              <w:t>*</w:t>
            </w:r>
            <w:r>
              <w:rPr>
                <w:rStyle w:val="131"/>
                <w:rFonts w:hint="default"/>
                <w:color w:val="auto"/>
                <w:sz w:val="21"/>
                <w:szCs w:val="21"/>
                <w:lang w:bidi="ar"/>
              </w:rPr>
              <w:t>宽</w:t>
            </w:r>
            <w:r>
              <w:rPr>
                <w:rFonts w:hint="default" w:ascii="Calibri" w:hAnsi="Calibri" w:eastAsia="宋体" w:cs="Calibri"/>
                <w:color w:val="auto"/>
                <w:kern w:val="0"/>
                <w:sz w:val="21"/>
                <w:szCs w:val="21"/>
                <w:lang w:bidi="ar"/>
              </w:rPr>
              <w:t>*</w:t>
            </w:r>
            <w:r>
              <w:rPr>
                <w:rStyle w:val="131"/>
                <w:rFonts w:hint="default"/>
                <w:color w:val="auto"/>
                <w:sz w:val="21"/>
                <w:szCs w:val="21"/>
                <w:lang w:bidi="ar"/>
              </w:rPr>
              <w:t>高/米</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46CCCDBA">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val="en-US" w:eastAsia="zh-CN" w:bidi="ar"/>
              </w:rPr>
              <w:t>长</w:t>
            </w:r>
            <w:bookmarkStart w:id="912" w:name="OLE_LINK3"/>
            <w:r>
              <w:rPr>
                <w:rFonts w:hint="default" w:ascii="宋体" w:hAnsi="宋体" w:eastAsia="宋体" w:cs="宋体"/>
                <w:color w:val="auto"/>
                <w:kern w:val="0"/>
                <w:sz w:val="22"/>
                <w:szCs w:val="22"/>
                <w:lang w:val="en-US" w:eastAsia="zh-CN" w:bidi="ar"/>
              </w:rPr>
              <w:t>≥</w:t>
            </w:r>
            <w:bookmarkEnd w:id="912"/>
            <w:r>
              <w:rPr>
                <w:rFonts w:hint="default" w:ascii="宋体" w:hAnsi="宋体" w:eastAsia="宋体" w:cs="宋体"/>
                <w:color w:val="auto"/>
                <w:kern w:val="0"/>
                <w:sz w:val="22"/>
                <w:szCs w:val="22"/>
                <w:lang w:val="en-US" w:eastAsia="zh-CN" w:bidi="ar"/>
              </w:rPr>
              <w:t>5.</w:t>
            </w:r>
            <w:r>
              <w:rPr>
                <w:rFonts w:hint="eastAsia" w:ascii="宋体" w:hAnsi="宋体" w:eastAsia="宋体" w:cs="宋体"/>
                <w:color w:val="auto"/>
                <w:kern w:val="0"/>
                <w:sz w:val="22"/>
                <w:szCs w:val="22"/>
                <w:lang w:val="en-US" w:eastAsia="zh-CN" w:bidi="ar"/>
              </w:rPr>
              <w:t>2</w:t>
            </w:r>
            <w:r>
              <w:rPr>
                <w:rFonts w:hint="default" w:ascii="宋体" w:hAnsi="宋体" w:eastAsia="宋体" w:cs="宋体"/>
                <w:color w:val="auto"/>
                <w:kern w:val="0"/>
                <w:sz w:val="22"/>
                <w:szCs w:val="22"/>
                <w:lang w:val="en-US" w:eastAsia="zh-CN" w:bidi="ar"/>
              </w:rPr>
              <w:t>米，宽≥1.</w:t>
            </w:r>
            <w:r>
              <w:rPr>
                <w:rFonts w:hint="eastAsia" w:ascii="宋体" w:hAnsi="宋体" w:eastAsia="宋体" w:cs="宋体"/>
                <w:color w:val="auto"/>
                <w:kern w:val="0"/>
                <w:sz w:val="22"/>
                <w:szCs w:val="22"/>
                <w:lang w:val="en-US" w:eastAsia="zh-CN" w:bidi="ar"/>
              </w:rPr>
              <w:t>85</w:t>
            </w:r>
            <w:r>
              <w:rPr>
                <w:rFonts w:hint="default" w:ascii="宋体" w:hAnsi="宋体" w:eastAsia="宋体" w:cs="宋体"/>
                <w:color w:val="auto"/>
                <w:kern w:val="0"/>
                <w:sz w:val="22"/>
                <w:szCs w:val="22"/>
                <w:lang w:val="en-US" w:eastAsia="zh-CN" w:bidi="ar"/>
              </w:rPr>
              <w:t>米，高≥1.8</w:t>
            </w:r>
            <w:r>
              <w:rPr>
                <w:rFonts w:hint="eastAsia" w:ascii="宋体" w:hAnsi="宋体" w:eastAsia="宋体" w:cs="宋体"/>
                <w:color w:val="auto"/>
                <w:kern w:val="0"/>
                <w:sz w:val="22"/>
                <w:szCs w:val="22"/>
                <w:lang w:val="en-US" w:eastAsia="zh-CN" w:bidi="ar"/>
              </w:rPr>
              <w:t>5</w:t>
            </w:r>
            <w:r>
              <w:rPr>
                <w:rFonts w:hint="default" w:ascii="宋体" w:hAnsi="宋体" w:eastAsia="宋体" w:cs="宋体"/>
                <w:color w:val="auto"/>
                <w:kern w:val="0"/>
                <w:sz w:val="22"/>
                <w:szCs w:val="22"/>
                <w:lang w:val="en-US" w:eastAsia="zh-CN" w:bidi="ar"/>
              </w:rPr>
              <w:t>米</w:t>
            </w:r>
          </w:p>
        </w:tc>
      </w:tr>
      <w:bookmarkEnd w:id="910"/>
      <w:bookmarkEnd w:id="911"/>
      <w:tr w14:paraId="038BB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1E7576BF">
            <w:pPr>
              <w:spacing w:beforeLines="0" w:afterLines="0" w:line="340" w:lineRule="exact"/>
              <w:jc w:val="center"/>
              <w:textAlignment w:val="center"/>
              <w:rPr>
                <w:rFonts w:hint="default" w:ascii="宋体" w:hAnsi="宋体" w:eastAsia="宋体" w:cs="宋体"/>
                <w:color w:val="auto"/>
                <w:sz w:val="21"/>
                <w:szCs w:val="21"/>
              </w:rPr>
            </w:pPr>
            <w:r>
              <w:rPr>
                <w:rStyle w:val="131"/>
                <w:rFonts w:hint="default"/>
                <w:color w:val="auto"/>
                <w:sz w:val="21"/>
                <w:szCs w:val="21"/>
                <w:lang w:bidi="ar"/>
              </w:rPr>
              <w:t>空载最小离地间隙</w:t>
            </w:r>
            <w:bookmarkStart w:id="913" w:name="OLE_LINK1"/>
            <w:r>
              <w:rPr>
                <w:rFonts w:hint="default" w:ascii="Calibri" w:hAnsi="Calibri" w:eastAsia="宋体" w:cs="Calibri"/>
                <w:color w:val="auto"/>
                <w:kern w:val="0"/>
                <w:sz w:val="21"/>
                <w:szCs w:val="21"/>
                <w:lang w:bidi="ar"/>
              </w:rPr>
              <w:t>(mm)</w:t>
            </w:r>
            <w:bookmarkEnd w:id="913"/>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5555547E">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≥2</w:t>
            </w:r>
            <w:r>
              <w:rPr>
                <w:rFonts w:hint="eastAsia" w:ascii="宋体" w:hAnsi="宋体" w:eastAsia="宋体" w:cs="宋体"/>
                <w:color w:val="auto"/>
                <w:kern w:val="0"/>
                <w:sz w:val="22"/>
                <w:szCs w:val="22"/>
                <w:lang w:val="en-US" w:eastAsia="zh-CN" w:bidi="ar"/>
              </w:rPr>
              <w:t>0</w:t>
            </w:r>
            <w:r>
              <w:rPr>
                <w:rFonts w:hint="default" w:ascii="宋体" w:hAnsi="宋体" w:eastAsia="宋体" w:cs="宋体"/>
                <w:color w:val="auto"/>
                <w:kern w:val="0"/>
                <w:sz w:val="22"/>
                <w:szCs w:val="22"/>
                <w:lang w:bidi="ar"/>
              </w:rPr>
              <w:t>0</w:t>
            </w:r>
          </w:p>
        </w:tc>
      </w:tr>
      <w:tr w14:paraId="2A36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1C9E2FC9">
            <w:pPr>
              <w:spacing w:beforeLines="0" w:afterLines="0" w:line="340" w:lineRule="exact"/>
              <w:jc w:val="center"/>
              <w:textAlignment w:val="center"/>
              <w:rPr>
                <w:rFonts w:hint="default" w:ascii="宋体" w:hAnsi="宋体" w:eastAsia="宋体" w:cs="宋体"/>
                <w:color w:val="auto"/>
                <w:sz w:val="21"/>
                <w:szCs w:val="21"/>
              </w:rPr>
            </w:pPr>
            <w:r>
              <w:rPr>
                <w:rFonts w:hint="default" w:ascii="宋体" w:hAnsi="宋体" w:eastAsia="宋体" w:cs="宋体"/>
                <w:color w:val="auto"/>
                <w:kern w:val="0"/>
                <w:sz w:val="21"/>
                <w:szCs w:val="21"/>
                <w:lang w:bidi="ar"/>
              </w:rPr>
              <w:t>轴距/米</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5B000A79">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 xml:space="preserve">   ≥3.1米</w:t>
            </w:r>
          </w:p>
        </w:tc>
      </w:tr>
      <w:tr w14:paraId="7148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4ECD5723">
            <w:pPr>
              <w:spacing w:beforeLines="0" w:afterLines="0" w:line="340" w:lineRule="exact"/>
              <w:jc w:val="center"/>
              <w:textAlignment w:val="center"/>
              <w:rPr>
                <w:rFonts w:hint="default" w:ascii="宋体" w:hAnsi="宋体" w:eastAsia="宋体" w:cs="宋体"/>
                <w:color w:val="auto"/>
                <w:sz w:val="22"/>
                <w:szCs w:val="22"/>
              </w:rPr>
            </w:pPr>
            <w:r>
              <w:rPr>
                <w:rFonts w:hint="default" w:ascii="宋体" w:hAnsi="宋体" w:eastAsia="宋体" w:cs="宋体"/>
                <w:color w:val="auto"/>
                <w:kern w:val="0"/>
                <w:sz w:val="22"/>
                <w:szCs w:val="22"/>
                <w:lang w:bidi="ar"/>
              </w:rPr>
              <w:t>最大功率(kW)</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72005839">
            <w:pPr>
              <w:spacing w:beforeLines="0" w:afterLines="0" w:line="340" w:lineRule="exact"/>
              <w:jc w:val="center"/>
              <w:textAlignment w:val="center"/>
              <w:rPr>
                <w:rFonts w:hint="default" w:ascii="宋体" w:hAnsi="宋体" w:eastAsia="宋体" w:cs="宋体"/>
                <w:color w:val="auto"/>
                <w:kern w:val="0"/>
                <w:sz w:val="22"/>
                <w:szCs w:val="22"/>
                <w:lang w:bidi="ar"/>
              </w:rPr>
            </w:pPr>
            <w:bookmarkStart w:id="914" w:name="OLE_LINK11"/>
            <w:r>
              <w:rPr>
                <w:rFonts w:hint="default" w:ascii="宋体" w:hAnsi="宋体" w:eastAsia="宋体" w:cs="宋体"/>
                <w:color w:val="auto"/>
                <w:kern w:val="0"/>
                <w:sz w:val="22"/>
                <w:szCs w:val="22"/>
                <w:lang w:bidi="ar"/>
              </w:rPr>
              <w:t xml:space="preserve"> ≥1</w:t>
            </w:r>
            <w:bookmarkEnd w:id="914"/>
            <w:r>
              <w:rPr>
                <w:rFonts w:hint="eastAsia" w:ascii="宋体" w:hAnsi="宋体" w:eastAsia="宋体" w:cs="宋体"/>
                <w:color w:val="auto"/>
                <w:kern w:val="0"/>
                <w:sz w:val="22"/>
                <w:szCs w:val="22"/>
                <w:lang w:val="en-US" w:eastAsia="zh-CN" w:bidi="ar"/>
              </w:rPr>
              <w:t>4</w:t>
            </w:r>
            <w:r>
              <w:rPr>
                <w:rFonts w:hint="default" w:ascii="宋体" w:hAnsi="宋体" w:eastAsia="宋体" w:cs="宋体"/>
                <w:color w:val="auto"/>
                <w:kern w:val="0"/>
                <w:sz w:val="22"/>
                <w:szCs w:val="22"/>
                <w:lang w:bidi="ar"/>
              </w:rPr>
              <w:t>0</w:t>
            </w:r>
          </w:p>
        </w:tc>
      </w:tr>
      <w:tr w14:paraId="3521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520290AB">
            <w:pPr>
              <w:spacing w:beforeLines="0" w:afterLines="0" w:line="340" w:lineRule="exact"/>
              <w:jc w:val="center"/>
              <w:textAlignment w:val="center"/>
              <w:rPr>
                <w:rFonts w:hint="default" w:ascii="宋体" w:hAnsi="宋体" w:eastAsia="宋体" w:cs="宋体"/>
                <w:color w:val="auto"/>
                <w:sz w:val="22"/>
                <w:szCs w:val="22"/>
              </w:rPr>
            </w:pPr>
            <w:r>
              <w:rPr>
                <w:rFonts w:hint="default" w:ascii="宋体" w:hAnsi="宋体" w:eastAsia="宋体" w:cs="宋体"/>
                <w:color w:val="auto"/>
                <w:kern w:val="0"/>
                <w:sz w:val="22"/>
                <w:szCs w:val="22"/>
                <w:lang w:bidi="ar"/>
              </w:rPr>
              <w:t>最大扭矩(N·m)</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79D5C6E4">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 xml:space="preserve"> ≥3</w:t>
            </w:r>
            <w:r>
              <w:rPr>
                <w:rFonts w:hint="eastAsia" w:ascii="宋体" w:hAnsi="宋体" w:eastAsia="宋体" w:cs="宋体"/>
                <w:color w:val="auto"/>
                <w:kern w:val="0"/>
                <w:sz w:val="22"/>
                <w:szCs w:val="22"/>
                <w:lang w:val="en-US" w:eastAsia="zh-CN" w:bidi="ar"/>
              </w:rPr>
              <w:t>5</w:t>
            </w:r>
            <w:r>
              <w:rPr>
                <w:rFonts w:hint="default" w:ascii="宋体" w:hAnsi="宋体" w:eastAsia="宋体" w:cs="宋体"/>
                <w:color w:val="auto"/>
                <w:kern w:val="0"/>
                <w:sz w:val="22"/>
                <w:szCs w:val="22"/>
                <w:lang w:bidi="ar"/>
              </w:rPr>
              <w:t>0</w:t>
            </w:r>
          </w:p>
        </w:tc>
      </w:tr>
      <w:tr w14:paraId="05CB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375E55CB">
            <w:pPr>
              <w:spacing w:beforeLines="0" w:afterLines="0" w:line="340" w:lineRule="exact"/>
              <w:jc w:val="center"/>
              <w:textAlignment w:val="center"/>
              <w:rPr>
                <w:rFonts w:hint="default" w:ascii="宋体" w:hAnsi="宋体" w:eastAsia="宋体" w:cs="宋体"/>
                <w:color w:val="auto"/>
                <w:kern w:val="0"/>
                <w:sz w:val="22"/>
                <w:szCs w:val="22"/>
                <w:lang w:bidi="ar"/>
              </w:rPr>
            </w:pPr>
            <w:bookmarkStart w:id="915" w:name="OLE_LINK5"/>
            <w:r>
              <w:rPr>
                <w:rFonts w:hint="default" w:ascii="宋体" w:hAnsi="宋体" w:eastAsia="宋体" w:cs="宋体"/>
                <w:color w:val="auto"/>
                <w:kern w:val="0"/>
                <w:sz w:val="22"/>
                <w:szCs w:val="22"/>
                <w:lang w:bidi="ar"/>
              </w:rPr>
              <w:t>货箱尺寸</w:t>
            </w:r>
            <w:r>
              <w:rPr>
                <w:rFonts w:hint="default" w:ascii="Calibri" w:hAnsi="Calibri" w:eastAsia="宋体" w:cs="Calibri"/>
                <w:color w:val="auto"/>
                <w:kern w:val="0"/>
                <w:sz w:val="21"/>
                <w:szCs w:val="21"/>
                <w:lang w:bidi="ar"/>
              </w:rPr>
              <w:t>(mm)</w:t>
            </w:r>
            <w:bookmarkEnd w:id="915"/>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001A8D01">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 xml:space="preserve">    </w:t>
            </w:r>
            <w:r>
              <w:rPr>
                <w:rFonts w:hint="default" w:ascii="宋体" w:hAnsi="宋体" w:eastAsia="宋体" w:cs="宋体"/>
                <w:color w:val="auto"/>
                <w:kern w:val="0"/>
                <w:sz w:val="22"/>
                <w:szCs w:val="22"/>
                <w:lang w:val="en-US" w:eastAsia="zh-CN" w:bidi="ar"/>
              </w:rPr>
              <w:t xml:space="preserve"> 长≥1</w:t>
            </w:r>
            <w:r>
              <w:rPr>
                <w:rFonts w:hint="eastAsia" w:ascii="宋体" w:hAnsi="宋体" w:eastAsia="宋体" w:cs="宋体"/>
                <w:color w:val="auto"/>
                <w:kern w:val="0"/>
                <w:sz w:val="22"/>
                <w:szCs w:val="22"/>
                <w:lang w:val="en-US" w:eastAsia="zh-CN" w:bidi="ar"/>
              </w:rPr>
              <w:t>52</w:t>
            </w:r>
            <w:r>
              <w:rPr>
                <w:rFonts w:hint="default" w:ascii="宋体" w:hAnsi="宋体" w:eastAsia="宋体" w:cs="宋体"/>
                <w:color w:val="auto"/>
                <w:kern w:val="0"/>
                <w:sz w:val="22"/>
                <w:szCs w:val="22"/>
                <w:lang w:val="en-US" w:eastAsia="zh-CN" w:bidi="ar"/>
              </w:rPr>
              <w:t>0*宽≥1400*高≥</w:t>
            </w:r>
            <w:r>
              <w:rPr>
                <w:rFonts w:hint="eastAsia" w:ascii="宋体" w:hAnsi="宋体" w:eastAsia="宋体" w:cs="宋体"/>
                <w:color w:val="auto"/>
                <w:kern w:val="0"/>
                <w:sz w:val="22"/>
                <w:szCs w:val="22"/>
                <w:lang w:val="en-US" w:eastAsia="zh-CN" w:bidi="ar"/>
              </w:rPr>
              <w:t>4</w:t>
            </w:r>
            <w:r>
              <w:rPr>
                <w:rFonts w:hint="default" w:ascii="宋体" w:hAnsi="宋体" w:eastAsia="宋体" w:cs="宋体"/>
                <w:color w:val="auto"/>
                <w:kern w:val="0"/>
                <w:sz w:val="22"/>
                <w:szCs w:val="22"/>
                <w:lang w:val="en-US" w:eastAsia="zh-CN" w:bidi="ar"/>
              </w:rPr>
              <w:t>40</w:t>
            </w:r>
          </w:p>
        </w:tc>
      </w:tr>
      <w:tr w14:paraId="7C29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0982F4CC">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电池类型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2AAAB7C7">
            <w:pPr>
              <w:spacing w:beforeLines="0" w:afterLines="0" w:line="340" w:lineRule="exact"/>
              <w:jc w:val="center"/>
              <w:textAlignment w:val="center"/>
              <w:rPr>
                <w:rFonts w:hint="eastAsia" w:ascii="宋体" w:hAnsi="宋体" w:eastAsia="宋体" w:cs="宋体"/>
                <w:color w:val="auto"/>
                <w:kern w:val="0"/>
                <w:sz w:val="22"/>
                <w:szCs w:val="22"/>
                <w:lang w:val="en-US" w:eastAsia="zh-CN" w:bidi="ar"/>
              </w:rPr>
            </w:pPr>
            <w:r>
              <w:rPr>
                <w:rFonts w:hint="default" w:ascii="宋体" w:hAnsi="宋体" w:eastAsia="宋体" w:cs="宋体"/>
                <w:color w:val="auto"/>
                <w:kern w:val="0"/>
                <w:sz w:val="22"/>
                <w:szCs w:val="22"/>
                <w:lang w:bidi="ar"/>
              </w:rPr>
              <w:t>三元锂</w:t>
            </w:r>
            <w:r>
              <w:rPr>
                <w:rFonts w:hint="eastAsia" w:ascii="宋体" w:hAnsi="宋体" w:eastAsia="宋体" w:cs="宋体"/>
                <w:color w:val="auto"/>
                <w:kern w:val="0"/>
                <w:sz w:val="22"/>
                <w:szCs w:val="22"/>
                <w:lang w:val="en-US" w:eastAsia="zh-CN" w:bidi="ar"/>
              </w:rPr>
              <w:t>-磷酸铁锂</w:t>
            </w:r>
          </w:p>
        </w:tc>
      </w:tr>
      <w:tr w14:paraId="6903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641D225B">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电机类型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0A60E5B9">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永磁/同步</w:t>
            </w:r>
          </w:p>
        </w:tc>
      </w:tr>
      <w:tr w14:paraId="0CB6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6076DF42">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eastAsia="宋体"/>
                <w:sz w:val="21"/>
                <w:szCs w:val="24"/>
              </w:rPr>
              <w:t>电机总功率（KW）</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628DF145">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≥1</w:t>
            </w:r>
            <w:r>
              <w:rPr>
                <w:rFonts w:hint="eastAsia" w:ascii="宋体" w:hAnsi="宋体" w:eastAsia="宋体" w:cs="宋体"/>
                <w:color w:val="auto"/>
                <w:kern w:val="0"/>
                <w:sz w:val="22"/>
                <w:szCs w:val="22"/>
                <w:lang w:val="en-US" w:eastAsia="zh-CN" w:bidi="ar"/>
              </w:rPr>
              <w:t>4</w:t>
            </w:r>
            <w:r>
              <w:rPr>
                <w:rFonts w:hint="default" w:ascii="宋体" w:hAnsi="宋体" w:eastAsia="宋体" w:cs="宋体"/>
                <w:color w:val="auto"/>
                <w:kern w:val="0"/>
                <w:sz w:val="22"/>
                <w:szCs w:val="22"/>
                <w:lang w:bidi="ar"/>
              </w:rPr>
              <w:t>0</w:t>
            </w:r>
          </w:p>
        </w:tc>
      </w:tr>
      <w:tr w14:paraId="3A9B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23B5F5CF">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电池能量（kWh）</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76FB4EF8">
            <w:pPr>
              <w:spacing w:beforeLines="0" w:afterLines="0" w:line="340" w:lineRule="exact"/>
              <w:jc w:val="center"/>
              <w:textAlignment w:val="center"/>
              <w:rPr>
                <w:rFonts w:hint="default" w:ascii="宋体" w:hAnsi="宋体" w:eastAsia="宋体" w:cs="宋体"/>
                <w:color w:val="auto"/>
                <w:kern w:val="0"/>
                <w:sz w:val="22"/>
                <w:szCs w:val="22"/>
                <w:lang w:bidi="ar"/>
              </w:rPr>
            </w:pPr>
            <w:bookmarkStart w:id="916" w:name="OLE_LINK20"/>
            <w:r>
              <w:rPr>
                <w:rFonts w:hint="default" w:ascii="宋体" w:hAnsi="宋体" w:eastAsia="宋体" w:cs="宋体"/>
                <w:color w:val="auto"/>
                <w:kern w:val="0"/>
                <w:sz w:val="22"/>
                <w:szCs w:val="22"/>
                <w:lang w:bidi="ar"/>
              </w:rPr>
              <w:t>≥</w:t>
            </w:r>
            <w:bookmarkEnd w:id="916"/>
            <w:r>
              <w:rPr>
                <w:rFonts w:hint="eastAsia" w:ascii="宋体" w:hAnsi="宋体" w:eastAsia="宋体" w:cs="宋体"/>
                <w:color w:val="auto"/>
                <w:kern w:val="0"/>
                <w:sz w:val="22"/>
                <w:szCs w:val="22"/>
                <w:lang w:val="en-US" w:eastAsia="zh-CN" w:bidi="ar"/>
              </w:rPr>
              <w:t>65</w:t>
            </w:r>
            <w:r>
              <w:rPr>
                <w:rFonts w:hint="default" w:ascii="宋体" w:hAnsi="宋体" w:eastAsia="宋体" w:cs="宋体"/>
                <w:color w:val="auto"/>
                <w:kern w:val="0"/>
                <w:sz w:val="22"/>
                <w:szCs w:val="22"/>
                <w:lang w:bidi="ar"/>
              </w:rPr>
              <w:t xml:space="preserve"> </w:t>
            </w:r>
          </w:p>
        </w:tc>
      </w:tr>
      <w:tr w14:paraId="4AE4D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1EE72D76">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前悬架类型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0623C778">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麦弗逊式独立悬架</w:t>
            </w:r>
          </w:p>
        </w:tc>
      </w:tr>
      <w:tr w14:paraId="7747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2645F808">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后悬架类型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0D098429">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多连杆式独立悬架</w:t>
            </w:r>
          </w:p>
        </w:tc>
      </w:tr>
      <w:tr w14:paraId="3CDE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483E94ED">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前制动器类型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0645C547">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通风盘式</w:t>
            </w:r>
          </w:p>
        </w:tc>
      </w:tr>
      <w:tr w14:paraId="2AD4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27D32B93">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后制动器类型</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41BB1863">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盘式</w:t>
            </w:r>
          </w:p>
        </w:tc>
      </w:tr>
      <w:tr w14:paraId="3FC6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12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526A4A3C">
            <w:pPr>
              <w:spacing w:beforeLines="0" w:afterLines="0" w:line="340" w:lineRule="exact"/>
              <w:jc w:val="center"/>
              <w:textAlignment w:val="center"/>
              <w:rPr>
                <w:rFonts w:hint="default" w:ascii="宋体" w:hAnsi="宋体" w:eastAsia="宋体" w:cs="宋体"/>
                <w:color w:val="auto"/>
                <w:kern w:val="0"/>
                <w:sz w:val="22"/>
                <w:szCs w:val="22"/>
                <w:lang w:bidi="ar"/>
              </w:rPr>
            </w:pPr>
            <w:r>
              <w:rPr>
                <w:rFonts w:hint="default" w:ascii="宋体" w:hAnsi="宋体" w:eastAsia="宋体" w:cs="宋体"/>
                <w:color w:val="auto"/>
                <w:kern w:val="0"/>
                <w:sz w:val="22"/>
                <w:szCs w:val="22"/>
                <w:lang w:bidi="ar"/>
              </w:rPr>
              <w:t>驱动方式</w:t>
            </w:r>
          </w:p>
        </w:tc>
        <w:tc>
          <w:tcPr>
            <w:tcW w:w="419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1F9342DA">
            <w:pPr>
              <w:spacing w:beforeLines="0" w:afterLines="0" w:line="340" w:lineRule="exact"/>
              <w:jc w:val="center"/>
              <w:textAlignment w:val="center"/>
              <w:rPr>
                <w:rFonts w:hint="default" w:ascii="宋体" w:hAnsi="宋体" w:eastAsia="宋体" w:cs="宋体"/>
                <w:color w:val="auto"/>
                <w:kern w:val="0"/>
                <w:sz w:val="22"/>
                <w:szCs w:val="22"/>
                <w:lang w:val="en-US" w:bidi="ar"/>
              </w:rPr>
            </w:pPr>
            <w:r>
              <w:rPr>
                <w:rFonts w:hint="default" w:ascii="宋体" w:hAnsi="宋体" w:eastAsia="宋体" w:cs="宋体"/>
                <w:color w:val="auto"/>
                <w:kern w:val="0"/>
                <w:sz w:val="22"/>
                <w:szCs w:val="22"/>
                <w:lang w:bidi="ar"/>
              </w:rPr>
              <w:t xml:space="preserve">  </w:t>
            </w:r>
            <w:r>
              <w:rPr>
                <w:rFonts w:hint="default" w:ascii="宋体" w:hAnsi="宋体" w:eastAsia="宋体" w:cs="宋体"/>
                <w:color w:val="auto"/>
                <w:kern w:val="0"/>
                <w:sz w:val="22"/>
                <w:szCs w:val="22"/>
                <w:lang w:val="en-US" w:eastAsia="zh-CN" w:bidi="ar"/>
              </w:rPr>
              <w:t>双电机四驱</w:t>
            </w:r>
          </w:p>
        </w:tc>
      </w:tr>
      <w:tr w14:paraId="1D1C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21B3D8F0">
            <w:pPr>
              <w:spacing w:beforeLines="0" w:afterLines="0" w:line="340" w:lineRule="exact"/>
              <w:ind w:firstLine="480" w:firstLineChars="200"/>
              <w:jc w:val="left"/>
              <w:textAlignment w:val="center"/>
              <w:rPr>
                <w:rFonts w:hint="default" w:ascii="宋体" w:hAnsi="宋体" w:eastAsia="宋体" w:cs="宋体"/>
                <w:color w:val="auto"/>
                <w:kern w:val="0"/>
                <w:sz w:val="22"/>
                <w:szCs w:val="22"/>
                <w:lang w:bidi="ar"/>
              </w:rPr>
            </w:pPr>
            <w:r>
              <w:rPr>
                <w:rFonts w:hint="eastAsia" w:ascii="宋体" w:hAnsi="宋体" w:eastAsia="宋体" w:cstheme="minorBidi"/>
                <w:kern w:val="2"/>
                <w:sz w:val="24"/>
                <w:szCs w:val="24"/>
                <w:lang w:val="en-US" w:eastAsia="zh-CN" w:bidi="ar-SA"/>
              </w:rPr>
              <w:t>备注：中标后需提供该产品国家级或者行业认可的检测机构出具的检测报告（如中国质量认证中心、机动车检测中心等），机动车整车出厂合格证明，环保随车清单，车辆一致性证书。</w:t>
            </w:r>
          </w:p>
        </w:tc>
      </w:tr>
      <w:tr w14:paraId="1388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7" w:hRule="atLeast"/>
        </w:trPr>
        <w:tc>
          <w:tcPr>
            <w:tcW w:w="831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tcMar>
              <w:top w:w="12" w:type="dxa"/>
              <w:left w:w="12" w:type="dxa"/>
              <w:right w:w="12" w:type="dxa"/>
            </w:tcMar>
            <w:vAlign w:val="center"/>
          </w:tcPr>
          <w:p w14:paraId="335B703D">
            <w:pPr>
              <w:pStyle w:val="2"/>
              <w:spacing w:beforeLines="0" w:afterLines="0"/>
              <w:rPr>
                <w:rFonts w:hint="eastAsia"/>
              </w:rPr>
            </w:pPr>
            <w:r>
              <w:rPr>
                <w:rFonts w:hint="eastAsia"/>
              </w:rPr>
              <w:t>投标报价包含：</w:t>
            </w:r>
          </w:p>
          <w:p w14:paraId="51C38AA0">
            <w:pPr>
              <w:pStyle w:val="2"/>
              <w:spacing w:beforeLines="0" w:afterLines="0"/>
              <w:rPr>
                <w:rFonts w:hint="eastAsia"/>
              </w:rPr>
            </w:pPr>
            <w:r>
              <w:rPr>
                <w:rFonts w:hint="eastAsia"/>
              </w:rPr>
              <w:t>1、货物本身价格（购车款、购置税、上牌费等购车产生的费用）。</w:t>
            </w:r>
          </w:p>
          <w:p w14:paraId="3D0DA24B">
            <w:pPr>
              <w:pStyle w:val="2"/>
              <w:spacing w:beforeLines="0" w:afterLines="0"/>
              <w:rPr>
                <w:rFonts w:hint="eastAsia"/>
              </w:rPr>
            </w:pPr>
            <w:r>
              <w:rPr>
                <w:rFonts w:hint="eastAsia"/>
              </w:rPr>
              <w:t>2、1年车辆全额保险费（含交强险、车损险、第三者责任险200万元、驾乘意外险20万元等）。</w:t>
            </w:r>
          </w:p>
          <w:p w14:paraId="245842C0">
            <w:pPr>
              <w:pStyle w:val="2"/>
              <w:numPr>
                <w:ilvl w:val="0"/>
                <w:numId w:val="0"/>
              </w:numPr>
              <w:spacing w:beforeLines="0" w:afterLines="0"/>
              <w:rPr>
                <w:rFonts w:hint="default"/>
              </w:rPr>
            </w:pPr>
            <w:r>
              <w:rPr>
                <w:rFonts w:hint="eastAsia"/>
                <w:lang w:val="en-US" w:eastAsia="zh-CN"/>
              </w:rPr>
              <w:t>3、</w:t>
            </w:r>
            <w:r>
              <w:rPr>
                <w:rFonts w:hint="eastAsia"/>
              </w:rPr>
              <w:t>车辆装饰贴膜、脚垫、警灯、警示警徽标贴等。</w:t>
            </w:r>
          </w:p>
        </w:tc>
      </w:tr>
      <w:bookmarkEnd w:id="908"/>
    </w:tbl>
    <w:p w14:paraId="4E9721FB">
      <w:pPr>
        <w:pageBreakBefore w:val="0"/>
        <w:kinsoku/>
        <w:wordWrap/>
        <w:overflowPunct/>
        <w:topLinePunct w:val="0"/>
        <w:bidi w:val="0"/>
        <w:spacing w:line="360" w:lineRule="auto"/>
        <w:outlineLvl w:val="9"/>
        <w:rPr>
          <w:rFonts w:hint="eastAsia"/>
        </w:rPr>
      </w:pPr>
      <w:r>
        <w:rPr>
          <w:rFonts w:hint="eastAsia" w:ascii="宋体" w:hAnsi="宋体" w:cs="宋体"/>
          <w:b/>
          <w:sz w:val="28"/>
          <w:szCs w:val="28"/>
        </w:rPr>
        <w:t>二、要求</w:t>
      </w:r>
      <w:r>
        <w:rPr>
          <w:rFonts w:hint="eastAsia" w:ascii="宋体" w:hAnsi="宋体" w:cs="宋体"/>
          <w:b/>
          <w:sz w:val="28"/>
          <w:szCs w:val="28"/>
          <w:lang w:val="en-US" w:eastAsia="zh-CN"/>
        </w:rPr>
        <w:t>及说明</w:t>
      </w:r>
    </w:p>
    <w:p w14:paraId="31D896B5">
      <w:pPr>
        <w:pStyle w:val="6"/>
        <w:pageBreakBefore w:val="0"/>
        <w:kinsoku/>
        <w:wordWrap/>
        <w:overflowPunct/>
        <w:topLinePunct w:val="0"/>
        <w:bidi w:val="0"/>
        <w:spacing w:line="360" w:lineRule="auto"/>
        <w:ind w:firstLine="0"/>
        <w:outlineLvl w:val="9"/>
        <w:rPr>
          <w:rFonts w:hint="eastAsia" w:ascii="仿宋" w:hAnsi="仿宋" w:eastAsia="仿宋" w:cs="仿宋"/>
          <w:b/>
          <w:bCs/>
          <w:iCs/>
          <w:color w:val="auto"/>
          <w:kern w:val="2"/>
          <w:szCs w:val="24"/>
          <w:u w:val="single"/>
          <w:lang w:val="en-US" w:eastAsia="zh-CN"/>
        </w:rPr>
      </w:pPr>
      <w:bookmarkStart w:id="917" w:name="_Toc12886"/>
      <w:r>
        <w:rPr>
          <w:rFonts w:hint="eastAsia" w:ascii="仿宋" w:hAnsi="仿宋" w:eastAsia="仿宋" w:cs="仿宋"/>
          <w:b/>
          <w:bCs/>
          <w:iCs/>
          <w:color w:val="auto"/>
          <w:kern w:val="2"/>
          <w:szCs w:val="24"/>
          <w:u w:val="single"/>
        </w:rPr>
        <w:t>1、交</w:t>
      </w:r>
      <w:r>
        <w:rPr>
          <w:rFonts w:hint="eastAsia" w:ascii="仿宋" w:hAnsi="仿宋" w:eastAsia="仿宋" w:cs="仿宋"/>
          <w:b/>
          <w:bCs/>
          <w:iCs/>
          <w:color w:val="auto"/>
          <w:kern w:val="2"/>
          <w:szCs w:val="24"/>
          <w:u w:val="single"/>
          <w:lang w:val="en-US" w:eastAsia="zh-CN"/>
        </w:rPr>
        <w:t>货</w:t>
      </w:r>
      <w:r>
        <w:rPr>
          <w:rFonts w:hint="eastAsia" w:ascii="仿宋" w:hAnsi="仿宋" w:eastAsia="仿宋" w:cs="仿宋"/>
          <w:b/>
          <w:bCs/>
          <w:iCs/>
          <w:color w:val="auto"/>
          <w:kern w:val="2"/>
          <w:szCs w:val="24"/>
          <w:u w:val="single"/>
        </w:rPr>
        <w:t>地点：</w:t>
      </w:r>
      <w:r>
        <w:rPr>
          <w:rFonts w:hint="eastAsia" w:ascii="仿宋" w:hAnsi="仿宋" w:eastAsia="仿宋" w:cs="仿宋"/>
          <w:b/>
          <w:bCs/>
          <w:iCs/>
          <w:color w:val="auto"/>
          <w:kern w:val="2"/>
          <w:szCs w:val="24"/>
          <w:u w:val="single"/>
          <w:lang w:val="en-US" w:eastAsia="zh-CN"/>
        </w:rPr>
        <w:t>采购人指定地点。</w:t>
      </w:r>
    </w:p>
    <w:p w14:paraId="49505DE2">
      <w:pPr>
        <w:pStyle w:val="7"/>
        <w:pageBreakBefore w:val="0"/>
        <w:kinsoku/>
        <w:wordWrap/>
        <w:overflowPunct/>
        <w:topLinePunct w:val="0"/>
        <w:bidi w:val="0"/>
        <w:spacing w:line="360" w:lineRule="auto"/>
        <w:ind w:left="0" w:leftChars="0" w:firstLine="0" w:firstLineChars="0"/>
        <w:outlineLvl w:val="9"/>
        <w:rPr>
          <w:rFonts w:hint="eastAsia" w:ascii="仿宋" w:hAnsi="仿宋" w:eastAsia="仿宋" w:cs="仿宋"/>
          <w:b/>
          <w:bCs/>
          <w:iCs/>
          <w:color w:val="auto"/>
          <w:kern w:val="2"/>
          <w:sz w:val="24"/>
          <w:szCs w:val="24"/>
          <w:u w:val="single"/>
          <w:lang w:val="en-US" w:eastAsia="zh-CN" w:bidi="ar-SA"/>
        </w:rPr>
      </w:pPr>
      <w:r>
        <w:rPr>
          <w:rFonts w:hint="eastAsia" w:ascii="仿宋" w:hAnsi="仿宋" w:eastAsia="仿宋" w:cs="仿宋"/>
          <w:b/>
          <w:bCs/>
          <w:iCs/>
          <w:color w:val="auto"/>
          <w:kern w:val="2"/>
          <w:sz w:val="24"/>
          <w:szCs w:val="24"/>
          <w:u w:val="single"/>
          <w:lang w:val="en-US" w:eastAsia="zh-CN" w:bidi="ar-SA"/>
        </w:rPr>
        <w:t>2、中标通知书发出后30日内签订政府采购合同，若第一中标人拒绝签订政府采购合同，将取消中标资格，应当承担相应的法律责任。采购人可以按照评审报告推荐的中标候选人名单排序，确定下一候选人为中标人，也可以重新开展政府采购活动。</w:t>
      </w:r>
    </w:p>
    <w:p w14:paraId="70758B0C">
      <w:pPr>
        <w:pageBreakBefore w:val="0"/>
        <w:kinsoku/>
        <w:wordWrap/>
        <w:overflowPunct/>
        <w:topLinePunct w:val="0"/>
        <w:bidi w:val="0"/>
        <w:spacing w:line="360" w:lineRule="auto"/>
        <w:outlineLvl w:val="9"/>
        <w:rPr>
          <w:rFonts w:hint="eastAsia" w:ascii="仿宋" w:hAnsi="仿宋" w:eastAsia="仿宋" w:cs="仿宋"/>
          <w:b/>
          <w:bCs/>
          <w:iCs/>
          <w:color w:val="auto"/>
          <w:kern w:val="2"/>
          <w:sz w:val="24"/>
          <w:szCs w:val="24"/>
          <w:u w:val="single"/>
          <w:lang w:val="en-US" w:eastAsia="zh-CN" w:bidi="ar-SA"/>
        </w:rPr>
      </w:pPr>
      <w:r>
        <w:rPr>
          <w:rFonts w:hint="eastAsia" w:ascii="仿宋" w:hAnsi="仿宋" w:eastAsia="仿宋" w:cs="仿宋"/>
          <w:b/>
          <w:bCs/>
          <w:iCs/>
          <w:color w:val="auto"/>
          <w:kern w:val="2"/>
          <w:sz w:val="24"/>
          <w:szCs w:val="24"/>
          <w:u w:val="single"/>
          <w:lang w:val="en-US" w:eastAsia="zh-CN" w:bidi="ar-SA"/>
        </w:rPr>
        <w:t>3、质保要求：质保期三年，配送至甲方指定地点。</w:t>
      </w:r>
    </w:p>
    <w:p w14:paraId="106A5FC9">
      <w:pPr>
        <w:pStyle w:val="20"/>
        <w:pageBreakBefore w:val="0"/>
        <w:kinsoku/>
        <w:wordWrap/>
        <w:overflowPunct/>
        <w:topLinePunct w:val="0"/>
        <w:bidi w:val="0"/>
        <w:spacing w:line="360" w:lineRule="auto"/>
        <w:outlineLvl w:val="9"/>
        <w:rPr>
          <w:rFonts w:hint="eastAsia" w:ascii="仿宋" w:hAnsi="仿宋" w:eastAsia="仿宋" w:cs="仿宋"/>
          <w:b/>
          <w:bCs/>
          <w:iCs/>
          <w:color w:val="auto"/>
          <w:kern w:val="2"/>
          <w:sz w:val="24"/>
          <w:szCs w:val="24"/>
          <w:highlight w:val="green"/>
          <w:u w:val="single"/>
          <w:lang w:val="en-US" w:eastAsia="zh-CN" w:bidi="ar-SA"/>
        </w:rPr>
      </w:pPr>
      <w:r>
        <w:rPr>
          <w:rFonts w:hint="eastAsia" w:ascii="仿宋" w:hAnsi="仿宋" w:eastAsia="仿宋" w:cs="仿宋"/>
          <w:b/>
          <w:bCs/>
          <w:iCs/>
          <w:color w:val="auto"/>
          <w:kern w:val="2"/>
          <w:sz w:val="24"/>
          <w:szCs w:val="24"/>
          <w:u w:val="single"/>
          <w:lang w:val="en-US" w:eastAsia="zh-CN" w:bidi="ar-SA"/>
        </w:rPr>
        <w:t>4.供货期：</w:t>
      </w:r>
      <w:r>
        <w:rPr>
          <w:rFonts w:hint="eastAsia" w:ascii="仿宋" w:hAnsi="仿宋" w:eastAsia="仿宋" w:cs="仿宋"/>
          <w:b/>
          <w:bCs/>
          <w:iCs/>
          <w:color w:val="auto"/>
          <w:kern w:val="2"/>
          <w:sz w:val="24"/>
          <w:szCs w:val="24"/>
          <w:highlight w:val="none"/>
          <w:u w:val="single"/>
          <w:lang w:val="en-US" w:eastAsia="zh-CN" w:bidi="ar-SA"/>
        </w:rPr>
        <w:t>签订合同后30个工作日内供货到位。</w:t>
      </w:r>
    </w:p>
    <w:p w14:paraId="1A6E779A">
      <w:pPr>
        <w:pStyle w:val="2"/>
        <w:rPr>
          <w:rFonts w:hint="default"/>
          <w:highlight w:val="none"/>
          <w:lang w:val="en-US" w:eastAsia="zh-CN"/>
        </w:rPr>
      </w:pPr>
      <w:r>
        <w:rPr>
          <w:rFonts w:hint="eastAsia" w:ascii="仿宋" w:hAnsi="仿宋" w:eastAsia="仿宋" w:cs="仿宋"/>
          <w:b/>
          <w:bCs/>
          <w:iCs/>
          <w:color w:val="auto"/>
          <w:kern w:val="2"/>
          <w:sz w:val="24"/>
          <w:szCs w:val="24"/>
          <w:highlight w:val="none"/>
          <w:u w:val="single"/>
          <w:lang w:val="en-US" w:eastAsia="zh-CN" w:bidi="ar-SA"/>
        </w:rPr>
        <w:t>5.车辆：采购车辆12辆，为新车，非出厂后超过六个月还没销售的库存车。（已注册日期为准）</w:t>
      </w:r>
    </w:p>
    <w:p w14:paraId="49C6F4F5">
      <w:pPr>
        <w:pStyle w:val="2"/>
        <w:rPr>
          <w:rFonts w:hint="eastAsia"/>
          <w:lang w:val="en-US" w:eastAsia="zh-CN"/>
        </w:rPr>
      </w:pPr>
      <w:r>
        <w:rPr>
          <w:rFonts w:hint="eastAsia" w:ascii="仿宋" w:hAnsi="仿宋" w:eastAsia="仿宋" w:cs="仿宋"/>
          <w:b/>
          <w:bCs/>
          <w:iCs/>
          <w:color w:val="auto"/>
          <w:kern w:val="2"/>
          <w:sz w:val="24"/>
          <w:szCs w:val="24"/>
          <w:u w:val="single"/>
          <w:lang w:val="en-US" w:eastAsia="zh-CN" w:bidi="ar-SA"/>
        </w:rPr>
        <w:t>6.付款方式:合同约定。</w:t>
      </w:r>
    </w:p>
    <w:p w14:paraId="2EFAA993">
      <w:pPr>
        <w:pageBreakBefore w:val="0"/>
        <w:kinsoku/>
        <w:wordWrap/>
        <w:overflowPunct/>
        <w:topLinePunct w:val="0"/>
        <w:bidi w:val="0"/>
        <w:snapToGrid/>
        <w:spacing w:line="380" w:lineRule="exact"/>
        <w:textAlignment w:val="auto"/>
        <w:outlineLvl w:val="9"/>
        <w:rPr>
          <w:rFonts w:hint="eastAsia" w:ascii="仿宋" w:hAnsi="仿宋" w:eastAsia="仿宋" w:cs="仿宋"/>
          <w:b/>
          <w:bCs/>
          <w:color w:val="auto"/>
          <w:sz w:val="24"/>
          <w:lang w:val="en-US" w:eastAsia="zh-CN"/>
        </w:rPr>
      </w:pPr>
      <w:r>
        <w:rPr>
          <w:rFonts w:hint="eastAsia" w:ascii="仿宋" w:hAnsi="仿宋" w:eastAsia="仿宋" w:cs="仿宋"/>
          <w:b/>
          <w:bCs/>
          <w:iCs/>
          <w:color w:val="auto"/>
          <w:kern w:val="2"/>
          <w:sz w:val="24"/>
          <w:szCs w:val="24"/>
          <w:u w:val="single"/>
          <w:lang w:val="en-US" w:eastAsia="zh-CN" w:bidi="ar-SA"/>
        </w:rPr>
        <w:t>7.验收标准：</w:t>
      </w:r>
      <w:r>
        <w:rPr>
          <w:rFonts w:hint="eastAsia" w:ascii="仿宋" w:hAnsi="仿宋" w:eastAsia="仿宋" w:cs="仿宋"/>
          <w:b/>
          <w:bCs/>
          <w:color w:val="auto"/>
          <w:sz w:val="24"/>
          <w:u w:val="single"/>
          <w:lang w:val="en-US" w:eastAsia="zh-CN"/>
        </w:rPr>
        <w:t>按采购人要求进行验收，满足国家相关标准。</w:t>
      </w:r>
    </w:p>
    <w:p w14:paraId="7ECB57D2">
      <w:pPr>
        <w:pStyle w:val="6"/>
        <w:pageBreakBefore w:val="0"/>
        <w:kinsoku/>
        <w:wordWrap/>
        <w:overflowPunct/>
        <w:topLinePunct w:val="0"/>
        <w:bidi w:val="0"/>
        <w:spacing w:line="360" w:lineRule="auto"/>
        <w:ind w:firstLine="0"/>
        <w:outlineLvl w:val="9"/>
        <w:rPr>
          <w:rFonts w:hint="eastAsia" w:ascii="仿宋" w:hAnsi="仿宋" w:eastAsia="仿宋" w:cs="仿宋"/>
          <w:b/>
          <w:bCs/>
          <w:iCs/>
          <w:color w:val="auto"/>
          <w:kern w:val="2"/>
          <w:szCs w:val="24"/>
          <w:u w:val="single"/>
        </w:rPr>
      </w:pPr>
      <w:r>
        <w:rPr>
          <w:rFonts w:hint="eastAsia" w:ascii="仿宋" w:hAnsi="仿宋" w:eastAsia="仿宋" w:cs="仿宋"/>
          <w:b/>
          <w:bCs/>
          <w:iCs/>
          <w:color w:val="auto"/>
          <w:kern w:val="2"/>
          <w:sz w:val="24"/>
          <w:szCs w:val="24"/>
          <w:u w:val="single"/>
          <w:lang w:val="en-US" w:eastAsia="zh-CN" w:bidi="ar-SA"/>
        </w:rPr>
        <w:t>8.</w:t>
      </w:r>
      <w:r>
        <w:rPr>
          <w:rFonts w:hint="eastAsia" w:ascii="仿宋" w:hAnsi="仿宋" w:eastAsia="仿宋" w:cs="仿宋"/>
          <w:b/>
          <w:bCs/>
          <w:iCs/>
          <w:color w:val="auto"/>
          <w:kern w:val="2"/>
          <w:szCs w:val="24"/>
          <w:u w:val="single"/>
        </w:rPr>
        <w:t>投标报价含:货物本身价格、保险费用、包装费、运输费用、搬运费、损耗、税金费用、管理费、自检费及验收合格前和质保期内发生的一切费用、应当提供的伴随服务/售后服务费用。（中标单位必须向业主提供发票）</w:t>
      </w:r>
    </w:p>
    <w:p w14:paraId="179F1E93">
      <w:pPr>
        <w:pStyle w:val="6"/>
        <w:pageBreakBefore w:val="0"/>
        <w:kinsoku/>
        <w:wordWrap/>
        <w:overflowPunct/>
        <w:topLinePunct w:val="0"/>
        <w:bidi w:val="0"/>
        <w:spacing w:line="360" w:lineRule="auto"/>
        <w:ind w:firstLine="0"/>
        <w:outlineLvl w:val="9"/>
        <w:rPr>
          <w:rFonts w:hint="default" w:ascii="仿宋" w:hAnsi="仿宋" w:eastAsia="仿宋" w:cs="仿宋"/>
          <w:b/>
          <w:bCs/>
          <w:iCs/>
          <w:color w:val="auto"/>
          <w:kern w:val="2"/>
          <w:szCs w:val="24"/>
          <w:u w:val="single"/>
          <w:lang w:val="en-US" w:eastAsia="zh-CN"/>
        </w:rPr>
        <w:sectPr>
          <w:headerReference r:id="rId15" w:type="default"/>
          <w:footerReference r:id="rId1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iCs/>
          <w:color w:val="auto"/>
          <w:kern w:val="2"/>
          <w:szCs w:val="24"/>
          <w:u w:val="single"/>
          <w:lang w:val="en-US" w:eastAsia="zh-CN"/>
        </w:rPr>
        <w:t>9.注：参数表中标注“</w:t>
      </w:r>
      <w:r>
        <w:rPr>
          <w:rFonts w:hint="eastAsia" w:ascii="仿宋" w:hAnsi="仿宋" w:eastAsia="仿宋" w:cs="仿宋"/>
          <w:b/>
          <w:bCs/>
          <w:iCs/>
          <w:color w:val="auto"/>
          <w:kern w:val="2"/>
          <w:szCs w:val="24"/>
          <w:u w:val="single"/>
        </w:rPr>
        <w:t>▲</w:t>
      </w:r>
      <w:r>
        <w:rPr>
          <w:rFonts w:hint="eastAsia" w:ascii="仿宋" w:hAnsi="仿宋" w:eastAsia="仿宋" w:cs="仿宋"/>
          <w:b/>
          <w:bCs/>
          <w:iCs/>
          <w:color w:val="auto"/>
          <w:kern w:val="2"/>
          <w:szCs w:val="24"/>
          <w:u w:val="single"/>
          <w:lang w:val="en-US" w:eastAsia="zh-CN"/>
        </w:rPr>
        <w:t>”的重要参数，不允许发生偏离。（偏离视为无效投标）</w:t>
      </w:r>
    </w:p>
    <w:p w14:paraId="77D34EA5">
      <w:pPr>
        <w:pStyle w:val="3"/>
        <w:tabs>
          <w:tab w:val="left" w:pos="0"/>
        </w:tabs>
        <w:snapToGrid w:val="0"/>
        <w:spacing w:before="0" w:after="0" w:line="240" w:lineRule="atLeas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 xml:space="preserve">第六章  </w:t>
      </w:r>
      <w:bookmarkStart w:id="918" w:name="_Toc507399907"/>
      <w:bookmarkStart w:id="919" w:name="_Toc515647832"/>
      <w:bookmarkStart w:id="920" w:name="_Toc7971"/>
      <w:bookmarkStart w:id="921" w:name="_Toc23331"/>
      <w:bookmarkStart w:id="922" w:name="_Toc32647"/>
      <w:r>
        <w:rPr>
          <w:rFonts w:hint="eastAsia" w:ascii="仿宋_GB2312" w:hAnsi="仿宋_GB2312" w:eastAsia="仿宋_GB2312" w:cs="仿宋_GB2312"/>
          <w:sz w:val="44"/>
          <w:szCs w:val="44"/>
        </w:rPr>
        <w:t>评标方法和标准</w:t>
      </w:r>
      <w:bookmarkEnd w:id="907"/>
      <w:bookmarkEnd w:id="917"/>
      <w:bookmarkEnd w:id="918"/>
      <w:bookmarkEnd w:id="919"/>
      <w:bookmarkEnd w:id="920"/>
      <w:bookmarkEnd w:id="921"/>
      <w:bookmarkEnd w:id="922"/>
    </w:p>
    <w:p w14:paraId="0C9922C3">
      <w:pPr>
        <w:pStyle w:val="2"/>
        <w:snapToGrid w:val="0"/>
        <w:spacing w:before="0" w:line="240" w:lineRule="atLeast"/>
        <w:ind w:firstLine="540" w:firstLineChars="225"/>
        <w:rPr>
          <w:rFonts w:ascii="仿宋_GB2312" w:hAnsi="仿宋_GB2312" w:eastAsia="仿宋_GB2312" w:cs="仿宋_GB2312"/>
        </w:rPr>
      </w:pPr>
    </w:p>
    <w:p w14:paraId="06507FF7">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 总则</w:t>
      </w:r>
    </w:p>
    <w:p w14:paraId="58CF72CC">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1.1 根据《中华人民共和国政府采购法》、《中华人民共和国政府采购法实施条例》、《政府采购货物和服务招标投标管理办法（财政部第87号令）》等法律制度，结合采购项目特点制定本评标办法。</w:t>
      </w:r>
    </w:p>
    <w:p w14:paraId="631AA4CF">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1.2 评标工作由采购代理机构负责组织，具体评标事务由采购代理机构依法组建的评标委员会负责。评标委员会由采购人代表和有关技术、经济、法律等方面的专家组成。</w:t>
      </w:r>
    </w:p>
    <w:p w14:paraId="5EAB2E14">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1.3 评标工作应遵循公平、公正、科学及择优的原则，并以相同的评标程序和标准对待所有的投标人。</w:t>
      </w:r>
    </w:p>
    <w:p w14:paraId="13CC8CFE">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1.4 评标委员会按照招标文件规定的评标方法和标准进行评标，并独立履行下列职责：</w:t>
      </w:r>
    </w:p>
    <w:p w14:paraId="02D73A58">
      <w:pPr>
        <w:pStyle w:val="2"/>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（一）审查、评价投标文件是否符合招标文件的商务、技术等实质性要求；</w:t>
      </w:r>
    </w:p>
    <w:p w14:paraId="289B197D">
      <w:pPr>
        <w:pStyle w:val="2"/>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（二）要求投标人对投标文件有关事项作出澄清或者说明；</w:t>
      </w:r>
    </w:p>
    <w:p w14:paraId="26AF49D1">
      <w:pPr>
        <w:pStyle w:val="2"/>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（三）对投标文件进行比较和评价；</w:t>
      </w:r>
    </w:p>
    <w:p w14:paraId="770E2960">
      <w:pPr>
        <w:pStyle w:val="2"/>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（四）确定中标候选人名单，以及根据采购人委托直接确定中标人；</w:t>
      </w:r>
    </w:p>
    <w:p w14:paraId="1FEACBAD">
      <w:pPr>
        <w:pStyle w:val="2"/>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（五）向采购人、采购代理机构或者有关部门报告评标中发现的违法行为。</w:t>
      </w:r>
    </w:p>
    <w:p w14:paraId="58ED2C8B">
      <w:pPr>
        <w:pStyle w:val="2"/>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（六）法律、法规和规章规定的其他职责。</w:t>
      </w:r>
    </w:p>
    <w:p w14:paraId="62FD8F15">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1.5 评标过程独立、保密。投标人非法干预评标过程的行为将导致其投标文件作为无效处理。</w:t>
      </w:r>
    </w:p>
    <w:p w14:paraId="7AFC9D4D">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1.6评标委员会评价投标文件的响应性，对于投标人而言，除评标委员会要求其澄清、说明或者更正而提供的资料外，仅依据投标文件本身的内容，不寻求其他外部证据。</w:t>
      </w:r>
    </w:p>
    <w:p w14:paraId="2C5E7369">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 xml:space="preserve"> 1.7采购人或者采购代理机构负责组织评标工作，并履行下列职责：</w:t>
      </w:r>
    </w:p>
    <w:p w14:paraId="102DC433">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（一）核对评审专家身份和采购人代表信息，对评审专家在政府采购活动中的职责履行情况予以记录，并及时将有关违法违规行为向财政部门报告；</w:t>
      </w:r>
    </w:p>
    <w:p w14:paraId="67892EF3">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（二）宣布评标纪律；</w:t>
      </w:r>
    </w:p>
    <w:p w14:paraId="1E13D8C0">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（三）公布投标人名单，告知评审专家应当回避的情形；</w:t>
      </w:r>
    </w:p>
    <w:p w14:paraId="1DCC3625">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（四）组织评标委员会推选评标组长，采购人代表不得担任组长；</w:t>
      </w:r>
    </w:p>
    <w:p w14:paraId="74A3962A">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（五）在评标期间采取必要的通讯管理措施，保证评标活动不受外界干扰；</w:t>
      </w:r>
    </w:p>
    <w:p w14:paraId="2C72472A">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（六）根据评标委员会的要求介绍政府采购相关政策法规、招标文件；</w:t>
      </w:r>
    </w:p>
    <w:p w14:paraId="0675B05E">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（七）维护评标秩序，监督评标委员会依照招标文件规定的评标程序、方法和标准进行独立评审，及时制止和纠正采购人代表、评审专家的倾向性言论或者违法违规行为；</w:t>
      </w:r>
    </w:p>
    <w:p w14:paraId="64A0B5DB">
      <w:pPr>
        <w:pStyle w:val="2"/>
        <w:snapToGrid w:val="0"/>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（八）核对评标结果，有财政部87号令第六十四条规定情形的，要求评标委员会复核或者书面说明理由，评标委员会拒绝的，应予记录并向本级财政部门报告；</w:t>
      </w:r>
    </w:p>
    <w:p w14:paraId="29C2A273">
      <w:pPr>
        <w:pStyle w:val="2"/>
        <w:snapToGrid w:val="0"/>
        <w:spacing w:before="0" w:line="360" w:lineRule="auto"/>
        <w:rPr>
          <w:rFonts w:ascii="仿宋_GB2312" w:hAnsi="仿宋_GB2312" w:eastAsia="仿宋_GB2312" w:cs="仿宋_GB2312"/>
          <w:iCs/>
        </w:rPr>
      </w:pPr>
      <w:r>
        <w:rPr>
          <w:rFonts w:hint="eastAsia" w:ascii="仿宋_GB2312" w:hAnsi="仿宋_GB2312" w:eastAsia="仿宋_GB2312" w:cs="仿宋_GB2312"/>
          <w:iCs/>
        </w:rPr>
        <w:t>　（九）处理与评标有关的其他事项。</w:t>
      </w:r>
    </w:p>
    <w:p w14:paraId="56381F48">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采购人可以在评标前说明项目背景和采购需求，说明内容不得含有歧视性、倾向性意见，不得超出招标文件所述范围。说明应当提交书面材料，并随采购文件一并存档。</w:t>
      </w:r>
    </w:p>
    <w:p w14:paraId="3228C83B">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2、评标方法</w:t>
      </w:r>
    </w:p>
    <w:p w14:paraId="1274B95A">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本项目评标方法为：综合评分法。</w:t>
      </w:r>
    </w:p>
    <w:p w14:paraId="33746D88">
      <w:pPr>
        <w:pStyle w:val="2"/>
        <w:snapToGrid w:val="0"/>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3、 评标程序</w:t>
      </w:r>
    </w:p>
    <w:p w14:paraId="7F2D30A8">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3.1熟悉和理解招标文件和停止评标。</w:t>
      </w:r>
    </w:p>
    <w:p w14:paraId="6CB5074A">
      <w:pPr>
        <w:pStyle w:val="2"/>
        <w:snapToGrid w:val="0"/>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3.1.1评标委员会正式评标前，应当对招标文件进行熟悉和理解，内容主要包括招标文件中采购项目技术、服务和商务要求、评标方法和标准以及可能涉及签订政府采购合同的内容等。</w:t>
      </w:r>
    </w:p>
    <w:p w14:paraId="373CFC23">
      <w:pPr>
        <w:pStyle w:val="2"/>
        <w:snapToGrid w:val="0"/>
        <w:spacing w:before="0" w:line="360" w:lineRule="auto"/>
        <w:ind w:left="-199" w:leftChars="-95" w:firstLine="199" w:firstLineChars="83"/>
        <w:rPr>
          <w:rFonts w:ascii="仿宋_GB2312" w:hAnsi="仿宋_GB2312" w:eastAsia="仿宋_GB2312" w:cs="仿宋_GB2312"/>
          <w:iCs/>
        </w:rPr>
      </w:pPr>
      <w:r>
        <w:rPr>
          <w:rFonts w:hint="eastAsia" w:ascii="仿宋_GB2312" w:hAnsi="仿宋_GB2312" w:eastAsia="仿宋_GB2312" w:cs="仿宋_GB2312"/>
          <w:iCs/>
        </w:rPr>
        <w:t xml:space="preserve">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F54811A">
      <w:pPr>
        <w:spacing w:line="360" w:lineRule="auto"/>
        <w:rPr>
          <w:rFonts w:ascii="宋体" w:hAnsi="宋体"/>
          <w:sz w:val="24"/>
        </w:rPr>
      </w:pPr>
      <w:r>
        <w:rPr>
          <w:rStyle w:val="37"/>
          <w:rFonts w:hint="eastAsia" w:ascii="仿宋_GB2312" w:hAnsi="仿宋_GB2312" w:eastAsia="仿宋_GB2312" w:cs="Times New Roman"/>
          <w:iCs/>
          <w:sz w:val="24"/>
        </w:rPr>
        <w:t>4.1</w:t>
      </w:r>
      <w:r>
        <w:rPr>
          <w:rFonts w:hint="eastAsia" w:ascii="仿宋_GB2312" w:hAnsi="仿宋_GB2312" w:eastAsia="仿宋_GB2312" w:cs="仿宋_GB2312"/>
          <w:iCs/>
          <w:sz w:val="24"/>
        </w:rPr>
        <w:t>根据《关于落实好政府采购支持中小企业发展的通知》（新财购〔2022〕22号）、《关于进一步加大政府采购支持中小企业力度的通知》（财库(2022〕19号）、《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w:t>
      </w:r>
      <w:r>
        <w:rPr>
          <w:rFonts w:hint="eastAsia" w:ascii="仿宋" w:hAnsi="仿宋" w:eastAsia="仿宋" w:cs="仿宋"/>
          <w:sz w:val="24"/>
        </w:rPr>
        <w:t>或省级以上监狱管理局、戒毒管理局（含新疆生产建设兵团）出具的属于监狱企业的证明文件的投标人，其投标报价扣除10%后参与评审。具体办法详见招标文件第6章。</w:t>
      </w:r>
    </w:p>
    <w:p w14:paraId="51C42AFD"/>
    <w:p w14:paraId="6DE0F69F">
      <w:r>
        <w:rPr>
          <w:rFonts w:hint="eastAsia" w:ascii="仿宋_GB2312" w:hAnsi="仿宋_GB2312" w:eastAsia="仿宋_GB2312" w:cs="仿宋_GB2312"/>
          <w:b/>
          <w:bCs/>
          <w:iCs/>
        </w:rPr>
        <w:t>5.1资格性检查</w:t>
      </w:r>
    </w:p>
    <w:tbl>
      <w:tblPr>
        <w:tblStyle w:val="27"/>
        <w:tblW w:w="8789" w:type="dxa"/>
        <w:tblInd w:w="-127" w:type="dxa"/>
        <w:tblLayout w:type="fixed"/>
        <w:tblCellMar>
          <w:top w:w="15" w:type="dxa"/>
          <w:left w:w="15" w:type="dxa"/>
          <w:bottom w:w="15" w:type="dxa"/>
          <w:right w:w="15" w:type="dxa"/>
        </w:tblCellMar>
      </w:tblPr>
      <w:tblGrid>
        <w:gridCol w:w="349"/>
        <w:gridCol w:w="383"/>
        <w:gridCol w:w="583"/>
        <w:gridCol w:w="884"/>
        <w:gridCol w:w="778"/>
        <w:gridCol w:w="1209"/>
        <w:gridCol w:w="1485"/>
        <w:gridCol w:w="992"/>
        <w:gridCol w:w="1417"/>
        <w:gridCol w:w="709"/>
      </w:tblGrid>
      <w:tr w14:paraId="11EC57E5">
        <w:tblPrEx>
          <w:tblCellMar>
            <w:top w:w="15" w:type="dxa"/>
            <w:left w:w="15" w:type="dxa"/>
            <w:bottom w:w="15" w:type="dxa"/>
            <w:right w:w="15" w:type="dxa"/>
          </w:tblCellMar>
        </w:tblPrEx>
        <w:trPr>
          <w:trHeight w:val="185" w:hRule="atLeast"/>
        </w:trPr>
        <w:tc>
          <w:tcPr>
            <w:tcW w:w="349" w:type="dxa"/>
            <w:tcBorders>
              <w:top w:val="single" w:color="000000" w:sz="4" w:space="0"/>
              <w:left w:val="single" w:color="000000" w:sz="4" w:space="0"/>
              <w:bottom w:val="single" w:color="000000" w:sz="4" w:space="0"/>
              <w:right w:val="single" w:color="000000" w:sz="4" w:space="0"/>
            </w:tcBorders>
            <w:vAlign w:val="center"/>
          </w:tcPr>
          <w:p w14:paraId="4979A177">
            <w:pPr>
              <w:jc w:val="center"/>
              <w:textAlignment w:val="center"/>
              <w:rPr>
                <w:rFonts w:ascii="宋体" w:hAnsi="宋体" w:cs="宋体"/>
                <w:kern w:val="0"/>
                <w:sz w:val="15"/>
                <w:szCs w:val="15"/>
                <w:lang w:bidi="ar"/>
              </w:rPr>
            </w:pPr>
            <w:r>
              <w:rPr>
                <w:rFonts w:hint="eastAsia" w:ascii="宋体" w:hAnsi="宋体" w:cs="宋体"/>
                <w:kern w:val="0"/>
                <w:sz w:val="15"/>
                <w:szCs w:val="15"/>
                <w:lang w:bidi="ar"/>
              </w:rPr>
              <w:t>序号</w:t>
            </w:r>
          </w:p>
        </w:tc>
        <w:tc>
          <w:tcPr>
            <w:tcW w:w="383" w:type="dxa"/>
            <w:tcBorders>
              <w:top w:val="single" w:color="000000" w:sz="4" w:space="0"/>
              <w:left w:val="single" w:color="000000" w:sz="4" w:space="0"/>
              <w:bottom w:val="single" w:color="000000" w:sz="4" w:space="0"/>
              <w:right w:val="single" w:color="000000" w:sz="4" w:space="0"/>
            </w:tcBorders>
            <w:vAlign w:val="center"/>
          </w:tcPr>
          <w:p w14:paraId="15751E3F">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投 标 单 位</w:t>
            </w:r>
          </w:p>
        </w:tc>
        <w:tc>
          <w:tcPr>
            <w:tcW w:w="583" w:type="dxa"/>
            <w:tcBorders>
              <w:top w:val="single" w:color="000000" w:sz="4" w:space="0"/>
              <w:left w:val="single" w:color="000000" w:sz="4" w:space="0"/>
              <w:bottom w:val="single" w:color="000000" w:sz="4" w:space="0"/>
              <w:right w:val="single" w:color="000000" w:sz="4" w:space="0"/>
            </w:tcBorders>
            <w:vAlign w:val="center"/>
          </w:tcPr>
          <w:p w14:paraId="314C7513">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提供有效的营业执照</w:t>
            </w:r>
          </w:p>
        </w:tc>
        <w:tc>
          <w:tcPr>
            <w:tcW w:w="884" w:type="dxa"/>
            <w:tcBorders>
              <w:top w:val="single" w:color="000000" w:sz="4" w:space="0"/>
              <w:left w:val="single" w:color="000000" w:sz="4" w:space="0"/>
              <w:bottom w:val="single" w:color="000000" w:sz="4" w:space="0"/>
              <w:right w:val="single" w:color="000000" w:sz="4" w:space="0"/>
            </w:tcBorders>
            <w:vAlign w:val="center"/>
          </w:tcPr>
          <w:p w14:paraId="451BAA0F">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法定代表人证明或法定代表人授权委托书签字（章）并加盖公章</w:t>
            </w:r>
          </w:p>
        </w:tc>
        <w:tc>
          <w:tcPr>
            <w:tcW w:w="778" w:type="dxa"/>
            <w:tcBorders>
              <w:top w:val="single" w:color="000000" w:sz="4" w:space="0"/>
              <w:left w:val="single" w:color="000000" w:sz="4" w:space="0"/>
              <w:bottom w:val="single" w:color="000000" w:sz="4" w:space="0"/>
              <w:right w:val="single" w:color="000000" w:sz="4" w:space="0"/>
            </w:tcBorders>
            <w:vAlign w:val="center"/>
          </w:tcPr>
          <w:p w14:paraId="78BC64CB">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提供投标单位近三个月内（任意一个月）的社保证明</w:t>
            </w:r>
          </w:p>
        </w:tc>
        <w:tc>
          <w:tcPr>
            <w:tcW w:w="1209" w:type="dxa"/>
            <w:tcBorders>
              <w:top w:val="single" w:color="000000" w:sz="4" w:space="0"/>
              <w:left w:val="single" w:color="000000" w:sz="4" w:space="0"/>
              <w:bottom w:val="single" w:color="000000" w:sz="4" w:space="0"/>
              <w:right w:val="single" w:color="000000" w:sz="4" w:space="0"/>
            </w:tcBorders>
            <w:vAlign w:val="center"/>
          </w:tcPr>
          <w:p w14:paraId="5E9D1869">
            <w:pPr>
              <w:jc w:val="center"/>
              <w:textAlignment w:val="center"/>
              <w:rPr>
                <w:rFonts w:ascii="宋体" w:hAnsi="宋体" w:cs="宋体"/>
                <w:kern w:val="0"/>
                <w:sz w:val="15"/>
                <w:szCs w:val="15"/>
                <w:lang w:bidi="ar"/>
              </w:rPr>
            </w:pPr>
            <w:r>
              <w:rPr>
                <w:rFonts w:hint="eastAsia" w:ascii="宋体" w:hAnsi="宋体" w:cs="宋体"/>
                <w:kern w:val="0"/>
                <w:sz w:val="15"/>
                <w:szCs w:val="15"/>
                <w:lang w:bidi="ar"/>
              </w:rPr>
              <w:t>近三个月所属期限内（任意一个月）依法缴纳税收的证明（税务部门出具的完税凭证或缴税证明或银行出具的“银行电子缴税付款证”）；</w:t>
            </w:r>
          </w:p>
        </w:tc>
        <w:tc>
          <w:tcPr>
            <w:tcW w:w="1485" w:type="dxa"/>
            <w:tcBorders>
              <w:top w:val="single" w:color="000000" w:sz="4" w:space="0"/>
              <w:left w:val="single" w:color="000000" w:sz="4" w:space="0"/>
              <w:bottom w:val="single" w:color="000000" w:sz="4" w:space="0"/>
              <w:right w:val="single" w:color="000000" w:sz="4" w:space="0"/>
            </w:tcBorders>
            <w:vAlign w:val="center"/>
          </w:tcPr>
          <w:p w14:paraId="69875C21">
            <w:pPr>
              <w:jc w:val="center"/>
              <w:textAlignment w:val="center"/>
              <w:rPr>
                <w:rFonts w:ascii="宋体" w:hAnsi="宋体" w:cs="宋体"/>
                <w:kern w:val="0"/>
                <w:sz w:val="15"/>
                <w:szCs w:val="15"/>
                <w:lang w:bidi="ar"/>
              </w:rPr>
            </w:pPr>
            <w:bookmarkStart w:id="956" w:name="_GoBack"/>
            <w:r>
              <w:rPr>
                <w:rFonts w:hint="eastAsia" w:ascii="宋体" w:hAnsi="宋体" w:cs="宋体"/>
                <w:kern w:val="0"/>
                <w:sz w:val="15"/>
                <w:szCs w:val="15"/>
                <w:lang w:bidi="ar"/>
              </w:rPr>
              <w:t>良好的商业信誉和健全的财务会计制度证明材料（会计事务所出具的202</w:t>
            </w:r>
            <w:r>
              <w:rPr>
                <w:rFonts w:hint="eastAsia" w:ascii="宋体" w:hAnsi="宋体" w:cs="宋体"/>
                <w:kern w:val="0"/>
                <w:sz w:val="15"/>
                <w:szCs w:val="15"/>
                <w:lang w:val="en-US" w:eastAsia="zh-CN" w:bidi="ar"/>
              </w:rPr>
              <w:t>3</w:t>
            </w:r>
            <w:r>
              <w:rPr>
                <w:rFonts w:hint="eastAsia" w:ascii="宋体" w:hAnsi="宋体" w:cs="宋体"/>
                <w:kern w:val="0"/>
                <w:sz w:val="15"/>
                <w:szCs w:val="15"/>
                <w:lang w:bidi="ar"/>
              </w:rPr>
              <w:t>年及202</w:t>
            </w:r>
            <w:r>
              <w:rPr>
                <w:rFonts w:hint="eastAsia" w:ascii="宋体" w:hAnsi="宋体" w:cs="宋体"/>
                <w:kern w:val="0"/>
                <w:sz w:val="15"/>
                <w:szCs w:val="15"/>
                <w:lang w:val="en-US" w:eastAsia="zh-CN" w:bidi="ar"/>
              </w:rPr>
              <w:t>4</w:t>
            </w:r>
            <w:r>
              <w:rPr>
                <w:rFonts w:hint="eastAsia" w:ascii="宋体" w:hAnsi="宋体" w:cs="宋体"/>
                <w:kern w:val="0"/>
                <w:sz w:val="15"/>
                <w:szCs w:val="15"/>
                <w:lang w:bidi="ar"/>
              </w:rPr>
              <w:t>年的年度财务审计报告书；注册成立未满一年新公司可提供近三个月内任意一个月的银行资信证明）</w:t>
            </w:r>
            <w:bookmarkEnd w:id="956"/>
          </w:p>
        </w:tc>
        <w:tc>
          <w:tcPr>
            <w:tcW w:w="992" w:type="dxa"/>
            <w:tcBorders>
              <w:top w:val="single" w:color="000000" w:sz="4" w:space="0"/>
              <w:left w:val="single" w:color="000000" w:sz="4" w:space="0"/>
              <w:bottom w:val="single" w:color="000000" w:sz="4" w:space="0"/>
              <w:right w:val="single" w:color="000000" w:sz="4" w:space="0"/>
            </w:tcBorders>
            <w:vAlign w:val="center"/>
          </w:tcPr>
          <w:p w14:paraId="75433930">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提供投标单位按招标文件要求缴纳投标保证金的缴款凭证或金融机构、担保机构出具的保函</w:t>
            </w:r>
          </w:p>
        </w:tc>
        <w:tc>
          <w:tcPr>
            <w:tcW w:w="1417" w:type="dxa"/>
            <w:tcBorders>
              <w:top w:val="single" w:color="000000" w:sz="4" w:space="0"/>
              <w:left w:val="single" w:color="000000" w:sz="4" w:space="0"/>
              <w:bottom w:val="single" w:color="000000" w:sz="4" w:space="0"/>
              <w:right w:val="single" w:color="000000" w:sz="4" w:space="0"/>
            </w:tcBorders>
            <w:vAlign w:val="center"/>
          </w:tcPr>
          <w:p w14:paraId="2F2DA0FF">
            <w:pPr>
              <w:jc w:val="center"/>
              <w:textAlignment w:val="center"/>
              <w:rPr>
                <w:rFonts w:ascii="宋体" w:hAnsi="宋体" w:cs="宋体"/>
                <w:kern w:val="0"/>
                <w:sz w:val="15"/>
                <w:szCs w:val="15"/>
                <w:lang w:bidi="ar"/>
              </w:rPr>
            </w:pPr>
            <w:r>
              <w:rPr>
                <w:rFonts w:hint="eastAsia" w:ascii="宋体" w:hAnsi="宋体" w:cs="宋体"/>
                <w:kern w:val="0"/>
                <w:sz w:val="15"/>
                <w:szCs w:val="15"/>
                <w:lang w:bidi="ar"/>
              </w:rPr>
              <w:t>投标单位（供应商）其法人参加本次采购活动前三年内，在经营活动中没有重大违法记录的声明及对本次项目《反商业贿赂承诺书》</w:t>
            </w:r>
          </w:p>
        </w:tc>
        <w:tc>
          <w:tcPr>
            <w:tcW w:w="709" w:type="dxa"/>
            <w:tcBorders>
              <w:top w:val="single" w:color="000000" w:sz="4" w:space="0"/>
              <w:left w:val="single" w:color="000000" w:sz="4" w:space="0"/>
              <w:bottom w:val="single" w:color="000000" w:sz="4" w:space="0"/>
              <w:right w:val="single" w:color="000000" w:sz="4" w:space="0"/>
            </w:tcBorders>
            <w:vAlign w:val="center"/>
          </w:tcPr>
          <w:p w14:paraId="5B355293">
            <w:pPr>
              <w:jc w:val="center"/>
              <w:textAlignment w:val="center"/>
              <w:rPr>
                <w:rFonts w:ascii="宋体" w:hAnsi="宋体" w:cs="宋体"/>
                <w:kern w:val="0"/>
                <w:sz w:val="15"/>
                <w:szCs w:val="15"/>
                <w:lang w:bidi="ar"/>
              </w:rPr>
            </w:pPr>
            <w:r>
              <w:rPr>
                <w:rFonts w:hint="eastAsia" w:ascii="宋体" w:hAnsi="宋体" w:cs="宋体"/>
                <w:kern w:val="0"/>
                <w:sz w:val="15"/>
                <w:szCs w:val="15"/>
              </w:rPr>
              <w:t>是否通过审查</w:t>
            </w:r>
          </w:p>
        </w:tc>
      </w:tr>
      <w:tr w14:paraId="56162BE8">
        <w:tblPrEx>
          <w:tblCellMar>
            <w:top w:w="15" w:type="dxa"/>
            <w:left w:w="15" w:type="dxa"/>
            <w:bottom w:w="15" w:type="dxa"/>
            <w:right w:w="15" w:type="dxa"/>
          </w:tblCellMar>
        </w:tblPrEx>
        <w:trPr>
          <w:trHeight w:val="518" w:hRule="atLeast"/>
        </w:trPr>
        <w:tc>
          <w:tcPr>
            <w:tcW w:w="349" w:type="dxa"/>
            <w:tcBorders>
              <w:top w:val="single" w:color="000000" w:sz="4" w:space="0"/>
              <w:left w:val="single" w:color="000000" w:sz="4" w:space="0"/>
              <w:bottom w:val="single" w:color="000000" w:sz="4" w:space="0"/>
              <w:right w:val="single" w:color="000000" w:sz="4" w:space="0"/>
            </w:tcBorders>
            <w:vAlign w:val="center"/>
          </w:tcPr>
          <w:p w14:paraId="1CB1131B">
            <w:pPr>
              <w:jc w:val="center"/>
              <w:textAlignment w:val="center"/>
              <w:rPr>
                <w:rFonts w:ascii="宋体" w:hAnsi="宋体" w:cs="宋体"/>
                <w:b/>
                <w:sz w:val="20"/>
                <w:szCs w:val="20"/>
              </w:rPr>
            </w:pPr>
            <w:r>
              <w:rPr>
                <w:rFonts w:hint="eastAsia" w:ascii="宋体" w:hAnsi="宋体" w:cs="宋体"/>
                <w:b/>
                <w:kern w:val="0"/>
                <w:sz w:val="20"/>
                <w:szCs w:val="20"/>
                <w:lang w:bidi="ar"/>
              </w:rPr>
              <w:t>1</w:t>
            </w:r>
          </w:p>
        </w:tc>
        <w:tc>
          <w:tcPr>
            <w:tcW w:w="383" w:type="dxa"/>
            <w:tcBorders>
              <w:top w:val="single" w:color="000000" w:sz="4" w:space="0"/>
              <w:left w:val="single" w:color="000000" w:sz="4" w:space="0"/>
              <w:bottom w:val="single" w:color="000000" w:sz="4" w:space="0"/>
              <w:right w:val="single" w:color="000000" w:sz="4" w:space="0"/>
            </w:tcBorders>
            <w:vAlign w:val="center"/>
          </w:tcPr>
          <w:p w14:paraId="7D3BE06E">
            <w:pPr>
              <w:jc w:val="left"/>
              <w:rPr>
                <w:rFonts w:ascii="宋体" w:hAnsi="宋体" w:cs="宋体"/>
                <w:sz w:val="20"/>
                <w:szCs w:val="20"/>
              </w:rPr>
            </w:pPr>
          </w:p>
        </w:tc>
        <w:tc>
          <w:tcPr>
            <w:tcW w:w="583" w:type="dxa"/>
            <w:tcBorders>
              <w:top w:val="single" w:color="000000" w:sz="4" w:space="0"/>
              <w:left w:val="single" w:color="000000" w:sz="4" w:space="0"/>
              <w:bottom w:val="single" w:color="000000" w:sz="4" w:space="0"/>
              <w:right w:val="single" w:color="000000" w:sz="4" w:space="0"/>
            </w:tcBorders>
            <w:vAlign w:val="center"/>
          </w:tcPr>
          <w:p w14:paraId="5D822ABB">
            <w:pPr>
              <w:jc w:val="center"/>
              <w:rPr>
                <w:rFonts w:ascii="宋体" w:hAnsi="宋体" w:cs="宋体"/>
                <w:sz w:val="20"/>
                <w:szCs w:val="20"/>
              </w:rPr>
            </w:pPr>
          </w:p>
        </w:tc>
        <w:tc>
          <w:tcPr>
            <w:tcW w:w="884" w:type="dxa"/>
            <w:tcBorders>
              <w:top w:val="single" w:color="000000" w:sz="4" w:space="0"/>
              <w:left w:val="single" w:color="000000" w:sz="4" w:space="0"/>
              <w:bottom w:val="single" w:color="000000" w:sz="4" w:space="0"/>
              <w:right w:val="single" w:color="000000" w:sz="4" w:space="0"/>
            </w:tcBorders>
            <w:vAlign w:val="center"/>
          </w:tcPr>
          <w:p w14:paraId="273D252A">
            <w:pPr>
              <w:jc w:val="center"/>
              <w:rPr>
                <w:rFonts w:ascii="宋体" w:hAnsi="宋体" w:cs="宋体"/>
                <w:sz w:val="20"/>
                <w:szCs w:val="20"/>
              </w:rPr>
            </w:pPr>
          </w:p>
        </w:tc>
        <w:tc>
          <w:tcPr>
            <w:tcW w:w="778" w:type="dxa"/>
            <w:tcBorders>
              <w:top w:val="single" w:color="000000" w:sz="4" w:space="0"/>
              <w:left w:val="single" w:color="000000" w:sz="4" w:space="0"/>
              <w:bottom w:val="single" w:color="000000" w:sz="4" w:space="0"/>
              <w:right w:val="single" w:color="000000" w:sz="4" w:space="0"/>
            </w:tcBorders>
            <w:vAlign w:val="center"/>
          </w:tcPr>
          <w:p w14:paraId="374158ED">
            <w:pPr>
              <w:jc w:val="center"/>
              <w:rPr>
                <w:rFonts w:ascii="宋体" w:hAnsi="宋体" w:cs="宋体"/>
                <w:sz w:val="20"/>
                <w:szCs w:val="20"/>
              </w:rPr>
            </w:pPr>
          </w:p>
        </w:tc>
        <w:tc>
          <w:tcPr>
            <w:tcW w:w="1209" w:type="dxa"/>
            <w:tcBorders>
              <w:top w:val="single" w:color="000000" w:sz="4" w:space="0"/>
              <w:left w:val="single" w:color="000000" w:sz="4" w:space="0"/>
              <w:bottom w:val="single" w:color="000000" w:sz="4" w:space="0"/>
              <w:right w:val="single" w:color="000000" w:sz="4" w:space="0"/>
            </w:tcBorders>
          </w:tcPr>
          <w:p w14:paraId="65E84E8F">
            <w:pPr>
              <w:jc w:val="center"/>
              <w:rPr>
                <w:rFonts w:ascii="宋体" w:hAnsi="宋体" w:cs="宋体"/>
                <w:sz w:val="20"/>
                <w:szCs w:val="20"/>
              </w:rPr>
            </w:pPr>
          </w:p>
        </w:tc>
        <w:tc>
          <w:tcPr>
            <w:tcW w:w="1485" w:type="dxa"/>
            <w:tcBorders>
              <w:top w:val="single" w:color="000000" w:sz="4" w:space="0"/>
              <w:left w:val="single" w:color="000000" w:sz="4" w:space="0"/>
              <w:bottom w:val="single" w:color="000000" w:sz="4" w:space="0"/>
              <w:right w:val="single" w:color="000000" w:sz="4" w:space="0"/>
            </w:tcBorders>
            <w:vAlign w:val="center"/>
          </w:tcPr>
          <w:p w14:paraId="066C9885">
            <w:pPr>
              <w:jc w:val="center"/>
              <w:rPr>
                <w:rFonts w:ascii="宋体" w:hAnsi="宋体" w:cs="宋体"/>
                <w:sz w:val="20"/>
                <w:szCs w:val="20"/>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C814658">
            <w:pPr>
              <w:jc w:val="center"/>
              <w:rPr>
                <w:rFonts w:ascii="宋体" w:hAnsi="宋体" w:cs="宋体"/>
                <w:sz w:val="20"/>
                <w:szCs w:val="20"/>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65211D64">
            <w:pPr>
              <w:jc w:val="center"/>
              <w:rPr>
                <w:rFonts w:ascii="宋体" w:hAnsi="宋体" w:cs="宋体"/>
                <w:sz w:val="20"/>
                <w:szCs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02EAD70">
            <w:pPr>
              <w:jc w:val="center"/>
              <w:rPr>
                <w:rFonts w:ascii="宋体" w:hAnsi="宋体" w:cs="宋体"/>
                <w:sz w:val="20"/>
                <w:szCs w:val="20"/>
              </w:rPr>
            </w:pPr>
          </w:p>
        </w:tc>
      </w:tr>
    </w:tbl>
    <w:p w14:paraId="6DAA7294">
      <w:pPr>
        <w:pStyle w:val="2"/>
        <w:tabs>
          <w:tab w:val="clear" w:pos="567"/>
        </w:tabs>
        <w:spacing w:before="0" w:line="360" w:lineRule="auto"/>
        <w:ind w:left="-181" w:leftChars="-86" w:firstLine="607" w:firstLineChars="275"/>
        <w:rPr>
          <w:rFonts w:ascii="仿宋_GB2312" w:eastAsia="仿宋_GB2312" w:cs="仿宋_GB2312"/>
          <w:b/>
          <w:kern w:val="0"/>
          <w:sz w:val="22"/>
          <w:szCs w:val="22"/>
        </w:rPr>
      </w:pPr>
    </w:p>
    <w:p w14:paraId="0AFDFB9A">
      <w:pPr>
        <w:pStyle w:val="2"/>
        <w:tabs>
          <w:tab w:val="clear" w:pos="567"/>
        </w:tabs>
        <w:spacing w:before="0" w:line="360" w:lineRule="auto"/>
        <w:ind w:left="-181" w:leftChars="-86" w:firstLine="607" w:firstLineChars="275"/>
        <w:rPr>
          <w:rFonts w:ascii="宋体" w:hAnsi="宋体" w:cs="宋体"/>
          <w:b/>
          <w:sz w:val="24"/>
        </w:rPr>
      </w:pPr>
      <w:r>
        <w:rPr>
          <w:rFonts w:ascii="仿宋_GB2312" w:eastAsia="仿宋_GB2312" w:cs="仿宋_GB2312"/>
          <w:b/>
          <w:kern w:val="0"/>
          <w:sz w:val="22"/>
          <w:szCs w:val="22"/>
        </w:rPr>
        <w:t>注：按评审标准对上述内容评审，满足要求的在对应的框内打“√”，不满足要求的在对应的框内打“×”。对可以进入详评的投标人，在该投标人所对应的“是否通过评审“栏中打“√”。一项未提供，则不通过。</w:t>
      </w:r>
    </w:p>
    <w:p w14:paraId="753448B2">
      <w:pPr>
        <w:spacing w:line="360" w:lineRule="auto"/>
        <w:jc w:val="left"/>
        <w:rPr>
          <w:rFonts w:ascii="宋体" w:hAnsi="宋体" w:cs="宋体"/>
          <w:b/>
          <w:sz w:val="24"/>
        </w:rPr>
      </w:pPr>
      <w:r>
        <w:rPr>
          <w:rFonts w:hint="eastAsia" w:ascii="宋体" w:hAnsi="宋体" w:cs="宋体"/>
          <w:b/>
          <w:sz w:val="24"/>
        </w:rPr>
        <w:t>5.2符合性审查</w:t>
      </w:r>
    </w:p>
    <w:tbl>
      <w:tblPr>
        <w:tblStyle w:val="27"/>
        <w:tblpPr w:leftFromText="180" w:rightFromText="180" w:vertAnchor="text" w:horzAnchor="page" w:tblpXSpec="center" w:tblpY="262"/>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730"/>
        <w:gridCol w:w="1462"/>
      </w:tblGrid>
      <w:tr w14:paraId="5900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20" w:type="dxa"/>
            <w:gridSpan w:val="3"/>
            <w:noWrap/>
            <w:vAlign w:val="center"/>
          </w:tcPr>
          <w:p w14:paraId="5469C33F">
            <w:pPr>
              <w:pStyle w:val="6"/>
              <w:spacing w:line="300" w:lineRule="auto"/>
              <w:ind w:firstLine="0"/>
              <w:jc w:val="center"/>
              <w:rPr>
                <w:rFonts w:ascii="仿宋" w:hAnsi="仿宋" w:eastAsia="仿宋" w:cs="宋体"/>
                <w:b/>
                <w:szCs w:val="21"/>
              </w:rPr>
            </w:pPr>
            <w:r>
              <w:rPr>
                <w:rFonts w:hint="eastAsia" w:ascii="仿宋" w:hAnsi="仿宋" w:eastAsia="仿宋" w:cs="宋体"/>
                <w:b/>
                <w:bCs/>
                <w:kern w:val="0"/>
                <w:sz w:val="32"/>
                <w:szCs w:val="32"/>
              </w:rPr>
              <w:t>商务符合性审查表</w:t>
            </w:r>
          </w:p>
        </w:tc>
      </w:tr>
      <w:tr w14:paraId="0628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58" w:type="dxa"/>
            <w:gridSpan w:val="2"/>
            <w:noWrap/>
            <w:vAlign w:val="center"/>
          </w:tcPr>
          <w:p w14:paraId="639CA0BB">
            <w:pPr>
              <w:spacing w:line="300" w:lineRule="auto"/>
              <w:jc w:val="center"/>
              <w:rPr>
                <w:rFonts w:ascii="仿宋" w:hAnsi="仿宋" w:eastAsia="仿宋" w:cs="宋体"/>
                <w:spacing w:val="-2"/>
                <w:szCs w:val="21"/>
              </w:rPr>
            </w:pPr>
            <w:r>
              <w:rPr>
                <w:rFonts w:hint="eastAsia" w:ascii="仿宋" w:hAnsi="仿宋" w:eastAsia="仿宋" w:cs="宋体"/>
                <w:spacing w:val="-2"/>
                <w:szCs w:val="21"/>
              </w:rPr>
              <w:t>评审内容</w:t>
            </w:r>
          </w:p>
        </w:tc>
        <w:tc>
          <w:tcPr>
            <w:tcW w:w="1462" w:type="dxa"/>
            <w:noWrap/>
            <w:vAlign w:val="center"/>
          </w:tcPr>
          <w:p w14:paraId="541454EF">
            <w:pPr>
              <w:spacing w:line="300" w:lineRule="auto"/>
              <w:jc w:val="center"/>
              <w:rPr>
                <w:rFonts w:ascii="仿宋" w:hAnsi="仿宋" w:eastAsia="仿宋" w:cs="宋体"/>
                <w:spacing w:val="-2"/>
                <w:szCs w:val="21"/>
              </w:rPr>
            </w:pPr>
            <w:r>
              <w:rPr>
                <w:rFonts w:hint="eastAsia" w:ascii="仿宋" w:hAnsi="仿宋" w:eastAsia="仿宋" w:cs="宋体"/>
                <w:b/>
                <w:szCs w:val="21"/>
              </w:rPr>
              <w:t>评审意见</w:t>
            </w:r>
          </w:p>
        </w:tc>
      </w:tr>
      <w:tr w14:paraId="65F8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8" w:type="dxa"/>
            <w:noWrap/>
            <w:vAlign w:val="center"/>
          </w:tcPr>
          <w:p w14:paraId="73CDDA70">
            <w:pPr>
              <w:spacing w:line="300" w:lineRule="auto"/>
              <w:jc w:val="center"/>
              <w:rPr>
                <w:rFonts w:ascii="仿宋" w:hAnsi="仿宋" w:eastAsia="仿宋" w:cs="宋体"/>
                <w:szCs w:val="21"/>
              </w:rPr>
            </w:pPr>
            <w:r>
              <w:rPr>
                <w:rFonts w:hint="eastAsia" w:ascii="仿宋" w:hAnsi="仿宋" w:eastAsia="仿宋" w:cs="宋体"/>
                <w:szCs w:val="21"/>
              </w:rPr>
              <w:t>序号</w:t>
            </w:r>
          </w:p>
        </w:tc>
        <w:tc>
          <w:tcPr>
            <w:tcW w:w="6730" w:type="dxa"/>
            <w:noWrap/>
            <w:vAlign w:val="center"/>
          </w:tcPr>
          <w:p w14:paraId="045A9A0A">
            <w:pPr>
              <w:spacing w:line="300" w:lineRule="auto"/>
              <w:jc w:val="center"/>
              <w:rPr>
                <w:rFonts w:ascii="仿宋" w:hAnsi="仿宋" w:eastAsia="仿宋" w:cs="宋体"/>
                <w:spacing w:val="-2"/>
                <w:szCs w:val="21"/>
              </w:rPr>
            </w:pPr>
          </w:p>
        </w:tc>
        <w:tc>
          <w:tcPr>
            <w:tcW w:w="1462" w:type="dxa"/>
            <w:noWrap/>
            <w:vAlign w:val="center"/>
          </w:tcPr>
          <w:p w14:paraId="3C41939E">
            <w:pPr>
              <w:spacing w:line="300" w:lineRule="auto"/>
              <w:jc w:val="center"/>
              <w:rPr>
                <w:rFonts w:ascii="仿宋" w:hAnsi="仿宋" w:eastAsia="仿宋" w:cs="宋体"/>
                <w:spacing w:val="-2"/>
                <w:szCs w:val="21"/>
              </w:rPr>
            </w:pPr>
            <w:r>
              <w:rPr>
                <w:rFonts w:hint="eastAsia" w:ascii="仿宋" w:hAnsi="仿宋" w:eastAsia="仿宋" w:cs="宋体"/>
                <w:spacing w:val="-2"/>
                <w:szCs w:val="21"/>
              </w:rPr>
              <w:t>是否合格</w:t>
            </w:r>
          </w:p>
        </w:tc>
      </w:tr>
      <w:tr w14:paraId="51A7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47BEA3E3">
            <w:pPr>
              <w:spacing w:line="300" w:lineRule="auto"/>
              <w:jc w:val="center"/>
              <w:rPr>
                <w:rFonts w:ascii="仿宋" w:hAnsi="仿宋" w:eastAsia="仿宋" w:cs="宋体"/>
                <w:szCs w:val="21"/>
              </w:rPr>
            </w:pPr>
            <w:r>
              <w:rPr>
                <w:rFonts w:hint="eastAsia" w:ascii="仿宋" w:hAnsi="仿宋" w:eastAsia="仿宋" w:cs="宋体"/>
                <w:szCs w:val="21"/>
              </w:rPr>
              <w:t>1</w:t>
            </w:r>
          </w:p>
        </w:tc>
        <w:tc>
          <w:tcPr>
            <w:tcW w:w="6730" w:type="dxa"/>
            <w:noWrap/>
            <w:vAlign w:val="center"/>
          </w:tcPr>
          <w:p w14:paraId="6BCA4C51">
            <w:pPr>
              <w:spacing w:line="300" w:lineRule="auto"/>
              <w:jc w:val="left"/>
              <w:rPr>
                <w:rFonts w:hint="eastAsia" w:ascii="仿宋" w:hAnsi="仿宋" w:eastAsia="仿宋" w:cs="宋体"/>
                <w:szCs w:val="21"/>
                <w:lang w:eastAsia="zh-CN"/>
              </w:rPr>
            </w:pPr>
            <w:r>
              <w:rPr>
                <w:rFonts w:hint="eastAsia" w:ascii="仿宋" w:hAnsi="仿宋" w:eastAsia="仿宋" w:cs="宋体"/>
                <w:szCs w:val="21"/>
              </w:rPr>
              <w:t>投标报价不得高于预算金额</w:t>
            </w:r>
            <w:r>
              <w:rPr>
                <w:rFonts w:hint="eastAsia" w:ascii="仿宋" w:hAnsi="仿宋" w:eastAsia="仿宋" w:cs="宋体"/>
                <w:szCs w:val="21"/>
                <w:lang w:eastAsia="zh-CN"/>
              </w:rPr>
              <w:t>；</w:t>
            </w:r>
          </w:p>
        </w:tc>
        <w:tc>
          <w:tcPr>
            <w:tcW w:w="1462" w:type="dxa"/>
            <w:noWrap/>
            <w:vAlign w:val="center"/>
          </w:tcPr>
          <w:p w14:paraId="115269BD">
            <w:pPr>
              <w:spacing w:line="300" w:lineRule="auto"/>
              <w:rPr>
                <w:rFonts w:ascii="仿宋" w:hAnsi="仿宋" w:eastAsia="仿宋" w:cs="宋体"/>
                <w:spacing w:val="-2"/>
                <w:szCs w:val="21"/>
              </w:rPr>
            </w:pPr>
          </w:p>
        </w:tc>
      </w:tr>
      <w:tr w14:paraId="6E8E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0281FD7E">
            <w:pPr>
              <w:spacing w:line="300" w:lineRule="auto"/>
              <w:jc w:val="center"/>
              <w:rPr>
                <w:rFonts w:hint="eastAsia" w:ascii="仿宋" w:hAnsi="仿宋" w:eastAsia="仿宋" w:cs="宋体"/>
                <w:szCs w:val="21"/>
              </w:rPr>
            </w:pPr>
            <w:r>
              <w:rPr>
                <w:rFonts w:hint="eastAsia" w:ascii="仿宋" w:hAnsi="仿宋" w:eastAsia="仿宋" w:cs="宋体"/>
                <w:szCs w:val="21"/>
              </w:rPr>
              <w:t>2</w:t>
            </w:r>
          </w:p>
        </w:tc>
        <w:tc>
          <w:tcPr>
            <w:tcW w:w="6730" w:type="dxa"/>
            <w:noWrap/>
            <w:vAlign w:val="center"/>
          </w:tcPr>
          <w:p w14:paraId="33520B5B">
            <w:pPr>
              <w:spacing w:line="300" w:lineRule="auto"/>
              <w:jc w:val="left"/>
              <w:rPr>
                <w:rFonts w:hint="eastAsia" w:ascii="仿宋" w:hAnsi="仿宋" w:eastAsia="仿宋" w:cs="宋体"/>
                <w:szCs w:val="21"/>
              </w:rPr>
            </w:pPr>
            <w:r>
              <w:rPr>
                <w:rFonts w:hint="eastAsia" w:ascii="仿宋" w:hAnsi="仿宋" w:eastAsia="仿宋" w:cs="宋体"/>
                <w:szCs w:val="21"/>
              </w:rPr>
              <w:t>未投标人之间或者投标人与采购人串通投标的；</w:t>
            </w:r>
          </w:p>
        </w:tc>
        <w:tc>
          <w:tcPr>
            <w:tcW w:w="1462" w:type="dxa"/>
            <w:noWrap/>
            <w:vAlign w:val="center"/>
          </w:tcPr>
          <w:p w14:paraId="574930F9">
            <w:pPr>
              <w:spacing w:line="300" w:lineRule="auto"/>
              <w:rPr>
                <w:rFonts w:ascii="仿宋" w:hAnsi="仿宋" w:eastAsia="仿宋" w:cs="宋体"/>
                <w:spacing w:val="-2"/>
                <w:szCs w:val="21"/>
              </w:rPr>
            </w:pPr>
          </w:p>
        </w:tc>
      </w:tr>
      <w:tr w14:paraId="3F71A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0097EE3F">
            <w:pPr>
              <w:spacing w:line="300" w:lineRule="auto"/>
              <w:jc w:val="center"/>
              <w:rPr>
                <w:rFonts w:hint="eastAsia" w:ascii="仿宋" w:hAnsi="仿宋" w:eastAsia="仿宋" w:cs="宋体"/>
                <w:szCs w:val="21"/>
              </w:rPr>
            </w:pPr>
            <w:r>
              <w:rPr>
                <w:rFonts w:hint="eastAsia" w:ascii="仿宋" w:hAnsi="仿宋" w:eastAsia="仿宋" w:cs="宋体"/>
                <w:szCs w:val="21"/>
              </w:rPr>
              <w:t>3</w:t>
            </w:r>
          </w:p>
        </w:tc>
        <w:tc>
          <w:tcPr>
            <w:tcW w:w="6730" w:type="dxa"/>
            <w:noWrap/>
            <w:vAlign w:val="center"/>
          </w:tcPr>
          <w:p w14:paraId="1625AB36">
            <w:pPr>
              <w:spacing w:line="300" w:lineRule="auto"/>
              <w:jc w:val="left"/>
              <w:rPr>
                <w:rFonts w:hint="eastAsia" w:ascii="仿宋" w:hAnsi="仿宋" w:eastAsia="仿宋" w:cs="宋体"/>
                <w:szCs w:val="21"/>
              </w:rPr>
            </w:pPr>
            <w:r>
              <w:rPr>
                <w:rFonts w:hint="eastAsia" w:ascii="仿宋" w:hAnsi="仿宋" w:eastAsia="仿宋" w:cs="宋体"/>
                <w:szCs w:val="21"/>
              </w:rPr>
              <w:t>未以行贿手段谋取中标或者未以其他弄虚作假方式投标的；</w:t>
            </w:r>
          </w:p>
        </w:tc>
        <w:tc>
          <w:tcPr>
            <w:tcW w:w="1462" w:type="dxa"/>
            <w:noWrap/>
            <w:vAlign w:val="center"/>
          </w:tcPr>
          <w:p w14:paraId="46107AD4">
            <w:pPr>
              <w:spacing w:line="300" w:lineRule="auto"/>
              <w:rPr>
                <w:rFonts w:ascii="仿宋" w:hAnsi="仿宋" w:eastAsia="仿宋" w:cs="宋体"/>
                <w:szCs w:val="21"/>
              </w:rPr>
            </w:pPr>
          </w:p>
        </w:tc>
      </w:tr>
      <w:tr w14:paraId="259E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78D900DC">
            <w:pPr>
              <w:spacing w:line="300" w:lineRule="auto"/>
              <w:jc w:val="center"/>
              <w:rPr>
                <w:rFonts w:hint="eastAsia" w:ascii="仿宋" w:hAnsi="仿宋" w:eastAsia="仿宋" w:cs="宋体"/>
                <w:szCs w:val="21"/>
              </w:rPr>
            </w:pPr>
            <w:r>
              <w:rPr>
                <w:rFonts w:hint="eastAsia" w:ascii="仿宋" w:hAnsi="仿宋" w:eastAsia="仿宋" w:cs="宋体"/>
                <w:szCs w:val="21"/>
              </w:rPr>
              <w:t>4</w:t>
            </w:r>
          </w:p>
        </w:tc>
        <w:tc>
          <w:tcPr>
            <w:tcW w:w="6730" w:type="dxa"/>
            <w:noWrap/>
            <w:vAlign w:val="center"/>
          </w:tcPr>
          <w:p w14:paraId="11FBC424">
            <w:pPr>
              <w:spacing w:line="300" w:lineRule="auto"/>
              <w:jc w:val="left"/>
              <w:rPr>
                <w:rFonts w:hint="eastAsia" w:ascii="仿宋" w:hAnsi="仿宋" w:eastAsia="仿宋" w:cs="宋体"/>
                <w:szCs w:val="21"/>
              </w:rPr>
            </w:pPr>
            <w:r>
              <w:rPr>
                <w:rFonts w:hint="eastAsia" w:ascii="仿宋" w:hAnsi="仿宋" w:eastAsia="仿宋" w:cs="宋体"/>
                <w:szCs w:val="21"/>
              </w:rPr>
              <w:t>评标委员会共同确定没有实质上不响应招标文件要求的；</w:t>
            </w:r>
          </w:p>
        </w:tc>
        <w:tc>
          <w:tcPr>
            <w:tcW w:w="1462" w:type="dxa"/>
            <w:noWrap/>
            <w:vAlign w:val="center"/>
          </w:tcPr>
          <w:p w14:paraId="0DB03E7C">
            <w:pPr>
              <w:spacing w:line="300" w:lineRule="auto"/>
              <w:rPr>
                <w:rFonts w:ascii="仿宋" w:hAnsi="仿宋" w:eastAsia="仿宋" w:cs="宋体"/>
                <w:spacing w:val="-2"/>
                <w:szCs w:val="21"/>
              </w:rPr>
            </w:pPr>
          </w:p>
        </w:tc>
      </w:tr>
      <w:tr w14:paraId="7499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69E14205">
            <w:pPr>
              <w:spacing w:line="300" w:lineRule="auto"/>
              <w:jc w:val="center"/>
              <w:rPr>
                <w:rFonts w:hint="eastAsia" w:ascii="仿宋" w:hAnsi="仿宋" w:eastAsia="仿宋" w:cs="宋体"/>
                <w:szCs w:val="21"/>
              </w:rPr>
            </w:pPr>
            <w:r>
              <w:rPr>
                <w:rFonts w:hint="eastAsia" w:ascii="仿宋" w:hAnsi="仿宋" w:eastAsia="仿宋" w:cs="宋体"/>
                <w:szCs w:val="21"/>
              </w:rPr>
              <w:t>5</w:t>
            </w:r>
          </w:p>
        </w:tc>
        <w:tc>
          <w:tcPr>
            <w:tcW w:w="6730" w:type="dxa"/>
            <w:noWrap/>
            <w:vAlign w:val="center"/>
          </w:tcPr>
          <w:p w14:paraId="49AA811E">
            <w:pPr>
              <w:spacing w:line="300" w:lineRule="auto"/>
              <w:jc w:val="left"/>
              <w:rPr>
                <w:rFonts w:hint="eastAsia" w:ascii="仿宋" w:hAnsi="仿宋" w:eastAsia="仿宋" w:cs="宋体"/>
                <w:szCs w:val="21"/>
              </w:rPr>
            </w:pPr>
            <w:r>
              <w:rPr>
                <w:rFonts w:hint="eastAsia" w:ascii="仿宋" w:hAnsi="仿宋" w:eastAsia="仿宋" w:cs="宋体"/>
                <w:szCs w:val="21"/>
              </w:rPr>
              <w:t>投标文件有投标单位法定代表人或其授权代表签字（章）和加盖投标单位公章的；（投标文件正本的印章和签字不能为</w:t>
            </w:r>
            <w:r>
              <w:rPr>
                <w:rFonts w:hint="eastAsia" w:ascii="仿宋" w:hAnsi="仿宋" w:eastAsia="仿宋" w:cs="宋体"/>
                <w:szCs w:val="21"/>
                <w:lang w:eastAsia="zh-CN"/>
              </w:rPr>
              <w:t>复印</w:t>
            </w:r>
            <w:r>
              <w:rPr>
                <w:rFonts w:hint="eastAsia" w:ascii="仿宋" w:hAnsi="仿宋" w:eastAsia="仿宋" w:cs="宋体"/>
                <w:szCs w:val="21"/>
              </w:rPr>
              <w:t>件）；</w:t>
            </w:r>
          </w:p>
        </w:tc>
        <w:tc>
          <w:tcPr>
            <w:tcW w:w="1462" w:type="dxa"/>
            <w:noWrap/>
            <w:vAlign w:val="center"/>
          </w:tcPr>
          <w:p w14:paraId="79C9D329">
            <w:pPr>
              <w:spacing w:line="300" w:lineRule="auto"/>
              <w:rPr>
                <w:rFonts w:ascii="仿宋" w:hAnsi="仿宋" w:eastAsia="仿宋" w:cs="宋体"/>
                <w:spacing w:val="-2"/>
                <w:szCs w:val="21"/>
              </w:rPr>
            </w:pPr>
          </w:p>
        </w:tc>
      </w:tr>
      <w:tr w14:paraId="4E32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3BF9732C">
            <w:pPr>
              <w:spacing w:line="300" w:lineRule="auto"/>
              <w:jc w:val="center"/>
              <w:rPr>
                <w:rFonts w:hint="eastAsia" w:ascii="仿宋" w:hAnsi="仿宋" w:eastAsia="仿宋" w:cs="宋体"/>
                <w:szCs w:val="21"/>
              </w:rPr>
            </w:pPr>
            <w:r>
              <w:rPr>
                <w:rFonts w:hint="eastAsia" w:ascii="仿宋" w:hAnsi="仿宋" w:eastAsia="仿宋" w:cs="宋体"/>
                <w:szCs w:val="21"/>
              </w:rPr>
              <w:t>6</w:t>
            </w:r>
          </w:p>
        </w:tc>
        <w:tc>
          <w:tcPr>
            <w:tcW w:w="6730" w:type="dxa"/>
            <w:noWrap/>
            <w:vAlign w:val="center"/>
          </w:tcPr>
          <w:p w14:paraId="05EB8913">
            <w:pPr>
              <w:spacing w:line="300" w:lineRule="auto"/>
              <w:jc w:val="left"/>
              <w:rPr>
                <w:rFonts w:hint="eastAsia" w:ascii="仿宋" w:hAnsi="仿宋" w:eastAsia="仿宋" w:cs="宋体"/>
                <w:szCs w:val="21"/>
              </w:rPr>
            </w:pPr>
            <w:r>
              <w:rPr>
                <w:rFonts w:hint="eastAsia" w:ascii="仿宋" w:hAnsi="仿宋" w:eastAsia="仿宋" w:cs="宋体"/>
                <w:szCs w:val="21"/>
              </w:rPr>
              <w:t>投标的政府采购项目完成期限未超过招标文件规定期限的；</w:t>
            </w:r>
          </w:p>
        </w:tc>
        <w:tc>
          <w:tcPr>
            <w:tcW w:w="1462" w:type="dxa"/>
            <w:noWrap/>
            <w:vAlign w:val="center"/>
          </w:tcPr>
          <w:p w14:paraId="04406B83">
            <w:pPr>
              <w:spacing w:line="300" w:lineRule="auto"/>
              <w:rPr>
                <w:rFonts w:ascii="仿宋" w:hAnsi="仿宋" w:eastAsia="仿宋" w:cs="宋体"/>
                <w:spacing w:val="-2"/>
                <w:szCs w:val="21"/>
              </w:rPr>
            </w:pPr>
          </w:p>
        </w:tc>
      </w:tr>
      <w:tr w14:paraId="5AA7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8" w:type="dxa"/>
            <w:noWrap/>
            <w:vAlign w:val="center"/>
          </w:tcPr>
          <w:p w14:paraId="597243F6">
            <w:pPr>
              <w:spacing w:line="300" w:lineRule="auto"/>
              <w:jc w:val="center"/>
              <w:rPr>
                <w:rFonts w:hint="eastAsia" w:ascii="仿宋" w:hAnsi="仿宋" w:eastAsia="仿宋" w:cs="宋体"/>
                <w:szCs w:val="21"/>
              </w:rPr>
            </w:pPr>
            <w:r>
              <w:rPr>
                <w:rFonts w:hint="eastAsia" w:ascii="仿宋" w:hAnsi="仿宋" w:eastAsia="仿宋" w:cs="宋体"/>
                <w:szCs w:val="21"/>
              </w:rPr>
              <w:t>7</w:t>
            </w:r>
          </w:p>
        </w:tc>
        <w:tc>
          <w:tcPr>
            <w:tcW w:w="6730" w:type="dxa"/>
            <w:noWrap/>
            <w:vAlign w:val="center"/>
          </w:tcPr>
          <w:p w14:paraId="0DE97128">
            <w:pPr>
              <w:spacing w:line="300" w:lineRule="auto"/>
              <w:jc w:val="left"/>
              <w:rPr>
                <w:rFonts w:hint="eastAsia" w:ascii="仿宋" w:hAnsi="仿宋" w:eastAsia="仿宋" w:cs="宋体"/>
                <w:szCs w:val="21"/>
              </w:rPr>
            </w:pPr>
            <w:r>
              <w:rPr>
                <w:rFonts w:hint="eastAsia" w:ascii="仿宋" w:hAnsi="仿宋" w:eastAsia="仿宋" w:cs="宋体"/>
                <w:szCs w:val="21"/>
              </w:rPr>
              <w:t>投标文件未附有采购人不能接受条件的；</w:t>
            </w:r>
          </w:p>
        </w:tc>
        <w:tc>
          <w:tcPr>
            <w:tcW w:w="1462" w:type="dxa"/>
            <w:noWrap/>
            <w:vAlign w:val="center"/>
          </w:tcPr>
          <w:p w14:paraId="37110309">
            <w:pPr>
              <w:spacing w:line="300" w:lineRule="auto"/>
              <w:rPr>
                <w:rFonts w:ascii="仿宋" w:hAnsi="仿宋" w:eastAsia="仿宋" w:cs="宋体"/>
                <w:spacing w:val="-2"/>
                <w:szCs w:val="21"/>
              </w:rPr>
            </w:pPr>
          </w:p>
        </w:tc>
      </w:tr>
      <w:tr w14:paraId="356C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5D99A561">
            <w:pPr>
              <w:spacing w:line="300" w:lineRule="auto"/>
              <w:jc w:val="center"/>
              <w:rPr>
                <w:rFonts w:hint="eastAsia" w:ascii="仿宋" w:hAnsi="仿宋" w:eastAsia="仿宋" w:cs="宋体"/>
                <w:szCs w:val="21"/>
              </w:rPr>
            </w:pPr>
            <w:r>
              <w:rPr>
                <w:rFonts w:hint="eastAsia" w:ascii="仿宋" w:hAnsi="仿宋" w:eastAsia="仿宋" w:cs="宋体"/>
                <w:szCs w:val="21"/>
              </w:rPr>
              <w:t>8</w:t>
            </w:r>
          </w:p>
        </w:tc>
        <w:tc>
          <w:tcPr>
            <w:tcW w:w="6730" w:type="dxa"/>
            <w:noWrap/>
            <w:vAlign w:val="center"/>
          </w:tcPr>
          <w:p w14:paraId="18C36154">
            <w:pPr>
              <w:spacing w:line="300" w:lineRule="auto"/>
              <w:jc w:val="left"/>
              <w:rPr>
                <w:rFonts w:hint="eastAsia" w:ascii="仿宋" w:hAnsi="仿宋" w:eastAsia="仿宋" w:cs="宋体"/>
                <w:szCs w:val="21"/>
              </w:rPr>
            </w:pPr>
            <w:r>
              <w:rPr>
                <w:rFonts w:hint="eastAsia" w:ascii="仿宋" w:hAnsi="仿宋" w:eastAsia="仿宋" w:cs="宋体"/>
                <w:szCs w:val="21"/>
              </w:rPr>
              <w:t>满足招标文件实质性要求的其他情形；</w:t>
            </w:r>
          </w:p>
        </w:tc>
        <w:tc>
          <w:tcPr>
            <w:tcW w:w="1462" w:type="dxa"/>
            <w:noWrap/>
            <w:vAlign w:val="center"/>
          </w:tcPr>
          <w:p w14:paraId="5675F2C1">
            <w:pPr>
              <w:spacing w:line="300" w:lineRule="auto"/>
              <w:rPr>
                <w:rFonts w:ascii="仿宋" w:hAnsi="仿宋" w:eastAsia="仿宋" w:cs="宋体"/>
                <w:szCs w:val="21"/>
              </w:rPr>
            </w:pPr>
          </w:p>
        </w:tc>
      </w:tr>
      <w:tr w14:paraId="2008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17BCF0A5">
            <w:pPr>
              <w:spacing w:line="300" w:lineRule="auto"/>
              <w:jc w:val="center"/>
              <w:rPr>
                <w:rFonts w:hint="eastAsia" w:ascii="仿宋" w:hAnsi="仿宋" w:eastAsia="仿宋" w:cs="宋体"/>
                <w:szCs w:val="21"/>
                <w:lang w:val="en-US" w:eastAsia="zh-CN"/>
              </w:rPr>
            </w:pPr>
            <w:r>
              <w:rPr>
                <w:rFonts w:hint="eastAsia" w:ascii="仿宋" w:hAnsi="仿宋" w:eastAsia="仿宋" w:cs="宋体"/>
                <w:szCs w:val="21"/>
                <w:lang w:val="en-US" w:eastAsia="zh-CN"/>
              </w:rPr>
              <w:t>9</w:t>
            </w:r>
          </w:p>
        </w:tc>
        <w:tc>
          <w:tcPr>
            <w:tcW w:w="6730" w:type="dxa"/>
            <w:noWrap/>
            <w:vAlign w:val="center"/>
          </w:tcPr>
          <w:p w14:paraId="039198C5">
            <w:pPr>
              <w:spacing w:line="300" w:lineRule="auto"/>
              <w:jc w:val="left"/>
              <w:rPr>
                <w:rFonts w:hint="eastAsia" w:ascii="仿宋" w:hAnsi="仿宋" w:eastAsia="仿宋" w:cs="宋体"/>
                <w:szCs w:val="21"/>
              </w:rPr>
            </w:pPr>
            <w:r>
              <w:rPr>
                <w:rFonts w:hint="eastAsia" w:ascii="仿宋" w:hAnsi="仿宋" w:eastAsia="仿宋" w:cs="宋体"/>
                <w:szCs w:val="21"/>
              </w:rPr>
              <w:t>本项目不接受联合体投标</w:t>
            </w:r>
          </w:p>
        </w:tc>
        <w:tc>
          <w:tcPr>
            <w:tcW w:w="1462" w:type="dxa"/>
            <w:noWrap/>
            <w:vAlign w:val="center"/>
          </w:tcPr>
          <w:p w14:paraId="7ABCFBAF">
            <w:pPr>
              <w:spacing w:line="300" w:lineRule="auto"/>
              <w:rPr>
                <w:rFonts w:ascii="仿宋" w:hAnsi="仿宋" w:eastAsia="仿宋" w:cs="宋体"/>
                <w:szCs w:val="21"/>
              </w:rPr>
            </w:pPr>
          </w:p>
        </w:tc>
      </w:tr>
      <w:tr w14:paraId="7882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324EB654">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10</w:t>
            </w:r>
          </w:p>
        </w:tc>
        <w:tc>
          <w:tcPr>
            <w:tcW w:w="6730" w:type="dxa"/>
            <w:noWrap/>
            <w:vAlign w:val="center"/>
          </w:tcPr>
          <w:p w14:paraId="5EE34CCB">
            <w:pPr>
              <w:spacing w:line="300" w:lineRule="auto"/>
              <w:jc w:val="left"/>
              <w:rPr>
                <w:rFonts w:hint="eastAsia" w:ascii="仿宋" w:hAnsi="仿宋" w:eastAsia="仿宋" w:cs="宋体"/>
                <w:szCs w:val="21"/>
              </w:rPr>
            </w:pPr>
            <w:r>
              <w:rPr>
                <w:rFonts w:hint="eastAsia" w:ascii="仿宋" w:hAnsi="仿宋" w:eastAsia="仿宋" w:cs="宋体"/>
                <w:szCs w:val="21"/>
              </w:rPr>
              <w:t>在同一标包内，单位负责人非同一人或者不存在直接控股、管理关系的不同供应商</w:t>
            </w:r>
          </w:p>
        </w:tc>
        <w:tc>
          <w:tcPr>
            <w:tcW w:w="1462" w:type="dxa"/>
            <w:noWrap/>
            <w:vAlign w:val="center"/>
          </w:tcPr>
          <w:p w14:paraId="5B32F701">
            <w:pPr>
              <w:spacing w:line="300" w:lineRule="auto"/>
              <w:rPr>
                <w:rFonts w:ascii="仿宋" w:hAnsi="仿宋" w:eastAsia="仿宋" w:cs="宋体"/>
                <w:szCs w:val="21"/>
              </w:rPr>
            </w:pPr>
          </w:p>
        </w:tc>
      </w:tr>
      <w:tr w14:paraId="6547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8" w:type="dxa"/>
            <w:noWrap/>
            <w:vAlign w:val="center"/>
          </w:tcPr>
          <w:p w14:paraId="715EEE21">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11</w:t>
            </w:r>
          </w:p>
        </w:tc>
        <w:tc>
          <w:tcPr>
            <w:tcW w:w="6730" w:type="dxa"/>
            <w:noWrap/>
            <w:vAlign w:val="center"/>
          </w:tcPr>
          <w:p w14:paraId="003C453F">
            <w:pPr>
              <w:spacing w:line="300" w:lineRule="auto"/>
              <w:jc w:val="left"/>
              <w:rPr>
                <w:rFonts w:hint="eastAsia" w:ascii="仿宋" w:hAnsi="仿宋" w:eastAsia="仿宋" w:cs="宋体"/>
                <w:szCs w:val="21"/>
              </w:rPr>
            </w:pPr>
            <w:r>
              <w:rPr>
                <w:rFonts w:hint="eastAsia" w:ascii="仿宋" w:hAnsi="仿宋" w:eastAsia="仿宋" w:cs="宋体"/>
                <w:szCs w:val="21"/>
              </w:rPr>
              <w:t>投标人在投标过程中未向采购人提供、给予任何有价值的物品，影响其正常决策行为</w:t>
            </w:r>
          </w:p>
        </w:tc>
        <w:tc>
          <w:tcPr>
            <w:tcW w:w="1462" w:type="dxa"/>
            <w:noWrap/>
            <w:vAlign w:val="center"/>
          </w:tcPr>
          <w:p w14:paraId="3628D598">
            <w:pPr>
              <w:spacing w:line="300" w:lineRule="auto"/>
              <w:rPr>
                <w:rFonts w:ascii="仿宋" w:hAnsi="仿宋" w:eastAsia="仿宋" w:cs="宋体"/>
                <w:szCs w:val="21"/>
              </w:rPr>
            </w:pPr>
          </w:p>
        </w:tc>
      </w:tr>
      <w:tr w14:paraId="1CD4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676AFD71">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12</w:t>
            </w:r>
          </w:p>
        </w:tc>
        <w:tc>
          <w:tcPr>
            <w:tcW w:w="6730" w:type="dxa"/>
            <w:noWrap/>
            <w:vAlign w:val="center"/>
          </w:tcPr>
          <w:p w14:paraId="7ADD58BF">
            <w:pPr>
              <w:spacing w:line="300" w:lineRule="auto"/>
              <w:jc w:val="left"/>
              <w:rPr>
                <w:rFonts w:hint="eastAsia" w:ascii="仿宋" w:hAnsi="仿宋" w:eastAsia="仿宋" w:cs="宋体"/>
                <w:szCs w:val="21"/>
              </w:rPr>
            </w:pPr>
            <w:r>
              <w:rPr>
                <w:rFonts w:hint="eastAsia" w:ascii="仿宋" w:hAnsi="仿宋" w:eastAsia="仿宋" w:cs="宋体"/>
                <w:szCs w:val="21"/>
              </w:rPr>
              <w:t>投标人对所投分包招标文件中所列的所有服务内容进行投标</w:t>
            </w:r>
          </w:p>
        </w:tc>
        <w:tc>
          <w:tcPr>
            <w:tcW w:w="1462" w:type="dxa"/>
            <w:noWrap/>
            <w:vAlign w:val="center"/>
          </w:tcPr>
          <w:p w14:paraId="07B49BB5">
            <w:pPr>
              <w:spacing w:line="300" w:lineRule="auto"/>
              <w:rPr>
                <w:rFonts w:ascii="仿宋" w:hAnsi="仿宋" w:eastAsia="仿宋" w:cs="宋体"/>
                <w:szCs w:val="21"/>
              </w:rPr>
            </w:pPr>
          </w:p>
        </w:tc>
      </w:tr>
      <w:tr w14:paraId="163C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5A6D0703">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13</w:t>
            </w:r>
          </w:p>
        </w:tc>
        <w:tc>
          <w:tcPr>
            <w:tcW w:w="6730" w:type="dxa"/>
            <w:noWrap/>
            <w:vAlign w:val="center"/>
          </w:tcPr>
          <w:p w14:paraId="4E097A13">
            <w:pPr>
              <w:spacing w:line="300" w:lineRule="auto"/>
              <w:jc w:val="left"/>
              <w:rPr>
                <w:rFonts w:hint="eastAsia" w:ascii="仿宋" w:hAnsi="仿宋" w:eastAsia="仿宋" w:cs="宋体"/>
                <w:szCs w:val="21"/>
              </w:rPr>
            </w:pPr>
            <w:r>
              <w:rPr>
                <w:rFonts w:hint="eastAsia" w:ascii="仿宋" w:hAnsi="仿宋" w:eastAsia="仿宋" w:cs="宋体"/>
                <w:szCs w:val="21"/>
              </w:rPr>
              <w:t>投标人所报的各分项投标报价在合同履行过程中是固定不变的，不得以任何理由予以变更。</w:t>
            </w:r>
          </w:p>
        </w:tc>
        <w:tc>
          <w:tcPr>
            <w:tcW w:w="1462" w:type="dxa"/>
            <w:noWrap/>
            <w:vAlign w:val="center"/>
          </w:tcPr>
          <w:p w14:paraId="7035EECA">
            <w:pPr>
              <w:spacing w:line="300" w:lineRule="auto"/>
              <w:rPr>
                <w:rFonts w:ascii="仿宋" w:hAnsi="仿宋" w:eastAsia="仿宋" w:cs="宋体"/>
                <w:szCs w:val="21"/>
              </w:rPr>
            </w:pPr>
          </w:p>
        </w:tc>
      </w:tr>
      <w:tr w14:paraId="6B23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224C7DF8">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14</w:t>
            </w:r>
          </w:p>
        </w:tc>
        <w:tc>
          <w:tcPr>
            <w:tcW w:w="6730" w:type="dxa"/>
            <w:noWrap/>
            <w:vAlign w:val="center"/>
          </w:tcPr>
          <w:p w14:paraId="409A3D32">
            <w:pPr>
              <w:spacing w:line="300" w:lineRule="auto"/>
              <w:jc w:val="left"/>
              <w:rPr>
                <w:rFonts w:hint="eastAsia" w:ascii="仿宋" w:hAnsi="仿宋" w:eastAsia="仿宋" w:cs="宋体"/>
                <w:szCs w:val="21"/>
              </w:rPr>
            </w:pPr>
            <w:r>
              <w:rPr>
                <w:rFonts w:hint="eastAsia" w:ascii="仿宋" w:hAnsi="仿宋" w:eastAsia="仿宋" w:cs="宋体"/>
                <w:szCs w:val="21"/>
              </w:rPr>
              <w:t>自提交投标文件截止之日起90日历日内</w:t>
            </w:r>
          </w:p>
        </w:tc>
        <w:tc>
          <w:tcPr>
            <w:tcW w:w="1462" w:type="dxa"/>
            <w:noWrap/>
            <w:vAlign w:val="center"/>
          </w:tcPr>
          <w:p w14:paraId="7BDF913A">
            <w:pPr>
              <w:spacing w:line="300" w:lineRule="auto"/>
              <w:rPr>
                <w:rFonts w:ascii="仿宋" w:hAnsi="仿宋" w:eastAsia="仿宋" w:cs="宋体"/>
                <w:szCs w:val="21"/>
              </w:rPr>
            </w:pPr>
          </w:p>
        </w:tc>
      </w:tr>
      <w:tr w14:paraId="62A3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4E308224">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15</w:t>
            </w:r>
          </w:p>
        </w:tc>
        <w:tc>
          <w:tcPr>
            <w:tcW w:w="6730" w:type="dxa"/>
            <w:noWrap/>
            <w:vAlign w:val="center"/>
          </w:tcPr>
          <w:p w14:paraId="1DAD7F54">
            <w:pPr>
              <w:spacing w:line="300" w:lineRule="auto"/>
              <w:jc w:val="left"/>
              <w:rPr>
                <w:rFonts w:hint="eastAsia" w:ascii="仿宋" w:hAnsi="仿宋" w:eastAsia="仿宋" w:cs="宋体"/>
                <w:szCs w:val="21"/>
              </w:rPr>
            </w:pPr>
            <w:r>
              <w:rPr>
                <w:rFonts w:hint="eastAsia" w:ascii="仿宋" w:hAnsi="仿宋" w:eastAsia="仿宋" w:cs="宋体"/>
                <w:szCs w:val="21"/>
              </w:rPr>
              <w:t>投标文件报价出现前后不一致的，应按照招标文件规定的顺序修正</w:t>
            </w:r>
          </w:p>
        </w:tc>
        <w:tc>
          <w:tcPr>
            <w:tcW w:w="1462" w:type="dxa"/>
            <w:noWrap/>
            <w:vAlign w:val="center"/>
          </w:tcPr>
          <w:p w14:paraId="4D650341">
            <w:pPr>
              <w:spacing w:line="300" w:lineRule="auto"/>
              <w:rPr>
                <w:rFonts w:ascii="仿宋" w:hAnsi="仿宋" w:eastAsia="仿宋" w:cs="宋体"/>
                <w:szCs w:val="21"/>
              </w:rPr>
            </w:pPr>
          </w:p>
        </w:tc>
      </w:tr>
      <w:tr w14:paraId="7A4C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8" w:type="dxa"/>
            <w:noWrap/>
            <w:vAlign w:val="center"/>
          </w:tcPr>
          <w:p w14:paraId="02F30E5C">
            <w:pPr>
              <w:spacing w:line="300" w:lineRule="auto"/>
              <w:jc w:val="center"/>
              <w:rPr>
                <w:rFonts w:hint="default" w:ascii="仿宋" w:hAnsi="仿宋" w:eastAsia="仿宋" w:cs="宋体"/>
                <w:szCs w:val="21"/>
                <w:lang w:val="en-US" w:eastAsia="zh-CN"/>
              </w:rPr>
            </w:pPr>
            <w:r>
              <w:rPr>
                <w:rFonts w:hint="eastAsia" w:ascii="仿宋" w:hAnsi="仿宋" w:eastAsia="仿宋" w:cs="宋体"/>
                <w:szCs w:val="21"/>
                <w:lang w:val="en-US" w:eastAsia="zh-CN"/>
              </w:rPr>
              <w:t>16</w:t>
            </w:r>
          </w:p>
        </w:tc>
        <w:tc>
          <w:tcPr>
            <w:tcW w:w="6730" w:type="dxa"/>
            <w:noWrap/>
            <w:vAlign w:val="center"/>
          </w:tcPr>
          <w:p w14:paraId="44F33908">
            <w:pPr>
              <w:spacing w:line="300" w:lineRule="auto"/>
              <w:jc w:val="left"/>
              <w:rPr>
                <w:rFonts w:hint="eastAsia" w:ascii="仿宋" w:hAnsi="仿宋" w:eastAsia="仿宋" w:cs="宋体"/>
                <w:szCs w:val="21"/>
              </w:rPr>
            </w:pPr>
            <w:r>
              <w:rPr>
                <w:rFonts w:hint="eastAsia" w:ascii="仿宋" w:hAnsi="仿宋" w:eastAsia="仿宋" w:cs="宋体"/>
                <w:szCs w:val="21"/>
              </w:rPr>
              <w:t>投标人的报价明显低于其他通过符合性审查投标人的报价，有可能影响履约的，投标人能按照规定证明其报价合理性。</w:t>
            </w:r>
          </w:p>
        </w:tc>
        <w:tc>
          <w:tcPr>
            <w:tcW w:w="1462" w:type="dxa"/>
            <w:noWrap/>
            <w:vAlign w:val="center"/>
          </w:tcPr>
          <w:p w14:paraId="692B0E1B">
            <w:pPr>
              <w:spacing w:line="300" w:lineRule="auto"/>
              <w:rPr>
                <w:rFonts w:ascii="仿宋" w:hAnsi="仿宋" w:eastAsia="仿宋" w:cs="宋体"/>
                <w:szCs w:val="21"/>
              </w:rPr>
            </w:pPr>
          </w:p>
        </w:tc>
      </w:tr>
      <w:tr w14:paraId="1913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58" w:type="dxa"/>
            <w:gridSpan w:val="2"/>
            <w:noWrap/>
            <w:vAlign w:val="center"/>
          </w:tcPr>
          <w:p w14:paraId="446391FB">
            <w:pPr>
              <w:spacing w:line="300" w:lineRule="auto"/>
              <w:ind w:firstLine="370" w:firstLineChars="180"/>
              <w:rPr>
                <w:rFonts w:ascii="仿宋" w:hAnsi="仿宋" w:eastAsia="仿宋" w:cs="宋体"/>
                <w:spacing w:val="-2"/>
                <w:szCs w:val="21"/>
              </w:rPr>
            </w:pPr>
            <w:r>
              <w:rPr>
                <w:rFonts w:hint="eastAsia" w:ascii="仿宋" w:hAnsi="仿宋" w:eastAsia="仿宋" w:cs="宋体"/>
                <w:spacing w:val="-2"/>
                <w:szCs w:val="21"/>
              </w:rPr>
              <w:t>结论：通过评审打“√”，未通过评审打“×”</w:t>
            </w:r>
          </w:p>
        </w:tc>
        <w:tc>
          <w:tcPr>
            <w:tcW w:w="1462" w:type="dxa"/>
            <w:noWrap/>
            <w:vAlign w:val="center"/>
          </w:tcPr>
          <w:p w14:paraId="265770A6">
            <w:pPr>
              <w:spacing w:line="300" w:lineRule="auto"/>
              <w:ind w:firstLine="370" w:firstLineChars="180"/>
              <w:rPr>
                <w:rFonts w:ascii="仿宋" w:hAnsi="仿宋" w:eastAsia="仿宋" w:cs="宋体"/>
                <w:spacing w:val="-2"/>
                <w:szCs w:val="21"/>
              </w:rPr>
            </w:pPr>
          </w:p>
        </w:tc>
      </w:tr>
    </w:tbl>
    <w:p w14:paraId="136B956B">
      <w:pPr>
        <w:spacing w:line="300" w:lineRule="auto"/>
        <w:ind w:left="60"/>
        <w:rPr>
          <w:rFonts w:ascii="仿宋" w:hAnsi="仿宋" w:eastAsia="仿宋" w:cs="宋体"/>
          <w:szCs w:val="21"/>
        </w:rPr>
      </w:pPr>
      <w:r>
        <w:rPr>
          <w:rFonts w:hint="eastAsia" w:ascii="仿宋" w:hAnsi="仿宋" w:eastAsia="仿宋" w:cs="宋体"/>
          <w:szCs w:val="21"/>
        </w:rPr>
        <w:t>说明：</w:t>
      </w:r>
    </w:p>
    <w:p w14:paraId="33F0FD97">
      <w:pPr>
        <w:numPr>
          <w:ilvl w:val="1"/>
          <w:numId w:val="12"/>
        </w:numPr>
        <w:spacing w:line="300" w:lineRule="auto"/>
        <w:rPr>
          <w:rFonts w:ascii="仿宋" w:hAnsi="仿宋" w:eastAsia="仿宋" w:cs="宋体"/>
          <w:szCs w:val="21"/>
        </w:rPr>
      </w:pPr>
      <w:r>
        <w:rPr>
          <w:rFonts w:hint="eastAsia" w:ascii="仿宋" w:hAnsi="仿宋" w:eastAsia="仿宋" w:cs="宋体"/>
          <w:szCs w:val="21"/>
        </w:rPr>
        <w:t>上述各项中用“√”表示通过，“×”表示不通过；</w:t>
      </w:r>
    </w:p>
    <w:p w14:paraId="510B2C95">
      <w:pPr>
        <w:numPr>
          <w:ilvl w:val="1"/>
          <w:numId w:val="12"/>
        </w:numPr>
        <w:spacing w:line="300" w:lineRule="auto"/>
        <w:rPr>
          <w:rFonts w:ascii="仿宋" w:hAnsi="仿宋" w:eastAsia="仿宋" w:cs="宋体"/>
          <w:szCs w:val="21"/>
        </w:rPr>
      </w:pPr>
      <w:r>
        <w:rPr>
          <w:rFonts w:hint="eastAsia" w:ascii="仿宋" w:hAnsi="仿宋" w:eastAsia="仿宋" w:cs="宋体"/>
          <w:szCs w:val="21"/>
        </w:rPr>
        <w:t>上述各项中如有一项为“×”，则结论为“×”，表示该投标文件中存在重大偏差，不能通过初步评审；评委对某一分项评审认为不合格时，必须要写明原因。</w:t>
      </w:r>
    </w:p>
    <w:p w14:paraId="4A887871">
      <w:pPr>
        <w:numPr>
          <w:ilvl w:val="1"/>
          <w:numId w:val="12"/>
        </w:numPr>
        <w:spacing w:line="300" w:lineRule="auto"/>
        <w:rPr>
          <w:rFonts w:ascii="仿宋" w:hAnsi="仿宋" w:eastAsia="仿宋" w:cs="宋体"/>
          <w:szCs w:val="21"/>
        </w:rPr>
      </w:pPr>
      <w:r>
        <w:rPr>
          <w:rFonts w:hint="eastAsia" w:ascii="仿宋" w:hAnsi="仿宋" w:eastAsia="仿宋" w:cs="宋体"/>
          <w:szCs w:val="21"/>
        </w:rPr>
        <w:t>投标文件最终合格与否，以所有评委的评审意见中少数服从多数为原则定论。</w:t>
      </w:r>
    </w:p>
    <w:p w14:paraId="716DEAC2">
      <w:pPr>
        <w:spacing w:line="300" w:lineRule="auto"/>
        <w:rPr>
          <w:rFonts w:ascii="仿宋" w:hAnsi="仿宋" w:eastAsia="仿宋" w:cs="宋体"/>
          <w:szCs w:val="21"/>
        </w:rPr>
      </w:pPr>
    </w:p>
    <w:p w14:paraId="3AE6B807">
      <w:pPr>
        <w:spacing w:line="300" w:lineRule="auto"/>
        <w:rPr>
          <w:rFonts w:ascii="仿宋" w:hAnsi="仿宋" w:eastAsia="仿宋" w:cs="宋体"/>
          <w:b/>
          <w:bCs/>
          <w:sz w:val="28"/>
          <w:szCs w:val="28"/>
        </w:rPr>
      </w:pPr>
      <w:r>
        <w:rPr>
          <w:rFonts w:hint="eastAsia" w:ascii="仿宋" w:hAnsi="仿宋" w:eastAsia="仿宋" w:cs="宋体"/>
          <w:b/>
          <w:bCs/>
          <w:sz w:val="28"/>
          <w:szCs w:val="28"/>
        </w:rPr>
        <w:t>注：如果投标文件中有一项未通过上述审查标准，评标委员会将认定整个投标文件未响应招标文件而予以废标处理。</w:t>
      </w:r>
    </w:p>
    <w:p w14:paraId="3B65B750">
      <w:pPr>
        <w:pStyle w:val="26"/>
        <w:ind w:firstLine="240"/>
        <w:rPr>
          <w:rFonts w:hint="default"/>
        </w:rPr>
      </w:pPr>
    </w:p>
    <w:p w14:paraId="7015B3CF"/>
    <w:p w14:paraId="3F0EAA9B">
      <w:pPr>
        <w:pStyle w:val="7"/>
      </w:pPr>
    </w:p>
    <w:p w14:paraId="270E8A8D"/>
    <w:p w14:paraId="4B48EB82">
      <w:pPr>
        <w:rPr>
          <w:rFonts w:ascii="仿宋_GB2312" w:hAnsi="仿宋_GB2312" w:eastAsia="仿宋_GB2312" w:cs="仿宋_GB2312"/>
          <w:iCs/>
        </w:rPr>
      </w:pPr>
      <w:r>
        <w:br w:type="page"/>
      </w:r>
    </w:p>
    <w:p w14:paraId="693CB7D5">
      <w:pPr>
        <w:pStyle w:val="2"/>
        <w:tabs>
          <w:tab w:val="clear" w:pos="567"/>
        </w:tabs>
        <w:spacing w:before="0" w:line="360" w:lineRule="auto"/>
        <w:ind w:firstLine="480" w:firstLineChars="200"/>
        <w:rPr>
          <w:rFonts w:ascii="仿宋_GB2312" w:hAnsi="仿宋_GB2312" w:eastAsia="仿宋_GB2312" w:cs="仿宋_GB2312"/>
          <w:iCs/>
        </w:rPr>
      </w:pPr>
      <w:r>
        <w:rPr>
          <w:rFonts w:hint="eastAsia" w:ascii="仿宋_GB2312" w:hAnsi="仿宋_GB2312" w:eastAsia="仿宋_GB2312" w:cs="仿宋_GB2312"/>
          <w:iCs/>
        </w:rPr>
        <w:t>评委根据投标单位投标文件的符合性进行审查，符合要求的打“√”，不符合要求的打“×”，一项不符合要求，则评审结论为不通过。</w:t>
      </w:r>
    </w:p>
    <w:p w14:paraId="5ACAA674">
      <w:pPr>
        <w:pStyle w:val="2"/>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3.3.2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258EED08">
      <w:pPr>
        <w:pStyle w:val="2"/>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3.3.3投标文件正本、副本以骑缝章的形式代替投标文件内容逐页盖章的（但是骑缝章模糊不清，印章名称无法辨认的除外）本项目不作为实质性要求进行规定，即不作为符合性审查事项，不得作为无效投标处理：</w:t>
      </w:r>
    </w:p>
    <w:p w14:paraId="129ABA07">
      <w:pPr>
        <w:pStyle w:val="2"/>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3.3.4投标人有下列情形之一的,评标委员会认定为投标人串通投标，其投标无效，书面报告财政部门：</w:t>
      </w:r>
    </w:p>
    <w:p w14:paraId="5789BAA8">
      <w:pPr>
        <w:pStyle w:val="2"/>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（1）不同投标人的投标文件由同一单位或者个人编制；</w:t>
      </w:r>
    </w:p>
    <w:p w14:paraId="2505A6EE">
      <w:pPr>
        <w:pStyle w:val="2"/>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（2）不同投标人委托同一单位或者个人办理投标事宜；</w:t>
      </w:r>
    </w:p>
    <w:p w14:paraId="66C4C5FA">
      <w:pPr>
        <w:pStyle w:val="2"/>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（3）不同投标人的投标文件载明的项目管理成员或者联系人员为同一人；</w:t>
      </w:r>
    </w:p>
    <w:p w14:paraId="77CB5888">
      <w:pPr>
        <w:pStyle w:val="2"/>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（4）不同投标人的投标文件异常一致或者投标报价呈规律性差异；</w:t>
      </w:r>
    </w:p>
    <w:p w14:paraId="237ADD91">
      <w:pPr>
        <w:pStyle w:val="2"/>
        <w:tabs>
          <w:tab w:val="clear" w:pos="567"/>
        </w:tabs>
        <w:spacing w:before="0" w:line="360" w:lineRule="auto"/>
        <w:ind w:firstLine="240" w:firstLineChars="100"/>
        <w:rPr>
          <w:rFonts w:ascii="仿宋_GB2312" w:hAnsi="仿宋_GB2312" w:eastAsia="仿宋_GB2312" w:cs="仿宋_GB2312"/>
          <w:iCs/>
        </w:rPr>
      </w:pPr>
      <w:r>
        <w:rPr>
          <w:rFonts w:hint="eastAsia" w:ascii="仿宋_GB2312" w:hAnsi="仿宋_GB2312" w:eastAsia="仿宋_GB2312" w:cs="仿宋_GB2312"/>
          <w:iCs/>
        </w:rPr>
        <w:t>（5）不同投标人的投标文件相互混装；</w:t>
      </w:r>
    </w:p>
    <w:p w14:paraId="241535AB">
      <w:pPr>
        <w:pStyle w:val="2"/>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3.4比较与评价。按招标文件中规定的评标方法和标准，对未作无效投标处理的投标文件进行技术、服务、商务等方面评估，综合比较与评价。</w:t>
      </w:r>
    </w:p>
    <w:p w14:paraId="7DF7927A">
      <w:pPr>
        <w:pStyle w:val="2"/>
        <w:tabs>
          <w:tab w:val="clear" w:pos="567"/>
        </w:tabs>
        <w:spacing w:before="0" w:line="360" w:lineRule="auto"/>
        <w:ind w:left="-181" w:leftChars="-86" w:firstLine="660" w:firstLineChars="275"/>
        <w:rPr>
          <w:rFonts w:ascii="仿宋_GB2312" w:hAnsi="仿宋_GB2312" w:eastAsia="仿宋_GB2312" w:cs="仿宋_GB2312"/>
          <w:iCs/>
        </w:rPr>
      </w:pPr>
      <w:r>
        <w:rPr>
          <w:rFonts w:hint="eastAsia" w:ascii="仿宋_GB2312" w:hAnsi="仿宋_GB2312" w:eastAsia="仿宋_GB2312" w:cs="仿宋_GB2312"/>
          <w:iCs/>
        </w:rPr>
        <w:t>3.4.1评标委员会首先按照招标文件要求对投标文件中的投标人资格、投标人资格证明文件、重要技术指标以及技术和商务上要求的其它重要内容进行审核，审核合格后即视为实质性响应的投标文件，除考虑投标价格外，还应考虑以下因素：投标文件中所报交货期及付款方式；货物的技术水平、性能和供货能力；货物的质量和适用性；配套产品的安全性、先进性；投标方为其所供货物提供零备件及售后服务的可能性；零备件、专用工具及相关服务的费用；招标文件中所要求的有关服务费用；发货到最终目的地的内陆运输、保险及其他费用；其他特殊要求因素（如节能、安全和环保等）。</w:t>
      </w:r>
    </w:p>
    <w:p w14:paraId="0E04AA23">
      <w:pPr>
        <w:pStyle w:val="26"/>
        <w:ind w:firstLine="240"/>
        <w:rPr>
          <w:rFonts w:hint="default" w:ascii="仿宋_GB2312" w:hAnsi="仿宋_GB2312" w:eastAsia="仿宋_GB2312" w:cs="仿宋_GB2312"/>
          <w:iCs/>
        </w:rPr>
      </w:pPr>
    </w:p>
    <w:p w14:paraId="1EE4B25E">
      <w:pPr>
        <w:rPr>
          <w:rFonts w:ascii="仿宋_GB2312" w:hAnsi="仿宋_GB2312" w:eastAsia="仿宋_GB2312" w:cs="仿宋_GB2312"/>
          <w:iCs/>
        </w:rPr>
      </w:pPr>
    </w:p>
    <w:p w14:paraId="3566519A">
      <w:pPr>
        <w:pStyle w:val="7"/>
        <w:rPr>
          <w:rFonts w:ascii="仿宋_GB2312" w:hAnsi="仿宋_GB2312" w:eastAsia="仿宋_GB2312" w:cs="仿宋_GB2312"/>
          <w:iCs/>
        </w:rPr>
      </w:pPr>
    </w:p>
    <w:p w14:paraId="587326DD">
      <w:pPr>
        <w:rPr>
          <w:rFonts w:ascii="仿宋_GB2312" w:hAnsi="仿宋_GB2312" w:eastAsia="仿宋_GB2312" w:cs="仿宋_GB2312"/>
          <w:iCs/>
        </w:rPr>
      </w:pPr>
    </w:p>
    <w:p w14:paraId="53B17822">
      <w:pPr>
        <w:pStyle w:val="7"/>
        <w:rPr>
          <w:rFonts w:ascii="仿宋_GB2312" w:hAnsi="仿宋_GB2312" w:eastAsia="仿宋_GB2312" w:cs="仿宋_GB2312"/>
          <w:iCs/>
        </w:rPr>
      </w:pPr>
    </w:p>
    <w:p w14:paraId="409FD813">
      <w:pPr>
        <w:rPr>
          <w:rFonts w:ascii="仿宋_GB2312" w:hAnsi="仿宋_GB2312" w:eastAsia="仿宋_GB2312" w:cs="仿宋_GB2312"/>
          <w:iCs/>
        </w:rPr>
      </w:pPr>
    </w:p>
    <w:p w14:paraId="13A891E7">
      <w:pPr>
        <w:pStyle w:val="2"/>
        <w:tabs>
          <w:tab w:val="clear" w:pos="567"/>
        </w:tabs>
        <w:spacing w:before="0" w:line="300" w:lineRule="exact"/>
        <w:rPr>
          <w:rFonts w:ascii="仿宋_GB2312" w:hAnsi="仿宋_GB2312" w:eastAsia="仿宋_GB2312" w:cs="仿宋_GB2312"/>
          <w:b/>
          <w:bCs/>
          <w:iCs/>
        </w:rPr>
      </w:pPr>
      <w:bookmarkStart w:id="923" w:name="_Toc19967"/>
      <w:bookmarkStart w:id="924" w:name="_Toc21392"/>
      <w:bookmarkStart w:id="925" w:name="_Toc31737"/>
      <w:bookmarkStart w:id="926" w:name="_Toc3812"/>
      <w:bookmarkStart w:id="927" w:name="_Toc4034"/>
      <w:bookmarkStart w:id="928" w:name="_Toc20505"/>
      <w:bookmarkStart w:id="929" w:name="_Toc11449"/>
      <w:bookmarkStart w:id="930" w:name="_Toc7381"/>
      <w:bookmarkStart w:id="931" w:name="_Toc21350"/>
      <w:bookmarkStart w:id="932" w:name="_Toc31042"/>
      <w:bookmarkStart w:id="933" w:name="_Toc5375"/>
      <w:bookmarkStart w:id="934" w:name="_Toc4748"/>
      <w:bookmarkStart w:id="935" w:name="_Toc26618"/>
      <w:bookmarkStart w:id="936" w:name="_Toc17586"/>
      <w:bookmarkStart w:id="937" w:name="_Toc6940"/>
      <w:bookmarkStart w:id="938" w:name="_Toc12524"/>
      <w:bookmarkStart w:id="939" w:name="_Toc29006"/>
      <w:bookmarkStart w:id="940" w:name="_Toc6760"/>
      <w:bookmarkStart w:id="941" w:name="_Toc359"/>
      <w:bookmarkStart w:id="942" w:name="_Toc26924"/>
    </w:p>
    <w:p w14:paraId="43EEAA2D">
      <w:pPr>
        <w:pStyle w:val="2"/>
        <w:tabs>
          <w:tab w:val="clear" w:pos="567"/>
        </w:tabs>
        <w:spacing w:before="0" w:line="300" w:lineRule="exact"/>
        <w:rPr>
          <w:rFonts w:ascii="仿宋_GB2312" w:hAnsi="仿宋_GB2312" w:eastAsia="仿宋_GB2312" w:cs="仿宋_GB2312"/>
          <w:b/>
          <w:bCs/>
          <w:iCs/>
        </w:rPr>
      </w:pPr>
      <w:r>
        <w:rPr>
          <w:rFonts w:hint="eastAsia" w:ascii="仿宋_GB2312" w:hAnsi="仿宋_GB2312" w:eastAsia="仿宋_GB2312" w:cs="仿宋_GB2312"/>
          <w:b/>
          <w:bCs/>
          <w:iCs/>
        </w:rPr>
        <w:t>详细评分表：</w:t>
      </w:r>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tbl>
      <w:tblPr>
        <w:tblStyle w:val="27"/>
        <w:tblpPr w:leftFromText="180" w:rightFromText="180" w:vertAnchor="text" w:horzAnchor="margin" w:tblpXSpec="center" w:tblpY="10"/>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088"/>
        <w:gridCol w:w="6081"/>
        <w:gridCol w:w="645"/>
      </w:tblGrid>
      <w:tr w14:paraId="3CD1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47" w:type="dxa"/>
            <w:tcBorders>
              <w:top w:val="single" w:color="auto" w:sz="4" w:space="0"/>
              <w:left w:val="single" w:color="auto" w:sz="4" w:space="0"/>
              <w:bottom w:val="single" w:color="auto" w:sz="4" w:space="0"/>
              <w:right w:val="single" w:color="auto" w:sz="4" w:space="0"/>
            </w:tcBorders>
            <w:vAlign w:val="center"/>
          </w:tcPr>
          <w:p w14:paraId="2772A508">
            <w:pPr>
              <w:pStyle w:val="23"/>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项目</w:t>
            </w:r>
          </w:p>
        </w:tc>
        <w:tc>
          <w:tcPr>
            <w:tcW w:w="1088" w:type="dxa"/>
            <w:tcBorders>
              <w:top w:val="single" w:color="auto" w:sz="4" w:space="0"/>
              <w:left w:val="single" w:color="auto" w:sz="4" w:space="0"/>
              <w:bottom w:val="single" w:color="auto" w:sz="4" w:space="0"/>
              <w:right w:val="single" w:color="auto" w:sz="4" w:space="0"/>
            </w:tcBorders>
            <w:vAlign w:val="center"/>
          </w:tcPr>
          <w:p w14:paraId="10CF50BF">
            <w:pPr>
              <w:pStyle w:val="23"/>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分项名称</w:t>
            </w:r>
          </w:p>
        </w:tc>
        <w:tc>
          <w:tcPr>
            <w:tcW w:w="6081" w:type="dxa"/>
            <w:tcBorders>
              <w:top w:val="single" w:color="auto" w:sz="4" w:space="0"/>
              <w:left w:val="single" w:color="auto" w:sz="4" w:space="0"/>
              <w:bottom w:val="single" w:color="auto" w:sz="4" w:space="0"/>
              <w:right w:val="single" w:color="auto" w:sz="4" w:space="0"/>
            </w:tcBorders>
            <w:vAlign w:val="center"/>
          </w:tcPr>
          <w:p w14:paraId="398476FE">
            <w:pPr>
              <w:pStyle w:val="23"/>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评分标准</w:t>
            </w:r>
          </w:p>
        </w:tc>
        <w:tc>
          <w:tcPr>
            <w:tcW w:w="645" w:type="dxa"/>
            <w:tcBorders>
              <w:top w:val="single" w:color="auto" w:sz="4" w:space="0"/>
              <w:left w:val="single" w:color="auto" w:sz="4" w:space="0"/>
              <w:bottom w:val="single" w:color="auto" w:sz="4" w:space="0"/>
              <w:right w:val="single" w:color="auto" w:sz="4" w:space="0"/>
            </w:tcBorders>
            <w:vAlign w:val="center"/>
          </w:tcPr>
          <w:p w14:paraId="562CD74E">
            <w:pPr>
              <w:pStyle w:val="23"/>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rPr>
              <w:t>满分</w:t>
            </w:r>
          </w:p>
        </w:tc>
      </w:tr>
      <w:tr w14:paraId="1B6C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47" w:type="dxa"/>
            <w:tcBorders>
              <w:top w:val="single" w:color="auto" w:sz="4" w:space="0"/>
              <w:left w:val="single" w:color="auto" w:sz="4" w:space="0"/>
              <w:bottom w:val="single" w:color="auto" w:sz="4" w:space="0"/>
              <w:right w:val="single" w:color="auto" w:sz="4" w:space="0"/>
            </w:tcBorders>
            <w:vAlign w:val="center"/>
          </w:tcPr>
          <w:p w14:paraId="49C6A17A">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r>
              <w:rPr>
                <w:rFonts w:hint="eastAsia" w:ascii="仿宋" w:hAnsi="仿宋" w:eastAsia="仿宋" w:cs="仿宋_GB2312"/>
                <w:kern w:val="2"/>
                <w:sz w:val="21"/>
                <w:szCs w:val="21"/>
                <w:highlight w:val="none"/>
              </w:rPr>
              <w:t>价格部分（</w:t>
            </w:r>
            <w:r>
              <w:rPr>
                <w:rFonts w:ascii="仿宋" w:hAnsi="仿宋" w:eastAsia="仿宋" w:cs="仿宋_GB2312"/>
                <w:kern w:val="2"/>
                <w:sz w:val="21"/>
                <w:szCs w:val="21"/>
                <w:highlight w:val="none"/>
              </w:rPr>
              <w:t>4</w:t>
            </w:r>
            <w:r>
              <w:rPr>
                <w:rFonts w:hint="eastAsia" w:ascii="仿宋" w:hAnsi="仿宋" w:eastAsia="仿宋" w:cs="仿宋_GB2312"/>
                <w:kern w:val="2"/>
                <w:sz w:val="21"/>
                <w:szCs w:val="21"/>
                <w:highlight w:val="none"/>
              </w:rPr>
              <w:t>0分）</w:t>
            </w:r>
          </w:p>
        </w:tc>
        <w:tc>
          <w:tcPr>
            <w:tcW w:w="1088" w:type="dxa"/>
            <w:tcBorders>
              <w:top w:val="single" w:color="auto" w:sz="4" w:space="0"/>
              <w:left w:val="single" w:color="auto" w:sz="4" w:space="0"/>
              <w:bottom w:val="single" w:color="auto" w:sz="4" w:space="0"/>
              <w:right w:val="single" w:color="auto" w:sz="4" w:space="0"/>
            </w:tcBorders>
            <w:vAlign w:val="center"/>
          </w:tcPr>
          <w:p w14:paraId="01B886F4">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r>
              <w:rPr>
                <w:rFonts w:hint="eastAsia" w:ascii="仿宋" w:hAnsi="仿宋" w:eastAsia="仿宋" w:cs="仿宋_GB2312"/>
                <w:kern w:val="2"/>
                <w:sz w:val="21"/>
                <w:szCs w:val="21"/>
                <w:highlight w:val="none"/>
              </w:rPr>
              <w:t>投标报价</w:t>
            </w:r>
          </w:p>
        </w:tc>
        <w:tc>
          <w:tcPr>
            <w:tcW w:w="6081" w:type="dxa"/>
            <w:tcBorders>
              <w:top w:val="single" w:color="auto" w:sz="4" w:space="0"/>
              <w:left w:val="single" w:color="auto" w:sz="4" w:space="0"/>
              <w:bottom w:val="single" w:color="auto" w:sz="4" w:space="0"/>
              <w:right w:val="single" w:color="auto" w:sz="4" w:space="0"/>
            </w:tcBorders>
            <w:vAlign w:val="center"/>
          </w:tcPr>
          <w:p w14:paraId="1674A1EA">
            <w:pPr>
              <w:pStyle w:val="23"/>
              <w:numPr>
                <w:ilvl w:val="0"/>
                <w:numId w:val="13"/>
              </w:numPr>
              <w:adjustRightInd w:val="0"/>
              <w:snapToGrid w:val="0"/>
              <w:spacing w:before="0" w:beforeAutospacing="0" w:after="0" w:afterAutospacing="0"/>
              <w:rPr>
                <w:rFonts w:ascii="仿宋" w:hAnsi="仿宋" w:eastAsia="仿宋" w:cs="仿宋_GB2312"/>
                <w:kern w:val="2"/>
                <w:sz w:val="21"/>
                <w:szCs w:val="21"/>
                <w:highlight w:val="none"/>
              </w:rPr>
            </w:pPr>
            <w:r>
              <w:rPr>
                <w:rFonts w:hint="eastAsia" w:ascii="仿宋" w:hAnsi="仿宋" w:eastAsia="仿宋" w:cs="仿宋_GB2312"/>
                <w:kern w:val="2"/>
                <w:sz w:val="21"/>
                <w:szCs w:val="21"/>
                <w:highlight w:val="none"/>
              </w:rPr>
              <w:t>评标基准价：满足招标文件要求且投标价格最低的投标报价为评标基准价，评标基准价为满分</w:t>
            </w:r>
            <w:r>
              <w:rPr>
                <w:rFonts w:ascii="仿宋" w:hAnsi="仿宋" w:eastAsia="仿宋" w:cs="仿宋_GB2312"/>
                <w:kern w:val="2"/>
                <w:sz w:val="21"/>
                <w:szCs w:val="21"/>
                <w:highlight w:val="none"/>
              </w:rPr>
              <w:t>40</w:t>
            </w:r>
            <w:r>
              <w:rPr>
                <w:rFonts w:hint="eastAsia" w:ascii="仿宋" w:hAnsi="仿宋" w:eastAsia="仿宋" w:cs="仿宋_GB2312"/>
                <w:kern w:val="2"/>
                <w:sz w:val="21"/>
                <w:szCs w:val="21"/>
                <w:highlight w:val="none"/>
              </w:rPr>
              <w:t>分。</w:t>
            </w:r>
            <w:r>
              <w:rPr>
                <w:rFonts w:ascii="仿宋" w:hAnsi="仿宋" w:eastAsia="仿宋" w:cs="Arial"/>
                <w:sz w:val="18"/>
                <w:szCs w:val="18"/>
                <w:highlight w:val="none"/>
              </w:rPr>
              <w:t>　</w:t>
            </w:r>
          </w:p>
          <w:p w14:paraId="1D9FBB03">
            <w:pPr>
              <w:pStyle w:val="23"/>
              <w:adjustRightInd w:val="0"/>
              <w:snapToGrid w:val="0"/>
              <w:spacing w:before="0" w:beforeAutospacing="0" w:after="0" w:afterAutospacing="0"/>
              <w:rPr>
                <w:rFonts w:ascii="仿宋" w:hAnsi="仿宋" w:eastAsia="仿宋" w:cs="仿宋_GB2312"/>
                <w:kern w:val="2"/>
                <w:sz w:val="21"/>
                <w:szCs w:val="21"/>
                <w:highlight w:val="none"/>
              </w:rPr>
            </w:pPr>
            <w:r>
              <w:rPr>
                <w:rFonts w:hint="eastAsia" w:ascii="仿宋" w:hAnsi="仿宋" w:eastAsia="仿宋" w:cs="仿宋_GB2312"/>
                <w:kern w:val="2"/>
                <w:sz w:val="21"/>
                <w:szCs w:val="21"/>
                <w:highlight w:val="none"/>
              </w:rPr>
              <w:t>2. 报价得分按照下列公式计算：投标报价得分=(评标基准价／投标报价)×</w:t>
            </w:r>
            <w:r>
              <w:rPr>
                <w:rFonts w:ascii="仿宋" w:hAnsi="仿宋" w:eastAsia="仿宋" w:cs="仿宋_GB2312"/>
                <w:kern w:val="2"/>
                <w:sz w:val="21"/>
                <w:szCs w:val="21"/>
                <w:highlight w:val="none"/>
              </w:rPr>
              <w:t>40</w:t>
            </w:r>
            <w:r>
              <w:rPr>
                <w:rFonts w:hint="eastAsia" w:ascii="仿宋" w:hAnsi="仿宋" w:eastAsia="仿宋" w:cs="仿宋_GB2312"/>
                <w:kern w:val="2"/>
                <w:sz w:val="21"/>
                <w:szCs w:val="21"/>
                <w:highlight w:val="none"/>
              </w:rPr>
              <w:t>。</w:t>
            </w:r>
          </w:p>
        </w:tc>
        <w:tc>
          <w:tcPr>
            <w:tcW w:w="645" w:type="dxa"/>
            <w:tcBorders>
              <w:top w:val="single" w:color="auto" w:sz="4" w:space="0"/>
              <w:left w:val="single" w:color="auto" w:sz="4" w:space="0"/>
              <w:bottom w:val="single" w:color="auto" w:sz="4" w:space="0"/>
              <w:right w:val="single" w:color="auto" w:sz="4" w:space="0"/>
            </w:tcBorders>
            <w:vAlign w:val="center"/>
          </w:tcPr>
          <w:p w14:paraId="3B783777">
            <w:pPr>
              <w:pStyle w:val="23"/>
              <w:adjustRightInd w:val="0"/>
              <w:snapToGrid w:val="0"/>
              <w:spacing w:before="0" w:beforeAutospacing="0" w:after="0" w:afterAutospacing="0"/>
              <w:jc w:val="center"/>
              <w:rPr>
                <w:rFonts w:ascii="仿宋" w:hAnsi="仿宋" w:eastAsia="仿宋" w:cs="仿宋_GB2312"/>
                <w:kern w:val="2"/>
                <w:sz w:val="21"/>
                <w:szCs w:val="21"/>
              </w:rPr>
            </w:pPr>
            <w:r>
              <w:rPr>
                <w:rFonts w:ascii="仿宋" w:hAnsi="仿宋" w:eastAsia="仿宋" w:cs="仿宋_GB2312"/>
                <w:kern w:val="2"/>
                <w:sz w:val="21"/>
                <w:szCs w:val="21"/>
              </w:rPr>
              <w:t>40</w:t>
            </w:r>
            <w:r>
              <w:rPr>
                <w:rFonts w:hint="eastAsia" w:ascii="仿宋" w:hAnsi="仿宋" w:eastAsia="仿宋" w:cs="仿宋_GB2312"/>
                <w:kern w:val="2"/>
                <w:sz w:val="21"/>
                <w:szCs w:val="21"/>
              </w:rPr>
              <w:t>分</w:t>
            </w:r>
          </w:p>
        </w:tc>
      </w:tr>
      <w:tr w14:paraId="4ACF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147" w:type="dxa"/>
            <w:vMerge w:val="restart"/>
            <w:tcBorders>
              <w:left w:val="single" w:color="auto" w:sz="4" w:space="0"/>
              <w:right w:val="single" w:color="auto" w:sz="4" w:space="0"/>
            </w:tcBorders>
            <w:vAlign w:val="center"/>
          </w:tcPr>
          <w:p w14:paraId="038BEB07">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r>
              <w:rPr>
                <w:rFonts w:hint="eastAsia" w:ascii="仿宋" w:hAnsi="仿宋" w:eastAsia="仿宋" w:cs="仿宋_GB2312"/>
                <w:kern w:val="2"/>
                <w:sz w:val="21"/>
                <w:szCs w:val="21"/>
                <w:highlight w:val="none"/>
              </w:rPr>
              <w:t>技术部分（</w:t>
            </w:r>
            <w:r>
              <w:rPr>
                <w:rFonts w:ascii="仿宋" w:hAnsi="仿宋" w:eastAsia="仿宋" w:cs="仿宋_GB2312"/>
                <w:kern w:val="2"/>
                <w:sz w:val="21"/>
                <w:szCs w:val="21"/>
                <w:highlight w:val="none"/>
              </w:rPr>
              <w:t>4</w:t>
            </w:r>
            <w:r>
              <w:rPr>
                <w:rFonts w:hint="eastAsia" w:ascii="仿宋" w:hAnsi="仿宋" w:eastAsia="仿宋" w:cs="仿宋_GB2312"/>
                <w:kern w:val="2"/>
                <w:sz w:val="21"/>
                <w:szCs w:val="21"/>
                <w:highlight w:val="none"/>
                <w:lang w:val="en-US" w:eastAsia="zh-CN"/>
              </w:rPr>
              <w:t>0</w:t>
            </w:r>
            <w:r>
              <w:rPr>
                <w:rFonts w:hint="eastAsia" w:ascii="仿宋" w:hAnsi="仿宋" w:eastAsia="仿宋" w:cs="仿宋_GB2312"/>
                <w:kern w:val="2"/>
                <w:sz w:val="21"/>
                <w:szCs w:val="21"/>
                <w:highlight w:val="none"/>
              </w:rPr>
              <w:t>分）</w:t>
            </w:r>
          </w:p>
          <w:p w14:paraId="4018DCA8">
            <w:pPr>
              <w:pStyle w:val="24"/>
              <w:rPr>
                <w:highlight w:val="none"/>
              </w:rPr>
            </w:pPr>
            <w:r>
              <w:rPr>
                <w:rFonts w:hint="eastAsia"/>
                <w:highlight w:val="none"/>
              </w:rPr>
              <w:t>（）</w:t>
            </w:r>
          </w:p>
        </w:tc>
        <w:tc>
          <w:tcPr>
            <w:tcW w:w="1088" w:type="dxa"/>
            <w:tcBorders>
              <w:top w:val="single" w:color="auto" w:sz="4" w:space="0"/>
              <w:left w:val="single" w:color="auto" w:sz="4" w:space="0"/>
              <w:bottom w:val="single" w:color="auto" w:sz="4" w:space="0"/>
              <w:right w:val="single" w:color="auto" w:sz="4" w:space="0"/>
            </w:tcBorders>
            <w:vAlign w:val="center"/>
          </w:tcPr>
          <w:p w14:paraId="39A95389">
            <w:pPr>
              <w:pStyle w:val="23"/>
              <w:adjustRightInd w:val="0"/>
              <w:snapToGrid w:val="0"/>
              <w:spacing w:before="0" w:beforeAutospacing="0" w:after="0" w:afterAutospacing="0"/>
              <w:jc w:val="center"/>
              <w:rPr>
                <w:rFonts w:ascii="仿宋" w:hAnsi="仿宋" w:eastAsia="仿宋" w:cs="仿宋"/>
                <w:bCs/>
                <w:sz w:val="21"/>
                <w:szCs w:val="21"/>
                <w:highlight w:val="none"/>
              </w:rPr>
            </w:pPr>
            <w:bookmarkStart w:id="943" w:name="OLE_LINK22"/>
            <w:r>
              <w:rPr>
                <w:rFonts w:hint="eastAsia" w:ascii="仿宋" w:hAnsi="仿宋" w:eastAsia="仿宋" w:cs="仿宋"/>
                <w:bCs/>
                <w:sz w:val="21"/>
                <w:szCs w:val="21"/>
                <w:highlight w:val="none"/>
              </w:rPr>
              <w:t>技术参数响应程度</w:t>
            </w:r>
            <w:bookmarkEnd w:id="943"/>
          </w:p>
        </w:tc>
        <w:tc>
          <w:tcPr>
            <w:tcW w:w="6081" w:type="dxa"/>
            <w:tcBorders>
              <w:top w:val="single" w:color="auto" w:sz="4" w:space="0"/>
              <w:left w:val="single" w:color="auto" w:sz="4" w:space="0"/>
              <w:bottom w:val="single" w:color="auto" w:sz="4" w:space="0"/>
              <w:right w:val="single" w:color="auto" w:sz="4" w:space="0"/>
            </w:tcBorders>
            <w:vAlign w:val="center"/>
          </w:tcPr>
          <w:p w14:paraId="59CBB262">
            <w:pPr>
              <w:pStyle w:val="23"/>
              <w:numPr>
                <w:ilvl w:val="0"/>
                <w:numId w:val="0"/>
              </w:numPr>
              <w:adjustRightInd w:val="0"/>
              <w:snapToGrid w:val="0"/>
              <w:spacing w:before="0" w:beforeAutospacing="0" w:after="0" w:afterAutospacing="0"/>
              <w:rPr>
                <w:rFonts w:hint="eastAsia" w:ascii="仿宋" w:hAnsi="仿宋" w:eastAsia="仿宋" w:cs="仿宋_GB2312"/>
                <w:kern w:val="2"/>
                <w:sz w:val="21"/>
                <w:szCs w:val="21"/>
                <w:highlight w:val="none"/>
                <w:lang w:val="en-US" w:eastAsia="zh-CN"/>
              </w:rPr>
            </w:pPr>
            <w:bookmarkStart w:id="944" w:name="OLE_LINK24"/>
            <w:r>
              <w:rPr>
                <w:rFonts w:hint="eastAsia" w:ascii="仿宋" w:hAnsi="仿宋" w:eastAsia="仿宋" w:cs="仿宋_GB2312"/>
                <w:kern w:val="2"/>
                <w:sz w:val="21"/>
                <w:szCs w:val="21"/>
                <w:highlight w:val="none"/>
              </w:rPr>
              <w:t>根据所投产品技术参数配置与性能指标响应程度打分，</w:t>
            </w:r>
            <w:r>
              <w:rPr>
                <w:rFonts w:hint="eastAsia" w:ascii="仿宋" w:hAnsi="仿宋" w:eastAsia="仿宋" w:cs="仿宋_GB2312"/>
                <w:kern w:val="2"/>
                <w:sz w:val="21"/>
                <w:szCs w:val="21"/>
                <w:highlight w:val="none"/>
                <w:lang w:val="en-US" w:eastAsia="zh-CN"/>
              </w:rPr>
              <w:t>参数表中标注“</w:t>
            </w:r>
            <w:r>
              <w:rPr>
                <w:rFonts w:hint="eastAsia" w:ascii="仿宋" w:hAnsi="仿宋" w:eastAsia="仿宋" w:cs="仿宋_GB2312"/>
                <w:kern w:val="2"/>
                <w:sz w:val="21"/>
                <w:szCs w:val="21"/>
                <w:highlight w:val="none"/>
              </w:rPr>
              <w:t>▲</w:t>
            </w:r>
            <w:r>
              <w:rPr>
                <w:rFonts w:hint="eastAsia" w:ascii="仿宋" w:hAnsi="仿宋" w:eastAsia="仿宋" w:cs="仿宋_GB2312"/>
                <w:kern w:val="2"/>
                <w:sz w:val="21"/>
                <w:szCs w:val="21"/>
                <w:highlight w:val="none"/>
                <w:lang w:val="en-US" w:eastAsia="zh-CN"/>
              </w:rPr>
              <w:t>”的重要参数，不允许发生偏离。（偏离视为无效投标），剩余</w:t>
            </w:r>
            <w:r>
              <w:rPr>
                <w:rFonts w:hint="eastAsia" w:ascii="仿宋" w:hAnsi="仿宋" w:eastAsia="仿宋" w:cs="仿宋_GB2312"/>
                <w:kern w:val="2"/>
                <w:sz w:val="21"/>
                <w:szCs w:val="21"/>
                <w:highlight w:val="none"/>
              </w:rPr>
              <w:t>所有技术参数须逐条响应，</w:t>
            </w:r>
            <w:bookmarkEnd w:id="944"/>
            <w:r>
              <w:rPr>
                <w:rFonts w:hint="eastAsia" w:ascii="仿宋" w:hAnsi="仿宋" w:eastAsia="仿宋" w:cs="仿宋_GB2312"/>
                <w:kern w:val="2"/>
                <w:sz w:val="21"/>
                <w:szCs w:val="21"/>
                <w:highlight w:val="none"/>
              </w:rPr>
              <w:t>完全满足招标要求的得</w:t>
            </w:r>
            <w:r>
              <w:rPr>
                <w:rFonts w:hint="eastAsia" w:ascii="仿宋" w:hAnsi="仿宋" w:eastAsia="仿宋" w:cs="仿宋_GB2312"/>
                <w:kern w:val="2"/>
                <w:sz w:val="21"/>
                <w:szCs w:val="21"/>
                <w:highlight w:val="none"/>
                <w:lang w:val="en-US" w:eastAsia="zh-CN"/>
              </w:rPr>
              <w:t>12</w:t>
            </w:r>
            <w:r>
              <w:rPr>
                <w:rFonts w:hint="eastAsia" w:ascii="仿宋" w:hAnsi="仿宋" w:eastAsia="仿宋" w:cs="仿宋_GB2312"/>
                <w:kern w:val="2"/>
                <w:sz w:val="21"/>
                <w:szCs w:val="21"/>
                <w:highlight w:val="none"/>
              </w:rPr>
              <w:t>分</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rPr>
              <w:t>技术参数</w:t>
            </w:r>
            <w:r>
              <w:rPr>
                <w:rFonts w:hint="eastAsia" w:ascii="仿宋" w:hAnsi="仿宋" w:eastAsia="仿宋" w:cs="仿宋_GB2312"/>
                <w:kern w:val="2"/>
                <w:sz w:val="21"/>
                <w:szCs w:val="21"/>
                <w:highlight w:val="none"/>
                <w:lang w:val="en-US" w:eastAsia="zh-CN"/>
              </w:rPr>
              <w:t>经专家认定</w:t>
            </w:r>
            <w:r>
              <w:rPr>
                <w:rFonts w:hint="eastAsia" w:ascii="仿宋" w:hAnsi="仿宋" w:eastAsia="仿宋" w:cs="仿宋_GB2312"/>
                <w:kern w:val="2"/>
                <w:sz w:val="21"/>
                <w:szCs w:val="21"/>
                <w:highlight w:val="none"/>
              </w:rPr>
              <w:t>每有一项</w:t>
            </w:r>
            <w:r>
              <w:rPr>
                <w:rFonts w:hint="eastAsia" w:ascii="仿宋" w:hAnsi="仿宋" w:eastAsia="仿宋" w:cs="仿宋_GB2312"/>
                <w:kern w:val="2"/>
                <w:sz w:val="21"/>
                <w:szCs w:val="21"/>
                <w:highlight w:val="none"/>
                <w:lang w:val="en-US" w:eastAsia="zh-CN"/>
              </w:rPr>
              <w:t>负</w:t>
            </w:r>
            <w:r>
              <w:rPr>
                <w:rFonts w:hint="eastAsia" w:ascii="仿宋" w:hAnsi="仿宋" w:eastAsia="仿宋" w:cs="仿宋_GB2312"/>
                <w:kern w:val="2"/>
                <w:sz w:val="21"/>
                <w:szCs w:val="21"/>
                <w:highlight w:val="none"/>
              </w:rPr>
              <w:t>偏离</w:t>
            </w:r>
            <w:r>
              <w:rPr>
                <w:rFonts w:hint="eastAsia" w:ascii="仿宋" w:hAnsi="仿宋" w:eastAsia="仿宋" w:cs="仿宋_GB2312"/>
                <w:kern w:val="2"/>
                <w:sz w:val="21"/>
                <w:szCs w:val="21"/>
                <w:highlight w:val="none"/>
                <w:lang w:val="en-US" w:eastAsia="zh-CN"/>
              </w:rPr>
              <w:t>的扣2</w:t>
            </w:r>
            <w:r>
              <w:rPr>
                <w:rFonts w:hint="eastAsia" w:ascii="仿宋" w:hAnsi="仿宋" w:eastAsia="仿宋" w:cs="仿宋_GB2312"/>
                <w:kern w:val="2"/>
                <w:sz w:val="21"/>
                <w:szCs w:val="21"/>
                <w:highlight w:val="none"/>
              </w:rPr>
              <w:t>分</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超过6条负偏离此项不得分。</w:t>
            </w:r>
          </w:p>
          <w:p w14:paraId="6C629667">
            <w:pPr>
              <w:pStyle w:val="23"/>
              <w:numPr>
                <w:ilvl w:val="0"/>
                <w:numId w:val="0"/>
              </w:numPr>
              <w:adjustRightInd w:val="0"/>
              <w:snapToGrid w:val="0"/>
              <w:spacing w:before="0" w:beforeAutospacing="0" w:after="0" w:afterAutospacing="0"/>
              <w:rPr>
                <w:rFonts w:hint="default" w:ascii="仿宋" w:hAnsi="仿宋" w:eastAsia="仿宋" w:cs="仿宋_GB2312"/>
                <w:kern w:val="2"/>
                <w:sz w:val="21"/>
                <w:szCs w:val="21"/>
                <w:highlight w:val="none"/>
                <w:lang w:val="en-US" w:eastAsia="zh-CN"/>
              </w:rPr>
            </w:pPr>
            <w:r>
              <w:rPr>
                <w:rFonts w:hint="eastAsia" w:ascii="仿宋" w:hAnsi="仿宋" w:eastAsia="仿宋" w:cs="仿宋_GB2312"/>
                <w:kern w:val="2"/>
                <w:sz w:val="21"/>
                <w:szCs w:val="21"/>
                <w:highlight w:val="none"/>
                <w:lang w:val="en-US" w:eastAsia="zh-CN"/>
              </w:rPr>
              <w:t>注：须提供产品彩页或使用说明书或其他证明材料；未提供或提供不全的不得分。</w:t>
            </w:r>
          </w:p>
        </w:tc>
        <w:tc>
          <w:tcPr>
            <w:tcW w:w="645" w:type="dxa"/>
            <w:tcBorders>
              <w:top w:val="single" w:color="auto" w:sz="4" w:space="0"/>
              <w:left w:val="single" w:color="auto" w:sz="4" w:space="0"/>
              <w:bottom w:val="single" w:color="auto" w:sz="4" w:space="0"/>
              <w:right w:val="single" w:color="auto" w:sz="4" w:space="0"/>
            </w:tcBorders>
            <w:vAlign w:val="center"/>
          </w:tcPr>
          <w:p w14:paraId="702D0A27">
            <w:pPr>
              <w:pStyle w:val="23"/>
              <w:adjustRightInd w:val="0"/>
              <w:snapToGrid w:val="0"/>
              <w:spacing w:before="0" w:beforeAutospacing="0" w:after="0" w:afterAutospacing="0"/>
              <w:jc w:val="center"/>
              <w:rPr>
                <w:rFonts w:ascii="仿宋" w:hAnsi="仿宋" w:eastAsia="仿宋" w:cs="仿宋_GB2312"/>
                <w:kern w:val="2"/>
                <w:sz w:val="21"/>
                <w:szCs w:val="21"/>
              </w:rPr>
            </w:pPr>
            <w:bookmarkStart w:id="945" w:name="OLE_LINK23"/>
            <w:r>
              <w:rPr>
                <w:rFonts w:hint="eastAsia" w:ascii="仿宋" w:hAnsi="仿宋" w:eastAsia="仿宋" w:cs="仿宋_GB2312"/>
                <w:kern w:val="2"/>
                <w:sz w:val="21"/>
                <w:szCs w:val="21"/>
                <w:lang w:val="en-US" w:eastAsia="zh-CN"/>
              </w:rPr>
              <w:t>12</w:t>
            </w:r>
            <w:r>
              <w:rPr>
                <w:rFonts w:hint="eastAsia" w:ascii="仿宋" w:hAnsi="仿宋" w:eastAsia="仿宋" w:cs="仿宋_GB2312"/>
                <w:kern w:val="2"/>
                <w:sz w:val="21"/>
                <w:szCs w:val="21"/>
              </w:rPr>
              <w:t>分</w:t>
            </w:r>
            <w:bookmarkEnd w:id="945"/>
          </w:p>
        </w:tc>
      </w:tr>
      <w:tr w14:paraId="5779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vAlign w:val="center"/>
          </w:tcPr>
          <w:p w14:paraId="527A3725">
            <w:pPr>
              <w:pStyle w:val="23"/>
              <w:adjustRightInd w:val="0"/>
              <w:snapToGrid w:val="0"/>
              <w:spacing w:before="0" w:beforeAutospacing="0" w:after="0" w:afterAutospacing="0"/>
              <w:jc w:val="center"/>
              <w:rPr>
                <w:rFonts w:ascii="仿宋" w:hAnsi="仿宋" w:eastAsia="仿宋" w:cs="仿宋_GB2312"/>
                <w:kern w:val="2"/>
                <w:sz w:val="21"/>
                <w:szCs w:val="21"/>
              </w:rPr>
            </w:pPr>
          </w:p>
        </w:tc>
        <w:tc>
          <w:tcPr>
            <w:tcW w:w="1088" w:type="dxa"/>
            <w:tcBorders>
              <w:top w:val="single" w:color="auto" w:sz="4" w:space="0"/>
              <w:left w:val="single" w:color="auto" w:sz="4" w:space="0"/>
              <w:bottom w:val="single" w:color="auto" w:sz="4" w:space="0"/>
              <w:right w:val="single" w:color="auto" w:sz="4" w:space="0"/>
            </w:tcBorders>
            <w:vAlign w:val="center"/>
          </w:tcPr>
          <w:p w14:paraId="39278CB6">
            <w:pPr>
              <w:pStyle w:val="23"/>
              <w:adjustRightInd w:val="0"/>
              <w:snapToGrid w:val="0"/>
              <w:spacing w:before="0" w:beforeAutospacing="0" w:after="0" w:afterAutospacing="0"/>
              <w:jc w:val="center"/>
              <w:rPr>
                <w:rFonts w:ascii="仿宋" w:hAnsi="仿宋" w:eastAsia="仿宋" w:cs="仿宋_GB2312"/>
                <w:kern w:val="2"/>
                <w:sz w:val="21"/>
                <w:szCs w:val="21"/>
              </w:rPr>
            </w:pPr>
            <w:bookmarkStart w:id="946" w:name="OLE_LINK25"/>
            <w:r>
              <w:rPr>
                <w:rFonts w:hint="eastAsia" w:ascii="仿宋" w:hAnsi="仿宋" w:eastAsia="仿宋" w:cs="仿宋_GB2312"/>
                <w:kern w:val="2"/>
                <w:sz w:val="21"/>
                <w:szCs w:val="21"/>
              </w:rPr>
              <w:t>产品质量保证</w:t>
            </w:r>
            <w:bookmarkEnd w:id="946"/>
          </w:p>
        </w:tc>
        <w:tc>
          <w:tcPr>
            <w:tcW w:w="6081" w:type="dxa"/>
            <w:tcBorders>
              <w:top w:val="single" w:color="auto" w:sz="4" w:space="0"/>
              <w:left w:val="single" w:color="auto" w:sz="4" w:space="0"/>
              <w:bottom w:val="single" w:color="auto" w:sz="4" w:space="0"/>
              <w:right w:val="single" w:color="auto" w:sz="4" w:space="0"/>
            </w:tcBorders>
            <w:vAlign w:val="center"/>
          </w:tcPr>
          <w:p w14:paraId="63AFD822">
            <w:pPr>
              <w:pStyle w:val="23"/>
              <w:numPr>
                <w:ilvl w:val="0"/>
                <w:numId w:val="0"/>
              </w:numPr>
              <w:adjustRightInd w:val="0"/>
              <w:snapToGrid w:val="0"/>
              <w:spacing w:before="0" w:beforeAutospacing="0" w:after="0" w:afterAutospacing="0"/>
              <w:rPr>
                <w:rFonts w:hint="eastAsia" w:ascii="仿宋" w:hAnsi="仿宋" w:eastAsia="仿宋" w:cs="仿宋_GB2312"/>
                <w:kern w:val="2"/>
                <w:sz w:val="21"/>
                <w:szCs w:val="21"/>
                <w:highlight w:val="none"/>
              </w:rPr>
            </w:pPr>
            <w:bookmarkStart w:id="947" w:name="OLE_LINK27"/>
            <w:r>
              <w:rPr>
                <w:rFonts w:hint="eastAsia" w:ascii="仿宋" w:hAnsi="仿宋" w:eastAsia="仿宋" w:cs="仿宋_GB2312"/>
                <w:kern w:val="2"/>
                <w:sz w:val="21"/>
                <w:szCs w:val="21"/>
                <w:highlight w:val="none"/>
              </w:rPr>
              <w:t>根据投标人所供产品的质量保证措施包括</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①</w:t>
            </w:r>
            <w:r>
              <w:rPr>
                <w:rFonts w:hint="eastAsia" w:ascii="仿宋" w:hAnsi="仿宋" w:eastAsia="仿宋" w:cs="仿宋_GB2312"/>
                <w:kern w:val="2"/>
                <w:sz w:val="21"/>
                <w:szCs w:val="21"/>
                <w:highlight w:val="none"/>
              </w:rPr>
              <w:t>质量执行标准</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②</w:t>
            </w:r>
            <w:r>
              <w:rPr>
                <w:rFonts w:hint="eastAsia" w:ascii="仿宋" w:hAnsi="仿宋" w:eastAsia="仿宋" w:cs="仿宋_GB2312"/>
                <w:kern w:val="2"/>
                <w:sz w:val="21"/>
                <w:szCs w:val="21"/>
                <w:highlight w:val="none"/>
              </w:rPr>
              <w:t>质量保障方式</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③</w:t>
            </w:r>
            <w:r>
              <w:rPr>
                <w:rFonts w:hint="eastAsia" w:ascii="仿宋" w:hAnsi="仿宋" w:eastAsia="仿宋" w:cs="仿宋_GB2312"/>
                <w:kern w:val="2"/>
                <w:sz w:val="21"/>
                <w:szCs w:val="21"/>
                <w:highlight w:val="none"/>
              </w:rPr>
              <w:t>出厂检测</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④</w:t>
            </w:r>
            <w:r>
              <w:rPr>
                <w:rFonts w:hint="eastAsia" w:ascii="仿宋" w:hAnsi="仿宋" w:eastAsia="仿宋" w:cs="仿宋_GB2312"/>
                <w:kern w:val="2"/>
                <w:sz w:val="21"/>
                <w:szCs w:val="21"/>
                <w:highlight w:val="none"/>
              </w:rPr>
              <w:t>产品来源</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⑤</w:t>
            </w:r>
            <w:r>
              <w:rPr>
                <w:rFonts w:hint="eastAsia" w:ascii="仿宋" w:hAnsi="仿宋" w:eastAsia="仿宋" w:cs="仿宋_GB2312"/>
                <w:kern w:val="2"/>
                <w:sz w:val="21"/>
                <w:szCs w:val="21"/>
                <w:highlight w:val="none"/>
              </w:rPr>
              <w:t>退换货方案</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⑥</w:t>
            </w:r>
            <w:r>
              <w:rPr>
                <w:rFonts w:hint="eastAsia" w:ascii="仿宋" w:hAnsi="仿宋" w:eastAsia="仿宋" w:cs="仿宋_GB2312"/>
                <w:kern w:val="2"/>
                <w:sz w:val="21"/>
                <w:szCs w:val="21"/>
                <w:highlight w:val="none"/>
              </w:rPr>
              <w:t>赔偿损失</w:t>
            </w:r>
            <w:r>
              <w:rPr>
                <w:rFonts w:hint="eastAsia" w:ascii="仿宋" w:hAnsi="仿宋" w:eastAsia="仿宋" w:cs="仿宋_GB2312"/>
                <w:kern w:val="2"/>
                <w:sz w:val="21"/>
                <w:szCs w:val="21"/>
                <w:highlight w:val="none"/>
                <w:lang w:val="en-US" w:eastAsia="zh-CN"/>
              </w:rPr>
              <w:t>；⑦</w:t>
            </w:r>
            <w:r>
              <w:rPr>
                <w:rFonts w:hint="eastAsia" w:ascii="仿宋" w:hAnsi="仿宋" w:eastAsia="仿宋" w:cs="仿宋_GB2312"/>
                <w:kern w:val="2"/>
                <w:sz w:val="21"/>
                <w:szCs w:val="21"/>
                <w:highlight w:val="none"/>
              </w:rPr>
              <w:t>产品三包</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以上7项</w:t>
            </w:r>
            <w:r>
              <w:rPr>
                <w:rFonts w:hint="eastAsia" w:ascii="仿宋" w:hAnsi="仿宋" w:eastAsia="仿宋" w:cs="仿宋_GB2312"/>
                <w:kern w:val="2"/>
                <w:sz w:val="21"/>
                <w:szCs w:val="21"/>
                <w:highlight w:val="none"/>
              </w:rPr>
              <w:t>方案内容完整满足采购需求且合理可行得</w:t>
            </w:r>
            <w:r>
              <w:rPr>
                <w:rFonts w:hint="eastAsia" w:ascii="仿宋" w:hAnsi="仿宋" w:eastAsia="仿宋" w:cs="仿宋_GB2312"/>
                <w:kern w:val="2"/>
                <w:sz w:val="21"/>
                <w:szCs w:val="21"/>
                <w:highlight w:val="none"/>
                <w:lang w:val="en-US" w:eastAsia="zh-CN"/>
              </w:rPr>
              <w:t>14</w:t>
            </w:r>
            <w:r>
              <w:rPr>
                <w:rFonts w:hint="eastAsia" w:ascii="仿宋" w:hAnsi="仿宋" w:eastAsia="仿宋" w:cs="仿宋_GB2312"/>
                <w:kern w:val="2"/>
                <w:sz w:val="21"/>
                <w:szCs w:val="21"/>
                <w:highlight w:val="none"/>
              </w:rPr>
              <w:t>分；</w:t>
            </w:r>
            <w:bookmarkEnd w:id="947"/>
            <w:r>
              <w:rPr>
                <w:rFonts w:hint="eastAsia" w:ascii="仿宋" w:hAnsi="仿宋" w:eastAsia="仿宋" w:cs="仿宋_GB2312"/>
                <w:kern w:val="2"/>
                <w:sz w:val="21"/>
                <w:szCs w:val="21"/>
                <w:highlight w:val="none"/>
                <w:lang w:val="en-US" w:eastAsia="zh-CN"/>
              </w:rPr>
              <w:t>提供1项完整且合理可行得2分</w:t>
            </w:r>
            <w:r>
              <w:rPr>
                <w:rFonts w:hint="eastAsia" w:ascii="仿宋" w:hAnsi="仿宋" w:eastAsia="仿宋" w:cs="仿宋_GB2312"/>
                <w:kern w:val="2"/>
                <w:sz w:val="21"/>
                <w:szCs w:val="21"/>
                <w:highlight w:val="none"/>
              </w:rPr>
              <w:t>，</w:t>
            </w:r>
            <w:r>
              <w:rPr>
                <w:rFonts w:hint="eastAsia" w:ascii="仿宋" w:hAnsi="仿宋" w:eastAsia="仿宋" w:cs="仿宋_GB2312"/>
                <w:kern w:val="2"/>
                <w:sz w:val="21"/>
                <w:szCs w:val="21"/>
                <w:highlight w:val="none"/>
                <w:lang w:val="en-US" w:eastAsia="zh-CN"/>
              </w:rPr>
              <w:t>每提供1项内容但内容有缺陷的得1分</w:t>
            </w:r>
            <w:r>
              <w:rPr>
                <w:rFonts w:hint="eastAsia" w:ascii="仿宋" w:hAnsi="仿宋" w:eastAsia="仿宋" w:cs="仿宋_GB2312"/>
                <w:kern w:val="2"/>
                <w:sz w:val="21"/>
                <w:szCs w:val="21"/>
                <w:highlight w:val="none"/>
              </w:rPr>
              <w:t>，</w:t>
            </w:r>
            <w:r>
              <w:rPr>
                <w:rFonts w:hint="eastAsia" w:ascii="仿宋" w:hAnsi="仿宋" w:eastAsia="仿宋" w:cs="仿宋_GB2312"/>
                <w:kern w:val="2"/>
                <w:sz w:val="21"/>
                <w:szCs w:val="21"/>
                <w:highlight w:val="none"/>
                <w:lang w:val="en-US" w:eastAsia="zh-CN"/>
              </w:rPr>
              <w:t>满分14分</w:t>
            </w:r>
            <w:r>
              <w:rPr>
                <w:rFonts w:hint="eastAsia" w:ascii="仿宋" w:hAnsi="仿宋" w:eastAsia="仿宋" w:cs="仿宋_GB2312"/>
                <w:kern w:val="2"/>
                <w:sz w:val="21"/>
                <w:szCs w:val="21"/>
                <w:highlight w:val="none"/>
              </w:rPr>
              <w:t>。</w:t>
            </w:r>
          </w:p>
        </w:tc>
        <w:tc>
          <w:tcPr>
            <w:tcW w:w="645" w:type="dxa"/>
            <w:tcBorders>
              <w:top w:val="single" w:color="auto" w:sz="4" w:space="0"/>
              <w:left w:val="single" w:color="auto" w:sz="4" w:space="0"/>
              <w:bottom w:val="single" w:color="auto" w:sz="4" w:space="0"/>
              <w:right w:val="single" w:color="auto" w:sz="4" w:space="0"/>
            </w:tcBorders>
            <w:vAlign w:val="center"/>
          </w:tcPr>
          <w:p w14:paraId="49F8EA0C">
            <w:pPr>
              <w:pStyle w:val="23"/>
              <w:adjustRightInd w:val="0"/>
              <w:snapToGrid w:val="0"/>
              <w:spacing w:before="0" w:beforeAutospacing="0" w:after="0" w:afterAutospacing="0"/>
              <w:jc w:val="center"/>
              <w:rPr>
                <w:rFonts w:ascii="仿宋" w:hAnsi="仿宋" w:eastAsia="仿宋" w:cs="仿宋_GB2312"/>
                <w:kern w:val="2"/>
                <w:sz w:val="21"/>
                <w:szCs w:val="21"/>
              </w:rPr>
            </w:pPr>
            <w:bookmarkStart w:id="948" w:name="OLE_LINK26"/>
            <w:r>
              <w:rPr>
                <w:rFonts w:hint="eastAsia" w:ascii="仿宋" w:hAnsi="仿宋" w:eastAsia="仿宋" w:cs="仿宋_GB2312"/>
                <w:kern w:val="2"/>
                <w:sz w:val="21"/>
                <w:szCs w:val="21"/>
                <w:lang w:val="en-US" w:eastAsia="zh-CN"/>
              </w:rPr>
              <w:t>14</w:t>
            </w:r>
            <w:r>
              <w:rPr>
                <w:rFonts w:hint="eastAsia" w:ascii="仿宋" w:hAnsi="仿宋" w:eastAsia="仿宋" w:cs="仿宋_GB2312"/>
                <w:kern w:val="2"/>
                <w:sz w:val="21"/>
                <w:szCs w:val="21"/>
              </w:rPr>
              <w:t>分</w:t>
            </w:r>
            <w:bookmarkEnd w:id="948"/>
          </w:p>
        </w:tc>
      </w:tr>
      <w:tr w14:paraId="34A3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47" w:type="dxa"/>
            <w:vMerge w:val="continue"/>
            <w:tcBorders>
              <w:left w:val="single" w:color="auto" w:sz="4" w:space="0"/>
              <w:right w:val="single" w:color="auto" w:sz="4" w:space="0"/>
            </w:tcBorders>
            <w:vAlign w:val="center"/>
          </w:tcPr>
          <w:p w14:paraId="03B404EE">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14:paraId="763DC5FE">
            <w:pPr>
              <w:pStyle w:val="23"/>
              <w:adjustRightInd w:val="0"/>
              <w:snapToGrid w:val="0"/>
              <w:spacing w:before="0" w:beforeAutospacing="0" w:after="0" w:afterAutospacing="0"/>
              <w:jc w:val="center"/>
              <w:rPr>
                <w:rFonts w:hint="eastAsia" w:ascii="仿宋" w:hAnsi="仿宋" w:eastAsia="仿宋" w:cs="仿宋_GB2312"/>
                <w:kern w:val="2"/>
                <w:sz w:val="21"/>
                <w:szCs w:val="21"/>
              </w:rPr>
            </w:pPr>
            <w:bookmarkStart w:id="949" w:name="OLE_LINK28"/>
            <w:r>
              <w:rPr>
                <w:rFonts w:hint="eastAsia" w:ascii="仿宋" w:hAnsi="仿宋" w:eastAsia="仿宋" w:cs="仿宋_GB2312"/>
                <w:kern w:val="2"/>
                <w:sz w:val="21"/>
                <w:szCs w:val="21"/>
                <w:lang w:eastAsia="zh-CN"/>
              </w:rPr>
              <w:t>供货</w:t>
            </w:r>
            <w:r>
              <w:rPr>
                <w:rFonts w:hint="eastAsia" w:ascii="仿宋" w:hAnsi="仿宋" w:eastAsia="仿宋" w:cs="仿宋_GB2312"/>
                <w:kern w:val="2"/>
                <w:sz w:val="21"/>
                <w:szCs w:val="21"/>
              </w:rPr>
              <w:t>方案</w:t>
            </w:r>
            <w:bookmarkEnd w:id="949"/>
          </w:p>
        </w:tc>
        <w:tc>
          <w:tcPr>
            <w:tcW w:w="6081" w:type="dxa"/>
            <w:tcBorders>
              <w:top w:val="single" w:color="auto" w:sz="4" w:space="0"/>
              <w:left w:val="single" w:color="auto" w:sz="4" w:space="0"/>
              <w:bottom w:val="single" w:color="auto" w:sz="4" w:space="0"/>
              <w:right w:val="single" w:color="auto" w:sz="4" w:space="0"/>
            </w:tcBorders>
            <w:vAlign w:val="center"/>
          </w:tcPr>
          <w:p w14:paraId="5F8107CB">
            <w:pPr>
              <w:pStyle w:val="23"/>
              <w:numPr>
                <w:ilvl w:val="0"/>
                <w:numId w:val="0"/>
              </w:numPr>
              <w:adjustRightInd w:val="0"/>
              <w:snapToGrid w:val="0"/>
              <w:spacing w:before="0" w:beforeAutospacing="0" w:after="0" w:afterAutospacing="0"/>
              <w:rPr>
                <w:rFonts w:hint="eastAsia" w:ascii="仿宋" w:hAnsi="仿宋" w:eastAsia="仿宋" w:cs="仿宋_GB2312"/>
                <w:kern w:val="2"/>
                <w:sz w:val="21"/>
                <w:szCs w:val="21"/>
                <w:highlight w:val="none"/>
              </w:rPr>
            </w:pPr>
            <w:bookmarkStart w:id="950" w:name="OLE_LINK29"/>
            <w:r>
              <w:rPr>
                <w:rFonts w:hint="eastAsia" w:ascii="仿宋" w:hAnsi="仿宋" w:eastAsia="仿宋" w:cs="仿宋_GB2312"/>
                <w:kern w:val="2"/>
                <w:sz w:val="21"/>
                <w:szCs w:val="21"/>
                <w:highlight w:val="none"/>
              </w:rPr>
              <w:t>投标人</w:t>
            </w:r>
            <w:r>
              <w:rPr>
                <w:rFonts w:hint="eastAsia" w:ascii="仿宋" w:hAnsi="仿宋" w:eastAsia="仿宋" w:cs="仿宋_GB2312"/>
                <w:kern w:val="2"/>
                <w:sz w:val="21"/>
                <w:szCs w:val="21"/>
                <w:highlight w:val="none"/>
                <w:lang w:val="en-US" w:eastAsia="zh-CN"/>
              </w:rPr>
              <w:t>根据</w:t>
            </w:r>
            <w:r>
              <w:rPr>
                <w:rFonts w:hint="eastAsia" w:ascii="仿宋" w:hAnsi="仿宋" w:eastAsia="仿宋" w:cs="仿宋_GB2312"/>
                <w:kern w:val="2"/>
                <w:sz w:val="21"/>
                <w:szCs w:val="21"/>
                <w:highlight w:val="none"/>
              </w:rPr>
              <w:t>本项目</w:t>
            </w:r>
            <w:r>
              <w:rPr>
                <w:rFonts w:hint="eastAsia" w:ascii="仿宋" w:hAnsi="仿宋" w:eastAsia="仿宋" w:cs="仿宋_GB2312"/>
                <w:kern w:val="2"/>
                <w:sz w:val="21"/>
                <w:szCs w:val="21"/>
                <w:highlight w:val="none"/>
                <w:lang w:val="en-US" w:eastAsia="zh-CN"/>
              </w:rPr>
              <w:t>提供</w:t>
            </w:r>
            <w:r>
              <w:rPr>
                <w:rFonts w:hint="eastAsia" w:ascii="仿宋" w:hAnsi="仿宋" w:eastAsia="仿宋" w:cs="仿宋_GB2312"/>
                <w:kern w:val="2"/>
                <w:sz w:val="21"/>
                <w:szCs w:val="21"/>
                <w:highlight w:val="none"/>
              </w:rPr>
              <w:t>供货方案包括</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①货物</w:t>
            </w:r>
            <w:r>
              <w:rPr>
                <w:rFonts w:hint="eastAsia" w:ascii="仿宋" w:hAnsi="仿宋" w:eastAsia="仿宋" w:cs="仿宋_GB2312"/>
                <w:kern w:val="2"/>
                <w:sz w:val="21"/>
                <w:szCs w:val="21"/>
                <w:highlight w:val="none"/>
              </w:rPr>
              <w:t>运输方案</w:t>
            </w:r>
            <w:r>
              <w:rPr>
                <w:rFonts w:hint="eastAsia" w:ascii="仿宋" w:hAnsi="仿宋" w:eastAsia="仿宋" w:cs="仿宋_GB2312"/>
                <w:kern w:val="2"/>
                <w:sz w:val="21"/>
                <w:szCs w:val="21"/>
                <w:highlight w:val="none"/>
                <w:lang w:val="en-US" w:eastAsia="zh-CN"/>
              </w:rPr>
              <w:t>；②货物运输需求；③货物运输资源配备；④货物</w:t>
            </w:r>
            <w:r>
              <w:rPr>
                <w:rFonts w:hint="eastAsia" w:ascii="仿宋" w:hAnsi="仿宋" w:eastAsia="仿宋" w:cs="仿宋_GB2312"/>
                <w:kern w:val="2"/>
                <w:sz w:val="21"/>
                <w:szCs w:val="21"/>
                <w:highlight w:val="none"/>
              </w:rPr>
              <w:t>运输</w:t>
            </w:r>
            <w:r>
              <w:rPr>
                <w:rFonts w:hint="eastAsia" w:ascii="仿宋" w:hAnsi="仿宋" w:eastAsia="仿宋" w:cs="仿宋_GB2312"/>
                <w:kern w:val="2"/>
                <w:sz w:val="21"/>
                <w:szCs w:val="21"/>
                <w:highlight w:val="none"/>
                <w:lang w:val="en-US" w:eastAsia="zh-CN"/>
              </w:rPr>
              <w:t>流程规划；⑤货物</w:t>
            </w:r>
            <w:r>
              <w:rPr>
                <w:rFonts w:hint="eastAsia" w:ascii="仿宋" w:hAnsi="仿宋" w:eastAsia="仿宋" w:cs="仿宋_GB2312"/>
                <w:kern w:val="2"/>
                <w:sz w:val="21"/>
                <w:szCs w:val="21"/>
                <w:highlight w:val="none"/>
              </w:rPr>
              <w:t>改装方案</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⑥货物包装、装卸方案；⑦货物运输</w:t>
            </w:r>
            <w:r>
              <w:rPr>
                <w:rFonts w:hint="eastAsia" w:ascii="仿宋" w:hAnsi="仿宋" w:eastAsia="仿宋" w:cs="仿宋_GB2312"/>
                <w:kern w:val="2"/>
                <w:sz w:val="21"/>
                <w:szCs w:val="21"/>
                <w:highlight w:val="none"/>
              </w:rPr>
              <w:t>服务人员安排</w:t>
            </w:r>
            <w:r>
              <w:rPr>
                <w:rFonts w:hint="eastAsia" w:ascii="仿宋" w:hAnsi="仿宋" w:eastAsia="仿宋" w:cs="仿宋_GB2312"/>
                <w:kern w:val="2"/>
                <w:sz w:val="21"/>
                <w:szCs w:val="21"/>
                <w:highlight w:val="none"/>
                <w:lang w:eastAsia="zh-CN"/>
              </w:rPr>
              <w:t>。</w:t>
            </w:r>
            <w:bookmarkEnd w:id="950"/>
            <w:r>
              <w:rPr>
                <w:rFonts w:hint="eastAsia" w:ascii="仿宋" w:hAnsi="仿宋" w:eastAsia="仿宋" w:cs="仿宋_GB2312"/>
                <w:kern w:val="2"/>
                <w:sz w:val="21"/>
                <w:szCs w:val="21"/>
                <w:highlight w:val="none"/>
                <w:lang w:val="en-US" w:eastAsia="zh-CN"/>
              </w:rPr>
              <w:t>以上</w:t>
            </w:r>
            <w:r>
              <w:rPr>
                <w:rFonts w:hint="eastAsia" w:ascii="仿宋" w:hAnsi="仿宋" w:eastAsia="仿宋" w:cs="仿宋_GB2312"/>
                <w:kern w:val="2"/>
                <w:sz w:val="21"/>
                <w:szCs w:val="21"/>
                <w:highlight w:val="none"/>
                <w:lang w:eastAsia="zh-CN"/>
              </w:rPr>
              <w:t>方案内容，</w:t>
            </w:r>
            <w:r>
              <w:rPr>
                <w:rFonts w:hint="eastAsia" w:ascii="仿宋" w:hAnsi="仿宋" w:eastAsia="仿宋" w:cs="仿宋_GB2312"/>
                <w:kern w:val="2"/>
                <w:sz w:val="21"/>
                <w:szCs w:val="21"/>
                <w:highlight w:val="none"/>
                <w:lang w:val="en-US" w:eastAsia="zh-CN"/>
              </w:rPr>
              <w:t>每提供1项</w:t>
            </w:r>
            <w:r>
              <w:rPr>
                <w:rFonts w:hint="eastAsia" w:ascii="仿宋" w:hAnsi="仿宋" w:eastAsia="仿宋" w:cs="仿宋_GB2312"/>
                <w:kern w:val="2"/>
                <w:sz w:val="21"/>
                <w:szCs w:val="21"/>
                <w:highlight w:val="none"/>
                <w:lang w:eastAsia="zh-CN"/>
              </w:rPr>
              <w:t>完整且合理可行得</w:t>
            </w:r>
            <w:r>
              <w:rPr>
                <w:rFonts w:hint="eastAsia" w:ascii="仿宋" w:hAnsi="仿宋" w:eastAsia="仿宋" w:cs="仿宋_GB2312"/>
                <w:kern w:val="2"/>
                <w:sz w:val="21"/>
                <w:szCs w:val="21"/>
                <w:highlight w:val="none"/>
                <w:lang w:val="en-US" w:eastAsia="zh-CN"/>
              </w:rPr>
              <w:t>2</w:t>
            </w:r>
            <w:r>
              <w:rPr>
                <w:rFonts w:hint="eastAsia" w:ascii="仿宋" w:hAnsi="仿宋" w:eastAsia="仿宋" w:cs="仿宋_GB2312"/>
                <w:kern w:val="2"/>
                <w:sz w:val="21"/>
                <w:szCs w:val="21"/>
                <w:highlight w:val="none"/>
                <w:lang w:eastAsia="zh-CN"/>
              </w:rPr>
              <w:t>分，</w:t>
            </w:r>
            <w:r>
              <w:rPr>
                <w:rFonts w:hint="eastAsia" w:ascii="仿宋" w:hAnsi="仿宋" w:eastAsia="仿宋" w:cs="仿宋_GB2312"/>
                <w:kern w:val="2"/>
                <w:sz w:val="21"/>
                <w:szCs w:val="21"/>
                <w:highlight w:val="none"/>
                <w:lang w:val="en-US" w:eastAsia="zh-CN"/>
              </w:rPr>
              <w:t>每提供1项内容但内容有缺陷的得1分</w:t>
            </w:r>
            <w:r>
              <w:rPr>
                <w:rFonts w:hint="eastAsia" w:ascii="仿宋" w:hAnsi="仿宋" w:eastAsia="仿宋" w:cs="仿宋_GB2312"/>
                <w:kern w:val="2"/>
                <w:sz w:val="21"/>
                <w:szCs w:val="21"/>
                <w:highlight w:val="none"/>
                <w:lang w:eastAsia="zh-CN"/>
              </w:rPr>
              <w:t>，</w:t>
            </w:r>
            <w:r>
              <w:rPr>
                <w:rFonts w:hint="eastAsia" w:ascii="仿宋" w:hAnsi="仿宋" w:eastAsia="仿宋" w:cs="仿宋_GB2312"/>
                <w:kern w:val="2"/>
                <w:sz w:val="21"/>
                <w:szCs w:val="21"/>
                <w:highlight w:val="none"/>
                <w:lang w:val="en-US" w:eastAsia="zh-CN"/>
              </w:rPr>
              <w:t>满分14分</w:t>
            </w:r>
            <w:r>
              <w:rPr>
                <w:rFonts w:hint="eastAsia" w:ascii="仿宋" w:hAnsi="仿宋" w:eastAsia="仿宋" w:cs="仿宋_GB2312"/>
                <w:kern w:val="2"/>
                <w:sz w:val="21"/>
                <w:szCs w:val="21"/>
                <w:highlight w:val="none"/>
                <w:lang w:eastAsia="zh-CN"/>
              </w:rPr>
              <w:t>；</w:t>
            </w:r>
          </w:p>
        </w:tc>
        <w:tc>
          <w:tcPr>
            <w:tcW w:w="645" w:type="dxa"/>
            <w:tcBorders>
              <w:top w:val="single" w:color="auto" w:sz="4" w:space="0"/>
              <w:left w:val="single" w:color="auto" w:sz="4" w:space="0"/>
              <w:bottom w:val="single" w:color="auto" w:sz="4" w:space="0"/>
              <w:right w:val="single" w:color="auto" w:sz="4" w:space="0"/>
            </w:tcBorders>
            <w:vAlign w:val="center"/>
          </w:tcPr>
          <w:p w14:paraId="12C299DA">
            <w:pPr>
              <w:pStyle w:val="23"/>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lang w:val="en-US" w:eastAsia="zh-CN"/>
              </w:rPr>
              <w:t>14</w:t>
            </w:r>
            <w:r>
              <w:rPr>
                <w:rFonts w:hint="eastAsia" w:ascii="仿宋" w:hAnsi="仿宋" w:eastAsia="仿宋" w:cs="仿宋_GB2312"/>
                <w:kern w:val="2"/>
                <w:sz w:val="21"/>
                <w:szCs w:val="21"/>
              </w:rPr>
              <w:t>分</w:t>
            </w:r>
          </w:p>
        </w:tc>
      </w:tr>
      <w:tr w14:paraId="68B4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47" w:type="dxa"/>
            <w:vMerge w:val="restart"/>
            <w:tcBorders>
              <w:top w:val="single" w:color="auto" w:sz="4" w:space="0"/>
              <w:left w:val="single" w:color="auto" w:sz="4" w:space="0"/>
              <w:right w:val="single" w:color="auto" w:sz="4" w:space="0"/>
            </w:tcBorders>
            <w:vAlign w:val="center"/>
          </w:tcPr>
          <w:p w14:paraId="76ADFDBD">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bookmarkStart w:id="951" w:name="OLE_LINK32" w:colFirst="2" w:colLast="2"/>
            <w:r>
              <w:rPr>
                <w:rFonts w:hint="eastAsia" w:ascii="仿宋" w:hAnsi="仿宋" w:eastAsia="仿宋" w:cs="仿宋_GB2312"/>
                <w:kern w:val="2"/>
                <w:sz w:val="21"/>
                <w:szCs w:val="21"/>
                <w:highlight w:val="none"/>
              </w:rPr>
              <w:t>商务部分（</w:t>
            </w:r>
            <w:r>
              <w:rPr>
                <w:rFonts w:hint="eastAsia" w:ascii="仿宋" w:hAnsi="仿宋" w:eastAsia="仿宋" w:cs="仿宋_GB2312"/>
                <w:kern w:val="2"/>
                <w:sz w:val="21"/>
                <w:szCs w:val="21"/>
                <w:highlight w:val="none"/>
                <w:lang w:val="en-US" w:eastAsia="zh-CN"/>
              </w:rPr>
              <w:t>20</w:t>
            </w:r>
            <w:r>
              <w:rPr>
                <w:rFonts w:hint="eastAsia" w:ascii="仿宋" w:hAnsi="仿宋" w:eastAsia="仿宋" w:cs="仿宋_GB2312"/>
                <w:kern w:val="2"/>
                <w:sz w:val="21"/>
                <w:szCs w:val="21"/>
                <w:highlight w:val="none"/>
              </w:rPr>
              <w:t>分）</w:t>
            </w:r>
          </w:p>
        </w:tc>
        <w:tc>
          <w:tcPr>
            <w:tcW w:w="1088" w:type="dxa"/>
            <w:tcBorders>
              <w:top w:val="single" w:color="auto" w:sz="4" w:space="0"/>
              <w:left w:val="single" w:color="auto" w:sz="4" w:space="0"/>
              <w:bottom w:val="single" w:color="auto" w:sz="4" w:space="0"/>
              <w:right w:val="single" w:color="auto" w:sz="4" w:space="0"/>
            </w:tcBorders>
            <w:vAlign w:val="center"/>
          </w:tcPr>
          <w:p w14:paraId="55C7D107">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r>
              <w:rPr>
                <w:rFonts w:hint="eastAsia" w:ascii="仿宋" w:hAnsi="仿宋" w:eastAsia="仿宋" w:cs="仿宋_GB2312"/>
                <w:kern w:val="2"/>
                <w:sz w:val="21"/>
                <w:szCs w:val="21"/>
                <w:lang w:val="en-US" w:eastAsia="zh-CN"/>
              </w:rPr>
              <w:t>培训方案</w:t>
            </w:r>
          </w:p>
        </w:tc>
        <w:tc>
          <w:tcPr>
            <w:tcW w:w="6081" w:type="dxa"/>
            <w:tcBorders>
              <w:top w:val="single" w:color="auto" w:sz="4" w:space="0"/>
              <w:left w:val="single" w:color="auto" w:sz="4" w:space="0"/>
              <w:bottom w:val="single" w:color="auto" w:sz="4" w:space="0"/>
              <w:right w:val="single" w:color="auto" w:sz="4" w:space="0"/>
            </w:tcBorders>
            <w:vAlign w:val="center"/>
          </w:tcPr>
          <w:p w14:paraId="54B07434">
            <w:pPr>
              <w:pStyle w:val="23"/>
              <w:numPr>
                <w:ilvl w:val="0"/>
                <w:numId w:val="0"/>
              </w:numPr>
              <w:adjustRightInd w:val="0"/>
              <w:snapToGrid w:val="0"/>
              <w:spacing w:before="0" w:beforeAutospacing="0" w:after="0" w:afterAutospacing="0"/>
              <w:rPr>
                <w:rFonts w:hint="eastAsia" w:ascii="仿宋" w:hAnsi="仿宋" w:eastAsia="仿宋" w:cs="仿宋_GB2312"/>
                <w:kern w:val="2"/>
                <w:sz w:val="21"/>
                <w:szCs w:val="21"/>
                <w:highlight w:val="none"/>
              </w:rPr>
            </w:pPr>
            <w:r>
              <w:rPr>
                <w:rFonts w:hint="eastAsia" w:ascii="仿宋" w:hAnsi="仿宋" w:eastAsia="仿宋" w:cs="仿宋_GB2312"/>
                <w:kern w:val="2"/>
                <w:sz w:val="21"/>
                <w:szCs w:val="21"/>
                <w:highlight w:val="none"/>
                <w:lang w:val="en-US" w:eastAsia="zh-CN"/>
              </w:rPr>
              <w:t>投标人针对本项目的情况编制详细的培训方案：</w:t>
            </w:r>
            <w:r>
              <w:rPr>
                <w:rFonts w:hint="eastAsia" w:ascii="仿宋" w:hAnsi="仿宋" w:eastAsia="仿宋" w:cs="仿宋_GB2312"/>
                <w:kern w:val="2"/>
                <w:sz w:val="21"/>
                <w:szCs w:val="21"/>
                <w:highlight w:val="none"/>
                <w:lang w:val="en-US" w:eastAsia="en-US"/>
              </w:rPr>
              <w:t>内容包括</w:t>
            </w:r>
            <w:r>
              <w:rPr>
                <w:rFonts w:hint="eastAsia" w:ascii="仿宋" w:hAnsi="仿宋" w:eastAsia="仿宋" w:cs="仿宋_GB2312"/>
                <w:kern w:val="2"/>
                <w:sz w:val="21"/>
                <w:szCs w:val="21"/>
                <w:highlight w:val="none"/>
                <w:lang w:val="en-US" w:eastAsia="zh-CN"/>
              </w:rPr>
              <w:t>①培训方式；②培训时间、培训地点；③培训基本原理；④操作使用和保养维修；以上方案内容，每提供1项完整且合理可行得1分，每提供1项内容但内容有缺陷的得0.5分，满分4分；</w:t>
            </w:r>
          </w:p>
        </w:tc>
        <w:tc>
          <w:tcPr>
            <w:tcW w:w="645" w:type="dxa"/>
            <w:tcBorders>
              <w:top w:val="single" w:color="auto" w:sz="4" w:space="0"/>
              <w:left w:val="single" w:color="auto" w:sz="4" w:space="0"/>
              <w:bottom w:val="single" w:color="auto" w:sz="4" w:space="0"/>
              <w:right w:val="single" w:color="auto" w:sz="4" w:space="0"/>
            </w:tcBorders>
            <w:vAlign w:val="center"/>
          </w:tcPr>
          <w:p w14:paraId="00873E33">
            <w:pPr>
              <w:pStyle w:val="23"/>
              <w:adjustRightInd w:val="0"/>
              <w:snapToGrid w:val="0"/>
              <w:spacing w:before="0" w:beforeAutospacing="0" w:after="0" w:afterAutospacing="0"/>
              <w:jc w:val="center"/>
              <w:rPr>
                <w:rFonts w:ascii="仿宋" w:hAnsi="仿宋" w:eastAsia="仿宋" w:cs="仿宋_GB2312"/>
                <w:kern w:val="2"/>
                <w:sz w:val="21"/>
                <w:szCs w:val="21"/>
              </w:rPr>
            </w:pPr>
            <w:bookmarkStart w:id="952" w:name="OLE_LINK31"/>
            <w:r>
              <w:rPr>
                <w:rFonts w:hint="eastAsia" w:ascii="仿宋" w:hAnsi="仿宋" w:eastAsia="仿宋" w:cs="仿宋_GB2312"/>
                <w:kern w:val="2"/>
                <w:sz w:val="21"/>
                <w:szCs w:val="21"/>
                <w:lang w:val="en-US" w:eastAsia="zh-CN"/>
              </w:rPr>
              <w:t>4</w:t>
            </w:r>
            <w:r>
              <w:rPr>
                <w:rFonts w:hint="eastAsia" w:ascii="仿宋" w:hAnsi="仿宋" w:eastAsia="仿宋" w:cs="仿宋_GB2312"/>
                <w:kern w:val="2"/>
                <w:sz w:val="21"/>
                <w:szCs w:val="21"/>
              </w:rPr>
              <w:t>分</w:t>
            </w:r>
            <w:bookmarkEnd w:id="952"/>
            <w:r>
              <w:rPr>
                <w:rFonts w:ascii="仿宋" w:hAnsi="仿宋" w:eastAsia="仿宋" w:cs="仿宋_GB2312"/>
                <w:kern w:val="2"/>
                <w:sz w:val="21"/>
                <w:szCs w:val="21"/>
              </w:rPr>
              <w:t xml:space="preserve"> </w:t>
            </w:r>
          </w:p>
        </w:tc>
      </w:tr>
      <w:tr w14:paraId="606C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47" w:type="dxa"/>
            <w:vMerge w:val="continue"/>
            <w:tcBorders>
              <w:left w:val="single" w:color="auto" w:sz="4" w:space="0"/>
              <w:right w:val="single" w:color="auto" w:sz="4" w:space="0"/>
            </w:tcBorders>
            <w:vAlign w:val="center"/>
          </w:tcPr>
          <w:p w14:paraId="5CC0F450">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14:paraId="0EE1A889">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bookmarkStart w:id="953" w:name="OLE_LINK34"/>
            <w:r>
              <w:rPr>
                <w:rFonts w:hint="eastAsia" w:ascii="仿宋" w:hAnsi="仿宋" w:eastAsia="仿宋" w:cs="仿宋_GB2312"/>
                <w:kern w:val="2"/>
                <w:sz w:val="21"/>
                <w:szCs w:val="21"/>
              </w:rPr>
              <w:t>售后服务方案</w:t>
            </w:r>
            <w:bookmarkEnd w:id="953"/>
          </w:p>
        </w:tc>
        <w:tc>
          <w:tcPr>
            <w:tcW w:w="6081" w:type="dxa"/>
            <w:tcBorders>
              <w:top w:val="single" w:color="auto" w:sz="4" w:space="0"/>
              <w:left w:val="single" w:color="auto" w:sz="4" w:space="0"/>
              <w:bottom w:val="single" w:color="auto" w:sz="4" w:space="0"/>
              <w:right w:val="single" w:color="auto" w:sz="4" w:space="0"/>
            </w:tcBorders>
            <w:vAlign w:val="center"/>
          </w:tcPr>
          <w:p w14:paraId="6B594E48">
            <w:pPr>
              <w:pStyle w:val="23"/>
              <w:numPr>
                <w:ilvl w:val="0"/>
                <w:numId w:val="0"/>
              </w:numPr>
              <w:adjustRightInd w:val="0"/>
              <w:snapToGrid w:val="0"/>
              <w:spacing w:before="0" w:beforeAutospacing="0" w:after="0" w:afterAutospacing="0"/>
              <w:rPr>
                <w:rFonts w:hint="eastAsia" w:ascii="仿宋" w:hAnsi="仿宋" w:eastAsia="仿宋" w:cs="仿宋_GB2312"/>
                <w:kern w:val="2"/>
                <w:sz w:val="21"/>
                <w:szCs w:val="21"/>
                <w:highlight w:val="none"/>
              </w:rPr>
            </w:pPr>
            <w:r>
              <w:rPr>
                <w:rFonts w:hint="eastAsia" w:ascii="仿宋" w:hAnsi="仿宋" w:eastAsia="仿宋" w:cs="仿宋_GB2312"/>
                <w:kern w:val="2"/>
                <w:sz w:val="21"/>
                <w:szCs w:val="21"/>
                <w:highlight w:val="none"/>
                <w:lang w:val="en-US" w:eastAsia="zh-CN"/>
              </w:rPr>
              <w:t>投标人提供的售后服务方案的内容包括：①售后服务保障体系；②质保期内、外服务计划；③售后服务承诺；④维修保养计划；⑤备品备件配置；⑥产品的故障处理及响应时间；⑦售后服务网点证明。以上方案内容，每提供1项完整且合理可行得2分，每提供1项内容但内容有缺陷的得1分，满分14分；</w:t>
            </w:r>
          </w:p>
        </w:tc>
        <w:tc>
          <w:tcPr>
            <w:tcW w:w="645" w:type="dxa"/>
            <w:tcBorders>
              <w:top w:val="single" w:color="auto" w:sz="4" w:space="0"/>
              <w:left w:val="single" w:color="auto" w:sz="4" w:space="0"/>
              <w:bottom w:val="single" w:color="auto" w:sz="4" w:space="0"/>
              <w:right w:val="single" w:color="auto" w:sz="4" w:space="0"/>
            </w:tcBorders>
            <w:vAlign w:val="center"/>
          </w:tcPr>
          <w:p w14:paraId="5ADF3764">
            <w:pPr>
              <w:pStyle w:val="23"/>
              <w:adjustRightInd w:val="0"/>
              <w:snapToGrid w:val="0"/>
              <w:spacing w:before="0" w:beforeAutospacing="0" w:after="0" w:afterAutospacing="0"/>
              <w:jc w:val="center"/>
              <w:rPr>
                <w:rFonts w:ascii="仿宋" w:hAnsi="仿宋" w:eastAsia="仿宋" w:cs="仿宋_GB2312"/>
                <w:kern w:val="2"/>
                <w:sz w:val="21"/>
                <w:szCs w:val="21"/>
              </w:rPr>
            </w:pPr>
            <w:r>
              <w:rPr>
                <w:rFonts w:hint="eastAsia" w:ascii="仿宋" w:hAnsi="仿宋" w:eastAsia="仿宋" w:cs="仿宋_GB2312"/>
                <w:kern w:val="2"/>
                <w:sz w:val="21"/>
                <w:szCs w:val="21"/>
                <w:lang w:val="en-US" w:eastAsia="zh-CN"/>
              </w:rPr>
              <w:t>14</w:t>
            </w:r>
            <w:r>
              <w:rPr>
                <w:rFonts w:hint="eastAsia" w:ascii="仿宋" w:hAnsi="仿宋" w:eastAsia="仿宋" w:cs="仿宋_GB2312"/>
                <w:kern w:val="2"/>
                <w:sz w:val="21"/>
                <w:szCs w:val="21"/>
              </w:rPr>
              <w:t>分</w:t>
            </w:r>
          </w:p>
        </w:tc>
      </w:tr>
      <w:bookmarkEnd w:id="951"/>
      <w:tr w14:paraId="0F84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47" w:type="dxa"/>
            <w:vMerge w:val="continue"/>
            <w:tcBorders>
              <w:left w:val="single" w:color="auto" w:sz="4" w:space="0"/>
              <w:right w:val="single" w:color="auto" w:sz="4" w:space="0"/>
            </w:tcBorders>
            <w:vAlign w:val="center"/>
          </w:tcPr>
          <w:p w14:paraId="40A8CAC1">
            <w:pPr>
              <w:pStyle w:val="23"/>
              <w:adjustRightInd w:val="0"/>
              <w:snapToGrid w:val="0"/>
              <w:spacing w:before="0" w:beforeAutospacing="0" w:after="0" w:afterAutospacing="0"/>
              <w:jc w:val="center"/>
              <w:rPr>
                <w:rFonts w:ascii="仿宋" w:hAnsi="仿宋" w:eastAsia="仿宋" w:cs="仿宋_GB2312"/>
                <w:kern w:val="2"/>
                <w:sz w:val="21"/>
                <w:szCs w:val="21"/>
                <w:highlight w:val="none"/>
              </w:rPr>
            </w:pPr>
          </w:p>
        </w:tc>
        <w:tc>
          <w:tcPr>
            <w:tcW w:w="1088" w:type="dxa"/>
            <w:tcBorders>
              <w:top w:val="single" w:color="auto" w:sz="4" w:space="0"/>
              <w:left w:val="single" w:color="auto" w:sz="4" w:space="0"/>
              <w:bottom w:val="single" w:color="auto" w:sz="4" w:space="0"/>
              <w:right w:val="single" w:color="auto" w:sz="4" w:space="0"/>
            </w:tcBorders>
            <w:vAlign w:val="center"/>
          </w:tcPr>
          <w:p w14:paraId="066D94FC">
            <w:pPr>
              <w:pStyle w:val="23"/>
              <w:adjustRightInd w:val="0"/>
              <w:snapToGrid w:val="0"/>
              <w:spacing w:before="0" w:beforeAutospacing="0" w:after="0" w:afterAutospacing="0"/>
              <w:jc w:val="center"/>
              <w:rPr>
                <w:rFonts w:hint="eastAsia" w:ascii="仿宋" w:hAnsi="仿宋" w:eastAsia="仿宋" w:cs="仿宋_GB2312"/>
                <w:kern w:val="2"/>
                <w:sz w:val="21"/>
                <w:szCs w:val="21"/>
              </w:rPr>
            </w:pPr>
            <w:bookmarkStart w:id="954" w:name="OLE_LINK36"/>
            <w:r>
              <w:rPr>
                <w:rFonts w:hint="eastAsia" w:ascii="仿宋" w:hAnsi="仿宋" w:eastAsia="仿宋" w:cs="仿宋_GB2312"/>
                <w:kern w:val="2"/>
                <w:sz w:val="21"/>
                <w:szCs w:val="21"/>
              </w:rPr>
              <w:t>同类业绩</w:t>
            </w:r>
            <w:bookmarkEnd w:id="954"/>
          </w:p>
        </w:tc>
        <w:tc>
          <w:tcPr>
            <w:tcW w:w="6081" w:type="dxa"/>
            <w:tcBorders>
              <w:top w:val="single" w:color="auto" w:sz="4" w:space="0"/>
              <w:left w:val="single" w:color="auto" w:sz="4" w:space="0"/>
              <w:bottom w:val="single" w:color="auto" w:sz="4" w:space="0"/>
              <w:right w:val="single" w:color="auto" w:sz="4" w:space="0"/>
            </w:tcBorders>
            <w:vAlign w:val="center"/>
          </w:tcPr>
          <w:p w14:paraId="193C4202">
            <w:pPr>
              <w:pStyle w:val="23"/>
              <w:numPr>
                <w:ilvl w:val="0"/>
                <w:numId w:val="0"/>
              </w:numPr>
              <w:adjustRightInd w:val="0"/>
              <w:snapToGrid w:val="0"/>
              <w:spacing w:before="0" w:beforeAutospacing="0" w:after="0" w:afterAutospacing="0"/>
              <w:rPr>
                <w:rFonts w:hint="eastAsia" w:ascii="仿宋" w:hAnsi="仿宋" w:eastAsia="仿宋" w:cs="仿宋_GB2312"/>
                <w:kern w:val="2"/>
                <w:sz w:val="21"/>
                <w:szCs w:val="21"/>
                <w:highlight w:val="none"/>
                <w:lang w:val="en-US" w:eastAsia="zh-CN"/>
              </w:rPr>
            </w:pPr>
            <w:r>
              <w:rPr>
                <w:rFonts w:hint="eastAsia" w:ascii="仿宋" w:hAnsi="仿宋" w:eastAsia="仿宋" w:cs="仿宋_GB2312"/>
                <w:kern w:val="2"/>
                <w:sz w:val="21"/>
                <w:szCs w:val="21"/>
                <w:highlight w:val="none"/>
                <w:lang w:val="en-US" w:eastAsia="zh-CN"/>
              </w:rPr>
              <w:t>提供近三年内类似业绩的中标（成交）通知书或合同，每提供一个得1分，满分2分。</w:t>
            </w:r>
          </w:p>
          <w:p w14:paraId="62D01EF9">
            <w:pPr>
              <w:pStyle w:val="23"/>
              <w:numPr>
                <w:ilvl w:val="0"/>
                <w:numId w:val="0"/>
              </w:numPr>
              <w:adjustRightInd w:val="0"/>
              <w:snapToGrid w:val="0"/>
              <w:spacing w:before="0" w:beforeAutospacing="0" w:after="0" w:afterAutospacing="0"/>
              <w:rPr>
                <w:rFonts w:hint="eastAsia" w:ascii="仿宋" w:hAnsi="仿宋" w:eastAsia="仿宋" w:cs="仿宋_GB2312"/>
                <w:kern w:val="2"/>
                <w:sz w:val="21"/>
                <w:szCs w:val="21"/>
                <w:highlight w:val="none"/>
              </w:rPr>
            </w:pPr>
            <w:r>
              <w:rPr>
                <w:rFonts w:hint="eastAsia" w:ascii="仿宋" w:hAnsi="仿宋" w:eastAsia="仿宋" w:cs="仿宋_GB2312"/>
                <w:kern w:val="2"/>
                <w:sz w:val="21"/>
                <w:szCs w:val="21"/>
                <w:highlight w:val="none"/>
                <w:lang w:val="en-US" w:eastAsia="zh-CN"/>
              </w:rPr>
              <w:t>注：须提供中标通知书和合同，未提供或提供材料内容不全的本项不得分。</w:t>
            </w:r>
          </w:p>
        </w:tc>
        <w:tc>
          <w:tcPr>
            <w:tcW w:w="645" w:type="dxa"/>
            <w:tcBorders>
              <w:top w:val="single" w:color="auto" w:sz="4" w:space="0"/>
              <w:left w:val="single" w:color="auto" w:sz="4" w:space="0"/>
              <w:bottom w:val="single" w:color="auto" w:sz="4" w:space="0"/>
              <w:right w:val="single" w:color="auto" w:sz="4" w:space="0"/>
            </w:tcBorders>
            <w:vAlign w:val="center"/>
          </w:tcPr>
          <w:p w14:paraId="12F78358">
            <w:pPr>
              <w:pStyle w:val="23"/>
              <w:adjustRightInd w:val="0"/>
              <w:snapToGrid w:val="0"/>
              <w:spacing w:before="0" w:beforeAutospacing="0" w:after="0" w:afterAutospacing="0"/>
              <w:jc w:val="center"/>
              <w:rPr>
                <w:rFonts w:hint="default" w:ascii="仿宋" w:hAnsi="仿宋" w:eastAsia="仿宋" w:cs="仿宋_GB2312"/>
                <w:kern w:val="2"/>
                <w:sz w:val="21"/>
                <w:szCs w:val="21"/>
                <w:lang w:val="en-US" w:eastAsia="zh-CN"/>
              </w:rPr>
            </w:pPr>
            <w:r>
              <w:rPr>
                <w:rFonts w:hint="eastAsia" w:ascii="仿宋" w:hAnsi="仿宋" w:eastAsia="仿宋" w:cs="仿宋_GB2312"/>
                <w:kern w:val="2"/>
                <w:sz w:val="21"/>
                <w:szCs w:val="21"/>
                <w:lang w:val="en-US" w:eastAsia="zh-CN"/>
              </w:rPr>
              <w:t>2</w:t>
            </w:r>
          </w:p>
        </w:tc>
      </w:tr>
    </w:tbl>
    <w:p w14:paraId="1B3479B0">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评审完毕，评标委员会根据汇总各投标企业的综合得分，按照得分高低进行排序，取前三名作为中标候选人推荐给招标委员会。如果两投标人的得分相同，投标价格低者排在前。</w:t>
      </w:r>
    </w:p>
    <w:p w14:paraId="0CE36A09">
      <w:pPr>
        <w:pStyle w:val="64"/>
        <w:snapToGrid w:val="0"/>
        <w:spacing w:line="500" w:lineRule="exact"/>
        <w:ind w:left="0" w:firstLineChars="200"/>
        <w:rPr>
          <w:rStyle w:val="37"/>
          <w:rFonts w:ascii="仿宋_GB2312" w:hAnsi="仿宋_GB2312" w:eastAsia="仿宋_GB2312"/>
          <w:iCs/>
          <w:szCs w:val="24"/>
        </w:rPr>
      </w:pPr>
      <w:r>
        <w:rPr>
          <w:rStyle w:val="37"/>
          <w:rFonts w:ascii="仿宋_GB2312" w:hAnsi="仿宋_GB2312" w:eastAsia="仿宋_GB2312"/>
          <w:iCs/>
          <w:szCs w:val="24"/>
        </w:rPr>
        <w:t>本项目参数要求、评审内容如有指向性，仅作为招标参考，投标产品不应低于招标要求，如有不符合要求，视为不响应招标文件规定。</w:t>
      </w:r>
    </w:p>
    <w:p w14:paraId="6A563A4B">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3.5复核。评分汇总结束后，评标委员会应当进行复核，特别要对拟推荐为中标候选供应商的、报价最低的、投标文件被认定为无效的进行重点复核。</w:t>
      </w:r>
    </w:p>
    <w:p w14:paraId="54D1EA2A">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3.6推荐中标候选供应商。中标候选供应商应当排序。</w:t>
      </w:r>
    </w:p>
    <w:p w14:paraId="36552265">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3.7出具评标报告。评标委员会推荐中标候选供应商后，应当向招标采购单位出具评标报告。评标报告应当包括下列内容：</w:t>
      </w:r>
    </w:p>
    <w:p w14:paraId="28E34476">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（一）招标公告刊登的媒体名称、开标日期和地点；</w:t>
      </w:r>
    </w:p>
    <w:p w14:paraId="022ADABA">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（二）评标委员会成员名单；</w:t>
      </w:r>
    </w:p>
    <w:p w14:paraId="2BEB40DD">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（三）评标方法和标准；</w:t>
      </w:r>
    </w:p>
    <w:p w14:paraId="42687501">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（四）开标记录和评标情况及说明，包括无效投标人名单及原因；</w:t>
      </w:r>
    </w:p>
    <w:p w14:paraId="47F1EE83">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（五）评标结果，确定的中标候选人名单或者经采购人委托直接确定的中标人；</w:t>
      </w:r>
    </w:p>
    <w:p w14:paraId="15AD126A">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（六）其他需要说明的情况，包括评标过程中投标人根据评标委员会要求进行的澄清、说明或者补正，评标委员会成员的更换等。</w:t>
      </w:r>
    </w:p>
    <w:p w14:paraId="12004EB1">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6BA804E">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7AFE5094">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3.9供应商应当书面澄清、说明或者更正。</w:t>
      </w:r>
    </w:p>
    <w:p w14:paraId="08C1A038">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3.9.1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140FE01E">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 xml:space="preserve">  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但投标人的澄清、说明或者补正不得超出投标文件的范围或者改变投标文件的实质性内容。</w:t>
      </w:r>
    </w:p>
    <w:p w14:paraId="3BDB298A">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3.9.3评标委员会要求供应商澄清、说明或者更正，不得超出招标文件的范围，不得以此让供应商实质改变投标文件的内容，不得影响供应商公平竞争。本项目下列内容不得澄清：</w:t>
      </w:r>
    </w:p>
    <w:p w14:paraId="27F70A6A">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（一）按财政部规定应当在评标时不予承认的投标文件内容事项；</w:t>
      </w:r>
    </w:p>
    <w:p w14:paraId="6633E3B8">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（二）投标文件中已经明确的内容事项；</w:t>
      </w:r>
    </w:p>
    <w:p w14:paraId="0B4066A2">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（三）投标文件未提供的材料。</w:t>
      </w:r>
    </w:p>
    <w:p w14:paraId="2EF5AF49">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E463FC">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1A374EB">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3.11招标采购单位现场复核评标结果。</w:t>
      </w:r>
    </w:p>
    <w:p w14:paraId="2C8822C1">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3.11.1评标结果汇总完成后，评标委员会拟出具评标报告前，招标采购单位应当组织本单位工作人员，在采购现场监督人员的监督之下，依据有关的法律制度和采购文件对评标结果进行复核，提出复核意见。</w:t>
      </w:r>
    </w:p>
    <w:p w14:paraId="56B963C5">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评标报告签署前，经复核发现存在实质性错误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EF85AFA">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5、 废 标</w:t>
      </w:r>
    </w:p>
    <w:p w14:paraId="3E0F6237">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废标后，采购代理机构应在网上公告。投标人需要知晓导致废标情形的具体原因和理由的，可以通过书面形式询问招标采购单位。</w:t>
      </w:r>
    </w:p>
    <w:p w14:paraId="79175967">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对于评标过程中废标的采购项目，评标委员会应当对招标文件是否存在倾向性和歧视性、是否存在不合理条款进行论证，并出具书面论证意见。</w:t>
      </w:r>
    </w:p>
    <w:p w14:paraId="4AFCF4AF">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6、定标</w:t>
      </w:r>
    </w:p>
    <w:p w14:paraId="414EBA36">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6.1. 定标原则：由采购人根据评标委员会的推荐意见确定中标供应商。</w:t>
      </w:r>
    </w:p>
    <w:p w14:paraId="7D5FA9F0">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6.2. 定标程序</w:t>
      </w:r>
    </w:p>
    <w:p w14:paraId="51339C87">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6.2.1 评标委员会将评标情况写出书面报告，推荐中标候选供应商。</w:t>
      </w:r>
    </w:p>
    <w:p w14:paraId="1D9FA78E">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6.2.2 采购代理机构在评标结束后2个工作日内将评标报告送采购人。</w:t>
      </w:r>
    </w:p>
    <w:p w14:paraId="1ED6CBB4">
      <w:pPr>
        <w:pStyle w:val="23"/>
        <w:spacing w:beforeAutospacing="0" w:afterAutospacing="0" w:line="520" w:lineRule="atLeast"/>
        <w:ind w:firstLine="480" w:firstLineChars="200"/>
        <w:jc w:val="both"/>
        <w:rPr>
          <w:rFonts w:ascii="仿宋_GB2312" w:hAnsi="仿宋_GB2312" w:eastAsia="仿宋_GB2312" w:cs="仿宋_GB2312"/>
          <w:iCs/>
          <w:kern w:val="2"/>
        </w:rPr>
      </w:pPr>
      <w:r>
        <w:rPr>
          <w:rFonts w:hint="eastAsia" w:ascii="仿宋_GB2312" w:hAnsi="仿宋_GB2312" w:eastAsia="仿宋_GB2312" w:cs="仿宋_GB2312"/>
          <w:iCs/>
          <w:kern w:val="2"/>
        </w:rPr>
        <w:t>6.2.3 采购人在收到评标报告后5个工作日内，按照评标报告中推荐的中标候选供应商顺序确定中标供应商。</w:t>
      </w:r>
    </w:p>
    <w:p w14:paraId="6682271B">
      <w:pPr>
        <w:pStyle w:val="23"/>
        <w:spacing w:beforeAutospacing="0" w:afterAutospacing="0" w:line="520" w:lineRule="atLeast"/>
        <w:ind w:left="147" w:firstLine="480" w:firstLineChars="200"/>
        <w:jc w:val="both"/>
        <w:rPr>
          <w:rFonts w:ascii="仿宋_GB2312" w:hAnsi="仿宋_GB2312" w:eastAsia="仿宋_GB2312" w:cs="仿宋_GB2312"/>
          <w:iCs/>
          <w:kern w:val="2"/>
        </w:rPr>
      </w:pPr>
      <w:r>
        <w:rPr>
          <w:rFonts w:hint="eastAsia" w:ascii="仿宋_GB2312" w:hAnsi="仿宋_GB2312" w:eastAsia="仿宋_GB2312" w:cs="仿宋_GB2312"/>
          <w:iCs/>
          <w:kern w:val="2"/>
        </w:rPr>
        <w:t>采用最低评标价法的，评标结果按投标报价由低到高顺序排列。投标报价相同的并列。投标文件满足招标文件全部实质性要求且投标报价最低的投标人为排名第一的中标候选人。</w:t>
      </w:r>
    </w:p>
    <w:p w14:paraId="69360677">
      <w:pPr>
        <w:pStyle w:val="21"/>
        <w:spacing w:line="500" w:lineRule="exact"/>
        <w:ind w:left="0" w:firstLineChars="200"/>
        <w:rPr>
          <w:rFonts w:ascii="仿宋_GB2312" w:hAnsi="仿宋_GB2312" w:eastAsia="仿宋_GB2312" w:cs="仿宋_GB2312"/>
          <w:iCs/>
          <w:kern w:val="2"/>
          <w:szCs w:val="24"/>
        </w:rPr>
      </w:pPr>
      <w:r>
        <w:rPr>
          <w:rFonts w:hint="eastAsia" w:ascii="仿宋_GB2312" w:hAnsi="仿宋_GB2312" w:eastAsia="仿宋_GB2312" w:cs="仿宋_GB2312"/>
          <w:iCs/>
          <w:kern w:val="2"/>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90B549C">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6.2.4 根据采购人确定的中标供应商，采购代理机构在新疆政府采购网上发布中标公告，并自采购人确定中标之日起3个工作日内向中标供应商发出中标通知书。</w:t>
      </w:r>
    </w:p>
    <w:p w14:paraId="49E87BF8">
      <w:pPr>
        <w:pStyle w:val="64"/>
        <w:snapToGrid w:val="0"/>
        <w:spacing w:line="500" w:lineRule="exact"/>
        <w:ind w:left="0" w:firstLineChars="200"/>
        <w:rPr>
          <w:rStyle w:val="37"/>
          <w:rFonts w:ascii="仿宋_GB2312" w:hAnsi="仿宋_GB2312" w:eastAsia="仿宋_GB2312"/>
          <w:iCs/>
          <w:kern w:val="2"/>
          <w:szCs w:val="24"/>
        </w:rPr>
      </w:pPr>
      <w:r>
        <w:rPr>
          <w:rStyle w:val="37"/>
          <w:rFonts w:ascii="仿宋_GB2312" w:hAnsi="仿宋_GB2312" w:eastAsia="仿宋_GB2312"/>
          <w:iCs/>
          <w:kern w:val="2"/>
          <w:szCs w:val="24"/>
        </w:rPr>
        <w:t>6.2.5 招标采购单位不退回投标人投标文件和其他投标资料。</w:t>
      </w:r>
    </w:p>
    <w:p w14:paraId="3084ADE2">
      <w:pPr>
        <w:snapToGrid w:val="0"/>
        <w:spacing w:line="240" w:lineRule="atLeast"/>
        <w:rPr>
          <w:rStyle w:val="37"/>
          <w:rFonts w:ascii="仿宋_GB2312" w:hAnsi="仿宋_GB2312" w:eastAsia="仿宋_GB2312"/>
          <w:b/>
          <w:sz w:val="52"/>
          <w:szCs w:val="52"/>
        </w:rPr>
      </w:pPr>
    </w:p>
    <w:p w14:paraId="457B4C95">
      <w:pPr>
        <w:pStyle w:val="20"/>
      </w:pPr>
    </w:p>
    <w:p w14:paraId="61F2BC47">
      <w:pPr>
        <w:pStyle w:val="20"/>
      </w:pPr>
    </w:p>
    <w:p w14:paraId="4A0FF2ED">
      <w:pPr>
        <w:pStyle w:val="20"/>
      </w:pPr>
    </w:p>
    <w:p w14:paraId="51F92561">
      <w:pPr>
        <w:pStyle w:val="20"/>
      </w:pPr>
    </w:p>
    <w:p w14:paraId="1BA0238F">
      <w:pPr>
        <w:pStyle w:val="20"/>
      </w:pPr>
    </w:p>
    <w:p w14:paraId="338666F4">
      <w:pPr>
        <w:pStyle w:val="20"/>
      </w:pPr>
    </w:p>
    <w:p w14:paraId="6ECA79A3">
      <w:pPr>
        <w:pStyle w:val="20"/>
      </w:pPr>
    </w:p>
    <w:p w14:paraId="417FA244">
      <w:pPr>
        <w:pStyle w:val="20"/>
      </w:pPr>
    </w:p>
    <w:p w14:paraId="381BDA26">
      <w:pPr>
        <w:pStyle w:val="20"/>
      </w:pPr>
    </w:p>
    <w:p w14:paraId="743CC710">
      <w:pPr>
        <w:pStyle w:val="20"/>
      </w:pPr>
    </w:p>
    <w:p w14:paraId="4D7889FB">
      <w:pPr>
        <w:pStyle w:val="20"/>
      </w:pPr>
    </w:p>
    <w:p w14:paraId="75824DD2">
      <w:pPr>
        <w:pStyle w:val="20"/>
      </w:pPr>
    </w:p>
    <w:p w14:paraId="5F3FF839">
      <w:pPr>
        <w:pStyle w:val="20"/>
      </w:pPr>
    </w:p>
    <w:p w14:paraId="08DE0433">
      <w:pPr>
        <w:pStyle w:val="20"/>
      </w:pPr>
    </w:p>
    <w:p w14:paraId="66A9C209">
      <w:pPr>
        <w:pStyle w:val="20"/>
      </w:pPr>
    </w:p>
    <w:p w14:paraId="6F2E8EB4">
      <w:pPr>
        <w:pStyle w:val="2"/>
      </w:pPr>
    </w:p>
    <w:p w14:paraId="7754779C">
      <w:pPr>
        <w:pStyle w:val="20"/>
      </w:pPr>
    </w:p>
    <w:p w14:paraId="7199F914">
      <w:pPr>
        <w:pStyle w:val="2"/>
      </w:pPr>
    </w:p>
    <w:p w14:paraId="3C2AD7D6"/>
    <w:p w14:paraId="69A61F5A">
      <w:pPr>
        <w:pStyle w:val="2"/>
      </w:pPr>
    </w:p>
    <w:p w14:paraId="7F4294D1"/>
    <w:p w14:paraId="3AA65096">
      <w:pPr>
        <w:pStyle w:val="2"/>
      </w:pPr>
    </w:p>
    <w:p w14:paraId="0C66AD60">
      <w:pPr>
        <w:pStyle w:val="20"/>
      </w:pPr>
    </w:p>
    <w:p w14:paraId="4E8BD2B6">
      <w:pPr>
        <w:pStyle w:val="20"/>
      </w:pPr>
    </w:p>
    <w:p w14:paraId="7E89FE7A">
      <w:pPr>
        <w:pStyle w:val="20"/>
      </w:pPr>
    </w:p>
    <w:p w14:paraId="4D22F22B">
      <w:pPr>
        <w:snapToGrid w:val="0"/>
        <w:spacing w:line="240" w:lineRule="atLeast"/>
        <w:jc w:val="center"/>
        <w:rPr>
          <w:rStyle w:val="37"/>
          <w:rFonts w:ascii="仿宋_GB2312" w:hAnsi="仿宋_GB2312" w:eastAsia="仿宋_GB2312"/>
          <w:b/>
          <w:sz w:val="52"/>
          <w:szCs w:val="52"/>
        </w:rPr>
      </w:pPr>
    </w:p>
    <w:p w14:paraId="06F20BA9">
      <w:pPr>
        <w:pStyle w:val="2"/>
        <w:rPr>
          <w:rStyle w:val="37"/>
          <w:rFonts w:ascii="仿宋_GB2312" w:hAnsi="仿宋_GB2312" w:eastAsia="仿宋_GB2312"/>
          <w:b/>
          <w:sz w:val="52"/>
          <w:szCs w:val="52"/>
        </w:rPr>
      </w:pPr>
    </w:p>
    <w:p w14:paraId="6D0EC3D8">
      <w:pPr>
        <w:rPr>
          <w:rStyle w:val="37"/>
          <w:rFonts w:ascii="仿宋_GB2312" w:hAnsi="仿宋_GB2312" w:eastAsia="仿宋_GB2312"/>
          <w:b/>
          <w:sz w:val="52"/>
          <w:szCs w:val="52"/>
        </w:rPr>
      </w:pPr>
    </w:p>
    <w:p w14:paraId="55A37D1C">
      <w:pPr>
        <w:pStyle w:val="2"/>
        <w:rPr>
          <w:rStyle w:val="37"/>
          <w:rFonts w:ascii="仿宋_GB2312" w:hAnsi="仿宋_GB2312" w:eastAsia="仿宋_GB2312"/>
          <w:b/>
          <w:sz w:val="52"/>
          <w:szCs w:val="52"/>
        </w:rPr>
      </w:pPr>
    </w:p>
    <w:p w14:paraId="3733E936">
      <w:pPr>
        <w:rPr>
          <w:rStyle w:val="37"/>
          <w:rFonts w:ascii="仿宋_GB2312" w:hAnsi="仿宋_GB2312" w:eastAsia="仿宋_GB2312"/>
          <w:b/>
          <w:sz w:val="52"/>
          <w:szCs w:val="52"/>
        </w:rPr>
      </w:pPr>
    </w:p>
    <w:p w14:paraId="62AFCBBC">
      <w:pPr>
        <w:pStyle w:val="2"/>
        <w:rPr>
          <w:rStyle w:val="37"/>
          <w:rFonts w:ascii="仿宋_GB2312" w:hAnsi="仿宋_GB2312" w:eastAsia="仿宋_GB2312"/>
          <w:b/>
          <w:sz w:val="52"/>
          <w:szCs w:val="52"/>
        </w:rPr>
      </w:pPr>
    </w:p>
    <w:p w14:paraId="3CF65FB7"/>
    <w:p w14:paraId="20D4B4F7">
      <w:pPr>
        <w:pStyle w:val="7"/>
        <w:rPr>
          <w:rFonts w:hint="eastAsia"/>
        </w:rPr>
      </w:pPr>
    </w:p>
    <w:p w14:paraId="29620DE0">
      <w:pPr>
        <w:snapToGrid w:val="0"/>
        <w:spacing w:line="240" w:lineRule="atLeast"/>
        <w:jc w:val="center"/>
        <w:rPr>
          <w:rStyle w:val="37"/>
          <w:rFonts w:ascii="仿宋_GB2312" w:hAnsi="仿宋_GB2312" w:eastAsia="仿宋_GB2312"/>
          <w:b/>
          <w:sz w:val="52"/>
          <w:szCs w:val="52"/>
        </w:rPr>
      </w:pPr>
      <w:r>
        <w:rPr>
          <w:rStyle w:val="37"/>
          <w:rFonts w:ascii="仿宋_GB2312" w:hAnsi="仿宋_GB2312" w:eastAsia="仿宋_GB2312"/>
          <w:b/>
          <w:sz w:val="52"/>
          <w:szCs w:val="52"/>
        </w:rPr>
        <w:t>货物类</w:t>
      </w:r>
    </w:p>
    <w:p w14:paraId="74C871CB">
      <w:pPr>
        <w:pStyle w:val="7"/>
      </w:pPr>
    </w:p>
    <w:p w14:paraId="1F7AF08A"/>
    <w:p w14:paraId="0D1FC0B5">
      <w:pPr>
        <w:pStyle w:val="2"/>
      </w:pPr>
    </w:p>
    <w:p w14:paraId="30CDF54E">
      <w:pPr>
        <w:snapToGrid w:val="0"/>
        <w:spacing w:line="240" w:lineRule="atLeast"/>
        <w:ind w:left="1080" w:leftChars="257" w:hanging="540"/>
        <w:jc w:val="center"/>
        <w:rPr>
          <w:rStyle w:val="37"/>
          <w:rFonts w:ascii="仿宋_GB2312" w:hAnsi="仿宋_GB2312" w:eastAsia="仿宋_GB2312"/>
          <w:b/>
          <w:sz w:val="52"/>
          <w:szCs w:val="52"/>
        </w:rPr>
      </w:pPr>
      <w:r>
        <w:rPr>
          <w:rStyle w:val="37"/>
          <w:rFonts w:ascii="仿宋_GB2312" w:hAnsi="仿宋_GB2312" w:eastAsia="仿宋_GB2312"/>
          <w:b/>
          <w:sz w:val="52"/>
          <w:szCs w:val="52"/>
        </w:rPr>
        <w:t>政府采购公开招标文件</w:t>
      </w:r>
    </w:p>
    <w:p w14:paraId="13A51E99">
      <w:pPr>
        <w:snapToGrid w:val="0"/>
        <w:spacing w:line="240" w:lineRule="atLeast"/>
        <w:ind w:left="1080" w:leftChars="257" w:hanging="540"/>
        <w:jc w:val="center"/>
        <w:rPr>
          <w:rStyle w:val="37"/>
          <w:rFonts w:ascii="仿宋_GB2312" w:hAnsi="仿宋_GB2312" w:eastAsia="仿宋_GB2312"/>
          <w:b/>
          <w:sz w:val="32"/>
          <w:szCs w:val="32"/>
        </w:rPr>
      </w:pPr>
    </w:p>
    <w:p w14:paraId="0A71B868">
      <w:pPr>
        <w:pStyle w:val="2"/>
      </w:pPr>
    </w:p>
    <w:p w14:paraId="287D1555">
      <w:pPr>
        <w:snapToGrid w:val="0"/>
        <w:spacing w:line="240" w:lineRule="atLeast"/>
        <w:rPr>
          <w:rStyle w:val="37"/>
          <w:rFonts w:ascii="仿宋_GB2312" w:hAnsi="仿宋_GB2312" w:eastAsia="仿宋_GB2312"/>
          <w:b/>
          <w:sz w:val="28"/>
        </w:rPr>
      </w:pPr>
    </w:p>
    <w:p w14:paraId="1CDC5A08">
      <w:pPr>
        <w:snapToGrid w:val="0"/>
        <w:spacing w:line="240" w:lineRule="atLeast"/>
        <w:ind w:left="1080" w:leftChars="257" w:hanging="540"/>
        <w:jc w:val="center"/>
        <w:rPr>
          <w:rStyle w:val="37"/>
          <w:rFonts w:ascii="仿宋_GB2312" w:hAnsi="仿宋_GB2312" w:eastAsia="仿宋_GB2312"/>
          <w:b/>
          <w:sz w:val="48"/>
          <w:szCs w:val="48"/>
        </w:rPr>
      </w:pPr>
      <w:r>
        <w:rPr>
          <w:rStyle w:val="37"/>
          <w:rFonts w:ascii="仿宋_GB2312" w:hAnsi="仿宋_GB2312" w:eastAsia="仿宋_GB2312"/>
          <w:b/>
          <w:sz w:val="48"/>
          <w:szCs w:val="48"/>
        </w:rPr>
        <w:t>第三册</w:t>
      </w:r>
    </w:p>
    <w:p w14:paraId="4804063A">
      <w:pPr>
        <w:snapToGrid w:val="0"/>
        <w:spacing w:line="240" w:lineRule="atLeast"/>
        <w:ind w:left="1080" w:leftChars="257" w:hanging="540"/>
        <w:jc w:val="center"/>
        <w:rPr>
          <w:rStyle w:val="37"/>
          <w:rFonts w:ascii="仿宋_GB2312" w:hAnsi="仿宋_GB2312" w:eastAsia="仿宋_GB2312"/>
          <w:b/>
          <w:sz w:val="52"/>
        </w:rPr>
      </w:pPr>
    </w:p>
    <w:p w14:paraId="23062038">
      <w:pPr>
        <w:pStyle w:val="62"/>
        <w:rPr>
          <w:rStyle w:val="37"/>
          <w:rFonts w:ascii="仿宋_GB2312" w:hAnsi="仿宋_GB2312" w:eastAsia="仿宋_GB2312"/>
          <w:b/>
          <w:sz w:val="52"/>
        </w:rPr>
      </w:pPr>
    </w:p>
    <w:p w14:paraId="5E4D67F1">
      <w:pPr>
        <w:pStyle w:val="62"/>
        <w:rPr>
          <w:rStyle w:val="37"/>
          <w:rFonts w:ascii="仿宋_GB2312" w:hAnsi="仿宋_GB2312" w:eastAsia="仿宋_GB2312"/>
          <w:b/>
          <w:sz w:val="52"/>
        </w:rPr>
      </w:pPr>
    </w:p>
    <w:p w14:paraId="124B9608">
      <w:pPr>
        <w:pStyle w:val="62"/>
        <w:rPr>
          <w:rStyle w:val="37"/>
          <w:rFonts w:ascii="仿宋_GB2312" w:hAnsi="仿宋_GB2312" w:eastAsia="仿宋_GB2312"/>
          <w:b/>
          <w:sz w:val="52"/>
        </w:rPr>
      </w:pPr>
    </w:p>
    <w:p w14:paraId="55778592">
      <w:pPr>
        <w:pStyle w:val="62"/>
        <w:rPr>
          <w:rStyle w:val="37"/>
          <w:rFonts w:ascii="仿宋_GB2312" w:hAnsi="仿宋_GB2312" w:eastAsia="仿宋_GB2312"/>
          <w:b/>
          <w:sz w:val="52"/>
        </w:rPr>
      </w:pPr>
    </w:p>
    <w:p w14:paraId="3253058F">
      <w:pPr>
        <w:pStyle w:val="62"/>
        <w:rPr>
          <w:rStyle w:val="37"/>
          <w:rFonts w:ascii="仿宋_GB2312" w:hAnsi="仿宋_GB2312" w:eastAsia="仿宋_GB2312"/>
          <w:b/>
          <w:sz w:val="52"/>
        </w:rPr>
      </w:pPr>
    </w:p>
    <w:p w14:paraId="4794F1C8">
      <w:pPr>
        <w:pStyle w:val="62"/>
        <w:rPr>
          <w:rStyle w:val="37"/>
          <w:rFonts w:ascii="仿宋_GB2312" w:hAnsi="仿宋_GB2312" w:eastAsia="仿宋_GB2312"/>
          <w:b/>
          <w:sz w:val="52"/>
        </w:rPr>
      </w:pPr>
    </w:p>
    <w:p w14:paraId="4B45429A">
      <w:pPr>
        <w:snapToGrid w:val="0"/>
        <w:spacing w:line="240" w:lineRule="atLeast"/>
        <w:rPr>
          <w:rStyle w:val="37"/>
          <w:rFonts w:ascii="仿宋_GB2312" w:hAnsi="仿宋_GB2312" w:eastAsia="仿宋_GB2312"/>
          <w:b/>
          <w:sz w:val="52"/>
        </w:rPr>
      </w:pPr>
    </w:p>
    <w:p w14:paraId="61F51341">
      <w:pPr>
        <w:snapToGrid w:val="0"/>
        <w:spacing w:line="240" w:lineRule="atLeast"/>
        <w:rPr>
          <w:rStyle w:val="37"/>
          <w:rFonts w:ascii="仿宋_GB2312" w:hAnsi="仿宋_GB2312" w:eastAsia="仿宋_GB2312"/>
        </w:rPr>
      </w:pPr>
    </w:p>
    <w:p w14:paraId="7B8D204B">
      <w:pPr>
        <w:pStyle w:val="35"/>
        <w:tabs>
          <w:tab w:val="left" w:pos="0"/>
        </w:tabs>
        <w:snapToGrid w:val="0"/>
        <w:spacing w:before="0" w:after="0" w:line="240" w:lineRule="atLeast"/>
        <w:rPr>
          <w:rStyle w:val="37"/>
          <w:rFonts w:ascii="仿宋_GB2312" w:hAnsi="仿宋_GB2312" w:eastAsia="仿宋_GB2312"/>
          <w:sz w:val="44"/>
          <w:szCs w:val="44"/>
        </w:rPr>
      </w:pPr>
    </w:p>
    <w:p w14:paraId="26A53A3A">
      <w:pPr>
        <w:pStyle w:val="35"/>
        <w:tabs>
          <w:tab w:val="left" w:pos="0"/>
        </w:tabs>
        <w:snapToGrid w:val="0"/>
        <w:spacing w:before="0" w:after="0" w:line="240" w:lineRule="atLeast"/>
        <w:rPr>
          <w:rStyle w:val="37"/>
          <w:rFonts w:ascii="仿宋_GB2312" w:hAnsi="仿宋_GB2312" w:eastAsia="仿宋_GB2312"/>
          <w:sz w:val="44"/>
          <w:szCs w:val="44"/>
        </w:rPr>
      </w:pPr>
    </w:p>
    <w:p w14:paraId="21623926">
      <w:pPr>
        <w:pStyle w:val="35"/>
        <w:tabs>
          <w:tab w:val="left" w:pos="0"/>
        </w:tabs>
        <w:snapToGrid w:val="0"/>
        <w:spacing w:before="0" w:after="0" w:line="240" w:lineRule="atLeast"/>
        <w:rPr>
          <w:rStyle w:val="37"/>
          <w:rFonts w:ascii="仿宋_GB2312" w:hAnsi="仿宋_GB2312" w:eastAsia="仿宋_GB2312"/>
          <w:sz w:val="44"/>
          <w:szCs w:val="44"/>
        </w:rPr>
      </w:pPr>
    </w:p>
    <w:p w14:paraId="47984F0B"/>
    <w:p w14:paraId="7AA02922"/>
    <w:p w14:paraId="55BA7F06">
      <w:pPr>
        <w:pStyle w:val="2"/>
      </w:pPr>
    </w:p>
    <w:p w14:paraId="0CF919F9"/>
    <w:p w14:paraId="08E07F87"/>
    <w:p w14:paraId="484860EE">
      <w:pPr>
        <w:pStyle w:val="7"/>
      </w:pPr>
    </w:p>
    <w:p w14:paraId="450E45DA">
      <w:pPr>
        <w:pStyle w:val="3"/>
        <w:tabs>
          <w:tab w:val="left" w:pos="0"/>
        </w:tabs>
        <w:snapToGrid w:val="0"/>
        <w:spacing w:before="0" w:after="0" w:line="240" w:lineRule="atLeast"/>
        <w:rPr>
          <w:rFonts w:ascii="仿宋_GB2312" w:hAnsi="仿宋_GB2312" w:eastAsia="仿宋_GB2312" w:cs="仿宋_GB2312"/>
          <w:sz w:val="44"/>
          <w:szCs w:val="44"/>
        </w:rPr>
      </w:pPr>
      <w:bookmarkStart w:id="955" w:name="_Toc23997"/>
      <w:r>
        <w:rPr>
          <w:rFonts w:hint="eastAsia" w:ascii="仿宋_GB2312" w:hAnsi="仿宋_GB2312" w:eastAsia="仿宋_GB2312" w:cs="仿宋_GB2312"/>
          <w:sz w:val="44"/>
          <w:szCs w:val="44"/>
        </w:rPr>
        <w:t>第七章  政府采购合同</w:t>
      </w:r>
      <w:bookmarkEnd w:id="955"/>
    </w:p>
    <w:p w14:paraId="4CE60503">
      <w:pPr>
        <w:snapToGrid w:val="0"/>
        <w:spacing w:line="240" w:lineRule="atLeast"/>
        <w:rPr>
          <w:rStyle w:val="37"/>
          <w:rFonts w:ascii="仿宋_GB2312" w:hAnsi="仿宋_GB2312" w:eastAsia="仿宋_GB2312"/>
          <w:b/>
          <w:kern w:val="44"/>
          <w:sz w:val="32"/>
          <w:szCs w:val="20"/>
        </w:rPr>
      </w:pPr>
    </w:p>
    <w:p w14:paraId="55C683A6">
      <w:pPr>
        <w:snapToGrid w:val="0"/>
        <w:rPr>
          <w:rStyle w:val="37"/>
          <w:rFonts w:ascii="仿宋_GB2312" w:hAnsi="仿宋_GB2312" w:eastAsia="仿宋_GB2312"/>
          <w:sz w:val="24"/>
          <w:u w:val="single"/>
        </w:rPr>
      </w:pPr>
      <w:r>
        <w:rPr>
          <w:rStyle w:val="37"/>
          <w:rFonts w:ascii="仿宋_GB2312" w:hAnsi="仿宋_GB2312" w:eastAsia="仿宋_GB2312"/>
          <w:sz w:val="24"/>
        </w:rPr>
        <w:t>合同编号：</w:t>
      </w:r>
    </w:p>
    <w:p w14:paraId="38C7225D">
      <w:pPr>
        <w:snapToGrid w:val="0"/>
        <w:spacing w:line="480" w:lineRule="auto"/>
        <w:jc w:val="center"/>
        <w:rPr>
          <w:rStyle w:val="37"/>
          <w:rFonts w:ascii="仿宋_GB2312" w:hAnsi="仿宋_GB2312" w:eastAsia="仿宋_GB2312"/>
          <w:b/>
          <w:sz w:val="28"/>
          <w:szCs w:val="28"/>
        </w:rPr>
      </w:pPr>
    </w:p>
    <w:p w14:paraId="4401D652">
      <w:pPr>
        <w:snapToGrid w:val="0"/>
        <w:spacing w:line="480" w:lineRule="auto"/>
        <w:jc w:val="center"/>
        <w:rPr>
          <w:rStyle w:val="37"/>
          <w:rFonts w:ascii="仿宋_GB2312" w:hAnsi="仿宋_GB2312" w:eastAsia="仿宋_GB2312"/>
          <w:b/>
          <w:sz w:val="44"/>
          <w:szCs w:val="44"/>
        </w:rPr>
      </w:pPr>
      <w:r>
        <w:rPr>
          <w:rStyle w:val="37"/>
          <w:rFonts w:ascii="仿宋_GB2312" w:hAnsi="仿宋_GB2312" w:eastAsia="仿宋_GB2312"/>
          <w:b/>
          <w:sz w:val="44"/>
          <w:szCs w:val="44"/>
        </w:rPr>
        <w:t>政府采购合同草案</w:t>
      </w:r>
    </w:p>
    <w:p w14:paraId="1365F1A8">
      <w:pPr>
        <w:snapToGrid w:val="0"/>
        <w:spacing w:line="480" w:lineRule="auto"/>
        <w:jc w:val="center"/>
        <w:rPr>
          <w:rStyle w:val="37"/>
          <w:rFonts w:ascii="仿宋_GB2312" w:hAnsi="仿宋_GB2312" w:eastAsia="仿宋_GB2312"/>
          <w:b/>
          <w:sz w:val="24"/>
        </w:rPr>
      </w:pPr>
      <w:r>
        <w:rPr>
          <w:rStyle w:val="37"/>
          <w:rFonts w:ascii="仿宋_GB2312" w:hAnsi="仿宋_GB2312" w:eastAsia="仿宋_GB2312"/>
          <w:b/>
          <w:sz w:val="24"/>
        </w:rPr>
        <w:t>（货物类）</w:t>
      </w:r>
    </w:p>
    <w:p w14:paraId="08782328">
      <w:pPr>
        <w:pStyle w:val="84"/>
        <w:snapToGrid w:val="0"/>
        <w:ind w:firstLine="0"/>
        <w:rPr>
          <w:rStyle w:val="37"/>
          <w:rFonts w:ascii="仿宋_GB2312" w:hAnsi="仿宋_GB2312" w:eastAsia="仿宋_GB2312"/>
          <w:szCs w:val="24"/>
        </w:rPr>
      </w:pPr>
    </w:p>
    <w:p w14:paraId="3831FD59">
      <w:pPr>
        <w:pStyle w:val="84"/>
        <w:snapToGrid w:val="0"/>
        <w:ind w:firstLine="0"/>
        <w:rPr>
          <w:rStyle w:val="37"/>
          <w:rFonts w:ascii="仿宋_GB2312" w:hAnsi="仿宋_GB2312" w:eastAsia="仿宋_GB2312"/>
          <w:szCs w:val="24"/>
        </w:rPr>
      </w:pPr>
    </w:p>
    <w:p w14:paraId="614388AE">
      <w:pPr>
        <w:pStyle w:val="84"/>
        <w:snapToGrid w:val="0"/>
        <w:ind w:firstLine="0"/>
        <w:rPr>
          <w:rStyle w:val="37"/>
          <w:rFonts w:ascii="仿宋_GB2312" w:hAnsi="仿宋_GB2312" w:eastAsia="仿宋_GB2312"/>
          <w:szCs w:val="24"/>
        </w:rPr>
      </w:pPr>
    </w:p>
    <w:p w14:paraId="15A8E57F">
      <w:pPr>
        <w:pStyle w:val="84"/>
        <w:snapToGrid w:val="0"/>
        <w:ind w:firstLine="0"/>
        <w:jc w:val="center"/>
        <w:rPr>
          <w:rStyle w:val="37"/>
          <w:rFonts w:ascii="仿宋_GB2312" w:hAnsi="仿宋_GB2312" w:eastAsia="仿宋_GB2312"/>
          <w:b/>
          <w:szCs w:val="24"/>
        </w:rPr>
      </w:pPr>
      <w:r>
        <w:rPr>
          <w:rStyle w:val="37"/>
          <w:rFonts w:ascii="仿宋_GB2312" w:hAnsi="仿宋_GB2312" w:eastAsia="仿宋_GB2312"/>
          <w:b/>
          <w:szCs w:val="24"/>
        </w:rPr>
        <w:t>第一部分 合同书</w:t>
      </w:r>
    </w:p>
    <w:p w14:paraId="42991BD8">
      <w:pPr>
        <w:pStyle w:val="84"/>
        <w:snapToGrid w:val="0"/>
        <w:ind w:firstLine="0"/>
        <w:rPr>
          <w:rStyle w:val="37"/>
          <w:rFonts w:ascii="仿宋_GB2312" w:hAnsi="仿宋_GB2312" w:eastAsia="仿宋_GB2312"/>
          <w:szCs w:val="24"/>
        </w:rPr>
      </w:pPr>
    </w:p>
    <w:p w14:paraId="25C3F5C6">
      <w:pPr>
        <w:pStyle w:val="84"/>
        <w:snapToGrid w:val="0"/>
        <w:ind w:firstLine="0"/>
        <w:rPr>
          <w:rStyle w:val="37"/>
          <w:rFonts w:ascii="仿宋_GB2312" w:hAnsi="仿宋_GB2312" w:eastAsia="仿宋_GB2312"/>
          <w:szCs w:val="24"/>
        </w:rPr>
      </w:pPr>
    </w:p>
    <w:p w14:paraId="2728C9D6">
      <w:pPr>
        <w:snapToGrid w:val="0"/>
        <w:spacing w:before="120" w:line="240" w:lineRule="atLeast"/>
        <w:rPr>
          <w:rStyle w:val="37"/>
          <w:rFonts w:ascii="仿宋_GB2312" w:hAnsi="仿宋_GB2312" w:eastAsia="仿宋_GB2312"/>
          <w:sz w:val="24"/>
        </w:rPr>
      </w:pPr>
    </w:p>
    <w:p w14:paraId="4580CE39">
      <w:pPr>
        <w:snapToGrid w:val="0"/>
        <w:spacing w:before="120" w:line="240" w:lineRule="atLeast"/>
        <w:ind w:left="960"/>
        <w:rPr>
          <w:rStyle w:val="37"/>
          <w:rFonts w:ascii="仿宋_GB2312" w:hAnsi="仿宋_GB2312" w:eastAsia="仿宋_GB2312"/>
          <w:sz w:val="24"/>
        </w:rPr>
      </w:pPr>
      <w:r>
        <w:rPr>
          <w:rStyle w:val="37"/>
          <w:rFonts w:ascii="仿宋_GB2312" w:hAnsi="仿宋_GB2312" w:eastAsia="仿宋_GB2312"/>
          <w:sz w:val="24"/>
        </w:rPr>
        <w:t>项目名称：</w:t>
      </w:r>
    </w:p>
    <w:p w14:paraId="78A9FF01">
      <w:pPr>
        <w:pStyle w:val="100"/>
        <w:snapToGrid w:val="0"/>
        <w:spacing w:before="120" w:line="240" w:lineRule="atLeast"/>
        <w:rPr>
          <w:rStyle w:val="37"/>
          <w:rFonts w:hAnsi="仿宋_GB2312"/>
          <w:szCs w:val="24"/>
        </w:rPr>
      </w:pPr>
    </w:p>
    <w:p w14:paraId="243DEBC0">
      <w:pPr>
        <w:pStyle w:val="100"/>
        <w:snapToGrid w:val="0"/>
        <w:spacing w:before="120" w:line="240" w:lineRule="atLeast"/>
        <w:rPr>
          <w:rStyle w:val="37"/>
          <w:rFonts w:hAnsi="仿宋_GB2312"/>
          <w:szCs w:val="24"/>
        </w:rPr>
      </w:pPr>
    </w:p>
    <w:p w14:paraId="7F30E379">
      <w:pPr>
        <w:snapToGrid w:val="0"/>
        <w:rPr>
          <w:rStyle w:val="37"/>
          <w:rFonts w:ascii="仿宋_GB2312" w:hAnsi="仿宋_GB2312" w:eastAsia="仿宋_GB2312"/>
        </w:rPr>
      </w:pPr>
    </w:p>
    <w:p w14:paraId="6D500EA1">
      <w:pPr>
        <w:snapToGrid w:val="0"/>
        <w:spacing w:before="120" w:line="240" w:lineRule="atLeast"/>
        <w:ind w:left="960"/>
        <w:rPr>
          <w:rStyle w:val="37"/>
          <w:rFonts w:ascii="仿宋_GB2312" w:hAnsi="仿宋_GB2312" w:eastAsia="仿宋_GB2312"/>
          <w:sz w:val="24"/>
          <w:u w:val="single"/>
        </w:rPr>
      </w:pPr>
      <w:r>
        <w:rPr>
          <w:rStyle w:val="37"/>
          <w:rFonts w:ascii="仿宋_GB2312" w:hAnsi="仿宋_GB2312" w:eastAsia="仿宋_GB2312"/>
          <w:sz w:val="24"/>
        </w:rPr>
        <w:t>甲方：</w:t>
      </w:r>
    </w:p>
    <w:p w14:paraId="168AA05D">
      <w:pPr>
        <w:snapToGrid w:val="0"/>
        <w:spacing w:before="120" w:line="240" w:lineRule="atLeast"/>
        <w:rPr>
          <w:rStyle w:val="37"/>
          <w:rFonts w:ascii="仿宋_GB2312" w:hAnsi="仿宋_GB2312" w:eastAsia="仿宋_GB2312"/>
          <w:sz w:val="24"/>
        </w:rPr>
      </w:pPr>
    </w:p>
    <w:p w14:paraId="57FE0B1A">
      <w:pPr>
        <w:snapToGrid w:val="0"/>
        <w:spacing w:before="120" w:line="240" w:lineRule="atLeast"/>
        <w:ind w:left="960"/>
        <w:rPr>
          <w:rStyle w:val="37"/>
          <w:rFonts w:ascii="仿宋_GB2312" w:hAnsi="仿宋_GB2312" w:eastAsia="仿宋_GB2312"/>
          <w:sz w:val="24"/>
          <w:u w:val="single"/>
        </w:rPr>
      </w:pPr>
      <w:r>
        <w:rPr>
          <w:rStyle w:val="37"/>
          <w:rFonts w:ascii="仿宋_GB2312" w:hAnsi="仿宋_GB2312" w:eastAsia="仿宋_GB2312"/>
          <w:sz w:val="24"/>
        </w:rPr>
        <w:t>乙方：</w:t>
      </w:r>
    </w:p>
    <w:p w14:paraId="7E95729E">
      <w:pPr>
        <w:snapToGrid w:val="0"/>
        <w:spacing w:before="120" w:line="240" w:lineRule="atLeast"/>
        <w:rPr>
          <w:rStyle w:val="37"/>
          <w:rFonts w:ascii="仿宋_GB2312" w:hAnsi="仿宋_GB2312" w:eastAsia="仿宋_GB2312"/>
          <w:sz w:val="24"/>
        </w:rPr>
      </w:pPr>
    </w:p>
    <w:p w14:paraId="7AF6B8C3">
      <w:pPr>
        <w:snapToGrid w:val="0"/>
        <w:spacing w:before="120" w:line="240" w:lineRule="atLeast"/>
        <w:ind w:firstLine="960" w:firstLineChars="400"/>
        <w:rPr>
          <w:rStyle w:val="37"/>
          <w:rFonts w:ascii="仿宋_GB2312" w:hAnsi="仿宋_GB2312" w:eastAsia="仿宋_GB2312"/>
          <w:sz w:val="24"/>
          <w:u w:val="single"/>
        </w:rPr>
      </w:pPr>
      <w:r>
        <w:rPr>
          <w:rStyle w:val="37"/>
          <w:rFonts w:ascii="仿宋_GB2312" w:hAnsi="仿宋_GB2312" w:eastAsia="仿宋_GB2312"/>
          <w:sz w:val="24"/>
        </w:rPr>
        <w:t>签订地：</w:t>
      </w:r>
    </w:p>
    <w:p w14:paraId="39DCE441">
      <w:pPr>
        <w:snapToGrid w:val="0"/>
        <w:spacing w:before="120" w:line="240" w:lineRule="atLeast"/>
        <w:rPr>
          <w:rStyle w:val="37"/>
          <w:rFonts w:ascii="仿宋_GB2312" w:hAnsi="仿宋_GB2312" w:eastAsia="仿宋_GB2312"/>
          <w:sz w:val="24"/>
        </w:rPr>
      </w:pPr>
    </w:p>
    <w:p w14:paraId="1B53194F">
      <w:pPr>
        <w:snapToGrid w:val="0"/>
        <w:spacing w:before="120" w:line="240" w:lineRule="atLeast"/>
        <w:ind w:firstLine="960" w:firstLineChars="400"/>
        <w:rPr>
          <w:rStyle w:val="37"/>
          <w:rFonts w:ascii="仿宋_GB2312" w:hAnsi="仿宋_GB2312" w:eastAsia="仿宋_GB2312"/>
          <w:sz w:val="24"/>
          <w:u w:val="single"/>
        </w:rPr>
      </w:pPr>
      <w:r>
        <w:rPr>
          <w:rStyle w:val="37"/>
          <w:rFonts w:ascii="仿宋_GB2312" w:hAnsi="仿宋_GB2312" w:eastAsia="仿宋_GB2312"/>
          <w:sz w:val="24"/>
        </w:rPr>
        <w:t>签订日期：年月日</w:t>
      </w:r>
    </w:p>
    <w:p w14:paraId="4153D512">
      <w:pPr>
        <w:snapToGrid w:val="0"/>
        <w:spacing w:line="600" w:lineRule="exact"/>
        <w:ind w:firstLine="640"/>
        <w:jc w:val="center"/>
        <w:rPr>
          <w:rStyle w:val="37"/>
          <w:rFonts w:ascii="仿宋_GB2312" w:hAnsi="仿宋_GB2312" w:eastAsia="仿宋_GB2312"/>
          <w:sz w:val="24"/>
        </w:rPr>
        <w:sectPr>
          <w:headerReference r:id="rId17" w:type="default"/>
          <w:footerReference r:id="rId18" w:type="default"/>
          <w:pgSz w:w="11907" w:h="16840"/>
          <w:pgMar w:top="1247" w:right="1814" w:bottom="1247" w:left="1814" w:header="851" w:footer="850" w:gutter="0"/>
          <w:pgBorders>
            <w:top w:val="none" w:sz="0" w:space="0"/>
            <w:left w:val="none" w:sz="0" w:space="0"/>
            <w:bottom w:val="none" w:sz="0" w:space="0"/>
            <w:right w:val="none" w:sz="0" w:space="0"/>
          </w:pgBorders>
          <w:cols w:space="0" w:num="1"/>
          <w:docGrid w:linePitch="462" w:charSpace="0"/>
        </w:sectPr>
      </w:pPr>
    </w:p>
    <w:p w14:paraId="2D5C5FC9">
      <w:pPr>
        <w:snapToGrid w:val="0"/>
        <w:spacing w:line="560" w:lineRule="exact"/>
        <w:ind w:firstLine="480" w:firstLineChars="200"/>
        <w:jc w:val="center"/>
        <w:rPr>
          <w:rStyle w:val="37"/>
          <w:rFonts w:ascii="仿宋_GB2312" w:hAnsi="仿宋_GB2312" w:eastAsia="仿宋_GB2312"/>
          <w:sz w:val="24"/>
        </w:rPr>
      </w:pPr>
      <w:r>
        <w:rPr>
          <w:rStyle w:val="37"/>
          <w:rFonts w:ascii="仿宋_GB2312" w:hAnsi="仿宋_GB2312" w:eastAsia="仿宋_GB2312"/>
          <w:sz w:val="24"/>
          <w:lang w:val="zh-CN"/>
        </w:rPr>
        <w:t>年月日</w:t>
      </w:r>
      <w:r>
        <w:rPr>
          <w:rStyle w:val="37"/>
          <w:rFonts w:ascii="仿宋_GB2312" w:hAnsi="仿宋_GB2312" w:eastAsia="仿宋_GB2312"/>
          <w:sz w:val="24"/>
        </w:rPr>
        <w:t>，</w:t>
      </w:r>
      <w:r>
        <w:rPr>
          <w:rStyle w:val="37"/>
          <w:rFonts w:ascii="仿宋_GB2312" w:hAnsi="仿宋_GB2312" w:eastAsia="仿宋_GB2312"/>
          <w:sz w:val="24"/>
          <w:u w:val="single" w:color="000000"/>
        </w:rPr>
        <w:t xml:space="preserve">   （采购人名称）   </w:t>
      </w:r>
      <w:r>
        <w:rPr>
          <w:rStyle w:val="37"/>
          <w:rFonts w:ascii="仿宋_GB2312" w:hAnsi="仿宋_GB2312" w:eastAsia="仿宋_GB2312"/>
          <w:sz w:val="24"/>
        </w:rPr>
        <w:t>以</w:t>
      </w:r>
      <w:r>
        <w:rPr>
          <w:rStyle w:val="37"/>
          <w:rFonts w:ascii="仿宋_GB2312" w:hAnsi="仿宋_GB2312" w:eastAsia="仿宋_GB2312"/>
          <w:sz w:val="24"/>
          <w:u w:val="single" w:color="000000"/>
        </w:rPr>
        <w:t xml:space="preserve">   （政府采购方式）  </w:t>
      </w:r>
      <w:r>
        <w:rPr>
          <w:rStyle w:val="37"/>
          <w:rFonts w:ascii="仿宋_GB2312" w:hAnsi="仿宋_GB2312" w:eastAsia="仿宋_GB2312"/>
          <w:sz w:val="24"/>
        </w:rPr>
        <w:t>对</w:t>
      </w:r>
      <w:r>
        <w:rPr>
          <w:rStyle w:val="37"/>
          <w:rFonts w:ascii="仿宋_GB2312" w:hAnsi="仿宋_GB2312" w:eastAsia="仿宋_GB2312"/>
          <w:sz w:val="24"/>
          <w:u w:val="single" w:color="000000"/>
        </w:rPr>
        <w:t xml:space="preserve">   （同前页项目名称）   </w:t>
      </w:r>
      <w:r>
        <w:rPr>
          <w:rStyle w:val="37"/>
          <w:rFonts w:ascii="仿宋_GB2312" w:hAnsi="仿宋_GB2312" w:eastAsia="仿宋_GB2312"/>
          <w:sz w:val="24"/>
        </w:rPr>
        <w:t>项目进行了采购。经</w:t>
      </w:r>
      <w:r>
        <w:rPr>
          <w:rStyle w:val="37"/>
          <w:rFonts w:ascii="仿宋_GB2312" w:hAnsi="仿宋_GB2312" w:eastAsia="仿宋_GB2312"/>
          <w:sz w:val="24"/>
          <w:u w:val="single" w:color="000000"/>
        </w:rPr>
        <w:t xml:space="preserve">   （相关评定主体名称）   </w:t>
      </w:r>
      <w:r>
        <w:rPr>
          <w:rStyle w:val="37"/>
          <w:rFonts w:ascii="仿宋_GB2312" w:hAnsi="仿宋_GB2312" w:eastAsia="仿宋_GB2312"/>
          <w:sz w:val="24"/>
        </w:rPr>
        <w:t>评定，</w:t>
      </w:r>
      <w:r>
        <w:rPr>
          <w:rStyle w:val="37"/>
          <w:rFonts w:ascii="仿宋_GB2312" w:hAnsi="仿宋_GB2312" w:eastAsia="仿宋_GB2312"/>
          <w:sz w:val="24"/>
          <w:u w:val="single" w:color="000000"/>
        </w:rPr>
        <w:t xml:space="preserve">   （中标供应商名称）</w:t>
      </w:r>
      <w:r>
        <w:rPr>
          <w:rStyle w:val="37"/>
          <w:rFonts w:ascii="仿宋_GB2312" w:hAnsi="仿宋_GB2312" w:eastAsia="仿宋_GB2312"/>
          <w:sz w:val="24"/>
        </w:rPr>
        <w:t>为该项目中标供应商。现于中标通知书发出之日起三十日内，按照采购文件确定的事项签订本合同。</w:t>
      </w:r>
    </w:p>
    <w:p w14:paraId="1E7627C0">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lang w:val="zh-CN"/>
        </w:rPr>
        <w:t>根据《中华人民共和国合同法》、《中华人民共和国政府采购法》等相关法律法规之规定，按照平等、自愿、公平和诚实信用的原则，经</w:t>
      </w:r>
      <w:r>
        <w:rPr>
          <w:rStyle w:val="37"/>
          <w:rFonts w:ascii="仿宋_GB2312" w:hAnsi="仿宋_GB2312" w:eastAsia="仿宋_GB2312"/>
          <w:sz w:val="24"/>
          <w:u w:val="single" w:color="000000"/>
        </w:rPr>
        <w:t xml:space="preserve">   （采购人名称）   </w:t>
      </w:r>
      <w:r>
        <w:rPr>
          <w:rStyle w:val="37"/>
          <w:rFonts w:ascii="仿宋_GB2312" w:hAnsi="仿宋_GB2312" w:eastAsia="仿宋_GB2312"/>
          <w:sz w:val="24"/>
          <w:lang w:val="zh-CN"/>
        </w:rPr>
        <w:t>(以下简称：甲方)和</w:t>
      </w:r>
      <w:r>
        <w:rPr>
          <w:rStyle w:val="37"/>
          <w:rFonts w:ascii="仿宋_GB2312" w:hAnsi="仿宋_GB2312" w:eastAsia="仿宋_GB2312"/>
          <w:sz w:val="24"/>
          <w:u w:val="single" w:color="000000"/>
        </w:rPr>
        <w:t xml:space="preserve">   （中标供应商名称）   </w:t>
      </w:r>
      <w:r>
        <w:rPr>
          <w:rStyle w:val="37"/>
          <w:rFonts w:ascii="仿宋_GB2312" w:hAnsi="仿宋_GB2312" w:eastAsia="仿宋_GB2312"/>
          <w:sz w:val="24"/>
          <w:lang w:val="zh-CN"/>
        </w:rPr>
        <w:t>(以下简称：乙方)协商一致，约定以下合同</w:t>
      </w:r>
      <w:r>
        <w:rPr>
          <w:rStyle w:val="37"/>
          <w:rFonts w:ascii="仿宋_GB2312" w:hAnsi="仿宋_GB2312" w:eastAsia="仿宋_GB2312"/>
          <w:sz w:val="24"/>
        </w:rPr>
        <w:t>条款，以兹共同遵守、全面履行。</w:t>
      </w:r>
    </w:p>
    <w:p w14:paraId="0CF93ECB">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1.1 合同组成部分</w:t>
      </w:r>
    </w:p>
    <w:p w14:paraId="2F392D57">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22FAEF">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1.1.1 本合同及其补充合同、变更协议；</w:t>
      </w:r>
    </w:p>
    <w:p w14:paraId="147E6592">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1.1.2 中标通知书；</w:t>
      </w:r>
    </w:p>
    <w:p w14:paraId="51871C03">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1.1.3 投标文件（含澄清或者说明文件）；</w:t>
      </w:r>
    </w:p>
    <w:p w14:paraId="1CDECBAF">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1.1.4 招标文件（含澄清或者修改文件）；</w:t>
      </w:r>
    </w:p>
    <w:p w14:paraId="2E4FAD21">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1.1.5 其他相关采购文件。</w:t>
      </w:r>
    </w:p>
    <w:p w14:paraId="598FD8BB">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1.2 货物</w:t>
      </w:r>
    </w:p>
    <w:p w14:paraId="017E286D">
      <w:pPr>
        <w:snapToGrid w:val="0"/>
        <w:spacing w:line="560" w:lineRule="exact"/>
        <w:ind w:firstLine="480" w:firstLineChars="200"/>
        <w:jc w:val="left"/>
        <w:rPr>
          <w:rStyle w:val="37"/>
          <w:rFonts w:ascii="仿宋_GB2312" w:hAnsi="仿宋_GB2312" w:eastAsia="仿宋_GB2312"/>
          <w:sz w:val="24"/>
          <w:u w:val="single"/>
        </w:rPr>
      </w:pPr>
      <w:r>
        <w:rPr>
          <w:rStyle w:val="37"/>
          <w:rFonts w:ascii="仿宋_GB2312" w:hAnsi="仿宋_GB2312" w:eastAsia="仿宋_GB2312"/>
          <w:sz w:val="24"/>
        </w:rPr>
        <w:t>1.2.1 货物称：；</w:t>
      </w:r>
    </w:p>
    <w:p w14:paraId="3F3D31B6">
      <w:pPr>
        <w:snapToGrid w:val="0"/>
        <w:spacing w:line="560" w:lineRule="exact"/>
        <w:ind w:firstLine="480" w:firstLineChars="200"/>
        <w:jc w:val="left"/>
        <w:rPr>
          <w:rStyle w:val="37"/>
          <w:rFonts w:ascii="仿宋_GB2312" w:hAnsi="仿宋_GB2312" w:eastAsia="仿宋_GB2312"/>
          <w:sz w:val="24"/>
          <w:u w:val="single"/>
        </w:rPr>
      </w:pPr>
      <w:r>
        <w:rPr>
          <w:rStyle w:val="37"/>
          <w:rFonts w:ascii="仿宋_GB2312" w:hAnsi="仿宋_GB2312" w:eastAsia="仿宋_GB2312"/>
          <w:sz w:val="24"/>
        </w:rPr>
        <w:t>1.2.2 货物量：；</w:t>
      </w:r>
    </w:p>
    <w:p w14:paraId="2D50EE92">
      <w:pPr>
        <w:snapToGrid w:val="0"/>
        <w:spacing w:line="560" w:lineRule="exact"/>
        <w:ind w:firstLine="480" w:firstLineChars="200"/>
        <w:jc w:val="left"/>
        <w:rPr>
          <w:rStyle w:val="37"/>
          <w:rFonts w:ascii="仿宋_GB2312" w:hAnsi="仿宋_GB2312" w:eastAsia="仿宋_GB2312"/>
          <w:sz w:val="24"/>
        </w:rPr>
      </w:pPr>
      <w:r>
        <w:rPr>
          <w:rStyle w:val="37"/>
          <w:rFonts w:ascii="仿宋_GB2312" w:hAnsi="仿宋_GB2312" w:eastAsia="仿宋_GB2312"/>
          <w:sz w:val="24"/>
        </w:rPr>
        <w:t>1.2.3 货物量：</w:t>
      </w:r>
      <w:r>
        <w:rPr>
          <w:rStyle w:val="37"/>
          <w:rFonts w:ascii="仿宋_GB2312" w:hAnsi="仿宋_GB2312" w:eastAsia="仿宋_GB2312"/>
          <w:sz w:val="24"/>
          <w:u w:val="single" w:color="000000"/>
        </w:rPr>
        <w:t xml:space="preserve">　　　　　　　　　                      　      </w:t>
      </w:r>
      <w:r>
        <w:rPr>
          <w:rStyle w:val="37"/>
          <w:rFonts w:ascii="仿宋_GB2312" w:hAnsi="仿宋_GB2312" w:eastAsia="仿宋_GB2312"/>
          <w:sz w:val="24"/>
        </w:rPr>
        <w:t>。</w:t>
      </w:r>
    </w:p>
    <w:p w14:paraId="1B552512">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1.3 价款</w:t>
      </w:r>
    </w:p>
    <w:p w14:paraId="60A0430E">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本合同总价为：￥元（大写：元人民币）。</w:t>
      </w:r>
    </w:p>
    <w:p w14:paraId="18E112B3">
      <w:pPr>
        <w:snapToGrid w:val="0"/>
        <w:spacing w:line="560" w:lineRule="exact"/>
        <w:ind w:firstLine="480" w:firstLineChars="200"/>
        <w:rPr>
          <w:rStyle w:val="37"/>
          <w:rFonts w:ascii="仿宋_GB2312" w:hAnsi="仿宋_GB2312" w:eastAsia="仿宋_GB2312"/>
          <w:sz w:val="24"/>
          <w:u w:val="single"/>
        </w:rPr>
      </w:pPr>
      <w:r>
        <w:rPr>
          <w:rStyle w:val="37"/>
          <w:rFonts w:ascii="仿宋_GB2312" w:hAnsi="仿宋_GB2312" w:eastAsia="仿宋_GB2312"/>
          <w:sz w:val="24"/>
        </w:rPr>
        <w:t>分项价格：</w:t>
      </w:r>
    </w:p>
    <w:tbl>
      <w:tblPr>
        <w:tblStyle w:val="27"/>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3402"/>
        <w:gridCol w:w="2552"/>
      </w:tblGrid>
      <w:tr w14:paraId="6C34E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50297E">
            <w:pPr>
              <w:pStyle w:val="91"/>
              <w:snapToGrid w:val="0"/>
              <w:spacing w:line="560" w:lineRule="exact"/>
              <w:jc w:val="center"/>
              <w:rPr>
                <w:rStyle w:val="37"/>
                <w:rFonts w:ascii="仿宋_GB2312" w:hAnsi="仿宋_GB2312" w:eastAsia="仿宋_GB2312"/>
                <w:kern w:val="2"/>
                <w:sz w:val="24"/>
                <w:szCs w:val="24"/>
              </w:rPr>
            </w:pPr>
            <w:r>
              <w:rPr>
                <w:rStyle w:val="37"/>
                <w:rFonts w:ascii="仿宋_GB2312" w:hAnsi="仿宋_GB2312" w:eastAsia="仿宋_GB2312"/>
                <w:kern w:val="2"/>
                <w:sz w:val="24"/>
                <w:szCs w:val="24"/>
              </w:rPr>
              <w:t>序号</w:t>
            </w:r>
          </w:p>
        </w:tc>
        <w:tc>
          <w:tcPr>
            <w:tcW w:w="3402" w:type="dxa"/>
            <w:tcBorders>
              <w:top w:val="single" w:color="000000" w:sz="4" w:space="0"/>
              <w:left w:val="single" w:color="000000" w:sz="4" w:space="0"/>
              <w:bottom w:val="single" w:color="000000" w:sz="4" w:space="0"/>
              <w:right w:val="single" w:color="000000" w:sz="4" w:space="0"/>
            </w:tcBorders>
            <w:vAlign w:val="center"/>
          </w:tcPr>
          <w:p w14:paraId="2F71ECD8">
            <w:pPr>
              <w:pStyle w:val="91"/>
              <w:snapToGrid w:val="0"/>
              <w:spacing w:line="560" w:lineRule="exact"/>
              <w:ind w:firstLine="200"/>
              <w:jc w:val="center"/>
              <w:rPr>
                <w:rStyle w:val="37"/>
                <w:rFonts w:ascii="仿宋_GB2312" w:hAnsi="仿宋_GB2312" w:eastAsia="仿宋_GB2312"/>
                <w:kern w:val="2"/>
                <w:sz w:val="24"/>
                <w:szCs w:val="24"/>
              </w:rPr>
            </w:pPr>
            <w:r>
              <w:rPr>
                <w:rStyle w:val="37"/>
                <w:rFonts w:ascii="仿宋_GB2312" w:hAnsi="仿宋_GB2312" w:eastAsia="仿宋_GB2312"/>
                <w:kern w:val="2"/>
                <w:sz w:val="24"/>
                <w:szCs w:val="24"/>
              </w:rPr>
              <w:t>分项名称</w:t>
            </w:r>
          </w:p>
        </w:tc>
        <w:tc>
          <w:tcPr>
            <w:tcW w:w="2552" w:type="dxa"/>
            <w:tcBorders>
              <w:top w:val="single" w:color="000000" w:sz="4" w:space="0"/>
              <w:left w:val="single" w:color="000000" w:sz="4" w:space="0"/>
              <w:bottom w:val="single" w:color="000000" w:sz="4" w:space="0"/>
              <w:right w:val="single" w:color="000000" w:sz="4" w:space="0"/>
            </w:tcBorders>
            <w:vAlign w:val="center"/>
          </w:tcPr>
          <w:p w14:paraId="76FFBBF3">
            <w:pPr>
              <w:pStyle w:val="91"/>
              <w:snapToGrid w:val="0"/>
              <w:spacing w:line="560" w:lineRule="exact"/>
              <w:jc w:val="center"/>
              <w:rPr>
                <w:rStyle w:val="37"/>
                <w:rFonts w:ascii="仿宋_GB2312" w:hAnsi="仿宋_GB2312" w:eastAsia="仿宋_GB2312"/>
                <w:kern w:val="2"/>
                <w:sz w:val="24"/>
                <w:szCs w:val="24"/>
              </w:rPr>
            </w:pPr>
            <w:r>
              <w:rPr>
                <w:rStyle w:val="37"/>
                <w:rFonts w:ascii="仿宋_GB2312" w:hAnsi="仿宋_GB2312" w:eastAsia="仿宋_GB2312"/>
                <w:kern w:val="2"/>
                <w:sz w:val="24"/>
                <w:szCs w:val="24"/>
              </w:rPr>
              <w:t>分项价格</w:t>
            </w:r>
          </w:p>
        </w:tc>
      </w:tr>
      <w:tr w14:paraId="5A278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7D2E51">
            <w:pPr>
              <w:pStyle w:val="91"/>
              <w:snapToGrid w:val="0"/>
              <w:spacing w:line="560" w:lineRule="exact"/>
              <w:ind w:firstLine="200"/>
              <w:jc w:val="center"/>
              <w:rPr>
                <w:rStyle w:val="37"/>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63965378">
            <w:pPr>
              <w:pStyle w:val="91"/>
              <w:snapToGrid w:val="0"/>
              <w:spacing w:line="560" w:lineRule="exact"/>
              <w:ind w:firstLine="200"/>
              <w:jc w:val="center"/>
              <w:rPr>
                <w:rStyle w:val="37"/>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4F4E77A8">
            <w:pPr>
              <w:pStyle w:val="91"/>
              <w:snapToGrid w:val="0"/>
              <w:spacing w:line="560" w:lineRule="exact"/>
              <w:ind w:firstLine="200"/>
              <w:jc w:val="center"/>
              <w:rPr>
                <w:rStyle w:val="37"/>
                <w:rFonts w:ascii="仿宋_GB2312" w:hAnsi="仿宋_GB2312" w:eastAsia="仿宋_GB2312"/>
                <w:kern w:val="2"/>
                <w:sz w:val="24"/>
                <w:szCs w:val="24"/>
              </w:rPr>
            </w:pPr>
          </w:p>
        </w:tc>
      </w:tr>
      <w:tr w14:paraId="18D26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107AAE">
            <w:pPr>
              <w:pStyle w:val="91"/>
              <w:snapToGrid w:val="0"/>
              <w:spacing w:line="560" w:lineRule="exact"/>
              <w:ind w:firstLine="200"/>
              <w:jc w:val="center"/>
              <w:rPr>
                <w:rStyle w:val="37"/>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230F3F74">
            <w:pPr>
              <w:pStyle w:val="91"/>
              <w:snapToGrid w:val="0"/>
              <w:spacing w:line="560" w:lineRule="exact"/>
              <w:ind w:firstLine="200"/>
              <w:jc w:val="center"/>
              <w:rPr>
                <w:rStyle w:val="37"/>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320364D5">
            <w:pPr>
              <w:pStyle w:val="91"/>
              <w:snapToGrid w:val="0"/>
              <w:spacing w:line="560" w:lineRule="exact"/>
              <w:ind w:firstLine="200"/>
              <w:jc w:val="center"/>
              <w:rPr>
                <w:rStyle w:val="37"/>
                <w:rFonts w:ascii="仿宋_GB2312" w:hAnsi="仿宋_GB2312" w:eastAsia="仿宋_GB2312"/>
                <w:kern w:val="2"/>
                <w:sz w:val="24"/>
                <w:szCs w:val="24"/>
              </w:rPr>
            </w:pPr>
          </w:p>
        </w:tc>
      </w:tr>
      <w:tr w14:paraId="3516E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735E0F">
            <w:pPr>
              <w:pStyle w:val="91"/>
              <w:snapToGrid w:val="0"/>
              <w:spacing w:line="560" w:lineRule="exact"/>
              <w:ind w:firstLine="200"/>
              <w:jc w:val="center"/>
              <w:rPr>
                <w:rStyle w:val="37"/>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7522785F">
            <w:pPr>
              <w:pStyle w:val="91"/>
              <w:snapToGrid w:val="0"/>
              <w:spacing w:line="560" w:lineRule="exact"/>
              <w:ind w:firstLine="200"/>
              <w:jc w:val="center"/>
              <w:rPr>
                <w:rStyle w:val="37"/>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6AFD4AB4">
            <w:pPr>
              <w:pStyle w:val="91"/>
              <w:snapToGrid w:val="0"/>
              <w:spacing w:line="560" w:lineRule="exact"/>
              <w:ind w:firstLine="200"/>
              <w:jc w:val="center"/>
              <w:rPr>
                <w:rStyle w:val="37"/>
                <w:rFonts w:ascii="仿宋_GB2312" w:hAnsi="仿宋_GB2312" w:eastAsia="仿宋_GB2312"/>
                <w:kern w:val="2"/>
                <w:sz w:val="24"/>
                <w:szCs w:val="24"/>
              </w:rPr>
            </w:pPr>
          </w:p>
        </w:tc>
      </w:tr>
      <w:tr w14:paraId="672DA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7CA81CE">
            <w:pPr>
              <w:pStyle w:val="91"/>
              <w:snapToGrid w:val="0"/>
              <w:spacing w:line="560" w:lineRule="exact"/>
              <w:ind w:firstLine="200"/>
              <w:jc w:val="center"/>
              <w:rPr>
                <w:rStyle w:val="37"/>
                <w:rFonts w:ascii="仿宋_GB2312" w:hAnsi="仿宋_GB2312" w:eastAsia="仿宋_GB2312"/>
                <w:kern w:val="2"/>
                <w:sz w:val="24"/>
                <w:szCs w:val="24"/>
              </w:rPr>
            </w:pPr>
          </w:p>
        </w:tc>
        <w:tc>
          <w:tcPr>
            <w:tcW w:w="3402" w:type="dxa"/>
            <w:tcBorders>
              <w:top w:val="single" w:color="000000" w:sz="4" w:space="0"/>
              <w:left w:val="single" w:color="000000" w:sz="4" w:space="0"/>
              <w:bottom w:val="single" w:color="000000" w:sz="4" w:space="0"/>
              <w:right w:val="single" w:color="000000" w:sz="4" w:space="0"/>
            </w:tcBorders>
            <w:vAlign w:val="center"/>
          </w:tcPr>
          <w:p w14:paraId="1954A4DD">
            <w:pPr>
              <w:pStyle w:val="91"/>
              <w:snapToGrid w:val="0"/>
              <w:spacing w:line="560" w:lineRule="exact"/>
              <w:ind w:firstLine="200"/>
              <w:jc w:val="center"/>
              <w:rPr>
                <w:rStyle w:val="37"/>
                <w:rFonts w:ascii="仿宋_GB2312" w:hAnsi="仿宋_GB2312" w:eastAsia="仿宋_GB2312"/>
                <w:kern w:val="2"/>
                <w:sz w:val="24"/>
                <w:szCs w:val="24"/>
              </w:rPr>
            </w:pPr>
          </w:p>
        </w:tc>
        <w:tc>
          <w:tcPr>
            <w:tcW w:w="2552" w:type="dxa"/>
            <w:tcBorders>
              <w:top w:val="single" w:color="000000" w:sz="4" w:space="0"/>
              <w:left w:val="single" w:color="000000" w:sz="4" w:space="0"/>
              <w:bottom w:val="single" w:color="000000" w:sz="4" w:space="0"/>
              <w:right w:val="single" w:color="000000" w:sz="4" w:space="0"/>
            </w:tcBorders>
            <w:vAlign w:val="center"/>
          </w:tcPr>
          <w:p w14:paraId="450A4B03">
            <w:pPr>
              <w:pStyle w:val="91"/>
              <w:snapToGrid w:val="0"/>
              <w:spacing w:line="560" w:lineRule="exact"/>
              <w:ind w:firstLine="200"/>
              <w:jc w:val="center"/>
              <w:rPr>
                <w:rStyle w:val="37"/>
                <w:rFonts w:ascii="仿宋_GB2312" w:hAnsi="仿宋_GB2312" w:eastAsia="仿宋_GB2312"/>
                <w:kern w:val="2"/>
                <w:sz w:val="24"/>
                <w:szCs w:val="24"/>
              </w:rPr>
            </w:pPr>
          </w:p>
        </w:tc>
      </w:tr>
      <w:tr w14:paraId="60D6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603" w:type="dxa"/>
            <w:gridSpan w:val="2"/>
            <w:tcBorders>
              <w:top w:val="single" w:color="000000" w:sz="4" w:space="0"/>
              <w:left w:val="single" w:color="000000" w:sz="4" w:space="0"/>
              <w:bottom w:val="single" w:color="000000" w:sz="4" w:space="0"/>
              <w:right w:val="single" w:color="000000" w:sz="4" w:space="0"/>
            </w:tcBorders>
            <w:vAlign w:val="center"/>
          </w:tcPr>
          <w:p w14:paraId="5B7E75C0">
            <w:pPr>
              <w:pStyle w:val="91"/>
              <w:snapToGrid w:val="0"/>
              <w:spacing w:line="560" w:lineRule="exact"/>
              <w:ind w:firstLine="200"/>
              <w:jc w:val="center"/>
              <w:rPr>
                <w:rStyle w:val="37"/>
                <w:rFonts w:ascii="仿宋_GB2312" w:hAnsi="仿宋_GB2312" w:eastAsia="仿宋_GB2312"/>
                <w:kern w:val="2"/>
                <w:sz w:val="24"/>
                <w:szCs w:val="24"/>
              </w:rPr>
            </w:pPr>
            <w:r>
              <w:rPr>
                <w:rStyle w:val="37"/>
                <w:rFonts w:ascii="仿宋_GB2312" w:hAnsi="仿宋_GB2312" w:eastAsia="仿宋_GB2312"/>
                <w:kern w:val="2"/>
                <w:sz w:val="24"/>
                <w:szCs w:val="24"/>
              </w:rPr>
              <w:t>总价</w:t>
            </w:r>
          </w:p>
        </w:tc>
        <w:tc>
          <w:tcPr>
            <w:tcW w:w="2552" w:type="dxa"/>
            <w:tcBorders>
              <w:top w:val="single" w:color="000000" w:sz="4" w:space="0"/>
              <w:left w:val="single" w:color="000000" w:sz="4" w:space="0"/>
              <w:bottom w:val="single" w:color="000000" w:sz="4" w:space="0"/>
              <w:right w:val="single" w:color="000000" w:sz="4" w:space="0"/>
            </w:tcBorders>
            <w:vAlign w:val="center"/>
          </w:tcPr>
          <w:p w14:paraId="443964C0">
            <w:pPr>
              <w:pStyle w:val="91"/>
              <w:snapToGrid w:val="0"/>
              <w:spacing w:line="560" w:lineRule="exact"/>
              <w:ind w:firstLine="200"/>
              <w:jc w:val="center"/>
              <w:rPr>
                <w:rStyle w:val="37"/>
                <w:rFonts w:ascii="仿宋_GB2312" w:hAnsi="仿宋_GB2312" w:eastAsia="仿宋_GB2312"/>
                <w:kern w:val="2"/>
                <w:sz w:val="24"/>
                <w:szCs w:val="24"/>
              </w:rPr>
            </w:pPr>
          </w:p>
        </w:tc>
      </w:tr>
    </w:tbl>
    <w:p w14:paraId="3C9A1B9F">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1.4 付款方式和发票开具方式</w:t>
      </w:r>
    </w:p>
    <w:p w14:paraId="32466905">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1.4.1 付款方式：；</w:t>
      </w:r>
    </w:p>
    <w:p w14:paraId="2C20157E">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1.4.2 发票开具方式：。</w:t>
      </w:r>
    </w:p>
    <w:p w14:paraId="06E7AEA2">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1.5 货物交付期限、地点和方式</w:t>
      </w:r>
    </w:p>
    <w:p w14:paraId="678523B7">
      <w:pPr>
        <w:snapToGrid w:val="0"/>
        <w:spacing w:line="560" w:lineRule="exact"/>
        <w:ind w:firstLine="480" w:firstLineChars="200"/>
        <w:jc w:val="left"/>
        <w:rPr>
          <w:rStyle w:val="37"/>
          <w:rFonts w:ascii="仿宋_GB2312" w:hAnsi="仿宋_GB2312" w:eastAsia="仿宋_GB2312"/>
          <w:sz w:val="24"/>
          <w:u w:val="single"/>
        </w:rPr>
      </w:pPr>
      <w:r>
        <w:rPr>
          <w:rStyle w:val="37"/>
          <w:rFonts w:ascii="仿宋_GB2312" w:hAnsi="仿宋_GB2312" w:eastAsia="仿宋_GB2312"/>
          <w:sz w:val="24"/>
        </w:rPr>
        <w:t>1.5.1 交付限：；</w:t>
      </w:r>
    </w:p>
    <w:p w14:paraId="0CD5E823">
      <w:pPr>
        <w:snapToGrid w:val="0"/>
        <w:spacing w:line="560" w:lineRule="exact"/>
        <w:ind w:firstLine="480" w:firstLineChars="200"/>
        <w:jc w:val="left"/>
        <w:rPr>
          <w:rStyle w:val="37"/>
          <w:rFonts w:ascii="仿宋_GB2312" w:hAnsi="仿宋_GB2312" w:eastAsia="仿宋_GB2312"/>
          <w:sz w:val="24"/>
        </w:rPr>
      </w:pPr>
      <w:r>
        <w:rPr>
          <w:rStyle w:val="37"/>
          <w:rFonts w:ascii="仿宋_GB2312" w:hAnsi="仿宋_GB2312" w:eastAsia="仿宋_GB2312"/>
          <w:sz w:val="24"/>
        </w:rPr>
        <w:t>1.5.2 交付点：；</w:t>
      </w:r>
    </w:p>
    <w:p w14:paraId="4CBA8480">
      <w:pPr>
        <w:snapToGrid w:val="0"/>
        <w:spacing w:line="560" w:lineRule="exact"/>
        <w:ind w:firstLine="480" w:firstLineChars="200"/>
        <w:jc w:val="left"/>
        <w:rPr>
          <w:rStyle w:val="37"/>
          <w:rFonts w:ascii="仿宋_GB2312" w:hAnsi="仿宋_GB2312" w:eastAsia="仿宋_GB2312"/>
          <w:sz w:val="24"/>
        </w:rPr>
      </w:pPr>
      <w:r>
        <w:rPr>
          <w:rStyle w:val="37"/>
          <w:rFonts w:ascii="仿宋_GB2312" w:hAnsi="仿宋_GB2312" w:eastAsia="仿宋_GB2312"/>
          <w:sz w:val="24"/>
        </w:rPr>
        <w:t>1.5.3 交付式：</w:t>
      </w:r>
      <w:r>
        <w:rPr>
          <w:rStyle w:val="37"/>
          <w:rFonts w:ascii="仿宋_GB2312" w:hAnsi="仿宋_GB2312" w:eastAsia="仿宋_GB2312"/>
          <w:sz w:val="24"/>
          <w:u w:val="single" w:color="000000"/>
        </w:rPr>
        <w:t xml:space="preserve">　　　　　　　　　                      　      </w:t>
      </w:r>
      <w:r>
        <w:rPr>
          <w:rStyle w:val="37"/>
          <w:rFonts w:ascii="仿宋_GB2312" w:hAnsi="仿宋_GB2312" w:eastAsia="仿宋_GB2312"/>
          <w:sz w:val="24"/>
        </w:rPr>
        <w:t>。</w:t>
      </w:r>
    </w:p>
    <w:p w14:paraId="0506F7E0">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1.6 违约责任</w:t>
      </w:r>
    </w:p>
    <w:p w14:paraId="1FDD40F2">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14:paraId="35CE2A6A">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72348E92">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CCA5C1E">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DC52EC">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568BB83">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1.6.6 如果出现政府采购监督管理部门在处理投诉事项期间，书面通知甲方暂停采购活动的情形，或者询问或质疑事项可能影响中标结果的，导致甲方中止履行合同的情形，均不视为甲方违约。</w:t>
      </w:r>
    </w:p>
    <w:p w14:paraId="40B4E890">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1.7 合同争议的解决</w:t>
      </w:r>
    </w:p>
    <w:p w14:paraId="75D1EA81">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本合同履行过程中发生的任何争议，双方当事人均可通过和解或者调解解决；不愿和解、调解或者和解、调解不成的，可以选择下列第种方式解决：</w:t>
      </w:r>
    </w:p>
    <w:p w14:paraId="00837DAD">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1.7.1 将争议提交仲裁委员会依申请仲裁时其现行有效的仲裁规则裁决；</w:t>
      </w:r>
    </w:p>
    <w:p w14:paraId="4D9A36C7">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1.7.2 向</w:t>
      </w:r>
      <w:r>
        <w:rPr>
          <w:rStyle w:val="37"/>
          <w:rFonts w:ascii="仿宋_GB2312" w:hAnsi="仿宋_GB2312" w:eastAsia="仿宋_GB2312"/>
          <w:sz w:val="24"/>
          <w:u w:val="single" w:color="000000"/>
        </w:rPr>
        <w:t xml:space="preserve">   （被告住所地、合同履行地、合同签订地、原告住所地、标的物所在地等与争议有实际联系的地点中选出的人民法院名称）    </w:t>
      </w:r>
      <w:r>
        <w:rPr>
          <w:rStyle w:val="37"/>
          <w:rFonts w:ascii="仿宋_GB2312" w:hAnsi="仿宋_GB2312" w:eastAsia="仿宋_GB2312"/>
          <w:sz w:val="24"/>
        </w:rPr>
        <w:t>人民法院起诉。</w:t>
      </w:r>
    </w:p>
    <w:p w14:paraId="0FC69E22">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1.8 合同生效</w:t>
      </w:r>
    </w:p>
    <w:p w14:paraId="20F5090A">
      <w:pPr>
        <w:snapToGrid w:val="0"/>
        <w:spacing w:line="560" w:lineRule="exact"/>
        <w:ind w:firstLine="480" w:firstLineChars="200"/>
        <w:rPr>
          <w:rStyle w:val="37"/>
          <w:rFonts w:ascii="仿宋_GB2312" w:hAnsi="仿宋_GB2312" w:eastAsia="仿宋_GB2312"/>
          <w:b/>
          <w:sz w:val="24"/>
        </w:rPr>
      </w:pPr>
      <w:r>
        <w:rPr>
          <w:rStyle w:val="37"/>
          <w:rFonts w:ascii="仿宋_GB2312" w:hAnsi="仿宋_GB2312" w:eastAsia="仿宋_GB2312"/>
          <w:sz w:val="24"/>
        </w:rPr>
        <w:t>本合同自双方当事人盖章或者签字时生效。</w:t>
      </w:r>
    </w:p>
    <w:p w14:paraId="227CAA69">
      <w:pPr>
        <w:snapToGrid w:val="0"/>
        <w:spacing w:line="560" w:lineRule="exact"/>
        <w:rPr>
          <w:rStyle w:val="37"/>
          <w:rFonts w:ascii="仿宋_GB2312" w:hAnsi="仿宋_GB2312" w:eastAsia="仿宋_GB2312"/>
          <w:sz w:val="24"/>
          <w:lang w:val="zh-CN"/>
        </w:rPr>
      </w:pPr>
    </w:p>
    <w:p w14:paraId="3A14078C">
      <w:pPr>
        <w:snapToGrid w:val="0"/>
        <w:spacing w:line="560" w:lineRule="exact"/>
        <w:rPr>
          <w:rStyle w:val="37"/>
          <w:rFonts w:ascii="仿宋_GB2312" w:hAnsi="仿宋_GB2312" w:eastAsia="仿宋_GB2312"/>
          <w:sz w:val="24"/>
          <w:lang w:val="zh-CN"/>
        </w:rPr>
      </w:pPr>
      <w:r>
        <w:rPr>
          <w:rStyle w:val="37"/>
          <w:rFonts w:ascii="仿宋_GB2312" w:hAnsi="仿宋_GB2312" w:eastAsia="仿宋_GB2312"/>
          <w:b/>
          <w:sz w:val="24"/>
          <w:lang w:val="zh-CN"/>
        </w:rPr>
        <w:t>甲方</w:t>
      </w:r>
      <w:r>
        <w:rPr>
          <w:rStyle w:val="37"/>
          <w:rFonts w:ascii="仿宋_GB2312" w:hAnsi="仿宋_GB2312" w:eastAsia="仿宋_GB2312"/>
          <w:sz w:val="24"/>
          <w:lang w:val="zh-CN"/>
        </w:rPr>
        <w:t xml:space="preserve">：                             </w:t>
      </w:r>
      <w:r>
        <w:rPr>
          <w:rStyle w:val="37"/>
          <w:rFonts w:ascii="仿宋_GB2312" w:hAnsi="仿宋_GB2312" w:eastAsia="仿宋_GB2312"/>
          <w:b/>
          <w:sz w:val="24"/>
          <w:lang w:val="zh-CN"/>
        </w:rPr>
        <w:t xml:space="preserve">      乙方</w:t>
      </w:r>
      <w:r>
        <w:rPr>
          <w:rStyle w:val="37"/>
          <w:rFonts w:ascii="仿宋_GB2312" w:hAnsi="仿宋_GB2312" w:eastAsia="仿宋_GB2312"/>
          <w:sz w:val="24"/>
          <w:lang w:val="zh-CN"/>
        </w:rPr>
        <w:t>：</w:t>
      </w:r>
    </w:p>
    <w:p w14:paraId="7D532A93">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统一社会信用代码：                        统一社会信用代码或身份证号码：</w:t>
      </w:r>
    </w:p>
    <w:p w14:paraId="11B92590">
      <w:pPr>
        <w:snapToGrid w:val="0"/>
        <w:spacing w:line="560" w:lineRule="exact"/>
        <w:rPr>
          <w:rStyle w:val="37"/>
          <w:rFonts w:ascii="仿宋_GB2312" w:hAnsi="仿宋_GB2312" w:eastAsia="仿宋_GB2312"/>
          <w:sz w:val="24"/>
          <w:lang w:val="zh-CN"/>
        </w:rPr>
      </w:pPr>
    </w:p>
    <w:p w14:paraId="131C7025">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住所：                                   住所：</w:t>
      </w:r>
    </w:p>
    <w:p w14:paraId="34A84BF8">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法定代表人或                             法定代表人</w:t>
      </w:r>
    </w:p>
    <w:p w14:paraId="7255860C">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 xml:space="preserve">授权代表（签字）：                        或授权代表（签字）: </w:t>
      </w:r>
    </w:p>
    <w:p w14:paraId="3BFCC161">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联系人：                                 联系人：</w:t>
      </w:r>
    </w:p>
    <w:p w14:paraId="06A0963C">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约定送达地址：                           约定送达地址：</w:t>
      </w:r>
    </w:p>
    <w:p w14:paraId="0CCDC70B">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邮政编码：                               邮政编码：</w:t>
      </w:r>
    </w:p>
    <w:p w14:paraId="4F753810">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 xml:space="preserve">电话:                                    电话: </w:t>
      </w:r>
    </w:p>
    <w:p w14:paraId="00EFB0B7">
      <w:pPr>
        <w:snapToGrid w:val="0"/>
        <w:spacing w:line="560" w:lineRule="exact"/>
        <w:rPr>
          <w:rStyle w:val="37"/>
          <w:rFonts w:ascii="仿宋_GB2312" w:hAnsi="仿宋_GB2312" w:eastAsia="仿宋_GB2312"/>
          <w:sz w:val="24"/>
          <w:lang w:val="zh-CN"/>
        </w:rPr>
      </w:pPr>
      <w:r>
        <w:rPr>
          <w:rStyle w:val="37"/>
          <w:rFonts w:ascii="仿宋_GB2312" w:hAnsi="仿宋_GB2312" w:eastAsia="仿宋_GB2312"/>
          <w:sz w:val="24"/>
          <w:lang w:val="zh-CN"/>
        </w:rPr>
        <w:t>传真:                                    传真:</w:t>
      </w:r>
    </w:p>
    <w:p w14:paraId="2F1294DE">
      <w:pPr>
        <w:snapToGrid w:val="0"/>
        <w:spacing w:line="560" w:lineRule="exact"/>
        <w:rPr>
          <w:rStyle w:val="37"/>
          <w:rFonts w:ascii="仿宋_GB2312" w:hAnsi="仿宋_GB2312" w:eastAsia="仿宋_GB2312"/>
          <w:sz w:val="24"/>
        </w:rPr>
      </w:pPr>
      <w:r>
        <w:rPr>
          <w:rStyle w:val="37"/>
          <w:rFonts w:ascii="仿宋_GB2312" w:hAnsi="仿宋_GB2312" w:eastAsia="仿宋_GB2312"/>
          <w:sz w:val="24"/>
          <w:lang w:val="zh-CN"/>
        </w:rPr>
        <w:t>电子邮箱：                               电子邮箱：</w:t>
      </w:r>
    </w:p>
    <w:p w14:paraId="64157C89">
      <w:pPr>
        <w:snapToGrid w:val="0"/>
        <w:spacing w:line="560" w:lineRule="exact"/>
        <w:rPr>
          <w:rStyle w:val="37"/>
          <w:rFonts w:ascii="仿宋_GB2312" w:hAnsi="仿宋_GB2312" w:eastAsia="仿宋_GB2312"/>
          <w:sz w:val="24"/>
        </w:rPr>
      </w:pPr>
      <w:r>
        <w:rPr>
          <w:rStyle w:val="37"/>
          <w:rFonts w:ascii="仿宋_GB2312" w:hAnsi="仿宋_GB2312" w:eastAsia="仿宋_GB2312"/>
          <w:sz w:val="24"/>
        </w:rPr>
        <w:t xml:space="preserve">开户银行：                               开户银行： </w:t>
      </w:r>
    </w:p>
    <w:p w14:paraId="0A9C6423">
      <w:pPr>
        <w:snapToGrid w:val="0"/>
        <w:spacing w:line="560" w:lineRule="exact"/>
        <w:rPr>
          <w:rStyle w:val="37"/>
          <w:rFonts w:ascii="仿宋_GB2312" w:hAnsi="仿宋_GB2312" w:eastAsia="仿宋_GB2312"/>
          <w:sz w:val="24"/>
        </w:rPr>
      </w:pPr>
      <w:r>
        <w:rPr>
          <w:rStyle w:val="37"/>
          <w:rFonts w:ascii="仿宋_GB2312" w:hAnsi="仿宋_GB2312" w:eastAsia="仿宋_GB2312"/>
          <w:sz w:val="24"/>
        </w:rPr>
        <w:t xml:space="preserve">开户名称：                               开户名称： </w:t>
      </w:r>
    </w:p>
    <w:p w14:paraId="55932F70">
      <w:pPr>
        <w:snapToGrid w:val="0"/>
        <w:spacing w:line="560" w:lineRule="exact"/>
        <w:rPr>
          <w:rStyle w:val="37"/>
          <w:rFonts w:ascii="仿宋_GB2312" w:hAnsi="仿宋_GB2312" w:eastAsia="仿宋_GB2312"/>
          <w:sz w:val="24"/>
        </w:rPr>
      </w:pPr>
      <w:r>
        <w:rPr>
          <w:rStyle w:val="37"/>
          <w:rFonts w:ascii="仿宋_GB2312" w:hAnsi="仿宋_GB2312" w:eastAsia="仿宋_GB2312"/>
          <w:sz w:val="24"/>
        </w:rPr>
        <w:t>开户账号：开户账号：</w:t>
      </w:r>
    </w:p>
    <w:p w14:paraId="5022A94F">
      <w:pPr>
        <w:snapToGrid w:val="0"/>
        <w:spacing w:line="560" w:lineRule="exact"/>
        <w:jc w:val="left"/>
        <w:rPr>
          <w:rStyle w:val="37"/>
          <w:rFonts w:ascii="仿宋_GB2312" w:hAnsi="仿宋_GB2312" w:eastAsia="仿宋_GB2312"/>
          <w:b/>
        </w:rPr>
      </w:pPr>
    </w:p>
    <w:p w14:paraId="0EA7A05C">
      <w:pPr>
        <w:snapToGrid w:val="0"/>
        <w:spacing w:line="560" w:lineRule="exact"/>
        <w:jc w:val="left"/>
        <w:rPr>
          <w:rStyle w:val="37"/>
          <w:rFonts w:ascii="仿宋_GB2312" w:hAnsi="仿宋_GB2312" w:eastAsia="仿宋_GB2312"/>
          <w:b/>
        </w:rPr>
      </w:pPr>
    </w:p>
    <w:p w14:paraId="0830C01D">
      <w:pPr>
        <w:snapToGrid w:val="0"/>
        <w:spacing w:line="560" w:lineRule="exact"/>
        <w:jc w:val="left"/>
        <w:rPr>
          <w:rStyle w:val="37"/>
          <w:rFonts w:ascii="仿宋_GB2312" w:hAnsi="仿宋_GB2312" w:eastAsia="仿宋_GB2312"/>
          <w:b/>
          <w:kern w:val="0"/>
          <w:sz w:val="24"/>
        </w:rPr>
      </w:pPr>
    </w:p>
    <w:p w14:paraId="1E6A3F96">
      <w:pPr>
        <w:pStyle w:val="84"/>
        <w:snapToGrid w:val="0"/>
        <w:spacing w:line="560" w:lineRule="exact"/>
        <w:ind w:firstLine="200"/>
        <w:jc w:val="center"/>
        <w:rPr>
          <w:rStyle w:val="37"/>
          <w:rFonts w:ascii="仿宋_GB2312" w:hAnsi="仿宋_GB2312" w:eastAsia="仿宋_GB2312"/>
          <w:b/>
          <w:szCs w:val="24"/>
        </w:rPr>
      </w:pPr>
      <w:r>
        <w:rPr>
          <w:rStyle w:val="37"/>
          <w:rFonts w:ascii="仿宋_GB2312" w:hAnsi="仿宋_GB2312" w:eastAsia="仿宋_GB2312"/>
          <w:b/>
          <w:szCs w:val="24"/>
        </w:rPr>
        <w:t>第二部分 合同一般条款</w:t>
      </w:r>
    </w:p>
    <w:p w14:paraId="24AD691C">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 定义</w:t>
      </w:r>
    </w:p>
    <w:p w14:paraId="59CD3152">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本合同中的下列词语应按以下内容进行解释：</w:t>
      </w:r>
    </w:p>
    <w:p w14:paraId="33FFB2AA">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2.1.1 “合同”系指采购人和中标供应商签订的载明双方当事人所达成的协议，并包括所有的附件、附录和构成合同的其他文件。</w:t>
      </w:r>
    </w:p>
    <w:p w14:paraId="2796E1B8">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2.1.2 “合同价”系指根据合同约定，中标供应商在完全履行合同义务后，采购人应支付给中标供应商的价格。</w:t>
      </w:r>
    </w:p>
    <w:p w14:paraId="04353505">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2.1.3 “货物”系指中标供应商根据合同约定应向采购人交付的一切各种形态和种类的物品，包括原材料、燃料、设备、机械、仪表、备件、计算机软件、产品等，并包括工具、手册等其他相关资料。</w:t>
      </w:r>
    </w:p>
    <w:p w14:paraId="547D885E">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2.1.4 “甲方”系指与中标供应商签署合同的采购人；采购人委托采购代理机构代表其与乙方签订合同的，采购人的授权委托书作为合同附件。</w:t>
      </w:r>
    </w:p>
    <w:p w14:paraId="5E984690">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3C1E98C">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2.1.6 “现场”系指合同约定货物将要运至或者安装的地点。</w:t>
      </w:r>
    </w:p>
    <w:p w14:paraId="342F5126">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2.2 技术规范</w:t>
      </w:r>
    </w:p>
    <w:p w14:paraId="77CA1EB6">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4702B93">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2.3 知识产权</w:t>
      </w:r>
    </w:p>
    <w:p w14:paraId="204DADC4">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346CF82C">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2.3.2具有知识产权的计算机软件等货物的知识产权归属，详见</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w:t>
      </w:r>
    </w:p>
    <w:p w14:paraId="3E84FB64">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2.4 包装和装运</w:t>
      </w:r>
    </w:p>
    <w:p w14:paraId="3454606A">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2.4.1除</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D7CA88B">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2.4.2 装运货物的要求和通知，详见</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w:t>
      </w:r>
    </w:p>
    <w:p w14:paraId="67ACD253">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2.5 履约检查和问题反馈</w:t>
      </w:r>
    </w:p>
    <w:p w14:paraId="45CB5EC2">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42053DB7">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2.5.2 合同履行期间，甲方有权将履行过程中出现的问题反馈给乙方，双方当事人应以书面形式约定需要完善和改进的内容。</w:t>
      </w:r>
    </w:p>
    <w:p w14:paraId="11E52072">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2.6 结算方式和付款条件</w:t>
      </w:r>
    </w:p>
    <w:p w14:paraId="078F6EE4">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详见</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w:t>
      </w:r>
    </w:p>
    <w:p w14:paraId="4C94EE06">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2.7 技术资料和保密义务</w:t>
      </w:r>
    </w:p>
    <w:p w14:paraId="2E598BF6">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2.7.1 乙方有权依据合同约定和项目需要，向甲方了解有关情况，调阅有关资料等，甲方应予积极配合；</w:t>
      </w:r>
    </w:p>
    <w:p w14:paraId="7E6EEE7B">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2.7.2 乙方有义务妥善保管和保护由甲方提供的前款信息和资料等；</w:t>
      </w:r>
    </w:p>
    <w:p w14:paraId="16B88911">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84C5E18">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2.8 质量保证</w:t>
      </w:r>
    </w:p>
    <w:p w14:paraId="294D2954">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2.8.1 乙方应建立和完善履行合同的内部质量保证体系，并提供相关内部规章制度给甲方，以便甲方进行监督检查；</w:t>
      </w:r>
    </w:p>
    <w:p w14:paraId="578ED838">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2.8.2 乙方应保证履行合同的人员数量和素质、软件和硬件设备的配置、场地、环境和设施等满足全面履行合同的要求，并应接受甲方的监督检查。</w:t>
      </w:r>
    </w:p>
    <w:p w14:paraId="61250B58">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2.9 货物的风险负担</w:t>
      </w:r>
    </w:p>
    <w:p w14:paraId="2E781E93">
      <w:pPr>
        <w:snapToGrid w:val="0"/>
        <w:spacing w:line="560" w:lineRule="exact"/>
        <w:ind w:firstLine="480" w:firstLineChars="200"/>
        <w:rPr>
          <w:rStyle w:val="37"/>
          <w:rFonts w:ascii="仿宋_GB2312" w:hAnsi="仿宋_GB2312" w:eastAsia="仿宋_GB2312"/>
          <w:b/>
          <w:sz w:val="24"/>
        </w:rPr>
      </w:pPr>
      <w:r>
        <w:rPr>
          <w:rStyle w:val="37"/>
          <w:rFonts w:ascii="仿宋_GB2312" w:hAnsi="仿宋_GB2312" w:eastAsia="仿宋_GB2312"/>
          <w:sz w:val="24"/>
        </w:rPr>
        <w:t>货物或者在途货物或者交付给第一承运人后的货物毁损、灭失的风险负担详见</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w:t>
      </w:r>
    </w:p>
    <w:p w14:paraId="1CC6D270">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2.10 延迟交货</w:t>
      </w:r>
    </w:p>
    <w:p w14:paraId="765A9E79">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5BB598A">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2.11 合同变更</w:t>
      </w:r>
    </w:p>
    <w:p w14:paraId="5465FEED">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2E213803">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2.11.2 合同继续履行将损害国家利益和社会公共利益的，双方当事人应当以书面形式变更合同。有过错的一方应当承担赔偿责任，双方当事人都有过错的，各自承担相应的责任。</w:t>
      </w:r>
    </w:p>
    <w:p w14:paraId="48728807">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2.12 合同转让和分包</w:t>
      </w:r>
    </w:p>
    <w:p w14:paraId="369F9788">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090E666">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2.13 不可抗力</w:t>
      </w:r>
    </w:p>
    <w:p w14:paraId="65404F93">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2.13.1如果任何一方遭遇法律规定的不可抗力，致使合同履行受阻时，履行合同的期限应予延长，延长的期限应相当于不可抗力所影响的时间；</w:t>
      </w:r>
    </w:p>
    <w:p w14:paraId="393A11E0">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2.13.2 因不可抗力致使不能实现合同目的的，当事人可以解除合同；</w:t>
      </w:r>
    </w:p>
    <w:p w14:paraId="5C134CD8">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2.13.3 因不可抗力致使合同有变更必要的，双方当事人应在</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约定时间内以书面形式变更合同；</w:t>
      </w:r>
    </w:p>
    <w:p w14:paraId="53C8DE6E">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2.13.4受不可抗力影响的一方在不可抗力发生后，应在</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约定时间内以书面形式通知对方当事人，并在</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约定时间内，将有关部门出具的证明文件送达对方当事人。</w:t>
      </w:r>
    </w:p>
    <w:p w14:paraId="502256E1">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2.14 税费</w:t>
      </w:r>
    </w:p>
    <w:p w14:paraId="527EABA5">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与合同有关的一切税费，均按照中华人民共和国法律的相关规定。</w:t>
      </w:r>
    </w:p>
    <w:p w14:paraId="04B639C7">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2.15 乙方破产</w:t>
      </w:r>
    </w:p>
    <w:p w14:paraId="17FA77DE">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67367CE">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2.16 合同中止、终止</w:t>
      </w:r>
    </w:p>
    <w:p w14:paraId="009DEBA3">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2.16.1 双方当事人不得擅自中止或者终止合同；</w:t>
      </w:r>
    </w:p>
    <w:p w14:paraId="6E484DDB">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2.16.2合同继续履行将损害国家利益和社会公共利益的，双方当事人应当中止或者终止合同。有过错的一方应当承担赔偿责任，双方当事人都有过错的，各自承担相应的责任。</w:t>
      </w:r>
    </w:p>
    <w:p w14:paraId="03B71A97">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2.17 检验和验收</w:t>
      </w:r>
    </w:p>
    <w:p w14:paraId="2BF8DF3F">
      <w:pPr>
        <w:tabs>
          <w:tab w:val="left" w:pos="360"/>
          <w:tab w:val="left" w:pos="540"/>
          <w:tab w:val="left" w:pos="1080"/>
        </w:tabs>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2.17.1货物交付前，乙方应对货物的质量、数量等方面进行详细、全面的检验，并向甲方出具证明货物符合合同约定的文件；货物交付时，乙方在</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约定时间内组织验收，并可依法邀请相关方参加，验收应出具验收书。</w:t>
      </w:r>
    </w:p>
    <w:p w14:paraId="3D4DEE2C">
      <w:pPr>
        <w:tabs>
          <w:tab w:val="left" w:pos="360"/>
          <w:tab w:val="left" w:pos="540"/>
          <w:tab w:val="left" w:pos="1080"/>
        </w:tabs>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1CADEF1">
      <w:pPr>
        <w:tabs>
          <w:tab w:val="left" w:pos="360"/>
          <w:tab w:val="left" w:pos="540"/>
          <w:tab w:val="left" w:pos="1080"/>
        </w:tabs>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2.17.3 检验和验收标准、程序等具体内容以及前述验收书的效力详见</w:t>
      </w:r>
      <w:r>
        <w:rPr>
          <w:rStyle w:val="37"/>
          <w:rFonts w:ascii="仿宋_GB2312" w:hAnsi="仿宋_GB2312" w:eastAsia="仿宋_GB2312"/>
          <w:b/>
          <w:i/>
          <w:sz w:val="24"/>
          <w:u w:val="single" w:color="000000"/>
        </w:rPr>
        <w:t>合同专用条款</w:t>
      </w:r>
      <w:r>
        <w:rPr>
          <w:rStyle w:val="37"/>
          <w:rFonts w:ascii="仿宋_GB2312" w:hAnsi="仿宋_GB2312" w:eastAsia="仿宋_GB2312"/>
          <w:i/>
          <w:sz w:val="24"/>
        </w:rPr>
        <w:t>。</w:t>
      </w:r>
    </w:p>
    <w:p w14:paraId="21DCA187">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2.18 通知和送达</w:t>
      </w:r>
    </w:p>
    <w:p w14:paraId="18B3E806">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68E6845D">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131EB9C1">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2.19 计量单位</w:t>
      </w:r>
    </w:p>
    <w:p w14:paraId="0C20A869">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除技术规范中另有规定外,合同的计量单位均使用国家法定计量单位。</w:t>
      </w:r>
    </w:p>
    <w:p w14:paraId="2FEA6619">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2.20 合同使用的文字和适用的法律</w:t>
      </w:r>
    </w:p>
    <w:p w14:paraId="7BDF5E04">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2.20.1 合同使用汉语书就、变更和解释；</w:t>
      </w:r>
    </w:p>
    <w:p w14:paraId="1D257068">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2.20.2 合同适用中华人民共和国法律。</w:t>
      </w:r>
    </w:p>
    <w:p w14:paraId="35F55AF0">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2.21 履约保证金</w:t>
      </w:r>
    </w:p>
    <w:p w14:paraId="260581E3">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2.21.1 采购文件要求乙方提交履约保证金的，乙方应按</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约定的方式，以支票、汇票、本票或者金融机构、担保机构出具的保函等非现金形式，提交不超过合同价10%的履约保证金；</w:t>
      </w:r>
    </w:p>
    <w:p w14:paraId="1BBD11A9">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2.21.2  履约保证金在</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约定期间内或者货物质量保证期内不予退还或者应完全有效，前述约定期间届满或者货物质量保证期届满之日起个工作日内，甲方应将履约保证金退还乙方；</w:t>
      </w:r>
    </w:p>
    <w:p w14:paraId="0714D480">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0A1CCCC">
      <w:pPr>
        <w:snapToGrid w:val="0"/>
        <w:spacing w:line="560" w:lineRule="exact"/>
        <w:ind w:firstLine="482" w:firstLineChars="200"/>
        <w:rPr>
          <w:rStyle w:val="37"/>
          <w:rFonts w:ascii="仿宋_GB2312" w:hAnsi="仿宋_GB2312" w:eastAsia="仿宋_GB2312"/>
          <w:b/>
          <w:sz w:val="24"/>
        </w:rPr>
      </w:pPr>
      <w:r>
        <w:rPr>
          <w:rStyle w:val="37"/>
          <w:rFonts w:ascii="仿宋_GB2312" w:hAnsi="仿宋_GB2312" w:eastAsia="仿宋_GB2312"/>
          <w:b/>
          <w:sz w:val="24"/>
        </w:rPr>
        <w:t>2.22 合同份数</w:t>
      </w:r>
    </w:p>
    <w:p w14:paraId="394854D6">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合同份数按</w:t>
      </w:r>
      <w:r>
        <w:rPr>
          <w:rStyle w:val="37"/>
          <w:rFonts w:ascii="仿宋_GB2312" w:hAnsi="仿宋_GB2312" w:eastAsia="仿宋_GB2312"/>
          <w:b/>
          <w:i/>
          <w:sz w:val="24"/>
          <w:u w:val="single" w:color="000000"/>
        </w:rPr>
        <w:t>合同专用条款</w:t>
      </w:r>
      <w:r>
        <w:rPr>
          <w:rStyle w:val="37"/>
          <w:rFonts w:ascii="仿宋_GB2312" w:hAnsi="仿宋_GB2312" w:eastAsia="仿宋_GB2312"/>
          <w:sz w:val="24"/>
        </w:rPr>
        <w:t>规定，每份均具有同等法律效力。</w:t>
      </w:r>
    </w:p>
    <w:p w14:paraId="4CCABDB8">
      <w:pPr>
        <w:pStyle w:val="84"/>
        <w:snapToGrid w:val="0"/>
        <w:spacing w:line="560" w:lineRule="exact"/>
        <w:ind w:firstLine="0"/>
        <w:jc w:val="center"/>
        <w:rPr>
          <w:rStyle w:val="37"/>
          <w:rFonts w:ascii="仿宋_GB2312" w:hAnsi="仿宋_GB2312" w:eastAsia="仿宋_GB2312"/>
          <w:szCs w:val="24"/>
        </w:rPr>
      </w:pPr>
      <w:r>
        <w:rPr>
          <w:rStyle w:val="37"/>
          <w:rFonts w:ascii="仿宋_GB2312" w:hAnsi="仿宋_GB2312" w:eastAsia="仿宋_GB2312"/>
          <w:szCs w:val="24"/>
        </w:rPr>
        <w:br w:type="page"/>
      </w:r>
    </w:p>
    <w:p w14:paraId="5CA0A820">
      <w:pPr>
        <w:pStyle w:val="84"/>
        <w:snapToGrid w:val="0"/>
        <w:spacing w:line="560" w:lineRule="exact"/>
        <w:ind w:firstLine="0"/>
        <w:jc w:val="center"/>
        <w:rPr>
          <w:rStyle w:val="37"/>
          <w:rFonts w:ascii="仿宋_GB2312" w:hAnsi="仿宋_GB2312" w:eastAsia="仿宋_GB2312"/>
          <w:b/>
          <w:szCs w:val="24"/>
        </w:rPr>
      </w:pPr>
      <w:r>
        <w:rPr>
          <w:rStyle w:val="37"/>
          <w:rFonts w:ascii="仿宋_GB2312" w:hAnsi="仿宋_GB2312" w:eastAsia="仿宋_GB2312"/>
          <w:b/>
          <w:szCs w:val="24"/>
        </w:rPr>
        <w:t>第三部分  合同专用条款</w:t>
      </w:r>
    </w:p>
    <w:p w14:paraId="56BD8712">
      <w:pPr>
        <w:snapToGrid w:val="0"/>
        <w:spacing w:line="560" w:lineRule="exact"/>
        <w:ind w:firstLine="480" w:firstLineChars="200"/>
        <w:rPr>
          <w:rStyle w:val="37"/>
          <w:rFonts w:ascii="仿宋_GB2312" w:hAnsi="仿宋_GB2312" w:eastAsia="仿宋_GB2312"/>
          <w:sz w:val="24"/>
        </w:rPr>
      </w:pPr>
      <w:r>
        <w:rPr>
          <w:rStyle w:val="37"/>
          <w:rFonts w:ascii="仿宋_GB2312" w:hAnsi="仿宋_GB2312"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8434"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1"/>
        <w:gridCol w:w="7633"/>
      </w:tblGrid>
      <w:tr w14:paraId="58FEA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426CB6AE">
            <w:pPr>
              <w:snapToGrid w:val="0"/>
              <w:spacing w:line="560" w:lineRule="exact"/>
              <w:jc w:val="center"/>
              <w:rPr>
                <w:rStyle w:val="37"/>
                <w:rFonts w:ascii="仿宋_GB2312" w:hAnsi="仿宋_GB2312" w:eastAsia="仿宋_GB2312"/>
                <w:b/>
                <w:sz w:val="24"/>
              </w:rPr>
            </w:pPr>
            <w:r>
              <w:rPr>
                <w:rStyle w:val="37"/>
                <w:rFonts w:ascii="仿宋_GB2312" w:hAnsi="仿宋_GB2312" w:eastAsia="仿宋_GB2312"/>
                <w:b/>
                <w:sz w:val="24"/>
              </w:rPr>
              <w:t>条款号</w:t>
            </w:r>
          </w:p>
        </w:tc>
        <w:tc>
          <w:tcPr>
            <w:tcW w:w="7633" w:type="dxa"/>
            <w:tcBorders>
              <w:top w:val="single" w:color="000000" w:sz="6" w:space="0"/>
              <w:left w:val="single" w:color="000000" w:sz="6" w:space="0"/>
              <w:bottom w:val="single" w:color="000000" w:sz="6" w:space="0"/>
              <w:right w:val="single" w:color="000000" w:sz="6" w:space="0"/>
            </w:tcBorders>
            <w:vAlign w:val="center"/>
          </w:tcPr>
          <w:p w14:paraId="5F4F5C8F">
            <w:pPr>
              <w:snapToGrid w:val="0"/>
              <w:spacing w:line="560" w:lineRule="exact"/>
              <w:jc w:val="center"/>
              <w:rPr>
                <w:rStyle w:val="37"/>
                <w:rFonts w:ascii="仿宋_GB2312" w:hAnsi="仿宋_GB2312" w:eastAsia="仿宋_GB2312"/>
                <w:b/>
                <w:sz w:val="24"/>
              </w:rPr>
            </w:pPr>
            <w:r>
              <w:rPr>
                <w:rStyle w:val="37"/>
                <w:rFonts w:ascii="仿宋_GB2312" w:hAnsi="仿宋_GB2312" w:eastAsia="仿宋_GB2312"/>
                <w:b/>
                <w:sz w:val="24"/>
              </w:rPr>
              <w:t>约定内容</w:t>
            </w:r>
          </w:p>
        </w:tc>
      </w:tr>
      <w:tr w14:paraId="34F7F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494F63F3">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08D33B22">
            <w:pPr>
              <w:snapToGrid w:val="0"/>
              <w:spacing w:line="560" w:lineRule="exact"/>
              <w:rPr>
                <w:rStyle w:val="37"/>
                <w:rFonts w:ascii="仿宋_GB2312" w:hAnsi="仿宋_GB2312" w:eastAsia="仿宋_GB2312"/>
                <w:sz w:val="24"/>
              </w:rPr>
            </w:pPr>
          </w:p>
        </w:tc>
      </w:tr>
      <w:tr w14:paraId="5A442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377F48DC">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2806C3D5">
            <w:pPr>
              <w:snapToGrid w:val="0"/>
              <w:spacing w:line="560" w:lineRule="exact"/>
              <w:rPr>
                <w:rStyle w:val="37"/>
                <w:rFonts w:ascii="仿宋_GB2312" w:hAnsi="仿宋_GB2312" w:eastAsia="仿宋_GB2312"/>
                <w:sz w:val="24"/>
              </w:rPr>
            </w:pPr>
          </w:p>
        </w:tc>
      </w:tr>
      <w:tr w14:paraId="04780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148B0B26">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257DB075">
            <w:pPr>
              <w:snapToGrid w:val="0"/>
              <w:spacing w:line="560" w:lineRule="exact"/>
              <w:rPr>
                <w:rStyle w:val="37"/>
                <w:rFonts w:ascii="仿宋_GB2312" w:hAnsi="仿宋_GB2312" w:eastAsia="仿宋_GB2312"/>
                <w:sz w:val="24"/>
              </w:rPr>
            </w:pPr>
          </w:p>
        </w:tc>
      </w:tr>
      <w:tr w14:paraId="18555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1B56FDA7">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58DBC11D">
            <w:pPr>
              <w:snapToGrid w:val="0"/>
              <w:spacing w:line="560" w:lineRule="exact"/>
              <w:rPr>
                <w:rStyle w:val="37"/>
                <w:rFonts w:ascii="仿宋_GB2312" w:hAnsi="仿宋_GB2312" w:eastAsia="仿宋_GB2312"/>
                <w:sz w:val="24"/>
              </w:rPr>
            </w:pPr>
          </w:p>
        </w:tc>
      </w:tr>
      <w:tr w14:paraId="0A9C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1F91C910">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1CE4977D">
            <w:pPr>
              <w:snapToGrid w:val="0"/>
              <w:spacing w:line="560" w:lineRule="exact"/>
              <w:rPr>
                <w:rStyle w:val="37"/>
                <w:rFonts w:ascii="仿宋_GB2312" w:hAnsi="仿宋_GB2312" w:eastAsia="仿宋_GB2312"/>
                <w:sz w:val="24"/>
                <w:u w:val="single"/>
              </w:rPr>
            </w:pPr>
          </w:p>
        </w:tc>
      </w:tr>
      <w:tr w14:paraId="2B36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007ABF6A">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6E24B2C9">
            <w:pPr>
              <w:snapToGrid w:val="0"/>
              <w:spacing w:line="560" w:lineRule="exact"/>
              <w:rPr>
                <w:rStyle w:val="37"/>
                <w:rFonts w:ascii="仿宋_GB2312" w:hAnsi="仿宋_GB2312" w:eastAsia="仿宋_GB2312"/>
                <w:sz w:val="24"/>
              </w:rPr>
            </w:pPr>
          </w:p>
        </w:tc>
      </w:tr>
      <w:tr w14:paraId="5B46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0D089D29">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37815184">
            <w:pPr>
              <w:snapToGrid w:val="0"/>
              <w:spacing w:line="560" w:lineRule="exact"/>
              <w:rPr>
                <w:rStyle w:val="37"/>
                <w:rFonts w:ascii="仿宋_GB2312" w:hAnsi="仿宋_GB2312" w:eastAsia="仿宋_GB2312"/>
                <w:sz w:val="24"/>
                <w:u w:val="single"/>
              </w:rPr>
            </w:pPr>
          </w:p>
        </w:tc>
      </w:tr>
      <w:tr w14:paraId="06A29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2F8C8979">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09BE2D49">
            <w:pPr>
              <w:snapToGrid w:val="0"/>
              <w:spacing w:line="560" w:lineRule="exact"/>
              <w:rPr>
                <w:rStyle w:val="37"/>
                <w:rFonts w:ascii="仿宋_GB2312" w:hAnsi="仿宋_GB2312" w:eastAsia="仿宋_GB2312"/>
                <w:sz w:val="24"/>
              </w:rPr>
            </w:pPr>
          </w:p>
        </w:tc>
      </w:tr>
      <w:tr w14:paraId="455A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4DCC62A2">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46D9ACD6">
            <w:pPr>
              <w:snapToGrid w:val="0"/>
              <w:spacing w:line="560" w:lineRule="exact"/>
              <w:rPr>
                <w:rStyle w:val="37"/>
                <w:rFonts w:ascii="仿宋_GB2312" w:hAnsi="仿宋_GB2312" w:eastAsia="仿宋_GB2312"/>
                <w:sz w:val="24"/>
              </w:rPr>
            </w:pPr>
          </w:p>
        </w:tc>
      </w:tr>
      <w:tr w14:paraId="6FC7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5F36668B">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48D4F8CF">
            <w:pPr>
              <w:snapToGrid w:val="0"/>
              <w:spacing w:line="560" w:lineRule="exact"/>
              <w:rPr>
                <w:rStyle w:val="37"/>
                <w:rFonts w:ascii="仿宋_GB2312" w:hAnsi="仿宋_GB2312" w:eastAsia="仿宋_GB2312"/>
                <w:sz w:val="24"/>
              </w:rPr>
            </w:pPr>
          </w:p>
        </w:tc>
      </w:tr>
      <w:tr w14:paraId="1FE3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2F742D92">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2B075FC2">
            <w:pPr>
              <w:snapToGrid w:val="0"/>
              <w:spacing w:line="560" w:lineRule="exact"/>
              <w:rPr>
                <w:rStyle w:val="37"/>
                <w:rFonts w:ascii="仿宋_GB2312" w:hAnsi="仿宋_GB2312" w:eastAsia="仿宋_GB2312"/>
                <w:sz w:val="24"/>
              </w:rPr>
            </w:pPr>
          </w:p>
        </w:tc>
      </w:tr>
      <w:tr w14:paraId="25D32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 w:hRule="atLeast"/>
        </w:trPr>
        <w:tc>
          <w:tcPr>
            <w:tcW w:w="801" w:type="dxa"/>
            <w:tcBorders>
              <w:top w:val="single" w:color="000000" w:sz="6" w:space="0"/>
              <w:left w:val="single" w:color="000000" w:sz="4" w:space="0"/>
              <w:bottom w:val="single" w:color="000000" w:sz="6" w:space="0"/>
              <w:right w:val="single" w:color="000000" w:sz="6" w:space="0"/>
            </w:tcBorders>
            <w:vAlign w:val="center"/>
          </w:tcPr>
          <w:p w14:paraId="68738748">
            <w:pPr>
              <w:snapToGrid w:val="0"/>
              <w:spacing w:line="560" w:lineRule="exact"/>
              <w:rPr>
                <w:rStyle w:val="37"/>
                <w:rFonts w:ascii="仿宋_GB2312" w:hAnsi="仿宋_GB2312" w:eastAsia="仿宋_GB2312"/>
                <w:sz w:val="24"/>
              </w:rPr>
            </w:pPr>
          </w:p>
        </w:tc>
        <w:tc>
          <w:tcPr>
            <w:tcW w:w="7633" w:type="dxa"/>
            <w:tcBorders>
              <w:top w:val="single" w:color="000000" w:sz="6" w:space="0"/>
              <w:left w:val="single" w:color="000000" w:sz="6" w:space="0"/>
              <w:bottom w:val="single" w:color="000000" w:sz="6" w:space="0"/>
              <w:right w:val="single" w:color="000000" w:sz="6" w:space="0"/>
            </w:tcBorders>
            <w:vAlign w:val="center"/>
          </w:tcPr>
          <w:p w14:paraId="32D52A37">
            <w:pPr>
              <w:snapToGrid w:val="0"/>
              <w:spacing w:line="560" w:lineRule="exact"/>
              <w:rPr>
                <w:rStyle w:val="37"/>
                <w:rFonts w:ascii="仿宋_GB2312" w:hAnsi="仿宋_GB2312" w:eastAsia="仿宋_GB2312"/>
                <w:sz w:val="24"/>
              </w:rPr>
            </w:pPr>
          </w:p>
        </w:tc>
      </w:tr>
    </w:tbl>
    <w:p w14:paraId="17BA1A4D">
      <w:pPr>
        <w:snapToGrid w:val="0"/>
        <w:spacing w:after="156" w:line="560" w:lineRule="exact"/>
        <w:ind w:firstLine="480"/>
        <w:rPr>
          <w:rStyle w:val="37"/>
          <w:rFonts w:ascii="仿宋_GB2312" w:hAnsi="仿宋_GB2312" w:eastAsia="仿宋_GB2312"/>
        </w:rPr>
      </w:pPr>
    </w:p>
    <w:p w14:paraId="1420D77E">
      <w:pPr>
        <w:pStyle w:val="36"/>
        <w:snapToGrid w:val="0"/>
        <w:spacing w:before="0" w:line="240" w:lineRule="atLeast"/>
        <w:ind w:left="1080" w:leftChars="257" w:hanging="540"/>
        <w:rPr>
          <w:rStyle w:val="37"/>
          <w:rFonts w:ascii="仿宋_GB2312" w:hAnsi="仿宋_GB2312" w:eastAsia="仿宋_GB2312"/>
          <w:sz w:val="24"/>
        </w:rPr>
      </w:pPr>
    </w:p>
    <w:p w14:paraId="426F2415">
      <w:pPr>
        <w:snapToGrid w:val="0"/>
        <w:rPr>
          <w:rStyle w:val="37"/>
          <w:rFonts w:ascii="仿宋_GB2312" w:hAnsi="仿宋_GB2312" w:eastAsia="仿宋_GB2312"/>
        </w:rPr>
      </w:pPr>
    </w:p>
    <w:p w14:paraId="1D343F39">
      <w:pPr>
        <w:snapToGrid w:val="0"/>
        <w:spacing w:line="240" w:lineRule="atLeast"/>
        <w:rPr>
          <w:rStyle w:val="37"/>
          <w:rFonts w:ascii="仿宋_GB2312" w:hAnsi="仿宋_GB2312" w:eastAsia="仿宋_GB2312"/>
        </w:rPr>
      </w:pPr>
    </w:p>
    <w:p w14:paraId="28B069B0">
      <w:pPr>
        <w:pStyle w:val="34"/>
        <w:snapToGrid w:val="0"/>
        <w:spacing w:line="240" w:lineRule="atLeast"/>
        <w:ind w:left="1080" w:leftChars="257" w:hanging="540"/>
        <w:rPr>
          <w:rStyle w:val="37"/>
          <w:rFonts w:ascii="仿宋_GB2312" w:hAnsi="仿宋_GB2312" w:eastAsia="仿宋_GB2312"/>
          <w:sz w:val="28"/>
        </w:rPr>
      </w:pPr>
    </w:p>
    <w:sectPr>
      <w:footerReference r:id="rId19" w:type="default"/>
      <w:pgSz w:w="11907" w:h="16840"/>
      <w:pgMar w:top="1474" w:right="1814" w:bottom="1474" w:left="1814" w:header="851" w:footer="850" w:gutter="0"/>
      <w:pgBorders>
        <w:top w:val="none" w:sz="0" w:space="0"/>
        <w:left w:val="none" w:sz="0" w:space="0"/>
        <w:bottom w:val="none" w:sz="0" w:space="0"/>
        <w:right w:val="none" w:sz="0" w:space="0"/>
      </w:pgBorders>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Regular">
    <w:altName w:val="Arial"/>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8D3A5">
    <w:pPr>
      <w:pStyle w:val="16"/>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CF961">
    <w:pPr>
      <w:pStyle w:val="16"/>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1AF9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E1AF93">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2319">
    <w:pPr>
      <w:pStyle w:val="16"/>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0548A">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C0548A">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1B8A">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6E27">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7D06E27">
                    <w:pPr>
                      <w:pStyle w:val="16"/>
                    </w:pPr>
                    <w:r>
                      <w:fldChar w:fldCharType="begin"/>
                    </w:r>
                    <w:r>
                      <w:instrText xml:space="preserve"> PAGE  \* MERGEFORMAT </w:instrText>
                    </w:r>
                    <w:r>
                      <w:fldChar w:fldCharType="separate"/>
                    </w:r>
                    <w:r>
                      <w:t>24</w:t>
                    </w:r>
                    <w:r>
                      <w:fldChar w:fldCharType="end"/>
                    </w:r>
                  </w:p>
                </w:txbxContent>
              </v:textbox>
            </v:shape>
          </w:pict>
        </mc:Fallback>
      </mc:AlternateContent>
    </w:r>
  </w:p>
  <w:p w14:paraId="4A5EE94A">
    <w:pPr>
      <w:pStyle w:val="16"/>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2B3F">
    <w:pPr>
      <w:pStyle w:val="16"/>
      <w:jc w:val="center"/>
      <w:rPr>
        <w:rStyle w:val="3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AE975A">
                          <w:pPr>
                            <w:pStyle w:val="16"/>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ytv8cBAACc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UnMbuhKWBX37+uPz6c/n9nS1X&#10;SZ/eY0Vl954K4/AOBtqaOY4UTLSHNtj0JUKM8qTu+aquGiKT6dJ6tV6XlJKUmx3CLx6u+4DxvQLL&#10;klHzQOPLqorTR4xj6VySXnNwp43JIzTunwBhjhGVd2C6nZiMHScrDvthoreH5kzsetqDmjtae87M&#10;B0cyp5WZjTAb+8lIL6K/PUZqI3eXUEcoYpUcGlrmNy1Y2orHfq56+Km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oytv8cBAACcAwAADgAAAAAAAAABACAAAAAeAQAAZHJzL2Uyb0RvYy54&#10;bWxQSwUGAAAAAAYABgBZAQAAVwUAAAAA&#10;">
              <v:fill on="f" focussize="0,0"/>
              <v:stroke on="f"/>
              <v:imagedata o:title=""/>
              <o:lock v:ext="edit" aspectratio="f"/>
              <v:textbox inset="0mm,0mm,0mm,0mm" style="mso-fit-shape-to-text:t;">
                <w:txbxContent>
                  <w:p w14:paraId="29AE975A">
                    <w:pPr>
                      <w:pStyle w:val="16"/>
                    </w:pPr>
                    <w:r>
                      <w:fldChar w:fldCharType="begin"/>
                    </w:r>
                    <w:r>
                      <w:instrText xml:space="preserve"> PAGE  \* MERGEFORMAT </w:instrText>
                    </w:r>
                    <w:r>
                      <w:fldChar w:fldCharType="separate"/>
                    </w:r>
                    <w:r>
                      <w:t>42</w:t>
                    </w:r>
                    <w:r>
                      <w:fldChar w:fldCharType="end"/>
                    </w:r>
                  </w:p>
                </w:txbxContent>
              </v:textbox>
            </v:shape>
          </w:pict>
        </mc:Fallback>
      </mc:AlternateContent>
    </w:r>
    <w:r>
      <w:rPr>
        <w:rStyle w:val="3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62A1C493">
                          <w:pPr>
                            <w:pStyle w:val="16"/>
                            <w:jc w:val="center"/>
                            <w:rPr>
                              <w:rStyle w:val="37"/>
                            </w:rPr>
                          </w:pPr>
                        </w:p>
                        <w:p w14:paraId="1135A87A">
                          <w:pPr>
                            <w:tabs>
                              <w:tab w:val="center" w:pos="4153"/>
                              <w:tab w:val="right" w:pos="8306"/>
                            </w:tabs>
                            <w:jc w:val="center"/>
                            <w:rPr>
                              <w:rStyle w:val="37"/>
                            </w:rPr>
                          </w:pPr>
                        </w:p>
                      </w:txbxContent>
                    </wps:txbx>
                    <wps:bodyPr lIns="0" tIns="0" rIns="0" bIns="0" upright="1"/>
                  </wps:wsp>
                </a:graphicData>
              </a:graphic>
            </wp:anchor>
          </w:drawing>
        </mc:Choice>
        <mc:Fallback>
          <w:pict>
            <v:shape id="文本框 3" o:spid="_x0000_s1026" o:spt="202" type="#_x0000_t202" style="position:absolute;left:0pt;margin-top:0pt;height:11.7pt;width:9.05pt;mso-position-horizontal:center;mso-position-horizontal-relative:margin;z-index:251659264;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pEM5TTAAAAAwEAAA8AAAAAAAAAAQAgAAAAIgAAAGRycy9kb3ducmV2LnhtbFBLAQIU&#10;ABQAAAAIAIdO4kC20o1YvwEAAH8DAAAOAAAAAAAAAAEAIAAAACIBAABkcnMvZTJvRG9jLnhtbFBL&#10;BQYAAAAABgAGAFkBAABTBQAAAAA=&#10;">
              <v:fill on="f" focussize="0,0"/>
              <v:stroke on="f"/>
              <v:imagedata o:title=""/>
              <o:lock v:ext="edit" aspectratio="f"/>
              <v:textbox inset="0mm,0mm,0mm,0mm">
                <w:txbxContent>
                  <w:p w14:paraId="62A1C493">
                    <w:pPr>
                      <w:pStyle w:val="16"/>
                      <w:jc w:val="center"/>
                      <w:rPr>
                        <w:rStyle w:val="37"/>
                      </w:rPr>
                    </w:pPr>
                  </w:p>
                  <w:p w14:paraId="1135A87A">
                    <w:pPr>
                      <w:tabs>
                        <w:tab w:val="center" w:pos="4153"/>
                        <w:tab w:val="right" w:pos="8306"/>
                      </w:tabs>
                      <w:jc w:val="center"/>
                      <w:rPr>
                        <w:rStyle w:val="37"/>
                      </w:rPr>
                    </w:pPr>
                  </w:p>
                </w:txbxContent>
              </v:textbox>
            </v:shape>
          </w:pict>
        </mc:Fallback>
      </mc:AlternateContent>
    </w:r>
  </w:p>
  <w:p w14:paraId="0D369FA7">
    <w:pPr>
      <w:pStyle w:val="16"/>
      <w:ind w:right="360"/>
      <w:jc w:val="right"/>
      <w:rPr>
        <w:rStyle w:val="3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F6E0">
    <w:pPr>
      <w:pStyle w:val="16"/>
      <w:framePr w:wrap="around" w:vAnchor="margin" w:hAnchor="text" w:xAlign="center" w:y="1"/>
      <w:rPr>
        <w:rStyle w:val="72"/>
      </w:rPr>
    </w:pPr>
  </w:p>
  <w:p w14:paraId="04E19CB2">
    <w:pPr>
      <w:pStyle w:val="16"/>
      <w:rPr>
        <w:rStyle w:val="3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5B81A">
    <w:pPr>
      <w:pStyle w:val="16"/>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38EB4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4138EB4A">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p>
  <w:p w14:paraId="301DF8DD">
    <w:pPr>
      <w:pStyle w:val="16"/>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08F5">
    <w:pPr>
      <w:pStyle w:val="16"/>
      <w:jc w:val="center"/>
      <w:rPr>
        <w:rStyle w:val="3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F51A6B">
                          <w:pPr>
                            <w:pStyle w:val="16"/>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y3Pc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JmhaEXv3z/dvnx6/LzK1u+&#10;TgL1Hiuqe/BUGYc7N1DxHEcKJt5DG0z6EiNGeZL3fJUXhshkurRerdclpSTlZofwi8frPmB8C86w&#10;ZNQ80PtlWcXpPcaxdC5J3ay7V1rnN9T2rwBhjhHISzDdTkzGiZMVh/0w0du75kzselqEmlvae870&#10;O0s6p52ZjTAb+8lIHdHfHiONkadLqCMUsUoOvVrmN21YWos//Vz1+F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ay3PccBAACdAwAADgAAAAAAAAABACAAAAAeAQAAZHJzL2Uyb0RvYy54&#10;bWxQSwUGAAAAAAYABgBZAQAAVwUAAAAA&#10;">
              <v:fill on="f" focussize="0,0"/>
              <v:stroke on="f"/>
              <v:imagedata o:title=""/>
              <o:lock v:ext="edit" aspectratio="f"/>
              <v:textbox inset="0mm,0mm,0mm,0mm" style="mso-fit-shape-to-text:t;">
                <w:txbxContent>
                  <w:p w14:paraId="2EF51A6B">
                    <w:pPr>
                      <w:pStyle w:val="16"/>
                    </w:pPr>
                    <w:r>
                      <w:fldChar w:fldCharType="begin"/>
                    </w:r>
                    <w:r>
                      <w:instrText xml:space="preserve"> PAGE  \* MERGEFORMAT </w:instrText>
                    </w:r>
                    <w:r>
                      <w:fldChar w:fldCharType="separate"/>
                    </w:r>
                    <w:r>
                      <w:t>60</w:t>
                    </w:r>
                    <w:r>
                      <w:fldChar w:fldCharType="end"/>
                    </w:r>
                  </w:p>
                </w:txbxContent>
              </v:textbox>
            </v:shape>
          </w:pict>
        </mc:Fallback>
      </mc:AlternateContent>
    </w:r>
    <w:r>
      <w:rPr>
        <w:rStyle w:val="3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BACE42">
                          <w:pPr>
                            <w:pStyle w:val="16"/>
                            <w:jc w:val="center"/>
                            <w:rPr>
                              <w:rStyle w:val="37"/>
                            </w:rPr>
                          </w:pPr>
                        </w:p>
                        <w:p w14:paraId="3B33A347">
                          <w:pPr>
                            <w:tabs>
                              <w:tab w:val="center" w:pos="4153"/>
                              <w:tab w:val="right" w:pos="8306"/>
                            </w:tabs>
                            <w:jc w:val="center"/>
                            <w:rPr>
                              <w:rStyle w:val="37"/>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FaPcni5AQAAgQMAAA4AAAAAAAAAAQAgAAAAIQEAAGRycy9lMm9Eb2MueG1sUEsFBgAAAAAG&#10;AAYAWQEAAEwFAAAAAA==&#10;">
              <v:fill on="f" focussize="0,0"/>
              <v:stroke on="f"/>
              <v:imagedata o:title=""/>
              <o:lock v:ext="edit" aspectratio="f"/>
              <v:textbox inset="0mm,0mm,0mm,0mm">
                <w:txbxContent>
                  <w:p w14:paraId="40BACE42">
                    <w:pPr>
                      <w:pStyle w:val="16"/>
                      <w:jc w:val="center"/>
                      <w:rPr>
                        <w:rStyle w:val="37"/>
                      </w:rPr>
                    </w:pPr>
                  </w:p>
                  <w:p w14:paraId="3B33A347">
                    <w:pPr>
                      <w:tabs>
                        <w:tab w:val="center" w:pos="4153"/>
                        <w:tab w:val="right" w:pos="8306"/>
                      </w:tabs>
                      <w:jc w:val="center"/>
                      <w:rPr>
                        <w:rStyle w:val="37"/>
                      </w:rPr>
                    </w:pPr>
                  </w:p>
                </w:txbxContent>
              </v:textbox>
            </v:shape>
          </w:pict>
        </mc:Fallback>
      </mc:AlternateContent>
    </w:r>
  </w:p>
  <w:p w14:paraId="5A2BD002">
    <w:pPr>
      <w:pStyle w:val="16"/>
      <w:jc w:val="center"/>
      <w:rPr>
        <w:rStyle w:val="3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FC8E">
    <w:pPr>
      <w:pStyle w:val="16"/>
      <w:jc w:val="center"/>
      <w:rPr>
        <w:rStyle w:val="3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1FA478">
                          <w:pPr>
                            <w:pStyle w:val="16"/>
                          </w:pPr>
                          <w:r>
                            <w:fldChar w:fldCharType="begin"/>
                          </w:r>
                          <w:r>
                            <w:instrText xml:space="preserve"> PAGE  \* MERGEFORMAT </w:instrText>
                          </w:r>
                          <w:r>
                            <w:fldChar w:fldCharType="separate"/>
                          </w:r>
                          <w:r>
                            <w:t>67</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7eTscBAACd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1u+&#10;TgL1Hiuqe/BUGYc7N1DxHEcKJt5DG0z6EiNGeZL3fJUXhshkurRerdclpSTlZofwi8frPmB8C86w&#10;ZNQ80PtlWcXpPcaxdC5J3ay7V1rnN9T2rwBhjhHISzDdTkzGiZMVh/0w0du75kzselqEmlvae870&#10;O0s6p52ZjTAb+8lIHdHfHiONkadLqCMUsUoOvVrmN21YWos//Vz1+Fdt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q7eTscBAACdAwAADgAAAAAAAAABACAAAAAeAQAAZHJzL2Uyb0RvYy54&#10;bWxQSwUGAAAAAAYABgBZAQAAVwUAAAAA&#10;">
              <v:fill on="f" focussize="0,0"/>
              <v:stroke on="f"/>
              <v:imagedata o:title=""/>
              <o:lock v:ext="edit" aspectratio="f"/>
              <v:textbox inset="0mm,0mm,0mm,0mm" style="mso-fit-shape-to-text:t;">
                <w:txbxContent>
                  <w:p w14:paraId="321FA478">
                    <w:pPr>
                      <w:pStyle w:val="16"/>
                    </w:pPr>
                    <w:r>
                      <w:fldChar w:fldCharType="begin"/>
                    </w:r>
                    <w:r>
                      <w:instrText xml:space="preserve"> PAGE  \* MERGEFORMAT </w:instrText>
                    </w:r>
                    <w:r>
                      <w:fldChar w:fldCharType="separate"/>
                    </w:r>
                    <w:r>
                      <w:t>67</w:t>
                    </w:r>
                    <w:r>
                      <w:fldChar w:fldCharType="end"/>
                    </w:r>
                  </w:p>
                </w:txbxContent>
              </v:textbox>
            </v:shape>
          </w:pict>
        </mc:Fallback>
      </mc:AlternateContent>
    </w:r>
    <w:r>
      <w:rPr>
        <w:rStyle w:val="3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7D29D74F">
                          <w:pPr>
                            <w:pStyle w:val="16"/>
                            <w:jc w:val="center"/>
                            <w:rPr>
                              <w:rStyle w:val="37"/>
                            </w:rPr>
                          </w:pPr>
                        </w:p>
                        <w:p w14:paraId="5B5F52BC">
                          <w:pPr>
                            <w:tabs>
                              <w:tab w:val="center" w:pos="4153"/>
                              <w:tab w:val="right" w:pos="8306"/>
                            </w:tabs>
                            <w:jc w:val="center"/>
                            <w:rPr>
                              <w:rStyle w:val="37"/>
                            </w:rPr>
                          </w:pPr>
                        </w:p>
                      </w:txbxContent>
                    </wps:txbx>
                    <wps:bodyPr lIns="0" tIns="0" rIns="0" bIns="0" upright="1"/>
                  </wps:wsp>
                </a:graphicData>
              </a:graphic>
            </wp:anchor>
          </w:drawing>
        </mc:Choice>
        <mc:Fallback>
          <w:pict>
            <v:shape id="文本框 5" o:spid="_x0000_s1026" o:spt="202" type="#_x0000_t202" style="position:absolute;left:0pt;margin-top:0pt;height:11.7pt;width:9.05pt;mso-position-horizontal:center;mso-position-horizontal-relative:margin;z-index:251663360;mso-width-relative:page;mso-height-relative:page;" filled="f" stroked="f" coordsize="21600,21600" o:gfxdata="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DOU0wAAAAMBAAAPAAAAAAAAAAEAIAAAACIAAABkcnMvZG93bnJldi54bWxQSwEC&#10;FAAUAAAACACHTuJApEi3ssABAAB/AwAADgAAAAAAAAABACAAAAAiAQAAZHJzL2Uyb0RvYy54bWxQ&#10;SwUGAAAAAAYABgBZAQAAVAUAAAAA&#10;">
              <v:fill on="f" focussize="0,0"/>
              <v:stroke on="f"/>
              <v:imagedata o:title=""/>
              <o:lock v:ext="edit" aspectratio="f"/>
              <v:textbox inset="0mm,0mm,0mm,0mm">
                <w:txbxContent>
                  <w:p w14:paraId="7D29D74F">
                    <w:pPr>
                      <w:pStyle w:val="16"/>
                      <w:jc w:val="center"/>
                      <w:rPr>
                        <w:rStyle w:val="37"/>
                      </w:rPr>
                    </w:pPr>
                  </w:p>
                  <w:p w14:paraId="5B5F52BC">
                    <w:pPr>
                      <w:tabs>
                        <w:tab w:val="center" w:pos="4153"/>
                        <w:tab w:val="right" w:pos="8306"/>
                      </w:tabs>
                      <w:jc w:val="center"/>
                      <w:rPr>
                        <w:rStyle w:val="37"/>
                      </w:rPr>
                    </w:pPr>
                  </w:p>
                </w:txbxContent>
              </v:textbox>
            </v:shape>
          </w:pict>
        </mc:Fallback>
      </mc:AlternateContent>
    </w:r>
  </w:p>
  <w:p w14:paraId="286222B7">
    <w:pPr>
      <w:pStyle w:val="16"/>
      <w:ind w:right="360"/>
      <w:jc w:val="right"/>
      <w:rPr>
        <w:rStyle w:val="3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23D4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DC64F">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6D158">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5D11B">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3078E">
    <w:pPr>
      <w:pStyle w:val="17"/>
      <w:pBdr>
        <w:bottom w:val="none" w:color="auto" w:sz="0" w:space="0"/>
      </w:pBdr>
      <w:rPr>
        <w:rStyle w:val="3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D201">
    <w:pPr>
      <w:pStyle w:val="17"/>
      <w:pBdr>
        <w:bottom w:val="none" w:color="auto" w:sz="0" w:space="0"/>
      </w:pBdr>
      <w:rPr>
        <w:rStyle w:val="3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616B">
    <w:pPr>
      <w:pStyle w:val="17"/>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ED28">
    <w:pPr>
      <w:pStyle w:val="17"/>
      <w:pBdr>
        <w:bottom w:val="none" w:color="auto" w:sz="0" w:space="0"/>
      </w:pBdr>
      <w:jc w:val="right"/>
      <w:rPr>
        <w:rStyle w:val="3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E33BD"/>
    <w:multiLevelType w:val="singleLevel"/>
    <w:tmpl w:val="8BAE33BD"/>
    <w:lvl w:ilvl="0" w:tentative="0">
      <w:start w:val="1"/>
      <w:numFmt w:val="decimal"/>
      <w:lvlText w:val="%1."/>
      <w:lvlJc w:val="left"/>
      <w:pPr>
        <w:tabs>
          <w:tab w:val="left" w:pos="312"/>
        </w:tabs>
        <w:textAlignment w:val="baseline"/>
      </w:pPr>
    </w:lvl>
  </w:abstractNum>
  <w:abstractNum w:abstractNumId="1">
    <w:nsid w:val="D4F06988"/>
    <w:multiLevelType w:val="multilevel"/>
    <w:tmpl w:val="D4F06988"/>
    <w:lvl w:ilvl="0" w:tentative="0">
      <w:start w:val="18"/>
      <w:numFmt w:val="decimal"/>
      <w:lvlText w:val="%1."/>
      <w:lvlJc w:val="left"/>
      <w:pPr>
        <w:textAlignment w:val="baseline"/>
      </w:pPr>
    </w:lvl>
    <w:lvl w:ilvl="1" w:tentative="0">
      <w:start w:val="1"/>
      <w:numFmt w:val="decimal"/>
      <w:lvlText w:val="%1.%2"/>
      <w:lvlJc w:val="left"/>
      <w:pPr>
        <w:tabs>
          <w:tab w:val="left" w:pos="312"/>
        </w:tabs>
        <w:ind w:left="0" w:firstLine="0"/>
        <w:textAlignment w:val="baseline"/>
      </w:pPr>
    </w:lvl>
    <w:lvl w:ilvl="2" w:tentative="0">
      <w:start w:val="1"/>
      <w:numFmt w:val="decimal"/>
      <w:lvlText w:val="%1.%2.%3"/>
      <w:lvlJc w:val="left"/>
      <w:pPr>
        <w:tabs>
          <w:tab w:val="left" w:pos="312"/>
        </w:tabs>
        <w:ind w:left="0" w:firstLine="0"/>
        <w:textAlignment w:val="baseline"/>
      </w:pPr>
    </w:lvl>
    <w:lvl w:ilvl="3" w:tentative="0">
      <w:start w:val="1"/>
      <w:numFmt w:val="decimal"/>
      <w:lvlText w:val="%1.%2.%3.%4"/>
      <w:lvlJc w:val="left"/>
      <w:pPr>
        <w:tabs>
          <w:tab w:val="left" w:pos="312"/>
        </w:tabs>
        <w:ind w:left="0" w:firstLine="0"/>
        <w:textAlignment w:val="baseline"/>
      </w:pPr>
    </w:lvl>
    <w:lvl w:ilvl="4" w:tentative="0">
      <w:start w:val="1"/>
      <w:numFmt w:val="decimal"/>
      <w:lvlText w:val="%1.%2.%3.%4.%5"/>
      <w:lvlJc w:val="left"/>
      <w:pPr>
        <w:tabs>
          <w:tab w:val="left" w:pos="312"/>
        </w:tabs>
        <w:ind w:left="0" w:firstLine="0"/>
        <w:textAlignment w:val="baseline"/>
      </w:pPr>
    </w:lvl>
    <w:lvl w:ilvl="5" w:tentative="0">
      <w:start w:val="1"/>
      <w:numFmt w:val="decimal"/>
      <w:lvlText w:val="%1.%2.%3.%4.%5.%6"/>
      <w:lvlJc w:val="left"/>
      <w:pPr>
        <w:tabs>
          <w:tab w:val="left" w:pos="312"/>
        </w:tabs>
        <w:ind w:left="0" w:firstLine="0"/>
        <w:textAlignment w:val="baseline"/>
      </w:pPr>
    </w:lvl>
    <w:lvl w:ilvl="6" w:tentative="0">
      <w:start w:val="1"/>
      <w:numFmt w:val="decimal"/>
      <w:lvlText w:val="%1.%2.%3.%4.%5.%6.%7"/>
      <w:lvlJc w:val="left"/>
      <w:pPr>
        <w:tabs>
          <w:tab w:val="left" w:pos="312"/>
        </w:tabs>
        <w:ind w:left="0" w:firstLine="0"/>
        <w:textAlignment w:val="baseline"/>
      </w:pPr>
    </w:lvl>
    <w:lvl w:ilvl="7" w:tentative="0">
      <w:start w:val="1"/>
      <w:numFmt w:val="decimal"/>
      <w:lvlText w:val="%1.%2.%3.%4.%5.%6.%7.%8"/>
      <w:lvlJc w:val="left"/>
      <w:pPr>
        <w:tabs>
          <w:tab w:val="left" w:pos="312"/>
        </w:tabs>
        <w:ind w:left="0" w:firstLine="0"/>
        <w:textAlignment w:val="baseline"/>
      </w:pPr>
    </w:lvl>
    <w:lvl w:ilvl="8" w:tentative="0">
      <w:start w:val="1"/>
      <w:numFmt w:val="decimal"/>
      <w:lvlText w:val="%1.%2.%3.%4.%5.%6.%7.%8.%9"/>
      <w:lvlJc w:val="left"/>
      <w:pPr>
        <w:tabs>
          <w:tab w:val="left" w:pos="312"/>
        </w:tabs>
        <w:ind w:left="0" w:firstLine="0"/>
        <w:textAlignment w:val="baseline"/>
      </w:pPr>
    </w:lvl>
  </w:abstractNum>
  <w:abstractNum w:abstractNumId="2">
    <w:nsid w:val="E6DD8D23"/>
    <w:multiLevelType w:val="singleLevel"/>
    <w:tmpl w:val="E6DD8D23"/>
    <w:lvl w:ilvl="0" w:tentative="0">
      <w:start w:val="1"/>
      <w:numFmt w:val="chineseCounting"/>
      <w:suff w:val="nothing"/>
      <w:lvlText w:val="%1、"/>
      <w:lvlJc w:val="left"/>
      <w:pPr>
        <w:textAlignment w:val="baseline"/>
      </w:pPr>
    </w:lvl>
  </w:abstractNum>
  <w:abstractNum w:abstractNumId="3">
    <w:nsid w:val="EA58F7FF"/>
    <w:multiLevelType w:val="singleLevel"/>
    <w:tmpl w:val="EA58F7FF"/>
    <w:lvl w:ilvl="0" w:tentative="0">
      <w:start w:val="8"/>
      <w:numFmt w:val="decimal"/>
      <w:suff w:val="nothing"/>
      <w:lvlText w:val="%1、"/>
      <w:lvlJc w:val="left"/>
      <w:pPr>
        <w:ind w:left="30"/>
      </w:pPr>
    </w:lvl>
  </w:abstractNum>
  <w:abstractNum w:abstractNumId="4">
    <w:nsid w:val="00000001"/>
    <w:multiLevelType w:val="singleLevel"/>
    <w:tmpl w:val="00000001"/>
    <w:lvl w:ilvl="0" w:tentative="0">
      <w:start w:val="1"/>
      <w:numFmt w:val="decimal"/>
      <w:lvlText w:val="%1."/>
      <w:lvlJc w:val="left"/>
      <w:pPr>
        <w:tabs>
          <w:tab w:val="left" w:pos="312"/>
        </w:tabs>
      </w:pPr>
    </w:lvl>
  </w:abstractNum>
  <w:abstractNum w:abstractNumId="5">
    <w:nsid w:val="155E6A8F"/>
    <w:multiLevelType w:val="multilevel"/>
    <w:tmpl w:val="155E6A8F"/>
    <w:lvl w:ilvl="0" w:tentative="0">
      <w:start w:val="1"/>
      <w:numFmt w:val="decimal"/>
      <w:lvlText w:val="（%1）"/>
      <w:lvlJc w:val="left"/>
      <w:pPr>
        <w:tabs>
          <w:tab w:val="left" w:pos="1571"/>
        </w:tabs>
        <w:ind w:left="1571" w:hanging="720"/>
        <w:textAlignment w:val="baseline"/>
      </w:pPr>
      <w:rPr>
        <w:rFonts w:ascii="仿宋_GB2312" w:hAnsi="宋体" w:eastAsia="仿宋_GB2312"/>
      </w:rPr>
    </w:lvl>
    <w:lvl w:ilvl="1" w:tentative="0">
      <w:start w:val="1"/>
      <w:numFmt w:val="lowerLetter"/>
      <w:lvlText w:val="%1)"/>
      <w:lvlJc w:val="left"/>
      <w:pPr>
        <w:tabs>
          <w:tab w:val="left" w:pos="1739"/>
        </w:tabs>
        <w:ind w:left="1739" w:hanging="420"/>
        <w:textAlignment w:val="baseline"/>
      </w:pPr>
    </w:lvl>
    <w:lvl w:ilvl="2" w:tentative="0">
      <w:start w:val="1"/>
      <w:numFmt w:val="lowerRoman"/>
      <w:lvlText w:val="%1."/>
      <w:lvlJc w:val="right"/>
      <w:pPr>
        <w:tabs>
          <w:tab w:val="left" w:pos="2159"/>
        </w:tabs>
        <w:ind w:left="2159" w:hanging="420"/>
        <w:textAlignment w:val="baseline"/>
      </w:pPr>
    </w:lvl>
    <w:lvl w:ilvl="3" w:tentative="0">
      <w:start w:val="1"/>
      <w:numFmt w:val="decimal"/>
      <w:lvlText w:val="%1."/>
      <w:lvlJc w:val="left"/>
      <w:pPr>
        <w:tabs>
          <w:tab w:val="left" w:pos="2579"/>
        </w:tabs>
        <w:ind w:left="2579" w:hanging="420"/>
        <w:textAlignment w:val="baseline"/>
      </w:pPr>
    </w:lvl>
    <w:lvl w:ilvl="4" w:tentative="0">
      <w:start w:val="1"/>
      <w:numFmt w:val="lowerLetter"/>
      <w:lvlText w:val="%1)"/>
      <w:lvlJc w:val="left"/>
      <w:pPr>
        <w:tabs>
          <w:tab w:val="left" w:pos="2999"/>
        </w:tabs>
        <w:ind w:left="2999" w:hanging="420"/>
        <w:textAlignment w:val="baseline"/>
      </w:pPr>
    </w:lvl>
    <w:lvl w:ilvl="5" w:tentative="0">
      <w:start w:val="1"/>
      <w:numFmt w:val="lowerRoman"/>
      <w:lvlText w:val="%1."/>
      <w:lvlJc w:val="right"/>
      <w:pPr>
        <w:tabs>
          <w:tab w:val="left" w:pos="3419"/>
        </w:tabs>
        <w:ind w:left="3419" w:hanging="420"/>
        <w:textAlignment w:val="baseline"/>
      </w:pPr>
    </w:lvl>
    <w:lvl w:ilvl="6" w:tentative="0">
      <w:start w:val="1"/>
      <w:numFmt w:val="decimal"/>
      <w:lvlText w:val="%1."/>
      <w:lvlJc w:val="left"/>
      <w:pPr>
        <w:tabs>
          <w:tab w:val="left" w:pos="3839"/>
        </w:tabs>
        <w:ind w:left="3839" w:hanging="420"/>
        <w:textAlignment w:val="baseline"/>
      </w:pPr>
    </w:lvl>
    <w:lvl w:ilvl="7" w:tentative="0">
      <w:start w:val="1"/>
      <w:numFmt w:val="lowerLetter"/>
      <w:lvlText w:val="%1)"/>
      <w:lvlJc w:val="left"/>
      <w:pPr>
        <w:tabs>
          <w:tab w:val="left" w:pos="4259"/>
        </w:tabs>
        <w:ind w:left="4259" w:hanging="420"/>
        <w:textAlignment w:val="baseline"/>
      </w:pPr>
    </w:lvl>
    <w:lvl w:ilvl="8" w:tentative="0">
      <w:start w:val="1"/>
      <w:numFmt w:val="lowerRoman"/>
      <w:lvlText w:val="%1."/>
      <w:lvlJc w:val="right"/>
      <w:pPr>
        <w:tabs>
          <w:tab w:val="left" w:pos="4679"/>
        </w:tabs>
        <w:ind w:left="4679" w:hanging="420"/>
        <w:textAlignment w:val="baseline"/>
      </w:pPr>
    </w:lvl>
  </w:abstractNum>
  <w:abstractNum w:abstractNumId="6">
    <w:nsid w:val="25E9131D"/>
    <w:multiLevelType w:val="multilevel"/>
    <w:tmpl w:val="25E9131D"/>
    <w:lvl w:ilvl="0" w:tentative="0">
      <w:start w:val="1"/>
      <w:numFmt w:val="decimal"/>
      <w:lvlText w:val="%1"/>
      <w:lvlJc w:val="left"/>
      <w:pPr>
        <w:tabs>
          <w:tab w:val="left" w:pos="900"/>
        </w:tabs>
        <w:ind w:left="900" w:hanging="900"/>
        <w:textAlignment w:val="baseline"/>
      </w:pPr>
    </w:lvl>
    <w:lvl w:ilvl="1" w:tentative="0">
      <w:start w:val="1"/>
      <w:numFmt w:val="decimal"/>
      <w:lvlText w:val="%1.%2"/>
      <w:lvlJc w:val="left"/>
      <w:pPr>
        <w:tabs>
          <w:tab w:val="left" w:pos="900"/>
        </w:tabs>
        <w:ind w:left="900" w:hanging="900"/>
        <w:textAlignment w:val="baseline"/>
      </w:pPr>
    </w:lvl>
    <w:lvl w:ilvl="2" w:tentative="0">
      <w:start w:val="1"/>
      <w:numFmt w:val="decimal"/>
      <w:lvlText w:val="%1.%2.%3"/>
      <w:lvlJc w:val="left"/>
      <w:pPr>
        <w:tabs>
          <w:tab w:val="left" w:pos="900"/>
        </w:tabs>
        <w:ind w:left="900" w:hanging="900"/>
        <w:textAlignment w:val="baseline"/>
      </w:pPr>
    </w:lvl>
    <w:lvl w:ilvl="3" w:tentative="0">
      <w:start w:val="1"/>
      <w:numFmt w:val="decimal"/>
      <w:lvlText w:val="%1.%2.%3.%4"/>
      <w:lvlJc w:val="left"/>
      <w:pPr>
        <w:tabs>
          <w:tab w:val="left" w:pos="900"/>
        </w:tabs>
        <w:ind w:left="900" w:hanging="900"/>
        <w:textAlignment w:val="baseline"/>
      </w:pPr>
    </w:lvl>
    <w:lvl w:ilvl="4" w:tentative="0">
      <w:start w:val="1"/>
      <w:numFmt w:val="decimal"/>
      <w:lvlText w:val="%1.%2.%3.%4.%5"/>
      <w:lvlJc w:val="left"/>
      <w:pPr>
        <w:tabs>
          <w:tab w:val="left" w:pos="900"/>
        </w:tabs>
        <w:ind w:left="900" w:hanging="900"/>
        <w:textAlignment w:val="baseline"/>
      </w:pPr>
    </w:lvl>
    <w:lvl w:ilvl="5" w:tentative="0">
      <w:start w:val="1"/>
      <w:numFmt w:val="decimal"/>
      <w:lvlText w:val="%1.%2.%3.%4.%5.%6"/>
      <w:lvlJc w:val="left"/>
      <w:pPr>
        <w:tabs>
          <w:tab w:val="left" w:pos="900"/>
        </w:tabs>
        <w:ind w:left="900" w:hanging="900"/>
        <w:textAlignment w:val="baseline"/>
      </w:pPr>
    </w:lvl>
    <w:lvl w:ilvl="6" w:tentative="0">
      <w:start w:val="1"/>
      <w:numFmt w:val="decimal"/>
      <w:lvlText w:val="%1.%2.%3.%4.%5.%6.%7"/>
      <w:lvlJc w:val="left"/>
      <w:pPr>
        <w:tabs>
          <w:tab w:val="left" w:pos="900"/>
        </w:tabs>
        <w:ind w:left="900" w:hanging="900"/>
        <w:textAlignment w:val="baseline"/>
      </w:pPr>
    </w:lvl>
    <w:lvl w:ilvl="7" w:tentative="0">
      <w:start w:val="1"/>
      <w:numFmt w:val="decimal"/>
      <w:lvlText w:val="%1.%2.%3.%4.%5.%6.%7.%8"/>
      <w:lvlJc w:val="left"/>
      <w:pPr>
        <w:tabs>
          <w:tab w:val="left" w:pos="900"/>
        </w:tabs>
        <w:ind w:left="900" w:hanging="900"/>
        <w:textAlignment w:val="baseline"/>
      </w:pPr>
    </w:lvl>
    <w:lvl w:ilvl="8" w:tentative="0">
      <w:start w:val="1"/>
      <w:numFmt w:val="decimal"/>
      <w:lvlText w:val="%1.%2.%3.%4.%5.%6.%7.%8.%9"/>
      <w:lvlJc w:val="left"/>
      <w:pPr>
        <w:tabs>
          <w:tab w:val="left" w:pos="900"/>
        </w:tabs>
        <w:ind w:left="900" w:hanging="900"/>
        <w:textAlignment w:val="baseline"/>
      </w:pPr>
    </w:lvl>
  </w:abstractNum>
  <w:abstractNum w:abstractNumId="7">
    <w:nsid w:val="2C3ED8F2"/>
    <w:multiLevelType w:val="singleLevel"/>
    <w:tmpl w:val="2C3ED8F2"/>
    <w:lvl w:ilvl="0" w:tentative="0">
      <w:start w:val="1"/>
      <w:numFmt w:val="chineseCounting"/>
      <w:suff w:val="nothing"/>
      <w:lvlText w:val="%1、"/>
      <w:lvlJc w:val="left"/>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textAlignment w:val="baseline"/>
      </w:pPr>
    </w:lvl>
    <w:lvl w:ilvl="1" w:tentative="0">
      <w:start w:val="1"/>
      <w:numFmt w:val="decimal"/>
      <w:suff w:val="space"/>
      <w:lvlText w:val="%1.%2 "/>
      <w:lvlJc w:val="left"/>
      <w:pPr>
        <w:ind w:left="794" w:hanging="794"/>
        <w:textAlignment w:val="baseline"/>
      </w:pPr>
    </w:lvl>
    <w:lvl w:ilvl="2" w:tentative="0">
      <w:start w:val="0"/>
      <w:numFmt w:val="decimal"/>
      <w:lvlText w:val=""/>
      <w:lvlJc w:val="left"/>
      <w:pPr>
        <w:tabs>
          <w:tab w:val="left" w:pos="360"/>
        </w:tabs>
        <w:textAlignment w:val="baseline"/>
      </w:pPr>
    </w:lvl>
    <w:lvl w:ilvl="3" w:tentative="0">
      <w:start w:val="0"/>
      <w:numFmt w:val="decimal"/>
      <w:lvlText w:val=""/>
      <w:lvlJc w:val="left"/>
      <w:pPr>
        <w:tabs>
          <w:tab w:val="left" w:pos="360"/>
        </w:tabs>
        <w:textAlignment w:val="baseline"/>
      </w:pPr>
    </w:lvl>
    <w:lvl w:ilvl="4" w:tentative="0">
      <w:start w:val="0"/>
      <w:numFmt w:val="decimal"/>
      <w:pStyle w:val="111"/>
      <w:lvlText w:val=""/>
      <w:lvlJc w:val="left"/>
      <w:pPr>
        <w:textAlignment w:val="baseline"/>
      </w:pPr>
    </w:lvl>
    <w:lvl w:ilvl="5" w:tentative="0">
      <w:start w:val="0"/>
      <w:numFmt w:val="decimal"/>
      <w:lvlText w:val=""/>
      <w:lvlJc w:val="left"/>
      <w:pPr>
        <w:textAlignment w:val="baseline"/>
      </w:pPr>
    </w:lvl>
    <w:lvl w:ilvl="6" w:tentative="0">
      <w:start w:val="0"/>
      <w:numFmt w:val="decimal"/>
      <w:lvlText w:val=""/>
      <w:lvlJc w:val="left"/>
      <w:pPr>
        <w:textAlignment w:val="baseline"/>
      </w:pPr>
    </w:lvl>
    <w:lvl w:ilvl="7" w:tentative="0">
      <w:start w:val="0"/>
      <w:numFmt w:val="decimal"/>
      <w:lvlText w:val=""/>
      <w:lvlJc w:val="left"/>
      <w:pPr>
        <w:textAlignment w:val="baseline"/>
      </w:pPr>
    </w:lvl>
    <w:lvl w:ilvl="8" w:tentative="0">
      <w:start w:val="0"/>
      <w:numFmt w:val="decimal"/>
      <w:lvlText w:val=""/>
      <w:lvlJc w:val="left"/>
      <w:pPr>
        <w:textAlignment w:val="baseline"/>
      </w:pPr>
    </w:lvl>
  </w:abstractNum>
  <w:abstractNum w:abstractNumId="9">
    <w:nsid w:val="44DD0909"/>
    <w:multiLevelType w:val="multilevel"/>
    <w:tmpl w:val="44DD0909"/>
    <w:lvl w:ilvl="0" w:tentative="0">
      <w:start w:val="1"/>
      <w:numFmt w:val="decimal"/>
      <w:lvlText w:val="%1)"/>
      <w:lvlJc w:val="left"/>
      <w:pPr>
        <w:ind w:left="420" w:hanging="420"/>
        <w:textAlignment w:val="baseline"/>
      </w:pPr>
    </w:lvl>
    <w:lvl w:ilvl="1" w:tentative="0">
      <w:start w:val="1"/>
      <w:numFmt w:val="decimal"/>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10">
    <w:nsid w:val="4F419CC3"/>
    <w:multiLevelType w:val="singleLevel"/>
    <w:tmpl w:val="4F419CC3"/>
    <w:lvl w:ilvl="0" w:tentative="0">
      <w:start w:val="1"/>
      <w:numFmt w:val="decimal"/>
      <w:suff w:val="nothing"/>
      <w:lvlText w:val="%1、"/>
      <w:lvlJc w:val="left"/>
      <w:pPr>
        <w:textAlignment w:val="baseline"/>
      </w:pPr>
    </w:lvl>
  </w:abstractNum>
  <w:abstractNum w:abstractNumId="11">
    <w:nsid w:val="59D953CC"/>
    <w:multiLevelType w:val="singleLevel"/>
    <w:tmpl w:val="59D953CC"/>
    <w:lvl w:ilvl="0" w:tentative="0">
      <w:start w:val="6"/>
      <w:numFmt w:val="chineseCounting"/>
      <w:suff w:val="nothing"/>
      <w:lvlText w:val="%1、"/>
      <w:lvlJc w:val="left"/>
      <w:pPr>
        <w:textAlignment w:val="baseline"/>
      </w:pPr>
    </w:lvl>
  </w:abstractNum>
  <w:abstractNum w:abstractNumId="12">
    <w:nsid w:val="66E4770E"/>
    <w:multiLevelType w:val="multilevel"/>
    <w:tmpl w:val="66E4770E"/>
    <w:lvl w:ilvl="0" w:tentative="0">
      <w:start w:val="1"/>
      <w:numFmt w:val="decimal"/>
      <w:lvlText w:val="第%1章"/>
      <w:lvlJc w:val="left"/>
      <w:pPr>
        <w:tabs>
          <w:tab w:val="left" w:pos="1680"/>
        </w:tabs>
        <w:ind w:left="1680" w:hanging="1140"/>
        <w:textAlignment w:val="baseline"/>
      </w:pPr>
    </w:lvl>
    <w:lvl w:ilvl="1" w:tentative="0">
      <w:start w:val="1"/>
      <w:numFmt w:val="lowerLetter"/>
      <w:lvlText w:val="%1)"/>
      <w:lvlJc w:val="left"/>
      <w:pPr>
        <w:tabs>
          <w:tab w:val="left" w:pos="1380"/>
        </w:tabs>
        <w:ind w:left="1380" w:hanging="420"/>
        <w:textAlignment w:val="baseline"/>
      </w:pPr>
    </w:lvl>
    <w:lvl w:ilvl="2" w:tentative="0">
      <w:start w:val="1"/>
      <w:numFmt w:val="lowerRoman"/>
      <w:lvlText w:val="%1."/>
      <w:lvlJc w:val="right"/>
      <w:pPr>
        <w:tabs>
          <w:tab w:val="left" w:pos="1800"/>
        </w:tabs>
        <w:ind w:left="1800" w:hanging="420"/>
        <w:textAlignment w:val="baseline"/>
      </w:pPr>
    </w:lvl>
    <w:lvl w:ilvl="3" w:tentative="0">
      <w:start w:val="1"/>
      <w:numFmt w:val="decimal"/>
      <w:lvlText w:val="%1."/>
      <w:lvlJc w:val="left"/>
      <w:pPr>
        <w:tabs>
          <w:tab w:val="left" w:pos="2220"/>
        </w:tabs>
        <w:ind w:left="2220" w:hanging="420"/>
        <w:textAlignment w:val="baseline"/>
      </w:pPr>
    </w:lvl>
    <w:lvl w:ilvl="4" w:tentative="0">
      <w:start w:val="1"/>
      <w:numFmt w:val="lowerLetter"/>
      <w:lvlText w:val="%1)"/>
      <w:lvlJc w:val="left"/>
      <w:pPr>
        <w:tabs>
          <w:tab w:val="left" w:pos="2640"/>
        </w:tabs>
        <w:ind w:left="2640" w:hanging="420"/>
        <w:textAlignment w:val="baseline"/>
      </w:pPr>
    </w:lvl>
    <w:lvl w:ilvl="5" w:tentative="0">
      <w:start w:val="1"/>
      <w:numFmt w:val="lowerRoman"/>
      <w:lvlText w:val="%1."/>
      <w:lvlJc w:val="right"/>
      <w:pPr>
        <w:tabs>
          <w:tab w:val="left" w:pos="3060"/>
        </w:tabs>
        <w:ind w:left="3060" w:hanging="420"/>
        <w:textAlignment w:val="baseline"/>
      </w:pPr>
    </w:lvl>
    <w:lvl w:ilvl="6" w:tentative="0">
      <w:start w:val="1"/>
      <w:numFmt w:val="decimal"/>
      <w:lvlText w:val="%1."/>
      <w:lvlJc w:val="left"/>
      <w:pPr>
        <w:tabs>
          <w:tab w:val="left" w:pos="3480"/>
        </w:tabs>
        <w:ind w:left="3480" w:hanging="420"/>
        <w:textAlignment w:val="baseline"/>
      </w:pPr>
    </w:lvl>
    <w:lvl w:ilvl="7" w:tentative="0">
      <w:start w:val="1"/>
      <w:numFmt w:val="lowerLetter"/>
      <w:lvlText w:val="%1)"/>
      <w:lvlJc w:val="left"/>
      <w:pPr>
        <w:tabs>
          <w:tab w:val="left" w:pos="3900"/>
        </w:tabs>
        <w:ind w:left="3900" w:hanging="420"/>
        <w:textAlignment w:val="baseline"/>
      </w:pPr>
    </w:lvl>
    <w:lvl w:ilvl="8" w:tentative="0">
      <w:start w:val="1"/>
      <w:numFmt w:val="lowerRoman"/>
      <w:lvlText w:val="%1."/>
      <w:lvlJc w:val="right"/>
      <w:pPr>
        <w:tabs>
          <w:tab w:val="left" w:pos="4320"/>
        </w:tabs>
        <w:ind w:left="4320" w:hanging="420"/>
        <w:textAlignment w:val="baseline"/>
      </w:pPr>
    </w:lvl>
  </w:abstractNum>
  <w:num w:numId="1">
    <w:abstractNumId w:val="8"/>
  </w:num>
  <w:num w:numId="2">
    <w:abstractNumId w:val="6"/>
  </w:num>
  <w:num w:numId="3">
    <w:abstractNumId w:val="12"/>
  </w:num>
  <w:num w:numId="4">
    <w:abstractNumId w:val="1"/>
  </w:num>
  <w:num w:numId="5">
    <w:abstractNumId w:val="5"/>
  </w:num>
  <w:num w:numId="6">
    <w:abstractNumId w:val="3"/>
  </w:num>
  <w:num w:numId="7">
    <w:abstractNumId w:val="2"/>
  </w:num>
  <w:num w:numId="8">
    <w:abstractNumId w:val="0"/>
  </w:num>
  <w:num w:numId="9">
    <w:abstractNumId w:val="11"/>
  </w:num>
  <w:num w:numId="10">
    <w:abstractNumId w:val="10"/>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DlhZWYxYzUxMjlkMDAwNmUxMDhiZDQxMzZmYjcifQ=="/>
    <w:docVar w:name="KSO_WPS_MARK_KEY" w:val="16f9c8dd-6cd6-4ba2-8705-52dfb6aabb50"/>
  </w:docVars>
  <w:rsids>
    <w:rsidRoot w:val="001E498D"/>
    <w:rsid w:val="000028C6"/>
    <w:rsid w:val="000101B1"/>
    <w:rsid w:val="0002117A"/>
    <w:rsid w:val="00041D3B"/>
    <w:rsid w:val="00097EF9"/>
    <w:rsid w:val="000B44D3"/>
    <w:rsid w:val="000E3547"/>
    <w:rsid w:val="000E7B1F"/>
    <w:rsid w:val="000F10D4"/>
    <w:rsid w:val="001013F9"/>
    <w:rsid w:val="0011211A"/>
    <w:rsid w:val="00147BF3"/>
    <w:rsid w:val="00156697"/>
    <w:rsid w:val="00165F19"/>
    <w:rsid w:val="00170DDD"/>
    <w:rsid w:val="001855C9"/>
    <w:rsid w:val="00192A5D"/>
    <w:rsid w:val="00193AB9"/>
    <w:rsid w:val="001A5D94"/>
    <w:rsid w:val="001D1344"/>
    <w:rsid w:val="001D542C"/>
    <w:rsid w:val="001E465D"/>
    <w:rsid w:val="001E498D"/>
    <w:rsid w:val="00222B10"/>
    <w:rsid w:val="00223BB9"/>
    <w:rsid w:val="002341EB"/>
    <w:rsid w:val="00252A98"/>
    <w:rsid w:val="002620BC"/>
    <w:rsid w:val="0028031D"/>
    <w:rsid w:val="00295656"/>
    <w:rsid w:val="00296320"/>
    <w:rsid w:val="002A0C86"/>
    <w:rsid w:val="002A6DFB"/>
    <w:rsid w:val="002C4449"/>
    <w:rsid w:val="002C4D3E"/>
    <w:rsid w:val="002F1503"/>
    <w:rsid w:val="002F1514"/>
    <w:rsid w:val="002F4EE9"/>
    <w:rsid w:val="00300399"/>
    <w:rsid w:val="00305CE7"/>
    <w:rsid w:val="003068BF"/>
    <w:rsid w:val="00326621"/>
    <w:rsid w:val="003312E8"/>
    <w:rsid w:val="00345B78"/>
    <w:rsid w:val="00354937"/>
    <w:rsid w:val="00384158"/>
    <w:rsid w:val="003B1DF2"/>
    <w:rsid w:val="003B29BD"/>
    <w:rsid w:val="003C4685"/>
    <w:rsid w:val="003C737C"/>
    <w:rsid w:val="003E39EA"/>
    <w:rsid w:val="003E4448"/>
    <w:rsid w:val="00407B8A"/>
    <w:rsid w:val="004170E8"/>
    <w:rsid w:val="0042543D"/>
    <w:rsid w:val="00431283"/>
    <w:rsid w:val="00432359"/>
    <w:rsid w:val="00432CEC"/>
    <w:rsid w:val="004550B5"/>
    <w:rsid w:val="00490A06"/>
    <w:rsid w:val="00494AA9"/>
    <w:rsid w:val="004A0A60"/>
    <w:rsid w:val="004B04AC"/>
    <w:rsid w:val="004B514A"/>
    <w:rsid w:val="004C2E79"/>
    <w:rsid w:val="004D05E0"/>
    <w:rsid w:val="004D4300"/>
    <w:rsid w:val="004E616D"/>
    <w:rsid w:val="004F10BC"/>
    <w:rsid w:val="004F45F5"/>
    <w:rsid w:val="00501EE6"/>
    <w:rsid w:val="00511E61"/>
    <w:rsid w:val="0051539E"/>
    <w:rsid w:val="00547B7E"/>
    <w:rsid w:val="00595B76"/>
    <w:rsid w:val="005A12B2"/>
    <w:rsid w:val="005A2D05"/>
    <w:rsid w:val="005B62F9"/>
    <w:rsid w:val="005C58D0"/>
    <w:rsid w:val="005D5A2E"/>
    <w:rsid w:val="005E2BE3"/>
    <w:rsid w:val="005E5226"/>
    <w:rsid w:val="005F3C15"/>
    <w:rsid w:val="005F481F"/>
    <w:rsid w:val="00601F67"/>
    <w:rsid w:val="00633E59"/>
    <w:rsid w:val="00646D2B"/>
    <w:rsid w:val="00653EFA"/>
    <w:rsid w:val="00656459"/>
    <w:rsid w:val="00660722"/>
    <w:rsid w:val="00663349"/>
    <w:rsid w:val="006B6D1F"/>
    <w:rsid w:val="006C5B02"/>
    <w:rsid w:val="006D2A7C"/>
    <w:rsid w:val="006F2363"/>
    <w:rsid w:val="00702D6B"/>
    <w:rsid w:val="00707AF2"/>
    <w:rsid w:val="00733E26"/>
    <w:rsid w:val="0074285C"/>
    <w:rsid w:val="007464AD"/>
    <w:rsid w:val="00752106"/>
    <w:rsid w:val="0076785D"/>
    <w:rsid w:val="00797745"/>
    <w:rsid w:val="007F5056"/>
    <w:rsid w:val="007F52E7"/>
    <w:rsid w:val="00803BCC"/>
    <w:rsid w:val="00807842"/>
    <w:rsid w:val="00807EC2"/>
    <w:rsid w:val="008136FD"/>
    <w:rsid w:val="00827421"/>
    <w:rsid w:val="00832699"/>
    <w:rsid w:val="00846C6C"/>
    <w:rsid w:val="00847DE1"/>
    <w:rsid w:val="00853D63"/>
    <w:rsid w:val="00862C7E"/>
    <w:rsid w:val="00882531"/>
    <w:rsid w:val="008B522A"/>
    <w:rsid w:val="008C357E"/>
    <w:rsid w:val="008C5246"/>
    <w:rsid w:val="008C7CE9"/>
    <w:rsid w:val="008D7721"/>
    <w:rsid w:val="008E6503"/>
    <w:rsid w:val="009535D7"/>
    <w:rsid w:val="00997495"/>
    <w:rsid w:val="009B187A"/>
    <w:rsid w:val="009D5876"/>
    <w:rsid w:val="00A00C83"/>
    <w:rsid w:val="00A0109B"/>
    <w:rsid w:val="00A25FFC"/>
    <w:rsid w:val="00A34F33"/>
    <w:rsid w:val="00A36813"/>
    <w:rsid w:val="00A47C6B"/>
    <w:rsid w:val="00A53B71"/>
    <w:rsid w:val="00A71AD1"/>
    <w:rsid w:val="00A74DAA"/>
    <w:rsid w:val="00A91D00"/>
    <w:rsid w:val="00AB5FE9"/>
    <w:rsid w:val="00AB7A64"/>
    <w:rsid w:val="00AE3FB7"/>
    <w:rsid w:val="00AE73A3"/>
    <w:rsid w:val="00B05218"/>
    <w:rsid w:val="00B34535"/>
    <w:rsid w:val="00B54585"/>
    <w:rsid w:val="00B74666"/>
    <w:rsid w:val="00B76409"/>
    <w:rsid w:val="00B81459"/>
    <w:rsid w:val="00B864A0"/>
    <w:rsid w:val="00BA5B3D"/>
    <w:rsid w:val="00BC6F82"/>
    <w:rsid w:val="00BC757B"/>
    <w:rsid w:val="00C071C1"/>
    <w:rsid w:val="00C14698"/>
    <w:rsid w:val="00C14FA3"/>
    <w:rsid w:val="00C35D2F"/>
    <w:rsid w:val="00C375DA"/>
    <w:rsid w:val="00C64F02"/>
    <w:rsid w:val="00C70E1C"/>
    <w:rsid w:val="00CA681D"/>
    <w:rsid w:val="00CB72BD"/>
    <w:rsid w:val="00CE7C6C"/>
    <w:rsid w:val="00CF3752"/>
    <w:rsid w:val="00D074CA"/>
    <w:rsid w:val="00D15653"/>
    <w:rsid w:val="00D34B7D"/>
    <w:rsid w:val="00D40272"/>
    <w:rsid w:val="00D42B17"/>
    <w:rsid w:val="00D5064D"/>
    <w:rsid w:val="00D702CC"/>
    <w:rsid w:val="00D70859"/>
    <w:rsid w:val="00D85668"/>
    <w:rsid w:val="00D9637F"/>
    <w:rsid w:val="00DA5635"/>
    <w:rsid w:val="00DD626E"/>
    <w:rsid w:val="00DD64A9"/>
    <w:rsid w:val="00DE4930"/>
    <w:rsid w:val="00DE58E3"/>
    <w:rsid w:val="00E224F5"/>
    <w:rsid w:val="00E51380"/>
    <w:rsid w:val="00E52AB3"/>
    <w:rsid w:val="00E55449"/>
    <w:rsid w:val="00E7108F"/>
    <w:rsid w:val="00E955FA"/>
    <w:rsid w:val="00ED2FD8"/>
    <w:rsid w:val="00ED4093"/>
    <w:rsid w:val="00EE0862"/>
    <w:rsid w:val="00EF5BA2"/>
    <w:rsid w:val="00F036C9"/>
    <w:rsid w:val="00F32C4C"/>
    <w:rsid w:val="00F50130"/>
    <w:rsid w:val="00F50CDF"/>
    <w:rsid w:val="00F70087"/>
    <w:rsid w:val="00F9057D"/>
    <w:rsid w:val="00FE456E"/>
    <w:rsid w:val="00FF047E"/>
    <w:rsid w:val="00FF31AD"/>
    <w:rsid w:val="00FF3B48"/>
    <w:rsid w:val="0100390C"/>
    <w:rsid w:val="010A1249"/>
    <w:rsid w:val="010C5239"/>
    <w:rsid w:val="010D6029"/>
    <w:rsid w:val="010F3B4F"/>
    <w:rsid w:val="01102E49"/>
    <w:rsid w:val="01113D6B"/>
    <w:rsid w:val="01177D87"/>
    <w:rsid w:val="01192C1F"/>
    <w:rsid w:val="01241F30"/>
    <w:rsid w:val="01255120"/>
    <w:rsid w:val="012B158A"/>
    <w:rsid w:val="012C2504"/>
    <w:rsid w:val="013E2C5D"/>
    <w:rsid w:val="014557C2"/>
    <w:rsid w:val="01460EC2"/>
    <w:rsid w:val="014A2DD9"/>
    <w:rsid w:val="014D6750"/>
    <w:rsid w:val="01541EA9"/>
    <w:rsid w:val="015E6884"/>
    <w:rsid w:val="0167398B"/>
    <w:rsid w:val="016F283F"/>
    <w:rsid w:val="01761E20"/>
    <w:rsid w:val="01785B98"/>
    <w:rsid w:val="0179546C"/>
    <w:rsid w:val="017A5E13"/>
    <w:rsid w:val="017D4F5C"/>
    <w:rsid w:val="017E2A82"/>
    <w:rsid w:val="01822903"/>
    <w:rsid w:val="01881A58"/>
    <w:rsid w:val="01981D96"/>
    <w:rsid w:val="019E3125"/>
    <w:rsid w:val="01A6400B"/>
    <w:rsid w:val="01A6481F"/>
    <w:rsid w:val="01A7301F"/>
    <w:rsid w:val="01A93FA3"/>
    <w:rsid w:val="01AA7D1B"/>
    <w:rsid w:val="01AB5FCD"/>
    <w:rsid w:val="01B05D8D"/>
    <w:rsid w:val="01B253E7"/>
    <w:rsid w:val="01C901A1"/>
    <w:rsid w:val="01CC2855"/>
    <w:rsid w:val="01CC5EE4"/>
    <w:rsid w:val="01CD59BB"/>
    <w:rsid w:val="01CE432B"/>
    <w:rsid w:val="01D17056"/>
    <w:rsid w:val="01E274B5"/>
    <w:rsid w:val="01E46D89"/>
    <w:rsid w:val="01E66D08"/>
    <w:rsid w:val="01E744CD"/>
    <w:rsid w:val="01EE5E5A"/>
    <w:rsid w:val="01F62F61"/>
    <w:rsid w:val="01F8432C"/>
    <w:rsid w:val="01F871B8"/>
    <w:rsid w:val="01F9035B"/>
    <w:rsid w:val="020D2655"/>
    <w:rsid w:val="020F4B3E"/>
    <w:rsid w:val="02176F73"/>
    <w:rsid w:val="02195B1F"/>
    <w:rsid w:val="021F7DC1"/>
    <w:rsid w:val="0223031E"/>
    <w:rsid w:val="023E1565"/>
    <w:rsid w:val="02453081"/>
    <w:rsid w:val="025657AD"/>
    <w:rsid w:val="025759BB"/>
    <w:rsid w:val="02586F40"/>
    <w:rsid w:val="025D08EA"/>
    <w:rsid w:val="02671935"/>
    <w:rsid w:val="026753B0"/>
    <w:rsid w:val="0268552C"/>
    <w:rsid w:val="026C6D7F"/>
    <w:rsid w:val="026E4B27"/>
    <w:rsid w:val="02783976"/>
    <w:rsid w:val="027A76EE"/>
    <w:rsid w:val="027B7ED4"/>
    <w:rsid w:val="02873BB9"/>
    <w:rsid w:val="0288217D"/>
    <w:rsid w:val="028E3199"/>
    <w:rsid w:val="028F1D9E"/>
    <w:rsid w:val="02922C89"/>
    <w:rsid w:val="029307AF"/>
    <w:rsid w:val="0295695D"/>
    <w:rsid w:val="02961BA2"/>
    <w:rsid w:val="02A17900"/>
    <w:rsid w:val="02AD361F"/>
    <w:rsid w:val="02AD5588"/>
    <w:rsid w:val="02B96468"/>
    <w:rsid w:val="02BF30B9"/>
    <w:rsid w:val="02D33AFF"/>
    <w:rsid w:val="02D8427D"/>
    <w:rsid w:val="02E1151B"/>
    <w:rsid w:val="02E37169"/>
    <w:rsid w:val="02EC2C40"/>
    <w:rsid w:val="02ED6112"/>
    <w:rsid w:val="02F254D6"/>
    <w:rsid w:val="02F456F2"/>
    <w:rsid w:val="02F71757"/>
    <w:rsid w:val="02FF7BF3"/>
    <w:rsid w:val="03092820"/>
    <w:rsid w:val="03125217"/>
    <w:rsid w:val="031958EC"/>
    <w:rsid w:val="031B72EB"/>
    <w:rsid w:val="032B2294"/>
    <w:rsid w:val="032E069F"/>
    <w:rsid w:val="032F672A"/>
    <w:rsid w:val="034B2E38"/>
    <w:rsid w:val="034E5E1A"/>
    <w:rsid w:val="035D3297"/>
    <w:rsid w:val="03624FA9"/>
    <w:rsid w:val="036912A9"/>
    <w:rsid w:val="036A373E"/>
    <w:rsid w:val="036D1000"/>
    <w:rsid w:val="0374413D"/>
    <w:rsid w:val="0376598C"/>
    <w:rsid w:val="03795BF7"/>
    <w:rsid w:val="0381011E"/>
    <w:rsid w:val="038A55B4"/>
    <w:rsid w:val="038C76D9"/>
    <w:rsid w:val="038E6361"/>
    <w:rsid w:val="03990047"/>
    <w:rsid w:val="03A26A11"/>
    <w:rsid w:val="03A569EC"/>
    <w:rsid w:val="03B15112"/>
    <w:rsid w:val="03B44E81"/>
    <w:rsid w:val="03BB1D6C"/>
    <w:rsid w:val="03C15B18"/>
    <w:rsid w:val="03C54999"/>
    <w:rsid w:val="03C639C1"/>
    <w:rsid w:val="03D270B5"/>
    <w:rsid w:val="03D33559"/>
    <w:rsid w:val="03D746CC"/>
    <w:rsid w:val="03D8225B"/>
    <w:rsid w:val="03E312C3"/>
    <w:rsid w:val="03EC1B08"/>
    <w:rsid w:val="03F60FF6"/>
    <w:rsid w:val="04082AD7"/>
    <w:rsid w:val="040A0B1F"/>
    <w:rsid w:val="041162AA"/>
    <w:rsid w:val="042A0CA0"/>
    <w:rsid w:val="042A6EF2"/>
    <w:rsid w:val="04406715"/>
    <w:rsid w:val="04440342"/>
    <w:rsid w:val="044A30F0"/>
    <w:rsid w:val="044B1A22"/>
    <w:rsid w:val="04542266"/>
    <w:rsid w:val="04545D1C"/>
    <w:rsid w:val="04671EF4"/>
    <w:rsid w:val="04675A50"/>
    <w:rsid w:val="04681F58"/>
    <w:rsid w:val="046C11B5"/>
    <w:rsid w:val="04727855"/>
    <w:rsid w:val="04763EE5"/>
    <w:rsid w:val="04764F7D"/>
    <w:rsid w:val="04816F04"/>
    <w:rsid w:val="0482010A"/>
    <w:rsid w:val="0486237A"/>
    <w:rsid w:val="049820AD"/>
    <w:rsid w:val="049C7DEF"/>
    <w:rsid w:val="049E1D8E"/>
    <w:rsid w:val="04A47A5C"/>
    <w:rsid w:val="04AD3DAA"/>
    <w:rsid w:val="04AF5A6D"/>
    <w:rsid w:val="04B13C43"/>
    <w:rsid w:val="04B2316F"/>
    <w:rsid w:val="04B769D7"/>
    <w:rsid w:val="04BD38C2"/>
    <w:rsid w:val="04C02524"/>
    <w:rsid w:val="04C2712A"/>
    <w:rsid w:val="04EB209A"/>
    <w:rsid w:val="04EE6171"/>
    <w:rsid w:val="04EF43C3"/>
    <w:rsid w:val="04F862D0"/>
    <w:rsid w:val="04FF229E"/>
    <w:rsid w:val="05025778"/>
    <w:rsid w:val="05041B11"/>
    <w:rsid w:val="051536FE"/>
    <w:rsid w:val="051A51B8"/>
    <w:rsid w:val="051E0F24"/>
    <w:rsid w:val="051E6A56"/>
    <w:rsid w:val="05271915"/>
    <w:rsid w:val="05281683"/>
    <w:rsid w:val="05300469"/>
    <w:rsid w:val="05354804"/>
    <w:rsid w:val="053973EC"/>
    <w:rsid w:val="05410997"/>
    <w:rsid w:val="0543026B"/>
    <w:rsid w:val="054364BD"/>
    <w:rsid w:val="05445D91"/>
    <w:rsid w:val="054479FF"/>
    <w:rsid w:val="05500BDA"/>
    <w:rsid w:val="05575AC4"/>
    <w:rsid w:val="05646CE8"/>
    <w:rsid w:val="05654685"/>
    <w:rsid w:val="056A2153"/>
    <w:rsid w:val="056D52E8"/>
    <w:rsid w:val="056D7096"/>
    <w:rsid w:val="056E3CB0"/>
    <w:rsid w:val="05764EB3"/>
    <w:rsid w:val="05776166"/>
    <w:rsid w:val="057E74F5"/>
    <w:rsid w:val="0580501B"/>
    <w:rsid w:val="058439C4"/>
    <w:rsid w:val="058930F8"/>
    <w:rsid w:val="058C1C12"/>
    <w:rsid w:val="059211F2"/>
    <w:rsid w:val="05924C0F"/>
    <w:rsid w:val="059B1E55"/>
    <w:rsid w:val="059D3E1F"/>
    <w:rsid w:val="059E1945"/>
    <w:rsid w:val="059E4E29"/>
    <w:rsid w:val="05A76A4C"/>
    <w:rsid w:val="05A84572"/>
    <w:rsid w:val="05AC22B4"/>
    <w:rsid w:val="05AF5900"/>
    <w:rsid w:val="05B80C59"/>
    <w:rsid w:val="05BB42A5"/>
    <w:rsid w:val="05BC0F26"/>
    <w:rsid w:val="05BC1DCB"/>
    <w:rsid w:val="05BC6E05"/>
    <w:rsid w:val="05C72C4A"/>
    <w:rsid w:val="05C96B03"/>
    <w:rsid w:val="05D435B9"/>
    <w:rsid w:val="05D62E8D"/>
    <w:rsid w:val="05D84E57"/>
    <w:rsid w:val="05DF009E"/>
    <w:rsid w:val="05E11832"/>
    <w:rsid w:val="05E2187E"/>
    <w:rsid w:val="05E7509A"/>
    <w:rsid w:val="05EA2DDC"/>
    <w:rsid w:val="05ED71BF"/>
    <w:rsid w:val="05F41975"/>
    <w:rsid w:val="05F82D81"/>
    <w:rsid w:val="05F92040"/>
    <w:rsid w:val="05FA332B"/>
    <w:rsid w:val="06021ED4"/>
    <w:rsid w:val="060317A8"/>
    <w:rsid w:val="060D2CD4"/>
    <w:rsid w:val="06106F28"/>
    <w:rsid w:val="06132258"/>
    <w:rsid w:val="06146E15"/>
    <w:rsid w:val="061816F7"/>
    <w:rsid w:val="061D5149"/>
    <w:rsid w:val="062260D2"/>
    <w:rsid w:val="062F07EF"/>
    <w:rsid w:val="062F259D"/>
    <w:rsid w:val="063E0A32"/>
    <w:rsid w:val="06420522"/>
    <w:rsid w:val="06426774"/>
    <w:rsid w:val="06450DBC"/>
    <w:rsid w:val="064C408F"/>
    <w:rsid w:val="064D79A3"/>
    <w:rsid w:val="064F2C3F"/>
    <w:rsid w:val="06532730"/>
    <w:rsid w:val="06606BFB"/>
    <w:rsid w:val="0663705B"/>
    <w:rsid w:val="066A4DF7"/>
    <w:rsid w:val="06710E08"/>
    <w:rsid w:val="06735D8A"/>
    <w:rsid w:val="067508F8"/>
    <w:rsid w:val="06764528"/>
    <w:rsid w:val="067803E8"/>
    <w:rsid w:val="067F4A0F"/>
    <w:rsid w:val="06863D99"/>
    <w:rsid w:val="068B1253"/>
    <w:rsid w:val="068E1D69"/>
    <w:rsid w:val="06937267"/>
    <w:rsid w:val="069570A1"/>
    <w:rsid w:val="0696086E"/>
    <w:rsid w:val="069A4E33"/>
    <w:rsid w:val="06A05249"/>
    <w:rsid w:val="06A36CA6"/>
    <w:rsid w:val="06B70F10"/>
    <w:rsid w:val="06BD20B9"/>
    <w:rsid w:val="06D849E3"/>
    <w:rsid w:val="06DA7590"/>
    <w:rsid w:val="06E11AE9"/>
    <w:rsid w:val="06E33D11"/>
    <w:rsid w:val="06E52E40"/>
    <w:rsid w:val="06ED28C5"/>
    <w:rsid w:val="06F219E5"/>
    <w:rsid w:val="06F35CC1"/>
    <w:rsid w:val="06F7755F"/>
    <w:rsid w:val="07036611"/>
    <w:rsid w:val="07052E57"/>
    <w:rsid w:val="0710199B"/>
    <w:rsid w:val="07185F16"/>
    <w:rsid w:val="07230354"/>
    <w:rsid w:val="072B0FB7"/>
    <w:rsid w:val="0730481F"/>
    <w:rsid w:val="07310556"/>
    <w:rsid w:val="074402CA"/>
    <w:rsid w:val="07456CFC"/>
    <w:rsid w:val="0759183B"/>
    <w:rsid w:val="076646E5"/>
    <w:rsid w:val="076D5A73"/>
    <w:rsid w:val="076E4C7C"/>
    <w:rsid w:val="0777244E"/>
    <w:rsid w:val="078608E3"/>
    <w:rsid w:val="07865AD4"/>
    <w:rsid w:val="078828AD"/>
    <w:rsid w:val="07886409"/>
    <w:rsid w:val="078B66FD"/>
    <w:rsid w:val="078E5795"/>
    <w:rsid w:val="079528D4"/>
    <w:rsid w:val="07990616"/>
    <w:rsid w:val="07A019A5"/>
    <w:rsid w:val="07A3187E"/>
    <w:rsid w:val="07A931B2"/>
    <w:rsid w:val="07B0784E"/>
    <w:rsid w:val="07B2221A"/>
    <w:rsid w:val="07B54D24"/>
    <w:rsid w:val="07BF6F7B"/>
    <w:rsid w:val="07C40D10"/>
    <w:rsid w:val="07E04497"/>
    <w:rsid w:val="07E21FBD"/>
    <w:rsid w:val="07EB26D5"/>
    <w:rsid w:val="07F00F1B"/>
    <w:rsid w:val="07F65A68"/>
    <w:rsid w:val="07FD3C87"/>
    <w:rsid w:val="0809687F"/>
    <w:rsid w:val="081D2FF5"/>
    <w:rsid w:val="082779D0"/>
    <w:rsid w:val="08280402"/>
    <w:rsid w:val="082B7EE0"/>
    <w:rsid w:val="083420ED"/>
    <w:rsid w:val="083B791F"/>
    <w:rsid w:val="08406CE4"/>
    <w:rsid w:val="0845254C"/>
    <w:rsid w:val="085602B5"/>
    <w:rsid w:val="08585DDB"/>
    <w:rsid w:val="085A5FF7"/>
    <w:rsid w:val="0869448C"/>
    <w:rsid w:val="086E1AA3"/>
    <w:rsid w:val="087528A5"/>
    <w:rsid w:val="0878647D"/>
    <w:rsid w:val="087A4AA2"/>
    <w:rsid w:val="088272FC"/>
    <w:rsid w:val="088849AC"/>
    <w:rsid w:val="088E7A4F"/>
    <w:rsid w:val="08AC25CB"/>
    <w:rsid w:val="08AD77A8"/>
    <w:rsid w:val="08BC0A60"/>
    <w:rsid w:val="08C14056"/>
    <w:rsid w:val="08C43A4A"/>
    <w:rsid w:val="08C956CA"/>
    <w:rsid w:val="08C96CD9"/>
    <w:rsid w:val="08CA400A"/>
    <w:rsid w:val="08CB37D2"/>
    <w:rsid w:val="08D31906"/>
    <w:rsid w:val="08D35625"/>
    <w:rsid w:val="08DD2784"/>
    <w:rsid w:val="08EB6C4F"/>
    <w:rsid w:val="08F021B5"/>
    <w:rsid w:val="08F16230"/>
    <w:rsid w:val="08F24482"/>
    <w:rsid w:val="08F5059B"/>
    <w:rsid w:val="08F655F4"/>
    <w:rsid w:val="08F875BE"/>
    <w:rsid w:val="08FA50E4"/>
    <w:rsid w:val="08FD4BD5"/>
    <w:rsid w:val="09011E62"/>
    <w:rsid w:val="090C377F"/>
    <w:rsid w:val="091331F6"/>
    <w:rsid w:val="091837BC"/>
    <w:rsid w:val="091967A2"/>
    <w:rsid w:val="091C5660"/>
    <w:rsid w:val="092236CB"/>
    <w:rsid w:val="092403B3"/>
    <w:rsid w:val="092C1781"/>
    <w:rsid w:val="093D3223"/>
    <w:rsid w:val="09475E50"/>
    <w:rsid w:val="095C516D"/>
    <w:rsid w:val="095C7B4D"/>
    <w:rsid w:val="095E38C5"/>
    <w:rsid w:val="0964265D"/>
    <w:rsid w:val="09646A02"/>
    <w:rsid w:val="0973412B"/>
    <w:rsid w:val="097430E9"/>
    <w:rsid w:val="098A290C"/>
    <w:rsid w:val="098B3F8E"/>
    <w:rsid w:val="098F153F"/>
    <w:rsid w:val="09975029"/>
    <w:rsid w:val="099C43EE"/>
    <w:rsid w:val="09A16889"/>
    <w:rsid w:val="09AD65FB"/>
    <w:rsid w:val="09AF3F98"/>
    <w:rsid w:val="09B7212F"/>
    <w:rsid w:val="09BC125E"/>
    <w:rsid w:val="09C851E3"/>
    <w:rsid w:val="09CB04E3"/>
    <w:rsid w:val="09DE4A06"/>
    <w:rsid w:val="09E10052"/>
    <w:rsid w:val="09E57B43"/>
    <w:rsid w:val="09F93751"/>
    <w:rsid w:val="09FC4E8C"/>
    <w:rsid w:val="0A053D41"/>
    <w:rsid w:val="0A0835ED"/>
    <w:rsid w:val="0A083D37"/>
    <w:rsid w:val="0A12632D"/>
    <w:rsid w:val="0A20501F"/>
    <w:rsid w:val="0A326924"/>
    <w:rsid w:val="0A36039E"/>
    <w:rsid w:val="0A4013D2"/>
    <w:rsid w:val="0A4522B3"/>
    <w:rsid w:val="0A466107"/>
    <w:rsid w:val="0A4707FD"/>
    <w:rsid w:val="0A4D2BC6"/>
    <w:rsid w:val="0A522CFE"/>
    <w:rsid w:val="0A570314"/>
    <w:rsid w:val="0A590531"/>
    <w:rsid w:val="0A5F4E8C"/>
    <w:rsid w:val="0A645141"/>
    <w:rsid w:val="0A797736"/>
    <w:rsid w:val="0A7B521B"/>
    <w:rsid w:val="0A7D421F"/>
    <w:rsid w:val="0A83110A"/>
    <w:rsid w:val="0A8710A0"/>
    <w:rsid w:val="0A8A3386"/>
    <w:rsid w:val="0A8B7110"/>
    <w:rsid w:val="0A8C616C"/>
    <w:rsid w:val="0A8D26BC"/>
    <w:rsid w:val="0A9B6453"/>
    <w:rsid w:val="0AA33109"/>
    <w:rsid w:val="0AA61168"/>
    <w:rsid w:val="0AA95014"/>
    <w:rsid w:val="0AAC0660"/>
    <w:rsid w:val="0AAF26AF"/>
    <w:rsid w:val="0AB17A25"/>
    <w:rsid w:val="0AC14B2C"/>
    <w:rsid w:val="0AC40224"/>
    <w:rsid w:val="0ADC1CF6"/>
    <w:rsid w:val="0AE2228D"/>
    <w:rsid w:val="0AE4180A"/>
    <w:rsid w:val="0AE95411"/>
    <w:rsid w:val="0AF03C53"/>
    <w:rsid w:val="0AF3003D"/>
    <w:rsid w:val="0AF70EFA"/>
    <w:rsid w:val="0AFB3396"/>
    <w:rsid w:val="0AFB5144"/>
    <w:rsid w:val="0AFE4859"/>
    <w:rsid w:val="0AFF69E2"/>
    <w:rsid w:val="0B071D3B"/>
    <w:rsid w:val="0B086C7F"/>
    <w:rsid w:val="0B09103A"/>
    <w:rsid w:val="0B0A5387"/>
    <w:rsid w:val="0B1526A9"/>
    <w:rsid w:val="0B1D1B0D"/>
    <w:rsid w:val="0B1F250C"/>
    <w:rsid w:val="0B224D72"/>
    <w:rsid w:val="0B2939DC"/>
    <w:rsid w:val="0B2B35D4"/>
    <w:rsid w:val="0B2C2952"/>
    <w:rsid w:val="0B2C354F"/>
    <w:rsid w:val="0B350656"/>
    <w:rsid w:val="0B386398"/>
    <w:rsid w:val="0B3E09AD"/>
    <w:rsid w:val="0B415AD9"/>
    <w:rsid w:val="0B440899"/>
    <w:rsid w:val="0B4958E5"/>
    <w:rsid w:val="0B5F56D3"/>
    <w:rsid w:val="0B6635D6"/>
    <w:rsid w:val="0B6A0E7D"/>
    <w:rsid w:val="0B6A207E"/>
    <w:rsid w:val="0B725406"/>
    <w:rsid w:val="0B74633D"/>
    <w:rsid w:val="0B847D5D"/>
    <w:rsid w:val="0B884C29"/>
    <w:rsid w:val="0B896BF3"/>
    <w:rsid w:val="0B8D0492"/>
    <w:rsid w:val="0B923CFA"/>
    <w:rsid w:val="0B9335CE"/>
    <w:rsid w:val="0B947F51"/>
    <w:rsid w:val="0B957346"/>
    <w:rsid w:val="0B971160"/>
    <w:rsid w:val="0B9730BE"/>
    <w:rsid w:val="0BA21357"/>
    <w:rsid w:val="0BA31A63"/>
    <w:rsid w:val="0BA8707A"/>
    <w:rsid w:val="0BB53545"/>
    <w:rsid w:val="0BBA4EF0"/>
    <w:rsid w:val="0BC17BE9"/>
    <w:rsid w:val="0BC639A4"/>
    <w:rsid w:val="0BD53BD5"/>
    <w:rsid w:val="0BD7170D"/>
    <w:rsid w:val="0BD936D7"/>
    <w:rsid w:val="0BDC6D23"/>
    <w:rsid w:val="0BE20DFC"/>
    <w:rsid w:val="0BE34556"/>
    <w:rsid w:val="0BEB51B8"/>
    <w:rsid w:val="0BF00A21"/>
    <w:rsid w:val="0BF6321E"/>
    <w:rsid w:val="0BFF2A12"/>
    <w:rsid w:val="0C02257A"/>
    <w:rsid w:val="0C0977F3"/>
    <w:rsid w:val="0C0A1AE2"/>
    <w:rsid w:val="0C0B7609"/>
    <w:rsid w:val="0C0E5F13"/>
    <w:rsid w:val="0C0F43C2"/>
    <w:rsid w:val="0C1069CD"/>
    <w:rsid w:val="0C1914D3"/>
    <w:rsid w:val="0C191D25"/>
    <w:rsid w:val="0C1C1816"/>
    <w:rsid w:val="0C1C7A68"/>
    <w:rsid w:val="0C1D26CE"/>
    <w:rsid w:val="0C1F4E62"/>
    <w:rsid w:val="0C2A5CE1"/>
    <w:rsid w:val="0C2B3807"/>
    <w:rsid w:val="0C30706F"/>
    <w:rsid w:val="0C31440E"/>
    <w:rsid w:val="0C3D6E4B"/>
    <w:rsid w:val="0C4A6383"/>
    <w:rsid w:val="0C4D5E73"/>
    <w:rsid w:val="0C4D667A"/>
    <w:rsid w:val="0C540FAF"/>
    <w:rsid w:val="0C541136"/>
    <w:rsid w:val="0C5E1E2E"/>
    <w:rsid w:val="0C5F27D7"/>
    <w:rsid w:val="0C607954"/>
    <w:rsid w:val="0C632FA1"/>
    <w:rsid w:val="0C684A5B"/>
    <w:rsid w:val="0C721436"/>
    <w:rsid w:val="0C727688"/>
    <w:rsid w:val="0C776C5D"/>
    <w:rsid w:val="0C78295D"/>
    <w:rsid w:val="0C7B478E"/>
    <w:rsid w:val="0C801DA5"/>
    <w:rsid w:val="0C8A49D1"/>
    <w:rsid w:val="0C9E047D"/>
    <w:rsid w:val="0CA77331"/>
    <w:rsid w:val="0CB75678"/>
    <w:rsid w:val="0CD41FCF"/>
    <w:rsid w:val="0CD45C4C"/>
    <w:rsid w:val="0CD91B6B"/>
    <w:rsid w:val="0CE1517F"/>
    <w:rsid w:val="0CEF0CD8"/>
    <w:rsid w:val="0CF5098E"/>
    <w:rsid w:val="0CF85DDF"/>
    <w:rsid w:val="0CFD1647"/>
    <w:rsid w:val="0D003E10"/>
    <w:rsid w:val="0D166092"/>
    <w:rsid w:val="0D1C7D1F"/>
    <w:rsid w:val="0D1E259E"/>
    <w:rsid w:val="0D241C18"/>
    <w:rsid w:val="0D314CDB"/>
    <w:rsid w:val="0D354F2F"/>
    <w:rsid w:val="0D4C1C87"/>
    <w:rsid w:val="0D540303"/>
    <w:rsid w:val="0D5648B3"/>
    <w:rsid w:val="0D5A43A4"/>
    <w:rsid w:val="0D613B83"/>
    <w:rsid w:val="0D637BFF"/>
    <w:rsid w:val="0D661A8E"/>
    <w:rsid w:val="0D6A4AD7"/>
    <w:rsid w:val="0D722B71"/>
    <w:rsid w:val="0D7731A8"/>
    <w:rsid w:val="0D7D4536"/>
    <w:rsid w:val="0D814026"/>
    <w:rsid w:val="0D841421"/>
    <w:rsid w:val="0D887821"/>
    <w:rsid w:val="0D8E229F"/>
    <w:rsid w:val="0D9D24E2"/>
    <w:rsid w:val="0DA0343B"/>
    <w:rsid w:val="0DA24987"/>
    <w:rsid w:val="0DA25D4B"/>
    <w:rsid w:val="0DA33F9D"/>
    <w:rsid w:val="0DA87805"/>
    <w:rsid w:val="0DA9178F"/>
    <w:rsid w:val="0DAD0977"/>
    <w:rsid w:val="0DAE1A5B"/>
    <w:rsid w:val="0DBC6E0C"/>
    <w:rsid w:val="0DBD3EEF"/>
    <w:rsid w:val="0DCE7FF7"/>
    <w:rsid w:val="0DE10621"/>
    <w:rsid w:val="0DF55F75"/>
    <w:rsid w:val="0DF90060"/>
    <w:rsid w:val="0E086175"/>
    <w:rsid w:val="0E0D1416"/>
    <w:rsid w:val="0E1C78AB"/>
    <w:rsid w:val="0E252C04"/>
    <w:rsid w:val="0E303356"/>
    <w:rsid w:val="0E43308A"/>
    <w:rsid w:val="0E4A285A"/>
    <w:rsid w:val="0E5E4367"/>
    <w:rsid w:val="0E606AEF"/>
    <w:rsid w:val="0E621B57"/>
    <w:rsid w:val="0E72571D"/>
    <w:rsid w:val="0E7771D7"/>
    <w:rsid w:val="0E785550"/>
    <w:rsid w:val="0E805763"/>
    <w:rsid w:val="0E9C154E"/>
    <w:rsid w:val="0E9D28E3"/>
    <w:rsid w:val="0E9D6C3E"/>
    <w:rsid w:val="0E9F2F5A"/>
    <w:rsid w:val="0EA16002"/>
    <w:rsid w:val="0EC0198D"/>
    <w:rsid w:val="0EC248F6"/>
    <w:rsid w:val="0ECB1C73"/>
    <w:rsid w:val="0ECF0DC1"/>
    <w:rsid w:val="0ED90E73"/>
    <w:rsid w:val="0EE20DEB"/>
    <w:rsid w:val="0EEC54CF"/>
    <w:rsid w:val="0EEE30D9"/>
    <w:rsid w:val="0EF837E0"/>
    <w:rsid w:val="0EFB31E7"/>
    <w:rsid w:val="0F046CBD"/>
    <w:rsid w:val="0F087049"/>
    <w:rsid w:val="0F096081"/>
    <w:rsid w:val="0F097C3C"/>
    <w:rsid w:val="0F097D1A"/>
    <w:rsid w:val="0F0F11BE"/>
    <w:rsid w:val="0F105A0D"/>
    <w:rsid w:val="0F12788F"/>
    <w:rsid w:val="0F1A7D1A"/>
    <w:rsid w:val="0F1D490D"/>
    <w:rsid w:val="0F2861F7"/>
    <w:rsid w:val="0F305B60"/>
    <w:rsid w:val="0F4B4170"/>
    <w:rsid w:val="0F5115BA"/>
    <w:rsid w:val="0F530D8B"/>
    <w:rsid w:val="0F566DED"/>
    <w:rsid w:val="0F661726"/>
    <w:rsid w:val="0F670FFA"/>
    <w:rsid w:val="0F730E1D"/>
    <w:rsid w:val="0F8A6327"/>
    <w:rsid w:val="0F8E47D8"/>
    <w:rsid w:val="0F943A3F"/>
    <w:rsid w:val="0F9D2C6D"/>
    <w:rsid w:val="0FA755CE"/>
    <w:rsid w:val="0FB10210"/>
    <w:rsid w:val="0FB6788B"/>
    <w:rsid w:val="0FB758F6"/>
    <w:rsid w:val="0FBD0980"/>
    <w:rsid w:val="0FBE3179"/>
    <w:rsid w:val="0FBF07CB"/>
    <w:rsid w:val="0FD50659"/>
    <w:rsid w:val="0FDD2696"/>
    <w:rsid w:val="0FE00DB6"/>
    <w:rsid w:val="0FF3789E"/>
    <w:rsid w:val="0FFB3BB2"/>
    <w:rsid w:val="0FFB73E3"/>
    <w:rsid w:val="100023C5"/>
    <w:rsid w:val="100E1475"/>
    <w:rsid w:val="101271B8"/>
    <w:rsid w:val="101C3B92"/>
    <w:rsid w:val="1021564D"/>
    <w:rsid w:val="10222810"/>
    <w:rsid w:val="102B58EA"/>
    <w:rsid w:val="10464D42"/>
    <w:rsid w:val="10505F32"/>
    <w:rsid w:val="10507CE0"/>
    <w:rsid w:val="105E064F"/>
    <w:rsid w:val="105F73D7"/>
    <w:rsid w:val="1063632A"/>
    <w:rsid w:val="10686DD7"/>
    <w:rsid w:val="10697DCB"/>
    <w:rsid w:val="106B17E1"/>
    <w:rsid w:val="106C2D6C"/>
    <w:rsid w:val="10806817"/>
    <w:rsid w:val="108D4A90"/>
    <w:rsid w:val="108F43C6"/>
    <w:rsid w:val="1097590F"/>
    <w:rsid w:val="109776BD"/>
    <w:rsid w:val="109A0F5B"/>
    <w:rsid w:val="109B6F8A"/>
    <w:rsid w:val="10A02A15"/>
    <w:rsid w:val="10AC13E7"/>
    <w:rsid w:val="10AF0EAA"/>
    <w:rsid w:val="10BB1F72"/>
    <w:rsid w:val="10BB784F"/>
    <w:rsid w:val="10C101C4"/>
    <w:rsid w:val="10D97CD5"/>
    <w:rsid w:val="10DB3A4D"/>
    <w:rsid w:val="10E2302E"/>
    <w:rsid w:val="10E723F2"/>
    <w:rsid w:val="11020BEC"/>
    <w:rsid w:val="11056D1C"/>
    <w:rsid w:val="1112798D"/>
    <w:rsid w:val="111D7BC2"/>
    <w:rsid w:val="11262678"/>
    <w:rsid w:val="112B3E8A"/>
    <w:rsid w:val="113D64B6"/>
    <w:rsid w:val="11535CDA"/>
    <w:rsid w:val="11537A88"/>
    <w:rsid w:val="115841B0"/>
    <w:rsid w:val="115B7B56"/>
    <w:rsid w:val="115D165F"/>
    <w:rsid w:val="115F642C"/>
    <w:rsid w:val="11651569"/>
    <w:rsid w:val="117874EE"/>
    <w:rsid w:val="11813B7D"/>
    <w:rsid w:val="11845E93"/>
    <w:rsid w:val="11897B42"/>
    <w:rsid w:val="118E286E"/>
    <w:rsid w:val="11943BFC"/>
    <w:rsid w:val="119836EC"/>
    <w:rsid w:val="11991213"/>
    <w:rsid w:val="11993644"/>
    <w:rsid w:val="11A622AD"/>
    <w:rsid w:val="11A87BD6"/>
    <w:rsid w:val="11A976A8"/>
    <w:rsid w:val="11AD50B9"/>
    <w:rsid w:val="11CC3396"/>
    <w:rsid w:val="11D230A2"/>
    <w:rsid w:val="11D42AAF"/>
    <w:rsid w:val="11D64215"/>
    <w:rsid w:val="11D71B96"/>
    <w:rsid w:val="11D73EF0"/>
    <w:rsid w:val="11DD6C27"/>
    <w:rsid w:val="11E4095D"/>
    <w:rsid w:val="11E701D0"/>
    <w:rsid w:val="11E903EC"/>
    <w:rsid w:val="11F54030"/>
    <w:rsid w:val="11FC4304"/>
    <w:rsid w:val="120447CD"/>
    <w:rsid w:val="121511E1"/>
    <w:rsid w:val="12154D3D"/>
    <w:rsid w:val="121D1E44"/>
    <w:rsid w:val="121E0096"/>
    <w:rsid w:val="121F59ED"/>
    <w:rsid w:val="12323791"/>
    <w:rsid w:val="123478B9"/>
    <w:rsid w:val="12366B3F"/>
    <w:rsid w:val="12380A2C"/>
    <w:rsid w:val="1242340B"/>
    <w:rsid w:val="12505D75"/>
    <w:rsid w:val="12520F1B"/>
    <w:rsid w:val="12541D09"/>
    <w:rsid w:val="12555A81"/>
    <w:rsid w:val="125D2461"/>
    <w:rsid w:val="12631F4C"/>
    <w:rsid w:val="12633CFA"/>
    <w:rsid w:val="12676BE9"/>
    <w:rsid w:val="12695089"/>
    <w:rsid w:val="126B01DF"/>
    <w:rsid w:val="12704669"/>
    <w:rsid w:val="12706417"/>
    <w:rsid w:val="127903BC"/>
    <w:rsid w:val="127A04B4"/>
    <w:rsid w:val="127F48AC"/>
    <w:rsid w:val="128A572B"/>
    <w:rsid w:val="12906AB9"/>
    <w:rsid w:val="129640A3"/>
    <w:rsid w:val="12A0590F"/>
    <w:rsid w:val="12A12A75"/>
    <w:rsid w:val="12A32349"/>
    <w:rsid w:val="12A60FF7"/>
    <w:rsid w:val="12B427A8"/>
    <w:rsid w:val="12B96010"/>
    <w:rsid w:val="12BA6F0F"/>
    <w:rsid w:val="12BE3627"/>
    <w:rsid w:val="12BE4663"/>
    <w:rsid w:val="12C619A5"/>
    <w:rsid w:val="12CA0CE2"/>
    <w:rsid w:val="12DE5A77"/>
    <w:rsid w:val="12ED3F63"/>
    <w:rsid w:val="12F55521"/>
    <w:rsid w:val="12F9465F"/>
    <w:rsid w:val="130152C1"/>
    <w:rsid w:val="13082AF4"/>
    <w:rsid w:val="131277AE"/>
    <w:rsid w:val="13135720"/>
    <w:rsid w:val="13187EB7"/>
    <w:rsid w:val="13194016"/>
    <w:rsid w:val="131F5146"/>
    <w:rsid w:val="13201BEB"/>
    <w:rsid w:val="132316DC"/>
    <w:rsid w:val="13235EC7"/>
    <w:rsid w:val="13337C0F"/>
    <w:rsid w:val="133518D6"/>
    <w:rsid w:val="133B07D3"/>
    <w:rsid w:val="13441D7E"/>
    <w:rsid w:val="134F0723"/>
    <w:rsid w:val="13665DFB"/>
    <w:rsid w:val="136C2427"/>
    <w:rsid w:val="136D3851"/>
    <w:rsid w:val="137D703E"/>
    <w:rsid w:val="137E6912"/>
    <w:rsid w:val="13824654"/>
    <w:rsid w:val="138F134B"/>
    <w:rsid w:val="13946135"/>
    <w:rsid w:val="13953C6C"/>
    <w:rsid w:val="1399374C"/>
    <w:rsid w:val="139D445C"/>
    <w:rsid w:val="139F6FB4"/>
    <w:rsid w:val="13A54F19"/>
    <w:rsid w:val="13AD5814"/>
    <w:rsid w:val="13AF4537"/>
    <w:rsid w:val="13B1440C"/>
    <w:rsid w:val="13B660AC"/>
    <w:rsid w:val="13C06F2A"/>
    <w:rsid w:val="13C20EF5"/>
    <w:rsid w:val="13C24A51"/>
    <w:rsid w:val="13C31004"/>
    <w:rsid w:val="13C54541"/>
    <w:rsid w:val="13C609E5"/>
    <w:rsid w:val="13C92283"/>
    <w:rsid w:val="13D11138"/>
    <w:rsid w:val="13D1738A"/>
    <w:rsid w:val="13E7095B"/>
    <w:rsid w:val="13E70AFC"/>
    <w:rsid w:val="13EB3FA7"/>
    <w:rsid w:val="13F310AE"/>
    <w:rsid w:val="13F56BD4"/>
    <w:rsid w:val="13F970F6"/>
    <w:rsid w:val="13FF7A53"/>
    <w:rsid w:val="14076907"/>
    <w:rsid w:val="14117786"/>
    <w:rsid w:val="14226FD6"/>
    <w:rsid w:val="14301E78"/>
    <w:rsid w:val="14327E28"/>
    <w:rsid w:val="14357918"/>
    <w:rsid w:val="143F42F3"/>
    <w:rsid w:val="144162BD"/>
    <w:rsid w:val="144C07BE"/>
    <w:rsid w:val="144D4C62"/>
    <w:rsid w:val="1461426A"/>
    <w:rsid w:val="14642583"/>
    <w:rsid w:val="14667AD2"/>
    <w:rsid w:val="146E1A2F"/>
    <w:rsid w:val="147F2942"/>
    <w:rsid w:val="148D1503"/>
    <w:rsid w:val="148E0DD7"/>
    <w:rsid w:val="148F527B"/>
    <w:rsid w:val="149503B7"/>
    <w:rsid w:val="14956609"/>
    <w:rsid w:val="14A47356"/>
    <w:rsid w:val="14A63260"/>
    <w:rsid w:val="14A95C11"/>
    <w:rsid w:val="14B52807"/>
    <w:rsid w:val="14B5313E"/>
    <w:rsid w:val="14BF03E7"/>
    <w:rsid w:val="14C12F5A"/>
    <w:rsid w:val="14CD5DA3"/>
    <w:rsid w:val="14D07990"/>
    <w:rsid w:val="14D25167"/>
    <w:rsid w:val="14D57D09"/>
    <w:rsid w:val="14DD7BC0"/>
    <w:rsid w:val="14E60C13"/>
    <w:rsid w:val="14ED0282"/>
    <w:rsid w:val="14EF5D19"/>
    <w:rsid w:val="14F450DE"/>
    <w:rsid w:val="14FB46BE"/>
    <w:rsid w:val="150124ED"/>
    <w:rsid w:val="15063063"/>
    <w:rsid w:val="15145780"/>
    <w:rsid w:val="1514752E"/>
    <w:rsid w:val="15150099"/>
    <w:rsid w:val="151614F8"/>
    <w:rsid w:val="151A123E"/>
    <w:rsid w:val="152C7D4F"/>
    <w:rsid w:val="152E67CC"/>
    <w:rsid w:val="153727D4"/>
    <w:rsid w:val="153D4CD7"/>
    <w:rsid w:val="15432B93"/>
    <w:rsid w:val="154C316C"/>
    <w:rsid w:val="155206C0"/>
    <w:rsid w:val="15562895"/>
    <w:rsid w:val="15663B21"/>
    <w:rsid w:val="156724B3"/>
    <w:rsid w:val="156C55BC"/>
    <w:rsid w:val="157601E9"/>
    <w:rsid w:val="157F6CF7"/>
    <w:rsid w:val="158A5A42"/>
    <w:rsid w:val="158A77F0"/>
    <w:rsid w:val="158C3568"/>
    <w:rsid w:val="15A40E9E"/>
    <w:rsid w:val="15A9411A"/>
    <w:rsid w:val="15AE2543"/>
    <w:rsid w:val="15B20664"/>
    <w:rsid w:val="15B825AF"/>
    <w:rsid w:val="15C61483"/>
    <w:rsid w:val="15D54F0F"/>
    <w:rsid w:val="15D66ED9"/>
    <w:rsid w:val="15E1596F"/>
    <w:rsid w:val="15E16C1D"/>
    <w:rsid w:val="15E2175B"/>
    <w:rsid w:val="15E2762C"/>
    <w:rsid w:val="15EC04AB"/>
    <w:rsid w:val="15F31A4A"/>
    <w:rsid w:val="15F555B1"/>
    <w:rsid w:val="15F86E50"/>
    <w:rsid w:val="16007AB2"/>
    <w:rsid w:val="1602148C"/>
    <w:rsid w:val="16083311"/>
    <w:rsid w:val="160E6673"/>
    <w:rsid w:val="161016BC"/>
    <w:rsid w:val="16104199"/>
    <w:rsid w:val="161A589B"/>
    <w:rsid w:val="1626576B"/>
    <w:rsid w:val="16292E19"/>
    <w:rsid w:val="162F652B"/>
    <w:rsid w:val="16302145"/>
    <w:rsid w:val="16337E88"/>
    <w:rsid w:val="16461969"/>
    <w:rsid w:val="164B51D1"/>
    <w:rsid w:val="16504596"/>
    <w:rsid w:val="165322D8"/>
    <w:rsid w:val="165D60D0"/>
    <w:rsid w:val="1666200B"/>
    <w:rsid w:val="166E7112"/>
    <w:rsid w:val="167069E6"/>
    <w:rsid w:val="16777D74"/>
    <w:rsid w:val="167C182F"/>
    <w:rsid w:val="167F2C0C"/>
    <w:rsid w:val="16810BF3"/>
    <w:rsid w:val="16832BBD"/>
    <w:rsid w:val="1691797F"/>
    <w:rsid w:val="1695644C"/>
    <w:rsid w:val="16994579"/>
    <w:rsid w:val="169A1ACA"/>
    <w:rsid w:val="169A3A63"/>
    <w:rsid w:val="16A205AB"/>
    <w:rsid w:val="16A30ED4"/>
    <w:rsid w:val="16B43B1A"/>
    <w:rsid w:val="16C94348"/>
    <w:rsid w:val="16CB00C0"/>
    <w:rsid w:val="16CE38EF"/>
    <w:rsid w:val="16D276A1"/>
    <w:rsid w:val="16D451C7"/>
    <w:rsid w:val="16D90A2F"/>
    <w:rsid w:val="16E72A95"/>
    <w:rsid w:val="16EB0762"/>
    <w:rsid w:val="16FC296F"/>
    <w:rsid w:val="16FE43FF"/>
    <w:rsid w:val="170C24A1"/>
    <w:rsid w:val="170C2DAF"/>
    <w:rsid w:val="170F61FF"/>
    <w:rsid w:val="17123F41"/>
    <w:rsid w:val="171525D8"/>
    <w:rsid w:val="17155DC3"/>
    <w:rsid w:val="17173305"/>
    <w:rsid w:val="171956E6"/>
    <w:rsid w:val="171E4F25"/>
    <w:rsid w:val="17215F32"/>
    <w:rsid w:val="172A4DE7"/>
    <w:rsid w:val="172E2ABE"/>
    <w:rsid w:val="173C253E"/>
    <w:rsid w:val="17463BEB"/>
    <w:rsid w:val="17546308"/>
    <w:rsid w:val="176E561B"/>
    <w:rsid w:val="177D7E5B"/>
    <w:rsid w:val="17836BED"/>
    <w:rsid w:val="17914E66"/>
    <w:rsid w:val="17997A04"/>
    <w:rsid w:val="179B18E5"/>
    <w:rsid w:val="179E3A27"/>
    <w:rsid w:val="17A54092"/>
    <w:rsid w:val="17B42410"/>
    <w:rsid w:val="17B44FF8"/>
    <w:rsid w:val="17CE60BA"/>
    <w:rsid w:val="17CF1E32"/>
    <w:rsid w:val="17DD454F"/>
    <w:rsid w:val="17E27374"/>
    <w:rsid w:val="17E92EF4"/>
    <w:rsid w:val="17EB31A5"/>
    <w:rsid w:val="17EC02EE"/>
    <w:rsid w:val="18043EF7"/>
    <w:rsid w:val="18055854"/>
    <w:rsid w:val="183F2B14"/>
    <w:rsid w:val="183F3123"/>
    <w:rsid w:val="18493992"/>
    <w:rsid w:val="187351CA"/>
    <w:rsid w:val="187F73B4"/>
    <w:rsid w:val="18870773"/>
    <w:rsid w:val="188744BB"/>
    <w:rsid w:val="18893D8F"/>
    <w:rsid w:val="188D1AD1"/>
    <w:rsid w:val="18910B4E"/>
    <w:rsid w:val="18935F44"/>
    <w:rsid w:val="18950986"/>
    <w:rsid w:val="189A2440"/>
    <w:rsid w:val="189A5F9C"/>
    <w:rsid w:val="189C7113"/>
    <w:rsid w:val="18A233A8"/>
    <w:rsid w:val="18C4126B"/>
    <w:rsid w:val="18C87584"/>
    <w:rsid w:val="18D9724E"/>
    <w:rsid w:val="18DA45EA"/>
    <w:rsid w:val="18DD5A10"/>
    <w:rsid w:val="18E01BD1"/>
    <w:rsid w:val="18ED431E"/>
    <w:rsid w:val="18F67194"/>
    <w:rsid w:val="18F97C07"/>
    <w:rsid w:val="190238B3"/>
    <w:rsid w:val="19031D93"/>
    <w:rsid w:val="190434B5"/>
    <w:rsid w:val="190832EF"/>
    <w:rsid w:val="1917583F"/>
    <w:rsid w:val="191A0E8B"/>
    <w:rsid w:val="192F4936"/>
    <w:rsid w:val="19324427"/>
    <w:rsid w:val="193630B9"/>
    <w:rsid w:val="19404D95"/>
    <w:rsid w:val="19404FED"/>
    <w:rsid w:val="194523AC"/>
    <w:rsid w:val="194A1770"/>
    <w:rsid w:val="194B54E8"/>
    <w:rsid w:val="194D300E"/>
    <w:rsid w:val="195720DF"/>
    <w:rsid w:val="197607B7"/>
    <w:rsid w:val="1977008B"/>
    <w:rsid w:val="198033E4"/>
    <w:rsid w:val="19940C3D"/>
    <w:rsid w:val="199450E1"/>
    <w:rsid w:val="199649B5"/>
    <w:rsid w:val="19B7492C"/>
    <w:rsid w:val="19BC31A5"/>
    <w:rsid w:val="19C402EB"/>
    <w:rsid w:val="19C808E7"/>
    <w:rsid w:val="19C9392B"/>
    <w:rsid w:val="19CC031C"/>
    <w:rsid w:val="19CC6629"/>
    <w:rsid w:val="19CF6011"/>
    <w:rsid w:val="19EC571B"/>
    <w:rsid w:val="19F3005A"/>
    <w:rsid w:val="19FF69FF"/>
    <w:rsid w:val="1A004525"/>
    <w:rsid w:val="1A0C111B"/>
    <w:rsid w:val="1A107C62"/>
    <w:rsid w:val="1A1B69E7"/>
    <w:rsid w:val="1A21482A"/>
    <w:rsid w:val="1A250E18"/>
    <w:rsid w:val="1A3366A8"/>
    <w:rsid w:val="1A3B37AF"/>
    <w:rsid w:val="1A3B730B"/>
    <w:rsid w:val="1A46165B"/>
    <w:rsid w:val="1A47032F"/>
    <w:rsid w:val="1A4B1C44"/>
    <w:rsid w:val="1A514E93"/>
    <w:rsid w:val="1A52255D"/>
    <w:rsid w:val="1A534654"/>
    <w:rsid w:val="1A5605E9"/>
    <w:rsid w:val="1A564145"/>
    <w:rsid w:val="1A584361"/>
    <w:rsid w:val="1A5C4991"/>
    <w:rsid w:val="1A62677B"/>
    <w:rsid w:val="1A713C05"/>
    <w:rsid w:val="1A770E28"/>
    <w:rsid w:val="1A7D7F06"/>
    <w:rsid w:val="1A834F02"/>
    <w:rsid w:val="1A846F04"/>
    <w:rsid w:val="1A89276C"/>
    <w:rsid w:val="1AA475A6"/>
    <w:rsid w:val="1AB33345"/>
    <w:rsid w:val="1AC252C2"/>
    <w:rsid w:val="1AC45140"/>
    <w:rsid w:val="1AC6529E"/>
    <w:rsid w:val="1AD0039B"/>
    <w:rsid w:val="1AD75285"/>
    <w:rsid w:val="1AE41750"/>
    <w:rsid w:val="1AE81C09"/>
    <w:rsid w:val="1AEE0821"/>
    <w:rsid w:val="1AF735D3"/>
    <w:rsid w:val="1B0342CC"/>
    <w:rsid w:val="1B156B89"/>
    <w:rsid w:val="1B2129A5"/>
    <w:rsid w:val="1B24448A"/>
    <w:rsid w:val="1B266C07"/>
    <w:rsid w:val="1B3E1125"/>
    <w:rsid w:val="1B41511C"/>
    <w:rsid w:val="1B430B6D"/>
    <w:rsid w:val="1B4B0D11"/>
    <w:rsid w:val="1B4B17D0"/>
    <w:rsid w:val="1B4D72F6"/>
    <w:rsid w:val="1B511656"/>
    <w:rsid w:val="1B544B28"/>
    <w:rsid w:val="1B570174"/>
    <w:rsid w:val="1B6B291B"/>
    <w:rsid w:val="1B6C259B"/>
    <w:rsid w:val="1B723200"/>
    <w:rsid w:val="1B740D26"/>
    <w:rsid w:val="1B76304C"/>
    <w:rsid w:val="1B7F1499"/>
    <w:rsid w:val="1B872D5F"/>
    <w:rsid w:val="1B900699"/>
    <w:rsid w:val="1B974A15"/>
    <w:rsid w:val="1B984FC9"/>
    <w:rsid w:val="1B9B4505"/>
    <w:rsid w:val="1B9C64CF"/>
    <w:rsid w:val="1BA01B1B"/>
    <w:rsid w:val="1BB05AD7"/>
    <w:rsid w:val="1BB517D4"/>
    <w:rsid w:val="1BB750B7"/>
    <w:rsid w:val="1BC3580A"/>
    <w:rsid w:val="1BCB46BE"/>
    <w:rsid w:val="1BCC0B62"/>
    <w:rsid w:val="1BCD0437"/>
    <w:rsid w:val="1BD5335F"/>
    <w:rsid w:val="1BE35EAC"/>
    <w:rsid w:val="1BE41145"/>
    <w:rsid w:val="1BE45DF5"/>
    <w:rsid w:val="1BE70AFA"/>
    <w:rsid w:val="1BE81A04"/>
    <w:rsid w:val="1BF65BDF"/>
    <w:rsid w:val="1BFC6A34"/>
    <w:rsid w:val="1C093B64"/>
    <w:rsid w:val="1C0A3439"/>
    <w:rsid w:val="1C0A51E7"/>
    <w:rsid w:val="1C213172"/>
    <w:rsid w:val="1C2344FA"/>
    <w:rsid w:val="1C237871"/>
    <w:rsid w:val="1C274548"/>
    <w:rsid w:val="1C292C52"/>
    <w:rsid w:val="1C402773"/>
    <w:rsid w:val="1C407F2D"/>
    <w:rsid w:val="1C47468D"/>
    <w:rsid w:val="1C4A6A0D"/>
    <w:rsid w:val="1C536C8F"/>
    <w:rsid w:val="1C580648"/>
    <w:rsid w:val="1C5A20CE"/>
    <w:rsid w:val="1C5F19D6"/>
    <w:rsid w:val="1C600572"/>
    <w:rsid w:val="1C625023"/>
    <w:rsid w:val="1C69015F"/>
    <w:rsid w:val="1C6A15DA"/>
    <w:rsid w:val="1C6B7BBD"/>
    <w:rsid w:val="1C715266"/>
    <w:rsid w:val="1C760840"/>
    <w:rsid w:val="1C766D20"/>
    <w:rsid w:val="1C782A98"/>
    <w:rsid w:val="1C7D6144"/>
    <w:rsid w:val="1C8001A0"/>
    <w:rsid w:val="1C8B44EB"/>
    <w:rsid w:val="1C8E5E18"/>
    <w:rsid w:val="1C961170"/>
    <w:rsid w:val="1C9934A5"/>
    <w:rsid w:val="1C9F1DD3"/>
    <w:rsid w:val="1CA4563B"/>
    <w:rsid w:val="1CB6536F"/>
    <w:rsid w:val="1CB678AD"/>
    <w:rsid w:val="1CBC0BD7"/>
    <w:rsid w:val="1CBE7CFF"/>
    <w:rsid w:val="1CC701B1"/>
    <w:rsid w:val="1CC7161A"/>
    <w:rsid w:val="1CD3624C"/>
    <w:rsid w:val="1CD51C99"/>
    <w:rsid w:val="1CD557F5"/>
    <w:rsid w:val="1CE03D74"/>
    <w:rsid w:val="1CEB6DC6"/>
    <w:rsid w:val="1CEC2B3E"/>
    <w:rsid w:val="1CFC7225"/>
    <w:rsid w:val="1CFF0AC4"/>
    <w:rsid w:val="1D0A79CD"/>
    <w:rsid w:val="1D183933"/>
    <w:rsid w:val="1D185917"/>
    <w:rsid w:val="1D29685A"/>
    <w:rsid w:val="1D2D73DF"/>
    <w:rsid w:val="1D385D84"/>
    <w:rsid w:val="1D3C3AC6"/>
    <w:rsid w:val="1D474743"/>
    <w:rsid w:val="1D4F1A4B"/>
    <w:rsid w:val="1D5232E9"/>
    <w:rsid w:val="1D545655"/>
    <w:rsid w:val="1D5726AE"/>
    <w:rsid w:val="1D58387D"/>
    <w:rsid w:val="1D61177E"/>
    <w:rsid w:val="1D632B53"/>
    <w:rsid w:val="1D7414B2"/>
    <w:rsid w:val="1D81772B"/>
    <w:rsid w:val="1D8334A3"/>
    <w:rsid w:val="1D864D41"/>
    <w:rsid w:val="1D935319"/>
    <w:rsid w:val="1D9E6D84"/>
    <w:rsid w:val="1DA376A1"/>
    <w:rsid w:val="1DA866AC"/>
    <w:rsid w:val="1DBB0E8E"/>
    <w:rsid w:val="1DC67833"/>
    <w:rsid w:val="1DD14E45"/>
    <w:rsid w:val="1DD45AAC"/>
    <w:rsid w:val="1DD53B49"/>
    <w:rsid w:val="1DD66365"/>
    <w:rsid w:val="1DD75A59"/>
    <w:rsid w:val="1DDB6B70"/>
    <w:rsid w:val="1DE81558"/>
    <w:rsid w:val="1DED3012"/>
    <w:rsid w:val="1DEE340D"/>
    <w:rsid w:val="1DF91F58"/>
    <w:rsid w:val="1DFC735A"/>
    <w:rsid w:val="1E0D7210"/>
    <w:rsid w:val="1E1265D5"/>
    <w:rsid w:val="1E171E3D"/>
    <w:rsid w:val="1E2217C0"/>
    <w:rsid w:val="1E256308"/>
    <w:rsid w:val="1E26092A"/>
    <w:rsid w:val="1E276524"/>
    <w:rsid w:val="1E2C09AB"/>
    <w:rsid w:val="1E3D5840"/>
    <w:rsid w:val="1E4A3FC0"/>
    <w:rsid w:val="1E4D1157"/>
    <w:rsid w:val="1E523CFB"/>
    <w:rsid w:val="1E57048B"/>
    <w:rsid w:val="1E5D1F46"/>
    <w:rsid w:val="1E607C07"/>
    <w:rsid w:val="1E6C21B8"/>
    <w:rsid w:val="1E6F1C79"/>
    <w:rsid w:val="1E8A4A5B"/>
    <w:rsid w:val="1E90231B"/>
    <w:rsid w:val="1E911BEF"/>
    <w:rsid w:val="1E960FB4"/>
    <w:rsid w:val="1EA440DC"/>
    <w:rsid w:val="1EAD7C1D"/>
    <w:rsid w:val="1EC2624D"/>
    <w:rsid w:val="1EC51899"/>
    <w:rsid w:val="1EC647BE"/>
    <w:rsid w:val="1EC75F2D"/>
    <w:rsid w:val="1ECF44C6"/>
    <w:rsid w:val="1ED41ADC"/>
    <w:rsid w:val="1EDA3596"/>
    <w:rsid w:val="1EE118F9"/>
    <w:rsid w:val="1EF048D8"/>
    <w:rsid w:val="1F010B23"/>
    <w:rsid w:val="1F0310C6"/>
    <w:rsid w:val="1F074249"/>
    <w:rsid w:val="1F0E0A8C"/>
    <w:rsid w:val="1F10520A"/>
    <w:rsid w:val="1F1A5BD9"/>
    <w:rsid w:val="1F1D16D5"/>
    <w:rsid w:val="1F2524D6"/>
    <w:rsid w:val="1F2C1918"/>
    <w:rsid w:val="1F305F3A"/>
    <w:rsid w:val="1F38650F"/>
    <w:rsid w:val="1F422EEA"/>
    <w:rsid w:val="1F4358E2"/>
    <w:rsid w:val="1F4D7A2E"/>
    <w:rsid w:val="1F4E5D32"/>
    <w:rsid w:val="1F5275D0"/>
    <w:rsid w:val="1F5350F7"/>
    <w:rsid w:val="1F5F1CED"/>
    <w:rsid w:val="1F601B48"/>
    <w:rsid w:val="1F642E60"/>
    <w:rsid w:val="1F647304"/>
    <w:rsid w:val="1F664E2A"/>
    <w:rsid w:val="1F6669AD"/>
    <w:rsid w:val="1F685441"/>
    <w:rsid w:val="1F6966C8"/>
    <w:rsid w:val="1F78690B"/>
    <w:rsid w:val="1F7E6397"/>
    <w:rsid w:val="1F9A0F77"/>
    <w:rsid w:val="1F9E5448"/>
    <w:rsid w:val="1F9F2E3E"/>
    <w:rsid w:val="1FA4694F"/>
    <w:rsid w:val="1FB75686"/>
    <w:rsid w:val="1FBF3608"/>
    <w:rsid w:val="1FC3227C"/>
    <w:rsid w:val="1FCA53B9"/>
    <w:rsid w:val="1FCD3968"/>
    <w:rsid w:val="1FCD4EA9"/>
    <w:rsid w:val="1FDC333E"/>
    <w:rsid w:val="1FEA15B7"/>
    <w:rsid w:val="1FF95C9E"/>
    <w:rsid w:val="1FFD23DC"/>
    <w:rsid w:val="20001562"/>
    <w:rsid w:val="20064D5D"/>
    <w:rsid w:val="2007660D"/>
    <w:rsid w:val="20084133"/>
    <w:rsid w:val="200B0E11"/>
    <w:rsid w:val="200F101E"/>
    <w:rsid w:val="20192992"/>
    <w:rsid w:val="202645B9"/>
    <w:rsid w:val="202A6545"/>
    <w:rsid w:val="20315438"/>
    <w:rsid w:val="20331C4E"/>
    <w:rsid w:val="203D4A86"/>
    <w:rsid w:val="203E75C4"/>
    <w:rsid w:val="204A474C"/>
    <w:rsid w:val="206155F1"/>
    <w:rsid w:val="20672C08"/>
    <w:rsid w:val="207D6E6A"/>
    <w:rsid w:val="207E28CB"/>
    <w:rsid w:val="208109A8"/>
    <w:rsid w:val="208C6B12"/>
    <w:rsid w:val="20914128"/>
    <w:rsid w:val="2091615E"/>
    <w:rsid w:val="20A35C0A"/>
    <w:rsid w:val="20A43E5C"/>
    <w:rsid w:val="20AE781D"/>
    <w:rsid w:val="20B3400B"/>
    <w:rsid w:val="20B55D8D"/>
    <w:rsid w:val="20C52024"/>
    <w:rsid w:val="20CB216E"/>
    <w:rsid w:val="20D919B5"/>
    <w:rsid w:val="20DB1848"/>
    <w:rsid w:val="20E57FD0"/>
    <w:rsid w:val="20E6394D"/>
    <w:rsid w:val="20EC289F"/>
    <w:rsid w:val="20F52909"/>
    <w:rsid w:val="20F841A8"/>
    <w:rsid w:val="20F84E56"/>
    <w:rsid w:val="20FF3D0D"/>
    <w:rsid w:val="21011291"/>
    <w:rsid w:val="210448FA"/>
    <w:rsid w:val="2108447D"/>
    <w:rsid w:val="210B5C89"/>
    <w:rsid w:val="21130FE1"/>
    <w:rsid w:val="211F1734"/>
    <w:rsid w:val="21221225"/>
    <w:rsid w:val="21294361"/>
    <w:rsid w:val="21302711"/>
    <w:rsid w:val="21307160"/>
    <w:rsid w:val="213827F6"/>
    <w:rsid w:val="213D605E"/>
    <w:rsid w:val="2149055F"/>
    <w:rsid w:val="214B15E9"/>
    <w:rsid w:val="214D3105"/>
    <w:rsid w:val="21505D92"/>
    <w:rsid w:val="215215BA"/>
    <w:rsid w:val="215533A8"/>
    <w:rsid w:val="21617F9F"/>
    <w:rsid w:val="21691CF5"/>
    <w:rsid w:val="217403FC"/>
    <w:rsid w:val="21747CD2"/>
    <w:rsid w:val="217A696B"/>
    <w:rsid w:val="2186530F"/>
    <w:rsid w:val="21892DA5"/>
    <w:rsid w:val="21893052"/>
    <w:rsid w:val="219C0FF9"/>
    <w:rsid w:val="21A14DBB"/>
    <w:rsid w:val="21C1459A"/>
    <w:rsid w:val="21CB366A"/>
    <w:rsid w:val="21CC54E6"/>
    <w:rsid w:val="21E14C3C"/>
    <w:rsid w:val="21E20569"/>
    <w:rsid w:val="21E42CFC"/>
    <w:rsid w:val="21EE1107"/>
    <w:rsid w:val="21FB4D2A"/>
    <w:rsid w:val="22002FFB"/>
    <w:rsid w:val="22010E3A"/>
    <w:rsid w:val="22032E04"/>
    <w:rsid w:val="22146DBF"/>
    <w:rsid w:val="22180E4E"/>
    <w:rsid w:val="221E19EC"/>
    <w:rsid w:val="221E7C3E"/>
    <w:rsid w:val="222608A0"/>
    <w:rsid w:val="222B46FB"/>
    <w:rsid w:val="222F3BF9"/>
    <w:rsid w:val="22347461"/>
    <w:rsid w:val="22370D00"/>
    <w:rsid w:val="22372AAE"/>
    <w:rsid w:val="22423AE5"/>
    <w:rsid w:val="22513B6F"/>
    <w:rsid w:val="22525B39"/>
    <w:rsid w:val="22535CA8"/>
    <w:rsid w:val="225C10DE"/>
    <w:rsid w:val="225D3CBA"/>
    <w:rsid w:val="225E003A"/>
    <w:rsid w:val="22794E74"/>
    <w:rsid w:val="22872919"/>
    <w:rsid w:val="22973B7B"/>
    <w:rsid w:val="22A00653"/>
    <w:rsid w:val="22A068A5"/>
    <w:rsid w:val="22A719E1"/>
    <w:rsid w:val="22A85759"/>
    <w:rsid w:val="22B3482A"/>
    <w:rsid w:val="22BD7457"/>
    <w:rsid w:val="22C24A6D"/>
    <w:rsid w:val="22C35FAF"/>
    <w:rsid w:val="22C5630B"/>
    <w:rsid w:val="22CA26D5"/>
    <w:rsid w:val="22D03653"/>
    <w:rsid w:val="22D447A0"/>
    <w:rsid w:val="22DB168B"/>
    <w:rsid w:val="22DD3655"/>
    <w:rsid w:val="22E9024C"/>
    <w:rsid w:val="22E96F31"/>
    <w:rsid w:val="22ED19C5"/>
    <w:rsid w:val="22F14835"/>
    <w:rsid w:val="22F56BF1"/>
    <w:rsid w:val="23013D14"/>
    <w:rsid w:val="23090C5F"/>
    <w:rsid w:val="23241284"/>
    <w:rsid w:val="232437D2"/>
    <w:rsid w:val="233174FD"/>
    <w:rsid w:val="233966AA"/>
    <w:rsid w:val="23490CEA"/>
    <w:rsid w:val="234B6811"/>
    <w:rsid w:val="234B77EF"/>
    <w:rsid w:val="23515DF1"/>
    <w:rsid w:val="23571659"/>
    <w:rsid w:val="235F406A"/>
    <w:rsid w:val="2360424D"/>
    <w:rsid w:val="23614286"/>
    <w:rsid w:val="236A01BA"/>
    <w:rsid w:val="23733FB9"/>
    <w:rsid w:val="23736D29"/>
    <w:rsid w:val="23751ADF"/>
    <w:rsid w:val="23774CC8"/>
    <w:rsid w:val="237815D0"/>
    <w:rsid w:val="237E1F70"/>
    <w:rsid w:val="238162D6"/>
    <w:rsid w:val="23825FAA"/>
    <w:rsid w:val="23841D23"/>
    <w:rsid w:val="238C0BD7"/>
    <w:rsid w:val="238D3ABD"/>
    <w:rsid w:val="23957A8C"/>
    <w:rsid w:val="239A0F9A"/>
    <w:rsid w:val="239A1546"/>
    <w:rsid w:val="239F5091"/>
    <w:rsid w:val="23A44173"/>
    <w:rsid w:val="23B4085A"/>
    <w:rsid w:val="23BF71FF"/>
    <w:rsid w:val="23C11DE1"/>
    <w:rsid w:val="23C640E9"/>
    <w:rsid w:val="23D65BD5"/>
    <w:rsid w:val="23DE58D7"/>
    <w:rsid w:val="23DE722E"/>
    <w:rsid w:val="23E26A49"/>
    <w:rsid w:val="23F3690E"/>
    <w:rsid w:val="23F52C20"/>
    <w:rsid w:val="23FF1EA6"/>
    <w:rsid w:val="24032826"/>
    <w:rsid w:val="24066BDB"/>
    <w:rsid w:val="24097863"/>
    <w:rsid w:val="24160A97"/>
    <w:rsid w:val="241C01E1"/>
    <w:rsid w:val="242332EA"/>
    <w:rsid w:val="24273408"/>
    <w:rsid w:val="24373239"/>
    <w:rsid w:val="243948BB"/>
    <w:rsid w:val="243E45C7"/>
    <w:rsid w:val="24457704"/>
    <w:rsid w:val="2446347C"/>
    <w:rsid w:val="245D45AC"/>
    <w:rsid w:val="245D6E4F"/>
    <w:rsid w:val="24651B54"/>
    <w:rsid w:val="247E1544"/>
    <w:rsid w:val="24822706"/>
    <w:rsid w:val="2483022C"/>
    <w:rsid w:val="248C423E"/>
    <w:rsid w:val="24942439"/>
    <w:rsid w:val="24A51F50"/>
    <w:rsid w:val="24A531E4"/>
    <w:rsid w:val="24AC1531"/>
    <w:rsid w:val="24AC3163"/>
    <w:rsid w:val="24AE61DE"/>
    <w:rsid w:val="24B16B47"/>
    <w:rsid w:val="24B44889"/>
    <w:rsid w:val="24B46637"/>
    <w:rsid w:val="24BD373E"/>
    <w:rsid w:val="24C04FDC"/>
    <w:rsid w:val="24C06D8A"/>
    <w:rsid w:val="24C148B0"/>
    <w:rsid w:val="24C26FA6"/>
    <w:rsid w:val="24C50845"/>
    <w:rsid w:val="24C7636B"/>
    <w:rsid w:val="24C85C3F"/>
    <w:rsid w:val="24D26ABE"/>
    <w:rsid w:val="24D9609E"/>
    <w:rsid w:val="24E64C68"/>
    <w:rsid w:val="24E94533"/>
    <w:rsid w:val="24F869EB"/>
    <w:rsid w:val="24FF4B61"/>
    <w:rsid w:val="25000C34"/>
    <w:rsid w:val="250273A3"/>
    <w:rsid w:val="25171F9F"/>
    <w:rsid w:val="25186BC6"/>
    <w:rsid w:val="251F0933"/>
    <w:rsid w:val="251F6BB5"/>
    <w:rsid w:val="25375729"/>
    <w:rsid w:val="2542088D"/>
    <w:rsid w:val="25424563"/>
    <w:rsid w:val="25496D80"/>
    <w:rsid w:val="255A71DF"/>
    <w:rsid w:val="255F65A3"/>
    <w:rsid w:val="2561056D"/>
    <w:rsid w:val="25624280"/>
    <w:rsid w:val="25653156"/>
    <w:rsid w:val="25714529"/>
    <w:rsid w:val="257858B7"/>
    <w:rsid w:val="257C53A7"/>
    <w:rsid w:val="257D4C7B"/>
    <w:rsid w:val="2581269E"/>
    <w:rsid w:val="25865427"/>
    <w:rsid w:val="25A25862"/>
    <w:rsid w:val="25A8619C"/>
    <w:rsid w:val="25A95A70"/>
    <w:rsid w:val="25AB6308"/>
    <w:rsid w:val="25B032A3"/>
    <w:rsid w:val="25B12B77"/>
    <w:rsid w:val="25B32976"/>
    <w:rsid w:val="25B95E84"/>
    <w:rsid w:val="25C36D80"/>
    <w:rsid w:val="25C96113"/>
    <w:rsid w:val="25CD5C03"/>
    <w:rsid w:val="25CF1A3E"/>
    <w:rsid w:val="25DA20CE"/>
    <w:rsid w:val="25E91641"/>
    <w:rsid w:val="25F05565"/>
    <w:rsid w:val="25F52A64"/>
    <w:rsid w:val="25F61138"/>
    <w:rsid w:val="25F64D7E"/>
    <w:rsid w:val="25F804D0"/>
    <w:rsid w:val="25F83A47"/>
    <w:rsid w:val="26046B85"/>
    <w:rsid w:val="261849C2"/>
    <w:rsid w:val="26197237"/>
    <w:rsid w:val="261F3F85"/>
    <w:rsid w:val="262159B8"/>
    <w:rsid w:val="26221C5B"/>
    <w:rsid w:val="262B0B7B"/>
    <w:rsid w:val="263B0E41"/>
    <w:rsid w:val="263E08AF"/>
    <w:rsid w:val="263E265D"/>
    <w:rsid w:val="26445799"/>
    <w:rsid w:val="264834DB"/>
    <w:rsid w:val="264D6D44"/>
    <w:rsid w:val="265E771A"/>
    <w:rsid w:val="26600825"/>
    <w:rsid w:val="26655E3B"/>
    <w:rsid w:val="2666151B"/>
    <w:rsid w:val="26797B39"/>
    <w:rsid w:val="267C193E"/>
    <w:rsid w:val="267D46AE"/>
    <w:rsid w:val="26845778"/>
    <w:rsid w:val="268D36A3"/>
    <w:rsid w:val="268D5392"/>
    <w:rsid w:val="269623EB"/>
    <w:rsid w:val="26976211"/>
    <w:rsid w:val="26993D37"/>
    <w:rsid w:val="269949FD"/>
    <w:rsid w:val="269E4A5F"/>
    <w:rsid w:val="269F3FAD"/>
    <w:rsid w:val="26A30712"/>
    <w:rsid w:val="26A526DC"/>
    <w:rsid w:val="26A81E91"/>
    <w:rsid w:val="26B07F89"/>
    <w:rsid w:val="26B7240F"/>
    <w:rsid w:val="26BD1FB9"/>
    <w:rsid w:val="26BE72FA"/>
    <w:rsid w:val="26C56DC4"/>
    <w:rsid w:val="26CA3EF0"/>
    <w:rsid w:val="26D27C3A"/>
    <w:rsid w:val="26D33D4A"/>
    <w:rsid w:val="26D82000"/>
    <w:rsid w:val="26ED1194"/>
    <w:rsid w:val="26ED7B97"/>
    <w:rsid w:val="26F31699"/>
    <w:rsid w:val="26F471BF"/>
    <w:rsid w:val="2700535F"/>
    <w:rsid w:val="27007912"/>
    <w:rsid w:val="270E7904"/>
    <w:rsid w:val="27181100"/>
    <w:rsid w:val="27203A21"/>
    <w:rsid w:val="27221F7E"/>
    <w:rsid w:val="272F1FA5"/>
    <w:rsid w:val="27351CB2"/>
    <w:rsid w:val="2735397F"/>
    <w:rsid w:val="27366C18"/>
    <w:rsid w:val="273B4A29"/>
    <w:rsid w:val="273D2914"/>
    <w:rsid w:val="27426BA2"/>
    <w:rsid w:val="274664F8"/>
    <w:rsid w:val="27466B1F"/>
    <w:rsid w:val="274719E5"/>
    <w:rsid w:val="274B3515"/>
    <w:rsid w:val="274C0DA9"/>
    <w:rsid w:val="275E2425"/>
    <w:rsid w:val="276F6846"/>
    <w:rsid w:val="277327DA"/>
    <w:rsid w:val="27736336"/>
    <w:rsid w:val="27796FF1"/>
    <w:rsid w:val="277A751E"/>
    <w:rsid w:val="277E6DF1"/>
    <w:rsid w:val="278616BD"/>
    <w:rsid w:val="27902C48"/>
    <w:rsid w:val="279369D8"/>
    <w:rsid w:val="279B3ADF"/>
    <w:rsid w:val="279B763B"/>
    <w:rsid w:val="27A6495D"/>
    <w:rsid w:val="27AC1848"/>
    <w:rsid w:val="27AE736E"/>
    <w:rsid w:val="27B071AE"/>
    <w:rsid w:val="27BB64AE"/>
    <w:rsid w:val="27BD1CA7"/>
    <w:rsid w:val="27C44DE4"/>
    <w:rsid w:val="27C76682"/>
    <w:rsid w:val="27CB43C4"/>
    <w:rsid w:val="27CE17BE"/>
    <w:rsid w:val="27D40731"/>
    <w:rsid w:val="27D81831"/>
    <w:rsid w:val="27D83CA6"/>
    <w:rsid w:val="27DA4607"/>
    <w:rsid w:val="27EB05C2"/>
    <w:rsid w:val="27EC3290"/>
    <w:rsid w:val="27EC7E96"/>
    <w:rsid w:val="27F356C9"/>
    <w:rsid w:val="27F479ED"/>
    <w:rsid w:val="27FC27CF"/>
    <w:rsid w:val="280B2A12"/>
    <w:rsid w:val="280E42B1"/>
    <w:rsid w:val="2815563F"/>
    <w:rsid w:val="281556C9"/>
    <w:rsid w:val="28215D92"/>
    <w:rsid w:val="28275C5B"/>
    <w:rsid w:val="282835C4"/>
    <w:rsid w:val="282910EA"/>
    <w:rsid w:val="28341F69"/>
    <w:rsid w:val="283D6944"/>
    <w:rsid w:val="284B72B3"/>
    <w:rsid w:val="28521FEA"/>
    <w:rsid w:val="285C7A9D"/>
    <w:rsid w:val="285D4160"/>
    <w:rsid w:val="286345FC"/>
    <w:rsid w:val="286640ED"/>
    <w:rsid w:val="28697739"/>
    <w:rsid w:val="28702875"/>
    <w:rsid w:val="287E7C22"/>
    <w:rsid w:val="28887BBF"/>
    <w:rsid w:val="288D0383"/>
    <w:rsid w:val="288E230B"/>
    <w:rsid w:val="2895052E"/>
    <w:rsid w:val="289C366A"/>
    <w:rsid w:val="289D4DFF"/>
    <w:rsid w:val="28AA222B"/>
    <w:rsid w:val="28AD1D1C"/>
    <w:rsid w:val="28B30176"/>
    <w:rsid w:val="28C17575"/>
    <w:rsid w:val="28CB22D7"/>
    <w:rsid w:val="28CD1A76"/>
    <w:rsid w:val="28D15A0A"/>
    <w:rsid w:val="28D42E04"/>
    <w:rsid w:val="28D70B46"/>
    <w:rsid w:val="28E12450"/>
    <w:rsid w:val="28E201F5"/>
    <w:rsid w:val="28E21F19"/>
    <w:rsid w:val="28E314DB"/>
    <w:rsid w:val="28E877B5"/>
    <w:rsid w:val="28EB5F3E"/>
    <w:rsid w:val="28F0225C"/>
    <w:rsid w:val="290165BA"/>
    <w:rsid w:val="29023E15"/>
    <w:rsid w:val="2912392D"/>
    <w:rsid w:val="291D0C4F"/>
    <w:rsid w:val="2920429C"/>
    <w:rsid w:val="292C302D"/>
    <w:rsid w:val="293601CE"/>
    <w:rsid w:val="294A709A"/>
    <w:rsid w:val="294E0E09"/>
    <w:rsid w:val="295403E9"/>
    <w:rsid w:val="295E212B"/>
    <w:rsid w:val="296028EA"/>
    <w:rsid w:val="29695C42"/>
    <w:rsid w:val="29732D00"/>
    <w:rsid w:val="297C7618"/>
    <w:rsid w:val="297D4984"/>
    <w:rsid w:val="297D524A"/>
    <w:rsid w:val="29830F29"/>
    <w:rsid w:val="298C1931"/>
    <w:rsid w:val="298C410A"/>
    <w:rsid w:val="298E56A9"/>
    <w:rsid w:val="29903387"/>
    <w:rsid w:val="299108C6"/>
    <w:rsid w:val="29911611"/>
    <w:rsid w:val="299A404E"/>
    <w:rsid w:val="29B175E9"/>
    <w:rsid w:val="29B3470A"/>
    <w:rsid w:val="29BA649E"/>
    <w:rsid w:val="29BF09D7"/>
    <w:rsid w:val="29C27140"/>
    <w:rsid w:val="29C70BBB"/>
    <w:rsid w:val="29CA2459"/>
    <w:rsid w:val="29CE5454"/>
    <w:rsid w:val="29CE5AA6"/>
    <w:rsid w:val="29D67050"/>
    <w:rsid w:val="29DA269C"/>
    <w:rsid w:val="29DB0335"/>
    <w:rsid w:val="29DF5F05"/>
    <w:rsid w:val="29E21551"/>
    <w:rsid w:val="29F446EB"/>
    <w:rsid w:val="2A005E7B"/>
    <w:rsid w:val="2A04596B"/>
    <w:rsid w:val="2A067D0E"/>
    <w:rsid w:val="2A071261"/>
    <w:rsid w:val="2A145997"/>
    <w:rsid w:val="2A2C6C70"/>
    <w:rsid w:val="2A383867"/>
    <w:rsid w:val="2A3E70CF"/>
    <w:rsid w:val="2A4A58B4"/>
    <w:rsid w:val="2A525BD4"/>
    <w:rsid w:val="2A5306A1"/>
    <w:rsid w:val="2A61280A"/>
    <w:rsid w:val="2A770FD1"/>
    <w:rsid w:val="2A7A5C2D"/>
    <w:rsid w:val="2A7C7BF7"/>
    <w:rsid w:val="2A895E70"/>
    <w:rsid w:val="2A8E6E14"/>
    <w:rsid w:val="2A92010F"/>
    <w:rsid w:val="2A9D54CA"/>
    <w:rsid w:val="2A9F3638"/>
    <w:rsid w:val="2AA35184"/>
    <w:rsid w:val="2AB0164F"/>
    <w:rsid w:val="2AC5435F"/>
    <w:rsid w:val="2AC92CF4"/>
    <w:rsid w:val="2ADB2B70"/>
    <w:rsid w:val="2ADC0869"/>
    <w:rsid w:val="2AEA46C5"/>
    <w:rsid w:val="2AEF2177"/>
    <w:rsid w:val="2AF567AF"/>
    <w:rsid w:val="2AF97CB5"/>
    <w:rsid w:val="2B05199B"/>
    <w:rsid w:val="2B057BED"/>
    <w:rsid w:val="2B065713"/>
    <w:rsid w:val="2B073965"/>
    <w:rsid w:val="2B0936F2"/>
    <w:rsid w:val="2B0D6AA1"/>
    <w:rsid w:val="2B117049"/>
    <w:rsid w:val="2B147E30"/>
    <w:rsid w:val="2B1971F4"/>
    <w:rsid w:val="2B1E0CAF"/>
    <w:rsid w:val="2B2774E7"/>
    <w:rsid w:val="2B2A3061"/>
    <w:rsid w:val="2B2F3037"/>
    <w:rsid w:val="2B301859"/>
    <w:rsid w:val="2B3109E2"/>
    <w:rsid w:val="2B33475A"/>
    <w:rsid w:val="2B343AE7"/>
    <w:rsid w:val="2B45092E"/>
    <w:rsid w:val="2B465B0F"/>
    <w:rsid w:val="2B4D3342"/>
    <w:rsid w:val="2B4F2C16"/>
    <w:rsid w:val="2B5533E2"/>
    <w:rsid w:val="2B575F75"/>
    <w:rsid w:val="2B595843"/>
    <w:rsid w:val="2B5A2397"/>
    <w:rsid w:val="2B5E554F"/>
    <w:rsid w:val="2B7753CE"/>
    <w:rsid w:val="2B7958FE"/>
    <w:rsid w:val="2B801021"/>
    <w:rsid w:val="2B803EF6"/>
    <w:rsid w:val="2B8243F3"/>
    <w:rsid w:val="2B837289"/>
    <w:rsid w:val="2B91773F"/>
    <w:rsid w:val="2B9845BD"/>
    <w:rsid w:val="2B9D399D"/>
    <w:rsid w:val="2B9D6077"/>
    <w:rsid w:val="2BA32F62"/>
    <w:rsid w:val="2BA411B4"/>
    <w:rsid w:val="2BAA2542"/>
    <w:rsid w:val="2BC25ADE"/>
    <w:rsid w:val="2BCE4483"/>
    <w:rsid w:val="2BD66E93"/>
    <w:rsid w:val="2BEB7143"/>
    <w:rsid w:val="2BEF1AC5"/>
    <w:rsid w:val="2BF13CCD"/>
    <w:rsid w:val="2BF534BB"/>
    <w:rsid w:val="2C0945A2"/>
    <w:rsid w:val="2C0B172B"/>
    <w:rsid w:val="2C11747E"/>
    <w:rsid w:val="2C183950"/>
    <w:rsid w:val="2C1E793A"/>
    <w:rsid w:val="2C205FFD"/>
    <w:rsid w:val="2C2220D9"/>
    <w:rsid w:val="2C273B93"/>
    <w:rsid w:val="2C2916B9"/>
    <w:rsid w:val="2C387B4E"/>
    <w:rsid w:val="2C3A38C6"/>
    <w:rsid w:val="2C3B319A"/>
    <w:rsid w:val="2C3D6F12"/>
    <w:rsid w:val="2C477D91"/>
    <w:rsid w:val="2C55108D"/>
    <w:rsid w:val="2C574478"/>
    <w:rsid w:val="2C5D1234"/>
    <w:rsid w:val="2C6C4BD5"/>
    <w:rsid w:val="2C7035C2"/>
    <w:rsid w:val="2C736DD8"/>
    <w:rsid w:val="2C770547"/>
    <w:rsid w:val="2C7C3EDF"/>
    <w:rsid w:val="2C7F3F24"/>
    <w:rsid w:val="2C844B41"/>
    <w:rsid w:val="2C8C52A9"/>
    <w:rsid w:val="2C9B0B68"/>
    <w:rsid w:val="2C9C00DD"/>
    <w:rsid w:val="2C9F5154"/>
    <w:rsid w:val="2CA43435"/>
    <w:rsid w:val="2CA62D0A"/>
    <w:rsid w:val="2CAE7E10"/>
    <w:rsid w:val="2CB6543B"/>
    <w:rsid w:val="2CBC077F"/>
    <w:rsid w:val="2CCE2260"/>
    <w:rsid w:val="2CCE3CC1"/>
    <w:rsid w:val="2CD72212"/>
    <w:rsid w:val="2CE476DF"/>
    <w:rsid w:val="2CEE645F"/>
    <w:rsid w:val="2CF55A3F"/>
    <w:rsid w:val="2CFC4DC2"/>
    <w:rsid w:val="2CFD072A"/>
    <w:rsid w:val="2D0068BE"/>
    <w:rsid w:val="2D0F2CDA"/>
    <w:rsid w:val="2D102879"/>
    <w:rsid w:val="2D1979A7"/>
    <w:rsid w:val="2D3364F8"/>
    <w:rsid w:val="2D39592C"/>
    <w:rsid w:val="2D40315E"/>
    <w:rsid w:val="2D4634D1"/>
    <w:rsid w:val="2D483CEA"/>
    <w:rsid w:val="2D522E91"/>
    <w:rsid w:val="2D6432F0"/>
    <w:rsid w:val="2D776454"/>
    <w:rsid w:val="2D8B4830"/>
    <w:rsid w:val="2D8C0151"/>
    <w:rsid w:val="2D8E56EA"/>
    <w:rsid w:val="2DA23BA6"/>
    <w:rsid w:val="2DA73464"/>
    <w:rsid w:val="2DA81516"/>
    <w:rsid w:val="2DAE369B"/>
    <w:rsid w:val="2DB25D93"/>
    <w:rsid w:val="2DCE06C5"/>
    <w:rsid w:val="2DCF44E2"/>
    <w:rsid w:val="2DDE6026"/>
    <w:rsid w:val="2DEC6FC8"/>
    <w:rsid w:val="2DF14458"/>
    <w:rsid w:val="2DF36F65"/>
    <w:rsid w:val="2DF50A02"/>
    <w:rsid w:val="2DF937A8"/>
    <w:rsid w:val="2DFD4BAB"/>
    <w:rsid w:val="2E0221C2"/>
    <w:rsid w:val="2E111921"/>
    <w:rsid w:val="2E187C37"/>
    <w:rsid w:val="2E1A6963"/>
    <w:rsid w:val="2E1B541D"/>
    <w:rsid w:val="2E2C723F"/>
    <w:rsid w:val="2E36630F"/>
    <w:rsid w:val="2E3A195C"/>
    <w:rsid w:val="2E3C058D"/>
    <w:rsid w:val="2E474078"/>
    <w:rsid w:val="2E513149"/>
    <w:rsid w:val="2E516BDC"/>
    <w:rsid w:val="2E525E2F"/>
    <w:rsid w:val="2E530917"/>
    <w:rsid w:val="2E532A1D"/>
    <w:rsid w:val="2E573862"/>
    <w:rsid w:val="2E5F0C01"/>
    <w:rsid w:val="2E642E7C"/>
    <w:rsid w:val="2E65597D"/>
    <w:rsid w:val="2E6609A2"/>
    <w:rsid w:val="2E6E7857"/>
    <w:rsid w:val="2E7368B5"/>
    <w:rsid w:val="2E74730E"/>
    <w:rsid w:val="2E7C6418"/>
    <w:rsid w:val="2E7D624D"/>
    <w:rsid w:val="2E955EBE"/>
    <w:rsid w:val="2E9D7B2B"/>
    <w:rsid w:val="2EA63495"/>
    <w:rsid w:val="2EA80C57"/>
    <w:rsid w:val="2EAB54FE"/>
    <w:rsid w:val="2EAE5EA6"/>
    <w:rsid w:val="2EB92876"/>
    <w:rsid w:val="2EC41B6D"/>
    <w:rsid w:val="2EC92CDF"/>
    <w:rsid w:val="2ECD0A22"/>
    <w:rsid w:val="2ECE46D3"/>
    <w:rsid w:val="2ED45485"/>
    <w:rsid w:val="2EDA313F"/>
    <w:rsid w:val="2EE22E29"/>
    <w:rsid w:val="2EE95130"/>
    <w:rsid w:val="2EF97A69"/>
    <w:rsid w:val="2EFF2BA5"/>
    <w:rsid w:val="2F023FF4"/>
    <w:rsid w:val="2F063050"/>
    <w:rsid w:val="2F0B32F8"/>
    <w:rsid w:val="2F193C67"/>
    <w:rsid w:val="2F1A178D"/>
    <w:rsid w:val="2F210D6D"/>
    <w:rsid w:val="2F230642"/>
    <w:rsid w:val="2F3960B7"/>
    <w:rsid w:val="2F3C7955"/>
    <w:rsid w:val="2F413E9A"/>
    <w:rsid w:val="2F414F6C"/>
    <w:rsid w:val="2F432A92"/>
    <w:rsid w:val="2F4B7B98"/>
    <w:rsid w:val="2F4D1B62"/>
    <w:rsid w:val="2F5E28BE"/>
    <w:rsid w:val="2F6173BC"/>
    <w:rsid w:val="2F661B80"/>
    <w:rsid w:val="2F6B655C"/>
    <w:rsid w:val="2F6F607B"/>
    <w:rsid w:val="2F887613"/>
    <w:rsid w:val="2F9B28CE"/>
    <w:rsid w:val="2F9C03F4"/>
    <w:rsid w:val="2F9C21A2"/>
    <w:rsid w:val="2F9E1473"/>
    <w:rsid w:val="2FA33530"/>
    <w:rsid w:val="2FA71273"/>
    <w:rsid w:val="2FA74051"/>
    <w:rsid w:val="2FBE55AC"/>
    <w:rsid w:val="2FC00AE0"/>
    <w:rsid w:val="2FC371D9"/>
    <w:rsid w:val="2FC605EB"/>
    <w:rsid w:val="2FC9062C"/>
    <w:rsid w:val="2FCC6F2B"/>
    <w:rsid w:val="2FCF4325"/>
    <w:rsid w:val="2FDB7B56"/>
    <w:rsid w:val="2FDC4E2A"/>
    <w:rsid w:val="2FE11064"/>
    <w:rsid w:val="2FE242D3"/>
    <w:rsid w:val="2FE8636E"/>
    <w:rsid w:val="2FF3270A"/>
    <w:rsid w:val="2FF71FFE"/>
    <w:rsid w:val="2FF975F4"/>
    <w:rsid w:val="2FFB02B2"/>
    <w:rsid w:val="300264A9"/>
    <w:rsid w:val="300C7328"/>
    <w:rsid w:val="300D4E4E"/>
    <w:rsid w:val="30106CC8"/>
    <w:rsid w:val="30112B90"/>
    <w:rsid w:val="301C1C7F"/>
    <w:rsid w:val="301D771F"/>
    <w:rsid w:val="301E3B7E"/>
    <w:rsid w:val="3022738F"/>
    <w:rsid w:val="30230C05"/>
    <w:rsid w:val="302A3C52"/>
    <w:rsid w:val="3030093A"/>
    <w:rsid w:val="30332B06"/>
    <w:rsid w:val="3034062C"/>
    <w:rsid w:val="303A56BF"/>
    <w:rsid w:val="305807BF"/>
    <w:rsid w:val="305B26DB"/>
    <w:rsid w:val="30647164"/>
    <w:rsid w:val="30711881"/>
    <w:rsid w:val="307123C1"/>
    <w:rsid w:val="30755179"/>
    <w:rsid w:val="307D6477"/>
    <w:rsid w:val="30803872"/>
    <w:rsid w:val="308B0B94"/>
    <w:rsid w:val="308B1EC6"/>
    <w:rsid w:val="308C0468"/>
    <w:rsid w:val="309F7E37"/>
    <w:rsid w:val="30A1635A"/>
    <w:rsid w:val="30B2336D"/>
    <w:rsid w:val="30BB2AFC"/>
    <w:rsid w:val="30D413E9"/>
    <w:rsid w:val="30D836AE"/>
    <w:rsid w:val="30D8545C"/>
    <w:rsid w:val="30E67B79"/>
    <w:rsid w:val="30E87D95"/>
    <w:rsid w:val="30EE2ED1"/>
    <w:rsid w:val="30F304E8"/>
    <w:rsid w:val="30F85AFE"/>
    <w:rsid w:val="3103321A"/>
    <w:rsid w:val="310340D6"/>
    <w:rsid w:val="310D5099"/>
    <w:rsid w:val="31112FFC"/>
    <w:rsid w:val="3115220C"/>
    <w:rsid w:val="311D7312"/>
    <w:rsid w:val="31215055"/>
    <w:rsid w:val="31224929"/>
    <w:rsid w:val="312A7162"/>
    <w:rsid w:val="312E1520"/>
    <w:rsid w:val="3139239E"/>
    <w:rsid w:val="314152E9"/>
    <w:rsid w:val="314552F4"/>
    <w:rsid w:val="314C3EC5"/>
    <w:rsid w:val="315A1A07"/>
    <w:rsid w:val="315C7A9A"/>
    <w:rsid w:val="315F2658"/>
    <w:rsid w:val="316513E5"/>
    <w:rsid w:val="31680BFC"/>
    <w:rsid w:val="318F6462"/>
    <w:rsid w:val="31BD2FCF"/>
    <w:rsid w:val="31C01A76"/>
    <w:rsid w:val="31C33DAB"/>
    <w:rsid w:val="31C3610C"/>
    <w:rsid w:val="31CC3212"/>
    <w:rsid w:val="31CD6F8B"/>
    <w:rsid w:val="31D10829"/>
    <w:rsid w:val="31DD52F7"/>
    <w:rsid w:val="31E11E66"/>
    <w:rsid w:val="31E93F71"/>
    <w:rsid w:val="31EF5A73"/>
    <w:rsid w:val="31F461F3"/>
    <w:rsid w:val="31FB6CFB"/>
    <w:rsid w:val="32036508"/>
    <w:rsid w:val="32037827"/>
    <w:rsid w:val="320C7AB3"/>
    <w:rsid w:val="32222E32"/>
    <w:rsid w:val="322979B4"/>
    <w:rsid w:val="322B427E"/>
    <w:rsid w:val="322D258F"/>
    <w:rsid w:val="32317519"/>
    <w:rsid w:val="325925CC"/>
    <w:rsid w:val="325F663B"/>
    <w:rsid w:val="326A2A2B"/>
    <w:rsid w:val="326E4FA1"/>
    <w:rsid w:val="32764F2C"/>
    <w:rsid w:val="327D234B"/>
    <w:rsid w:val="32803694"/>
    <w:rsid w:val="32902492"/>
    <w:rsid w:val="329158C3"/>
    <w:rsid w:val="329830F5"/>
    <w:rsid w:val="32B12408"/>
    <w:rsid w:val="32B617CD"/>
    <w:rsid w:val="32B902C1"/>
    <w:rsid w:val="32BB5035"/>
    <w:rsid w:val="32BD6FA8"/>
    <w:rsid w:val="32C1089D"/>
    <w:rsid w:val="32D3412D"/>
    <w:rsid w:val="32D40E9D"/>
    <w:rsid w:val="32D62101"/>
    <w:rsid w:val="32DD31FD"/>
    <w:rsid w:val="32DF6F75"/>
    <w:rsid w:val="32ED628D"/>
    <w:rsid w:val="32F01183"/>
    <w:rsid w:val="32F02F31"/>
    <w:rsid w:val="32F10A57"/>
    <w:rsid w:val="32F4136F"/>
    <w:rsid w:val="32FA3DAF"/>
    <w:rsid w:val="32FC7B27"/>
    <w:rsid w:val="32FD564D"/>
    <w:rsid w:val="32FF13C6"/>
    <w:rsid w:val="32FF3174"/>
    <w:rsid w:val="330712A3"/>
    <w:rsid w:val="33093FF2"/>
    <w:rsid w:val="330B7D6A"/>
    <w:rsid w:val="33137852"/>
    <w:rsid w:val="33184290"/>
    <w:rsid w:val="331D7A9E"/>
    <w:rsid w:val="331F7372"/>
    <w:rsid w:val="33234A54"/>
    <w:rsid w:val="333F5C66"/>
    <w:rsid w:val="3341553A"/>
    <w:rsid w:val="33596D28"/>
    <w:rsid w:val="336D27D3"/>
    <w:rsid w:val="33743B62"/>
    <w:rsid w:val="337A3D8F"/>
    <w:rsid w:val="337D1038"/>
    <w:rsid w:val="337E1B30"/>
    <w:rsid w:val="337E22EA"/>
    <w:rsid w:val="33884F17"/>
    <w:rsid w:val="33945FB2"/>
    <w:rsid w:val="339A10EE"/>
    <w:rsid w:val="339A2E9C"/>
    <w:rsid w:val="339B5F8C"/>
    <w:rsid w:val="339C4E66"/>
    <w:rsid w:val="33AC4A66"/>
    <w:rsid w:val="33B01021"/>
    <w:rsid w:val="33B25639"/>
    <w:rsid w:val="33B61ACD"/>
    <w:rsid w:val="33C2686F"/>
    <w:rsid w:val="33CE30CC"/>
    <w:rsid w:val="33DB773D"/>
    <w:rsid w:val="33E37B7D"/>
    <w:rsid w:val="33E86ED3"/>
    <w:rsid w:val="33EB09B8"/>
    <w:rsid w:val="33F26834"/>
    <w:rsid w:val="33F85C2A"/>
    <w:rsid w:val="33F95E15"/>
    <w:rsid w:val="34012F1B"/>
    <w:rsid w:val="340A0ADC"/>
    <w:rsid w:val="341213D6"/>
    <w:rsid w:val="3417273F"/>
    <w:rsid w:val="341B2102"/>
    <w:rsid w:val="341B222F"/>
    <w:rsid w:val="34227DA3"/>
    <w:rsid w:val="34243C07"/>
    <w:rsid w:val="342509B8"/>
    <w:rsid w:val="342A06C4"/>
    <w:rsid w:val="342C40ED"/>
    <w:rsid w:val="3437693D"/>
    <w:rsid w:val="343E5A03"/>
    <w:rsid w:val="345A1857"/>
    <w:rsid w:val="345E211C"/>
    <w:rsid w:val="34627E5E"/>
    <w:rsid w:val="346A6D13"/>
    <w:rsid w:val="347C6876"/>
    <w:rsid w:val="347E631A"/>
    <w:rsid w:val="348A56C8"/>
    <w:rsid w:val="348C0A37"/>
    <w:rsid w:val="3490277D"/>
    <w:rsid w:val="3491604D"/>
    <w:rsid w:val="349231CE"/>
    <w:rsid w:val="349911CD"/>
    <w:rsid w:val="349B511E"/>
    <w:rsid w:val="349D2C44"/>
    <w:rsid w:val="349D49F2"/>
    <w:rsid w:val="349E076A"/>
    <w:rsid w:val="34A30995"/>
    <w:rsid w:val="34A35D81"/>
    <w:rsid w:val="34A71D15"/>
    <w:rsid w:val="34AA2E36"/>
    <w:rsid w:val="34B1049E"/>
    <w:rsid w:val="34B34216"/>
    <w:rsid w:val="34B61F58"/>
    <w:rsid w:val="34BA37F6"/>
    <w:rsid w:val="34CC177B"/>
    <w:rsid w:val="34CE1050"/>
    <w:rsid w:val="34CF54B7"/>
    <w:rsid w:val="34D673D9"/>
    <w:rsid w:val="34EA300E"/>
    <w:rsid w:val="34EA39B0"/>
    <w:rsid w:val="34ED1748"/>
    <w:rsid w:val="34F30AB6"/>
    <w:rsid w:val="35013260"/>
    <w:rsid w:val="35042CC3"/>
    <w:rsid w:val="350E272A"/>
    <w:rsid w:val="350F609C"/>
    <w:rsid w:val="353A3B27"/>
    <w:rsid w:val="354402E0"/>
    <w:rsid w:val="354A3140"/>
    <w:rsid w:val="35645510"/>
    <w:rsid w:val="356D03A3"/>
    <w:rsid w:val="35727C2D"/>
    <w:rsid w:val="35867B7C"/>
    <w:rsid w:val="35892D19"/>
    <w:rsid w:val="358B6F41"/>
    <w:rsid w:val="358C1A4D"/>
    <w:rsid w:val="358E07DF"/>
    <w:rsid w:val="359027A9"/>
    <w:rsid w:val="35942299"/>
    <w:rsid w:val="3595319A"/>
    <w:rsid w:val="35956011"/>
    <w:rsid w:val="359A73B9"/>
    <w:rsid w:val="359E6C74"/>
    <w:rsid w:val="35A3428A"/>
    <w:rsid w:val="35A9270C"/>
    <w:rsid w:val="35A973C7"/>
    <w:rsid w:val="35B069A7"/>
    <w:rsid w:val="35BE4DEE"/>
    <w:rsid w:val="35BF7503"/>
    <w:rsid w:val="35C10BB4"/>
    <w:rsid w:val="35D4276C"/>
    <w:rsid w:val="35DC59EE"/>
    <w:rsid w:val="35E62305"/>
    <w:rsid w:val="35EB3E83"/>
    <w:rsid w:val="35ED19A9"/>
    <w:rsid w:val="35EF7A5E"/>
    <w:rsid w:val="3600792F"/>
    <w:rsid w:val="36054F45"/>
    <w:rsid w:val="36126B2A"/>
    <w:rsid w:val="36134755"/>
    <w:rsid w:val="36160F00"/>
    <w:rsid w:val="3619454C"/>
    <w:rsid w:val="361C6ADA"/>
    <w:rsid w:val="36213401"/>
    <w:rsid w:val="362342C0"/>
    <w:rsid w:val="362C0724"/>
    <w:rsid w:val="362D1DA6"/>
    <w:rsid w:val="36393CE5"/>
    <w:rsid w:val="363E0457"/>
    <w:rsid w:val="363E20E5"/>
    <w:rsid w:val="36447442"/>
    <w:rsid w:val="364C4ED5"/>
    <w:rsid w:val="364C66D0"/>
    <w:rsid w:val="36514B54"/>
    <w:rsid w:val="36527A5E"/>
    <w:rsid w:val="365B4B65"/>
    <w:rsid w:val="365D6B2F"/>
    <w:rsid w:val="366003CD"/>
    <w:rsid w:val="36617CA1"/>
    <w:rsid w:val="3666511F"/>
    <w:rsid w:val="366854D4"/>
    <w:rsid w:val="366A20E8"/>
    <w:rsid w:val="366B33B5"/>
    <w:rsid w:val="36800E26"/>
    <w:rsid w:val="368A369C"/>
    <w:rsid w:val="369D6F2B"/>
    <w:rsid w:val="369E4A52"/>
    <w:rsid w:val="36A06A70"/>
    <w:rsid w:val="36A52284"/>
    <w:rsid w:val="36AA1648"/>
    <w:rsid w:val="36AA39B8"/>
    <w:rsid w:val="36B67168"/>
    <w:rsid w:val="36BA5D2F"/>
    <w:rsid w:val="36BD137C"/>
    <w:rsid w:val="36BF65F8"/>
    <w:rsid w:val="36C344B8"/>
    <w:rsid w:val="36C4095C"/>
    <w:rsid w:val="36CA5847"/>
    <w:rsid w:val="36CE17DB"/>
    <w:rsid w:val="36D466C5"/>
    <w:rsid w:val="36D81FBC"/>
    <w:rsid w:val="36E25286"/>
    <w:rsid w:val="36E33962"/>
    <w:rsid w:val="36E35853"/>
    <w:rsid w:val="36E62284"/>
    <w:rsid w:val="36F01751"/>
    <w:rsid w:val="36F823B4"/>
    <w:rsid w:val="36FA437E"/>
    <w:rsid w:val="36FD67A6"/>
    <w:rsid w:val="37014028"/>
    <w:rsid w:val="3709636F"/>
    <w:rsid w:val="37101456"/>
    <w:rsid w:val="37101585"/>
    <w:rsid w:val="371346A3"/>
    <w:rsid w:val="37296A11"/>
    <w:rsid w:val="372D065C"/>
    <w:rsid w:val="373051B9"/>
    <w:rsid w:val="3733141E"/>
    <w:rsid w:val="3743102C"/>
    <w:rsid w:val="3744384B"/>
    <w:rsid w:val="374675C3"/>
    <w:rsid w:val="37620175"/>
    <w:rsid w:val="37623CD1"/>
    <w:rsid w:val="376B527C"/>
    <w:rsid w:val="377A6184"/>
    <w:rsid w:val="37906A90"/>
    <w:rsid w:val="3793032E"/>
    <w:rsid w:val="379522F8"/>
    <w:rsid w:val="379D4E7C"/>
    <w:rsid w:val="37A20571"/>
    <w:rsid w:val="37A75B88"/>
    <w:rsid w:val="37A97B52"/>
    <w:rsid w:val="37AA2247"/>
    <w:rsid w:val="37C8622A"/>
    <w:rsid w:val="37C91941"/>
    <w:rsid w:val="37D1563F"/>
    <w:rsid w:val="37D94375"/>
    <w:rsid w:val="37D96E1D"/>
    <w:rsid w:val="37E42938"/>
    <w:rsid w:val="37E62B54"/>
    <w:rsid w:val="37E8067A"/>
    <w:rsid w:val="37EF0C54"/>
    <w:rsid w:val="37FE7E9E"/>
    <w:rsid w:val="38003C16"/>
    <w:rsid w:val="38082FEA"/>
    <w:rsid w:val="38084878"/>
    <w:rsid w:val="3810372D"/>
    <w:rsid w:val="38116DC1"/>
    <w:rsid w:val="3814146F"/>
    <w:rsid w:val="381F3748"/>
    <w:rsid w:val="3827513D"/>
    <w:rsid w:val="382A0C93"/>
    <w:rsid w:val="38360FFB"/>
    <w:rsid w:val="38392C84"/>
    <w:rsid w:val="384B50F9"/>
    <w:rsid w:val="385742E2"/>
    <w:rsid w:val="38732073"/>
    <w:rsid w:val="38765C86"/>
    <w:rsid w:val="387F7B7E"/>
    <w:rsid w:val="3881462B"/>
    <w:rsid w:val="3882200B"/>
    <w:rsid w:val="388C65D7"/>
    <w:rsid w:val="3894508B"/>
    <w:rsid w:val="38961E84"/>
    <w:rsid w:val="389F4F03"/>
    <w:rsid w:val="38A1667D"/>
    <w:rsid w:val="38A30A45"/>
    <w:rsid w:val="38A41E64"/>
    <w:rsid w:val="38A65E3F"/>
    <w:rsid w:val="38A856BD"/>
    <w:rsid w:val="38A926B2"/>
    <w:rsid w:val="38A963FF"/>
    <w:rsid w:val="38B262D2"/>
    <w:rsid w:val="38B3559A"/>
    <w:rsid w:val="38B36EDA"/>
    <w:rsid w:val="38B54006"/>
    <w:rsid w:val="38B92017"/>
    <w:rsid w:val="38BF7329"/>
    <w:rsid w:val="38CC58A6"/>
    <w:rsid w:val="38CE1D29"/>
    <w:rsid w:val="38CF7F70"/>
    <w:rsid w:val="38E6581B"/>
    <w:rsid w:val="38EE7F12"/>
    <w:rsid w:val="39072D82"/>
    <w:rsid w:val="390C2146"/>
    <w:rsid w:val="3910336A"/>
    <w:rsid w:val="3911678C"/>
    <w:rsid w:val="39136842"/>
    <w:rsid w:val="39151F0C"/>
    <w:rsid w:val="39180AEB"/>
    <w:rsid w:val="391A2AB5"/>
    <w:rsid w:val="391B05DB"/>
    <w:rsid w:val="391F00CC"/>
    <w:rsid w:val="39225E0E"/>
    <w:rsid w:val="392E6561"/>
    <w:rsid w:val="393578EF"/>
    <w:rsid w:val="393873DF"/>
    <w:rsid w:val="393A301B"/>
    <w:rsid w:val="393B1A26"/>
    <w:rsid w:val="394144E6"/>
    <w:rsid w:val="39450E69"/>
    <w:rsid w:val="39465D70"/>
    <w:rsid w:val="3954081F"/>
    <w:rsid w:val="395810AB"/>
    <w:rsid w:val="395838F5"/>
    <w:rsid w:val="396C52DB"/>
    <w:rsid w:val="396D19F9"/>
    <w:rsid w:val="39727B1D"/>
    <w:rsid w:val="39730417"/>
    <w:rsid w:val="39811C35"/>
    <w:rsid w:val="399901D9"/>
    <w:rsid w:val="399B04B1"/>
    <w:rsid w:val="399E7844"/>
    <w:rsid w:val="39A700C1"/>
    <w:rsid w:val="39AB6D88"/>
    <w:rsid w:val="39B822CE"/>
    <w:rsid w:val="39C561B9"/>
    <w:rsid w:val="39C72511"/>
    <w:rsid w:val="39C80763"/>
    <w:rsid w:val="39D96339"/>
    <w:rsid w:val="39DE5F88"/>
    <w:rsid w:val="39E059C7"/>
    <w:rsid w:val="39E15381"/>
    <w:rsid w:val="39E42F5C"/>
    <w:rsid w:val="39E918D5"/>
    <w:rsid w:val="39EB26A4"/>
    <w:rsid w:val="39EE7AC7"/>
    <w:rsid w:val="39F23A32"/>
    <w:rsid w:val="39F2758E"/>
    <w:rsid w:val="3A011E34"/>
    <w:rsid w:val="3A06303A"/>
    <w:rsid w:val="3A0A11C0"/>
    <w:rsid w:val="3A0E1EEE"/>
    <w:rsid w:val="3A1143F9"/>
    <w:rsid w:val="3A137505"/>
    <w:rsid w:val="3A1B6104"/>
    <w:rsid w:val="3A1E0383"/>
    <w:rsid w:val="3A1E1C6B"/>
    <w:rsid w:val="3A231E3E"/>
    <w:rsid w:val="3A233BEC"/>
    <w:rsid w:val="3A300F0F"/>
    <w:rsid w:val="3A331955"/>
    <w:rsid w:val="3A3873F5"/>
    <w:rsid w:val="3A410516"/>
    <w:rsid w:val="3A46708E"/>
    <w:rsid w:val="3A472868"/>
    <w:rsid w:val="3A485400"/>
    <w:rsid w:val="3A4B6C9E"/>
    <w:rsid w:val="3A4C4D04"/>
    <w:rsid w:val="3A525A4A"/>
    <w:rsid w:val="3A560296"/>
    <w:rsid w:val="3A5634F8"/>
    <w:rsid w:val="3A573A14"/>
    <w:rsid w:val="3A5F274A"/>
    <w:rsid w:val="3A695377"/>
    <w:rsid w:val="3A6968B7"/>
    <w:rsid w:val="3A6C5593"/>
    <w:rsid w:val="3A7C154E"/>
    <w:rsid w:val="3A7E6650"/>
    <w:rsid w:val="3A80103E"/>
    <w:rsid w:val="3A850402"/>
    <w:rsid w:val="3A886145"/>
    <w:rsid w:val="3A8E75D6"/>
    <w:rsid w:val="3A923034"/>
    <w:rsid w:val="3A9533F8"/>
    <w:rsid w:val="3AA60379"/>
    <w:rsid w:val="3AAC69A1"/>
    <w:rsid w:val="3AAD5BAB"/>
    <w:rsid w:val="3AB74334"/>
    <w:rsid w:val="3AB76AC9"/>
    <w:rsid w:val="3AB962FE"/>
    <w:rsid w:val="3AC54CA3"/>
    <w:rsid w:val="3AD50DEA"/>
    <w:rsid w:val="3ADB6274"/>
    <w:rsid w:val="3AE04F23"/>
    <w:rsid w:val="3AE5554F"/>
    <w:rsid w:val="3AE81100"/>
    <w:rsid w:val="3AED355F"/>
    <w:rsid w:val="3AEF3B8E"/>
    <w:rsid w:val="3AF37A62"/>
    <w:rsid w:val="3AF65C7A"/>
    <w:rsid w:val="3B0C28D2"/>
    <w:rsid w:val="3B1F4441"/>
    <w:rsid w:val="3B2E2848"/>
    <w:rsid w:val="3B304812"/>
    <w:rsid w:val="3B327074"/>
    <w:rsid w:val="3B350EB3"/>
    <w:rsid w:val="3B367055"/>
    <w:rsid w:val="3B3D2A8B"/>
    <w:rsid w:val="3B3F4242"/>
    <w:rsid w:val="3B4007CD"/>
    <w:rsid w:val="3B4D1C93"/>
    <w:rsid w:val="3B5B1163"/>
    <w:rsid w:val="3B6224F2"/>
    <w:rsid w:val="3B666D3A"/>
    <w:rsid w:val="3B677B08"/>
    <w:rsid w:val="3B693880"/>
    <w:rsid w:val="3B696E35"/>
    <w:rsid w:val="3B7566C9"/>
    <w:rsid w:val="3B77090F"/>
    <w:rsid w:val="3B7B1C49"/>
    <w:rsid w:val="3B7B5536"/>
    <w:rsid w:val="3B8F779C"/>
    <w:rsid w:val="3B9052B1"/>
    <w:rsid w:val="3B974891"/>
    <w:rsid w:val="3B9823B7"/>
    <w:rsid w:val="3B9D3E59"/>
    <w:rsid w:val="3BA90120"/>
    <w:rsid w:val="3BAB20EB"/>
    <w:rsid w:val="3BAE7D6F"/>
    <w:rsid w:val="3BB16FD5"/>
    <w:rsid w:val="3BB30FD4"/>
    <w:rsid w:val="3BBD597A"/>
    <w:rsid w:val="3BC15068"/>
    <w:rsid w:val="3BC46D08"/>
    <w:rsid w:val="3BC57915"/>
    <w:rsid w:val="3BCA1F2B"/>
    <w:rsid w:val="3BCE7B87"/>
    <w:rsid w:val="3BD04904"/>
    <w:rsid w:val="3BD15045"/>
    <w:rsid w:val="3BD41801"/>
    <w:rsid w:val="3BD86C58"/>
    <w:rsid w:val="3BDB4052"/>
    <w:rsid w:val="3BEC3019"/>
    <w:rsid w:val="3BF13876"/>
    <w:rsid w:val="3BFA41C9"/>
    <w:rsid w:val="3C007309"/>
    <w:rsid w:val="3C023F1E"/>
    <w:rsid w:val="3C0B2B89"/>
    <w:rsid w:val="3C15125B"/>
    <w:rsid w:val="3C172AFD"/>
    <w:rsid w:val="3C1E0B0E"/>
    <w:rsid w:val="3C227ED9"/>
    <w:rsid w:val="3C231EF3"/>
    <w:rsid w:val="3C2679C3"/>
    <w:rsid w:val="3C3025F0"/>
    <w:rsid w:val="3C30439E"/>
    <w:rsid w:val="3C321EED"/>
    <w:rsid w:val="3C3245BA"/>
    <w:rsid w:val="3C340332"/>
    <w:rsid w:val="3C340BC9"/>
    <w:rsid w:val="3C401D09"/>
    <w:rsid w:val="3C4165AB"/>
    <w:rsid w:val="3C430575"/>
    <w:rsid w:val="3C447E49"/>
    <w:rsid w:val="3C4904F0"/>
    <w:rsid w:val="3C4D4F50"/>
    <w:rsid w:val="3C505382"/>
    <w:rsid w:val="3C526A0A"/>
    <w:rsid w:val="3C544530"/>
    <w:rsid w:val="3C5A766D"/>
    <w:rsid w:val="3C756255"/>
    <w:rsid w:val="3C7E77FF"/>
    <w:rsid w:val="3C7F70D3"/>
    <w:rsid w:val="3C8525A2"/>
    <w:rsid w:val="3CA92E33"/>
    <w:rsid w:val="3CAD59EE"/>
    <w:rsid w:val="3CB274A9"/>
    <w:rsid w:val="3CBF5952"/>
    <w:rsid w:val="3CCB2319"/>
    <w:rsid w:val="3CE21B3C"/>
    <w:rsid w:val="3CEA1D29"/>
    <w:rsid w:val="3CF11D7F"/>
    <w:rsid w:val="3CF7157A"/>
    <w:rsid w:val="3CFE2AF4"/>
    <w:rsid w:val="3D006466"/>
    <w:rsid w:val="3D094027"/>
    <w:rsid w:val="3D0A644B"/>
    <w:rsid w:val="3D0D6C88"/>
    <w:rsid w:val="3D0F2205"/>
    <w:rsid w:val="3D186854"/>
    <w:rsid w:val="3D201B51"/>
    <w:rsid w:val="3D2757A1"/>
    <w:rsid w:val="3D2A5291"/>
    <w:rsid w:val="3D2D6B2F"/>
    <w:rsid w:val="3D344362"/>
    <w:rsid w:val="3D3B2B6E"/>
    <w:rsid w:val="3D3B749E"/>
    <w:rsid w:val="3D3E03F6"/>
    <w:rsid w:val="3D406863"/>
    <w:rsid w:val="3D436353"/>
    <w:rsid w:val="3D462638"/>
    <w:rsid w:val="3D474095"/>
    <w:rsid w:val="3D4D693E"/>
    <w:rsid w:val="3D4E702A"/>
    <w:rsid w:val="3D5F13DF"/>
    <w:rsid w:val="3D661CAD"/>
    <w:rsid w:val="3D6764E5"/>
    <w:rsid w:val="3D73347A"/>
    <w:rsid w:val="3D766728"/>
    <w:rsid w:val="3D842BF3"/>
    <w:rsid w:val="3D8C7CFA"/>
    <w:rsid w:val="3D915310"/>
    <w:rsid w:val="3DA43295"/>
    <w:rsid w:val="3DA45043"/>
    <w:rsid w:val="3DA85E6F"/>
    <w:rsid w:val="3DAE22C9"/>
    <w:rsid w:val="3DB13210"/>
    <w:rsid w:val="3DB86D41"/>
    <w:rsid w:val="3DBF1E7D"/>
    <w:rsid w:val="3DC41242"/>
    <w:rsid w:val="3DCE2196"/>
    <w:rsid w:val="3DD31485"/>
    <w:rsid w:val="3DD75419"/>
    <w:rsid w:val="3DE23DBE"/>
    <w:rsid w:val="3DE33063"/>
    <w:rsid w:val="3DFA4C63"/>
    <w:rsid w:val="3E083824"/>
    <w:rsid w:val="3E0B6E71"/>
    <w:rsid w:val="3E0E6961"/>
    <w:rsid w:val="3E181CA3"/>
    <w:rsid w:val="3E1F0B6E"/>
    <w:rsid w:val="3E1F46CA"/>
    <w:rsid w:val="3E216694"/>
    <w:rsid w:val="3E23240C"/>
    <w:rsid w:val="3E2A0CA9"/>
    <w:rsid w:val="3E2B7513"/>
    <w:rsid w:val="3E3707BC"/>
    <w:rsid w:val="3E391C30"/>
    <w:rsid w:val="3E444130"/>
    <w:rsid w:val="3E50373C"/>
    <w:rsid w:val="3E506F79"/>
    <w:rsid w:val="3E522CF1"/>
    <w:rsid w:val="3E5548F4"/>
    <w:rsid w:val="3E5720B6"/>
    <w:rsid w:val="3E573E64"/>
    <w:rsid w:val="3E5E1696"/>
    <w:rsid w:val="3E622809"/>
    <w:rsid w:val="3E76426F"/>
    <w:rsid w:val="3E7E6A93"/>
    <w:rsid w:val="3E7E7642"/>
    <w:rsid w:val="3E7F03B9"/>
    <w:rsid w:val="3E834C59"/>
    <w:rsid w:val="3E8E1186"/>
    <w:rsid w:val="3E9D652A"/>
    <w:rsid w:val="3EA00392"/>
    <w:rsid w:val="3EA37ED3"/>
    <w:rsid w:val="3EA51073"/>
    <w:rsid w:val="3EA73EF9"/>
    <w:rsid w:val="3EAB0654"/>
    <w:rsid w:val="3EAE5A4E"/>
    <w:rsid w:val="3EB76FF8"/>
    <w:rsid w:val="3EBC016B"/>
    <w:rsid w:val="3ECA2888"/>
    <w:rsid w:val="3EE83EC6"/>
    <w:rsid w:val="3EF45B57"/>
    <w:rsid w:val="3EF7518D"/>
    <w:rsid w:val="3EFB6EE5"/>
    <w:rsid w:val="3F0F2990"/>
    <w:rsid w:val="3F182E77"/>
    <w:rsid w:val="3F1B4E72"/>
    <w:rsid w:val="3F2006FA"/>
    <w:rsid w:val="3F240641"/>
    <w:rsid w:val="3F2F5037"/>
    <w:rsid w:val="3F356429"/>
    <w:rsid w:val="3F365061"/>
    <w:rsid w:val="3F3D74FE"/>
    <w:rsid w:val="3F446ADE"/>
    <w:rsid w:val="3F4B69CA"/>
    <w:rsid w:val="3F4E210F"/>
    <w:rsid w:val="3F56236D"/>
    <w:rsid w:val="3F577E93"/>
    <w:rsid w:val="3F601AA5"/>
    <w:rsid w:val="3F6031EC"/>
    <w:rsid w:val="3F6F78D3"/>
    <w:rsid w:val="3F7171A7"/>
    <w:rsid w:val="3F7D3D9E"/>
    <w:rsid w:val="3F845447"/>
    <w:rsid w:val="3F8F3AD1"/>
    <w:rsid w:val="3F921CB4"/>
    <w:rsid w:val="3F9411FA"/>
    <w:rsid w:val="3FA23805"/>
    <w:rsid w:val="3FA727A7"/>
    <w:rsid w:val="3FAC527E"/>
    <w:rsid w:val="3FBB0422"/>
    <w:rsid w:val="3FD8387A"/>
    <w:rsid w:val="3FD87226"/>
    <w:rsid w:val="3FE1750C"/>
    <w:rsid w:val="3FE749A5"/>
    <w:rsid w:val="3FE77469"/>
    <w:rsid w:val="3FE85EB1"/>
    <w:rsid w:val="3FEE6A4A"/>
    <w:rsid w:val="3FF006FF"/>
    <w:rsid w:val="3FF027C2"/>
    <w:rsid w:val="3FFB2F15"/>
    <w:rsid w:val="400268DC"/>
    <w:rsid w:val="4004626D"/>
    <w:rsid w:val="40077B0C"/>
    <w:rsid w:val="4011502A"/>
    <w:rsid w:val="4012098A"/>
    <w:rsid w:val="401665BA"/>
    <w:rsid w:val="401A12FE"/>
    <w:rsid w:val="401D2E8B"/>
    <w:rsid w:val="402326DA"/>
    <w:rsid w:val="402802E6"/>
    <w:rsid w:val="402B37FA"/>
    <w:rsid w:val="402C1320"/>
    <w:rsid w:val="40445977"/>
    <w:rsid w:val="40493C80"/>
    <w:rsid w:val="404C551E"/>
    <w:rsid w:val="405F16F6"/>
    <w:rsid w:val="40642868"/>
    <w:rsid w:val="406659D4"/>
    <w:rsid w:val="40691DAD"/>
    <w:rsid w:val="406B0BF8"/>
    <w:rsid w:val="4071024B"/>
    <w:rsid w:val="407F3C98"/>
    <w:rsid w:val="40800F8F"/>
    <w:rsid w:val="40866C82"/>
    <w:rsid w:val="408B6047"/>
    <w:rsid w:val="408D0011"/>
    <w:rsid w:val="4090392C"/>
    <w:rsid w:val="40953E43"/>
    <w:rsid w:val="409E3FCC"/>
    <w:rsid w:val="40AA668E"/>
    <w:rsid w:val="40B01F51"/>
    <w:rsid w:val="40B82B3A"/>
    <w:rsid w:val="40B927BA"/>
    <w:rsid w:val="40C15F0C"/>
    <w:rsid w:val="40CA7A55"/>
    <w:rsid w:val="40D479EE"/>
    <w:rsid w:val="40DA2CCA"/>
    <w:rsid w:val="40E220E9"/>
    <w:rsid w:val="40E35E83"/>
    <w:rsid w:val="40E67721"/>
    <w:rsid w:val="40E8793D"/>
    <w:rsid w:val="40F005A0"/>
    <w:rsid w:val="4101455B"/>
    <w:rsid w:val="41030592"/>
    <w:rsid w:val="41061B71"/>
    <w:rsid w:val="41135328"/>
    <w:rsid w:val="41200E85"/>
    <w:rsid w:val="41251E00"/>
    <w:rsid w:val="412F731A"/>
    <w:rsid w:val="4135212A"/>
    <w:rsid w:val="41395AA3"/>
    <w:rsid w:val="413A44CD"/>
    <w:rsid w:val="41440C3D"/>
    <w:rsid w:val="414A48CD"/>
    <w:rsid w:val="414C2F34"/>
    <w:rsid w:val="415B010F"/>
    <w:rsid w:val="416219AA"/>
    <w:rsid w:val="416461DC"/>
    <w:rsid w:val="41654AEA"/>
    <w:rsid w:val="41670862"/>
    <w:rsid w:val="416971BC"/>
    <w:rsid w:val="416D1BF0"/>
    <w:rsid w:val="417D580C"/>
    <w:rsid w:val="41807B75"/>
    <w:rsid w:val="41872CB2"/>
    <w:rsid w:val="41A531CD"/>
    <w:rsid w:val="41AA4833"/>
    <w:rsid w:val="41AC096A"/>
    <w:rsid w:val="41BB6E00"/>
    <w:rsid w:val="41C22B8E"/>
    <w:rsid w:val="41C5682F"/>
    <w:rsid w:val="41CA7043"/>
    <w:rsid w:val="41DB2FFE"/>
    <w:rsid w:val="41DD0B24"/>
    <w:rsid w:val="41DD6D76"/>
    <w:rsid w:val="41E54AD9"/>
    <w:rsid w:val="41EA3241"/>
    <w:rsid w:val="41EC0D67"/>
    <w:rsid w:val="41EC2E2A"/>
    <w:rsid w:val="41F03EDF"/>
    <w:rsid w:val="41F95335"/>
    <w:rsid w:val="41FE3D6E"/>
    <w:rsid w:val="42003216"/>
    <w:rsid w:val="42010CB6"/>
    <w:rsid w:val="42132798"/>
    <w:rsid w:val="42154762"/>
    <w:rsid w:val="42162288"/>
    <w:rsid w:val="42186000"/>
    <w:rsid w:val="421B792B"/>
    <w:rsid w:val="42221C2E"/>
    <w:rsid w:val="42291FBB"/>
    <w:rsid w:val="422F399C"/>
    <w:rsid w:val="423B7BF9"/>
    <w:rsid w:val="42426BD9"/>
    <w:rsid w:val="42446DF5"/>
    <w:rsid w:val="424741EF"/>
    <w:rsid w:val="424D1B5C"/>
    <w:rsid w:val="42530DE6"/>
    <w:rsid w:val="425608D6"/>
    <w:rsid w:val="425D7EB7"/>
    <w:rsid w:val="42613503"/>
    <w:rsid w:val="426327E0"/>
    <w:rsid w:val="42642FF3"/>
    <w:rsid w:val="426C1EA8"/>
    <w:rsid w:val="42733236"/>
    <w:rsid w:val="427629E8"/>
    <w:rsid w:val="427A45C5"/>
    <w:rsid w:val="427E042B"/>
    <w:rsid w:val="427F1D1C"/>
    <w:rsid w:val="428A0145"/>
    <w:rsid w:val="428B0580"/>
    <w:rsid w:val="428D254A"/>
    <w:rsid w:val="428F4EAC"/>
    <w:rsid w:val="429318DA"/>
    <w:rsid w:val="429338D8"/>
    <w:rsid w:val="42986031"/>
    <w:rsid w:val="429A561E"/>
    <w:rsid w:val="429C453B"/>
    <w:rsid w:val="42A014F7"/>
    <w:rsid w:val="42A94EAA"/>
    <w:rsid w:val="42B5168B"/>
    <w:rsid w:val="42B5384F"/>
    <w:rsid w:val="42B71B0E"/>
    <w:rsid w:val="42BC4BDD"/>
    <w:rsid w:val="42CD2946"/>
    <w:rsid w:val="42DC527F"/>
    <w:rsid w:val="42DD579E"/>
    <w:rsid w:val="42DF08CC"/>
    <w:rsid w:val="42F34200"/>
    <w:rsid w:val="42F345ED"/>
    <w:rsid w:val="42F425C9"/>
    <w:rsid w:val="42F8373B"/>
    <w:rsid w:val="43041F26"/>
    <w:rsid w:val="43087E22"/>
    <w:rsid w:val="43170066"/>
    <w:rsid w:val="43197CCC"/>
    <w:rsid w:val="431A078E"/>
    <w:rsid w:val="432B77D9"/>
    <w:rsid w:val="43301127"/>
    <w:rsid w:val="43302ED5"/>
    <w:rsid w:val="43370708"/>
    <w:rsid w:val="4339622E"/>
    <w:rsid w:val="434500D6"/>
    <w:rsid w:val="43454BD3"/>
    <w:rsid w:val="434A21E9"/>
    <w:rsid w:val="434B5F61"/>
    <w:rsid w:val="434D3A87"/>
    <w:rsid w:val="43513ADF"/>
    <w:rsid w:val="4359242C"/>
    <w:rsid w:val="435A2E64"/>
    <w:rsid w:val="436F39FE"/>
    <w:rsid w:val="437E6337"/>
    <w:rsid w:val="43863241"/>
    <w:rsid w:val="438D20D6"/>
    <w:rsid w:val="43A42171"/>
    <w:rsid w:val="43AD2778"/>
    <w:rsid w:val="43B35FE0"/>
    <w:rsid w:val="43B41F28"/>
    <w:rsid w:val="43B43B06"/>
    <w:rsid w:val="43B741A5"/>
    <w:rsid w:val="43BD0C0D"/>
    <w:rsid w:val="43BE4985"/>
    <w:rsid w:val="43C04259"/>
    <w:rsid w:val="43C71A8C"/>
    <w:rsid w:val="43D15248"/>
    <w:rsid w:val="43D20803"/>
    <w:rsid w:val="43D9531B"/>
    <w:rsid w:val="43DE7F78"/>
    <w:rsid w:val="43E268C5"/>
    <w:rsid w:val="43E805ED"/>
    <w:rsid w:val="43F35D0B"/>
    <w:rsid w:val="440525B4"/>
    <w:rsid w:val="44095C00"/>
    <w:rsid w:val="44157432"/>
    <w:rsid w:val="44164462"/>
    <w:rsid w:val="441723B0"/>
    <w:rsid w:val="44212ABD"/>
    <w:rsid w:val="442962A2"/>
    <w:rsid w:val="443609BF"/>
    <w:rsid w:val="4436451B"/>
    <w:rsid w:val="443D58AA"/>
    <w:rsid w:val="44450C02"/>
    <w:rsid w:val="44543CB4"/>
    <w:rsid w:val="445847E7"/>
    <w:rsid w:val="4461261E"/>
    <w:rsid w:val="446612A5"/>
    <w:rsid w:val="44676DCB"/>
    <w:rsid w:val="44727C49"/>
    <w:rsid w:val="4475773A"/>
    <w:rsid w:val="448657BE"/>
    <w:rsid w:val="4487121B"/>
    <w:rsid w:val="449343C4"/>
    <w:rsid w:val="44B35952"/>
    <w:rsid w:val="44B440E5"/>
    <w:rsid w:val="44B506F8"/>
    <w:rsid w:val="44BA339E"/>
    <w:rsid w:val="44CA1935"/>
    <w:rsid w:val="44D426B2"/>
    <w:rsid w:val="44D75CFE"/>
    <w:rsid w:val="44DA134B"/>
    <w:rsid w:val="44E7216D"/>
    <w:rsid w:val="44ED5522"/>
    <w:rsid w:val="44F46F9A"/>
    <w:rsid w:val="44F600CF"/>
    <w:rsid w:val="44FA19ED"/>
    <w:rsid w:val="450308A1"/>
    <w:rsid w:val="45097E82"/>
    <w:rsid w:val="450B3BFA"/>
    <w:rsid w:val="45126D36"/>
    <w:rsid w:val="4513485D"/>
    <w:rsid w:val="451A4083"/>
    <w:rsid w:val="451F3727"/>
    <w:rsid w:val="45206203"/>
    <w:rsid w:val="45294080"/>
    <w:rsid w:val="452B429C"/>
    <w:rsid w:val="452D3B70"/>
    <w:rsid w:val="45322F35"/>
    <w:rsid w:val="45435142"/>
    <w:rsid w:val="45442C68"/>
    <w:rsid w:val="454A2974"/>
    <w:rsid w:val="45554E75"/>
    <w:rsid w:val="45630A81"/>
    <w:rsid w:val="45683092"/>
    <w:rsid w:val="456B78E7"/>
    <w:rsid w:val="45703A5D"/>
    <w:rsid w:val="45705B8C"/>
    <w:rsid w:val="457511EA"/>
    <w:rsid w:val="457B0D80"/>
    <w:rsid w:val="457C2402"/>
    <w:rsid w:val="45803E76"/>
    <w:rsid w:val="45884AA7"/>
    <w:rsid w:val="458D12E4"/>
    <w:rsid w:val="45902501"/>
    <w:rsid w:val="4597548E"/>
    <w:rsid w:val="4599319D"/>
    <w:rsid w:val="459B0F98"/>
    <w:rsid w:val="459C7046"/>
    <w:rsid w:val="45A36E43"/>
    <w:rsid w:val="45A802F4"/>
    <w:rsid w:val="45AA51C1"/>
    <w:rsid w:val="45AB5409"/>
    <w:rsid w:val="45B00CD7"/>
    <w:rsid w:val="45B222C8"/>
    <w:rsid w:val="45B55914"/>
    <w:rsid w:val="45C83899"/>
    <w:rsid w:val="45CE7336"/>
    <w:rsid w:val="45CF1427"/>
    <w:rsid w:val="45DB306C"/>
    <w:rsid w:val="45F11042"/>
    <w:rsid w:val="45F36B68"/>
    <w:rsid w:val="45F4618B"/>
    <w:rsid w:val="45FA3A5B"/>
    <w:rsid w:val="46026DAB"/>
    <w:rsid w:val="46032B23"/>
    <w:rsid w:val="46037D67"/>
    <w:rsid w:val="46072613"/>
    <w:rsid w:val="46113492"/>
    <w:rsid w:val="461134F5"/>
    <w:rsid w:val="46180A43"/>
    <w:rsid w:val="461D04D7"/>
    <w:rsid w:val="462705C0"/>
    <w:rsid w:val="4629258A"/>
    <w:rsid w:val="462A00B0"/>
    <w:rsid w:val="462A6302"/>
    <w:rsid w:val="462C1A65"/>
    <w:rsid w:val="46374329"/>
    <w:rsid w:val="463D6035"/>
    <w:rsid w:val="463E583C"/>
    <w:rsid w:val="463E78FB"/>
    <w:rsid w:val="46492C2C"/>
    <w:rsid w:val="464A0752"/>
    <w:rsid w:val="464C0021"/>
    <w:rsid w:val="46643883"/>
    <w:rsid w:val="466A4950"/>
    <w:rsid w:val="4674757D"/>
    <w:rsid w:val="46794B93"/>
    <w:rsid w:val="467C6FAF"/>
    <w:rsid w:val="46872820"/>
    <w:rsid w:val="4689127A"/>
    <w:rsid w:val="468E5C78"/>
    <w:rsid w:val="469320F9"/>
    <w:rsid w:val="46974AE4"/>
    <w:rsid w:val="469D0882"/>
    <w:rsid w:val="469E7EAD"/>
    <w:rsid w:val="46A05B8E"/>
    <w:rsid w:val="46A14816"/>
    <w:rsid w:val="46A34F39"/>
    <w:rsid w:val="46A9191C"/>
    <w:rsid w:val="46A9448A"/>
    <w:rsid w:val="46B207D1"/>
    <w:rsid w:val="46B850EA"/>
    <w:rsid w:val="46BA1434"/>
    <w:rsid w:val="46C329DE"/>
    <w:rsid w:val="46C43C07"/>
    <w:rsid w:val="46CD4936"/>
    <w:rsid w:val="46D324F5"/>
    <w:rsid w:val="46D5626E"/>
    <w:rsid w:val="46D65CA1"/>
    <w:rsid w:val="46DA7AC9"/>
    <w:rsid w:val="46DC6FD5"/>
    <w:rsid w:val="46E11E01"/>
    <w:rsid w:val="46EB783F"/>
    <w:rsid w:val="46ED7A5B"/>
    <w:rsid w:val="46EE5581"/>
    <w:rsid w:val="46EF1E94"/>
    <w:rsid w:val="46F32B98"/>
    <w:rsid w:val="46F93B86"/>
    <w:rsid w:val="46FA3F26"/>
    <w:rsid w:val="46FB6AC0"/>
    <w:rsid w:val="46FD7572"/>
    <w:rsid w:val="47086643"/>
    <w:rsid w:val="4710374A"/>
    <w:rsid w:val="471274C2"/>
    <w:rsid w:val="4714323A"/>
    <w:rsid w:val="4720547A"/>
    <w:rsid w:val="472B496A"/>
    <w:rsid w:val="47324E7F"/>
    <w:rsid w:val="473860EE"/>
    <w:rsid w:val="4738745C"/>
    <w:rsid w:val="47392CA0"/>
    <w:rsid w:val="4740402F"/>
    <w:rsid w:val="47421D71"/>
    <w:rsid w:val="474822D5"/>
    <w:rsid w:val="47486475"/>
    <w:rsid w:val="474D4056"/>
    <w:rsid w:val="47526C95"/>
    <w:rsid w:val="475A2C17"/>
    <w:rsid w:val="47613FA5"/>
    <w:rsid w:val="47676207"/>
    <w:rsid w:val="47721D0E"/>
    <w:rsid w:val="47790274"/>
    <w:rsid w:val="477C0DDF"/>
    <w:rsid w:val="477C2B8D"/>
    <w:rsid w:val="47811F51"/>
    <w:rsid w:val="47842BDA"/>
    <w:rsid w:val="478A5A6E"/>
    <w:rsid w:val="478B2DD0"/>
    <w:rsid w:val="478E5334"/>
    <w:rsid w:val="479A3013"/>
    <w:rsid w:val="479C7BE4"/>
    <w:rsid w:val="47A518B5"/>
    <w:rsid w:val="47A70ACD"/>
    <w:rsid w:val="47A72F7B"/>
    <w:rsid w:val="47AD621F"/>
    <w:rsid w:val="47B916EB"/>
    <w:rsid w:val="47C30E2B"/>
    <w:rsid w:val="47C87B80"/>
    <w:rsid w:val="47D32C18"/>
    <w:rsid w:val="47D7542C"/>
    <w:rsid w:val="47DE721D"/>
    <w:rsid w:val="47F14D97"/>
    <w:rsid w:val="47F60B91"/>
    <w:rsid w:val="47F746F8"/>
    <w:rsid w:val="47FB0846"/>
    <w:rsid w:val="47FD25A8"/>
    <w:rsid w:val="48067E5D"/>
    <w:rsid w:val="480A63EB"/>
    <w:rsid w:val="48185219"/>
    <w:rsid w:val="482079BC"/>
    <w:rsid w:val="48254FD3"/>
    <w:rsid w:val="48335942"/>
    <w:rsid w:val="483416BA"/>
    <w:rsid w:val="483B47F6"/>
    <w:rsid w:val="484A2E96"/>
    <w:rsid w:val="485458B8"/>
    <w:rsid w:val="485715CA"/>
    <w:rsid w:val="485F3CCF"/>
    <w:rsid w:val="486051F0"/>
    <w:rsid w:val="487349DB"/>
    <w:rsid w:val="4876236F"/>
    <w:rsid w:val="488066AD"/>
    <w:rsid w:val="48821AB8"/>
    <w:rsid w:val="489363E0"/>
    <w:rsid w:val="489B7043"/>
    <w:rsid w:val="489D18CF"/>
    <w:rsid w:val="48A10987"/>
    <w:rsid w:val="48A56114"/>
    <w:rsid w:val="48A57EC2"/>
    <w:rsid w:val="48A95C04"/>
    <w:rsid w:val="48AE549F"/>
    <w:rsid w:val="48BA4CEE"/>
    <w:rsid w:val="48D24BFF"/>
    <w:rsid w:val="48D76366"/>
    <w:rsid w:val="48DC7D87"/>
    <w:rsid w:val="48EA53DD"/>
    <w:rsid w:val="48EC1126"/>
    <w:rsid w:val="48F13107"/>
    <w:rsid w:val="48F8026F"/>
    <w:rsid w:val="48FD5F50"/>
    <w:rsid w:val="48FF3A76"/>
    <w:rsid w:val="490571EF"/>
    <w:rsid w:val="49066BB2"/>
    <w:rsid w:val="490A18C6"/>
    <w:rsid w:val="490B56CE"/>
    <w:rsid w:val="490B5F77"/>
    <w:rsid w:val="490F0EB7"/>
    <w:rsid w:val="491A07BF"/>
    <w:rsid w:val="491F1A22"/>
    <w:rsid w:val="49390FD8"/>
    <w:rsid w:val="493C4382"/>
    <w:rsid w:val="49476F18"/>
    <w:rsid w:val="49477E00"/>
    <w:rsid w:val="494D2A33"/>
    <w:rsid w:val="495A5150"/>
    <w:rsid w:val="495F2766"/>
    <w:rsid w:val="496B4C67"/>
    <w:rsid w:val="496E6505"/>
    <w:rsid w:val="497563B8"/>
    <w:rsid w:val="49771F9E"/>
    <w:rsid w:val="497A134E"/>
    <w:rsid w:val="49830203"/>
    <w:rsid w:val="49861AA1"/>
    <w:rsid w:val="49A407C7"/>
    <w:rsid w:val="49AE1382"/>
    <w:rsid w:val="49B465FE"/>
    <w:rsid w:val="49BE56DF"/>
    <w:rsid w:val="49C10D2B"/>
    <w:rsid w:val="49C53A6E"/>
    <w:rsid w:val="49CA4084"/>
    <w:rsid w:val="49E07403"/>
    <w:rsid w:val="49E14F29"/>
    <w:rsid w:val="49EF5898"/>
    <w:rsid w:val="49F20EE5"/>
    <w:rsid w:val="4A0133DD"/>
    <w:rsid w:val="4A031344"/>
    <w:rsid w:val="4A0D3F70"/>
    <w:rsid w:val="4A0F592C"/>
    <w:rsid w:val="4A143551"/>
    <w:rsid w:val="4A176B9D"/>
    <w:rsid w:val="4A263005"/>
    <w:rsid w:val="4A2B43F6"/>
    <w:rsid w:val="4A332A3B"/>
    <w:rsid w:val="4A372D9B"/>
    <w:rsid w:val="4A3D2AA8"/>
    <w:rsid w:val="4A421E6C"/>
    <w:rsid w:val="4A442D1A"/>
    <w:rsid w:val="4A547DF1"/>
    <w:rsid w:val="4A550715"/>
    <w:rsid w:val="4A5676C5"/>
    <w:rsid w:val="4A657908"/>
    <w:rsid w:val="4A6A4F1F"/>
    <w:rsid w:val="4A6C155A"/>
    <w:rsid w:val="4A6C513B"/>
    <w:rsid w:val="4A761B16"/>
    <w:rsid w:val="4A7B76BB"/>
    <w:rsid w:val="4A8D1509"/>
    <w:rsid w:val="4A8E50B1"/>
    <w:rsid w:val="4A914BA1"/>
    <w:rsid w:val="4A934476"/>
    <w:rsid w:val="4A9B332A"/>
    <w:rsid w:val="4A9E2E1A"/>
    <w:rsid w:val="4AA73BE3"/>
    <w:rsid w:val="4AC12096"/>
    <w:rsid w:val="4AC22FAD"/>
    <w:rsid w:val="4ACB5916"/>
    <w:rsid w:val="4ADA4B68"/>
    <w:rsid w:val="4ADA6F59"/>
    <w:rsid w:val="4AE41C61"/>
    <w:rsid w:val="4AE90539"/>
    <w:rsid w:val="4AF309A7"/>
    <w:rsid w:val="4AF571B4"/>
    <w:rsid w:val="4AF61B05"/>
    <w:rsid w:val="4AFD030C"/>
    <w:rsid w:val="4B016F44"/>
    <w:rsid w:val="4B02784D"/>
    <w:rsid w:val="4B055F73"/>
    <w:rsid w:val="4B096ADE"/>
    <w:rsid w:val="4B0C381C"/>
    <w:rsid w:val="4B0E3C4B"/>
    <w:rsid w:val="4B0F27DE"/>
    <w:rsid w:val="4B134FD7"/>
    <w:rsid w:val="4B1A3B9C"/>
    <w:rsid w:val="4B296B88"/>
    <w:rsid w:val="4B313577"/>
    <w:rsid w:val="4B3A2B43"/>
    <w:rsid w:val="4B3D2633"/>
    <w:rsid w:val="4B3F45FD"/>
    <w:rsid w:val="4B440C59"/>
    <w:rsid w:val="4B49547C"/>
    <w:rsid w:val="4B516F12"/>
    <w:rsid w:val="4B5736F5"/>
    <w:rsid w:val="4B647BC0"/>
    <w:rsid w:val="4B661B8A"/>
    <w:rsid w:val="4B6A77E5"/>
    <w:rsid w:val="4B6B563B"/>
    <w:rsid w:val="4B79113C"/>
    <w:rsid w:val="4B895879"/>
    <w:rsid w:val="4B8B15F1"/>
    <w:rsid w:val="4B912494"/>
    <w:rsid w:val="4B977F95"/>
    <w:rsid w:val="4BA34617"/>
    <w:rsid w:val="4BA567E0"/>
    <w:rsid w:val="4BAD1567"/>
    <w:rsid w:val="4BAD77B9"/>
    <w:rsid w:val="4BB23021"/>
    <w:rsid w:val="4BC52D55"/>
    <w:rsid w:val="4BCB5654"/>
    <w:rsid w:val="4BCF5981"/>
    <w:rsid w:val="4BE87730"/>
    <w:rsid w:val="4C037553"/>
    <w:rsid w:val="4C0C71C4"/>
    <w:rsid w:val="4C0F5D7E"/>
    <w:rsid w:val="4C13176B"/>
    <w:rsid w:val="4C1415E6"/>
    <w:rsid w:val="4C356537"/>
    <w:rsid w:val="4C365A00"/>
    <w:rsid w:val="4C376FCA"/>
    <w:rsid w:val="4C444363"/>
    <w:rsid w:val="4C453E95"/>
    <w:rsid w:val="4C465CDB"/>
    <w:rsid w:val="4C4919D8"/>
    <w:rsid w:val="4C4D4AF8"/>
    <w:rsid w:val="4C56262D"/>
    <w:rsid w:val="4C5916EF"/>
    <w:rsid w:val="4C673E0C"/>
    <w:rsid w:val="4C687B84"/>
    <w:rsid w:val="4C692F12"/>
    <w:rsid w:val="4C6A44A6"/>
    <w:rsid w:val="4C7107E7"/>
    <w:rsid w:val="4C730C63"/>
    <w:rsid w:val="4C75199E"/>
    <w:rsid w:val="4C7958ED"/>
    <w:rsid w:val="4C8D6214"/>
    <w:rsid w:val="4C8F5111"/>
    <w:rsid w:val="4C92075D"/>
    <w:rsid w:val="4C9257BF"/>
    <w:rsid w:val="4C964FB1"/>
    <w:rsid w:val="4C9A6081"/>
    <w:rsid w:val="4CA169F0"/>
    <w:rsid w:val="4CA276E8"/>
    <w:rsid w:val="4CAA1F4A"/>
    <w:rsid w:val="4CB4635D"/>
    <w:rsid w:val="4CBB4158"/>
    <w:rsid w:val="4CBD7ED0"/>
    <w:rsid w:val="4CD76E32"/>
    <w:rsid w:val="4CE30FB8"/>
    <w:rsid w:val="4CE82836"/>
    <w:rsid w:val="4CF947B8"/>
    <w:rsid w:val="4D0553D3"/>
    <w:rsid w:val="4D0B66C7"/>
    <w:rsid w:val="4D0E4287"/>
    <w:rsid w:val="4D18287E"/>
    <w:rsid w:val="4D184E75"/>
    <w:rsid w:val="4D185106"/>
    <w:rsid w:val="4D233217"/>
    <w:rsid w:val="4D355CB8"/>
    <w:rsid w:val="4D380240"/>
    <w:rsid w:val="4D3A32CE"/>
    <w:rsid w:val="4D3A507C"/>
    <w:rsid w:val="4D453A21"/>
    <w:rsid w:val="4D4D5E03"/>
    <w:rsid w:val="4D4E6D7A"/>
    <w:rsid w:val="4D5B457F"/>
    <w:rsid w:val="4D5B4FF3"/>
    <w:rsid w:val="4D5C626B"/>
    <w:rsid w:val="4D64034B"/>
    <w:rsid w:val="4D6B16DA"/>
    <w:rsid w:val="4D6F752D"/>
    <w:rsid w:val="4D7033A0"/>
    <w:rsid w:val="4D7934C4"/>
    <w:rsid w:val="4D8A2025"/>
    <w:rsid w:val="4D8B3B2A"/>
    <w:rsid w:val="4D8B71FA"/>
    <w:rsid w:val="4D956757"/>
    <w:rsid w:val="4DAA036B"/>
    <w:rsid w:val="4DAB1AD6"/>
    <w:rsid w:val="4DB43081"/>
    <w:rsid w:val="4DC42B98"/>
    <w:rsid w:val="4DC451AF"/>
    <w:rsid w:val="4DC46A96"/>
    <w:rsid w:val="4DC52790"/>
    <w:rsid w:val="4DCD7C9F"/>
    <w:rsid w:val="4DD87712"/>
    <w:rsid w:val="4DDC25D7"/>
    <w:rsid w:val="4DE17BEE"/>
    <w:rsid w:val="4DE23EF0"/>
    <w:rsid w:val="4DF612AF"/>
    <w:rsid w:val="4DFB2243"/>
    <w:rsid w:val="4DFE254E"/>
    <w:rsid w:val="4E034F54"/>
    <w:rsid w:val="4E035471"/>
    <w:rsid w:val="4E0631B0"/>
    <w:rsid w:val="4E08517B"/>
    <w:rsid w:val="4E094A4F"/>
    <w:rsid w:val="4E124C95"/>
    <w:rsid w:val="4E1F0742"/>
    <w:rsid w:val="4E2773F3"/>
    <w:rsid w:val="4E2D4EDE"/>
    <w:rsid w:val="4E30022D"/>
    <w:rsid w:val="4E323FA5"/>
    <w:rsid w:val="4E3A74A9"/>
    <w:rsid w:val="4E3B72FE"/>
    <w:rsid w:val="4E3C3076"/>
    <w:rsid w:val="4E465C3F"/>
    <w:rsid w:val="4E4B1EE0"/>
    <w:rsid w:val="4E52122F"/>
    <w:rsid w:val="4E573A0C"/>
    <w:rsid w:val="4E584A95"/>
    <w:rsid w:val="4E59507E"/>
    <w:rsid w:val="4E601178"/>
    <w:rsid w:val="4E683D29"/>
    <w:rsid w:val="4E684079"/>
    <w:rsid w:val="4E710F2D"/>
    <w:rsid w:val="4E75405B"/>
    <w:rsid w:val="4E7B177A"/>
    <w:rsid w:val="4E7B5776"/>
    <w:rsid w:val="4E7D72DC"/>
    <w:rsid w:val="4E7E368F"/>
    <w:rsid w:val="4E807407"/>
    <w:rsid w:val="4E920EE8"/>
    <w:rsid w:val="4E970E09"/>
    <w:rsid w:val="4E9E163B"/>
    <w:rsid w:val="4EA5677D"/>
    <w:rsid w:val="4EA57C75"/>
    <w:rsid w:val="4EA604F0"/>
    <w:rsid w:val="4EA74993"/>
    <w:rsid w:val="4EAC1FAA"/>
    <w:rsid w:val="4EAD5D22"/>
    <w:rsid w:val="4EAF55F6"/>
    <w:rsid w:val="4EB40E5E"/>
    <w:rsid w:val="4EBE7F2F"/>
    <w:rsid w:val="4EC15329"/>
    <w:rsid w:val="4EC247F4"/>
    <w:rsid w:val="4EC372F3"/>
    <w:rsid w:val="4ED022FF"/>
    <w:rsid w:val="4ED17C62"/>
    <w:rsid w:val="4ED4421D"/>
    <w:rsid w:val="4ED570B4"/>
    <w:rsid w:val="4ED96B17"/>
    <w:rsid w:val="4EDA720A"/>
    <w:rsid w:val="4EE873EE"/>
    <w:rsid w:val="4EF456FF"/>
    <w:rsid w:val="4EF4576E"/>
    <w:rsid w:val="4EF676C9"/>
    <w:rsid w:val="4EF8746D"/>
    <w:rsid w:val="4F053468"/>
    <w:rsid w:val="4F0E0906"/>
    <w:rsid w:val="4F142C6E"/>
    <w:rsid w:val="4F1E2B87"/>
    <w:rsid w:val="4F244236"/>
    <w:rsid w:val="4F294AE8"/>
    <w:rsid w:val="4F302BDB"/>
    <w:rsid w:val="4F3373F9"/>
    <w:rsid w:val="4F365FD5"/>
    <w:rsid w:val="4F3855EC"/>
    <w:rsid w:val="4F385A0C"/>
    <w:rsid w:val="4F3B1580"/>
    <w:rsid w:val="4F3B50DC"/>
    <w:rsid w:val="4F4246BC"/>
    <w:rsid w:val="4F493C9D"/>
    <w:rsid w:val="4F527210"/>
    <w:rsid w:val="4F533937"/>
    <w:rsid w:val="4F5B590A"/>
    <w:rsid w:val="4F5D32A4"/>
    <w:rsid w:val="4F672375"/>
    <w:rsid w:val="4F6C798B"/>
    <w:rsid w:val="4F6E6A85"/>
    <w:rsid w:val="4F7A3E56"/>
    <w:rsid w:val="4F7A5C04"/>
    <w:rsid w:val="4F7E71A3"/>
    <w:rsid w:val="4F80507E"/>
    <w:rsid w:val="4F893BF2"/>
    <w:rsid w:val="4F8D1DA8"/>
    <w:rsid w:val="4F9111A0"/>
    <w:rsid w:val="4FA669F9"/>
    <w:rsid w:val="4FAC7D88"/>
    <w:rsid w:val="4FB31251"/>
    <w:rsid w:val="4FB37368"/>
    <w:rsid w:val="4FC13276"/>
    <w:rsid w:val="4FC32FB6"/>
    <w:rsid w:val="4FC652ED"/>
    <w:rsid w:val="4FCA2A5E"/>
    <w:rsid w:val="4FCC09B6"/>
    <w:rsid w:val="4FCD667C"/>
    <w:rsid w:val="4FD25A40"/>
    <w:rsid w:val="4FD5108C"/>
    <w:rsid w:val="4FE22C4F"/>
    <w:rsid w:val="4FE453AA"/>
    <w:rsid w:val="4FE865F2"/>
    <w:rsid w:val="4FF07444"/>
    <w:rsid w:val="4FF27E90"/>
    <w:rsid w:val="4FF324C9"/>
    <w:rsid w:val="4FF754A7"/>
    <w:rsid w:val="4FFF435B"/>
    <w:rsid w:val="500F68BB"/>
    <w:rsid w:val="50125E3D"/>
    <w:rsid w:val="5015592D"/>
    <w:rsid w:val="50210776"/>
    <w:rsid w:val="50212524"/>
    <w:rsid w:val="5023004A"/>
    <w:rsid w:val="50306C0B"/>
    <w:rsid w:val="50322F22"/>
    <w:rsid w:val="50371D47"/>
    <w:rsid w:val="503A2CAD"/>
    <w:rsid w:val="503C12E2"/>
    <w:rsid w:val="503E6C32"/>
    <w:rsid w:val="504B4305"/>
    <w:rsid w:val="504F7091"/>
    <w:rsid w:val="50526B81"/>
    <w:rsid w:val="505E72D4"/>
    <w:rsid w:val="506863A4"/>
    <w:rsid w:val="506F4EFF"/>
    <w:rsid w:val="506F7733"/>
    <w:rsid w:val="50731F86"/>
    <w:rsid w:val="507C3BFE"/>
    <w:rsid w:val="507E56FC"/>
    <w:rsid w:val="50834F8C"/>
    <w:rsid w:val="50866BA4"/>
    <w:rsid w:val="50894DDF"/>
    <w:rsid w:val="508A1E77"/>
    <w:rsid w:val="508C4B1B"/>
    <w:rsid w:val="50936E91"/>
    <w:rsid w:val="509C7F86"/>
    <w:rsid w:val="50A36ED3"/>
    <w:rsid w:val="50AB003F"/>
    <w:rsid w:val="50AE32A3"/>
    <w:rsid w:val="50BB4726"/>
    <w:rsid w:val="50C86E43"/>
    <w:rsid w:val="50CC5E28"/>
    <w:rsid w:val="50CF1F80"/>
    <w:rsid w:val="50D126CA"/>
    <w:rsid w:val="50D650BC"/>
    <w:rsid w:val="50E3052A"/>
    <w:rsid w:val="50E73E45"/>
    <w:rsid w:val="50E966D9"/>
    <w:rsid w:val="50F80318"/>
    <w:rsid w:val="50FD4D3F"/>
    <w:rsid w:val="510809D0"/>
    <w:rsid w:val="510C4F82"/>
    <w:rsid w:val="51120033"/>
    <w:rsid w:val="51145BE4"/>
    <w:rsid w:val="5115392F"/>
    <w:rsid w:val="51156D74"/>
    <w:rsid w:val="51181B78"/>
    <w:rsid w:val="511B3417"/>
    <w:rsid w:val="511D10F8"/>
    <w:rsid w:val="51371036"/>
    <w:rsid w:val="513B5867"/>
    <w:rsid w:val="513F0082"/>
    <w:rsid w:val="51400D55"/>
    <w:rsid w:val="51415B08"/>
    <w:rsid w:val="51440BDC"/>
    <w:rsid w:val="514456FB"/>
    <w:rsid w:val="51453FF0"/>
    <w:rsid w:val="51511345"/>
    <w:rsid w:val="51532BB1"/>
    <w:rsid w:val="51575EBA"/>
    <w:rsid w:val="51581F75"/>
    <w:rsid w:val="51646B6C"/>
    <w:rsid w:val="5176689F"/>
    <w:rsid w:val="51790BFB"/>
    <w:rsid w:val="517B6CE8"/>
    <w:rsid w:val="517F7502"/>
    <w:rsid w:val="5181771E"/>
    <w:rsid w:val="51894824"/>
    <w:rsid w:val="518B3BA2"/>
    <w:rsid w:val="518D17A8"/>
    <w:rsid w:val="519032CB"/>
    <w:rsid w:val="519311FF"/>
    <w:rsid w:val="51A0391C"/>
    <w:rsid w:val="51B573C7"/>
    <w:rsid w:val="51B9711D"/>
    <w:rsid w:val="51C55131"/>
    <w:rsid w:val="51DC0DF8"/>
    <w:rsid w:val="51DD691E"/>
    <w:rsid w:val="51E11F6A"/>
    <w:rsid w:val="51EC28B5"/>
    <w:rsid w:val="51F212DC"/>
    <w:rsid w:val="51F53C68"/>
    <w:rsid w:val="51FD3240"/>
    <w:rsid w:val="5201123C"/>
    <w:rsid w:val="52021EE1"/>
    <w:rsid w:val="520420FD"/>
    <w:rsid w:val="52164189"/>
    <w:rsid w:val="52382573"/>
    <w:rsid w:val="5244074B"/>
    <w:rsid w:val="524644C3"/>
    <w:rsid w:val="52573C41"/>
    <w:rsid w:val="525962B0"/>
    <w:rsid w:val="525A5DF9"/>
    <w:rsid w:val="525B1B01"/>
    <w:rsid w:val="526037D7"/>
    <w:rsid w:val="5268268C"/>
    <w:rsid w:val="52694B43"/>
    <w:rsid w:val="527674C5"/>
    <w:rsid w:val="527A2248"/>
    <w:rsid w:val="527F3531"/>
    <w:rsid w:val="528079D5"/>
    <w:rsid w:val="5281374D"/>
    <w:rsid w:val="52850B82"/>
    <w:rsid w:val="528F5E6A"/>
    <w:rsid w:val="529174F0"/>
    <w:rsid w:val="52943481"/>
    <w:rsid w:val="52953D07"/>
    <w:rsid w:val="529671F9"/>
    <w:rsid w:val="529E42FF"/>
    <w:rsid w:val="52A34B6B"/>
    <w:rsid w:val="52A35FE1"/>
    <w:rsid w:val="52A51274"/>
    <w:rsid w:val="52A72D99"/>
    <w:rsid w:val="52AD4542"/>
    <w:rsid w:val="52BB0A0D"/>
    <w:rsid w:val="52BE0313"/>
    <w:rsid w:val="52C04276"/>
    <w:rsid w:val="52CA5E0F"/>
    <w:rsid w:val="52CA6EA2"/>
    <w:rsid w:val="52D17641"/>
    <w:rsid w:val="52EB0BC7"/>
    <w:rsid w:val="52F347A6"/>
    <w:rsid w:val="530F0D59"/>
    <w:rsid w:val="53126C6E"/>
    <w:rsid w:val="531557AC"/>
    <w:rsid w:val="532102E4"/>
    <w:rsid w:val="532C190B"/>
    <w:rsid w:val="532F28D3"/>
    <w:rsid w:val="533410AE"/>
    <w:rsid w:val="53392AA6"/>
    <w:rsid w:val="533B3627"/>
    <w:rsid w:val="53492790"/>
    <w:rsid w:val="53497454"/>
    <w:rsid w:val="534F73A8"/>
    <w:rsid w:val="53500846"/>
    <w:rsid w:val="53530C46"/>
    <w:rsid w:val="535852CF"/>
    <w:rsid w:val="535E583D"/>
    <w:rsid w:val="535F3D7C"/>
    <w:rsid w:val="53620907"/>
    <w:rsid w:val="53632DD1"/>
    <w:rsid w:val="536F7A4A"/>
    <w:rsid w:val="53872039"/>
    <w:rsid w:val="53872ABE"/>
    <w:rsid w:val="538A03E0"/>
    <w:rsid w:val="539F330A"/>
    <w:rsid w:val="53A01F83"/>
    <w:rsid w:val="53A3345F"/>
    <w:rsid w:val="53B5495C"/>
    <w:rsid w:val="53B67427"/>
    <w:rsid w:val="53BC2C8F"/>
    <w:rsid w:val="53BD4CCB"/>
    <w:rsid w:val="53CE70EE"/>
    <w:rsid w:val="53D1600F"/>
    <w:rsid w:val="53E2021C"/>
    <w:rsid w:val="53E47AF0"/>
    <w:rsid w:val="53EC463D"/>
    <w:rsid w:val="53EF4CDC"/>
    <w:rsid w:val="53F1045F"/>
    <w:rsid w:val="53F3316E"/>
    <w:rsid w:val="53F71503"/>
    <w:rsid w:val="53F918B8"/>
    <w:rsid w:val="54041F40"/>
    <w:rsid w:val="54047617"/>
    <w:rsid w:val="54063F0A"/>
    <w:rsid w:val="54065CB8"/>
    <w:rsid w:val="54107360"/>
    <w:rsid w:val="541A5C08"/>
    <w:rsid w:val="541C372E"/>
    <w:rsid w:val="541F321E"/>
    <w:rsid w:val="54280B35"/>
    <w:rsid w:val="542B1BC3"/>
    <w:rsid w:val="543744C9"/>
    <w:rsid w:val="543B7AA2"/>
    <w:rsid w:val="54462559"/>
    <w:rsid w:val="545033D7"/>
    <w:rsid w:val="5454111A"/>
    <w:rsid w:val="54554E92"/>
    <w:rsid w:val="545D5F6F"/>
    <w:rsid w:val="54683AEA"/>
    <w:rsid w:val="546D21DB"/>
    <w:rsid w:val="546D5D37"/>
    <w:rsid w:val="546D734C"/>
    <w:rsid w:val="546E2BC6"/>
    <w:rsid w:val="5470098D"/>
    <w:rsid w:val="54764F44"/>
    <w:rsid w:val="54866D88"/>
    <w:rsid w:val="548B74FF"/>
    <w:rsid w:val="548E3F00"/>
    <w:rsid w:val="548F5C80"/>
    <w:rsid w:val="54915FFE"/>
    <w:rsid w:val="54992FD0"/>
    <w:rsid w:val="54996B2C"/>
    <w:rsid w:val="54AA3C68"/>
    <w:rsid w:val="54B97065"/>
    <w:rsid w:val="54BA4CF5"/>
    <w:rsid w:val="54C47921"/>
    <w:rsid w:val="54C6369A"/>
    <w:rsid w:val="54C811C0"/>
    <w:rsid w:val="54CB1DA5"/>
    <w:rsid w:val="54D12195"/>
    <w:rsid w:val="54D16921"/>
    <w:rsid w:val="54E10F64"/>
    <w:rsid w:val="54EA103B"/>
    <w:rsid w:val="54ED6E78"/>
    <w:rsid w:val="54F3727C"/>
    <w:rsid w:val="54F57348"/>
    <w:rsid w:val="55036206"/>
    <w:rsid w:val="550D0FCA"/>
    <w:rsid w:val="55164621"/>
    <w:rsid w:val="55180399"/>
    <w:rsid w:val="55202DAA"/>
    <w:rsid w:val="552A1E7A"/>
    <w:rsid w:val="552D196B"/>
    <w:rsid w:val="55302DCC"/>
    <w:rsid w:val="55313209"/>
    <w:rsid w:val="55376345"/>
    <w:rsid w:val="55417CD4"/>
    <w:rsid w:val="55676C2B"/>
    <w:rsid w:val="556E6B76"/>
    <w:rsid w:val="55741347"/>
    <w:rsid w:val="55764AD3"/>
    <w:rsid w:val="557B26D6"/>
    <w:rsid w:val="557D659C"/>
    <w:rsid w:val="557F2952"/>
    <w:rsid w:val="55805F3E"/>
    <w:rsid w:val="55830196"/>
    <w:rsid w:val="558C48E3"/>
    <w:rsid w:val="558C7A4D"/>
    <w:rsid w:val="558E065B"/>
    <w:rsid w:val="559158A4"/>
    <w:rsid w:val="55920143"/>
    <w:rsid w:val="55943272"/>
    <w:rsid w:val="559A7000"/>
    <w:rsid w:val="55A734CB"/>
    <w:rsid w:val="55A755C8"/>
    <w:rsid w:val="55AA193E"/>
    <w:rsid w:val="55AB2A15"/>
    <w:rsid w:val="55B93084"/>
    <w:rsid w:val="55BB6F76"/>
    <w:rsid w:val="55C027DF"/>
    <w:rsid w:val="55C50039"/>
    <w:rsid w:val="55C5177C"/>
    <w:rsid w:val="55CA71B9"/>
    <w:rsid w:val="55CF657E"/>
    <w:rsid w:val="55D122F6"/>
    <w:rsid w:val="55D64927"/>
    <w:rsid w:val="55D818D6"/>
    <w:rsid w:val="55D8236C"/>
    <w:rsid w:val="55DA38A0"/>
    <w:rsid w:val="55DF0EB7"/>
    <w:rsid w:val="55E22755"/>
    <w:rsid w:val="55E47A9A"/>
    <w:rsid w:val="55E53FF3"/>
    <w:rsid w:val="55EC0647"/>
    <w:rsid w:val="55EC7130"/>
    <w:rsid w:val="55EF09CE"/>
    <w:rsid w:val="55FA103F"/>
    <w:rsid w:val="56102E1E"/>
    <w:rsid w:val="56260894"/>
    <w:rsid w:val="56290384"/>
    <w:rsid w:val="562B5EAA"/>
    <w:rsid w:val="562C39D0"/>
    <w:rsid w:val="562E599A"/>
    <w:rsid w:val="56310E5D"/>
    <w:rsid w:val="56327239"/>
    <w:rsid w:val="563665FD"/>
    <w:rsid w:val="564153D6"/>
    <w:rsid w:val="56416B64"/>
    <w:rsid w:val="56440B81"/>
    <w:rsid w:val="56486A5C"/>
    <w:rsid w:val="564E7DEA"/>
    <w:rsid w:val="56503B63"/>
    <w:rsid w:val="56574EF1"/>
    <w:rsid w:val="565D3B8A"/>
    <w:rsid w:val="566B62FC"/>
    <w:rsid w:val="56757125"/>
    <w:rsid w:val="567809C3"/>
    <w:rsid w:val="567F61F6"/>
    <w:rsid w:val="5681223E"/>
    <w:rsid w:val="568B4B9B"/>
    <w:rsid w:val="568D0913"/>
    <w:rsid w:val="568E1AA6"/>
    <w:rsid w:val="569A4DDE"/>
    <w:rsid w:val="56A44A50"/>
    <w:rsid w:val="56A95021"/>
    <w:rsid w:val="56AA4127"/>
    <w:rsid w:val="56AE2637"/>
    <w:rsid w:val="56B23ED5"/>
    <w:rsid w:val="56BF65F2"/>
    <w:rsid w:val="56C1680E"/>
    <w:rsid w:val="56CB143B"/>
    <w:rsid w:val="56D025AE"/>
    <w:rsid w:val="56D91CB6"/>
    <w:rsid w:val="56DA2FAC"/>
    <w:rsid w:val="56DC0F52"/>
    <w:rsid w:val="56E27F2F"/>
    <w:rsid w:val="56E66275"/>
    <w:rsid w:val="56E71677"/>
    <w:rsid w:val="56F00EA2"/>
    <w:rsid w:val="56F73FDE"/>
    <w:rsid w:val="56F86233"/>
    <w:rsid w:val="570109B9"/>
    <w:rsid w:val="57030BD5"/>
    <w:rsid w:val="570D16E1"/>
    <w:rsid w:val="571A1A7B"/>
    <w:rsid w:val="57284198"/>
    <w:rsid w:val="572B1EDA"/>
    <w:rsid w:val="573269D3"/>
    <w:rsid w:val="57392849"/>
    <w:rsid w:val="573E79FE"/>
    <w:rsid w:val="574014E1"/>
    <w:rsid w:val="574C257C"/>
    <w:rsid w:val="574D3BFE"/>
    <w:rsid w:val="575C6D34"/>
    <w:rsid w:val="575D6537"/>
    <w:rsid w:val="575E5E0B"/>
    <w:rsid w:val="576C0528"/>
    <w:rsid w:val="57724075"/>
    <w:rsid w:val="577E084B"/>
    <w:rsid w:val="57A51C8C"/>
    <w:rsid w:val="57A647C2"/>
    <w:rsid w:val="57BB14B0"/>
    <w:rsid w:val="57C2283E"/>
    <w:rsid w:val="57C367DE"/>
    <w:rsid w:val="57CC7219"/>
    <w:rsid w:val="57D936E4"/>
    <w:rsid w:val="57DE6F4C"/>
    <w:rsid w:val="57E502DB"/>
    <w:rsid w:val="57E6775E"/>
    <w:rsid w:val="57EA7AE7"/>
    <w:rsid w:val="57EE3633"/>
    <w:rsid w:val="57EF0AE9"/>
    <w:rsid w:val="57F0761C"/>
    <w:rsid w:val="57F74FF2"/>
    <w:rsid w:val="57FC241C"/>
    <w:rsid w:val="58020E8D"/>
    <w:rsid w:val="580746F5"/>
    <w:rsid w:val="580819E7"/>
    <w:rsid w:val="58093FC9"/>
    <w:rsid w:val="580F5357"/>
    <w:rsid w:val="5811486A"/>
    <w:rsid w:val="581432B4"/>
    <w:rsid w:val="58150BC0"/>
    <w:rsid w:val="581C18BC"/>
    <w:rsid w:val="581D1822"/>
    <w:rsid w:val="5822508B"/>
    <w:rsid w:val="5827795C"/>
    <w:rsid w:val="583A0626"/>
    <w:rsid w:val="583C205C"/>
    <w:rsid w:val="583F5C3D"/>
    <w:rsid w:val="584B45E2"/>
    <w:rsid w:val="58507E4A"/>
    <w:rsid w:val="58690F0C"/>
    <w:rsid w:val="586D09FC"/>
    <w:rsid w:val="5875340D"/>
    <w:rsid w:val="58774527"/>
    <w:rsid w:val="5878114F"/>
    <w:rsid w:val="587873A1"/>
    <w:rsid w:val="58813029"/>
    <w:rsid w:val="5886561A"/>
    <w:rsid w:val="5895585D"/>
    <w:rsid w:val="589E01D0"/>
    <w:rsid w:val="589F0489"/>
    <w:rsid w:val="58A261CC"/>
    <w:rsid w:val="58A7385D"/>
    <w:rsid w:val="58A9755A"/>
    <w:rsid w:val="58B77EC9"/>
    <w:rsid w:val="58BE1257"/>
    <w:rsid w:val="58BF0B2C"/>
    <w:rsid w:val="58C02527"/>
    <w:rsid w:val="58C820B8"/>
    <w:rsid w:val="58D238EE"/>
    <w:rsid w:val="58D537FD"/>
    <w:rsid w:val="58D72319"/>
    <w:rsid w:val="58D75E75"/>
    <w:rsid w:val="58E76170"/>
    <w:rsid w:val="5904092F"/>
    <w:rsid w:val="590649AC"/>
    <w:rsid w:val="591069ED"/>
    <w:rsid w:val="5915074C"/>
    <w:rsid w:val="591C1ADA"/>
    <w:rsid w:val="591D1D79"/>
    <w:rsid w:val="59205A6E"/>
    <w:rsid w:val="59213594"/>
    <w:rsid w:val="59320EE4"/>
    <w:rsid w:val="593212FE"/>
    <w:rsid w:val="593257A1"/>
    <w:rsid w:val="593603E8"/>
    <w:rsid w:val="5939268C"/>
    <w:rsid w:val="593E1FA0"/>
    <w:rsid w:val="593E7CA2"/>
    <w:rsid w:val="594F0101"/>
    <w:rsid w:val="5952374E"/>
    <w:rsid w:val="59574B49"/>
    <w:rsid w:val="595A2602"/>
    <w:rsid w:val="59613991"/>
    <w:rsid w:val="5966544B"/>
    <w:rsid w:val="59671962"/>
    <w:rsid w:val="596F2552"/>
    <w:rsid w:val="59714055"/>
    <w:rsid w:val="59797DB3"/>
    <w:rsid w:val="597E2303"/>
    <w:rsid w:val="598558D1"/>
    <w:rsid w:val="59875AED"/>
    <w:rsid w:val="598A738C"/>
    <w:rsid w:val="598D4786"/>
    <w:rsid w:val="599414E6"/>
    <w:rsid w:val="5996188C"/>
    <w:rsid w:val="59986115"/>
    <w:rsid w:val="599E6993"/>
    <w:rsid w:val="59A0095D"/>
    <w:rsid w:val="59A246D5"/>
    <w:rsid w:val="59A57D21"/>
    <w:rsid w:val="59C53F20"/>
    <w:rsid w:val="59C56616"/>
    <w:rsid w:val="59C721A6"/>
    <w:rsid w:val="59C97EB4"/>
    <w:rsid w:val="59CC1752"/>
    <w:rsid w:val="59D62B43"/>
    <w:rsid w:val="59D6437F"/>
    <w:rsid w:val="59DB2BDF"/>
    <w:rsid w:val="59EF3692"/>
    <w:rsid w:val="59F842F5"/>
    <w:rsid w:val="59FA7FB5"/>
    <w:rsid w:val="5A171F68"/>
    <w:rsid w:val="5A1A7EC3"/>
    <w:rsid w:val="5A1D1FAE"/>
    <w:rsid w:val="5A1E411E"/>
    <w:rsid w:val="5A317807"/>
    <w:rsid w:val="5A36665F"/>
    <w:rsid w:val="5A3B2434"/>
    <w:rsid w:val="5A421A14"/>
    <w:rsid w:val="5A4C63EF"/>
    <w:rsid w:val="5A6279C1"/>
    <w:rsid w:val="5A951B44"/>
    <w:rsid w:val="5A955FE8"/>
    <w:rsid w:val="5AA47FD9"/>
    <w:rsid w:val="5AA8669B"/>
    <w:rsid w:val="5AA867D6"/>
    <w:rsid w:val="5AAF5D14"/>
    <w:rsid w:val="5ABF12B7"/>
    <w:rsid w:val="5AC24B9D"/>
    <w:rsid w:val="5AC32182"/>
    <w:rsid w:val="5AC972FC"/>
    <w:rsid w:val="5ACC3AF7"/>
    <w:rsid w:val="5ACE5056"/>
    <w:rsid w:val="5ADB1DB8"/>
    <w:rsid w:val="5ADE798F"/>
    <w:rsid w:val="5ADF54B5"/>
    <w:rsid w:val="5AEB5C08"/>
    <w:rsid w:val="5AEE394A"/>
    <w:rsid w:val="5AF727FF"/>
    <w:rsid w:val="5B0171D9"/>
    <w:rsid w:val="5B043C4D"/>
    <w:rsid w:val="5B0942E0"/>
    <w:rsid w:val="5B0D2A8C"/>
    <w:rsid w:val="5B221B8D"/>
    <w:rsid w:val="5B223606"/>
    <w:rsid w:val="5B24111A"/>
    <w:rsid w:val="5B2522B9"/>
    <w:rsid w:val="5B2829B8"/>
    <w:rsid w:val="5B3475AF"/>
    <w:rsid w:val="5B3F7D02"/>
    <w:rsid w:val="5B417F1E"/>
    <w:rsid w:val="5B452255"/>
    <w:rsid w:val="5B467DB9"/>
    <w:rsid w:val="5B48305A"/>
    <w:rsid w:val="5B4A6DD2"/>
    <w:rsid w:val="5B4E6197"/>
    <w:rsid w:val="5B5D6FE2"/>
    <w:rsid w:val="5B5E287E"/>
    <w:rsid w:val="5B613801"/>
    <w:rsid w:val="5B7114D5"/>
    <w:rsid w:val="5B8A1E92"/>
    <w:rsid w:val="5B953DC6"/>
    <w:rsid w:val="5B960EA4"/>
    <w:rsid w:val="5BAF17EE"/>
    <w:rsid w:val="5BB10BFF"/>
    <w:rsid w:val="5BBB1A7E"/>
    <w:rsid w:val="5BBF646E"/>
    <w:rsid w:val="5BC70423"/>
    <w:rsid w:val="5BC81CBC"/>
    <w:rsid w:val="5BCA11D2"/>
    <w:rsid w:val="5BCB199C"/>
    <w:rsid w:val="5BCF1086"/>
    <w:rsid w:val="5BD312C9"/>
    <w:rsid w:val="5BD52C24"/>
    <w:rsid w:val="5BD668B8"/>
    <w:rsid w:val="5BEA4111"/>
    <w:rsid w:val="5BF67E8B"/>
    <w:rsid w:val="5C090A3C"/>
    <w:rsid w:val="5C0A6562"/>
    <w:rsid w:val="5C0F6AE3"/>
    <w:rsid w:val="5C142F3C"/>
    <w:rsid w:val="5C1B3309"/>
    <w:rsid w:val="5C1E200D"/>
    <w:rsid w:val="5C2869E8"/>
    <w:rsid w:val="5C2C72B3"/>
    <w:rsid w:val="5C340BC3"/>
    <w:rsid w:val="5C403D31"/>
    <w:rsid w:val="5C426BCA"/>
    <w:rsid w:val="5C433822"/>
    <w:rsid w:val="5C496F44"/>
    <w:rsid w:val="5C4E11DA"/>
    <w:rsid w:val="5C563555"/>
    <w:rsid w:val="5C5E240A"/>
    <w:rsid w:val="5C602626"/>
    <w:rsid w:val="5C634BE5"/>
    <w:rsid w:val="5C6C3A01"/>
    <w:rsid w:val="5C734107"/>
    <w:rsid w:val="5C840D58"/>
    <w:rsid w:val="5C877BB2"/>
    <w:rsid w:val="5C966047"/>
    <w:rsid w:val="5CB20F6B"/>
    <w:rsid w:val="5CBA7F88"/>
    <w:rsid w:val="5CBC5AAE"/>
    <w:rsid w:val="5CBF10FA"/>
    <w:rsid w:val="5CBF559E"/>
    <w:rsid w:val="5CC26E3C"/>
    <w:rsid w:val="5CC74453"/>
    <w:rsid w:val="5CCB7A9F"/>
    <w:rsid w:val="5CCD43A1"/>
    <w:rsid w:val="5CD75B6F"/>
    <w:rsid w:val="5CD9539A"/>
    <w:rsid w:val="5CE60D7D"/>
    <w:rsid w:val="5CED210B"/>
    <w:rsid w:val="5CEE378D"/>
    <w:rsid w:val="5CEE5391"/>
    <w:rsid w:val="5CFA0384"/>
    <w:rsid w:val="5CFA46BD"/>
    <w:rsid w:val="5CFC40FC"/>
    <w:rsid w:val="5D0336DD"/>
    <w:rsid w:val="5D066D29"/>
    <w:rsid w:val="5D0E014F"/>
    <w:rsid w:val="5D121B72"/>
    <w:rsid w:val="5D156F6C"/>
    <w:rsid w:val="5D1A1043"/>
    <w:rsid w:val="5D281BE7"/>
    <w:rsid w:val="5D2D69AC"/>
    <w:rsid w:val="5D311CA4"/>
    <w:rsid w:val="5D335644"/>
    <w:rsid w:val="5D383336"/>
    <w:rsid w:val="5D3F66DF"/>
    <w:rsid w:val="5D4C6E3D"/>
    <w:rsid w:val="5D5C103F"/>
    <w:rsid w:val="5D69550A"/>
    <w:rsid w:val="5D6E48CE"/>
    <w:rsid w:val="5D6F5336"/>
    <w:rsid w:val="5D702CF7"/>
    <w:rsid w:val="5D752101"/>
    <w:rsid w:val="5D7A14C5"/>
    <w:rsid w:val="5D804D2D"/>
    <w:rsid w:val="5D845EA0"/>
    <w:rsid w:val="5D872550"/>
    <w:rsid w:val="5D891708"/>
    <w:rsid w:val="5D916F3A"/>
    <w:rsid w:val="5D923F17"/>
    <w:rsid w:val="5DB03139"/>
    <w:rsid w:val="5DB22A0D"/>
    <w:rsid w:val="5DB26EB1"/>
    <w:rsid w:val="5DB3569D"/>
    <w:rsid w:val="5DB546BA"/>
    <w:rsid w:val="5DB9023F"/>
    <w:rsid w:val="5DBB3FB7"/>
    <w:rsid w:val="5DBD0B12"/>
    <w:rsid w:val="5DC32E6C"/>
    <w:rsid w:val="5DC50992"/>
    <w:rsid w:val="5DC731D6"/>
    <w:rsid w:val="5DC82230"/>
    <w:rsid w:val="5DD72473"/>
    <w:rsid w:val="5DDB5388"/>
    <w:rsid w:val="5DEB63BE"/>
    <w:rsid w:val="5DED7EE9"/>
    <w:rsid w:val="5DFF528E"/>
    <w:rsid w:val="5E0A7E98"/>
    <w:rsid w:val="5E164104"/>
    <w:rsid w:val="5E1831B8"/>
    <w:rsid w:val="5E201E8C"/>
    <w:rsid w:val="5E227E9E"/>
    <w:rsid w:val="5E250365"/>
    <w:rsid w:val="5E2558D5"/>
    <w:rsid w:val="5E2751A9"/>
    <w:rsid w:val="5E343A73"/>
    <w:rsid w:val="5E361890"/>
    <w:rsid w:val="5E3B3BD6"/>
    <w:rsid w:val="5E453881"/>
    <w:rsid w:val="5E457D25"/>
    <w:rsid w:val="5E4C4C10"/>
    <w:rsid w:val="5E4E6BDA"/>
    <w:rsid w:val="5E510478"/>
    <w:rsid w:val="5E525F9E"/>
    <w:rsid w:val="5E536CFF"/>
    <w:rsid w:val="5E581806"/>
    <w:rsid w:val="5E6768BD"/>
    <w:rsid w:val="5E6D7873"/>
    <w:rsid w:val="5E72408D"/>
    <w:rsid w:val="5E781EA8"/>
    <w:rsid w:val="5E8720EC"/>
    <w:rsid w:val="5E8C7702"/>
    <w:rsid w:val="5EA27886"/>
    <w:rsid w:val="5EAC56AE"/>
    <w:rsid w:val="5EB033F0"/>
    <w:rsid w:val="5EB822A5"/>
    <w:rsid w:val="5EB95AB6"/>
    <w:rsid w:val="5EBC04CF"/>
    <w:rsid w:val="5EBF5ED8"/>
    <w:rsid w:val="5ECA3D86"/>
    <w:rsid w:val="5ECC3FA2"/>
    <w:rsid w:val="5ECE1AC8"/>
    <w:rsid w:val="5ED115B9"/>
    <w:rsid w:val="5ED67C1B"/>
    <w:rsid w:val="5ED74E21"/>
    <w:rsid w:val="5EEE216B"/>
    <w:rsid w:val="5EFA466C"/>
    <w:rsid w:val="5F011E9E"/>
    <w:rsid w:val="5F065D64"/>
    <w:rsid w:val="5F0674B4"/>
    <w:rsid w:val="5F0B6879"/>
    <w:rsid w:val="5F155949"/>
    <w:rsid w:val="5F244F09"/>
    <w:rsid w:val="5F275CDD"/>
    <w:rsid w:val="5F277029"/>
    <w:rsid w:val="5F2E2567"/>
    <w:rsid w:val="5F381638"/>
    <w:rsid w:val="5F394280"/>
    <w:rsid w:val="5F427DC1"/>
    <w:rsid w:val="5F4678B1"/>
    <w:rsid w:val="5F4B6A61"/>
    <w:rsid w:val="5F5244A8"/>
    <w:rsid w:val="5F597DD2"/>
    <w:rsid w:val="5F6917F1"/>
    <w:rsid w:val="5F73441E"/>
    <w:rsid w:val="5F736417"/>
    <w:rsid w:val="5F7454D4"/>
    <w:rsid w:val="5F747793"/>
    <w:rsid w:val="5F773F0E"/>
    <w:rsid w:val="5F797C86"/>
    <w:rsid w:val="5F7C69C2"/>
    <w:rsid w:val="5F7E6A88"/>
    <w:rsid w:val="5F7F1015"/>
    <w:rsid w:val="5F824687"/>
    <w:rsid w:val="5F9C1BC7"/>
    <w:rsid w:val="5F9C5723"/>
    <w:rsid w:val="5FA82319"/>
    <w:rsid w:val="5FAB3BB8"/>
    <w:rsid w:val="5FB32BAC"/>
    <w:rsid w:val="5FBF1411"/>
    <w:rsid w:val="5FC11DD9"/>
    <w:rsid w:val="5FCA6734"/>
    <w:rsid w:val="5FCF1FF6"/>
    <w:rsid w:val="5FCF3D4A"/>
    <w:rsid w:val="5FD0206B"/>
    <w:rsid w:val="5FD21144"/>
    <w:rsid w:val="5FD72F2B"/>
    <w:rsid w:val="5FD75963"/>
    <w:rsid w:val="5FE07D05"/>
    <w:rsid w:val="5FE315A4"/>
    <w:rsid w:val="5FE349C2"/>
    <w:rsid w:val="5FE570CA"/>
    <w:rsid w:val="5FE5719F"/>
    <w:rsid w:val="5FE62E42"/>
    <w:rsid w:val="5FF732A1"/>
    <w:rsid w:val="5FFC08B7"/>
    <w:rsid w:val="5FFE2157"/>
    <w:rsid w:val="5FFE462F"/>
    <w:rsid w:val="6000516C"/>
    <w:rsid w:val="60102251"/>
    <w:rsid w:val="601B6F8F"/>
    <w:rsid w:val="60251BBC"/>
    <w:rsid w:val="60267DFE"/>
    <w:rsid w:val="602C4B7C"/>
    <w:rsid w:val="60301761"/>
    <w:rsid w:val="60335F84"/>
    <w:rsid w:val="6038094B"/>
    <w:rsid w:val="603C13ED"/>
    <w:rsid w:val="60477D84"/>
    <w:rsid w:val="604B288E"/>
    <w:rsid w:val="604E7B4F"/>
    <w:rsid w:val="605129B1"/>
    <w:rsid w:val="606140DA"/>
    <w:rsid w:val="6061410F"/>
    <w:rsid w:val="607466A0"/>
    <w:rsid w:val="608143A4"/>
    <w:rsid w:val="60836580"/>
    <w:rsid w:val="60885CA7"/>
    <w:rsid w:val="608C1C3B"/>
    <w:rsid w:val="608D150F"/>
    <w:rsid w:val="60932FCA"/>
    <w:rsid w:val="60956D42"/>
    <w:rsid w:val="609D79A4"/>
    <w:rsid w:val="60B04029"/>
    <w:rsid w:val="60B5355E"/>
    <w:rsid w:val="60BA0D35"/>
    <w:rsid w:val="60BB0390"/>
    <w:rsid w:val="60C45564"/>
    <w:rsid w:val="60C87CD4"/>
    <w:rsid w:val="60C969EB"/>
    <w:rsid w:val="60CC64DC"/>
    <w:rsid w:val="60CE5DB0"/>
    <w:rsid w:val="60D333C6"/>
    <w:rsid w:val="60D81B4F"/>
    <w:rsid w:val="60DD4758"/>
    <w:rsid w:val="60DF1D6B"/>
    <w:rsid w:val="60E03D35"/>
    <w:rsid w:val="60E07891"/>
    <w:rsid w:val="60E14399"/>
    <w:rsid w:val="60E5134B"/>
    <w:rsid w:val="60EE6452"/>
    <w:rsid w:val="60F0438E"/>
    <w:rsid w:val="60F35816"/>
    <w:rsid w:val="60F556F3"/>
    <w:rsid w:val="60FC05BC"/>
    <w:rsid w:val="61060DE4"/>
    <w:rsid w:val="6107086D"/>
    <w:rsid w:val="610A2B60"/>
    <w:rsid w:val="6110461A"/>
    <w:rsid w:val="61113EEE"/>
    <w:rsid w:val="61194C67"/>
    <w:rsid w:val="612B3202"/>
    <w:rsid w:val="613B124A"/>
    <w:rsid w:val="61427FE8"/>
    <w:rsid w:val="614603B6"/>
    <w:rsid w:val="61477910"/>
    <w:rsid w:val="614F319D"/>
    <w:rsid w:val="61501544"/>
    <w:rsid w:val="615269E1"/>
    <w:rsid w:val="615F6A83"/>
    <w:rsid w:val="616B6C89"/>
    <w:rsid w:val="616C7377"/>
    <w:rsid w:val="61730705"/>
    <w:rsid w:val="61786783"/>
    <w:rsid w:val="61895441"/>
    <w:rsid w:val="619743F4"/>
    <w:rsid w:val="61AF1334"/>
    <w:rsid w:val="61B431F8"/>
    <w:rsid w:val="61B67676"/>
    <w:rsid w:val="61C805F8"/>
    <w:rsid w:val="61D4389A"/>
    <w:rsid w:val="61D77119"/>
    <w:rsid w:val="61D919F4"/>
    <w:rsid w:val="61DE0274"/>
    <w:rsid w:val="61E33ADD"/>
    <w:rsid w:val="61ED6B42"/>
    <w:rsid w:val="61F061FA"/>
    <w:rsid w:val="62087822"/>
    <w:rsid w:val="62126170"/>
    <w:rsid w:val="6220263B"/>
    <w:rsid w:val="62257C51"/>
    <w:rsid w:val="62326812"/>
    <w:rsid w:val="6239194F"/>
    <w:rsid w:val="623B7475"/>
    <w:rsid w:val="623E2728"/>
    <w:rsid w:val="62456545"/>
    <w:rsid w:val="62481B92"/>
    <w:rsid w:val="624A3B5C"/>
    <w:rsid w:val="624B78EB"/>
    <w:rsid w:val="624F35E2"/>
    <w:rsid w:val="62593D9F"/>
    <w:rsid w:val="62603D9C"/>
    <w:rsid w:val="62614A02"/>
    <w:rsid w:val="62682234"/>
    <w:rsid w:val="626B6BE5"/>
    <w:rsid w:val="626D15F8"/>
    <w:rsid w:val="62712E97"/>
    <w:rsid w:val="627209BD"/>
    <w:rsid w:val="627E3463"/>
    <w:rsid w:val="629152E7"/>
    <w:rsid w:val="6295268F"/>
    <w:rsid w:val="62960B4F"/>
    <w:rsid w:val="6299063F"/>
    <w:rsid w:val="62A514DE"/>
    <w:rsid w:val="62A824CA"/>
    <w:rsid w:val="62A82630"/>
    <w:rsid w:val="62AA0157"/>
    <w:rsid w:val="62AD10B2"/>
    <w:rsid w:val="62AF1C11"/>
    <w:rsid w:val="62AF7E63"/>
    <w:rsid w:val="62B400C5"/>
    <w:rsid w:val="62BE475E"/>
    <w:rsid w:val="62C66B3B"/>
    <w:rsid w:val="62CC631F"/>
    <w:rsid w:val="62CE0F03"/>
    <w:rsid w:val="62D11B87"/>
    <w:rsid w:val="62D17DD9"/>
    <w:rsid w:val="62DA4EE0"/>
    <w:rsid w:val="62DE677A"/>
    <w:rsid w:val="62DF4C5B"/>
    <w:rsid w:val="62E713AB"/>
    <w:rsid w:val="62F6339C"/>
    <w:rsid w:val="62FA476C"/>
    <w:rsid w:val="63035108"/>
    <w:rsid w:val="6306497D"/>
    <w:rsid w:val="630A6E47"/>
    <w:rsid w:val="63113943"/>
    <w:rsid w:val="631842CA"/>
    <w:rsid w:val="631F0B45"/>
    <w:rsid w:val="63332842"/>
    <w:rsid w:val="63381C06"/>
    <w:rsid w:val="633A597E"/>
    <w:rsid w:val="634A5A1F"/>
    <w:rsid w:val="634E31D8"/>
    <w:rsid w:val="6367429A"/>
    <w:rsid w:val="636B1FDC"/>
    <w:rsid w:val="636C365E"/>
    <w:rsid w:val="636E5628"/>
    <w:rsid w:val="63790CC4"/>
    <w:rsid w:val="637D1D0F"/>
    <w:rsid w:val="63860BC4"/>
    <w:rsid w:val="63865A3C"/>
    <w:rsid w:val="63892462"/>
    <w:rsid w:val="639A01CB"/>
    <w:rsid w:val="639C03E7"/>
    <w:rsid w:val="63A55CB7"/>
    <w:rsid w:val="63A76594"/>
    <w:rsid w:val="63B3128D"/>
    <w:rsid w:val="63BC01E3"/>
    <w:rsid w:val="63BD3EBA"/>
    <w:rsid w:val="63D95197"/>
    <w:rsid w:val="63E241D4"/>
    <w:rsid w:val="63E43B3C"/>
    <w:rsid w:val="63E9152D"/>
    <w:rsid w:val="63EB6C79"/>
    <w:rsid w:val="63EF6E1C"/>
    <w:rsid w:val="63F55D49"/>
    <w:rsid w:val="63FA1290"/>
    <w:rsid w:val="63FA3360"/>
    <w:rsid w:val="63FD075A"/>
    <w:rsid w:val="640146EE"/>
    <w:rsid w:val="64025D70"/>
    <w:rsid w:val="640815D9"/>
    <w:rsid w:val="640F0BB9"/>
    <w:rsid w:val="64155AA4"/>
    <w:rsid w:val="641B77E7"/>
    <w:rsid w:val="641C5084"/>
    <w:rsid w:val="64243AAC"/>
    <w:rsid w:val="64260530"/>
    <w:rsid w:val="64340620"/>
    <w:rsid w:val="643423CE"/>
    <w:rsid w:val="643503EE"/>
    <w:rsid w:val="643E4FFA"/>
    <w:rsid w:val="64430863"/>
    <w:rsid w:val="64477A57"/>
    <w:rsid w:val="644840CB"/>
    <w:rsid w:val="644E3361"/>
    <w:rsid w:val="645B3DFE"/>
    <w:rsid w:val="646A3E60"/>
    <w:rsid w:val="646C600B"/>
    <w:rsid w:val="6477050C"/>
    <w:rsid w:val="647E189B"/>
    <w:rsid w:val="64806A5A"/>
    <w:rsid w:val="6486074F"/>
    <w:rsid w:val="64892429"/>
    <w:rsid w:val="64902E42"/>
    <w:rsid w:val="64AC6408"/>
    <w:rsid w:val="64B634FA"/>
    <w:rsid w:val="64BF71EB"/>
    <w:rsid w:val="64C164CD"/>
    <w:rsid w:val="64CD45D0"/>
    <w:rsid w:val="64D13404"/>
    <w:rsid w:val="64D140C0"/>
    <w:rsid w:val="64E060B2"/>
    <w:rsid w:val="64E57B6C"/>
    <w:rsid w:val="64E8417B"/>
    <w:rsid w:val="64E86202"/>
    <w:rsid w:val="64F34037"/>
    <w:rsid w:val="64F61D79"/>
    <w:rsid w:val="64F63B27"/>
    <w:rsid w:val="64F660FC"/>
    <w:rsid w:val="64FB280D"/>
    <w:rsid w:val="64FC31D0"/>
    <w:rsid w:val="650268CB"/>
    <w:rsid w:val="650348C5"/>
    <w:rsid w:val="650913DC"/>
    <w:rsid w:val="650C6EA7"/>
    <w:rsid w:val="6518088E"/>
    <w:rsid w:val="65200BA4"/>
    <w:rsid w:val="65281757"/>
    <w:rsid w:val="6531690D"/>
    <w:rsid w:val="6535701B"/>
    <w:rsid w:val="65387C9C"/>
    <w:rsid w:val="65476131"/>
    <w:rsid w:val="65575ECE"/>
    <w:rsid w:val="65597553"/>
    <w:rsid w:val="65624D19"/>
    <w:rsid w:val="656303C1"/>
    <w:rsid w:val="656A39B2"/>
    <w:rsid w:val="656B62C3"/>
    <w:rsid w:val="656F1575"/>
    <w:rsid w:val="6571504D"/>
    <w:rsid w:val="65803B72"/>
    <w:rsid w:val="658253BB"/>
    <w:rsid w:val="65921AA2"/>
    <w:rsid w:val="65993900"/>
    <w:rsid w:val="659D0447"/>
    <w:rsid w:val="65A26AC8"/>
    <w:rsid w:val="65B3660F"/>
    <w:rsid w:val="65B71508"/>
    <w:rsid w:val="65B80DDC"/>
    <w:rsid w:val="65CD2ADA"/>
    <w:rsid w:val="65D31E90"/>
    <w:rsid w:val="65DC2D1D"/>
    <w:rsid w:val="65FE7137"/>
    <w:rsid w:val="65FF4893"/>
    <w:rsid w:val="66042274"/>
    <w:rsid w:val="66085219"/>
    <w:rsid w:val="6609788A"/>
    <w:rsid w:val="66100C18"/>
    <w:rsid w:val="661C75BD"/>
    <w:rsid w:val="66220804"/>
    <w:rsid w:val="66285CFA"/>
    <w:rsid w:val="662B2DF7"/>
    <w:rsid w:val="662C28C3"/>
    <w:rsid w:val="66304E17"/>
    <w:rsid w:val="66383A27"/>
    <w:rsid w:val="66413542"/>
    <w:rsid w:val="66415276"/>
    <w:rsid w:val="664D3C1B"/>
    <w:rsid w:val="664F7D1A"/>
    <w:rsid w:val="66666B19"/>
    <w:rsid w:val="66833198"/>
    <w:rsid w:val="668533B4"/>
    <w:rsid w:val="668B64F1"/>
    <w:rsid w:val="668C2B1A"/>
    <w:rsid w:val="668E21F2"/>
    <w:rsid w:val="66996E60"/>
    <w:rsid w:val="66A95618"/>
    <w:rsid w:val="66B21CD0"/>
    <w:rsid w:val="66B45A48"/>
    <w:rsid w:val="66B5531C"/>
    <w:rsid w:val="66BC66AA"/>
    <w:rsid w:val="66C04F72"/>
    <w:rsid w:val="66C50691"/>
    <w:rsid w:val="66C537B1"/>
    <w:rsid w:val="66C7577B"/>
    <w:rsid w:val="66CC0FE3"/>
    <w:rsid w:val="66CD2666"/>
    <w:rsid w:val="66D954AE"/>
    <w:rsid w:val="66E14363"/>
    <w:rsid w:val="66E70F2E"/>
    <w:rsid w:val="66E856F1"/>
    <w:rsid w:val="66E91A9B"/>
    <w:rsid w:val="66EC51E2"/>
    <w:rsid w:val="66EF118A"/>
    <w:rsid w:val="66F9345B"/>
    <w:rsid w:val="66F978FF"/>
    <w:rsid w:val="6703252B"/>
    <w:rsid w:val="670425C8"/>
    <w:rsid w:val="670477DA"/>
    <w:rsid w:val="67144738"/>
    <w:rsid w:val="67187496"/>
    <w:rsid w:val="671B1623"/>
    <w:rsid w:val="671D183F"/>
    <w:rsid w:val="67226E55"/>
    <w:rsid w:val="67243E5D"/>
    <w:rsid w:val="6727446C"/>
    <w:rsid w:val="672865F6"/>
    <w:rsid w:val="672E75A8"/>
    <w:rsid w:val="67303D65"/>
    <w:rsid w:val="67332E10"/>
    <w:rsid w:val="67335ACC"/>
    <w:rsid w:val="67386679"/>
    <w:rsid w:val="67404831"/>
    <w:rsid w:val="67452B44"/>
    <w:rsid w:val="674D37A6"/>
    <w:rsid w:val="674E7C4A"/>
    <w:rsid w:val="674F751F"/>
    <w:rsid w:val="67530DBD"/>
    <w:rsid w:val="67545A3E"/>
    <w:rsid w:val="67551DF1"/>
    <w:rsid w:val="675D7E8D"/>
    <w:rsid w:val="676C3E80"/>
    <w:rsid w:val="676E5BF7"/>
    <w:rsid w:val="67707AEE"/>
    <w:rsid w:val="677156E7"/>
    <w:rsid w:val="67760F4F"/>
    <w:rsid w:val="67766DE4"/>
    <w:rsid w:val="677D0530"/>
    <w:rsid w:val="67917B37"/>
    <w:rsid w:val="679E06B1"/>
    <w:rsid w:val="67A94E81"/>
    <w:rsid w:val="67AC2BC3"/>
    <w:rsid w:val="67B419FC"/>
    <w:rsid w:val="67B83316"/>
    <w:rsid w:val="67BB268C"/>
    <w:rsid w:val="67C12CB3"/>
    <w:rsid w:val="67C9107F"/>
    <w:rsid w:val="67CE0D8B"/>
    <w:rsid w:val="67D0240D"/>
    <w:rsid w:val="67DF6AF4"/>
    <w:rsid w:val="67EB5499"/>
    <w:rsid w:val="67F1102B"/>
    <w:rsid w:val="67F337B4"/>
    <w:rsid w:val="67F65BEC"/>
    <w:rsid w:val="67FA392E"/>
    <w:rsid w:val="67FC1826"/>
    <w:rsid w:val="67FD341E"/>
    <w:rsid w:val="68063C28"/>
    <w:rsid w:val="68093B71"/>
    <w:rsid w:val="680B1697"/>
    <w:rsid w:val="68104546"/>
    <w:rsid w:val="681A3FD0"/>
    <w:rsid w:val="681D2DE1"/>
    <w:rsid w:val="681E0ADC"/>
    <w:rsid w:val="68202928"/>
    <w:rsid w:val="682C0E52"/>
    <w:rsid w:val="68307350"/>
    <w:rsid w:val="68307E79"/>
    <w:rsid w:val="6836496C"/>
    <w:rsid w:val="684C4B79"/>
    <w:rsid w:val="685726B3"/>
    <w:rsid w:val="68574F28"/>
    <w:rsid w:val="68591555"/>
    <w:rsid w:val="685E0409"/>
    <w:rsid w:val="68633281"/>
    <w:rsid w:val="68703BF0"/>
    <w:rsid w:val="6871017A"/>
    <w:rsid w:val="68861AD6"/>
    <w:rsid w:val="68880F3A"/>
    <w:rsid w:val="688E4077"/>
    <w:rsid w:val="68994EF5"/>
    <w:rsid w:val="68A145DE"/>
    <w:rsid w:val="68AA34DB"/>
    <w:rsid w:val="68AE3C3B"/>
    <w:rsid w:val="68B7181F"/>
    <w:rsid w:val="68C36416"/>
    <w:rsid w:val="68D423D1"/>
    <w:rsid w:val="68DC5B73"/>
    <w:rsid w:val="68E1689C"/>
    <w:rsid w:val="68EA39A3"/>
    <w:rsid w:val="68ED6FEF"/>
    <w:rsid w:val="68FA3C57"/>
    <w:rsid w:val="6904528D"/>
    <w:rsid w:val="690A194F"/>
    <w:rsid w:val="69132EFA"/>
    <w:rsid w:val="69146C72"/>
    <w:rsid w:val="69166546"/>
    <w:rsid w:val="691A66FD"/>
    <w:rsid w:val="691F21B4"/>
    <w:rsid w:val="69215FCF"/>
    <w:rsid w:val="692844CB"/>
    <w:rsid w:val="692969BF"/>
    <w:rsid w:val="692C7A28"/>
    <w:rsid w:val="692D1AE1"/>
    <w:rsid w:val="69396A04"/>
    <w:rsid w:val="69436D54"/>
    <w:rsid w:val="694A5C72"/>
    <w:rsid w:val="69524053"/>
    <w:rsid w:val="695910B8"/>
    <w:rsid w:val="696D1EDE"/>
    <w:rsid w:val="696F3EA8"/>
    <w:rsid w:val="697274F4"/>
    <w:rsid w:val="69735DED"/>
    <w:rsid w:val="69901A8C"/>
    <w:rsid w:val="69A973BA"/>
    <w:rsid w:val="69AB1384"/>
    <w:rsid w:val="69BD4C13"/>
    <w:rsid w:val="69BF6E66"/>
    <w:rsid w:val="69C42446"/>
    <w:rsid w:val="69CF7DA2"/>
    <w:rsid w:val="69D25049"/>
    <w:rsid w:val="69D2533B"/>
    <w:rsid w:val="69DB6DD7"/>
    <w:rsid w:val="69E76134"/>
    <w:rsid w:val="69E93C5A"/>
    <w:rsid w:val="69F8428E"/>
    <w:rsid w:val="69FC0B01"/>
    <w:rsid w:val="69FD3262"/>
    <w:rsid w:val="6A130CD7"/>
    <w:rsid w:val="6A1938B8"/>
    <w:rsid w:val="6A211646"/>
    <w:rsid w:val="6A266C5C"/>
    <w:rsid w:val="6A29666B"/>
    <w:rsid w:val="6A2A2BAD"/>
    <w:rsid w:val="6A300AC3"/>
    <w:rsid w:val="6A321CEB"/>
    <w:rsid w:val="6A3F1ACC"/>
    <w:rsid w:val="6A4175F2"/>
    <w:rsid w:val="6A4B66C3"/>
    <w:rsid w:val="6A4C5F97"/>
    <w:rsid w:val="6A5135AE"/>
    <w:rsid w:val="6A712145"/>
    <w:rsid w:val="6A786D8C"/>
    <w:rsid w:val="6A7C2FBF"/>
    <w:rsid w:val="6A881D8E"/>
    <w:rsid w:val="6A8A032F"/>
    <w:rsid w:val="6A933BC6"/>
    <w:rsid w:val="6A955B90"/>
    <w:rsid w:val="6A9E4A45"/>
    <w:rsid w:val="6AA5164F"/>
    <w:rsid w:val="6ABD522A"/>
    <w:rsid w:val="6AC60C55"/>
    <w:rsid w:val="6AC63F9C"/>
    <w:rsid w:val="6ACD70D8"/>
    <w:rsid w:val="6AD246EE"/>
    <w:rsid w:val="6AD2649C"/>
    <w:rsid w:val="6ADC556D"/>
    <w:rsid w:val="6ADE12E5"/>
    <w:rsid w:val="6AEB755E"/>
    <w:rsid w:val="6AED1E93"/>
    <w:rsid w:val="6AFB1E97"/>
    <w:rsid w:val="6AFE295E"/>
    <w:rsid w:val="6B0017D7"/>
    <w:rsid w:val="6B0250C0"/>
    <w:rsid w:val="6B056872"/>
    <w:rsid w:val="6B0625EA"/>
    <w:rsid w:val="6B0845B4"/>
    <w:rsid w:val="6B166CD1"/>
    <w:rsid w:val="6B1D005F"/>
    <w:rsid w:val="6B247542"/>
    <w:rsid w:val="6B256EA5"/>
    <w:rsid w:val="6B2F7D93"/>
    <w:rsid w:val="6B3129AF"/>
    <w:rsid w:val="6B383265"/>
    <w:rsid w:val="6B3F4ACC"/>
    <w:rsid w:val="6B403D4E"/>
    <w:rsid w:val="6B451364"/>
    <w:rsid w:val="6B454EC0"/>
    <w:rsid w:val="6B4D77D6"/>
    <w:rsid w:val="6B4F5D3F"/>
    <w:rsid w:val="6B532F8C"/>
    <w:rsid w:val="6B546A27"/>
    <w:rsid w:val="6B547C16"/>
    <w:rsid w:val="6B5D66AE"/>
    <w:rsid w:val="6B601CFA"/>
    <w:rsid w:val="6B633598"/>
    <w:rsid w:val="6B674850"/>
    <w:rsid w:val="6B6C1CC9"/>
    <w:rsid w:val="6B6F28FB"/>
    <w:rsid w:val="6B7602DE"/>
    <w:rsid w:val="6B841E8D"/>
    <w:rsid w:val="6B8461A4"/>
    <w:rsid w:val="6B89121E"/>
    <w:rsid w:val="6B8A1238"/>
    <w:rsid w:val="6B8C3C7C"/>
    <w:rsid w:val="6B9B71D6"/>
    <w:rsid w:val="6B9F7250"/>
    <w:rsid w:val="6BA147C4"/>
    <w:rsid w:val="6BA75B7B"/>
    <w:rsid w:val="6BAA0092"/>
    <w:rsid w:val="6BAF67DE"/>
    <w:rsid w:val="6BC81C79"/>
    <w:rsid w:val="6BD23A2A"/>
    <w:rsid w:val="6BD910A1"/>
    <w:rsid w:val="6BE02E3B"/>
    <w:rsid w:val="6BE37BAD"/>
    <w:rsid w:val="6BE4292B"/>
    <w:rsid w:val="6BE566A3"/>
    <w:rsid w:val="6BE73244"/>
    <w:rsid w:val="6BEA30ED"/>
    <w:rsid w:val="6BEB1F0C"/>
    <w:rsid w:val="6BEC358E"/>
    <w:rsid w:val="6BF379BD"/>
    <w:rsid w:val="6BF84629"/>
    <w:rsid w:val="6C060AF4"/>
    <w:rsid w:val="6C066D46"/>
    <w:rsid w:val="6C0E1756"/>
    <w:rsid w:val="6C16300E"/>
    <w:rsid w:val="6C225202"/>
    <w:rsid w:val="6C2C422A"/>
    <w:rsid w:val="6C315445"/>
    <w:rsid w:val="6C377D3B"/>
    <w:rsid w:val="6C3F4006"/>
    <w:rsid w:val="6C4533EE"/>
    <w:rsid w:val="6C62601D"/>
    <w:rsid w:val="6C643A6C"/>
    <w:rsid w:val="6C661592"/>
    <w:rsid w:val="6C663340"/>
    <w:rsid w:val="6C6A6AA3"/>
    <w:rsid w:val="6C81461E"/>
    <w:rsid w:val="6C832144"/>
    <w:rsid w:val="6C83352C"/>
    <w:rsid w:val="6C8A6E2C"/>
    <w:rsid w:val="6C8E1CF4"/>
    <w:rsid w:val="6C8E2C44"/>
    <w:rsid w:val="6C9B35C0"/>
    <w:rsid w:val="6CA36342"/>
    <w:rsid w:val="6CB06CB1"/>
    <w:rsid w:val="6CB079FD"/>
    <w:rsid w:val="6CB30A74"/>
    <w:rsid w:val="6CB73B9C"/>
    <w:rsid w:val="6CC94B1C"/>
    <w:rsid w:val="6CCA5293"/>
    <w:rsid w:val="6CD04C5E"/>
    <w:rsid w:val="6CD52274"/>
    <w:rsid w:val="6CDE55CC"/>
    <w:rsid w:val="6CE60925"/>
    <w:rsid w:val="6CE7161C"/>
    <w:rsid w:val="6CEA4A60"/>
    <w:rsid w:val="6CEE4B95"/>
    <w:rsid w:val="6CF03552"/>
    <w:rsid w:val="6CF46B9E"/>
    <w:rsid w:val="6CF546C4"/>
    <w:rsid w:val="6D050660"/>
    <w:rsid w:val="6D08089B"/>
    <w:rsid w:val="6D0D4104"/>
    <w:rsid w:val="6D0F12D0"/>
    <w:rsid w:val="6D142D9C"/>
    <w:rsid w:val="6D1C4347"/>
    <w:rsid w:val="6D203E37"/>
    <w:rsid w:val="6D2531FB"/>
    <w:rsid w:val="6D254FA9"/>
    <w:rsid w:val="6D26086E"/>
    <w:rsid w:val="6D287521"/>
    <w:rsid w:val="6D325918"/>
    <w:rsid w:val="6D3E42BD"/>
    <w:rsid w:val="6D447980"/>
    <w:rsid w:val="6D527D69"/>
    <w:rsid w:val="6D540AD7"/>
    <w:rsid w:val="6D594C53"/>
    <w:rsid w:val="6D5B03F8"/>
    <w:rsid w:val="6D5E670D"/>
    <w:rsid w:val="6D631F76"/>
    <w:rsid w:val="6D667BEB"/>
    <w:rsid w:val="6D686735"/>
    <w:rsid w:val="6D702F45"/>
    <w:rsid w:val="6D767F03"/>
    <w:rsid w:val="6D974699"/>
    <w:rsid w:val="6D9945A8"/>
    <w:rsid w:val="6DB30807"/>
    <w:rsid w:val="6DBC51E2"/>
    <w:rsid w:val="6DC36570"/>
    <w:rsid w:val="6DC955C1"/>
    <w:rsid w:val="6DCC63D6"/>
    <w:rsid w:val="6DCD34FE"/>
    <w:rsid w:val="6DD042A6"/>
    <w:rsid w:val="6DD4077E"/>
    <w:rsid w:val="6DD8026E"/>
    <w:rsid w:val="6DEA7FA1"/>
    <w:rsid w:val="6DED5983"/>
    <w:rsid w:val="6DF20BCA"/>
    <w:rsid w:val="6DFA466A"/>
    <w:rsid w:val="6DFD7CD4"/>
    <w:rsid w:val="6E0472B5"/>
    <w:rsid w:val="6E07216D"/>
    <w:rsid w:val="6E1312A6"/>
    <w:rsid w:val="6E1374F8"/>
    <w:rsid w:val="6E146DCC"/>
    <w:rsid w:val="6E1B7ABD"/>
    <w:rsid w:val="6E3261A8"/>
    <w:rsid w:val="6E3C044F"/>
    <w:rsid w:val="6E3D530F"/>
    <w:rsid w:val="6E407BC1"/>
    <w:rsid w:val="6E464417"/>
    <w:rsid w:val="6E4B0ABA"/>
    <w:rsid w:val="6E4C0C5C"/>
    <w:rsid w:val="6E5042A8"/>
    <w:rsid w:val="6E55366C"/>
    <w:rsid w:val="6E553A16"/>
    <w:rsid w:val="6E5A0AF7"/>
    <w:rsid w:val="6E5A7566"/>
    <w:rsid w:val="6E6164B5"/>
    <w:rsid w:val="6E6649C7"/>
    <w:rsid w:val="6E6B7334"/>
    <w:rsid w:val="6E7667D8"/>
    <w:rsid w:val="6E7837FF"/>
    <w:rsid w:val="6E795AC7"/>
    <w:rsid w:val="6E7A1325"/>
    <w:rsid w:val="6E7A1D49"/>
    <w:rsid w:val="6E7F4B8D"/>
    <w:rsid w:val="6E865F1C"/>
    <w:rsid w:val="6E900B48"/>
    <w:rsid w:val="6E963C85"/>
    <w:rsid w:val="6E9C2A09"/>
    <w:rsid w:val="6EA158C7"/>
    <w:rsid w:val="6EA64299"/>
    <w:rsid w:val="6EB20ABF"/>
    <w:rsid w:val="6EB74327"/>
    <w:rsid w:val="6EC6456A"/>
    <w:rsid w:val="6ECB7DD2"/>
    <w:rsid w:val="6ECC76A7"/>
    <w:rsid w:val="6ECE6FFD"/>
    <w:rsid w:val="6ED53D21"/>
    <w:rsid w:val="6ED91650"/>
    <w:rsid w:val="6EE45C9F"/>
    <w:rsid w:val="6EE84980"/>
    <w:rsid w:val="6EF2710D"/>
    <w:rsid w:val="6EF47329"/>
    <w:rsid w:val="6EF70BC7"/>
    <w:rsid w:val="6F0239E2"/>
    <w:rsid w:val="6F062BB9"/>
    <w:rsid w:val="6F0926A9"/>
    <w:rsid w:val="6F0B4B07"/>
    <w:rsid w:val="6F0E380B"/>
    <w:rsid w:val="6F102570"/>
    <w:rsid w:val="6F143527"/>
    <w:rsid w:val="6F1654F2"/>
    <w:rsid w:val="6F167DC2"/>
    <w:rsid w:val="6F18533E"/>
    <w:rsid w:val="6F23376B"/>
    <w:rsid w:val="6F265009"/>
    <w:rsid w:val="6F305E87"/>
    <w:rsid w:val="6F35349E"/>
    <w:rsid w:val="6F365A33"/>
    <w:rsid w:val="6F3D1075"/>
    <w:rsid w:val="6F4A519B"/>
    <w:rsid w:val="6F4B0F13"/>
    <w:rsid w:val="6F593630"/>
    <w:rsid w:val="6F802E5F"/>
    <w:rsid w:val="6F806E0F"/>
    <w:rsid w:val="6F871F4B"/>
    <w:rsid w:val="6F8C39EF"/>
    <w:rsid w:val="6F8F7796"/>
    <w:rsid w:val="6FA56875"/>
    <w:rsid w:val="6FA73055"/>
    <w:rsid w:val="6FB46AB9"/>
    <w:rsid w:val="6FBE3493"/>
    <w:rsid w:val="6FC22F83"/>
    <w:rsid w:val="6FD809F9"/>
    <w:rsid w:val="6FE07C81"/>
    <w:rsid w:val="6FF173C5"/>
    <w:rsid w:val="6FF772C4"/>
    <w:rsid w:val="6FF869A5"/>
    <w:rsid w:val="6FFD220E"/>
    <w:rsid w:val="700046FC"/>
    <w:rsid w:val="70065F4B"/>
    <w:rsid w:val="700B1CB3"/>
    <w:rsid w:val="701D01BA"/>
    <w:rsid w:val="70294DB1"/>
    <w:rsid w:val="7032085A"/>
    <w:rsid w:val="7040034C"/>
    <w:rsid w:val="704240C4"/>
    <w:rsid w:val="705B0CE2"/>
    <w:rsid w:val="706109EE"/>
    <w:rsid w:val="70666005"/>
    <w:rsid w:val="70684B0D"/>
    <w:rsid w:val="70763D6E"/>
    <w:rsid w:val="707D5329"/>
    <w:rsid w:val="707F42DA"/>
    <w:rsid w:val="70835157"/>
    <w:rsid w:val="70871AD7"/>
    <w:rsid w:val="708A15C7"/>
    <w:rsid w:val="7096622F"/>
    <w:rsid w:val="70974410"/>
    <w:rsid w:val="70980188"/>
    <w:rsid w:val="70A61B68"/>
    <w:rsid w:val="70AB1C6A"/>
    <w:rsid w:val="70BF3967"/>
    <w:rsid w:val="70C905D5"/>
    <w:rsid w:val="70D867D7"/>
    <w:rsid w:val="70E94540"/>
    <w:rsid w:val="70EB475C"/>
    <w:rsid w:val="70FA243C"/>
    <w:rsid w:val="71053535"/>
    <w:rsid w:val="71107D1F"/>
    <w:rsid w:val="71110126"/>
    <w:rsid w:val="711208E1"/>
    <w:rsid w:val="71186BD3"/>
    <w:rsid w:val="711C2B67"/>
    <w:rsid w:val="712612F0"/>
    <w:rsid w:val="7128150C"/>
    <w:rsid w:val="712C425D"/>
    <w:rsid w:val="712D6B22"/>
    <w:rsid w:val="712E63F7"/>
    <w:rsid w:val="71301DE7"/>
    <w:rsid w:val="71325EE7"/>
    <w:rsid w:val="713954C7"/>
    <w:rsid w:val="713F0604"/>
    <w:rsid w:val="71570CF2"/>
    <w:rsid w:val="71573B9F"/>
    <w:rsid w:val="715C11B6"/>
    <w:rsid w:val="716A7703"/>
    <w:rsid w:val="716F0EE9"/>
    <w:rsid w:val="71704C61"/>
    <w:rsid w:val="71724535"/>
    <w:rsid w:val="717F6B19"/>
    <w:rsid w:val="71840EC8"/>
    <w:rsid w:val="718C1A9B"/>
    <w:rsid w:val="718F3339"/>
    <w:rsid w:val="71926073"/>
    <w:rsid w:val="71926986"/>
    <w:rsid w:val="71A23F82"/>
    <w:rsid w:val="71A42B49"/>
    <w:rsid w:val="71A47961"/>
    <w:rsid w:val="71A52B5D"/>
    <w:rsid w:val="71A55ABE"/>
    <w:rsid w:val="71A86C91"/>
    <w:rsid w:val="71AB5C99"/>
    <w:rsid w:val="71AF41F7"/>
    <w:rsid w:val="71B608C6"/>
    <w:rsid w:val="71C14166"/>
    <w:rsid w:val="71CB0352"/>
    <w:rsid w:val="71D074AE"/>
    <w:rsid w:val="71D747B8"/>
    <w:rsid w:val="71E03B95"/>
    <w:rsid w:val="71EC078C"/>
    <w:rsid w:val="71F15DA2"/>
    <w:rsid w:val="71F26FF8"/>
    <w:rsid w:val="71FE226D"/>
    <w:rsid w:val="72001B41"/>
    <w:rsid w:val="72047965"/>
    <w:rsid w:val="72051CC1"/>
    <w:rsid w:val="72062ED0"/>
    <w:rsid w:val="72143DB2"/>
    <w:rsid w:val="72157BAB"/>
    <w:rsid w:val="72186197"/>
    <w:rsid w:val="72192C03"/>
    <w:rsid w:val="7226485E"/>
    <w:rsid w:val="72272391"/>
    <w:rsid w:val="722B7821"/>
    <w:rsid w:val="72477770"/>
    <w:rsid w:val="7248529C"/>
    <w:rsid w:val="7249173A"/>
    <w:rsid w:val="724F0D1A"/>
    <w:rsid w:val="725D6F93"/>
    <w:rsid w:val="726245AA"/>
    <w:rsid w:val="726B5B54"/>
    <w:rsid w:val="72775796"/>
    <w:rsid w:val="727D5888"/>
    <w:rsid w:val="72813BD6"/>
    <w:rsid w:val="72833E79"/>
    <w:rsid w:val="729606F7"/>
    <w:rsid w:val="7298446F"/>
    <w:rsid w:val="729A01E8"/>
    <w:rsid w:val="729A6EF8"/>
    <w:rsid w:val="729B7ABC"/>
    <w:rsid w:val="72AE3C93"/>
    <w:rsid w:val="72B21EB2"/>
    <w:rsid w:val="72B55021"/>
    <w:rsid w:val="72B640B0"/>
    <w:rsid w:val="72BB39D9"/>
    <w:rsid w:val="72C214EC"/>
    <w:rsid w:val="72C63B63"/>
    <w:rsid w:val="72CE7E91"/>
    <w:rsid w:val="72D52FCE"/>
    <w:rsid w:val="72DA05E4"/>
    <w:rsid w:val="72DF5BFA"/>
    <w:rsid w:val="72E03F85"/>
    <w:rsid w:val="72E36ADC"/>
    <w:rsid w:val="72E96A79"/>
    <w:rsid w:val="72EE22E1"/>
    <w:rsid w:val="72FA3D9E"/>
    <w:rsid w:val="7306762B"/>
    <w:rsid w:val="73075151"/>
    <w:rsid w:val="7313071C"/>
    <w:rsid w:val="731D6723"/>
    <w:rsid w:val="731E2BC7"/>
    <w:rsid w:val="7329331A"/>
    <w:rsid w:val="73320420"/>
    <w:rsid w:val="733221CE"/>
    <w:rsid w:val="73353643"/>
    <w:rsid w:val="733E5017"/>
    <w:rsid w:val="73487C44"/>
    <w:rsid w:val="734939BC"/>
    <w:rsid w:val="73516604"/>
    <w:rsid w:val="735D0D8C"/>
    <w:rsid w:val="73602932"/>
    <w:rsid w:val="73614861"/>
    <w:rsid w:val="73691968"/>
    <w:rsid w:val="73700838"/>
    <w:rsid w:val="737A5923"/>
    <w:rsid w:val="737E5413"/>
    <w:rsid w:val="7382483C"/>
    <w:rsid w:val="738503FF"/>
    <w:rsid w:val="73872957"/>
    <w:rsid w:val="73920EBF"/>
    <w:rsid w:val="739369E5"/>
    <w:rsid w:val="739509AF"/>
    <w:rsid w:val="73970283"/>
    <w:rsid w:val="739E5AB6"/>
    <w:rsid w:val="73AB1F81"/>
    <w:rsid w:val="73AD51C2"/>
    <w:rsid w:val="73AD72AB"/>
    <w:rsid w:val="73B250BD"/>
    <w:rsid w:val="73BC58F5"/>
    <w:rsid w:val="73BE6204"/>
    <w:rsid w:val="73C35201"/>
    <w:rsid w:val="73CB43D1"/>
    <w:rsid w:val="73CD1C5F"/>
    <w:rsid w:val="73CD4E16"/>
    <w:rsid w:val="73D47729"/>
    <w:rsid w:val="73E536E4"/>
    <w:rsid w:val="73F6337A"/>
    <w:rsid w:val="73FB3E46"/>
    <w:rsid w:val="74006BE9"/>
    <w:rsid w:val="7403535B"/>
    <w:rsid w:val="74081181"/>
    <w:rsid w:val="740D49E9"/>
    <w:rsid w:val="74100036"/>
    <w:rsid w:val="74130252"/>
    <w:rsid w:val="7416389E"/>
    <w:rsid w:val="74167C19"/>
    <w:rsid w:val="741713C4"/>
    <w:rsid w:val="74176FCD"/>
    <w:rsid w:val="741B0EB4"/>
    <w:rsid w:val="742B5F1B"/>
    <w:rsid w:val="742C154F"/>
    <w:rsid w:val="742C1725"/>
    <w:rsid w:val="742E508B"/>
    <w:rsid w:val="742F04D1"/>
    <w:rsid w:val="74301763"/>
    <w:rsid w:val="74365914"/>
    <w:rsid w:val="7440702B"/>
    <w:rsid w:val="74631D9C"/>
    <w:rsid w:val="747518F4"/>
    <w:rsid w:val="747915C9"/>
    <w:rsid w:val="74793E2D"/>
    <w:rsid w:val="74844339"/>
    <w:rsid w:val="748B10E5"/>
    <w:rsid w:val="74951638"/>
    <w:rsid w:val="749D2EA9"/>
    <w:rsid w:val="749D7859"/>
    <w:rsid w:val="74A470FC"/>
    <w:rsid w:val="74A92964"/>
    <w:rsid w:val="74AA2238"/>
    <w:rsid w:val="74AB591C"/>
    <w:rsid w:val="74AC4825"/>
    <w:rsid w:val="74AE7F7A"/>
    <w:rsid w:val="74B12E16"/>
    <w:rsid w:val="74B44E65"/>
    <w:rsid w:val="74C34DE4"/>
    <w:rsid w:val="74C57072"/>
    <w:rsid w:val="74C64682"/>
    <w:rsid w:val="74CC0400"/>
    <w:rsid w:val="74D84FF7"/>
    <w:rsid w:val="74D86DA5"/>
    <w:rsid w:val="74DD0860"/>
    <w:rsid w:val="74DF2A2A"/>
    <w:rsid w:val="74DF78F6"/>
    <w:rsid w:val="74E00A7D"/>
    <w:rsid w:val="74E7348C"/>
    <w:rsid w:val="74E920C5"/>
    <w:rsid w:val="74F17E67"/>
    <w:rsid w:val="74F65FDA"/>
    <w:rsid w:val="750951B1"/>
    <w:rsid w:val="750C4CA1"/>
    <w:rsid w:val="750D725B"/>
    <w:rsid w:val="750E3D3A"/>
    <w:rsid w:val="7510653F"/>
    <w:rsid w:val="75124CC1"/>
    <w:rsid w:val="751C1388"/>
    <w:rsid w:val="751D6E5D"/>
    <w:rsid w:val="752124FA"/>
    <w:rsid w:val="75220020"/>
    <w:rsid w:val="752244C4"/>
    <w:rsid w:val="752F0840"/>
    <w:rsid w:val="7531034E"/>
    <w:rsid w:val="7536081E"/>
    <w:rsid w:val="753F6E24"/>
    <w:rsid w:val="75436915"/>
    <w:rsid w:val="754F4362"/>
    <w:rsid w:val="75530D6A"/>
    <w:rsid w:val="75581256"/>
    <w:rsid w:val="7561323F"/>
    <w:rsid w:val="75653DCF"/>
    <w:rsid w:val="75690430"/>
    <w:rsid w:val="7573247F"/>
    <w:rsid w:val="75734D20"/>
    <w:rsid w:val="75994786"/>
    <w:rsid w:val="759A04FF"/>
    <w:rsid w:val="759A405B"/>
    <w:rsid w:val="75A86778"/>
    <w:rsid w:val="75AA678C"/>
    <w:rsid w:val="75AC6511"/>
    <w:rsid w:val="75B07D22"/>
    <w:rsid w:val="75BA46FD"/>
    <w:rsid w:val="75BF475C"/>
    <w:rsid w:val="75C613A5"/>
    <w:rsid w:val="75C630A2"/>
    <w:rsid w:val="75C71084"/>
    <w:rsid w:val="75CA0DE4"/>
    <w:rsid w:val="75D449E7"/>
    <w:rsid w:val="75D91027"/>
    <w:rsid w:val="75DE03EB"/>
    <w:rsid w:val="75E023B5"/>
    <w:rsid w:val="75E0557B"/>
    <w:rsid w:val="75FB12E5"/>
    <w:rsid w:val="75FC6AC3"/>
    <w:rsid w:val="760140DA"/>
    <w:rsid w:val="76124539"/>
    <w:rsid w:val="76261D92"/>
    <w:rsid w:val="763719AB"/>
    <w:rsid w:val="76376E35"/>
    <w:rsid w:val="764010A6"/>
    <w:rsid w:val="764013A5"/>
    <w:rsid w:val="76402E54"/>
    <w:rsid w:val="76452218"/>
    <w:rsid w:val="764741E2"/>
    <w:rsid w:val="764E1171"/>
    <w:rsid w:val="76545B40"/>
    <w:rsid w:val="765468FF"/>
    <w:rsid w:val="7656188F"/>
    <w:rsid w:val="76620C8C"/>
    <w:rsid w:val="766905FD"/>
    <w:rsid w:val="76796366"/>
    <w:rsid w:val="767A3EB1"/>
    <w:rsid w:val="768522B1"/>
    <w:rsid w:val="768909D6"/>
    <w:rsid w:val="7693567A"/>
    <w:rsid w:val="769F401E"/>
    <w:rsid w:val="76A31809"/>
    <w:rsid w:val="76A50F09"/>
    <w:rsid w:val="76A71134"/>
    <w:rsid w:val="76BB072D"/>
    <w:rsid w:val="76BB515D"/>
    <w:rsid w:val="76BD6F8B"/>
    <w:rsid w:val="76C03F95"/>
    <w:rsid w:val="76CA7E93"/>
    <w:rsid w:val="76DD4B47"/>
    <w:rsid w:val="76E16050"/>
    <w:rsid w:val="76E77774"/>
    <w:rsid w:val="76EF787B"/>
    <w:rsid w:val="76F31C74"/>
    <w:rsid w:val="76F4484A"/>
    <w:rsid w:val="76F93003"/>
    <w:rsid w:val="76FD7DA1"/>
    <w:rsid w:val="77112A42"/>
    <w:rsid w:val="7712032A"/>
    <w:rsid w:val="771A18F7"/>
    <w:rsid w:val="77204A34"/>
    <w:rsid w:val="77287A03"/>
    <w:rsid w:val="7730111A"/>
    <w:rsid w:val="77316A08"/>
    <w:rsid w:val="77342D9D"/>
    <w:rsid w:val="774358FC"/>
    <w:rsid w:val="774C0A76"/>
    <w:rsid w:val="77505AD0"/>
    <w:rsid w:val="77573E97"/>
    <w:rsid w:val="776808B4"/>
    <w:rsid w:val="777234E1"/>
    <w:rsid w:val="77784870"/>
    <w:rsid w:val="777B3A9F"/>
    <w:rsid w:val="777D1E86"/>
    <w:rsid w:val="777F5BFE"/>
    <w:rsid w:val="77846D70"/>
    <w:rsid w:val="77880312"/>
    <w:rsid w:val="77884E32"/>
    <w:rsid w:val="778E7BEF"/>
    <w:rsid w:val="779416A9"/>
    <w:rsid w:val="7795006B"/>
    <w:rsid w:val="77A92C7B"/>
    <w:rsid w:val="77AD62C7"/>
    <w:rsid w:val="77B07B65"/>
    <w:rsid w:val="77B11880"/>
    <w:rsid w:val="77B21B30"/>
    <w:rsid w:val="77B50568"/>
    <w:rsid w:val="77BC3802"/>
    <w:rsid w:val="77C11FFE"/>
    <w:rsid w:val="77CB2BF1"/>
    <w:rsid w:val="77CD0717"/>
    <w:rsid w:val="77D575CC"/>
    <w:rsid w:val="77D777E8"/>
    <w:rsid w:val="77E87135"/>
    <w:rsid w:val="77FC2DAB"/>
    <w:rsid w:val="77FE05AA"/>
    <w:rsid w:val="78061E7B"/>
    <w:rsid w:val="780954C8"/>
    <w:rsid w:val="781033CA"/>
    <w:rsid w:val="7816253F"/>
    <w:rsid w:val="78177BE5"/>
    <w:rsid w:val="78194988"/>
    <w:rsid w:val="78207B78"/>
    <w:rsid w:val="782567A5"/>
    <w:rsid w:val="7825695E"/>
    <w:rsid w:val="78281DF2"/>
    <w:rsid w:val="78320EC2"/>
    <w:rsid w:val="783267CC"/>
    <w:rsid w:val="78342545"/>
    <w:rsid w:val="783D1347"/>
    <w:rsid w:val="783E1615"/>
    <w:rsid w:val="784604CA"/>
    <w:rsid w:val="784C4DAF"/>
    <w:rsid w:val="785D5E45"/>
    <w:rsid w:val="78655C17"/>
    <w:rsid w:val="78691C77"/>
    <w:rsid w:val="78694570"/>
    <w:rsid w:val="786A065C"/>
    <w:rsid w:val="786F3DF5"/>
    <w:rsid w:val="786F5A58"/>
    <w:rsid w:val="786F5C73"/>
    <w:rsid w:val="7872306D"/>
    <w:rsid w:val="787259AE"/>
    <w:rsid w:val="788111C7"/>
    <w:rsid w:val="78850FF2"/>
    <w:rsid w:val="78852DA0"/>
    <w:rsid w:val="788627DB"/>
    <w:rsid w:val="788A03B6"/>
    <w:rsid w:val="78931961"/>
    <w:rsid w:val="78960048"/>
    <w:rsid w:val="789A5793"/>
    <w:rsid w:val="789B0816"/>
    <w:rsid w:val="78A07BDA"/>
    <w:rsid w:val="78C13E55"/>
    <w:rsid w:val="78C57641"/>
    <w:rsid w:val="78C935D5"/>
    <w:rsid w:val="78CA4C57"/>
    <w:rsid w:val="78CE44CB"/>
    <w:rsid w:val="78D770B8"/>
    <w:rsid w:val="78DA2EBB"/>
    <w:rsid w:val="78DA6EF1"/>
    <w:rsid w:val="78F10F67"/>
    <w:rsid w:val="78F148D9"/>
    <w:rsid w:val="78F22A35"/>
    <w:rsid w:val="78F47F26"/>
    <w:rsid w:val="790A1D26"/>
    <w:rsid w:val="790F43FB"/>
    <w:rsid w:val="79102FB2"/>
    <w:rsid w:val="79123D20"/>
    <w:rsid w:val="79132AA2"/>
    <w:rsid w:val="791800B8"/>
    <w:rsid w:val="791B27F0"/>
    <w:rsid w:val="7925359F"/>
    <w:rsid w:val="792C5D39"/>
    <w:rsid w:val="794964C4"/>
    <w:rsid w:val="794B3FEA"/>
    <w:rsid w:val="794C1FAD"/>
    <w:rsid w:val="794E0F93"/>
    <w:rsid w:val="79621333"/>
    <w:rsid w:val="79660E24"/>
    <w:rsid w:val="796E1A86"/>
    <w:rsid w:val="796E7BB8"/>
    <w:rsid w:val="79725A1A"/>
    <w:rsid w:val="79764DDF"/>
    <w:rsid w:val="798219D5"/>
    <w:rsid w:val="79852625"/>
    <w:rsid w:val="798B09CB"/>
    <w:rsid w:val="798C63B0"/>
    <w:rsid w:val="79953608"/>
    <w:rsid w:val="7997722F"/>
    <w:rsid w:val="79987B22"/>
    <w:rsid w:val="799A20DC"/>
    <w:rsid w:val="799C2A97"/>
    <w:rsid w:val="79B324CF"/>
    <w:rsid w:val="79BC3CB3"/>
    <w:rsid w:val="79C124FE"/>
    <w:rsid w:val="79CB6B8F"/>
    <w:rsid w:val="79E65AC0"/>
    <w:rsid w:val="79E943F8"/>
    <w:rsid w:val="79ED6E4F"/>
    <w:rsid w:val="79F93A46"/>
    <w:rsid w:val="79FA115A"/>
    <w:rsid w:val="79FA156C"/>
    <w:rsid w:val="7A015734"/>
    <w:rsid w:val="7A017EE9"/>
    <w:rsid w:val="7A083C89"/>
    <w:rsid w:val="7A122D59"/>
    <w:rsid w:val="7A137BE9"/>
    <w:rsid w:val="7A195E96"/>
    <w:rsid w:val="7A1F0CB7"/>
    <w:rsid w:val="7A2111EE"/>
    <w:rsid w:val="7A2465E9"/>
    <w:rsid w:val="7A2D1941"/>
    <w:rsid w:val="7A303125"/>
    <w:rsid w:val="7A306137"/>
    <w:rsid w:val="7A316FD6"/>
    <w:rsid w:val="7A3251AA"/>
    <w:rsid w:val="7A37631C"/>
    <w:rsid w:val="7A394D83"/>
    <w:rsid w:val="7A401675"/>
    <w:rsid w:val="7A48677B"/>
    <w:rsid w:val="7A5A200A"/>
    <w:rsid w:val="7A79705A"/>
    <w:rsid w:val="7A7A445B"/>
    <w:rsid w:val="7A8352DF"/>
    <w:rsid w:val="7A8B6668"/>
    <w:rsid w:val="7A8C2B0C"/>
    <w:rsid w:val="7A8D7A01"/>
    <w:rsid w:val="7A992B33"/>
    <w:rsid w:val="7A9E21F4"/>
    <w:rsid w:val="7AAB04F6"/>
    <w:rsid w:val="7AAD79E7"/>
    <w:rsid w:val="7AB12572"/>
    <w:rsid w:val="7AB14320"/>
    <w:rsid w:val="7ABB0CFB"/>
    <w:rsid w:val="7ABC4A73"/>
    <w:rsid w:val="7AC36FD2"/>
    <w:rsid w:val="7AC53928"/>
    <w:rsid w:val="7AC676A0"/>
    <w:rsid w:val="7AD1051F"/>
    <w:rsid w:val="7AD324E9"/>
    <w:rsid w:val="7AD412DE"/>
    <w:rsid w:val="7AD87AFF"/>
    <w:rsid w:val="7AD973D3"/>
    <w:rsid w:val="7AED50B5"/>
    <w:rsid w:val="7AEF309B"/>
    <w:rsid w:val="7AF67F85"/>
    <w:rsid w:val="7B02692A"/>
    <w:rsid w:val="7B05641A"/>
    <w:rsid w:val="7B0F7299"/>
    <w:rsid w:val="7B134AFE"/>
    <w:rsid w:val="7B1B79EC"/>
    <w:rsid w:val="7B272834"/>
    <w:rsid w:val="7B310FBD"/>
    <w:rsid w:val="7B3457ED"/>
    <w:rsid w:val="7B445D3D"/>
    <w:rsid w:val="7B4E1B6F"/>
    <w:rsid w:val="7B542EFE"/>
    <w:rsid w:val="7B586ECB"/>
    <w:rsid w:val="7B590514"/>
    <w:rsid w:val="7B5B24AB"/>
    <w:rsid w:val="7B6306CC"/>
    <w:rsid w:val="7B66335D"/>
    <w:rsid w:val="7B6C067B"/>
    <w:rsid w:val="7B6E0463"/>
    <w:rsid w:val="7B7D2454"/>
    <w:rsid w:val="7B892BA7"/>
    <w:rsid w:val="7B8B38CA"/>
    <w:rsid w:val="7B9673E0"/>
    <w:rsid w:val="7B98103C"/>
    <w:rsid w:val="7B9854E0"/>
    <w:rsid w:val="7BA9149B"/>
    <w:rsid w:val="7BAC2D3A"/>
    <w:rsid w:val="7BC02341"/>
    <w:rsid w:val="7BC2255D"/>
    <w:rsid w:val="7BC260B9"/>
    <w:rsid w:val="7BC41E31"/>
    <w:rsid w:val="7BC6204D"/>
    <w:rsid w:val="7BD36518"/>
    <w:rsid w:val="7BDE7397"/>
    <w:rsid w:val="7BDF6C6B"/>
    <w:rsid w:val="7BE83DC3"/>
    <w:rsid w:val="7C032AD4"/>
    <w:rsid w:val="7C06069C"/>
    <w:rsid w:val="7C0861C2"/>
    <w:rsid w:val="7C0B3F04"/>
    <w:rsid w:val="7C0C5586"/>
    <w:rsid w:val="7C155E2D"/>
    <w:rsid w:val="7C1728A9"/>
    <w:rsid w:val="7C1C736C"/>
    <w:rsid w:val="7C1C7E62"/>
    <w:rsid w:val="7C1F350C"/>
    <w:rsid w:val="7C1F52BA"/>
    <w:rsid w:val="7C2514B4"/>
    <w:rsid w:val="7C293B48"/>
    <w:rsid w:val="7C2B1EB0"/>
    <w:rsid w:val="7C30396B"/>
    <w:rsid w:val="7C3132ED"/>
    <w:rsid w:val="7C3C2310"/>
    <w:rsid w:val="7C3F3BAE"/>
    <w:rsid w:val="7C4116D4"/>
    <w:rsid w:val="7C43369E"/>
    <w:rsid w:val="7C4D2DA7"/>
    <w:rsid w:val="7C5036C5"/>
    <w:rsid w:val="7C5744F5"/>
    <w:rsid w:val="7C5A2796"/>
    <w:rsid w:val="7C5C1DC1"/>
    <w:rsid w:val="7C5F1B5A"/>
    <w:rsid w:val="7C607C0D"/>
    <w:rsid w:val="7C705B15"/>
    <w:rsid w:val="7C725D31"/>
    <w:rsid w:val="7C78468E"/>
    <w:rsid w:val="7C80044E"/>
    <w:rsid w:val="7C840F34"/>
    <w:rsid w:val="7C8415C1"/>
    <w:rsid w:val="7C943EFA"/>
    <w:rsid w:val="7C99506C"/>
    <w:rsid w:val="7CA65E91"/>
    <w:rsid w:val="7CB47D2B"/>
    <w:rsid w:val="7CCF6CE0"/>
    <w:rsid w:val="7CD51E1C"/>
    <w:rsid w:val="7CD664B2"/>
    <w:rsid w:val="7CDC31AB"/>
    <w:rsid w:val="7CE34539"/>
    <w:rsid w:val="7CE704CD"/>
    <w:rsid w:val="7CEA3B1A"/>
    <w:rsid w:val="7CEA5E4F"/>
    <w:rsid w:val="7CEB38B1"/>
    <w:rsid w:val="7CFB758A"/>
    <w:rsid w:val="7D035F9E"/>
    <w:rsid w:val="7D080444"/>
    <w:rsid w:val="7D0B583E"/>
    <w:rsid w:val="7D163585"/>
    <w:rsid w:val="7D1B285F"/>
    <w:rsid w:val="7D244B12"/>
    <w:rsid w:val="7D2D6A07"/>
    <w:rsid w:val="7D327DB0"/>
    <w:rsid w:val="7D376633"/>
    <w:rsid w:val="7D3C7206"/>
    <w:rsid w:val="7D3F2DA1"/>
    <w:rsid w:val="7D3F7C39"/>
    <w:rsid w:val="7D5F7656"/>
    <w:rsid w:val="7D621902"/>
    <w:rsid w:val="7D6230EA"/>
    <w:rsid w:val="7D646AB1"/>
    <w:rsid w:val="7D6B2EAC"/>
    <w:rsid w:val="7D717D97"/>
    <w:rsid w:val="7D7437D6"/>
    <w:rsid w:val="7D7635FF"/>
    <w:rsid w:val="7D780F2D"/>
    <w:rsid w:val="7D845D1C"/>
    <w:rsid w:val="7D847ACA"/>
    <w:rsid w:val="7D9F2B56"/>
    <w:rsid w:val="7D9F7C1C"/>
    <w:rsid w:val="7DA737B9"/>
    <w:rsid w:val="7DAE0FEB"/>
    <w:rsid w:val="7DAF266D"/>
    <w:rsid w:val="7DAF766D"/>
    <w:rsid w:val="7DB9051B"/>
    <w:rsid w:val="7DBE0C79"/>
    <w:rsid w:val="7DC02E14"/>
    <w:rsid w:val="7DC223A1"/>
    <w:rsid w:val="7DC73B51"/>
    <w:rsid w:val="7DC91981"/>
    <w:rsid w:val="7DCE35C2"/>
    <w:rsid w:val="7DD312C9"/>
    <w:rsid w:val="7DD322DC"/>
    <w:rsid w:val="7DD87E16"/>
    <w:rsid w:val="7DDB49C0"/>
    <w:rsid w:val="7DDE6F39"/>
    <w:rsid w:val="7DDF49B4"/>
    <w:rsid w:val="7DDF73F6"/>
    <w:rsid w:val="7DE467BB"/>
    <w:rsid w:val="7DFA4230"/>
    <w:rsid w:val="7DFD5ACF"/>
    <w:rsid w:val="7E04298C"/>
    <w:rsid w:val="7E054FFA"/>
    <w:rsid w:val="7E0E3838"/>
    <w:rsid w:val="7E130606"/>
    <w:rsid w:val="7E170255"/>
    <w:rsid w:val="7E1A042F"/>
    <w:rsid w:val="7E1D1CCD"/>
    <w:rsid w:val="7E21356B"/>
    <w:rsid w:val="7E294888"/>
    <w:rsid w:val="7E386B07"/>
    <w:rsid w:val="7E394D59"/>
    <w:rsid w:val="7E3F01F2"/>
    <w:rsid w:val="7E426A83"/>
    <w:rsid w:val="7E4C70A9"/>
    <w:rsid w:val="7E5238C1"/>
    <w:rsid w:val="7E596D16"/>
    <w:rsid w:val="7E5A082B"/>
    <w:rsid w:val="7E606CA5"/>
    <w:rsid w:val="7E635833"/>
    <w:rsid w:val="7E745D91"/>
    <w:rsid w:val="7E7E276B"/>
    <w:rsid w:val="7E821A42"/>
    <w:rsid w:val="7E8244DB"/>
    <w:rsid w:val="7E9006F1"/>
    <w:rsid w:val="7E9401E1"/>
    <w:rsid w:val="7E991353"/>
    <w:rsid w:val="7EA412BC"/>
    <w:rsid w:val="7EA57610"/>
    <w:rsid w:val="7EA85A3A"/>
    <w:rsid w:val="7EB20975"/>
    <w:rsid w:val="7EC108AA"/>
    <w:rsid w:val="7EC62364"/>
    <w:rsid w:val="7EC9775F"/>
    <w:rsid w:val="7ECB2067"/>
    <w:rsid w:val="7ED352FE"/>
    <w:rsid w:val="7ED44A81"/>
    <w:rsid w:val="7EE20D1A"/>
    <w:rsid w:val="7EED5B43"/>
    <w:rsid w:val="7EF173E1"/>
    <w:rsid w:val="7EF46ED2"/>
    <w:rsid w:val="7EFF78A5"/>
    <w:rsid w:val="7F007624"/>
    <w:rsid w:val="7F0864D9"/>
    <w:rsid w:val="7F1830C3"/>
    <w:rsid w:val="7F1C5172"/>
    <w:rsid w:val="7F1E5CFC"/>
    <w:rsid w:val="7F233313"/>
    <w:rsid w:val="7F272E03"/>
    <w:rsid w:val="7F2A28F3"/>
    <w:rsid w:val="7F2C0419"/>
    <w:rsid w:val="7F2C666B"/>
    <w:rsid w:val="7F3948E4"/>
    <w:rsid w:val="7F4A0F68"/>
    <w:rsid w:val="7F4C0ABC"/>
    <w:rsid w:val="7F4C286A"/>
    <w:rsid w:val="7F572FCC"/>
    <w:rsid w:val="7F606315"/>
    <w:rsid w:val="7F651B7D"/>
    <w:rsid w:val="7F670446"/>
    <w:rsid w:val="7F6B7774"/>
    <w:rsid w:val="7F710522"/>
    <w:rsid w:val="7F721BA4"/>
    <w:rsid w:val="7F785270"/>
    <w:rsid w:val="7F8A5140"/>
    <w:rsid w:val="7F8E7FCC"/>
    <w:rsid w:val="7F914720"/>
    <w:rsid w:val="7F925932"/>
    <w:rsid w:val="7F947746"/>
    <w:rsid w:val="7F9C0EB5"/>
    <w:rsid w:val="7F9E0BEB"/>
    <w:rsid w:val="7FA936E7"/>
    <w:rsid w:val="7FAE554F"/>
    <w:rsid w:val="7FAF2DF8"/>
    <w:rsid w:val="7FC00B62"/>
    <w:rsid w:val="7FC05006"/>
    <w:rsid w:val="7FC44AF6"/>
    <w:rsid w:val="7FC95C68"/>
    <w:rsid w:val="7FCD462F"/>
    <w:rsid w:val="7FD16E04"/>
    <w:rsid w:val="7FE707E4"/>
    <w:rsid w:val="7FE900B8"/>
    <w:rsid w:val="7FEA3E31"/>
    <w:rsid w:val="7FEE40E6"/>
    <w:rsid w:val="7FFA6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next w:val="7"/>
    <w:qFormat/>
    <w:uiPriority w:val="0"/>
    <w:pPr>
      <w:autoSpaceDE w:val="0"/>
      <w:autoSpaceDN w:val="0"/>
      <w:adjustRightInd w:val="0"/>
      <w:ind w:firstLine="420"/>
      <w:jc w:val="left"/>
    </w:pPr>
    <w:rPr>
      <w:rFonts w:ascii="宋体"/>
      <w:kern w:val="0"/>
      <w:sz w:val="24"/>
      <w:szCs w:val="20"/>
    </w:rPr>
  </w:style>
  <w:style w:type="paragraph" w:styleId="7">
    <w:name w:val="toa heading"/>
    <w:basedOn w:val="1"/>
    <w:next w:val="1"/>
    <w:qFormat/>
    <w:uiPriority w:val="0"/>
    <w:pPr>
      <w:spacing w:before="120"/>
    </w:pPr>
    <w:rPr>
      <w:rFonts w:ascii="Cambria" w:hAnsi="Cambria"/>
      <w:sz w:val="24"/>
    </w:rPr>
  </w:style>
  <w:style w:type="paragraph" w:styleId="8">
    <w:name w:val="index 5"/>
    <w:basedOn w:val="1"/>
    <w:next w:val="1"/>
    <w:semiHidden/>
    <w:qFormat/>
    <w:uiPriority w:val="0"/>
    <w:pPr>
      <w:ind w:left="800" w:leftChars="800"/>
    </w:pPr>
  </w:style>
  <w:style w:type="paragraph" w:styleId="9">
    <w:name w:val="annotation text"/>
    <w:basedOn w:val="1"/>
    <w:link w:val="129"/>
    <w:qFormat/>
    <w:uiPriority w:val="0"/>
    <w:pPr>
      <w:jc w:val="left"/>
    </w:pPr>
  </w:style>
  <w:style w:type="paragraph" w:styleId="10">
    <w:name w:val="Body Text Indent"/>
    <w:basedOn w:val="1"/>
    <w:next w:val="11"/>
    <w:qFormat/>
    <w:uiPriority w:val="0"/>
    <w:pPr>
      <w:spacing w:line="360" w:lineRule="auto"/>
      <w:ind w:firstLine="570"/>
    </w:pPr>
    <w:rPr>
      <w:sz w:val="24"/>
    </w:rPr>
  </w:style>
  <w:style w:type="paragraph" w:styleId="11">
    <w:name w:val="Body Text First Indent 2"/>
    <w:basedOn w:val="10"/>
    <w:next w:val="6"/>
    <w:qFormat/>
    <w:uiPriority w:val="0"/>
    <w:pPr>
      <w:ind w:firstLine="420" w:firstLineChars="200"/>
    </w:pPr>
  </w:style>
  <w:style w:type="paragraph" w:styleId="12">
    <w:name w:val="toc 3"/>
    <w:basedOn w:val="1"/>
    <w:next w:val="1"/>
    <w:qFormat/>
    <w:uiPriority w:val="39"/>
    <w:pPr>
      <w:tabs>
        <w:tab w:val="left" w:pos="1260"/>
        <w:tab w:val="right" w:leader="dot" w:pos="8630"/>
      </w:tabs>
      <w:ind w:left="840" w:leftChars="400"/>
    </w:pPr>
  </w:style>
  <w:style w:type="paragraph" w:styleId="13">
    <w:name w:val="Plain Text"/>
    <w:basedOn w:val="1"/>
    <w:qFormat/>
    <w:uiPriority w:val="0"/>
    <w:rPr>
      <w:rFonts w:ascii="宋体" w:hAnsi="Courier New"/>
      <w:szCs w:val="20"/>
    </w:rPr>
  </w:style>
  <w:style w:type="paragraph" w:styleId="14">
    <w:name w:val="toc 8"/>
    <w:basedOn w:val="1"/>
    <w:next w:val="1"/>
    <w:qFormat/>
    <w:uiPriority w:val="0"/>
    <w:pPr>
      <w:ind w:left="2940" w:leftChars="1400"/>
    </w:pPr>
  </w:style>
  <w:style w:type="paragraph" w:styleId="15">
    <w:name w:val="Date"/>
    <w:basedOn w:val="1"/>
    <w:next w:val="1"/>
    <w:link w:val="54"/>
    <w:qFormat/>
    <w:uiPriority w:val="0"/>
    <w:pPr>
      <w:ind w:left="100" w:leftChars="2500"/>
    </w:pPr>
    <w:rPr>
      <w:rFonts w:ascii="仿宋_GB2312" w:hAnsi="宋体" w:eastAsia="仿宋_GB2312"/>
      <w:color w:val="000000"/>
      <w:sz w:val="24"/>
    </w:rPr>
  </w:style>
  <w:style w:type="paragraph" w:styleId="16">
    <w:name w:val="footer"/>
    <w:basedOn w:val="1"/>
    <w:link w:val="58"/>
    <w:qFormat/>
    <w:uiPriority w:val="0"/>
    <w:pPr>
      <w:tabs>
        <w:tab w:val="center" w:pos="4153"/>
        <w:tab w:val="right" w:pos="8306"/>
      </w:tabs>
      <w:snapToGrid w:val="0"/>
      <w:jc w:val="left"/>
    </w:pPr>
    <w:rPr>
      <w:rFonts w:ascii="宋体"/>
      <w:kern w:val="0"/>
      <w:sz w:val="18"/>
      <w:szCs w:val="20"/>
    </w:rPr>
  </w:style>
  <w:style w:type="paragraph" w:styleId="17">
    <w:name w:val="header"/>
    <w:basedOn w:val="1"/>
    <w:next w:val="1"/>
    <w:link w:val="59"/>
    <w:qFormat/>
    <w:uiPriority w:val="0"/>
    <w:pPr>
      <w:pBdr>
        <w:bottom w:val="single" w:color="000000"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unhideWhenUsed/>
    <w:qFormat/>
    <w:uiPriority w:val="0"/>
    <w:pPr>
      <w:ind w:left="200" w:hanging="200" w:hangingChars="200"/>
      <w:contextualSpacing/>
    </w:pPr>
  </w:style>
  <w:style w:type="paragraph" w:styleId="20">
    <w:name w:val="footnote text"/>
    <w:basedOn w:val="1"/>
    <w:next w:val="2"/>
    <w:link w:val="120"/>
    <w:qFormat/>
    <w:uiPriority w:val="0"/>
    <w:pPr>
      <w:snapToGrid w:val="0"/>
      <w:jc w:val="left"/>
    </w:pPr>
    <w:rPr>
      <w:sz w:val="18"/>
    </w:rPr>
  </w:style>
  <w:style w:type="paragraph" w:styleId="21">
    <w:name w:val="Body Text Indent 3"/>
    <w:basedOn w:val="1"/>
    <w:next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1"/>
    <w:next w:val="1"/>
    <w:qFormat/>
    <w:uiPriority w:val="39"/>
    <w:pPr>
      <w:ind w:left="420" w:leftChars="200"/>
    </w:pPr>
  </w:style>
  <w:style w:type="paragraph" w:styleId="23">
    <w:name w:val="Normal (Web)"/>
    <w:basedOn w:val="1"/>
    <w:next w:val="24"/>
    <w:qFormat/>
    <w:uiPriority w:val="0"/>
    <w:pPr>
      <w:spacing w:before="100" w:beforeAutospacing="1" w:after="100" w:afterAutospacing="1"/>
      <w:jc w:val="left"/>
    </w:pPr>
    <w:rPr>
      <w:kern w:val="0"/>
      <w:sz w:val="24"/>
    </w:rPr>
  </w:style>
  <w:style w:type="paragraph" w:customStyle="1" w:styleId="24">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5">
    <w:name w:val="annotation subject"/>
    <w:basedOn w:val="9"/>
    <w:next w:val="9"/>
    <w:link w:val="130"/>
    <w:unhideWhenUsed/>
    <w:qFormat/>
    <w:uiPriority w:val="99"/>
    <w:pPr>
      <w:widowControl w:val="0"/>
      <w:textAlignment w:val="auto"/>
    </w:pPr>
    <w:rPr>
      <w:rFonts w:asciiTheme="minorHAnsi" w:hAnsiTheme="minorHAnsi" w:eastAsiaTheme="minorEastAsia"/>
      <w:b/>
      <w:bCs/>
      <w:szCs w:val="22"/>
    </w:rPr>
  </w:style>
  <w:style w:type="paragraph" w:styleId="26">
    <w:name w:val="Body Text First Indent"/>
    <w:basedOn w:val="2"/>
    <w:next w:val="1"/>
    <w:qFormat/>
    <w:uiPriority w:val="0"/>
    <w:pPr>
      <w:spacing w:line="312" w:lineRule="auto"/>
      <w:ind w:firstLine="420" w:firstLineChars="100"/>
    </w:pPr>
    <w:rPr>
      <w:rFonts w:hint="eastAsia" w:ascii="微软雅黑" w:hAnsi="微软雅黑" w:eastAsia="微软雅黑" w:cs="微软雅黑"/>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Emphasis"/>
    <w:basedOn w:val="29"/>
    <w:qFormat/>
    <w:uiPriority w:val="0"/>
    <w:rPr>
      <w:i/>
    </w:rPr>
  </w:style>
  <w:style w:type="character" w:styleId="32">
    <w:name w:val="Hyperlink"/>
    <w:qFormat/>
    <w:uiPriority w:val="99"/>
    <w:rPr>
      <w:color w:val="0000FF"/>
      <w:u w:val="single"/>
    </w:rPr>
  </w:style>
  <w:style w:type="paragraph" w:customStyle="1" w:styleId="33">
    <w:name w:val="Heading3"/>
    <w:basedOn w:val="1"/>
    <w:next w:val="1"/>
    <w:link w:val="41"/>
    <w:qFormat/>
    <w:uiPriority w:val="0"/>
    <w:pPr>
      <w:keepNext/>
      <w:keepLines/>
      <w:spacing w:before="360" w:after="120"/>
      <w:jc w:val="left"/>
    </w:pPr>
    <w:rPr>
      <w:rFonts w:ascii="宋体"/>
      <w:b/>
      <w:kern w:val="0"/>
      <w:sz w:val="24"/>
      <w:szCs w:val="20"/>
      <w:u w:val="single"/>
    </w:rPr>
  </w:style>
  <w:style w:type="paragraph" w:customStyle="1" w:styleId="34">
    <w:name w:val="NormalIndent"/>
    <w:basedOn w:val="1"/>
    <w:qFormat/>
    <w:uiPriority w:val="0"/>
    <w:pPr>
      <w:ind w:firstLine="420"/>
      <w:jc w:val="left"/>
    </w:pPr>
    <w:rPr>
      <w:rFonts w:ascii="宋体"/>
      <w:kern w:val="0"/>
      <w:sz w:val="24"/>
      <w:szCs w:val="20"/>
    </w:rPr>
  </w:style>
  <w:style w:type="paragraph" w:customStyle="1" w:styleId="35">
    <w:name w:val="Heading1"/>
    <w:basedOn w:val="1"/>
    <w:next w:val="1"/>
    <w:link w:val="39"/>
    <w:qFormat/>
    <w:uiPriority w:val="0"/>
    <w:pPr>
      <w:keepNext/>
      <w:keepLines/>
      <w:spacing w:before="240" w:after="120" w:line="300" w:lineRule="auto"/>
      <w:jc w:val="center"/>
    </w:pPr>
    <w:rPr>
      <w:rFonts w:ascii="宋体"/>
      <w:b/>
      <w:kern w:val="44"/>
      <w:sz w:val="32"/>
      <w:szCs w:val="20"/>
    </w:rPr>
  </w:style>
  <w:style w:type="paragraph" w:customStyle="1" w:styleId="36">
    <w:name w:val="Heading2"/>
    <w:basedOn w:val="1"/>
    <w:next w:val="1"/>
    <w:link w:val="40"/>
    <w:qFormat/>
    <w:uiPriority w:val="0"/>
    <w:pPr>
      <w:keepNext/>
      <w:keepLines/>
      <w:spacing w:before="120" w:line="300" w:lineRule="auto"/>
      <w:jc w:val="center"/>
    </w:pPr>
    <w:rPr>
      <w:rFonts w:ascii="Arial" w:hAnsi="Arial" w:eastAsia="黑体"/>
      <w:b/>
      <w:kern w:val="0"/>
      <w:sz w:val="30"/>
      <w:szCs w:val="20"/>
    </w:rPr>
  </w:style>
  <w:style w:type="character" w:customStyle="1" w:styleId="37">
    <w:name w:val="NormalCharacter"/>
    <w:semiHidden/>
    <w:qFormat/>
    <w:uiPriority w:val="0"/>
  </w:style>
  <w:style w:type="table" w:customStyle="1" w:styleId="38">
    <w:name w:val="TableNormal"/>
    <w:semiHidden/>
    <w:qFormat/>
    <w:uiPriority w:val="0"/>
    <w:tblPr>
      <w:tblCellMar>
        <w:top w:w="0" w:type="dxa"/>
        <w:left w:w="0" w:type="dxa"/>
        <w:bottom w:w="0" w:type="dxa"/>
        <w:right w:w="0" w:type="dxa"/>
      </w:tblCellMar>
    </w:tblPr>
  </w:style>
  <w:style w:type="character" w:customStyle="1" w:styleId="39">
    <w:name w:val="UserStyle_0"/>
    <w:link w:val="35"/>
    <w:qFormat/>
    <w:uiPriority w:val="0"/>
    <w:rPr>
      <w:rFonts w:ascii="宋体"/>
      <w:b/>
      <w:kern w:val="44"/>
      <w:sz w:val="32"/>
    </w:rPr>
  </w:style>
  <w:style w:type="character" w:customStyle="1" w:styleId="40">
    <w:name w:val="UserStyle_1"/>
    <w:link w:val="36"/>
    <w:qFormat/>
    <w:uiPriority w:val="0"/>
    <w:rPr>
      <w:rFonts w:ascii="Arial" w:hAnsi="Arial" w:eastAsia="黑体"/>
      <w:b/>
      <w:sz w:val="30"/>
    </w:rPr>
  </w:style>
  <w:style w:type="character" w:customStyle="1" w:styleId="41">
    <w:name w:val="UserStyle_2"/>
    <w:link w:val="33"/>
    <w:qFormat/>
    <w:uiPriority w:val="0"/>
    <w:rPr>
      <w:rFonts w:ascii="宋体"/>
      <w:b/>
      <w:sz w:val="24"/>
      <w:u w:val="single"/>
    </w:rPr>
  </w:style>
  <w:style w:type="paragraph" w:customStyle="1" w:styleId="42">
    <w:name w:val="TOC7"/>
    <w:basedOn w:val="1"/>
    <w:next w:val="1"/>
    <w:qFormat/>
    <w:uiPriority w:val="0"/>
    <w:pPr>
      <w:ind w:left="2520" w:leftChars="1200"/>
    </w:pPr>
  </w:style>
  <w:style w:type="paragraph" w:customStyle="1" w:styleId="43">
    <w:name w:val="AnnotationText"/>
    <w:basedOn w:val="1"/>
    <w:link w:val="44"/>
    <w:qFormat/>
    <w:uiPriority w:val="0"/>
    <w:pPr>
      <w:jc w:val="left"/>
    </w:pPr>
  </w:style>
  <w:style w:type="character" w:customStyle="1" w:styleId="44">
    <w:name w:val="UserStyle_3"/>
    <w:link w:val="43"/>
    <w:qFormat/>
    <w:uiPriority w:val="0"/>
    <w:rPr>
      <w:kern w:val="2"/>
      <w:sz w:val="21"/>
      <w:szCs w:val="24"/>
    </w:rPr>
  </w:style>
  <w:style w:type="paragraph" w:customStyle="1" w:styleId="45">
    <w:name w:val="BodyText"/>
    <w:basedOn w:val="1"/>
    <w:link w:val="46"/>
    <w:qFormat/>
    <w:uiPriority w:val="0"/>
    <w:pPr>
      <w:tabs>
        <w:tab w:val="left" w:pos="567"/>
      </w:tabs>
      <w:spacing w:before="120" w:line="240" w:lineRule="atLeast"/>
    </w:pPr>
    <w:rPr>
      <w:rFonts w:ascii="宋体" w:hAnsi="宋体"/>
      <w:sz w:val="24"/>
    </w:rPr>
  </w:style>
  <w:style w:type="character" w:customStyle="1" w:styleId="46">
    <w:name w:val="UserStyle_4"/>
    <w:link w:val="45"/>
    <w:qFormat/>
    <w:uiPriority w:val="0"/>
    <w:rPr>
      <w:rFonts w:ascii="宋体" w:hAnsi="宋体"/>
      <w:kern w:val="2"/>
      <w:sz w:val="24"/>
      <w:szCs w:val="24"/>
    </w:rPr>
  </w:style>
  <w:style w:type="paragraph" w:customStyle="1" w:styleId="47">
    <w:name w:val="BodyTextIndent"/>
    <w:basedOn w:val="1"/>
    <w:next w:val="48"/>
    <w:qFormat/>
    <w:uiPriority w:val="0"/>
    <w:pPr>
      <w:spacing w:line="360" w:lineRule="auto"/>
      <w:ind w:firstLine="570"/>
    </w:pPr>
    <w:rPr>
      <w:sz w:val="24"/>
    </w:rPr>
  </w:style>
  <w:style w:type="paragraph" w:customStyle="1" w:styleId="48">
    <w:name w:val="BodyText1I2"/>
    <w:basedOn w:val="47"/>
    <w:next w:val="34"/>
    <w:qFormat/>
    <w:uiPriority w:val="0"/>
    <w:pPr>
      <w:ind w:firstLine="420" w:firstLineChars="200"/>
    </w:pPr>
  </w:style>
  <w:style w:type="paragraph" w:customStyle="1" w:styleId="49">
    <w:name w:val="TOC5"/>
    <w:basedOn w:val="1"/>
    <w:next w:val="1"/>
    <w:qFormat/>
    <w:uiPriority w:val="0"/>
    <w:pPr>
      <w:ind w:left="1680" w:leftChars="800"/>
    </w:pPr>
  </w:style>
  <w:style w:type="paragraph" w:customStyle="1" w:styleId="50">
    <w:name w:val="TOC3"/>
    <w:basedOn w:val="1"/>
    <w:next w:val="1"/>
    <w:qFormat/>
    <w:uiPriority w:val="0"/>
    <w:pPr>
      <w:tabs>
        <w:tab w:val="left" w:pos="1260"/>
        <w:tab w:val="right" w:leader="dot" w:pos="8630"/>
      </w:tabs>
      <w:ind w:left="840" w:leftChars="400"/>
    </w:pPr>
  </w:style>
  <w:style w:type="paragraph" w:customStyle="1" w:styleId="51">
    <w:name w:val="PlainText"/>
    <w:basedOn w:val="1"/>
    <w:link w:val="52"/>
    <w:qFormat/>
    <w:uiPriority w:val="0"/>
    <w:rPr>
      <w:rFonts w:ascii="宋体" w:hAnsi="Courier New"/>
      <w:szCs w:val="20"/>
    </w:rPr>
  </w:style>
  <w:style w:type="character" w:customStyle="1" w:styleId="52">
    <w:name w:val="UserStyle_5"/>
    <w:link w:val="51"/>
    <w:qFormat/>
    <w:uiPriority w:val="0"/>
    <w:rPr>
      <w:rFonts w:ascii="宋体" w:hAnsi="Courier New"/>
      <w:kern w:val="2"/>
      <w:sz w:val="21"/>
    </w:rPr>
  </w:style>
  <w:style w:type="paragraph" w:customStyle="1" w:styleId="53">
    <w:name w:val="TOC8"/>
    <w:basedOn w:val="1"/>
    <w:next w:val="1"/>
    <w:qFormat/>
    <w:uiPriority w:val="0"/>
    <w:pPr>
      <w:ind w:left="2940" w:leftChars="1400"/>
    </w:pPr>
  </w:style>
  <w:style w:type="character" w:customStyle="1" w:styleId="54">
    <w:name w:val="日期 字符"/>
    <w:link w:val="15"/>
    <w:qFormat/>
    <w:uiPriority w:val="0"/>
    <w:rPr>
      <w:rFonts w:ascii="仿宋_GB2312" w:hAnsi="宋体" w:eastAsia="仿宋_GB2312"/>
      <w:color w:val="000000"/>
      <w:kern w:val="2"/>
      <w:sz w:val="24"/>
      <w:szCs w:val="24"/>
    </w:rPr>
  </w:style>
  <w:style w:type="paragraph" w:customStyle="1" w:styleId="55">
    <w:name w:val="BodyTextIndent2"/>
    <w:basedOn w:val="1"/>
    <w:qFormat/>
    <w:uiPriority w:val="0"/>
    <w:pPr>
      <w:ind w:firstLine="480" w:firstLineChars="200"/>
    </w:pPr>
    <w:rPr>
      <w:rFonts w:ascii="仿宋_GB2312" w:eastAsia="仿宋_GB2312"/>
      <w:sz w:val="24"/>
    </w:rPr>
  </w:style>
  <w:style w:type="paragraph" w:customStyle="1" w:styleId="56">
    <w:name w:val="Acetate"/>
    <w:basedOn w:val="1"/>
    <w:link w:val="57"/>
    <w:qFormat/>
    <w:uiPriority w:val="0"/>
    <w:rPr>
      <w:sz w:val="18"/>
      <w:szCs w:val="18"/>
    </w:rPr>
  </w:style>
  <w:style w:type="character" w:customStyle="1" w:styleId="57">
    <w:name w:val="UserStyle_7"/>
    <w:link w:val="56"/>
    <w:qFormat/>
    <w:uiPriority w:val="0"/>
    <w:rPr>
      <w:kern w:val="2"/>
      <w:sz w:val="18"/>
      <w:szCs w:val="18"/>
    </w:rPr>
  </w:style>
  <w:style w:type="character" w:customStyle="1" w:styleId="58">
    <w:name w:val="页脚 字符"/>
    <w:link w:val="16"/>
    <w:qFormat/>
    <w:uiPriority w:val="0"/>
    <w:rPr>
      <w:rFonts w:ascii="宋体"/>
      <w:sz w:val="18"/>
    </w:rPr>
  </w:style>
  <w:style w:type="character" w:customStyle="1" w:styleId="59">
    <w:name w:val="页眉 字符"/>
    <w:link w:val="17"/>
    <w:qFormat/>
    <w:uiPriority w:val="0"/>
    <w:rPr>
      <w:kern w:val="2"/>
      <w:sz w:val="18"/>
      <w:szCs w:val="18"/>
    </w:rPr>
  </w:style>
  <w:style w:type="paragraph" w:customStyle="1" w:styleId="60">
    <w:name w:val="TOC1"/>
    <w:basedOn w:val="1"/>
    <w:next w:val="1"/>
    <w:qFormat/>
    <w:uiPriority w:val="0"/>
  </w:style>
  <w:style w:type="paragraph" w:customStyle="1" w:styleId="61">
    <w:name w:val="TOC4"/>
    <w:basedOn w:val="1"/>
    <w:next w:val="1"/>
    <w:qFormat/>
    <w:uiPriority w:val="0"/>
    <w:pPr>
      <w:ind w:left="1260" w:leftChars="600"/>
    </w:pPr>
  </w:style>
  <w:style w:type="paragraph" w:customStyle="1" w:styleId="62">
    <w:name w:val="FootnoteText"/>
    <w:basedOn w:val="1"/>
    <w:qFormat/>
    <w:uiPriority w:val="0"/>
    <w:pPr>
      <w:snapToGrid w:val="0"/>
      <w:jc w:val="left"/>
    </w:pPr>
    <w:rPr>
      <w:sz w:val="18"/>
    </w:rPr>
  </w:style>
  <w:style w:type="paragraph" w:customStyle="1" w:styleId="63">
    <w:name w:val="TOC6"/>
    <w:basedOn w:val="1"/>
    <w:next w:val="1"/>
    <w:qFormat/>
    <w:uiPriority w:val="0"/>
    <w:pPr>
      <w:ind w:left="2100" w:leftChars="1000"/>
    </w:pPr>
  </w:style>
  <w:style w:type="paragraph" w:customStyle="1" w:styleId="64">
    <w:name w:val="BodyTextIndent3"/>
    <w:basedOn w:val="1"/>
    <w:qFormat/>
    <w:uiPriority w:val="0"/>
    <w:pPr>
      <w:spacing w:before="120" w:line="240" w:lineRule="atLeast"/>
      <w:ind w:left="720" w:firstLine="480"/>
      <w:jc w:val="left"/>
    </w:pPr>
    <w:rPr>
      <w:rFonts w:ascii="宋体"/>
      <w:kern w:val="0"/>
      <w:sz w:val="24"/>
      <w:szCs w:val="20"/>
    </w:rPr>
  </w:style>
  <w:style w:type="paragraph" w:customStyle="1" w:styleId="65">
    <w:name w:val="TOC2"/>
    <w:basedOn w:val="1"/>
    <w:next w:val="1"/>
    <w:qFormat/>
    <w:uiPriority w:val="0"/>
    <w:pPr>
      <w:ind w:left="420" w:leftChars="200"/>
    </w:pPr>
  </w:style>
  <w:style w:type="paragraph" w:customStyle="1" w:styleId="66">
    <w:name w:val="TOC9"/>
    <w:basedOn w:val="1"/>
    <w:next w:val="1"/>
    <w:qFormat/>
    <w:uiPriority w:val="0"/>
    <w:pPr>
      <w:ind w:left="3360" w:leftChars="1600"/>
    </w:pPr>
  </w:style>
  <w:style w:type="paragraph" w:customStyle="1" w:styleId="67">
    <w:name w:val="HtmlNormal"/>
    <w:basedOn w:val="1"/>
    <w:qFormat/>
    <w:uiPriority w:val="0"/>
    <w:pPr>
      <w:spacing w:before="100" w:beforeAutospacing="1" w:after="100" w:afterAutospacing="1"/>
      <w:jc w:val="left"/>
    </w:pPr>
    <w:rPr>
      <w:kern w:val="0"/>
      <w:sz w:val="24"/>
    </w:rPr>
  </w:style>
  <w:style w:type="paragraph" w:customStyle="1" w:styleId="68">
    <w:name w:val="Index1"/>
    <w:basedOn w:val="1"/>
    <w:next w:val="1"/>
    <w:semiHidden/>
    <w:qFormat/>
    <w:uiPriority w:val="0"/>
    <w:rPr>
      <w:szCs w:val="20"/>
    </w:rPr>
  </w:style>
  <w:style w:type="paragraph" w:customStyle="1" w:styleId="69">
    <w:name w:val="AnnotationSubject"/>
    <w:basedOn w:val="43"/>
    <w:next w:val="43"/>
    <w:link w:val="70"/>
    <w:qFormat/>
    <w:uiPriority w:val="0"/>
    <w:rPr>
      <w:rFonts w:cs="Times New Roman"/>
      <w:b/>
      <w:bCs/>
    </w:rPr>
  </w:style>
  <w:style w:type="character" w:customStyle="1" w:styleId="70">
    <w:name w:val="UserStyle_10"/>
    <w:link w:val="69"/>
    <w:qFormat/>
    <w:uiPriority w:val="0"/>
    <w:rPr>
      <w:rFonts w:cs="Times New Roman"/>
      <w:b/>
      <w:bCs/>
      <w:kern w:val="2"/>
      <w:sz w:val="21"/>
      <w:szCs w:val="24"/>
    </w:rPr>
  </w:style>
  <w:style w:type="table" w:customStyle="1" w:styleId="71">
    <w:name w:val="TableGrid"/>
    <w:basedOn w:val="38"/>
    <w:qFormat/>
    <w:uiPriority w:val="0"/>
  </w:style>
  <w:style w:type="character" w:customStyle="1" w:styleId="72">
    <w:name w:val="PageNumber"/>
    <w:basedOn w:val="37"/>
    <w:qFormat/>
    <w:uiPriority w:val="0"/>
  </w:style>
  <w:style w:type="character" w:customStyle="1" w:styleId="73">
    <w:name w:val="AnnotationReference"/>
    <w:qFormat/>
    <w:uiPriority w:val="0"/>
    <w:rPr>
      <w:sz w:val="21"/>
      <w:szCs w:val="21"/>
    </w:rPr>
  </w:style>
  <w:style w:type="character" w:customStyle="1" w:styleId="74">
    <w:name w:val="UserStyle_11"/>
    <w:semiHidden/>
    <w:qFormat/>
    <w:uiPriority w:val="0"/>
    <w:rPr>
      <w:kern w:val="2"/>
      <w:sz w:val="18"/>
      <w:szCs w:val="18"/>
    </w:rPr>
  </w:style>
  <w:style w:type="character" w:customStyle="1" w:styleId="75">
    <w:name w:val="UserStyle_12"/>
    <w:semiHidden/>
    <w:qFormat/>
    <w:uiPriority w:val="0"/>
    <w:rPr>
      <w:kern w:val="2"/>
      <w:sz w:val="21"/>
      <w:szCs w:val="24"/>
    </w:rPr>
  </w:style>
  <w:style w:type="character" w:customStyle="1" w:styleId="76">
    <w:name w:val="UserStyle_13"/>
    <w:qFormat/>
    <w:uiPriority w:val="0"/>
    <w:rPr>
      <w:rFonts w:ascii="Calibri" w:hAnsi="Calibri"/>
    </w:rPr>
  </w:style>
  <w:style w:type="character" w:customStyle="1" w:styleId="77">
    <w:name w:val="UserStyle_14"/>
    <w:qFormat/>
    <w:uiPriority w:val="0"/>
    <w:rPr>
      <w:rFonts w:ascii="宋体" w:hAnsi="宋体" w:eastAsia="宋体"/>
      <w:color w:val="FF0000"/>
      <w:sz w:val="20"/>
      <w:szCs w:val="20"/>
    </w:rPr>
  </w:style>
  <w:style w:type="character" w:customStyle="1" w:styleId="78">
    <w:name w:val="UserStyle_15"/>
    <w:qFormat/>
    <w:uiPriority w:val="0"/>
    <w:rPr>
      <w:rFonts w:ascii="Calibri" w:hAnsi="Calibri"/>
    </w:rPr>
  </w:style>
  <w:style w:type="character" w:customStyle="1" w:styleId="79">
    <w:name w:val="UserStyle_16"/>
    <w:qFormat/>
    <w:uiPriority w:val="0"/>
    <w:rPr>
      <w:rFonts w:ascii="宋体" w:hAnsi="宋体" w:eastAsia="宋体"/>
      <w:b/>
      <w:color w:val="FF0000"/>
      <w:sz w:val="20"/>
      <w:szCs w:val="20"/>
    </w:rPr>
  </w:style>
  <w:style w:type="character" w:customStyle="1" w:styleId="80">
    <w:name w:val="UserStyle_17"/>
    <w:qFormat/>
    <w:uiPriority w:val="0"/>
    <w:rPr>
      <w:rFonts w:ascii="Times New Roman" w:hAnsi="Times New Roman"/>
      <w:color w:val="000000"/>
      <w:sz w:val="20"/>
      <w:szCs w:val="20"/>
    </w:rPr>
  </w:style>
  <w:style w:type="character" w:customStyle="1" w:styleId="81">
    <w:name w:val="UserStyle_18"/>
    <w:qFormat/>
    <w:uiPriority w:val="0"/>
    <w:rPr>
      <w:rFonts w:ascii="宋体" w:hAnsi="宋体" w:eastAsia="宋体"/>
      <w:b/>
      <w:color w:val="000000"/>
      <w:sz w:val="20"/>
      <w:szCs w:val="20"/>
    </w:rPr>
  </w:style>
  <w:style w:type="character" w:customStyle="1" w:styleId="82">
    <w:name w:val="UserStyle_19"/>
    <w:qFormat/>
    <w:uiPriority w:val="0"/>
    <w:rPr>
      <w:rFonts w:ascii="宋体" w:hAnsi="宋体" w:eastAsia="宋体"/>
      <w:b/>
      <w:color w:val="FF0000"/>
      <w:sz w:val="22"/>
      <w:szCs w:val="22"/>
    </w:rPr>
  </w:style>
  <w:style w:type="character" w:customStyle="1" w:styleId="83">
    <w:name w:val="UserStyle_20"/>
    <w:link w:val="84"/>
    <w:qFormat/>
    <w:uiPriority w:val="0"/>
    <w:rPr>
      <w:rFonts w:ascii="宋体"/>
      <w:sz w:val="24"/>
    </w:rPr>
  </w:style>
  <w:style w:type="paragraph" w:customStyle="1" w:styleId="84">
    <w:name w:val="UserStyle_21"/>
    <w:basedOn w:val="1"/>
    <w:link w:val="83"/>
    <w:qFormat/>
    <w:uiPriority w:val="0"/>
    <w:pPr>
      <w:ind w:firstLine="420"/>
      <w:jc w:val="left"/>
    </w:pPr>
    <w:rPr>
      <w:rFonts w:ascii="宋体"/>
      <w:kern w:val="0"/>
      <w:sz w:val="24"/>
      <w:szCs w:val="20"/>
    </w:rPr>
  </w:style>
  <w:style w:type="character" w:customStyle="1" w:styleId="85">
    <w:name w:val="UserStyle_22"/>
    <w:qFormat/>
    <w:uiPriority w:val="0"/>
    <w:rPr>
      <w:rFonts w:ascii="宋体" w:hAnsi="宋体" w:eastAsia="宋体"/>
      <w:color w:val="000000"/>
      <w:sz w:val="20"/>
      <w:szCs w:val="20"/>
    </w:rPr>
  </w:style>
  <w:style w:type="character" w:customStyle="1" w:styleId="86">
    <w:name w:val="UserStyle_23"/>
    <w:semiHidden/>
    <w:qFormat/>
    <w:uiPriority w:val="0"/>
    <w:rPr>
      <w:kern w:val="2"/>
      <w:sz w:val="18"/>
      <w:szCs w:val="18"/>
    </w:rPr>
  </w:style>
  <w:style w:type="character" w:customStyle="1" w:styleId="87">
    <w:name w:val="UserStyle_24"/>
    <w:semiHidden/>
    <w:qFormat/>
    <w:uiPriority w:val="0"/>
    <w:rPr>
      <w:rFonts w:cs="Times New Roman"/>
      <w:b/>
      <w:bCs/>
      <w:kern w:val="2"/>
      <w:sz w:val="21"/>
      <w:szCs w:val="24"/>
    </w:rPr>
  </w:style>
  <w:style w:type="character" w:customStyle="1" w:styleId="88">
    <w:name w:val="UserStyle_25"/>
    <w:qFormat/>
    <w:uiPriority w:val="0"/>
    <w:rPr>
      <w:rFonts w:ascii="宋体" w:hAnsi="宋体" w:eastAsia="宋体"/>
      <w:b/>
      <w:color w:val="000000"/>
      <w:sz w:val="22"/>
      <w:szCs w:val="22"/>
    </w:rPr>
  </w:style>
  <w:style w:type="character" w:customStyle="1" w:styleId="89">
    <w:name w:val="UserStyle_26"/>
    <w:qFormat/>
    <w:uiPriority w:val="0"/>
    <w:rPr>
      <w:rFonts w:ascii="方正仿宋简体" w:hAnsi="方正仿宋简体" w:eastAsia="方正仿宋简体"/>
      <w:color w:val="000000"/>
      <w:sz w:val="20"/>
      <w:szCs w:val="20"/>
      <w:vertAlign w:val="subscript"/>
    </w:rPr>
  </w:style>
  <w:style w:type="character" w:customStyle="1" w:styleId="90">
    <w:name w:val="UserStyle_27"/>
    <w:link w:val="91"/>
    <w:qFormat/>
    <w:uiPriority w:val="0"/>
    <w:rPr>
      <w:rFonts w:ascii="宋体" w:hAnsi="Courier New"/>
    </w:rPr>
  </w:style>
  <w:style w:type="paragraph" w:customStyle="1" w:styleId="91">
    <w:name w:val="UserStyle_28"/>
    <w:basedOn w:val="1"/>
    <w:link w:val="90"/>
    <w:qFormat/>
    <w:uiPriority w:val="0"/>
    <w:rPr>
      <w:rFonts w:ascii="宋体" w:hAnsi="Courier New"/>
      <w:kern w:val="0"/>
      <w:sz w:val="20"/>
      <w:szCs w:val="20"/>
    </w:rPr>
  </w:style>
  <w:style w:type="character" w:customStyle="1" w:styleId="92">
    <w:name w:val="UserStyle_29"/>
    <w:qFormat/>
    <w:uiPriority w:val="0"/>
    <w:rPr>
      <w:rFonts w:ascii="宋体" w:hAnsi="宋体" w:eastAsia="宋体"/>
      <w:color w:val="000000"/>
      <w:sz w:val="24"/>
      <w:szCs w:val="24"/>
    </w:rPr>
  </w:style>
  <w:style w:type="character" w:customStyle="1" w:styleId="93">
    <w:name w:val="UserStyle_30"/>
    <w:qFormat/>
    <w:uiPriority w:val="0"/>
    <w:rPr>
      <w:rFonts w:ascii="宋体" w:hAnsi="宋体" w:eastAsia="宋体"/>
      <w:color w:val="000000"/>
      <w:sz w:val="20"/>
      <w:szCs w:val="20"/>
    </w:rPr>
  </w:style>
  <w:style w:type="character" w:customStyle="1" w:styleId="94">
    <w:name w:val="UserStyle_31"/>
    <w:qFormat/>
    <w:uiPriority w:val="0"/>
    <w:rPr>
      <w:rFonts w:ascii="宋体" w:hAnsi="宋体" w:eastAsia="宋体"/>
      <w:color w:val="000000"/>
      <w:sz w:val="20"/>
      <w:szCs w:val="20"/>
    </w:rPr>
  </w:style>
  <w:style w:type="character" w:customStyle="1" w:styleId="95">
    <w:name w:val="UserStyle_32"/>
    <w:basedOn w:val="37"/>
    <w:qFormat/>
    <w:uiPriority w:val="0"/>
  </w:style>
  <w:style w:type="character" w:customStyle="1" w:styleId="96">
    <w:name w:val="UserStyle_33"/>
    <w:qFormat/>
    <w:uiPriority w:val="0"/>
    <w:rPr>
      <w:rFonts w:ascii="方正仿宋简体" w:hAnsi="方正仿宋简体" w:eastAsia="方正仿宋简体"/>
      <w:color w:val="000000"/>
      <w:sz w:val="20"/>
      <w:szCs w:val="20"/>
    </w:rPr>
  </w:style>
  <w:style w:type="character" w:customStyle="1" w:styleId="97">
    <w:name w:val="UserStyle_34"/>
    <w:semiHidden/>
    <w:qFormat/>
    <w:uiPriority w:val="0"/>
    <w:rPr>
      <w:rFonts w:ascii="Times New Roman" w:hAnsi="Times New Roman" w:eastAsia="宋体"/>
      <w:kern w:val="2"/>
      <w:sz w:val="21"/>
      <w:szCs w:val="24"/>
      <w:lang w:val="en-US" w:eastAsia="zh-CN" w:bidi="ar-SA"/>
    </w:rPr>
  </w:style>
  <w:style w:type="paragraph" w:customStyle="1" w:styleId="98">
    <w:name w:val="UserStyle_35"/>
    <w:qFormat/>
    <w:uiPriority w:val="0"/>
    <w:pPr>
      <w:textAlignment w:val="baseline"/>
    </w:pPr>
    <w:rPr>
      <w:rFonts w:ascii="Times New Roman" w:hAnsi="Times New Roman" w:eastAsia="宋体" w:cstheme="minorBidi"/>
      <w:lang w:val="en-US" w:eastAsia="zh-CN" w:bidi="ar-SA"/>
    </w:rPr>
  </w:style>
  <w:style w:type="paragraph" w:customStyle="1" w:styleId="99">
    <w:name w:val="UserStyle_36"/>
    <w:basedOn w:val="1"/>
    <w:qFormat/>
    <w:uiPriority w:val="0"/>
    <w:pPr>
      <w:snapToGrid w:val="0"/>
      <w:spacing w:after="200"/>
      <w:ind w:firstLine="420" w:firstLineChars="200"/>
      <w:jc w:val="left"/>
    </w:pPr>
    <w:rPr>
      <w:rFonts w:ascii="Tahoma" w:hAnsi="Tahoma" w:eastAsia="微软雅黑"/>
      <w:kern w:val="0"/>
      <w:sz w:val="22"/>
    </w:rPr>
  </w:style>
  <w:style w:type="paragraph" w:customStyle="1" w:styleId="100">
    <w:name w:val="UserStyle_37"/>
    <w:basedOn w:val="1"/>
    <w:next w:val="1"/>
    <w:qFormat/>
    <w:uiPriority w:val="0"/>
    <w:pPr>
      <w:spacing w:line="360" w:lineRule="auto"/>
    </w:pPr>
    <w:rPr>
      <w:rFonts w:ascii="仿宋_GB2312" w:eastAsia="仿宋_GB2312"/>
      <w:sz w:val="24"/>
      <w:szCs w:val="20"/>
    </w:rPr>
  </w:style>
  <w:style w:type="paragraph" w:customStyle="1" w:styleId="101">
    <w:name w:val="UserStyle_38"/>
    <w:basedOn w:val="1"/>
    <w:qFormat/>
    <w:uiPriority w:val="0"/>
    <w:pPr>
      <w:tabs>
        <w:tab w:val="left" w:pos="360"/>
      </w:tabs>
    </w:pPr>
    <w:rPr>
      <w:sz w:val="24"/>
    </w:rPr>
  </w:style>
  <w:style w:type="paragraph" w:customStyle="1" w:styleId="102">
    <w:name w:val="UserStyle_39"/>
    <w:basedOn w:val="1"/>
    <w:qFormat/>
    <w:uiPriority w:val="0"/>
    <w:pPr>
      <w:spacing w:line="360" w:lineRule="auto"/>
      <w:jc w:val="left"/>
    </w:pPr>
    <w:rPr>
      <w:rFonts w:ascii="宋体" w:hAnsi="宋体" w:cs="Times New Roman"/>
      <w:b/>
      <w:bCs/>
      <w:sz w:val="24"/>
    </w:rPr>
  </w:style>
  <w:style w:type="paragraph" w:customStyle="1" w:styleId="103">
    <w:name w:val="UserStyle_40"/>
    <w:basedOn w:val="1"/>
    <w:qFormat/>
    <w:uiPriority w:val="0"/>
    <w:pPr>
      <w:spacing w:line="560" w:lineRule="exact"/>
      <w:ind w:firstLine="723" w:firstLineChars="200"/>
      <w:jc w:val="center"/>
    </w:pPr>
    <w:rPr>
      <w:rFonts w:ascii="仿宋_GB2312" w:eastAsia="仿宋_GB2312"/>
      <w:b/>
      <w:sz w:val="36"/>
    </w:rPr>
  </w:style>
  <w:style w:type="paragraph" w:customStyle="1" w:styleId="104">
    <w:name w:val="UserStyle_41"/>
    <w:qFormat/>
    <w:uiPriority w:val="0"/>
    <w:pPr>
      <w:textAlignment w:val="baseline"/>
    </w:pPr>
    <w:rPr>
      <w:rFonts w:ascii="宋体" w:hAnsi="宋体" w:eastAsia="宋体" w:cstheme="minorBidi"/>
      <w:sz w:val="24"/>
      <w:szCs w:val="24"/>
      <w:lang w:val="en-US" w:eastAsia="zh-CN" w:bidi="ar-SA"/>
    </w:rPr>
  </w:style>
  <w:style w:type="paragraph" w:customStyle="1" w:styleId="105">
    <w:name w:val="UserStyle_42"/>
    <w:basedOn w:val="1"/>
    <w:qFormat/>
    <w:uiPriority w:val="0"/>
    <w:pPr>
      <w:ind w:firstLine="420" w:firstLineChars="200"/>
      <w:jc w:val="left"/>
    </w:pPr>
    <w:rPr>
      <w:kern w:val="0"/>
      <w:sz w:val="24"/>
    </w:rPr>
  </w:style>
  <w:style w:type="paragraph" w:customStyle="1" w:styleId="106">
    <w:name w:val="UserStyle_43"/>
    <w:basedOn w:val="1"/>
    <w:qFormat/>
    <w:uiPriority w:val="0"/>
    <w:pPr>
      <w:spacing w:before="60" w:after="120" w:line="440" w:lineRule="atLeast"/>
      <w:ind w:firstLine="480"/>
    </w:pPr>
    <w:rPr>
      <w:sz w:val="24"/>
    </w:rPr>
  </w:style>
  <w:style w:type="paragraph" w:customStyle="1" w:styleId="107">
    <w:name w:val="UserStyle_44"/>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108">
    <w:name w:val="UserStyle_45"/>
    <w:basedOn w:val="1"/>
    <w:qFormat/>
    <w:uiPriority w:val="0"/>
    <w:pPr>
      <w:spacing w:line="360" w:lineRule="auto"/>
      <w:ind w:firstLine="200" w:firstLineChars="200"/>
    </w:pPr>
  </w:style>
  <w:style w:type="paragraph" w:customStyle="1" w:styleId="109">
    <w:name w:val="179"/>
    <w:basedOn w:val="1"/>
    <w:qFormat/>
    <w:uiPriority w:val="0"/>
    <w:pPr>
      <w:ind w:firstLine="420" w:firstLineChars="200"/>
    </w:pPr>
  </w:style>
  <w:style w:type="paragraph" w:customStyle="1" w:styleId="110">
    <w:name w:val="UserStyle_46"/>
    <w:qFormat/>
    <w:uiPriority w:val="0"/>
    <w:pPr>
      <w:spacing w:line="300" w:lineRule="auto"/>
      <w:textAlignment w:val="baseline"/>
    </w:pPr>
    <w:rPr>
      <w:rFonts w:ascii="Arial" w:hAnsi="Arial" w:eastAsia="宋体" w:cstheme="minorBidi"/>
      <w:sz w:val="21"/>
      <w:szCs w:val="21"/>
      <w:lang w:val="en-US" w:eastAsia="zh-CN" w:bidi="ar-SA"/>
    </w:rPr>
  </w:style>
  <w:style w:type="paragraph" w:customStyle="1" w:styleId="111">
    <w:name w:val="UserStyle_47"/>
    <w:basedOn w:val="1"/>
    <w:next w:val="110"/>
    <w:qFormat/>
    <w:uiPriority w:val="0"/>
    <w:pPr>
      <w:keepNext/>
      <w:keepLines/>
      <w:numPr>
        <w:ilvl w:val="4"/>
        <w:numId w:val="1"/>
      </w:numPr>
      <w:spacing w:before="280" w:after="156" w:line="377" w:lineRule="auto"/>
      <w:jc w:val="left"/>
    </w:pPr>
    <w:rPr>
      <w:rFonts w:ascii="Arial" w:hAnsi="Arial" w:eastAsia="黑体"/>
      <w:b/>
      <w:sz w:val="24"/>
      <w:szCs w:val="28"/>
    </w:rPr>
  </w:style>
  <w:style w:type="paragraph" w:customStyle="1" w:styleId="112">
    <w:name w:val="UserStyle_48"/>
    <w:basedOn w:val="1"/>
    <w:qFormat/>
    <w:uiPriority w:val="0"/>
    <w:pPr>
      <w:spacing w:before="120" w:after="120" w:line="360" w:lineRule="auto"/>
      <w:jc w:val="center"/>
    </w:pPr>
    <w:rPr>
      <w:rFonts w:eastAsia="仿宋_GB2312"/>
      <w:b/>
      <w:sz w:val="24"/>
    </w:rPr>
  </w:style>
  <w:style w:type="character" w:customStyle="1" w:styleId="113">
    <w:name w:val="font21"/>
    <w:basedOn w:val="29"/>
    <w:qFormat/>
    <w:uiPriority w:val="0"/>
    <w:rPr>
      <w:rFonts w:hint="eastAsia" w:ascii="宋体" w:hAnsi="宋体" w:eastAsia="宋体" w:cs="宋体"/>
      <w:color w:val="000000"/>
      <w:sz w:val="21"/>
      <w:szCs w:val="21"/>
      <w:u w:val="none"/>
    </w:rPr>
  </w:style>
  <w:style w:type="character" w:customStyle="1" w:styleId="114">
    <w:name w:val="font41"/>
    <w:basedOn w:val="29"/>
    <w:qFormat/>
    <w:uiPriority w:val="0"/>
    <w:rPr>
      <w:rFonts w:hint="eastAsia" w:ascii="宋体" w:hAnsi="宋体" w:eastAsia="宋体" w:cs="宋体"/>
      <w:color w:val="000000"/>
      <w:sz w:val="21"/>
      <w:szCs w:val="21"/>
      <w:u w:val="none"/>
    </w:rPr>
  </w:style>
  <w:style w:type="paragraph" w:customStyle="1" w:styleId="11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16">
    <w:name w:val="列出段落1"/>
    <w:basedOn w:val="1"/>
    <w:qFormat/>
    <w:uiPriority w:val="0"/>
    <w:pPr>
      <w:ind w:firstLine="420" w:firstLineChars="200"/>
      <w:jc w:val="left"/>
    </w:pPr>
    <w:rPr>
      <w:kern w:val="0"/>
      <w:sz w:val="24"/>
      <w:szCs w:val="20"/>
    </w:rPr>
  </w:style>
  <w:style w:type="paragraph" w:customStyle="1" w:styleId="117">
    <w:name w:val="一级标题"/>
    <w:basedOn w:val="3"/>
    <w:next w:val="1"/>
    <w:qFormat/>
    <w:uiPriority w:val="0"/>
    <w:pPr>
      <w:spacing w:line="360" w:lineRule="auto"/>
    </w:pPr>
    <w:rPr>
      <w:rFonts w:hAnsi="宋体"/>
      <w:lang w:bidi="ug-CN"/>
    </w:rPr>
  </w:style>
  <w:style w:type="paragraph" w:customStyle="1" w:styleId="118">
    <w:name w:val="图例"/>
    <w:basedOn w:val="1"/>
    <w:qFormat/>
    <w:uiPriority w:val="0"/>
    <w:pPr>
      <w:spacing w:line="360" w:lineRule="auto"/>
      <w:jc w:val="center"/>
    </w:pPr>
    <w:rPr>
      <w:rFonts w:eastAsia="仿宋_GB2312"/>
      <w:b/>
      <w:bCs/>
      <w:sz w:val="24"/>
    </w:rPr>
  </w:style>
  <w:style w:type="paragraph" w:customStyle="1" w:styleId="119">
    <w:name w:val="Char"/>
    <w:basedOn w:val="1"/>
    <w:qFormat/>
    <w:uiPriority w:val="0"/>
    <w:pPr>
      <w:tabs>
        <w:tab w:val="left" w:pos="360"/>
      </w:tabs>
    </w:pPr>
    <w:rPr>
      <w:sz w:val="24"/>
    </w:rPr>
  </w:style>
  <w:style w:type="character" w:customStyle="1" w:styleId="120">
    <w:name w:val="脚注文本 字符"/>
    <w:basedOn w:val="29"/>
    <w:link w:val="20"/>
    <w:qFormat/>
    <w:uiPriority w:val="0"/>
    <w:rPr>
      <w:rFonts w:cstheme="minorBidi"/>
      <w:kern w:val="2"/>
      <w:sz w:val="18"/>
      <w:szCs w:val="24"/>
    </w:rPr>
  </w:style>
  <w:style w:type="paragraph" w:styleId="121">
    <w:name w:val="List Paragraph"/>
    <w:basedOn w:val="1"/>
    <w:unhideWhenUsed/>
    <w:qFormat/>
    <w:uiPriority w:val="99"/>
    <w:pPr>
      <w:ind w:firstLine="420" w:firstLineChars="200"/>
    </w:pPr>
  </w:style>
  <w:style w:type="paragraph" w:customStyle="1" w:styleId="122">
    <w:name w:val="样式 样式 样式 左侧:  2 字符1 + 首行缩进:  2 字符1 + 首行缩进:  2 字符"/>
    <w:basedOn w:val="1"/>
    <w:qFormat/>
    <w:uiPriority w:val="0"/>
    <w:pPr>
      <w:adjustRightInd w:val="0"/>
      <w:spacing w:before="60" w:after="120" w:line="440" w:lineRule="atLeast"/>
      <w:ind w:firstLine="480"/>
    </w:pPr>
    <w:rPr>
      <w:sz w:val="24"/>
    </w:rPr>
  </w:style>
  <w:style w:type="paragraph" w:customStyle="1" w:styleId="123">
    <w:name w:val="List Paragraph1"/>
    <w:basedOn w:val="1"/>
    <w:qFormat/>
    <w:uiPriority w:val="0"/>
    <w:pPr>
      <w:ind w:firstLine="420" w:firstLineChars="200"/>
    </w:pPr>
  </w:style>
  <w:style w:type="character" w:customStyle="1" w:styleId="124">
    <w:name w:val="font81"/>
    <w:basedOn w:val="29"/>
    <w:qFormat/>
    <w:uiPriority w:val="0"/>
    <w:rPr>
      <w:rFonts w:hint="eastAsia" w:ascii="宋体" w:hAnsi="宋体" w:eastAsia="宋体" w:cs="宋体"/>
      <w:color w:val="000000"/>
      <w:sz w:val="20"/>
      <w:szCs w:val="20"/>
      <w:u w:val="none"/>
    </w:rPr>
  </w:style>
  <w:style w:type="character" w:customStyle="1" w:styleId="125">
    <w:name w:val="font01"/>
    <w:basedOn w:val="29"/>
    <w:qFormat/>
    <w:uiPriority w:val="0"/>
    <w:rPr>
      <w:rFonts w:ascii="Arial Regular" w:hAnsi="Arial Regular" w:eastAsia="Arial Regular" w:cs="Arial Regular"/>
      <w:color w:val="000000"/>
      <w:sz w:val="20"/>
      <w:szCs w:val="20"/>
      <w:u w:val="none"/>
    </w:rPr>
  </w:style>
  <w:style w:type="character" w:customStyle="1" w:styleId="126">
    <w:name w:val="font112"/>
    <w:basedOn w:val="29"/>
    <w:qFormat/>
    <w:uiPriority w:val="0"/>
    <w:rPr>
      <w:rFonts w:ascii="Wingdings 2" w:hAnsi="Wingdings 2" w:eastAsia="Wingdings 2" w:cs="Wingdings 2"/>
      <w:color w:val="000000"/>
      <w:sz w:val="20"/>
      <w:szCs w:val="20"/>
      <w:u w:val="none"/>
    </w:rPr>
  </w:style>
  <w:style w:type="character" w:customStyle="1" w:styleId="127">
    <w:name w:val="font91"/>
    <w:basedOn w:val="29"/>
    <w:qFormat/>
    <w:uiPriority w:val="0"/>
    <w:rPr>
      <w:rFonts w:hint="eastAsia" w:ascii="宋体" w:hAnsi="宋体" w:eastAsia="宋体" w:cs="宋体"/>
      <w:color w:val="000000"/>
      <w:sz w:val="20"/>
      <w:szCs w:val="20"/>
      <w:u w:val="none"/>
    </w:rPr>
  </w:style>
  <w:style w:type="character" w:customStyle="1" w:styleId="128">
    <w:name w:val="font101"/>
    <w:basedOn w:val="29"/>
    <w:qFormat/>
    <w:uiPriority w:val="0"/>
    <w:rPr>
      <w:rFonts w:hint="eastAsia" w:ascii="宋体" w:hAnsi="宋体" w:eastAsia="宋体" w:cs="宋体"/>
      <w:color w:val="000000"/>
      <w:sz w:val="18"/>
      <w:szCs w:val="18"/>
      <w:u w:val="none"/>
    </w:rPr>
  </w:style>
  <w:style w:type="character" w:customStyle="1" w:styleId="129">
    <w:name w:val="批注文字 字符"/>
    <w:basedOn w:val="29"/>
    <w:link w:val="9"/>
    <w:qFormat/>
    <w:uiPriority w:val="0"/>
    <w:rPr>
      <w:rFonts w:cstheme="minorBidi"/>
      <w:kern w:val="2"/>
      <w:sz w:val="21"/>
      <w:szCs w:val="24"/>
    </w:rPr>
  </w:style>
  <w:style w:type="character" w:customStyle="1" w:styleId="130">
    <w:name w:val="批注主题 字符"/>
    <w:basedOn w:val="129"/>
    <w:link w:val="25"/>
    <w:qFormat/>
    <w:uiPriority w:val="99"/>
    <w:rPr>
      <w:rFonts w:asciiTheme="minorHAnsi" w:hAnsiTheme="minorHAnsi" w:eastAsiaTheme="minorEastAsia" w:cstheme="minorBidi"/>
      <w:b/>
      <w:bCs/>
      <w:kern w:val="2"/>
      <w:sz w:val="21"/>
      <w:szCs w:val="22"/>
    </w:rPr>
  </w:style>
  <w:style w:type="character" w:customStyle="1" w:styleId="131">
    <w:name w:val="font31"/>
    <w:basedOn w:val="29"/>
    <w:qFormat/>
    <w:uiPriority w:val="0"/>
    <w:rPr>
      <w:rFonts w:hint="eastAsia" w:ascii="宋体" w:hAnsi="宋体" w:eastAsia="宋体" w:cs="宋体"/>
      <w:color w:val="000000"/>
      <w:sz w:val="21"/>
      <w:szCs w:val="21"/>
      <w:u w:val="none"/>
    </w:rPr>
  </w:style>
  <w:style w:type="character" w:customStyle="1" w:styleId="132">
    <w:name w:val="font11"/>
    <w:basedOn w:val="29"/>
    <w:qFormat/>
    <w:uiPriority w:val="0"/>
    <w:rPr>
      <w:rFonts w:ascii="Helvetica" w:hAnsi="Helvetica" w:eastAsia="Helvetica" w:cs="Helvetica"/>
      <w:color w:val="111E36"/>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F64AB-DAAF-4B7C-B10C-8B76436010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19029</Words>
  <Characters>19991</Characters>
  <Lines>1</Lines>
  <Paragraphs>1</Paragraphs>
  <TotalTime>0</TotalTime>
  <ScaleCrop>false</ScaleCrop>
  <LinksUpToDate>false</LinksUpToDate>
  <CharactersWithSpaces>21532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2022-07-15T03:48:00Z</dcterms:created>
  <dc:creator>Administrator</dc:creator>
  <cp:lastModifiedBy>Administrator</cp:lastModifiedBy>
  <cp:lastPrinted>2025-04-18T09:27:00Z</cp:lastPrinted>
  <dcterms:modified xsi:type="dcterms:W3CDTF">2025-07-03T11:27:18Z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ADC38618537842A4B0904478B1E696A7_13</vt:lpwstr>
  </property>
  <property fmtid="{D5CDD505-2E9C-101B-9397-08002B2CF9AE}" pid="4" name="KSOTemplateDocerSaveRecord">
    <vt:lpwstr>eyJoZGlkIjoiZDU3NDlhZWYxYzUxMjlkMDAwNmUxMDhiZDQxMzZmYjcifQ==</vt:lpwstr>
  </property>
</Properties>
</file>