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8F85">
      <w:pPr>
        <w:pStyle w:val="2"/>
        <w:tabs>
          <w:tab w:val="left" w:pos="567"/>
        </w:tabs>
        <w:spacing w:line="272" w:lineRule="auto"/>
        <w:jc w:val="center"/>
        <w:rPr>
          <w:rFonts w:hint="eastAsia"/>
          <w:lang w:eastAsia="zh-CN"/>
        </w:rPr>
      </w:pPr>
      <w:r>
        <w:rPr>
          <w:rFonts w:hint="eastAsia" w:ascii="仿宋" w:hAnsi="仿宋" w:eastAsia="仿宋" w:cs="仿宋"/>
          <w:b/>
          <w:bCs/>
          <w:sz w:val="52"/>
          <w:szCs w:val="52"/>
          <w:lang w:eastAsia="zh-CN"/>
        </w:rPr>
        <w:t>伽师县人民医院2025年信息化建设项目公开招标</w:t>
      </w:r>
    </w:p>
    <w:p w14:paraId="7B66CC01">
      <w:pPr>
        <w:pStyle w:val="2"/>
        <w:tabs>
          <w:tab w:val="left" w:pos="567"/>
        </w:tabs>
        <w:spacing w:line="272" w:lineRule="auto"/>
        <w:rPr>
          <w:rFonts w:hint="eastAsia"/>
          <w:lang w:eastAsia="zh-CN"/>
        </w:rPr>
      </w:pPr>
    </w:p>
    <w:p w14:paraId="7E1E76E7">
      <w:pPr>
        <w:pStyle w:val="27"/>
        <w:ind w:firstLine="2080" w:firstLineChars="400"/>
        <w:rPr>
          <w:rStyle w:val="26"/>
          <w:rFonts w:ascii="仿宋_GB2312" w:hAnsi="仿宋_GB2312" w:eastAsia="仿宋_GB2312" w:cs="仿宋_GB2312"/>
          <w:bCs/>
          <w:color w:val="auto"/>
          <w:sz w:val="52"/>
          <w:szCs w:val="52"/>
          <w:lang w:eastAsia="zh-CN"/>
        </w:rPr>
      </w:pPr>
    </w:p>
    <w:p w14:paraId="17BBA018">
      <w:pPr>
        <w:pStyle w:val="27"/>
        <w:ind w:firstLine="2080" w:firstLineChars="400"/>
        <w:rPr>
          <w:rStyle w:val="26"/>
          <w:rFonts w:ascii="仿宋_GB2312" w:hAnsi="仿宋_GB2312" w:eastAsia="仿宋_GB2312" w:cs="仿宋_GB2312"/>
          <w:bCs/>
          <w:color w:val="auto"/>
          <w:sz w:val="52"/>
          <w:szCs w:val="52"/>
          <w:lang w:eastAsia="zh-CN"/>
        </w:rPr>
      </w:pPr>
    </w:p>
    <w:p w14:paraId="165B4EB5">
      <w:pPr>
        <w:pStyle w:val="27"/>
        <w:jc w:val="center"/>
        <w:rPr>
          <w:rStyle w:val="26"/>
          <w:rFonts w:ascii="仿宋_GB2312" w:hAnsi="仿宋_GB2312" w:eastAsia="仿宋_GB2312"/>
          <w:b/>
          <w:color w:val="auto"/>
          <w:sz w:val="52"/>
          <w:szCs w:val="52"/>
          <w:lang w:eastAsia="zh-CN"/>
        </w:rPr>
      </w:pPr>
      <w:r>
        <w:rPr>
          <w:rStyle w:val="26"/>
          <w:rFonts w:ascii="仿宋_GB2312" w:hAnsi="仿宋_GB2312" w:eastAsia="仿宋_GB2312"/>
          <w:b/>
          <w:color w:val="auto"/>
          <w:sz w:val="52"/>
          <w:szCs w:val="52"/>
          <w:lang w:eastAsia="zh-CN"/>
        </w:rPr>
        <w:t>招标文件</w:t>
      </w:r>
    </w:p>
    <w:p w14:paraId="6B1FAD3B">
      <w:pPr>
        <w:pStyle w:val="27"/>
        <w:rPr>
          <w:rStyle w:val="26"/>
          <w:rFonts w:eastAsia="仿宋_GB2312"/>
          <w:color w:val="auto"/>
          <w:lang w:eastAsia="zh-CN"/>
        </w:rPr>
      </w:pPr>
    </w:p>
    <w:p w14:paraId="1205D852">
      <w:pPr>
        <w:spacing w:line="240" w:lineRule="atLeast"/>
        <w:ind w:left="1079" w:leftChars="257" w:hanging="540"/>
        <w:jc w:val="center"/>
        <w:rPr>
          <w:rStyle w:val="26"/>
          <w:rFonts w:ascii="仿宋_GB2312" w:hAnsi="仿宋_GB2312" w:eastAsia="仿宋_GB2312"/>
          <w:b/>
          <w:color w:val="auto"/>
          <w:sz w:val="32"/>
          <w:szCs w:val="32"/>
          <w:lang w:eastAsia="zh-CN"/>
        </w:rPr>
      </w:pPr>
    </w:p>
    <w:p w14:paraId="3C417D81">
      <w:pPr>
        <w:spacing w:line="240" w:lineRule="atLeast"/>
        <w:ind w:left="1079" w:leftChars="257" w:hanging="540"/>
        <w:rPr>
          <w:rStyle w:val="26"/>
          <w:rFonts w:ascii="仿宋_GB2312" w:hAnsi="仿宋_GB2312" w:eastAsia="仿宋_GB2312"/>
          <w:b/>
          <w:color w:val="auto"/>
          <w:sz w:val="28"/>
          <w:lang w:eastAsia="zh-CN"/>
        </w:rPr>
      </w:pPr>
    </w:p>
    <w:p w14:paraId="22ECB848">
      <w:pPr>
        <w:spacing w:line="240" w:lineRule="atLeast"/>
        <w:ind w:left="2095" w:leftChars="998" w:firstLine="1258" w:firstLineChars="242"/>
        <w:rPr>
          <w:rStyle w:val="26"/>
          <w:rFonts w:ascii="仿宋_GB2312" w:hAnsi="仿宋_GB2312" w:eastAsia="仿宋_GB2312"/>
          <w:b/>
          <w:color w:val="auto"/>
          <w:sz w:val="52"/>
          <w:lang w:eastAsia="zh-CN"/>
        </w:rPr>
      </w:pPr>
      <w:r>
        <w:rPr>
          <w:rStyle w:val="26"/>
          <w:rFonts w:ascii="仿宋_GB2312" w:hAnsi="仿宋_GB2312" w:eastAsia="仿宋_GB2312"/>
          <w:b/>
          <w:color w:val="auto"/>
          <w:sz w:val="52"/>
          <w:lang w:eastAsia="zh-CN"/>
        </w:rPr>
        <w:t>(第一册)</w:t>
      </w:r>
    </w:p>
    <w:p w14:paraId="479BAF44">
      <w:pPr>
        <w:spacing w:line="240" w:lineRule="atLeast"/>
        <w:ind w:left="1079" w:leftChars="257" w:hanging="540"/>
        <w:jc w:val="center"/>
        <w:rPr>
          <w:rStyle w:val="26"/>
          <w:rFonts w:ascii="仿宋_GB2312" w:hAnsi="仿宋_GB2312" w:eastAsia="仿宋_GB2312"/>
          <w:b/>
          <w:color w:val="auto"/>
          <w:sz w:val="52"/>
          <w:lang w:eastAsia="zh-CN"/>
        </w:rPr>
      </w:pPr>
    </w:p>
    <w:p w14:paraId="7088F02A">
      <w:pPr>
        <w:pStyle w:val="2"/>
        <w:tabs>
          <w:tab w:val="left" w:pos="567"/>
        </w:tabs>
        <w:rPr>
          <w:rStyle w:val="26"/>
          <w:rFonts w:ascii="仿宋_GB2312" w:hAnsi="仿宋_GB2312" w:eastAsia="仿宋_GB2312"/>
          <w:b/>
          <w:color w:val="auto"/>
          <w:sz w:val="52"/>
          <w:lang w:eastAsia="zh-CN"/>
        </w:rPr>
      </w:pPr>
    </w:p>
    <w:p w14:paraId="4C1F91B6">
      <w:pPr>
        <w:spacing w:line="360" w:lineRule="auto"/>
        <w:ind w:left="839" w:firstLine="420"/>
        <w:rPr>
          <w:rStyle w:val="26"/>
          <w:rFonts w:ascii="仿宋_GB2312" w:hAnsi="仿宋_GB2312" w:eastAsia="仿宋_GB2312" w:cs="仿宋_GB2312"/>
          <w:b/>
          <w:bCs/>
          <w:color w:val="auto"/>
          <w:sz w:val="30"/>
          <w:szCs w:val="30"/>
          <w:lang w:eastAsia="zh-CN"/>
        </w:rPr>
      </w:pPr>
    </w:p>
    <w:p w14:paraId="4CF47646">
      <w:pPr>
        <w:spacing w:line="360" w:lineRule="auto"/>
        <w:ind w:left="839" w:firstLine="420"/>
        <w:rPr>
          <w:rStyle w:val="26"/>
          <w:rFonts w:hint="eastAsia"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项 目 编 号：</w:t>
      </w:r>
      <w:r>
        <w:rPr>
          <w:rStyle w:val="26"/>
          <w:rFonts w:hint="eastAsia" w:ascii="仿宋_GB2312" w:hAnsi="仿宋_GB2312" w:eastAsia="仿宋_GB2312" w:cs="仿宋_GB2312"/>
          <w:b/>
          <w:bCs/>
          <w:color w:val="auto"/>
          <w:sz w:val="30"/>
          <w:szCs w:val="30"/>
          <w:lang w:eastAsia="zh-CN"/>
        </w:rPr>
        <w:t>KSJSX(GK)2025-18</w:t>
      </w:r>
    </w:p>
    <w:p w14:paraId="56CCEA56">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采 购 单 位：</w:t>
      </w:r>
      <w:r>
        <w:rPr>
          <w:rStyle w:val="26"/>
          <w:rFonts w:hint="eastAsia" w:ascii="仿宋_GB2312" w:hAnsi="仿宋_GB2312" w:eastAsia="仿宋_GB2312" w:cs="仿宋_GB2312"/>
          <w:b/>
          <w:bCs/>
          <w:color w:val="auto"/>
          <w:sz w:val="30"/>
          <w:szCs w:val="30"/>
          <w:lang w:eastAsia="zh-CN"/>
        </w:rPr>
        <w:t>伽师县人民医院</w:t>
      </w:r>
    </w:p>
    <w:p w14:paraId="549452A0">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采购代理机构：</w:t>
      </w:r>
      <w:r>
        <w:rPr>
          <w:rStyle w:val="26"/>
          <w:rFonts w:hint="eastAsia" w:ascii="仿宋_GB2312" w:hAnsi="仿宋_GB2312" w:eastAsia="仿宋_GB2312" w:cs="仿宋_GB2312"/>
          <w:b/>
          <w:bCs/>
          <w:color w:val="auto"/>
          <w:sz w:val="30"/>
          <w:szCs w:val="30"/>
          <w:lang w:eastAsia="zh-CN"/>
        </w:rPr>
        <w:t xml:space="preserve">伽师县政府采购中心 </w:t>
      </w:r>
    </w:p>
    <w:p w14:paraId="1BF3B6F1">
      <w:pPr>
        <w:spacing w:line="360" w:lineRule="auto"/>
        <w:ind w:left="839" w:firstLine="420"/>
        <w:rPr>
          <w:rStyle w:val="26"/>
          <w:rFonts w:ascii="仿宋_GB2312" w:hAnsi="仿宋_GB2312" w:eastAsia="仿宋_GB2312" w:cs="仿宋_GB2312"/>
          <w:b/>
          <w:bCs/>
          <w:color w:val="auto"/>
          <w:sz w:val="30"/>
          <w:szCs w:val="30"/>
          <w:lang w:eastAsia="zh-CN"/>
        </w:rPr>
      </w:pPr>
      <w:r>
        <w:rPr>
          <w:rStyle w:val="26"/>
          <w:rFonts w:ascii="仿宋_GB2312" w:hAnsi="仿宋_GB2312" w:eastAsia="仿宋_GB2312" w:cs="仿宋_GB2312"/>
          <w:b/>
          <w:bCs/>
          <w:color w:val="auto"/>
          <w:sz w:val="30"/>
          <w:szCs w:val="30"/>
          <w:lang w:eastAsia="zh-CN"/>
        </w:rPr>
        <w:t>发  出 日 期：</w:t>
      </w:r>
      <w:r>
        <w:rPr>
          <w:rStyle w:val="26"/>
          <w:rFonts w:hint="eastAsia" w:ascii="仿宋_GB2312" w:hAnsi="仿宋_GB2312" w:eastAsia="仿宋_GB2312" w:cs="仿宋_GB2312"/>
          <w:b/>
          <w:bCs/>
          <w:color w:val="auto"/>
          <w:sz w:val="30"/>
          <w:szCs w:val="30"/>
          <w:lang w:eastAsia="zh-CN"/>
        </w:rPr>
        <w:t>2025年</w:t>
      </w:r>
      <w:r>
        <w:rPr>
          <w:rStyle w:val="26"/>
          <w:rFonts w:hint="eastAsia" w:ascii="仿宋_GB2312" w:hAnsi="仿宋_GB2312" w:eastAsia="仿宋_GB2312" w:cs="仿宋_GB2312"/>
          <w:b/>
          <w:bCs/>
          <w:color w:val="auto"/>
          <w:sz w:val="30"/>
          <w:szCs w:val="30"/>
          <w:lang w:val="en-US" w:eastAsia="zh-CN"/>
        </w:rPr>
        <w:t>7</w:t>
      </w:r>
      <w:r>
        <w:rPr>
          <w:rStyle w:val="26"/>
          <w:rFonts w:hint="eastAsia" w:ascii="仿宋_GB2312" w:hAnsi="仿宋_GB2312" w:eastAsia="仿宋_GB2312" w:cs="仿宋_GB2312"/>
          <w:b/>
          <w:bCs/>
          <w:color w:val="auto"/>
          <w:sz w:val="30"/>
          <w:szCs w:val="30"/>
          <w:lang w:eastAsia="zh-CN"/>
        </w:rPr>
        <w:t>月</w:t>
      </w:r>
    </w:p>
    <w:p w14:paraId="093D929A">
      <w:pPr>
        <w:spacing w:line="240" w:lineRule="atLeast"/>
        <w:ind w:left="1079" w:leftChars="257" w:hanging="540"/>
        <w:rPr>
          <w:rStyle w:val="26"/>
          <w:rFonts w:ascii="仿宋_GB2312" w:hAnsi="仿宋_GB2312" w:eastAsia="仿宋_GB2312"/>
          <w:b/>
          <w:color w:val="auto"/>
          <w:lang w:eastAsia="zh-CN"/>
        </w:rPr>
      </w:pPr>
    </w:p>
    <w:p w14:paraId="600D7A44">
      <w:pPr>
        <w:spacing w:line="240" w:lineRule="atLeast"/>
        <w:ind w:left="1079" w:leftChars="257" w:hanging="540"/>
        <w:jc w:val="center"/>
        <w:rPr>
          <w:rFonts w:ascii="仿宋_GB2312" w:hAnsi="仿宋_GB2312" w:eastAsia="仿宋_GB2312" w:cs="仿宋_GB2312"/>
          <w:b/>
          <w:color w:val="auto"/>
          <w:sz w:val="32"/>
          <w:lang w:eastAsia="zh-CN"/>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22782"/>
      <w:bookmarkStart w:id="1" w:name="_Toc17230"/>
      <w:bookmarkStart w:id="2" w:name="_Toc25817"/>
      <w:bookmarkStart w:id="3" w:name="_Toc216582804"/>
    </w:p>
    <w:bookmarkEnd w:id="0"/>
    <w:bookmarkEnd w:id="1"/>
    <w:bookmarkEnd w:id="2"/>
    <w:bookmarkEnd w:id="3"/>
    <w:p w14:paraId="76151AF6">
      <w:pPr>
        <w:spacing w:line="240" w:lineRule="atLeast"/>
        <w:ind w:left="1079" w:leftChars="257" w:hanging="540"/>
        <w:jc w:val="center"/>
        <w:rPr>
          <w:rFonts w:hint="eastAsia" w:ascii="仿宋" w:hAnsi="仿宋" w:eastAsia="仿宋" w:cs="仿宋"/>
          <w:b/>
          <w:color w:val="auto"/>
          <w:sz w:val="32"/>
        </w:rPr>
      </w:pPr>
      <w:bookmarkStart w:id="4" w:name="_Toc31178"/>
      <w:bookmarkStart w:id="5" w:name="_Toc26793"/>
      <w:bookmarkStart w:id="6" w:name="_Toc8272"/>
      <w:bookmarkStart w:id="7" w:name="_Toc13334"/>
      <w:bookmarkStart w:id="8" w:name="_Toc1687"/>
      <w:bookmarkStart w:id="9" w:name="_Toc2510"/>
      <w:bookmarkStart w:id="10" w:name="_Toc5471"/>
      <w:bookmarkStart w:id="11" w:name="_Toc18867"/>
      <w:bookmarkStart w:id="12" w:name="_Toc15055"/>
      <w:r>
        <w:rPr>
          <w:rFonts w:hint="eastAsia" w:ascii="仿宋" w:hAnsi="仿宋" w:eastAsia="仿宋" w:cs="仿宋"/>
          <w:b/>
          <w:color w:val="auto"/>
          <w:sz w:val="32"/>
        </w:rPr>
        <w:t>目  录</w:t>
      </w:r>
    </w:p>
    <w:p w14:paraId="68FA28D5">
      <w:pPr>
        <w:pStyle w:val="15"/>
        <w:tabs>
          <w:tab w:val="right" w:leader="dot" w:pos="9786"/>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"1-3" \h \u </w:instrText>
      </w:r>
      <w:r>
        <w:rPr>
          <w:rFonts w:hint="eastAsia" w:ascii="仿宋" w:hAnsi="仿宋" w:eastAsia="仿宋" w:cs="仿宋"/>
          <w:color w:val="auto"/>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"_Toc8173" </w:instrText>
      </w:r>
      <w:r>
        <w:rPr>
          <w:rFonts w:hint="eastAsia" w:ascii="仿宋" w:hAnsi="仿宋" w:eastAsia="仿宋" w:cs="仿宋"/>
        </w:rPr>
        <w:fldChar w:fldCharType="separate"/>
      </w:r>
      <w:r>
        <w:rPr>
          <w:rFonts w:hint="eastAsia" w:ascii="仿宋" w:hAnsi="仿宋" w:eastAsia="仿宋" w:cs="仿宋"/>
          <w:color w:val="auto"/>
          <w:szCs w:val="44"/>
        </w:rPr>
        <w:t>第一章投标人须知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_Toc8173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5D50A5F">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"_Toc16621" </w:instrText>
      </w:r>
      <w:r>
        <w:rPr>
          <w:rFonts w:hint="eastAsia" w:ascii="仿宋" w:hAnsi="仿宋" w:eastAsia="仿宋" w:cs="仿宋"/>
        </w:rPr>
        <w:fldChar w:fldCharType="separate"/>
      </w:r>
      <w:r>
        <w:rPr>
          <w:rFonts w:hint="eastAsia" w:ascii="仿宋" w:hAnsi="仿宋" w:eastAsia="仿宋" w:cs="仿宋"/>
          <w:color w:val="auto"/>
        </w:rPr>
        <w:t>一   总 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_Toc16621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21863A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"_Toc9551" </w:instrText>
      </w:r>
      <w:r>
        <w:rPr>
          <w:rFonts w:hint="eastAsia" w:ascii="仿宋" w:hAnsi="仿宋" w:eastAsia="仿宋" w:cs="仿宋"/>
        </w:rPr>
        <w:fldChar w:fldCharType="separate"/>
      </w:r>
      <w:r>
        <w:rPr>
          <w:rFonts w:hint="eastAsia" w:ascii="仿宋" w:hAnsi="仿宋" w:eastAsia="仿宋" w:cs="仿宋"/>
          <w:color w:val="auto"/>
        </w:rPr>
        <w:t>1.采购人、采购代理机构及投标人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_Toc9551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911DF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"_Toc8057" </w:instrText>
      </w:r>
      <w:r>
        <w:rPr>
          <w:rFonts w:hint="eastAsia" w:ascii="仿宋" w:hAnsi="仿宋" w:eastAsia="仿宋" w:cs="仿宋"/>
        </w:rPr>
        <w:fldChar w:fldCharType="separate"/>
      </w:r>
      <w:r>
        <w:rPr>
          <w:rFonts w:hint="eastAsia" w:ascii="仿宋" w:hAnsi="仿宋" w:eastAsia="仿宋" w:cs="仿宋"/>
          <w:color w:val="auto"/>
        </w:rPr>
        <w:t>2.资金来源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_Toc8057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1D471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"_Toc703" </w:instrText>
      </w:r>
      <w:r>
        <w:rPr>
          <w:rFonts w:hint="eastAsia" w:ascii="仿宋" w:hAnsi="仿宋" w:eastAsia="仿宋" w:cs="仿宋"/>
        </w:rPr>
        <w:fldChar w:fldCharType="separate"/>
      </w:r>
      <w:r>
        <w:rPr>
          <w:rFonts w:hint="eastAsia" w:ascii="仿宋" w:hAnsi="仿宋" w:eastAsia="仿宋" w:cs="仿宋"/>
          <w:color w:val="auto"/>
        </w:rPr>
        <w:t>3.投标费用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_Toc703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A22271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"_Toc19596" </w:instrText>
      </w:r>
      <w:r>
        <w:rPr>
          <w:rFonts w:hint="eastAsia" w:ascii="仿宋" w:hAnsi="仿宋" w:eastAsia="仿宋" w:cs="仿宋"/>
        </w:rPr>
        <w:fldChar w:fldCharType="separate"/>
      </w:r>
      <w:r>
        <w:rPr>
          <w:rFonts w:hint="eastAsia" w:ascii="仿宋" w:hAnsi="仿宋" w:eastAsia="仿宋" w:cs="仿宋"/>
          <w:color w:val="auto"/>
        </w:rPr>
        <w:t>4.适用法律</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_Toc19596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90FE908">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"_Toc6520" </w:instrText>
      </w:r>
      <w:r>
        <w:rPr>
          <w:rFonts w:hint="eastAsia" w:ascii="仿宋" w:hAnsi="仿宋" w:eastAsia="仿宋" w:cs="仿宋"/>
        </w:rPr>
        <w:fldChar w:fldCharType="separate"/>
      </w:r>
      <w:r>
        <w:rPr>
          <w:rFonts w:hint="eastAsia" w:ascii="仿宋" w:hAnsi="仿宋" w:eastAsia="仿宋" w:cs="仿宋"/>
          <w:color w:val="auto"/>
        </w:rPr>
        <w:t>二   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_Toc6520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87EE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"_Toc25647" </w:instrText>
      </w:r>
      <w:r>
        <w:rPr>
          <w:rFonts w:hint="eastAsia" w:ascii="仿宋" w:hAnsi="仿宋" w:eastAsia="仿宋" w:cs="仿宋"/>
        </w:rPr>
        <w:fldChar w:fldCharType="separate"/>
      </w:r>
      <w:r>
        <w:rPr>
          <w:rFonts w:hint="eastAsia" w:ascii="仿宋" w:hAnsi="仿宋" w:eastAsia="仿宋" w:cs="仿宋"/>
          <w:color w:val="auto"/>
        </w:rPr>
        <w:t>5.招标文件构成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_Toc25647 \h </w:instrText>
      </w:r>
      <w:r>
        <w:rPr>
          <w:rFonts w:hint="eastAsia" w:ascii="仿宋" w:hAnsi="仿宋" w:eastAsia="仿宋" w:cs="仿宋"/>
          <w:color w:val="auto"/>
        </w:rPr>
        <w:fldChar w:fldCharType="separate"/>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52F011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"_Toc7751" </w:instrText>
      </w:r>
      <w:r>
        <w:rPr>
          <w:rFonts w:hint="eastAsia" w:ascii="仿宋" w:hAnsi="仿宋" w:eastAsia="仿宋" w:cs="仿宋"/>
        </w:rPr>
        <w:fldChar w:fldCharType="separate"/>
      </w:r>
      <w:r>
        <w:rPr>
          <w:rFonts w:hint="eastAsia" w:ascii="仿宋" w:hAnsi="仿宋" w:eastAsia="仿宋" w:cs="仿宋"/>
          <w:color w:val="auto"/>
        </w:rPr>
        <w:t>6.招标文件的澄清与修改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_Toc7751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75867C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"_Toc21817" </w:instrText>
      </w:r>
      <w:r>
        <w:rPr>
          <w:rFonts w:hint="eastAsia" w:ascii="仿宋" w:hAnsi="仿宋" w:eastAsia="仿宋" w:cs="仿宋"/>
        </w:rPr>
        <w:fldChar w:fldCharType="separate"/>
      </w:r>
      <w:r>
        <w:rPr>
          <w:rFonts w:hint="eastAsia" w:ascii="仿宋" w:hAnsi="仿宋" w:eastAsia="仿宋" w:cs="仿宋"/>
          <w:color w:val="auto"/>
        </w:rPr>
        <w:t>7.投标截止时间的顺延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_Toc21817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4E14A1">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"_Toc9442" </w:instrText>
      </w:r>
      <w:r>
        <w:rPr>
          <w:rFonts w:hint="eastAsia" w:ascii="仿宋" w:hAnsi="仿宋" w:eastAsia="仿宋" w:cs="仿宋"/>
        </w:rPr>
        <w:fldChar w:fldCharType="separate"/>
      </w:r>
      <w:r>
        <w:rPr>
          <w:rFonts w:hint="eastAsia" w:ascii="仿宋" w:hAnsi="仿宋" w:eastAsia="仿宋" w:cs="仿宋"/>
          <w:color w:val="auto"/>
        </w:rPr>
        <w:t>三   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_Toc9442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31A734">
      <w:pPr>
        <w:pStyle w:val="10"/>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"_Toc11227" </w:instrText>
      </w:r>
      <w:r>
        <w:rPr>
          <w:rFonts w:hint="eastAsia" w:ascii="仿宋" w:hAnsi="仿宋" w:eastAsia="仿宋" w:cs="仿宋"/>
        </w:rPr>
        <w:fldChar w:fldCharType="separate"/>
      </w:r>
      <w:r>
        <w:rPr>
          <w:rFonts w:hint="eastAsia" w:ascii="仿宋" w:hAnsi="仿宋" w:eastAsia="仿宋" w:cs="仿宋"/>
          <w:color w:val="auto"/>
        </w:rPr>
        <w:t>8.</w:t>
      </w:r>
      <w:r>
        <w:rPr>
          <w:rFonts w:hint="eastAsia" w:ascii="仿宋" w:hAnsi="仿宋" w:eastAsia="仿宋" w:cs="仿宋"/>
          <w:color w:val="auto"/>
        </w:rPr>
        <w:tab/>
      </w:r>
      <w:r>
        <w:rPr>
          <w:rFonts w:hint="eastAsia" w:ascii="仿宋" w:hAnsi="仿宋" w:eastAsia="仿宋" w:cs="仿宋"/>
          <w:color w:val="auto"/>
        </w:rPr>
        <w:t>投标范围及投标文件中标准和计量单位的使用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_Toc11227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33BF5A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"_Toc31425" </w:instrText>
      </w:r>
      <w:r>
        <w:rPr>
          <w:rFonts w:hint="eastAsia" w:ascii="仿宋" w:hAnsi="仿宋" w:eastAsia="仿宋" w:cs="仿宋"/>
        </w:rPr>
        <w:fldChar w:fldCharType="separate"/>
      </w:r>
      <w:r>
        <w:rPr>
          <w:rFonts w:hint="eastAsia" w:ascii="仿宋" w:hAnsi="仿宋" w:eastAsia="仿宋" w:cs="仿宋"/>
          <w:color w:val="auto"/>
        </w:rPr>
        <w:t>9.投标文件构成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_Toc31425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8D38021">
      <w:pPr>
        <w:pStyle w:val="10"/>
        <w:tabs>
          <w:tab w:val="right" w:pos="2800"/>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"_Toc20882" </w:instrText>
      </w:r>
      <w:r>
        <w:rPr>
          <w:rFonts w:hint="eastAsia" w:ascii="仿宋" w:hAnsi="仿宋" w:eastAsia="仿宋" w:cs="仿宋"/>
        </w:rPr>
        <w:fldChar w:fldCharType="separate"/>
      </w:r>
      <w:r>
        <w:rPr>
          <w:rFonts w:hint="eastAsia" w:ascii="仿宋" w:hAnsi="仿宋" w:eastAsia="仿宋" w:cs="仿宋"/>
          <w:color w:val="auto"/>
        </w:rPr>
        <w:t>10.</w:t>
      </w:r>
      <w:r>
        <w:rPr>
          <w:rFonts w:hint="eastAsia" w:ascii="仿宋" w:hAnsi="仿宋" w:eastAsia="仿宋" w:cs="仿宋"/>
          <w:color w:val="auto"/>
        </w:rPr>
        <w:tab/>
      </w:r>
      <w:r>
        <w:rPr>
          <w:rFonts w:hint="eastAsia" w:ascii="仿宋" w:hAnsi="仿宋" w:eastAsia="仿宋" w:cs="仿宋"/>
          <w:color w:val="auto"/>
        </w:rPr>
        <w:t>证明投标标的的合格性和符合招标文件规定的技术文件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_Toc20882 \h </w:instrText>
      </w:r>
      <w:r>
        <w:rPr>
          <w:rFonts w:hint="eastAsia" w:ascii="仿宋" w:hAnsi="仿宋" w:eastAsia="仿宋" w:cs="仿宋"/>
          <w:color w:val="auto"/>
        </w:rPr>
        <w:fldChar w:fldCharType="separate"/>
      </w:r>
      <w:r>
        <w:rPr>
          <w:rFonts w:hint="eastAsia" w:ascii="仿宋" w:hAnsi="仿宋" w:eastAsia="仿宋" w:cs="仿宋"/>
          <w:color w:val="auto"/>
        </w:rPr>
        <w:t>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499065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"_Toc30150" </w:instrText>
      </w:r>
      <w:r>
        <w:rPr>
          <w:rFonts w:hint="eastAsia" w:ascii="仿宋" w:hAnsi="仿宋" w:eastAsia="仿宋" w:cs="仿宋"/>
        </w:rPr>
        <w:fldChar w:fldCharType="separate"/>
      </w:r>
      <w:r>
        <w:rPr>
          <w:rFonts w:hint="eastAsia" w:ascii="仿宋" w:hAnsi="仿宋" w:eastAsia="仿宋" w:cs="仿宋"/>
          <w:color w:val="auto"/>
        </w:rPr>
        <w:t>11.投标报价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_Toc30150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9B40B4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"_Toc30117" </w:instrText>
      </w:r>
      <w:r>
        <w:rPr>
          <w:rFonts w:hint="eastAsia" w:ascii="仿宋" w:hAnsi="仿宋" w:eastAsia="仿宋" w:cs="仿宋"/>
        </w:rPr>
        <w:fldChar w:fldCharType="separate"/>
      </w:r>
      <w:r>
        <w:rPr>
          <w:rFonts w:hint="eastAsia" w:ascii="仿宋" w:hAnsi="仿宋" w:eastAsia="仿宋" w:cs="仿宋"/>
          <w:color w:val="auto"/>
        </w:rPr>
        <w:t>12.投标保证金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_Toc30117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D1311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"_Toc15686" </w:instrText>
      </w:r>
      <w:r>
        <w:rPr>
          <w:rFonts w:hint="eastAsia" w:ascii="仿宋" w:hAnsi="仿宋" w:eastAsia="仿宋" w:cs="仿宋"/>
        </w:rPr>
        <w:fldChar w:fldCharType="separate"/>
      </w:r>
      <w:r>
        <w:rPr>
          <w:rFonts w:hint="eastAsia" w:ascii="仿宋" w:hAnsi="仿宋" w:eastAsia="仿宋" w:cs="仿宋"/>
          <w:color w:val="auto"/>
        </w:rPr>
        <w:t>13.投标有效期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_Toc15686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AE7FD27">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"_Toc10905" </w:instrText>
      </w:r>
      <w:r>
        <w:rPr>
          <w:rFonts w:hint="eastAsia" w:ascii="仿宋" w:hAnsi="仿宋" w:eastAsia="仿宋" w:cs="仿宋"/>
        </w:rPr>
        <w:fldChar w:fldCharType="separate"/>
      </w:r>
      <w:r>
        <w:rPr>
          <w:rFonts w:hint="eastAsia" w:ascii="仿宋" w:hAnsi="仿宋" w:eastAsia="仿宋" w:cs="仿宋"/>
          <w:color w:val="auto"/>
        </w:rPr>
        <w:t>四   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_Toc10905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BA66B5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"_Toc2091" </w:instrText>
      </w:r>
      <w:r>
        <w:rPr>
          <w:rFonts w:hint="eastAsia" w:ascii="仿宋" w:hAnsi="仿宋" w:eastAsia="仿宋" w:cs="仿宋"/>
        </w:rPr>
        <w:fldChar w:fldCharType="separate"/>
      </w:r>
      <w:r>
        <w:rPr>
          <w:rFonts w:hint="eastAsia" w:ascii="仿宋" w:hAnsi="仿宋" w:eastAsia="仿宋" w:cs="仿宋"/>
          <w:color w:val="auto"/>
        </w:rPr>
        <w:t>15.投标文件的密封和标记</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73AA29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"_Toc26691" </w:instrText>
      </w:r>
      <w:r>
        <w:rPr>
          <w:rFonts w:hint="eastAsia" w:ascii="仿宋" w:hAnsi="仿宋" w:eastAsia="仿宋" w:cs="仿宋"/>
        </w:rPr>
        <w:fldChar w:fldCharType="separate"/>
      </w:r>
      <w:r>
        <w:rPr>
          <w:rFonts w:hint="eastAsia" w:ascii="仿宋" w:hAnsi="仿宋" w:eastAsia="仿宋" w:cs="仿宋"/>
          <w:color w:val="auto"/>
        </w:rPr>
        <w:t>16.投标截止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_Toc26691 \h </w:instrText>
      </w:r>
      <w:r>
        <w:rPr>
          <w:rFonts w:hint="eastAsia" w:ascii="仿宋" w:hAnsi="仿宋" w:eastAsia="仿宋" w:cs="仿宋"/>
          <w:color w:val="auto"/>
        </w:rPr>
        <w:fldChar w:fldCharType="separate"/>
      </w:r>
      <w:r>
        <w:rPr>
          <w:rFonts w:hint="eastAsia" w:ascii="仿宋" w:hAnsi="仿宋" w:eastAsia="仿宋" w:cs="仿宋"/>
          <w:color w:val="auto"/>
        </w:rPr>
        <w:t>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542FB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"_Toc24899" </w:instrText>
      </w:r>
      <w:r>
        <w:rPr>
          <w:rFonts w:hint="eastAsia" w:ascii="仿宋" w:hAnsi="仿宋" w:eastAsia="仿宋" w:cs="仿宋"/>
        </w:rPr>
        <w:fldChar w:fldCharType="separate"/>
      </w:r>
      <w:r>
        <w:rPr>
          <w:rFonts w:hint="eastAsia" w:ascii="仿宋" w:hAnsi="仿宋" w:eastAsia="仿宋" w:cs="仿宋"/>
          <w:color w:val="auto"/>
        </w:rPr>
        <w:t>17.投标文件的接收、修改与撤回</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_Toc24899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D1639DB">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"_Toc24411" </w:instrText>
      </w:r>
      <w:r>
        <w:rPr>
          <w:rFonts w:hint="eastAsia" w:ascii="仿宋" w:hAnsi="仿宋" w:eastAsia="仿宋" w:cs="仿宋"/>
        </w:rPr>
        <w:fldChar w:fldCharType="separate"/>
      </w:r>
      <w:r>
        <w:rPr>
          <w:rFonts w:hint="eastAsia" w:ascii="仿宋" w:hAnsi="仿宋" w:eastAsia="仿宋" w:cs="仿宋"/>
          <w:color w:val="auto"/>
        </w:rPr>
        <w:t>五   开标及评标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_Toc24411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C11FB0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"_Toc19198" </w:instrText>
      </w:r>
      <w:r>
        <w:rPr>
          <w:rFonts w:hint="eastAsia" w:ascii="仿宋" w:hAnsi="仿宋" w:eastAsia="仿宋" w:cs="仿宋"/>
        </w:rPr>
        <w:fldChar w:fldCharType="separate"/>
      </w:r>
      <w:r>
        <w:rPr>
          <w:rFonts w:hint="eastAsia" w:ascii="仿宋" w:hAnsi="仿宋" w:eastAsia="仿宋" w:cs="仿宋"/>
          <w:color w:val="auto"/>
        </w:rPr>
        <w:t>18.开标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_Toc19198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E803E7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"_Toc12992" </w:instrText>
      </w:r>
      <w:r>
        <w:rPr>
          <w:rFonts w:hint="eastAsia" w:ascii="仿宋" w:hAnsi="仿宋" w:eastAsia="仿宋" w:cs="仿宋"/>
        </w:rPr>
        <w:fldChar w:fldCharType="separate"/>
      </w:r>
      <w:r>
        <w:rPr>
          <w:rFonts w:hint="eastAsia" w:ascii="仿宋" w:hAnsi="仿宋" w:eastAsia="仿宋" w:cs="仿宋"/>
          <w:color w:val="auto"/>
        </w:rPr>
        <w:t>19.资格审查及组建评标委员会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_Toc12992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7DA23F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"_Toc9769" </w:instrText>
      </w:r>
      <w:r>
        <w:rPr>
          <w:rFonts w:hint="eastAsia" w:ascii="仿宋" w:hAnsi="仿宋" w:eastAsia="仿宋" w:cs="仿宋"/>
        </w:rPr>
        <w:fldChar w:fldCharType="separate"/>
      </w:r>
      <w:r>
        <w:rPr>
          <w:rFonts w:hint="eastAsia" w:ascii="仿宋" w:hAnsi="仿宋" w:eastAsia="仿宋" w:cs="仿宋"/>
          <w:color w:val="auto"/>
        </w:rPr>
        <w:t>20.投标文件符合性审查与澄清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_Toc9769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3A5D69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"_Toc3024" </w:instrText>
      </w:r>
      <w:r>
        <w:rPr>
          <w:rFonts w:hint="eastAsia" w:ascii="仿宋" w:hAnsi="仿宋" w:eastAsia="仿宋" w:cs="仿宋"/>
        </w:rPr>
        <w:fldChar w:fldCharType="separate"/>
      </w:r>
      <w:r>
        <w:rPr>
          <w:rFonts w:hint="eastAsia" w:ascii="仿宋" w:hAnsi="仿宋" w:eastAsia="仿宋" w:cs="仿宋"/>
          <w:color w:val="auto"/>
        </w:rPr>
        <w:t>21.投标偏离</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_Toc3024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EBD8E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"_Toc7012" </w:instrText>
      </w:r>
      <w:r>
        <w:rPr>
          <w:rFonts w:hint="eastAsia" w:ascii="仿宋" w:hAnsi="仿宋" w:eastAsia="仿宋" w:cs="仿宋"/>
        </w:rPr>
        <w:fldChar w:fldCharType="separate"/>
      </w:r>
      <w:r>
        <w:rPr>
          <w:rFonts w:hint="eastAsia" w:ascii="仿宋" w:hAnsi="仿宋" w:eastAsia="仿宋" w:cs="仿宋"/>
          <w:color w:val="auto"/>
        </w:rPr>
        <w:t>22.投标无效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_Toc7012 \h </w:instrText>
      </w:r>
      <w:r>
        <w:rPr>
          <w:rFonts w:hint="eastAsia" w:ascii="仿宋" w:hAnsi="仿宋" w:eastAsia="仿宋" w:cs="仿宋"/>
          <w:color w:val="auto"/>
        </w:rPr>
        <w:fldChar w:fldCharType="separate"/>
      </w:r>
      <w:r>
        <w:rPr>
          <w:rFonts w:hint="eastAsia" w:ascii="仿宋" w:hAnsi="仿宋" w:eastAsia="仿宋" w:cs="仿宋"/>
          <w:color w:val="auto"/>
        </w:rPr>
        <w:t>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FCC13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"_Toc27260" </w:instrText>
      </w:r>
      <w:r>
        <w:rPr>
          <w:rFonts w:hint="eastAsia" w:ascii="仿宋" w:hAnsi="仿宋" w:eastAsia="仿宋" w:cs="仿宋"/>
        </w:rPr>
        <w:fldChar w:fldCharType="separate"/>
      </w:r>
      <w:r>
        <w:rPr>
          <w:rFonts w:hint="eastAsia" w:ascii="仿宋" w:hAnsi="仿宋" w:eastAsia="仿宋" w:cs="仿宋"/>
          <w:color w:val="auto"/>
        </w:rPr>
        <w:t>24.废标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_Toc27260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3CB34D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"_Toc1382" </w:instrText>
      </w:r>
      <w:r>
        <w:rPr>
          <w:rFonts w:hint="eastAsia" w:ascii="仿宋" w:hAnsi="仿宋" w:eastAsia="仿宋" w:cs="仿宋"/>
        </w:rPr>
        <w:fldChar w:fldCharType="separate"/>
      </w:r>
      <w:r>
        <w:rPr>
          <w:rFonts w:hint="eastAsia" w:ascii="仿宋" w:hAnsi="仿宋" w:eastAsia="仿宋" w:cs="仿宋"/>
          <w:color w:val="auto"/>
        </w:rPr>
        <w:t>25.保密原则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_Toc1382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844034E">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"_Toc22275" </w:instrText>
      </w:r>
      <w:r>
        <w:rPr>
          <w:rFonts w:hint="eastAsia" w:ascii="仿宋" w:hAnsi="仿宋" w:eastAsia="仿宋" w:cs="仿宋"/>
        </w:rPr>
        <w:fldChar w:fldCharType="separate"/>
      </w:r>
      <w:r>
        <w:rPr>
          <w:rFonts w:hint="eastAsia" w:ascii="仿宋" w:hAnsi="仿宋" w:eastAsia="仿宋" w:cs="仿宋"/>
          <w:color w:val="auto"/>
        </w:rPr>
        <w:t>六   确定中标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_Toc22275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8316F9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"_Toc2639" </w:instrText>
      </w:r>
      <w:r>
        <w:rPr>
          <w:rFonts w:hint="eastAsia" w:ascii="仿宋" w:hAnsi="仿宋" w:eastAsia="仿宋" w:cs="仿宋"/>
        </w:rPr>
        <w:fldChar w:fldCharType="separate"/>
      </w:r>
      <w:r>
        <w:rPr>
          <w:rFonts w:hint="eastAsia" w:ascii="仿宋" w:hAnsi="仿宋" w:eastAsia="仿宋" w:cs="仿宋"/>
          <w:color w:val="auto"/>
        </w:rPr>
        <w:t>26.中标候选人的确定原则及标准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_Toc2639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FE593F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"_Toc2677" </w:instrText>
      </w:r>
      <w:r>
        <w:rPr>
          <w:rFonts w:hint="eastAsia" w:ascii="仿宋" w:hAnsi="仿宋" w:eastAsia="仿宋" w:cs="仿宋"/>
        </w:rPr>
        <w:fldChar w:fldCharType="separate"/>
      </w:r>
      <w:r>
        <w:rPr>
          <w:rFonts w:hint="eastAsia" w:ascii="仿宋" w:hAnsi="仿宋" w:eastAsia="仿宋" w:cs="仿宋"/>
          <w:color w:val="auto"/>
        </w:rPr>
        <w:t>27.确定中标候选人和中标人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_Toc2677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1E524A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"_Toc17557" </w:instrText>
      </w:r>
      <w:r>
        <w:rPr>
          <w:rFonts w:hint="eastAsia" w:ascii="仿宋" w:hAnsi="仿宋" w:eastAsia="仿宋" w:cs="仿宋"/>
        </w:rPr>
        <w:fldChar w:fldCharType="separate"/>
      </w:r>
      <w:r>
        <w:rPr>
          <w:rFonts w:hint="eastAsia" w:ascii="仿宋" w:hAnsi="仿宋" w:eastAsia="仿宋" w:cs="仿宋"/>
          <w:color w:val="auto"/>
        </w:rPr>
        <w:t>28.采购任务取消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_Toc17557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29960D">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"_Toc3186" </w:instrText>
      </w:r>
      <w:r>
        <w:rPr>
          <w:rFonts w:hint="eastAsia" w:ascii="仿宋" w:hAnsi="仿宋" w:eastAsia="仿宋" w:cs="仿宋"/>
        </w:rPr>
        <w:fldChar w:fldCharType="separate"/>
      </w:r>
      <w:r>
        <w:rPr>
          <w:rFonts w:hint="eastAsia" w:ascii="仿宋" w:hAnsi="仿宋" w:eastAsia="仿宋" w:cs="仿宋"/>
          <w:color w:val="auto"/>
        </w:rPr>
        <w:t>29.中标通知书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_Toc3186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601F7F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"_Toc30660" </w:instrText>
      </w:r>
      <w:r>
        <w:rPr>
          <w:rFonts w:hint="eastAsia" w:ascii="仿宋" w:hAnsi="仿宋" w:eastAsia="仿宋" w:cs="仿宋"/>
        </w:rPr>
        <w:fldChar w:fldCharType="separate"/>
      </w:r>
      <w:r>
        <w:rPr>
          <w:rFonts w:hint="eastAsia" w:ascii="仿宋" w:hAnsi="仿宋" w:eastAsia="仿宋" w:cs="仿宋"/>
          <w:color w:val="auto"/>
        </w:rPr>
        <w:t>30.签订合同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_Toc30660 \h </w:instrText>
      </w:r>
      <w:r>
        <w:rPr>
          <w:rFonts w:hint="eastAsia" w:ascii="仿宋" w:hAnsi="仿宋" w:eastAsia="仿宋" w:cs="仿宋"/>
          <w:color w:val="auto"/>
        </w:rPr>
        <w:fldChar w:fldCharType="separate"/>
      </w:r>
      <w:r>
        <w:rPr>
          <w:rFonts w:hint="eastAsia" w:ascii="仿宋" w:hAnsi="仿宋" w:eastAsia="仿宋" w:cs="仿宋"/>
          <w:color w:val="auto"/>
        </w:rPr>
        <w:t>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2864A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"_Toc30705" </w:instrText>
      </w:r>
      <w:r>
        <w:rPr>
          <w:rFonts w:hint="eastAsia" w:ascii="仿宋" w:hAnsi="仿宋" w:eastAsia="仿宋" w:cs="仿宋"/>
        </w:rPr>
        <w:fldChar w:fldCharType="separate"/>
      </w:r>
      <w:r>
        <w:rPr>
          <w:rFonts w:hint="eastAsia" w:ascii="仿宋" w:hAnsi="仿宋" w:eastAsia="仿宋" w:cs="仿宋"/>
          <w:color w:val="auto"/>
        </w:rPr>
        <w:t>31.履约保证金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_Toc30705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FBBD1E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"_Toc25784" </w:instrText>
      </w:r>
      <w:r>
        <w:rPr>
          <w:rFonts w:hint="eastAsia" w:ascii="仿宋" w:hAnsi="仿宋" w:eastAsia="仿宋" w:cs="仿宋"/>
        </w:rPr>
        <w:fldChar w:fldCharType="separate"/>
      </w:r>
      <w:r>
        <w:rPr>
          <w:rFonts w:hint="eastAsia" w:ascii="仿宋" w:hAnsi="仿宋" w:eastAsia="仿宋" w:cs="仿宋"/>
          <w:color w:val="auto"/>
        </w:rPr>
        <w:t>32.中标服务费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_Toc25784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9CE8F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"_Toc5036" </w:instrText>
      </w:r>
      <w:r>
        <w:rPr>
          <w:rFonts w:hint="eastAsia" w:ascii="仿宋" w:hAnsi="仿宋" w:eastAsia="仿宋" w:cs="仿宋"/>
        </w:rPr>
        <w:fldChar w:fldCharType="separate"/>
      </w:r>
      <w:r>
        <w:rPr>
          <w:rFonts w:hint="eastAsia" w:ascii="仿宋" w:hAnsi="仿宋" w:eastAsia="仿宋" w:cs="仿宋"/>
          <w:color w:val="auto"/>
        </w:rPr>
        <w:t>33.政府采购信用担保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_Toc5036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650866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"_Toc2320" </w:instrText>
      </w:r>
      <w:r>
        <w:rPr>
          <w:rFonts w:hint="eastAsia" w:ascii="仿宋" w:hAnsi="仿宋" w:eastAsia="仿宋" w:cs="仿宋"/>
        </w:rPr>
        <w:fldChar w:fldCharType="separate"/>
      </w:r>
      <w:r>
        <w:rPr>
          <w:rFonts w:hint="eastAsia" w:ascii="仿宋" w:hAnsi="仿宋" w:eastAsia="仿宋" w:cs="仿宋"/>
          <w:color w:val="auto"/>
        </w:rPr>
        <w:t>34.廉洁自律规定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_Toc2320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1CDCD3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"_Toc16745" </w:instrText>
      </w:r>
      <w:r>
        <w:rPr>
          <w:rFonts w:hint="eastAsia" w:ascii="仿宋" w:hAnsi="仿宋" w:eastAsia="仿宋" w:cs="仿宋"/>
        </w:rPr>
        <w:fldChar w:fldCharType="separate"/>
      </w:r>
      <w:r>
        <w:rPr>
          <w:rFonts w:hint="eastAsia" w:ascii="仿宋" w:hAnsi="仿宋" w:eastAsia="仿宋" w:cs="仿宋"/>
          <w:color w:val="auto"/>
        </w:rPr>
        <w:t>35.人员回避</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_Toc16745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2B313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"_Toc9393" </w:instrText>
      </w:r>
      <w:r>
        <w:rPr>
          <w:rFonts w:hint="eastAsia" w:ascii="仿宋" w:hAnsi="仿宋" w:eastAsia="仿宋" w:cs="仿宋"/>
        </w:rPr>
        <w:fldChar w:fldCharType="separate"/>
      </w:r>
      <w:r>
        <w:rPr>
          <w:rFonts w:hint="eastAsia" w:ascii="仿宋" w:hAnsi="仿宋" w:eastAsia="仿宋" w:cs="仿宋"/>
          <w:color w:val="auto"/>
          <w:szCs w:val="24"/>
        </w:rPr>
        <w:t>36.质疑与接收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_Toc9393 \h </w:instrText>
      </w:r>
      <w:r>
        <w:rPr>
          <w:rFonts w:hint="eastAsia" w:ascii="仿宋" w:hAnsi="仿宋" w:eastAsia="仿宋" w:cs="仿宋"/>
          <w:color w:val="auto"/>
        </w:rPr>
        <w:fldChar w:fldCharType="separate"/>
      </w:r>
      <w:r>
        <w:rPr>
          <w:rFonts w:hint="eastAsia" w:ascii="仿宋" w:hAnsi="仿宋" w:eastAsia="仿宋" w:cs="仿宋"/>
          <w:color w:val="auto"/>
        </w:rPr>
        <w:t>10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867DED">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"_Toc333" </w:instrText>
      </w:r>
      <w:r>
        <w:rPr>
          <w:rFonts w:hint="eastAsia" w:ascii="仿宋" w:hAnsi="仿宋" w:eastAsia="仿宋" w:cs="仿宋"/>
        </w:rPr>
        <w:fldChar w:fldCharType="separate"/>
      </w:r>
      <w:r>
        <w:rPr>
          <w:rFonts w:hint="eastAsia" w:ascii="仿宋" w:hAnsi="仿宋" w:eastAsia="仿宋" w:cs="仿宋"/>
          <w:color w:val="auto"/>
          <w:szCs w:val="44"/>
        </w:rPr>
        <w:t>第二章  投标文件格式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_Toc333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B364966">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"_Toc5582" </w:instrText>
      </w:r>
      <w:r>
        <w:rPr>
          <w:rFonts w:hint="eastAsia" w:ascii="仿宋" w:hAnsi="仿宋" w:eastAsia="仿宋" w:cs="仿宋"/>
        </w:rPr>
        <w:fldChar w:fldCharType="separate"/>
      </w:r>
      <w:r>
        <w:rPr>
          <w:rFonts w:hint="eastAsia" w:ascii="仿宋" w:hAnsi="仿宋" w:eastAsia="仿宋" w:cs="仿宋"/>
          <w:color w:val="auto"/>
        </w:rPr>
        <w:t>第一部分 开标一览表及资格证明文件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_Toc5582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797D81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"_Toc24638" </w:instrText>
      </w:r>
      <w:r>
        <w:rPr>
          <w:rFonts w:hint="eastAsia" w:ascii="仿宋" w:hAnsi="仿宋" w:eastAsia="仿宋" w:cs="仿宋"/>
        </w:rPr>
        <w:fldChar w:fldCharType="separate"/>
      </w:r>
      <w:r>
        <w:rPr>
          <w:rFonts w:hint="eastAsia" w:ascii="仿宋" w:hAnsi="仿宋" w:eastAsia="仿宋" w:cs="仿宋"/>
          <w:color w:val="auto"/>
        </w:rPr>
        <w:t>1</w:t>
      </w:r>
      <w:r>
        <w:rPr>
          <w:rFonts w:hint="eastAsia" w:ascii="仿宋" w:hAnsi="仿宋" w:eastAsia="仿宋" w:cs="仿宋"/>
          <w:color w:val="auto"/>
          <w:lang w:eastAsia="zh-CN"/>
        </w:rPr>
        <w:t xml:space="preserve"> </w:t>
      </w:r>
      <w:r>
        <w:rPr>
          <w:rFonts w:hint="eastAsia" w:ascii="仿宋" w:hAnsi="仿宋" w:eastAsia="仿宋" w:cs="仿宋"/>
          <w:color w:val="auto"/>
        </w:rPr>
        <w:t>开标一览表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_Toc24638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49884C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"_Toc5194" </w:instrText>
      </w:r>
      <w:r>
        <w:rPr>
          <w:rFonts w:hint="eastAsia" w:ascii="仿宋" w:hAnsi="仿宋" w:eastAsia="仿宋" w:cs="仿宋"/>
        </w:rPr>
        <w:fldChar w:fldCharType="separate"/>
      </w:r>
      <w:r>
        <w:rPr>
          <w:rFonts w:hint="eastAsia" w:ascii="仿宋" w:hAnsi="仿宋" w:eastAsia="仿宋" w:cs="仿宋"/>
          <w:color w:val="auto"/>
        </w:rPr>
        <w:t>2 法人或者非法人组织的营业执照等证明文件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_Toc5194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F4D1FA4">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"_Toc31870" </w:instrText>
      </w:r>
      <w:r>
        <w:rPr>
          <w:rFonts w:hint="eastAsia" w:ascii="仿宋" w:hAnsi="仿宋" w:eastAsia="仿宋" w:cs="仿宋"/>
        </w:rPr>
        <w:fldChar w:fldCharType="separate"/>
      </w:r>
      <w:r>
        <w:rPr>
          <w:rFonts w:hint="eastAsia" w:ascii="仿宋" w:hAnsi="仿宋" w:eastAsia="仿宋" w:cs="仿宋"/>
          <w:color w:val="auto"/>
        </w:rPr>
        <w:t>3 法定代表人身份证明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_Toc31870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1F9506B">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"_Toc18802" </w:instrText>
      </w:r>
      <w:r>
        <w:rPr>
          <w:rFonts w:hint="eastAsia" w:ascii="仿宋" w:hAnsi="仿宋" w:eastAsia="仿宋" w:cs="仿宋"/>
        </w:rPr>
        <w:fldChar w:fldCharType="separate"/>
      </w:r>
      <w:r>
        <w:rPr>
          <w:rFonts w:hint="eastAsia" w:ascii="仿宋" w:hAnsi="仿宋" w:eastAsia="仿宋" w:cs="仿宋"/>
          <w:color w:val="auto"/>
        </w:rPr>
        <w:t>4 法定代表人授权委托书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_Toc18802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AB2B93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"_Toc26834" </w:instrText>
      </w:r>
      <w:r>
        <w:rPr>
          <w:rFonts w:hint="eastAsia" w:ascii="仿宋" w:hAnsi="仿宋" w:eastAsia="仿宋" w:cs="仿宋"/>
        </w:rPr>
        <w:fldChar w:fldCharType="separate"/>
      </w:r>
      <w:r>
        <w:rPr>
          <w:rFonts w:hint="eastAsia" w:ascii="仿宋" w:hAnsi="仿宋" w:eastAsia="仿宋" w:cs="仿宋"/>
          <w:color w:val="auto"/>
        </w:rPr>
        <w:t>5 投标保证金缴纳凭证复印件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_Toc26834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9A4A5F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"_Toc28861" </w:instrText>
      </w:r>
      <w:r>
        <w:rPr>
          <w:rFonts w:hint="eastAsia" w:ascii="仿宋" w:hAnsi="仿宋" w:eastAsia="仿宋" w:cs="仿宋"/>
        </w:rPr>
        <w:fldChar w:fldCharType="separate"/>
      </w:r>
      <w:r>
        <w:rPr>
          <w:rFonts w:hint="eastAsia" w:ascii="仿宋" w:hAnsi="仿宋" w:eastAsia="仿宋" w:cs="仿宋"/>
          <w:color w:val="auto"/>
        </w:rPr>
        <w:t>6 社会保障资金的缴纳记录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_Toc28861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BA131A9">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"_Toc8841" </w:instrText>
      </w:r>
      <w:r>
        <w:rPr>
          <w:rFonts w:hint="eastAsia" w:ascii="仿宋" w:hAnsi="仿宋" w:eastAsia="仿宋" w:cs="仿宋"/>
        </w:rPr>
        <w:fldChar w:fldCharType="separate"/>
      </w:r>
      <w:r>
        <w:rPr>
          <w:rFonts w:hint="eastAsia" w:ascii="仿宋" w:hAnsi="仿宋" w:eastAsia="仿宋" w:cs="仿宋"/>
          <w:color w:val="auto"/>
        </w:rPr>
        <w:t>7 良好的商业信誉和健全的财务会计制度证明材料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_Toc8841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39FE1AA">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"_Toc32107" </w:instrText>
      </w:r>
      <w:r>
        <w:rPr>
          <w:rFonts w:hint="eastAsia" w:ascii="仿宋" w:hAnsi="仿宋" w:eastAsia="仿宋" w:cs="仿宋"/>
        </w:rPr>
        <w:fldChar w:fldCharType="separate"/>
      </w:r>
      <w:r>
        <w:rPr>
          <w:rFonts w:hint="eastAsia" w:ascii="仿宋" w:hAnsi="仿宋" w:eastAsia="仿宋" w:cs="仿宋"/>
          <w:color w:val="auto"/>
        </w:rPr>
        <w:t>8 依法缴纳税收的证明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_Toc32107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F5DB535">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"_Toc29990" </w:instrText>
      </w:r>
      <w:r>
        <w:rPr>
          <w:rFonts w:hint="eastAsia" w:ascii="仿宋" w:hAnsi="仿宋" w:eastAsia="仿宋" w:cs="仿宋"/>
        </w:rPr>
        <w:fldChar w:fldCharType="separate"/>
      </w:r>
      <w:r>
        <w:rPr>
          <w:rFonts w:hint="eastAsia" w:ascii="仿宋" w:hAnsi="仿宋" w:eastAsia="仿宋" w:cs="仿宋"/>
          <w:color w:val="auto"/>
        </w:rPr>
        <w:t>9 参加政府采购活动前3年内在经营活动中没有重大违法记录的书面声明及反商业受贿承诺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_Toc29990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01F1BDA">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"_Toc10559" </w:instrText>
      </w:r>
      <w:r>
        <w:rPr>
          <w:rFonts w:hint="eastAsia" w:ascii="仿宋" w:hAnsi="仿宋" w:eastAsia="仿宋" w:cs="仿宋"/>
        </w:rPr>
        <w:fldChar w:fldCharType="separate"/>
      </w:r>
      <w:r>
        <w:rPr>
          <w:rFonts w:hint="eastAsia" w:ascii="仿宋" w:hAnsi="仿宋" w:eastAsia="仿宋" w:cs="仿宋"/>
          <w:color w:val="auto"/>
        </w:rPr>
        <w:t>10 投标人须知资料表要求的其他资格证明文件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_Toc10559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916C63B">
      <w:pPr>
        <w:pStyle w:val="18"/>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"_Toc24008" </w:instrText>
      </w:r>
      <w:r>
        <w:rPr>
          <w:rFonts w:hint="eastAsia" w:ascii="仿宋" w:hAnsi="仿宋" w:eastAsia="仿宋" w:cs="仿宋"/>
        </w:rPr>
        <w:fldChar w:fldCharType="separate"/>
      </w:r>
      <w:r>
        <w:rPr>
          <w:rFonts w:hint="eastAsia" w:ascii="仿宋" w:hAnsi="仿宋" w:eastAsia="仿宋" w:cs="仿宋"/>
          <w:color w:val="auto"/>
        </w:rPr>
        <w:t>第二部分</w:t>
      </w:r>
      <w:r>
        <w:rPr>
          <w:rFonts w:hint="eastAsia" w:ascii="仿宋" w:hAnsi="仿宋" w:eastAsia="仿宋" w:cs="仿宋"/>
          <w:color w:val="auto"/>
          <w:szCs w:val="24"/>
        </w:rPr>
        <w:t xml:space="preserve"> 商务及技术文件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_Toc24008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4A51DC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"_Toc9629" </w:instrText>
      </w:r>
      <w:r>
        <w:rPr>
          <w:rFonts w:hint="eastAsia" w:ascii="仿宋" w:hAnsi="仿宋" w:eastAsia="仿宋" w:cs="仿宋"/>
        </w:rPr>
        <w:fldChar w:fldCharType="separate"/>
      </w:r>
      <w:r>
        <w:rPr>
          <w:rFonts w:hint="eastAsia" w:ascii="仿宋" w:hAnsi="仿宋" w:eastAsia="仿宋" w:cs="仿宋"/>
          <w:color w:val="auto"/>
        </w:rPr>
        <w:t>1 投标书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_Toc9629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995445E">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"_Toc22014" </w:instrText>
      </w:r>
      <w:r>
        <w:rPr>
          <w:rFonts w:hint="eastAsia" w:ascii="仿宋" w:hAnsi="仿宋" w:eastAsia="仿宋" w:cs="仿宋"/>
        </w:rPr>
        <w:fldChar w:fldCharType="separate"/>
      </w:r>
      <w:r>
        <w:rPr>
          <w:rFonts w:hint="eastAsia" w:ascii="仿宋" w:hAnsi="仿宋" w:eastAsia="仿宋" w:cs="仿宋"/>
          <w:color w:val="auto"/>
        </w:rPr>
        <w:t>2 投标分项报价表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_Toc22014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51A74F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"_Toc17583" </w:instrText>
      </w:r>
      <w:r>
        <w:rPr>
          <w:rFonts w:hint="eastAsia" w:ascii="仿宋" w:hAnsi="仿宋" w:eastAsia="仿宋" w:cs="仿宋"/>
        </w:rPr>
        <w:fldChar w:fldCharType="separate"/>
      </w:r>
      <w:r>
        <w:rPr>
          <w:rFonts w:hint="eastAsia" w:ascii="仿宋" w:hAnsi="仿宋" w:eastAsia="仿宋" w:cs="仿宋"/>
          <w:color w:val="auto"/>
        </w:rPr>
        <w:t>3 货物说明一览表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_Toc17583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D6DA453">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"_Toc29396" </w:instrText>
      </w:r>
      <w:r>
        <w:rPr>
          <w:rFonts w:hint="eastAsia" w:ascii="仿宋" w:hAnsi="仿宋" w:eastAsia="仿宋" w:cs="仿宋"/>
        </w:rPr>
        <w:fldChar w:fldCharType="separate"/>
      </w:r>
      <w:r>
        <w:rPr>
          <w:rFonts w:hint="eastAsia" w:ascii="仿宋" w:hAnsi="仿宋" w:eastAsia="仿宋" w:cs="仿宋"/>
          <w:color w:val="auto"/>
        </w:rPr>
        <w:t>4 技术规格偏离表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_Toc29396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F63A2C8">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"_Toc19628" </w:instrText>
      </w:r>
      <w:r>
        <w:rPr>
          <w:rFonts w:hint="eastAsia" w:ascii="仿宋" w:hAnsi="仿宋" w:eastAsia="仿宋" w:cs="仿宋"/>
        </w:rPr>
        <w:fldChar w:fldCharType="separate"/>
      </w:r>
      <w:r>
        <w:rPr>
          <w:rFonts w:hint="eastAsia" w:ascii="仿宋" w:hAnsi="仿宋" w:eastAsia="仿宋" w:cs="仿宋"/>
          <w:color w:val="auto"/>
        </w:rPr>
        <w:t>5 商务条款偏离表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_Toc19628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6A7199C">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"_Toc22909" </w:instrText>
      </w:r>
      <w:r>
        <w:rPr>
          <w:rFonts w:hint="eastAsia" w:ascii="仿宋" w:hAnsi="仿宋" w:eastAsia="仿宋" w:cs="仿宋"/>
        </w:rPr>
        <w:fldChar w:fldCharType="separate"/>
      </w:r>
      <w:r>
        <w:rPr>
          <w:rFonts w:hint="eastAsia" w:ascii="仿宋" w:hAnsi="仿宋" w:eastAsia="仿宋" w:cs="仿宋"/>
          <w:color w:val="auto"/>
        </w:rPr>
        <w:t>6-1中小企业声明函（货物）</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_Toc22909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3BCD7D1">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"_Toc20082" </w:instrText>
      </w:r>
      <w:r>
        <w:rPr>
          <w:rFonts w:hint="eastAsia" w:ascii="仿宋" w:hAnsi="仿宋" w:eastAsia="仿宋" w:cs="仿宋"/>
        </w:rPr>
        <w:fldChar w:fldCharType="separate"/>
      </w:r>
      <w:r>
        <w:rPr>
          <w:rFonts w:hint="eastAsia" w:ascii="仿宋" w:hAnsi="仿宋" w:eastAsia="仿宋" w:cs="仿宋"/>
          <w:color w:val="auto"/>
        </w:rPr>
        <w:t>6-2残疾人福利性单位声明函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_Toc20082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B4483B7">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"_Toc7689" </w:instrText>
      </w:r>
      <w:r>
        <w:rPr>
          <w:rFonts w:hint="eastAsia" w:ascii="仿宋" w:hAnsi="仿宋" w:eastAsia="仿宋" w:cs="仿宋"/>
        </w:rPr>
        <w:fldChar w:fldCharType="separate"/>
      </w:r>
      <w:r>
        <w:rPr>
          <w:rFonts w:hint="eastAsia" w:ascii="仿宋" w:hAnsi="仿宋" w:eastAsia="仿宋" w:cs="仿宋"/>
          <w:color w:val="auto"/>
        </w:rPr>
        <w:t>6-3监狱企业声明函</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_Toc7689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B29A760">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"_Toc25040" </w:instrText>
      </w:r>
      <w:r>
        <w:rPr>
          <w:rFonts w:hint="eastAsia" w:ascii="仿宋" w:hAnsi="仿宋" w:eastAsia="仿宋" w:cs="仿宋"/>
        </w:rPr>
        <w:fldChar w:fldCharType="separate"/>
      </w:r>
      <w:r>
        <w:rPr>
          <w:rFonts w:hint="eastAsia" w:ascii="仿宋" w:hAnsi="仿宋" w:eastAsia="仿宋" w:cs="仿宋"/>
          <w:color w:val="auto"/>
        </w:rPr>
        <w:t>7 投标文件还应包括第五章、综合评分表的所有技术文件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_Toc25040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7A2DCD6">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"_Toc1286" </w:instrText>
      </w:r>
      <w:r>
        <w:rPr>
          <w:rFonts w:hint="eastAsia" w:ascii="仿宋" w:hAnsi="仿宋" w:eastAsia="仿宋" w:cs="仿宋"/>
        </w:rPr>
        <w:fldChar w:fldCharType="separate"/>
      </w:r>
      <w:r>
        <w:rPr>
          <w:rFonts w:hint="eastAsia" w:ascii="仿宋" w:hAnsi="仿宋" w:eastAsia="仿宋" w:cs="仿宋"/>
          <w:color w:val="auto"/>
        </w:rPr>
        <w:t>8 投标人关联单位的说明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_Toc1286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AA048CF">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"_Toc32047" </w:instrText>
      </w:r>
      <w:r>
        <w:rPr>
          <w:rFonts w:hint="eastAsia" w:ascii="仿宋" w:hAnsi="仿宋" w:eastAsia="仿宋" w:cs="仿宋"/>
        </w:rPr>
        <w:fldChar w:fldCharType="separate"/>
      </w:r>
      <w:r>
        <w:rPr>
          <w:rFonts w:hint="eastAsia" w:ascii="仿宋" w:hAnsi="仿宋" w:eastAsia="仿宋" w:cs="仿宋"/>
          <w:color w:val="auto"/>
        </w:rPr>
        <w:t>9 其他有利于投标人的文件或证明材料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_Toc32047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8A67BC2">
      <w:pPr>
        <w:pStyle w:val="10"/>
        <w:tabs>
          <w:tab w:val="right" w:leader="dot" w:pos="9786"/>
          <w:tab w:val="clear" w:pos="1260"/>
          <w:tab w:val="clear" w:pos="8630"/>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"_Toc9989" </w:instrText>
      </w:r>
      <w:r>
        <w:rPr>
          <w:rFonts w:hint="eastAsia" w:ascii="仿宋" w:hAnsi="仿宋" w:eastAsia="仿宋" w:cs="仿宋"/>
        </w:rPr>
        <w:fldChar w:fldCharType="separate"/>
      </w:r>
      <w:r>
        <w:rPr>
          <w:rFonts w:hint="eastAsia" w:ascii="仿宋" w:hAnsi="仿宋" w:eastAsia="仿宋" w:cs="仿宋"/>
          <w:color w:val="auto"/>
        </w:rPr>
        <w:t>10 对本项目投标文件（响应文件）中资料真实性的承诺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_Toc9989 \h </w:instrText>
      </w:r>
      <w:r>
        <w:rPr>
          <w:rFonts w:hint="eastAsia" w:ascii="仿宋" w:hAnsi="仿宋" w:eastAsia="仿宋" w:cs="仿宋"/>
          <w:color w:val="auto"/>
        </w:rPr>
        <w:fldChar w:fldCharType="separate"/>
      </w:r>
      <w:r>
        <w:rPr>
          <w:rFonts w:hint="eastAsia" w:ascii="仿宋" w:hAnsi="仿宋" w:eastAsia="仿宋" w:cs="仿宋"/>
          <w:color w:val="auto"/>
        </w:rPr>
        <w:t>35</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601F6D7">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"_Toc2942" </w:instrText>
      </w:r>
      <w:r>
        <w:rPr>
          <w:rFonts w:hint="eastAsia" w:ascii="仿宋" w:hAnsi="仿宋" w:eastAsia="仿宋" w:cs="仿宋"/>
        </w:rPr>
        <w:fldChar w:fldCharType="separate"/>
      </w:r>
      <w:r>
        <w:rPr>
          <w:rFonts w:hint="eastAsia" w:ascii="仿宋" w:hAnsi="仿宋" w:eastAsia="仿宋" w:cs="仿宋"/>
          <w:color w:val="auto"/>
          <w:szCs w:val="44"/>
        </w:rPr>
        <w:t xml:space="preserve">第三章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投标邀请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_Toc2942 \h </w:instrText>
      </w:r>
      <w:r>
        <w:rPr>
          <w:rFonts w:hint="eastAsia" w:ascii="仿宋" w:hAnsi="仿宋" w:eastAsia="仿宋" w:cs="仿宋"/>
          <w:color w:val="auto"/>
        </w:rPr>
        <w:fldChar w:fldCharType="separate"/>
      </w:r>
      <w:r>
        <w:rPr>
          <w:rFonts w:hint="eastAsia" w:ascii="仿宋" w:hAnsi="仿宋" w:eastAsia="仿宋" w:cs="仿宋"/>
          <w:color w:val="auto"/>
        </w:rPr>
        <w:t>37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E939427">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"_Toc11602" </w:instrText>
      </w:r>
      <w:r>
        <w:rPr>
          <w:rFonts w:hint="eastAsia" w:ascii="仿宋" w:hAnsi="仿宋" w:eastAsia="仿宋" w:cs="仿宋"/>
        </w:rPr>
        <w:fldChar w:fldCharType="separate"/>
      </w:r>
      <w:r>
        <w:rPr>
          <w:rFonts w:hint="eastAsia" w:ascii="仿宋" w:hAnsi="仿宋" w:eastAsia="仿宋" w:cs="仿宋"/>
          <w:color w:val="auto"/>
          <w:szCs w:val="44"/>
        </w:rPr>
        <w:t xml:space="preserve">第四章 </w:t>
      </w:r>
      <w:r>
        <w:rPr>
          <w:rFonts w:hint="eastAsia" w:ascii="仿宋" w:hAnsi="仿宋" w:eastAsia="仿宋" w:cs="仿宋"/>
          <w:color w:val="auto"/>
          <w:szCs w:val="44"/>
          <w:lang w:eastAsia="zh-CN"/>
        </w:rPr>
        <w:t xml:space="preserve"> </w:t>
      </w:r>
      <w:r>
        <w:rPr>
          <w:rFonts w:hint="eastAsia" w:ascii="仿宋" w:hAnsi="仿宋" w:eastAsia="仿宋" w:cs="仿宋"/>
          <w:color w:val="auto"/>
          <w:szCs w:val="44"/>
        </w:rPr>
        <w:t>投标人须知资料表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_Toc11602 \h </w:instrText>
      </w:r>
      <w:r>
        <w:rPr>
          <w:rFonts w:hint="eastAsia" w:ascii="仿宋" w:hAnsi="仿宋" w:eastAsia="仿宋" w:cs="仿宋"/>
          <w:color w:val="auto"/>
        </w:rPr>
        <w:fldChar w:fldCharType="separate"/>
      </w:r>
      <w:r>
        <w:rPr>
          <w:rFonts w:hint="eastAsia" w:ascii="仿宋" w:hAnsi="仿宋" w:eastAsia="仿宋" w:cs="仿宋"/>
          <w:color w:val="auto"/>
        </w:rPr>
        <w:t>39</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42734175">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"_Toc14991" </w:instrText>
      </w:r>
      <w:r>
        <w:rPr>
          <w:rFonts w:hint="eastAsia" w:ascii="仿宋" w:hAnsi="仿宋" w:eastAsia="仿宋" w:cs="仿宋"/>
        </w:rPr>
        <w:fldChar w:fldCharType="separate"/>
      </w:r>
      <w:r>
        <w:rPr>
          <w:rFonts w:hint="eastAsia" w:ascii="仿宋" w:hAnsi="仿宋" w:eastAsia="仿宋" w:cs="仿宋"/>
          <w:color w:val="auto"/>
          <w:szCs w:val="44"/>
        </w:rPr>
        <w:t>第五章  货物需求一览表及技术规格</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_Toc14991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7CF21F02">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"_Toc22880" </w:instrText>
      </w:r>
      <w:r>
        <w:rPr>
          <w:rFonts w:hint="eastAsia" w:ascii="仿宋" w:hAnsi="仿宋" w:eastAsia="仿宋" w:cs="仿宋"/>
        </w:rPr>
        <w:fldChar w:fldCharType="separate"/>
      </w:r>
      <w:r>
        <w:rPr>
          <w:rFonts w:hint="eastAsia" w:ascii="仿宋" w:hAnsi="仿宋" w:eastAsia="仿宋" w:cs="仿宋"/>
          <w:color w:val="auto"/>
          <w:szCs w:val="44"/>
        </w:rPr>
        <w:t>第六章  评标方法和标准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_Toc22880 \h </w:instrText>
      </w:r>
      <w:r>
        <w:rPr>
          <w:rFonts w:hint="eastAsia" w:ascii="仿宋" w:hAnsi="仿宋" w:eastAsia="仿宋" w:cs="仿宋"/>
          <w:color w:val="auto"/>
        </w:rPr>
        <w:fldChar w:fldCharType="separate"/>
      </w:r>
      <w:r>
        <w:rPr>
          <w:rFonts w:hint="eastAsia" w:ascii="仿宋" w:hAnsi="仿宋" w:eastAsia="仿宋" w:cs="仿宋"/>
          <w:color w:val="auto"/>
        </w:rPr>
        <w:t>42</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D9A950E">
      <w:pPr>
        <w:pStyle w:val="15"/>
        <w:tabs>
          <w:tab w:val="right" w:leader="dot" w:pos="9786"/>
        </w:tabs>
        <w:rPr>
          <w:rFonts w:hint="eastAsia" w:ascii="仿宋" w:hAnsi="仿宋" w:eastAsia="仿宋" w:cs="仿宋"/>
          <w:color w:val="auto"/>
        </w:rPr>
      </w:pPr>
      <w:r>
        <w:rPr>
          <w:rFonts w:hint="eastAsia" w:ascii="仿宋" w:hAnsi="仿宋" w:eastAsia="仿宋" w:cs="仿宋"/>
        </w:rPr>
        <w:fldChar w:fldCharType="begin"/>
      </w:r>
      <w:r>
        <w:rPr>
          <w:rFonts w:hint="eastAsia" w:ascii="仿宋" w:hAnsi="仿宋" w:eastAsia="仿宋" w:cs="仿宋"/>
        </w:rPr>
        <w:instrText xml:space="preserve"> HYPERLINK \l "_Toc3397" </w:instrText>
      </w:r>
      <w:r>
        <w:rPr>
          <w:rFonts w:hint="eastAsia" w:ascii="仿宋" w:hAnsi="仿宋" w:eastAsia="仿宋" w:cs="仿宋"/>
        </w:rPr>
        <w:fldChar w:fldCharType="separate"/>
      </w:r>
      <w:r>
        <w:rPr>
          <w:rFonts w:hint="eastAsia" w:ascii="仿宋" w:hAnsi="仿宋" w:eastAsia="仿宋" w:cs="仿宋"/>
          <w:color w:val="auto"/>
          <w:szCs w:val="44"/>
        </w:rPr>
        <w:t>第七章  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_Toc3397 \h </w:instrText>
      </w:r>
      <w:r>
        <w:rPr>
          <w:rFonts w:hint="eastAsia" w:ascii="仿宋" w:hAnsi="仿宋" w:eastAsia="仿宋" w:cs="仿宋"/>
          <w:color w:val="auto"/>
        </w:rPr>
        <w:fldChar w:fldCharType="separate"/>
      </w:r>
      <w:r>
        <w:rPr>
          <w:rFonts w:hint="eastAsia" w:ascii="仿宋" w:hAnsi="仿宋" w:eastAsia="仿宋" w:cs="仿宋"/>
          <w:color w:val="auto"/>
        </w:rPr>
        <w:t>87</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1D7F5862">
      <w:pPr>
        <w:pStyle w:val="16"/>
        <w:rPr>
          <w:rFonts w:hint="eastAsia" w:ascii="仿宋" w:hAnsi="仿宋" w:eastAsia="仿宋" w:cs="仿宋"/>
          <w:color w:val="auto"/>
          <w:sz w:val="44"/>
          <w:szCs w:val="44"/>
        </w:rPr>
      </w:pPr>
      <w:r>
        <w:rPr>
          <w:rFonts w:hint="eastAsia" w:ascii="仿宋" w:hAnsi="仿宋" w:eastAsia="仿宋" w:cs="仿宋"/>
          <w:color w:val="auto"/>
        </w:rPr>
        <w:fldChar w:fldCharType="end"/>
      </w:r>
      <w:bookmarkStart w:id="13" w:name="_Toc13803"/>
    </w:p>
    <w:p w14:paraId="1DEAE227">
      <w:pPr>
        <w:pStyle w:val="3"/>
        <w:tabs>
          <w:tab w:val="left" w:pos="0"/>
        </w:tabs>
        <w:spacing w:before="0" w:after="0" w:line="240" w:lineRule="atLeast"/>
        <w:jc w:val="both"/>
        <w:rPr>
          <w:rFonts w:hint="eastAsia" w:ascii="仿宋" w:hAnsi="仿宋" w:eastAsia="仿宋" w:cs="仿宋"/>
          <w:color w:val="auto"/>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14:paraId="521A222A">
      <w:pPr>
        <w:pStyle w:val="3"/>
        <w:tabs>
          <w:tab w:val="left" w:pos="0"/>
        </w:tabs>
        <w:spacing w:before="0" w:after="0" w:line="240" w:lineRule="atLeast"/>
        <w:rPr>
          <w:rFonts w:hint="eastAsia" w:ascii="仿宋" w:hAnsi="仿宋" w:eastAsia="仿宋" w:cs="仿宋"/>
          <w:b w:val="0"/>
          <w:color w:val="auto"/>
          <w:sz w:val="20"/>
          <w:lang w:eastAsia="zh-CN"/>
        </w:rPr>
      </w:pPr>
      <w:bookmarkStart w:id="15" w:name="_Toc4823"/>
      <w:bookmarkStart w:id="16" w:name="_Toc7794"/>
      <w:bookmarkStart w:id="17" w:name="_Toc8173"/>
      <w:bookmarkStart w:id="18" w:name="_Toc749"/>
      <w:bookmarkStart w:id="19" w:name="_Toc8923"/>
      <w:bookmarkStart w:id="20" w:name="_Toc23583"/>
      <w:bookmarkStart w:id="21" w:name="_Toc27266"/>
      <w:bookmarkStart w:id="22" w:name="_Toc25393"/>
      <w:r>
        <w:rPr>
          <w:rFonts w:hint="eastAsia" w:ascii="仿宋" w:hAnsi="仿宋" w:eastAsia="仿宋" w:cs="仿宋"/>
          <w:color w:val="auto"/>
          <w:kern w:val="0"/>
          <w:sz w:val="44"/>
          <w:szCs w:val="44"/>
          <w:lang w:eastAsia="zh-CN"/>
        </w:rPr>
        <w:t>第一章</w:t>
      </w:r>
      <w:bookmarkStart w:id="23" w:name="_Toc515647756"/>
      <w:r>
        <w:rPr>
          <w:rFonts w:hint="eastAsia" w:ascii="仿宋" w:hAnsi="仿宋" w:eastAsia="仿宋" w:cs="仿宋"/>
          <w:color w:val="auto"/>
          <w:sz w:val="44"/>
          <w:szCs w:val="44"/>
          <w:lang w:eastAsia="zh-CN"/>
        </w:rPr>
        <w:t>投标人须知</w:t>
      </w:r>
      <w:bookmarkEnd w:id="15"/>
      <w:bookmarkEnd w:id="16"/>
      <w:bookmarkEnd w:id="17"/>
      <w:bookmarkEnd w:id="18"/>
      <w:bookmarkEnd w:id="19"/>
      <w:bookmarkEnd w:id="20"/>
      <w:bookmarkEnd w:id="21"/>
      <w:bookmarkEnd w:id="22"/>
      <w:bookmarkEnd w:id="23"/>
    </w:p>
    <w:p w14:paraId="5A6961F6">
      <w:pPr>
        <w:pStyle w:val="4"/>
        <w:spacing w:before="0" w:line="240" w:lineRule="atLeast"/>
        <w:ind w:left="1078" w:leftChars="257" w:hanging="539"/>
        <w:rPr>
          <w:rFonts w:hint="eastAsia" w:ascii="仿宋" w:hAnsi="仿宋" w:eastAsia="仿宋" w:cs="仿宋"/>
          <w:b w:val="0"/>
          <w:color w:val="auto"/>
          <w:sz w:val="24"/>
          <w:lang w:eastAsia="zh-CN"/>
        </w:rPr>
      </w:pPr>
      <w:bookmarkStart w:id="24" w:name="_Toc216582805"/>
      <w:bookmarkStart w:id="25" w:name="_Toc520356143"/>
      <w:bookmarkStart w:id="26" w:name="_Toc515647757"/>
      <w:bookmarkStart w:id="27" w:name="_Toc24426"/>
      <w:bookmarkStart w:id="28" w:name="_Toc21015"/>
      <w:bookmarkStart w:id="29" w:name="_Toc28131"/>
      <w:bookmarkStart w:id="30" w:name="_Toc13870"/>
      <w:bookmarkStart w:id="31" w:name="_Toc22145"/>
      <w:bookmarkStart w:id="32" w:name="_Toc16621"/>
      <w:bookmarkStart w:id="33" w:name="_Toc28649"/>
      <w:bookmarkStart w:id="34" w:name="_Toc21215"/>
      <w:bookmarkStart w:id="35" w:name="_Toc18007"/>
      <w:bookmarkStart w:id="36" w:name="_Toc1988"/>
      <w:bookmarkStart w:id="37" w:name="_Toc17202"/>
      <w:bookmarkStart w:id="38" w:name="_Toc27848"/>
      <w:bookmarkStart w:id="39" w:name="_Toc28279"/>
      <w:r>
        <w:rPr>
          <w:rFonts w:hint="eastAsia" w:ascii="仿宋" w:hAnsi="仿宋" w:eastAsia="仿宋" w:cs="仿宋"/>
          <w:color w:val="auto"/>
          <w:sz w:val="28"/>
          <w:lang w:eastAsia="zh-CN"/>
        </w:rPr>
        <w:t>一</w:t>
      </w:r>
      <w:bookmarkEnd w:id="24"/>
      <w:bookmarkEnd w:id="25"/>
      <w:bookmarkEnd w:id="26"/>
      <w:r>
        <w:rPr>
          <w:rFonts w:hint="eastAsia" w:ascii="仿宋" w:hAnsi="仿宋" w:eastAsia="仿宋" w:cs="仿宋"/>
          <w:color w:val="auto"/>
          <w:sz w:val="28"/>
          <w:lang w:eastAsia="zh-CN"/>
        </w:rPr>
        <w:t xml:space="preserve"> 总 则</w:t>
      </w:r>
      <w:bookmarkEnd w:id="27"/>
      <w:bookmarkEnd w:id="28"/>
      <w:bookmarkEnd w:id="29"/>
      <w:bookmarkEnd w:id="30"/>
      <w:bookmarkEnd w:id="31"/>
      <w:bookmarkEnd w:id="32"/>
      <w:bookmarkEnd w:id="33"/>
      <w:bookmarkEnd w:id="34"/>
      <w:bookmarkEnd w:id="35"/>
      <w:bookmarkEnd w:id="36"/>
      <w:bookmarkEnd w:id="37"/>
      <w:bookmarkEnd w:id="38"/>
      <w:bookmarkEnd w:id="39"/>
    </w:p>
    <w:p w14:paraId="6D9FE009">
      <w:pPr>
        <w:pStyle w:val="5"/>
        <w:spacing w:before="0" w:after="0" w:line="288" w:lineRule="auto"/>
        <w:rPr>
          <w:rFonts w:hint="eastAsia" w:ascii="仿宋" w:hAnsi="仿宋" w:eastAsia="仿宋" w:cs="仿宋"/>
          <w:color w:val="auto"/>
          <w:lang w:eastAsia="zh-CN"/>
        </w:rPr>
      </w:pPr>
      <w:bookmarkStart w:id="40" w:name="_Toc520356144"/>
      <w:bookmarkStart w:id="41" w:name="_Toc5999"/>
      <w:bookmarkStart w:id="42" w:name="_Toc6990"/>
      <w:bookmarkStart w:id="43" w:name="_Toc32189"/>
      <w:bookmarkStart w:id="44" w:name="_Toc9357"/>
      <w:bookmarkStart w:id="45" w:name="_Toc32623"/>
      <w:bookmarkStart w:id="46" w:name="_Toc14500"/>
      <w:bookmarkStart w:id="47" w:name="_Toc20172"/>
      <w:bookmarkStart w:id="48" w:name="_Toc19622"/>
      <w:bookmarkStart w:id="49" w:name="_Toc17376"/>
      <w:bookmarkStart w:id="50" w:name="_Toc16352"/>
      <w:bookmarkStart w:id="51" w:name="_Toc11245"/>
      <w:bookmarkStart w:id="52" w:name="_Toc9551"/>
      <w:bookmarkStart w:id="53" w:name="_Toc515647758"/>
      <w:bookmarkStart w:id="54" w:name="_Toc568"/>
      <w:r>
        <w:rPr>
          <w:rFonts w:hint="eastAsia" w:ascii="仿宋" w:hAnsi="仿宋" w:eastAsia="仿宋" w:cs="仿宋"/>
          <w:color w:val="auto"/>
          <w:lang w:eastAsia="zh-CN"/>
        </w:rPr>
        <w:t>1.采购人、采购代理机构及</w:t>
      </w:r>
      <w:bookmarkEnd w:id="40"/>
      <w:r>
        <w:rPr>
          <w:rFonts w:hint="eastAsia" w:ascii="仿宋" w:hAnsi="仿宋" w:eastAsia="仿宋" w:cs="仿宋"/>
          <w:color w:val="auto"/>
          <w:lang w:eastAsia="zh-CN"/>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FDB4193">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采购人：是指依法开展政府采购活动的国家机关、事业单位、团体组织。</w:t>
      </w:r>
    </w:p>
    <w:p w14:paraId="188F0418">
      <w:pPr>
        <w:tabs>
          <w:tab w:val="left" w:pos="0"/>
        </w:tabs>
        <w:spacing w:line="288" w:lineRule="auto"/>
        <w:ind w:left="900"/>
        <w:rPr>
          <w:rFonts w:hint="eastAsia" w:ascii="仿宋" w:hAnsi="仿宋" w:eastAsia="仿宋" w:cs="仿宋"/>
          <w:color w:val="auto"/>
          <w:sz w:val="24"/>
          <w:lang w:eastAsia="zh-CN"/>
        </w:rPr>
      </w:pPr>
      <w:r>
        <w:rPr>
          <w:rFonts w:hint="eastAsia" w:ascii="仿宋" w:hAnsi="仿宋" w:eastAsia="仿宋" w:cs="仿宋"/>
          <w:color w:val="auto"/>
          <w:sz w:val="24"/>
          <w:lang w:eastAsia="zh-CN"/>
        </w:rPr>
        <w:t>本项目的采购人见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14F43C6F">
      <w:pPr>
        <w:numPr>
          <w:ilvl w:val="1"/>
          <w:numId w:val="1"/>
        </w:numPr>
        <w:tabs>
          <w:tab w:val="left" w:pos="0"/>
        </w:tabs>
        <w:spacing w:line="288" w:lineRule="auto"/>
        <w:ind w:hanging="898"/>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采购代理机构：是指在集中采购机构或从事采购代理业务的社会中介机构。本项目的采购代理机构见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0EF716D">
      <w:pPr>
        <w:numPr>
          <w:ilvl w:val="1"/>
          <w:numId w:val="1"/>
        </w:numPr>
        <w:spacing w:line="288" w:lineRule="auto"/>
        <w:ind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投标人：是指向采购人提供货物、工程或者服务的法人、非法人组织或者自然人。本项目的投标人及其投标货物须满足以下条件：</w:t>
      </w:r>
    </w:p>
    <w:p w14:paraId="13CF1BB7">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在中华人民共和国境内注册，能够独立承担民事责任，有生产或供应能力的本国供应商。</w:t>
      </w:r>
    </w:p>
    <w:p w14:paraId="34B8B0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  具备《中华人民共和国政府采购法》第二十二条关于供应商条件的规定，遵守本项目采购人本级和上级财政部门政府采购的有关规定。</w:t>
      </w:r>
    </w:p>
    <w:p w14:paraId="72925DA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1.3.3   以采购代理机构认可的方式获得了本项目的招标文件。</w:t>
      </w:r>
    </w:p>
    <w:p w14:paraId="6A7664F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1.3.4   提供符合</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中规定的资格证明文件。</w:t>
      </w:r>
    </w:p>
    <w:p w14:paraId="759B329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1.3.5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中写明允许采购进口产品，投标人应保证所投产品可履行合法报通关手续进入中国关境内。</w:t>
      </w:r>
    </w:p>
    <w:p w14:paraId="1E88D3C7">
      <w:pPr>
        <w:spacing w:line="288" w:lineRule="auto"/>
        <w:ind w:left="898" w:leftChars="428"/>
        <w:rPr>
          <w:rFonts w:hint="eastAsia" w:ascii="仿宋" w:hAnsi="仿宋" w:eastAsia="仿宋" w:cs="仿宋"/>
          <w:color w:val="auto"/>
          <w:sz w:val="24"/>
          <w:lang w:eastAsia="zh-CN"/>
        </w:rPr>
      </w:pPr>
      <w:r>
        <w:rPr>
          <w:rFonts w:hint="eastAsia" w:ascii="仿宋" w:hAnsi="仿宋" w:eastAsia="仿宋" w:cs="仿宋"/>
          <w:color w:val="auto"/>
          <w:sz w:val="24"/>
          <w:lang w:eastAsia="zh-CN"/>
        </w:rPr>
        <w:t>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中未写明允许采购进口产品，如投标人所投产品为进口产品，其投标将被认定为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E59C0E2">
      <w:pPr>
        <w:spacing w:line="288" w:lineRule="auto"/>
        <w:ind w:left="840" w:hanging="840" w:hanging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1.3.6  若</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中写明专门面向中小企业采购的，如投标人为非中小企业且所投产品为非中小企业产品，其投标将被认定为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39AD7F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     如</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中允许联合体投标，对联合体规定如下：</w:t>
      </w:r>
    </w:p>
    <w:p w14:paraId="505DC06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1.4.1   两个以上供应商可以组成一个投标联合体，以一个投标人的身份投标。</w:t>
      </w:r>
    </w:p>
    <w:p w14:paraId="3E458FE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1.4.2   联合体各方均应符合《中华人民共和国政府采购法》第二十二条规定的条件。</w:t>
      </w:r>
    </w:p>
    <w:p w14:paraId="421C0F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1.4.3   采购人根据采购项目对投标人的特殊要求，联合体中至少应当有一方符合相关规定。</w:t>
      </w:r>
    </w:p>
    <w:p w14:paraId="3E02C3E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1.4.4   联合体各方应签订共同投标协议，明确约定联合体各方承担的工作和相应的责任，并将共同投标协议连同作为投标文件第一部分的内容提交。</w:t>
      </w:r>
    </w:p>
    <w:p w14:paraId="397FD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7764EB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1.4.6  联合体中有同类资质的供应商按照联合体分工承担相同工作的，按照较低的资质等级确定联合体的资质等级。</w:t>
      </w:r>
    </w:p>
    <w:p w14:paraId="732EE2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4442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1.4.8   对联合体投标的其他资格要求见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0800470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    单位负责人为同一人或者存在直接控股、管理关系的不同供应商，其相关投标将被认定为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27DD85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838C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投标人在投标过程中不得向采购人提供、给予任何有价值的物品，影响其正常决策行为。一经发现，其将被认定为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6ABBE2A">
      <w:pPr>
        <w:pStyle w:val="5"/>
        <w:spacing w:before="0" w:after="0" w:line="288" w:lineRule="auto"/>
        <w:rPr>
          <w:rFonts w:hint="eastAsia" w:ascii="仿宋" w:hAnsi="仿宋" w:eastAsia="仿宋" w:cs="仿宋"/>
          <w:color w:val="auto"/>
          <w:lang w:eastAsia="zh-CN"/>
        </w:rPr>
      </w:pPr>
      <w:bookmarkStart w:id="55" w:name="_Toc21316"/>
      <w:bookmarkStart w:id="56" w:name="_Toc25043"/>
      <w:bookmarkStart w:id="57" w:name="_Toc4322"/>
      <w:bookmarkStart w:id="58" w:name="_Toc7361"/>
      <w:bookmarkStart w:id="59" w:name="_Toc8057"/>
      <w:bookmarkStart w:id="60" w:name="_Toc515647759"/>
      <w:bookmarkStart w:id="61" w:name="_Toc14658"/>
      <w:bookmarkStart w:id="62" w:name="_Toc8874"/>
      <w:bookmarkStart w:id="63" w:name="_Toc4315"/>
      <w:bookmarkStart w:id="64" w:name="_Toc12139"/>
      <w:bookmarkStart w:id="65" w:name="_Toc17808"/>
      <w:bookmarkStart w:id="66" w:name="_Toc14117"/>
      <w:bookmarkStart w:id="67" w:name="_Toc5286"/>
      <w:bookmarkStart w:id="68" w:name="_Toc28178"/>
      <w:r>
        <w:rPr>
          <w:rFonts w:hint="eastAsia" w:ascii="仿宋" w:hAnsi="仿宋" w:eastAsia="仿宋" w:cs="仿宋"/>
          <w:color w:val="auto"/>
          <w:lang w:eastAsia="zh-CN"/>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911581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本项目的采购人已获得足以支付本次招标后所签订的合同项下的资金（包括财政性资金和本项目采购中无法与财政性资金分割的非财政性资金）。</w:t>
      </w:r>
    </w:p>
    <w:p w14:paraId="2BFC8B9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    项目预算金额和分项或分包最高限价</w:t>
      </w:r>
      <w:r>
        <w:rPr>
          <w:rFonts w:hint="eastAsia" w:ascii="仿宋" w:hAnsi="仿宋" w:eastAsia="仿宋" w:cs="仿宋"/>
          <w:color w:val="auto"/>
          <w:sz w:val="24"/>
          <w:u w:val="single" w:color="000000"/>
          <w:lang w:eastAsia="zh-CN"/>
        </w:rPr>
        <w:t>见投标人须知资料表</w:t>
      </w:r>
      <w:r>
        <w:rPr>
          <w:rFonts w:hint="eastAsia" w:ascii="仿宋" w:hAnsi="仿宋" w:eastAsia="仿宋" w:cs="仿宋"/>
          <w:color w:val="auto"/>
          <w:sz w:val="24"/>
          <w:lang w:eastAsia="zh-CN"/>
        </w:rPr>
        <w:t>。</w:t>
      </w:r>
    </w:p>
    <w:p w14:paraId="21865F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    投标人报价超过招标文件规定的预算金额或者分项、分包最高限价的，其投标将被认定为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0AABE2F">
      <w:pPr>
        <w:pStyle w:val="5"/>
        <w:spacing w:before="0" w:after="0" w:line="288" w:lineRule="auto"/>
        <w:rPr>
          <w:rFonts w:hint="eastAsia" w:ascii="仿宋" w:hAnsi="仿宋" w:eastAsia="仿宋" w:cs="仿宋"/>
          <w:color w:val="auto"/>
          <w:lang w:eastAsia="zh-CN"/>
        </w:rPr>
      </w:pPr>
      <w:bookmarkStart w:id="69" w:name="_Toc13828"/>
      <w:bookmarkStart w:id="70" w:name="_Toc20548"/>
      <w:bookmarkStart w:id="71" w:name="_Toc31923"/>
      <w:bookmarkStart w:id="72" w:name="_Toc25643"/>
      <w:bookmarkStart w:id="73" w:name="_Toc12066"/>
      <w:bookmarkStart w:id="74" w:name="_Toc26014"/>
      <w:bookmarkStart w:id="75" w:name="_Toc15936"/>
      <w:bookmarkStart w:id="76" w:name="_Toc20526"/>
      <w:bookmarkStart w:id="77" w:name="_Toc13235"/>
      <w:bookmarkStart w:id="78" w:name="_Toc515647760"/>
      <w:bookmarkStart w:id="79" w:name="_Toc245"/>
      <w:bookmarkStart w:id="80" w:name="_Toc520356145"/>
      <w:bookmarkStart w:id="81" w:name="_Toc26702"/>
      <w:bookmarkStart w:id="82" w:name="_Toc17722"/>
      <w:bookmarkStart w:id="83" w:name="_Toc703"/>
      <w:r>
        <w:rPr>
          <w:rFonts w:hint="eastAsia" w:ascii="仿宋" w:hAnsi="仿宋" w:eastAsia="仿宋" w:cs="仿宋"/>
          <w:color w:val="auto"/>
          <w:lang w:eastAsia="zh-CN"/>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6AFC58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不论投标的结果如何，投标人应承担所有与准备和参加投标有关的费用。</w:t>
      </w:r>
    </w:p>
    <w:p w14:paraId="5B080801">
      <w:pPr>
        <w:pStyle w:val="5"/>
        <w:spacing w:before="0" w:after="0" w:line="288" w:lineRule="auto"/>
        <w:rPr>
          <w:rFonts w:hint="eastAsia" w:ascii="仿宋" w:hAnsi="仿宋" w:eastAsia="仿宋" w:cs="仿宋"/>
          <w:color w:val="auto"/>
          <w:lang w:eastAsia="zh-CN"/>
        </w:rPr>
      </w:pPr>
      <w:bookmarkStart w:id="84" w:name="_Toc32665"/>
      <w:bookmarkStart w:id="85" w:name="_Toc28041"/>
      <w:bookmarkStart w:id="86" w:name="_Toc6116"/>
      <w:bookmarkStart w:id="87" w:name="_Toc515647761"/>
      <w:bookmarkStart w:id="88" w:name="_Toc3354"/>
      <w:bookmarkStart w:id="89" w:name="_Toc4463"/>
      <w:bookmarkStart w:id="90" w:name="_Toc25102"/>
      <w:bookmarkStart w:id="91" w:name="_Toc31798"/>
      <w:bookmarkStart w:id="92" w:name="_Toc20058"/>
      <w:bookmarkStart w:id="93" w:name="_Toc3200"/>
      <w:bookmarkStart w:id="94" w:name="_Toc22881"/>
      <w:bookmarkStart w:id="95" w:name="_Toc19596"/>
      <w:bookmarkStart w:id="96" w:name="_Toc18730"/>
      <w:bookmarkStart w:id="97" w:name="_Toc24113"/>
      <w:r>
        <w:rPr>
          <w:rFonts w:hint="eastAsia" w:ascii="仿宋" w:hAnsi="仿宋" w:eastAsia="仿宋" w:cs="仿宋"/>
          <w:color w:val="auto"/>
          <w:lang w:eastAsia="zh-CN"/>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57969A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CF77318">
      <w:pPr>
        <w:rPr>
          <w:rFonts w:hint="eastAsia" w:ascii="仿宋" w:hAnsi="仿宋" w:eastAsia="仿宋" w:cs="仿宋"/>
          <w:color w:val="auto"/>
          <w:lang w:eastAsia="zh-CN"/>
        </w:rPr>
      </w:pPr>
      <w:bookmarkStart w:id="98" w:name="_Toc21566"/>
      <w:bookmarkStart w:id="99" w:name="_Toc10643"/>
      <w:bookmarkStart w:id="100" w:name="_Toc216582806"/>
      <w:bookmarkStart w:id="101" w:name="_Toc30891"/>
      <w:bookmarkStart w:id="102" w:name="_Toc4365"/>
      <w:bookmarkStart w:id="103" w:name="_Toc28572"/>
      <w:bookmarkStart w:id="104" w:name="_Toc6944"/>
      <w:bookmarkStart w:id="105" w:name="_Toc520356146"/>
      <w:bookmarkStart w:id="106" w:name="_Toc515647762"/>
      <w:bookmarkStart w:id="107" w:name="_Toc1733"/>
      <w:bookmarkStart w:id="108" w:name="_Toc8117"/>
      <w:bookmarkStart w:id="109" w:name="_Toc17538"/>
      <w:bookmarkStart w:id="110" w:name="_Toc6520"/>
      <w:bookmarkStart w:id="111" w:name="_Toc19184"/>
      <w:bookmarkStart w:id="112" w:name="_Toc4063"/>
    </w:p>
    <w:p w14:paraId="14F46D3C">
      <w:pPr>
        <w:rPr>
          <w:rFonts w:hint="eastAsia" w:ascii="仿宋" w:hAnsi="仿宋" w:eastAsia="仿宋" w:cs="仿宋"/>
          <w:color w:val="auto"/>
          <w:lang w:eastAsia="zh-CN"/>
        </w:rPr>
      </w:pPr>
    </w:p>
    <w:p w14:paraId="66FB838E">
      <w:pPr>
        <w:rPr>
          <w:rFonts w:hint="eastAsia" w:ascii="仿宋" w:hAnsi="仿宋" w:eastAsia="仿宋" w:cs="仿宋"/>
          <w:color w:val="auto"/>
          <w:lang w:eastAsia="zh-CN"/>
        </w:rPr>
      </w:pPr>
    </w:p>
    <w:p w14:paraId="7F07749D">
      <w:pPr>
        <w:rPr>
          <w:rFonts w:hint="eastAsia" w:ascii="仿宋" w:hAnsi="仿宋" w:eastAsia="仿宋" w:cs="仿宋"/>
          <w:color w:val="auto"/>
          <w:lang w:eastAsia="zh-CN"/>
        </w:rPr>
      </w:pPr>
    </w:p>
    <w:p w14:paraId="5D6204A6">
      <w:pPr>
        <w:rPr>
          <w:rFonts w:hint="eastAsia" w:ascii="仿宋" w:hAnsi="仿宋" w:eastAsia="仿宋" w:cs="仿宋"/>
          <w:color w:val="auto"/>
          <w:lang w:eastAsia="zh-CN"/>
        </w:rPr>
      </w:pPr>
    </w:p>
    <w:p w14:paraId="76570286">
      <w:pPr>
        <w:rPr>
          <w:rFonts w:hint="eastAsia" w:ascii="仿宋" w:hAnsi="仿宋" w:eastAsia="仿宋" w:cs="仿宋"/>
          <w:color w:val="auto"/>
          <w:lang w:eastAsia="zh-CN"/>
        </w:rPr>
      </w:pPr>
    </w:p>
    <w:p w14:paraId="75BDA660">
      <w:pPr>
        <w:pStyle w:val="4"/>
        <w:spacing w:before="0" w:line="288" w:lineRule="auto"/>
        <w:ind w:left="1079" w:leftChars="257" w:hanging="540"/>
        <w:rPr>
          <w:rFonts w:hint="eastAsia" w:ascii="仿宋" w:hAnsi="仿宋" w:eastAsia="仿宋" w:cs="仿宋"/>
          <w:color w:val="auto"/>
          <w:sz w:val="28"/>
          <w:lang w:eastAsia="zh-CN"/>
        </w:rPr>
      </w:pPr>
      <w:r>
        <w:rPr>
          <w:rFonts w:hint="eastAsia" w:ascii="仿宋" w:hAnsi="仿宋" w:eastAsia="仿宋" w:cs="仿宋"/>
          <w:color w:val="auto"/>
          <w:sz w:val="28"/>
          <w:lang w:eastAsia="zh-CN"/>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E9DB3B3">
      <w:pPr>
        <w:pStyle w:val="6"/>
        <w:spacing w:line="288" w:lineRule="auto"/>
        <w:rPr>
          <w:rFonts w:hint="eastAsia" w:ascii="仿宋" w:hAnsi="仿宋" w:eastAsia="仿宋" w:cs="仿宋"/>
          <w:color w:val="auto"/>
          <w:lang w:eastAsia="zh-CN"/>
        </w:rPr>
      </w:pPr>
    </w:p>
    <w:p w14:paraId="20357EB4">
      <w:pPr>
        <w:pStyle w:val="5"/>
        <w:spacing w:before="0" w:after="0" w:line="288" w:lineRule="auto"/>
        <w:rPr>
          <w:rFonts w:hint="eastAsia" w:ascii="仿宋" w:hAnsi="仿宋" w:eastAsia="仿宋" w:cs="仿宋"/>
          <w:color w:val="auto"/>
          <w:lang w:eastAsia="zh-CN"/>
        </w:rPr>
      </w:pPr>
      <w:bookmarkStart w:id="113" w:name="_Toc481"/>
      <w:bookmarkStart w:id="114" w:name="_Toc28647"/>
      <w:bookmarkStart w:id="115" w:name="_Toc25743"/>
      <w:bookmarkStart w:id="116" w:name="_Toc22748"/>
      <w:bookmarkStart w:id="117" w:name="_Toc14637"/>
      <w:bookmarkStart w:id="118" w:name="_Toc5326"/>
      <w:bookmarkStart w:id="119" w:name="_Toc17225"/>
      <w:bookmarkStart w:id="120" w:name="_Toc4671"/>
      <w:bookmarkStart w:id="121" w:name="_Toc25647"/>
      <w:bookmarkStart w:id="122" w:name="_Toc520356147"/>
      <w:bookmarkStart w:id="123" w:name="_Toc14084"/>
      <w:bookmarkStart w:id="124" w:name="_Toc1617"/>
      <w:bookmarkStart w:id="125" w:name="_Toc6246"/>
      <w:bookmarkStart w:id="126" w:name="_Toc515647763"/>
      <w:bookmarkStart w:id="127" w:name="_Toc11582"/>
      <w:r>
        <w:rPr>
          <w:rFonts w:hint="eastAsia" w:ascii="仿宋" w:hAnsi="仿宋" w:eastAsia="仿宋" w:cs="仿宋"/>
          <w:color w:val="auto"/>
          <w:lang w:eastAsia="zh-CN"/>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2B5A2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招标文件分为三册共7章，内容如下：</w:t>
      </w:r>
    </w:p>
    <w:p w14:paraId="60B9F2A1">
      <w:pPr>
        <w:spacing w:line="288" w:lineRule="auto"/>
        <w:ind w:left="1078" w:leftChars="428" w:hanging="180" w:hangingChars="75"/>
        <w:rPr>
          <w:rFonts w:hint="eastAsia" w:ascii="仿宋" w:hAnsi="仿宋" w:eastAsia="仿宋" w:cs="仿宋"/>
          <w:color w:val="auto"/>
          <w:sz w:val="24"/>
        </w:rPr>
      </w:pPr>
      <w:r>
        <w:rPr>
          <w:rFonts w:hint="eastAsia" w:ascii="仿宋" w:hAnsi="仿宋" w:eastAsia="仿宋" w:cs="仿宋"/>
          <w:color w:val="auto"/>
          <w:sz w:val="24"/>
        </w:rPr>
        <w:t>第一册</w:t>
      </w:r>
    </w:p>
    <w:p w14:paraId="1CB3C84E">
      <w:pPr>
        <w:numPr>
          <w:ilvl w:val="0"/>
          <w:numId w:val="2"/>
        </w:numPr>
        <w:tabs>
          <w:tab w:val="left" w:pos="0"/>
        </w:tabs>
        <w:spacing w:line="288" w:lineRule="auto"/>
        <w:ind w:hanging="829"/>
        <w:rPr>
          <w:rFonts w:hint="eastAsia" w:ascii="仿宋" w:hAnsi="仿宋" w:eastAsia="仿宋" w:cs="仿宋"/>
          <w:color w:val="auto"/>
          <w:sz w:val="24"/>
        </w:rPr>
      </w:pPr>
      <w:r>
        <w:rPr>
          <w:rFonts w:hint="eastAsia" w:ascii="仿宋" w:hAnsi="仿宋" w:eastAsia="仿宋" w:cs="仿宋"/>
          <w:color w:val="auto"/>
          <w:sz w:val="24"/>
        </w:rPr>
        <w:t xml:space="preserve"> 投标人须知</w:t>
      </w:r>
    </w:p>
    <w:p w14:paraId="3059D2EA">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投标文件格式</w:t>
      </w:r>
    </w:p>
    <w:p w14:paraId="5A894D6A">
      <w:p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第二册</w:t>
      </w:r>
    </w:p>
    <w:p w14:paraId="11911E36">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投标邀请</w:t>
      </w:r>
    </w:p>
    <w:p w14:paraId="6AA524E9">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rPr>
        <w:t xml:space="preserve"> 投标人须知资料表</w:t>
      </w:r>
    </w:p>
    <w:p w14:paraId="0AE5BBF9">
      <w:pPr>
        <w:numPr>
          <w:ilvl w:val="0"/>
          <w:numId w:val="2"/>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货物需求一览表及技术规格</w:t>
      </w:r>
    </w:p>
    <w:p w14:paraId="52E52FA8">
      <w:pPr>
        <w:numPr>
          <w:ilvl w:val="0"/>
          <w:numId w:val="2"/>
        </w:numPr>
        <w:spacing w:line="288" w:lineRule="auto"/>
        <w:ind w:left="1080" w:leftChars="429" w:hanging="18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评标方法和标准</w:t>
      </w:r>
    </w:p>
    <w:p w14:paraId="4A045E15">
      <w:pPr>
        <w:spacing w:line="288" w:lineRule="auto"/>
        <w:ind w:left="901"/>
        <w:rPr>
          <w:rFonts w:hint="eastAsia" w:ascii="仿宋" w:hAnsi="仿宋" w:eastAsia="仿宋" w:cs="仿宋"/>
          <w:color w:val="auto"/>
          <w:sz w:val="24"/>
        </w:rPr>
      </w:pPr>
      <w:r>
        <w:rPr>
          <w:rFonts w:hint="eastAsia" w:ascii="仿宋" w:hAnsi="仿宋" w:eastAsia="仿宋" w:cs="仿宋"/>
          <w:color w:val="auto"/>
          <w:sz w:val="24"/>
        </w:rPr>
        <w:t>第三册</w:t>
      </w:r>
    </w:p>
    <w:p w14:paraId="108818BC">
      <w:pPr>
        <w:numPr>
          <w:ilvl w:val="0"/>
          <w:numId w:val="2"/>
        </w:numPr>
        <w:spacing w:line="288" w:lineRule="auto"/>
        <w:ind w:left="718" w:leftChars="342" w:firstLine="240" w:firstLineChars="100"/>
        <w:rPr>
          <w:rFonts w:hint="eastAsia" w:ascii="仿宋" w:hAnsi="仿宋" w:eastAsia="仿宋" w:cs="仿宋"/>
          <w:color w:val="auto"/>
          <w:sz w:val="24"/>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rPr>
        <w:t>政府采购合同格式</w:t>
      </w:r>
    </w:p>
    <w:p w14:paraId="7855DC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如本文件的前后内容不一致，以最后描述为准。</w:t>
      </w:r>
    </w:p>
    <w:p w14:paraId="24D2D69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3DDE9DA3">
      <w:pPr>
        <w:pStyle w:val="5"/>
        <w:spacing w:before="0" w:after="0" w:line="288" w:lineRule="auto"/>
        <w:rPr>
          <w:rFonts w:hint="eastAsia" w:ascii="仿宋" w:hAnsi="仿宋" w:eastAsia="仿宋" w:cs="仿宋"/>
          <w:color w:val="auto"/>
          <w:lang w:eastAsia="zh-CN"/>
        </w:rPr>
      </w:pPr>
      <w:bookmarkStart w:id="128" w:name="_Toc520356148"/>
      <w:bookmarkStart w:id="129" w:name="_Toc515904805"/>
      <w:bookmarkStart w:id="130" w:name="_Toc26044"/>
      <w:bookmarkStart w:id="131" w:name="_Toc4284"/>
      <w:bookmarkStart w:id="132" w:name="_Toc3154"/>
      <w:bookmarkStart w:id="133" w:name="_Toc7751"/>
      <w:bookmarkStart w:id="134" w:name="_Toc2703"/>
      <w:bookmarkStart w:id="135" w:name="_Toc1922"/>
      <w:bookmarkStart w:id="136" w:name="_Toc27562"/>
      <w:bookmarkStart w:id="137" w:name="_Toc1925"/>
      <w:bookmarkStart w:id="138" w:name="_Toc9232"/>
      <w:bookmarkStart w:id="139" w:name="_Toc18688"/>
      <w:bookmarkStart w:id="140" w:name="_Toc4118"/>
      <w:bookmarkStart w:id="141" w:name="_Toc7323"/>
      <w:bookmarkStart w:id="142" w:name="_Toc20175"/>
      <w:r>
        <w:rPr>
          <w:rFonts w:hint="eastAsia" w:ascii="仿宋" w:hAnsi="仿宋" w:eastAsia="仿宋" w:cs="仿宋"/>
          <w:color w:val="auto"/>
          <w:lang w:eastAsia="zh-CN"/>
        </w:rPr>
        <w:t>6.招标文件的澄清</w:t>
      </w:r>
      <w:bookmarkEnd w:id="128"/>
      <w:bookmarkEnd w:id="129"/>
      <w:r>
        <w:rPr>
          <w:rFonts w:hint="eastAsia" w:ascii="仿宋" w:hAnsi="仿宋" w:eastAsia="仿宋" w:cs="仿宋"/>
          <w:color w:val="auto"/>
          <w:lang w:eastAsia="zh-CN"/>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0B408491">
      <w:pPr>
        <w:pStyle w:val="6"/>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6.1    为了保证对招标文件的澄清和修改满足法律的时限要求，任何要求对招标文件进行澄清的投标人，均应在投标截止期十五日前，以书面形式将澄清要求通知采购人或采购代理机构。</w:t>
      </w:r>
    </w:p>
    <w:p w14:paraId="247A97AC">
      <w:pPr>
        <w:pStyle w:val="6"/>
        <w:spacing w:line="288" w:lineRule="auto"/>
        <w:ind w:left="840" w:hanging="840" w:hangingChars="350"/>
        <w:rPr>
          <w:rFonts w:hint="eastAsia" w:ascii="仿宋" w:hAnsi="仿宋" w:eastAsia="仿宋" w:cs="仿宋"/>
          <w:color w:val="auto"/>
          <w:szCs w:val="24"/>
          <w:lang w:eastAsia="zh-CN"/>
        </w:rPr>
      </w:pPr>
      <w:bookmarkStart w:id="143" w:name="_Toc515904806"/>
      <w:bookmarkStart w:id="144" w:name="_Ref467378678"/>
      <w:bookmarkStart w:id="145" w:name="_Toc520356149"/>
      <w:r>
        <w:rPr>
          <w:rFonts w:hint="eastAsia" w:ascii="仿宋" w:hAnsi="仿宋" w:eastAsia="仿宋" w:cs="仿宋"/>
          <w:color w:val="auto"/>
          <w:szCs w:val="24"/>
          <w:lang w:eastAsia="zh-CN"/>
        </w:rPr>
        <w:t>6.2</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采购人可主动地或在解答投标人提出的澄清问题时对招标文件进行澄清或修改。采购代理机构将以发布澄清（更正）公告的方式，澄清或修改招标文件，澄清或修改内容作为招标文件的组成部分。</w:t>
      </w:r>
    </w:p>
    <w:p w14:paraId="7D136157">
      <w:pPr>
        <w:pStyle w:val="6"/>
        <w:spacing w:line="288" w:lineRule="auto"/>
        <w:ind w:left="840" w:hanging="840" w:hangingChars="350"/>
        <w:rPr>
          <w:rFonts w:hint="eastAsia" w:ascii="仿宋" w:hAnsi="仿宋" w:eastAsia="仿宋" w:cs="仿宋"/>
          <w:color w:val="auto"/>
          <w:szCs w:val="24"/>
          <w:lang w:eastAsia="zh-CN"/>
        </w:rPr>
      </w:pPr>
      <w:r>
        <w:rPr>
          <w:rFonts w:hint="eastAsia" w:ascii="仿宋" w:hAnsi="仿宋" w:eastAsia="仿宋" w:cs="仿宋"/>
          <w:color w:val="auto"/>
          <w:szCs w:val="24"/>
          <w:lang w:eastAsia="zh-CN"/>
        </w:rPr>
        <w:t>6.3</w:t>
      </w:r>
      <w:r>
        <w:rPr>
          <w:rFonts w:hint="eastAsia" w:ascii="仿宋" w:hAnsi="仿宋" w:eastAsia="仿宋" w:cs="仿宋"/>
          <w:color w:val="auto"/>
          <w:szCs w:val="24"/>
          <w:lang w:eastAsia="zh-CN"/>
        </w:rPr>
        <w:tab/>
      </w:r>
      <w:r>
        <w:rPr>
          <w:rFonts w:hint="eastAsia" w:ascii="仿宋" w:hAnsi="仿宋" w:eastAsia="仿宋" w:cs="仿宋"/>
          <w:color w:val="auto"/>
          <w:szCs w:val="24"/>
          <w:lang w:eastAsia="zh-CN"/>
        </w:rPr>
        <w:t>澄清或者修改的内容可能影响投标文件编制的，采购代理机构将以书面形式通知所有购买招标文件的潜在投标人，并对其具有约束力。投标人在收到上述通知后，应及时向采购代理机构回函确认。</w:t>
      </w:r>
    </w:p>
    <w:p w14:paraId="070775D8">
      <w:pPr>
        <w:pStyle w:val="5"/>
        <w:tabs>
          <w:tab w:val="left" w:pos="900"/>
        </w:tabs>
        <w:spacing w:before="0" w:after="0" w:line="288" w:lineRule="auto"/>
        <w:rPr>
          <w:rFonts w:hint="eastAsia" w:ascii="仿宋" w:hAnsi="仿宋" w:eastAsia="仿宋" w:cs="仿宋"/>
          <w:color w:val="auto"/>
          <w:lang w:eastAsia="zh-CN"/>
        </w:rPr>
      </w:pPr>
      <w:bookmarkStart w:id="146" w:name="_Toc7775"/>
      <w:bookmarkStart w:id="147" w:name="_Toc23166"/>
      <w:bookmarkStart w:id="148" w:name="_Toc25461"/>
      <w:bookmarkStart w:id="149" w:name="_Toc14569"/>
      <w:bookmarkStart w:id="150" w:name="_Toc25635"/>
      <w:bookmarkStart w:id="151" w:name="_Toc12448"/>
      <w:bookmarkStart w:id="152" w:name="_Toc25416"/>
      <w:bookmarkStart w:id="153" w:name="_Toc21817"/>
      <w:bookmarkStart w:id="154" w:name="_Toc330"/>
      <w:bookmarkStart w:id="155" w:name="_Toc4653"/>
      <w:bookmarkStart w:id="156" w:name="_Toc21993"/>
      <w:bookmarkStart w:id="157" w:name="_Toc19841"/>
      <w:bookmarkStart w:id="158" w:name="_Toc2744"/>
      <w:r>
        <w:rPr>
          <w:rFonts w:hint="eastAsia" w:ascii="仿宋" w:hAnsi="仿宋" w:eastAsia="仿宋" w:cs="仿宋"/>
          <w:color w:val="auto"/>
          <w:lang w:eastAsia="zh-CN"/>
        </w:rPr>
        <w:t>7</w:t>
      </w:r>
      <w:bookmarkEnd w:id="143"/>
      <w:bookmarkEnd w:id="144"/>
      <w:bookmarkEnd w:id="145"/>
      <w:r>
        <w:rPr>
          <w:rFonts w:hint="eastAsia" w:ascii="仿宋" w:hAnsi="仿宋" w:eastAsia="仿宋" w:cs="仿宋"/>
          <w:color w:val="auto"/>
          <w:lang w:eastAsia="zh-CN"/>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1134FC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为使投标人准备投标时有足够的时间对招标文件的澄清或者修改部分进行研究，采购人将依法决定是否顺延投标截止时间。</w:t>
      </w:r>
    </w:p>
    <w:p w14:paraId="0C00D1FA">
      <w:pPr>
        <w:pStyle w:val="4"/>
        <w:tabs>
          <w:tab w:val="left" w:pos="900"/>
        </w:tabs>
        <w:spacing w:before="0" w:line="288" w:lineRule="auto"/>
        <w:ind w:left="1079" w:leftChars="257" w:hanging="540"/>
        <w:rPr>
          <w:rFonts w:hint="eastAsia" w:ascii="仿宋" w:hAnsi="仿宋" w:eastAsia="仿宋" w:cs="仿宋"/>
          <w:b w:val="0"/>
          <w:color w:val="auto"/>
          <w:sz w:val="24"/>
          <w:lang w:eastAsia="zh-CN"/>
        </w:rPr>
      </w:pPr>
      <w:bookmarkStart w:id="159" w:name="_Toc516367020"/>
      <w:bookmarkStart w:id="160" w:name="_Toc15802"/>
      <w:bookmarkStart w:id="161" w:name="_Toc22175"/>
      <w:bookmarkStart w:id="162" w:name="_Toc515647766"/>
      <w:bookmarkStart w:id="163" w:name="_Toc7636"/>
      <w:bookmarkStart w:id="164" w:name="_Toc12340"/>
      <w:bookmarkStart w:id="165" w:name="_Toc216582807"/>
      <w:bookmarkStart w:id="166" w:name="_Toc520356150"/>
      <w:bookmarkStart w:id="167" w:name="_Toc9442"/>
      <w:bookmarkStart w:id="168" w:name="_Toc25866"/>
      <w:bookmarkStart w:id="169" w:name="_Toc31039"/>
      <w:bookmarkStart w:id="170" w:name="_Toc19696"/>
      <w:bookmarkStart w:id="171" w:name="_Toc14530"/>
      <w:bookmarkStart w:id="172" w:name="_Toc8381"/>
      <w:bookmarkStart w:id="173" w:name="_Toc8537"/>
      <w:bookmarkStart w:id="174" w:name="_Toc30808"/>
      <w:bookmarkStart w:id="175" w:name="_Toc23336"/>
      <w:r>
        <w:rPr>
          <w:rFonts w:hint="eastAsia" w:ascii="仿宋" w:hAnsi="仿宋" w:eastAsia="仿宋" w:cs="仿宋"/>
          <w:color w:val="auto"/>
          <w:sz w:val="28"/>
          <w:lang w:eastAsia="zh-CN"/>
        </w:rPr>
        <w:t>三 投标文件</w:t>
      </w:r>
      <w:bookmarkEnd w:id="159"/>
      <w:r>
        <w:rPr>
          <w:rFonts w:hint="eastAsia" w:ascii="仿宋" w:hAnsi="仿宋" w:eastAsia="仿宋" w:cs="仿宋"/>
          <w:color w:val="auto"/>
          <w:sz w:val="28"/>
          <w:lang w:eastAsia="zh-CN"/>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68775B1">
      <w:pPr>
        <w:pStyle w:val="5"/>
        <w:tabs>
          <w:tab w:val="left" w:pos="900"/>
        </w:tabs>
        <w:spacing w:before="0" w:after="0" w:line="288" w:lineRule="auto"/>
        <w:rPr>
          <w:rFonts w:hint="eastAsia" w:ascii="仿宋" w:hAnsi="仿宋" w:eastAsia="仿宋" w:cs="仿宋"/>
          <w:color w:val="auto"/>
          <w:lang w:eastAsia="zh-CN"/>
        </w:rPr>
      </w:pPr>
      <w:bookmarkStart w:id="176" w:name="_Toc10758"/>
      <w:bookmarkStart w:id="177" w:name="_Toc27410"/>
      <w:bookmarkStart w:id="178" w:name="_Toc28725"/>
      <w:bookmarkStart w:id="179" w:name="_Toc520356151"/>
      <w:bookmarkStart w:id="180" w:name="_Toc6680"/>
      <w:bookmarkStart w:id="181" w:name="_Toc3553"/>
      <w:bookmarkStart w:id="182" w:name="_Toc11227"/>
      <w:bookmarkStart w:id="183" w:name="_Toc30570"/>
      <w:bookmarkStart w:id="184" w:name="_Toc515647767"/>
      <w:bookmarkStart w:id="185" w:name="_Toc15590"/>
      <w:bookmarkStart w:id="186" w:name="_Toc11023"/>
      <w:bookmarkStart w:id="187" w:name="_Toc7786"/>
      <w:bookmarkStart w:id="188" w:name="_Toc2259"/>
      <w:bookmarkStart w:id="189" w:name="_Toc11230"/>
      <w:bookmarkStart w:id="190" w:name="_Toc15952"/>
      <w:bookmarkStart w:id="191" w:name="_Toc516367021"/>
      <w:r>
        <w:rPr>
          <w:rFonts w:hint="eastAsia" w:ascii="仿宋" w:hAnsi="仿宋" w:eastAsia="仿宋" w:cs="仿宋"/>
          <w:color w:val="auto"/>
          <w:lang w:eastAsia="zh-CN"/>
        </w:rPr>
        <w:t>8.</w:t>
      </w:r>
      <w:r>
        <w:rPr>
          <w:rFonts w:hint="eastAsia" w:ascii="仿宋" w:hAnsi="仿宋" w:eastAsia="仿宋" w:cs="仿宋"/>
          <w:color w:val="auto"/>
          <w:lang w:eastAsia="zh-CN"/>
        </w:rPr>
        <w:tab/>
      </w:r>
      <w:r>
        <w:rPr>
          <w:rFonts w:hint="eastAsia" w:ascii="仿宋" w:hAnsi="仿宋" w:eastAsia="仿宋" w:cs="仿宋"/>
          <w:color w:val="auto"/>
          <w:lang w:eastAsia="zh-CN"/>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500487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项目有分包的，投标人可对招标文件其中某一个或几个分包货物进行投标，除非在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中另有规定。</w:t>
      </w:r>
    </w:p>
    <w:p w14:paraId="2CA7E4AE">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8.2     投标人应当对所投分包招标文件中“服务需求”所列的所有内容进行投标，如仅响应某一包中的部分内容，其该包投标将被认定为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6E6850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8.3     无论招标文件第5章货物需求一览表及技术规格中是否要求，投标人所投货物均应符合国家强制性标准。</w:t>
      </w:r>
    </w:p>
    <w:p w14:paraId="475E2DE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8.4     除招标文件中有特殊要求外，投标文件中所使用的计量单位，应采用中华人民共和国法定计量单位。</w:t>
      </w:r>
    </w:p>
    <w:p w14:paraId="30E5EE25">
      <w:pPr>
        <w:pStyle w:val="5"/>
        <w:tabs>
          <w:tab w:val="left" w:pos="900"/>
        </w:tabs>
        <w:spacing w:before="0" w:after="0" w:line="288" w:lineRule="auto"/>
        <w:rPr>
          <w:rFonts w:hint="eastAsia" w:ascii="仿宋" w:hAnsi="仿宋" w:eastAsia="仿宋" w:cs="仿宋"/>
          <w:color w:val="auto"/>
          <w:lang w:eastAsia="zh-CN"/>
        </w:rPr>
      </w:pPr>
      <w:bookmarkStart w:id="192" w:name="_Toc516367022"/>
      <w:bookmarkStart w:id="193" w:name="_Ref467306676"/>
      <w:bookmarkStart w:id="194" w:name="_Ref467306195"/>
      <w:bookmarkStart w:id="195" w:name="_Toc28307"/>
      <w:bookmarkStart w:id="196" w:name="_Toc22989"/>
      <w:bookmarkStart w:id="197" w:name="_Toc9237"/>
      <w:bookmarkStart w:id="198" w:name="_Toc18692"/>
      <w:bookmarkStart w:id="199" w:name="_Toc10364"/>
      <w:bookmarkStart w:id="200" w:name="_Toc18627"/>
      <w:bookmarkStart w:id="201" w:name="_Toc17949"/>
      <w:bookmarkStart w:id="202" w:name="_Toc17979"/>
      <w:bookmarkStart w:id="203" w:name="_Toc515647768"/>
      <w:bookmarkStart w:id="204" w:name="_Toc6112"/>
      <w:bookmarkStart w:id="205" w:name="_Toc13854"/>
      <w:bookmarkStart w:id="206" w:name="_Toc21249"/>
      <w:bookmarkStart w:id="207" w:name="_Toc520356152"/>
      <w:bookmarkStart w:id="208" w:name="_Toc9389"/>
      <w:bookmarkStart w:id="209" w:name="_Toc31425"/>
      <w:r>
        <w:rPr>
          <w:rFonts w:hint="eastAsia" w:ascii="仿宋" w:hAnsi="仿宋" w:eastAsia="仿宋" w:cs="仿宋"/>
          <w:color w:val="auto"/>
          <w:lang w:eastAsia="zh-CN"/>
        </w:rPr>
        <w:t>9.投标文件</w:t>
      </w:r>
      <w:bookmarkEnd w:id="192"/>
      <w:bookmarkEnd w:id="193"/>
      <w:bookmarkEnd w:id="194"/>
      <w:r>
        <w:rPr>
          <w:rFonts w:hint="eastAsia" w:ascii="仿宋" w:hAnsi="仿宋" w:eastAsia="仿宋" w:cs="仿宋"/>
          <w:color w:val="auto"/>
          <w:lang w:eastAsia="zh-CN"/>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B280FE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9.1     投标单位应完整地按招标文件提供的响应文件格式及要求编写响应文件，投标单位须</w:t>
      </w:r>
    </w:p>
    <w:p w14:paraId="7B42D513">
      <w:pPr>
        <w:spacing w:line="288" w:lineRule="auto"/>
        <w:ind w:left="957" w:leftChars="456"/>
        <w:rPr>
          <w:rFonts w:hint="eastAsia" w:ascii="仿宋" w:hAnsi="仿宋" w:eastAsia="仿宋" w:cs="仿宋"/>
          <w:color w:val="auto"/>
          <w:sz w:val="24"/>
          <w:lang w:eastAsia="zh-CN"/>
        </w:rPr>
      </w:pPr>
      <w:r>
        <w:rPr>
          <w:rFonts w:hint="eastAsia" w:ascii="仿宋" w:hAnsi="仿宋" w:eastAsia="仿宋" w:cs="仿宋"/>
          <w:color w:val="auto"/>
          <w:sz w:val="24"/>
          <w:lang w:eastAsia="zh-CN"/>
        </w:rPr>
        <w:t>在投标截止时间前完成在系统上递交电子响应文件。投标单位的电子响应文件是经过CA 证书加密后上传提交的，任何单位或个人均无法在投标截止时间(即投标时间)</w:t>
      </w:r>
    </w:p>
    <w:p w14:paraId="7676DBD4">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之前查看或篡改，不存在泄密风险。（严格按照政采云电子投标流程制作并上传电</w:t>
      </w:r>
    </w:p>
    <w:p w14:paraId="1AB89C48">
      <w:pPr>
        <w:spacing w:line="288"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子响应文件）</w:t>
      </w:r>
    </w:p>
    <w:p w14:paraId="571C73D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9.2    上述文件应按照招标文件规定的格式填写、签署和盖章招标文件中的格式供参考，投标文件中的内容可自行调整但应包括格式内的所有内容。</w:t>
      </w:r>
    </w:p>
    <w:p w14:paraId="7E248D8F">
      <w:pPr>
        <w:pStyle w:val="5"/>
        <w:tabs>
          <w:tab w:val="left" w:pos="900"/>
        </w:tabs>
        <w:spacing w:before="0" w:after="0" w:line="288" w:lineRule="auto"/>
        <w:rPr>
          <w:rFonts w:hint="eastAsia" w:ascii="仿宋" w:hAnsi="仿宋" w:eastAsia="仿宋" w:cs="仿宋"/>
          <w:color w:val="auto"/>
          <w:lang w:eastAsia="zh-CN"/>
        </w:rPr>
      </w:pPr>
      <w:bookmarkStart w:id="210" w:name="_Toc4601"/>
      <w:bookmarkStart w:id="211" w:name="_Toc30942"/>
      <w:bookmarkStart w:id="212" w:name="_Toc10379"/>
      <w:bookmarkStart w:id="213" w:name="_Toc515647769"/>
      <w:bookmarkStart w:id="214" w:name="_Toc6889"/>
      <w:bookmarkStart w:id="215" w:name="_Toc3494"/>
      <w:bookmarkStart w:id="216" w:name="_Toc516367023"/>
      <w:bookmarkStart w:id="217" w:name="_Toc20882"/>
      <w:bookmarkStart w:id="218" w:name="_Toc21436"/>
      <w:bookmarkStart w:id="219" w:name="_Toc13143"/>
      <w:bookmarkStart w:id="220" w:name="_Toc22144"/>
      <w:bookmarkStart w:id="221" w:name="_Toc5539"/>
      <w:bookmarkStart w:id="222" w:name="_Toc520356153"/>
      <w:bookmarkStart w:id="223" w:name="_Toc7354"/>
      <w:bookmarkStart w:id="224" w:name="_Toc22816"/>
      <w:bookmarkStart w:id="225" w:name="_Toc2871"/>
      <w:r>
        <w:rPr>
          <w:rFonts w:hint="eastAsia" w:ascii="仿宋" w:hAnsi="仿宋" w:eastAsia="仿宋" w:cs="仿宋"/>
          <w:color w:val="auto"/>
          <w:lang w:eastAsia="zh-CN"/>
        </w:rPr>
        <w:t>10.</w:t>
      </w:r>
      <w:r>
        <w:rPr>
          <w:rFonts w:hint="eastAsia" w:ascii="仿宋" w:hAnsi="仿宋" w:eastAsia="仿宋" w:cs="仿宋"/>
          <w:color w:val="auto"/>
          <w:lang w:eastAsia="zh-CN"/>
        </w:rPr>
        <w:tab/>
      </w:r>
      <w:r>
        <w:rPr>
          <w:rFonts w:hint="eastAsia" w:ascii="仿宋" w:hAnsi="仿宋" w:eastAsia="仿宋" w:cs="仿宋"/>
          <w:color w:val="auto"/>
          <w:lang w:eastAsia="zh-CN"/>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9C6038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投标人应提交证明文件，证明其投标内容符合招标文件规定。该证明文件是投标文件的一部分。</w:t>
      </w:r>
    </w:p>
    <w:p w14:paraId="5F2D1C34">
      <w:pPr>
        <w:spacing w:line="288" w:lineRule="auto"/>
        <w:ind w:left="900" w:hanging="900" w:hangingChars="375"/>
        <w:rPr>
          <w:rFonts w:hint="eastAsia" w:ascii="仿宋" w:hAnsi="仿宋" w:eastAsia="仿宋" w:cs="仿宋"/>
          <w:color w:val="auto"/>
          <w:sz w:val="24"/>
          <w:lang w:eastAsia="zh-CN"/>
        </w:rPr>
      </w:pPr>
      <w:bookmarkStart w:id="226" w:name="_Ref467306244"/>
      <w:r>
        <w:rPr>
          <w:rFonts w:hint="eastAsia" w:ascii="仿宋" w:hAnsi="仿宋" w:eastAsia="仿宋" w:cs="仿宋"/>
          <w:color w:val="auto"/>
          <w:sz w:val="24"/>
          <w:lang w:eastAsia="zh-CN"/>
        </w:rPr>
        <w:t>10.2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上款所述的证明文件，可以是文字资料、图纸和数据，</w:t>
      </w:r>
      <w:bookmarkEnd w:id="226"/>
      <w:r>
        <w:rPr>
          <w:rFonts w:hint="eastAsia" w:ascii="仿宋" w:hAnsi="仿宋" w:eastAsia="仿宋" w:cs="仿宋"/>
          <w:color w:val="auto"/>
          <w:sz w:val="24"/>
          <w:lang w:eastAsia="zh-CN"/>
        </w:rPr>
        <w:t>它包括：</w:t>
      </w:r>
    </w:p>
    <w:p w14:paraId="13692FE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货物主要技术指标和性能的详细说明；</w:t>
      </w:r>
    </w:p>
    <w:p w14:paraId="20D3619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货物从买方开始使用至招标文件规定的保质期内正常、连续地使用所必须的备件和专用工具清单，包括备件和专用工具的货源及现行价格；</w:t>
      </w:r>
    </w:p>
    <w:p w14:paraId="5807EC4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10.2.3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对照招标文件技术规格，逐条说明所提供货物及伴随的工程和服务已对招标文件的技术规格做出了实质性的响应，或申明与技术规格条文的偏差和例外。</w:t>
      </w:r>
    </w:p>
    <w:p w14:paraId="741961D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10.3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56BE6E6F">
      <w:pPr>
        <w:pStyle w:val="5"/>
        <w:spacing w:before="0" w:after="0" w:line="288" w:lineRule="auto"/>
        <w:rPr>
          <w:rFonts w:hint="eastAsia" w:ascii="仿宋" w:hAnsi="仿宋" w:eastAsia="仿宋" w:cs="仿宋"/>
          <w:color w:val="auto"/>
          <w:lang w:eastAsia="zh-CN"/>
        </w:rPr>
      </w:pPr>
      <w:bookmarkStart w:id="227" w:name="_Toc2248"/>
      <w:bookmarkStart w:id="228" w:name="_Toc515647770"/>
      <w:bookmarkStart w:id="229" w:name="_Toc21624"/>
      <w:bookmarkStart w:id="230" w:name="_Toc23231"/>
      <w:bookmarkStart w:id="231" w:name="_Toc30150"/>
      <w:bookmarkStart w:id="232" w:name="_Toc6623"/>
      <w:bookmarkStart w:id="233" w:name="_Toc2418"/>
      <w:bookmarkStart w:id="234" w:name="_Toc19624"/>
      <w:bookmarkStart w:id="235" w:name="_Toc1965"/>
      <w:bookmarkStart w:id="236" w:name="_Toc9907"/>
      <w:bookmarkStart w:id="237" w:name="_Toc1082"/>
      <w:bookmarkStart w:id="238" w:name="_Toc520356155"/>
      <w:bookmarkStart w:id="239" w:name="_Toc13077"/>
      <w:bookmarkStart w:id="240" w:name="_Toc28319"/>
      <w:bookmarkStart w:id="241" w:name="_Toc14959"/>
      <w:r>
        <w:rPr>
          <w:rFonts w:hint="eastAsia" w:ascii="仿宋" w:hAnsi="仿宋" w:eastAsia="仿宋" w:cs="仿宋"/>
          <w:color w:val="auto"/>
          <w:lang w:eastAsia="zh-CN"/>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CAA609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FD91C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投标人应在投标分项报价表上标明投标货物及相关服务的单价（如适用）和总价，并由法定代表人或其授权代表签署。</w:t>
      </w:r>
    </w:p>
    <w:p w14:paraId="70E1A53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投标分项报价表上的价格应按下列方式填写：</w:t>
      </w:r>
    </w:p>
    <w:p w14:paraId="3A459E6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11.3.1  投标货物（包括备品备件、专用工具等）的出厂价（包括已在中国国内的进口货物完税后的仓库交货价、展室交货价或货架交货价），投标货物安装、调试、检验、技术服务和培训等费用；</w:t>
      </w:r>
    </w:p>
    <w:p w14:paraId="7B0F6C6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11.3.2  货物运至最终目的地的运输费和保险费用。</w:t>
      </w:r>
    </w:p>
    <w:p w14:paraId="65137A8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F8331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每种货物只能有一个投标报价。采购人不接受具有附加条件的报价。</w:t>
      </w:r>
    </w:p>
    <w:p w14:paraId="68214E4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11.6    投标文件中应写明投标产品的产地、数量/面积、养护服务期、供货期，未明确写明的其投标将被认定为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749B28A">
      <w:pPr>
        <w:pStyle w:val="5"/>
        <w:spacing w:before="0" w:after="0" w:line="288" w:lineRule="auto"/>
        <w:rPr>
          <w:rFonts w:hint="eastAsia" w:ascii="仿宋" w:hAnsi="仿宋" w:eastAsia="仿宋" w:cs="仿宋"/>
          <w:color w:val="auto"/>
          <w:lang w:eastAsia="zh-CN"/>
        </w:rPr>
      </w:pPr>
      <w:bookmarkStart w:id="242" w:name="_Toc30117"/>
      <w:bookmarkStart w:id="243" w:name="_Ref467306513"/>
      <w:bookmarkStart w:id="244" w:name="_Toc31739"/>
      <w:bookmarkStart w:id="245" w:name="_Toc13084"/>
      <w:bookmarkStart w:id="246" w:name="_Toc8651"/>
      <w:bookmarkStart w:id="247" w:name="_Toc17788"/>
      <w:bookmarkStart w:id="248" w:name="_Toc520356156"/>
      <w:bookmarkStart w:id="249" w:name="_Toc11514"/>
      <w:bookmarkStart w:id="250" w:name="_Toc29572"/>
      <w:bookmarkStart w:id="251" w:name="_Toc17296"/>
      <w:bookmarkStart w:id="252" w:name="_Toc515647771"/>
      <w:bookmarkStart w:id="253" w:name="_Toc1823"/>
      <w:bookmarkStart w:id="254" w:name="_Toc27024"/>
      <w:bookmarkStart w:id="255" w:name="_Toc17357"/>
      <w:bookmarkStart w:id="256" w:name="_Toc22212"/>
      <w:bookmarkStart w:id="257" w:name="_Toc17068"/>
      <w:r>
        <w:rPr>
          <w:rFonts w:hint="eastAsia" w:ascii="仿宋" w:hAnsi="仿宋" w:eastAsia="仿宋" w:cs="仿宋"/>
          <w:color w:val="auto"/>
          <w:lang w:eastAsia="zh-CN"/>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85D0A27">
      <w:pPr>
        <w:spacing w:line="288" w:lineRule="auto"/>
        <w:ind w:left="900" w:hanging="900" w:hangingChars="375"/>
        <w:rPr>
          <w:rFonts w:hint="eastAsia" w:ascii="仿宋" w:hAnsi="仿宋" w:eastAsia="仿宋" w:cs="仿宋"/>
          <w:color w:val="auto"/>
          <w:sz w:val="24"/>
          <w:lang w:eastAsia="zh-CN"/>
        </w:rPr>
      </w:pPr>
      <w:bookmarkStart w:id="258" w:name="_Ref467306302"/>
      <w:r>
        <w:rPr>
          <w:rFonts w:hint="eastAsia" w:ascii="仿宋" w:hAnsi="仿宋" w:eastAsia="仿宋" w:cs="仿宋"/>
          <w:color w:val="auto"/>
          <w:sz w:val="24"/>
          <w:lang w:eastAsia="zh-CN"/>
        </w:rPr>
        <w:t>12.1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投标人应提交</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中规定的投标保证金</w:t>
      </w:r>
      <w:bookmarkEnd w:id="258"/>
      <w:r>
        <w:rPr>
          <w:rFonts w:hint="eastAsia" w:ascii="仿宋" w:hAnsi="仿宋" w:eastAsia="仿宋" w:cs="仿宋"/>
          <w:color w:val="auto"/>
          <w:sz w:val="24"/>
          <w:lang w:eastAsia="zh-CN"/>
        </w:rPr>
        <w:t>，并作为其投标的一部分。</w:t>
      </w:r>
    </w:p>
    <w:p w14:paraId="42C3D54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投标人存在下列情形的，投标保证金不予退还：</w:t>
      </w:r>
    </w:p>
    <w:p w14:paraId="79B072B5">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bookmarkStart w:id="259" w:name="_Ref467306336"/>
      <w:r>
        <w:rPr>
          <w:rFonts w:hint="eastAsia" w:ascii="仿宋" w:hAnsi="仿宋" w:eastAsia="仿宋" w:cs="仿宋"/>
          <w:color w:val="auto"/>
          <w:sz w:val="24"/>
          <w:lang w:eastAsia="zh-CN"/>
        </w:rPr>
        <w:t>（1）在投标有效期内，撤销投标的；</w:t>
      </w:r>
    </w:p>
    <w:p w14:paraId="2476CF09">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（2）中标后不按本须知第30条的规定与采购人签订合同的；</w:t>
      </w:r>
    </w:p>
    <w:p w14:paraId="0149FB60">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（3）中标后不按本须知第31条的规定提交履约保证金的；</w:t>
      </w:r>
    </w:p>
    <w:p w14:paraId="3445BA48">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（4）中标后不按本须知第32条的规定缴纳中标服务费的；</w:t>
      </w:r>
    </w:p>
    <w:p w14:paraId="6ADB2052">
      <w:pPr>
        <w:pStyle w:val="11"/>
        <w:tabs>
          <w:tab w:val="left" w:pos="2240"/>
        </w:tabs>
        <w:spacing w:line="288" w:lineRule="auto"/>
        <w:ind w:left="1079" w:leftChars="371" w:hanging="300" w:hangingChars="125"/>
        <w:rPr>
          <w:rFonts w:hint="eastAsia" w:ascii="仿宋" w:hAnsi="仿宋" w:eastAsia="仿宋" w:cs="仿宋"/>
          <w:color w:val="auto"/>
          <w:sz w:val="24"/>
          <w:lang w:eastAsia="zh-CN"/>
        </w:rPr>
      </w:pPr>
      <w:r>
        <w:rPr>
          <w:rFonts w:hint="eastAsia" w:ascii="仿宋" w:hAnsi="仿宋" w:eastAsia="仿宋" w:cs="仿宋"/>
          <w:color w:val="auto"/>
          <w:sz w:val="24"/>
          <w:lang w:eastAsia="zh-CN"/>
        </w:rPr>
        <w:t>（5）存在其他违法违规行为的。</w:t>
      </w:r>
    </w:p>
    <w:p w14:paraId="7E32597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12.3</w:t>
      </w:r>
      <w:r>
        <w:rPr>
          <w:rFonts w:hint="eastAsia" w:ascii="仿宋" w:hAnsi="仿宋" w:eastAsia="仿宋" w:cs="仿宋"/>
          <w:color w:val="auto"/>
          <w:sz w:val="24"/>
          <w:lang w:eastAsia="zh-CN"/>
        </w:rPr>
        <w:tab/>
      </w:r>
      <w:bookmarkEnd w:id="259"/>
      <w:r>
        <w:rPr>
          <w:rFonts w:hint="eastAsia" w:ascii="仿宋" w:hAnsi="仿宋" w:eastAsia="仿宋" w:cs="仿宋"/>
          <w:color w:val="auto"/>
          <w:sz w:val="24"/>
          <w:lang w:eastAsia="zh-CN"/>
        </w:rPr>
        <w:t>政府采购信用担保试点范围内的项目，接受符合财政部门规定的政府采购投标担保函原件。</w:t>
      </w:r>
    </w:p>
    <w:p w14:paraId="0EEEC91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投标人未按本须知规定提交投标保证金的，其投标将被认定为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6749B4FB">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12.4.1  采用电汇形式的，一般可以实时入账。</w:t>
      </w:r>
    </w:p>
    <w:p w14:paraId="0B5EF98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006F933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12.5   联合体投标的，可以由联合体中的一方或者共同提交投标保证金。以一方名义提交投标保证金的，对联合体各方均具有约束力。</w:t>
      </w:r>
    </w:p>
    <w:p w14:paraId="008FAD5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投标保证金的退还</w:t>
      </w:r>
    </w:p>
    <w:p w14:paraId="52DB50C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12.6.1  中标人应在与采购人签订合同之日起5个工作日内，及时联系保证金收受机构办理投标保证金无息退还手续。</w:t>
      </w:r>
    </w:p>
    <w:p w14:paraId="16EE8499">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12.6.2  未中标投标人的投标保证金将在中标通知书发出之日暨中标结果公告公布之日起5个工作日内无息退还。投标人应及时联系保证金收受机构办理退还投标保证金手续。</w:t>
      </w:r>
    </w:p>
    <w:p w14:paraId="489B89E1">
      <w:pPr>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12.6.3  政府采购投标担保函不予退回。</w:t>
      </w:r>
    </w:p>
    <w:p w14:paraId="6F37D930">
      <w:pPr>
        <w:spacing w:line="288" w:lineRule="auto"/>
        <w:ind w:left="960" w:right="-121"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12.7    因投标人自身原因导致无法及时退还的，采购人或采购代理机构将不承担相应责任。</w:t>
      </w:r>
    </w:p>
    <w:p w14:paraId="10BED0FE">
      <w:pPr>
        <w:pStyle w:val="5"/>
        <w:spacing w:before="0" w:after="0" w:line="288" w:lineRule="auto"/>
        <w:rPr>
          <w:rFonts w:hint="eastAsia" w:ascii="仿宋" w:hAnsi="仿宋" w:eastAsia="仿宋" w:cs="仿宋"/>
          <w:color w:val="auto"/>
          <w:lang w:eastAsia="zh-CN"/>
        </w:rPr>
      </w:pPr>
      <w:bookmarkStart w:id="260" w:name="_Toc520356157"/>
      <w:bookmarkStart w:id="261" w:name="_Toc26844"/>
      <w:bookmarkStart w:id="262" w:name="_Toc15117"/>
      <w:bookmarkStart w:id="263" w:name="_Toc22901"/>
      <w:bookmarkStart w:id="264" w:name="_Toc2130"/>
      <w:bookmarkStart w:id="265" w:name="_Toc23590"/>
      <w:bookmarkStart w:id="266" w:name="_Toc15069"/>
      <w:bookmarkStart w:id="267" w:name="_Toc17879"/>
      <w:bookmarkStart w:id="268" w:name="_Toc30629"/>
      <w:bookmarkStart w:id="269" w:name="_Toc19849"/>
      <w:bookmarkStart w:id="270" w:name="_Toc515647772"/>
      <w:bookmarkStart w:id="271" w:name="_Toc15686"/>
      <w:bookmarkStart w:id="272" w:name="_Toc9445"/>
      <w:bookmarkStart w:id="273" w:name="_Toc14721"/>
      <w:bookmarkStart w:id="274" w:name="_Toc32569"/>
      <w:r>
        <w:rPr>
          <w:rFonts w:hint="eastAsia" w:ascii="仿宋" w:hAnsi="仿宋" w:eastAsia="仿宋" w:cs="仿宋"/>
          <w:color w:val="auto"/>
          <w:lang w:eastAsia="zh-CN"/>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D198D6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投标应在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中规定时间内保持有效。投标有效期不满足要求的投标，其投标将被认定为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73DAAD1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13.2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7BA17B0">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14.响应文件的签署及规定</w:t>
      </w:r>
    </w:p>
    <w:p w14:paraId="336F5C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14.1 供应商应按供应商须知资料表中的规定，准备和递交（加密上传）电子响应文件。</w:t>
      </w:r>
    </w:p>
    <w:p w14:paraId="08652AE6">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14.2 所有响应文件应按照招标文件规定的格式填写、签署和盖章。</w:t>
      </w:r>
    </w:p>
    <w:p w14:paraId="3F2810D7">
      <w:pPr>
        <w:spacing w:line="288" w:lineRule="auto"/>
        <w:ind w:left="904" w:hanging="900" w:hangingChars="375"/>
        <w:rPr>
          <w:rFonts w:hint="eastAsia" w:ascii="仿宋" w:hAnsi="仿宋" w:eastAsia="仿宋" w:cs="仿宋"/>
          <w:b/>
          <w:color w:val="auto"/>
          <w:sz w:val="24"/>
          <w:lang w:eastAsia="zh-CN"/>
        </w:rPr>
      </w:pPr>
      <w:r>
        <w:rPr>
          <w:rFonts w:hint="eastAsia" w:ascii="仿宋" w:hAnsi="仿宋" w:eastAsia="仿宋" w:cs="仿宋"/>
          <w:b/>
          <w:color w:val="auto"/>
          <w:sz w:val="24"/>
          <w:lang w:eastAsia="zh-CN"/>
        </w:rPr>
        <w:t>14.3 响应文件因字迹潦草、表达不清所引起的后果由供应商负责。</w:t>
      </w:r>
    </w:p>
    <w:p w14:paraId="76C84F13">
      <w:pPr>
        <w:pStyle w:val="4"/>
        <w:spacing w:before="0" w:line="288" w:lineRule="auto"/>
        <w:ind w:left="1079" w:leftChars="257" w:hanging="540"/>
        <w:rPr>
          <w:rFonts w:hint="eastAsia" w:ascii="仿宋" w:hAnsi="仿宋" w:eastAsia="仿宋" w:cs="仿宋"/>
          <w:color w:val="auto"/>
          <w:sz w:val="28"/>
          <w:lang w:eastAsia="zh-CN"/>
        </w:rPr>
      </w:pPr>
      <w:bookmarkStart w:id="275" w:name="_Toc22843"/>
      <w:bookmarkStart w:id="276" w:name="_Toc22560"/>
      <w:bookmarkStart w:id="277" w:name="_Toc5332"/>
      <w:bookmarkStart w:id="278" w:name="_Toc520356159"/>
      <w:bookmarkStart w:id="279" w:name="_Toc10905"/>
      <w:bookmarkStart w:id="280" w:name="_Toc16865"/>
      <w:bookmarkStart w:id="281" w:name="_Toc515647774"/>
      <w:bookmarkStart w:id="282" w:name="_Toc11483"/>
      <w:bookmarkStart w:id="283" w:name="_Toc31447"/>
      <w:bookmarkStart w:id="284" w:name="_Toc11179"/>
      <w:bookmarkStart w:id="285" w:name="_Toc25925"/>
      <w:bookmarkStart w:id="286" w:name="_Toc9509"/>
      <w:bookmarkStart w:id="287" w:name="_Toc25200"/>
      <w:bookmarkStart w:id="288" w:name="_Toc25700"/>
      <w:bookmarkStart w:id="289" w:name="_Toc27533"/>
      <w:bookmarkStart w:id="290" w:name="_Toc216582808"/>
      <w:r>
        <w:rPr>
          <w:rFonts w:hint="eastAsia" w:ascii="仿宋" w:hAnsi="仿宋" w:eastAsia="仿宋" w:cs="仿宋"/>
          <w:color w:val="auto"/>
          <w:sz w:val="28"/>
          <w:lang w:eastAsia="zh-CN"/>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54CC8D6">
      <w:pPr>
        <w:pStyle w:val="5"/>
        <w:tabs>
          <w:tab w:val="left" w:pos="900"/>
        </w:tabs>
        <w:spacing w:before="0" w:after="0" w:line="288" w:lineRule="auto"/>
        <w:rPr>
          <w:rFonts w:hint="eastAsia" w:ascii="仿宋" w:hAnsi="仿宋" w:eastAsia="仿宋" w:cs="仿宋"/>
          <w:color w:val="auto"/>
          <w:lang w:eastAsia="zh-CN"/>
        </w:rPr>
      </w:pPr>
      <w:bookmarkStart w:id="291" w:name="_Toc26374"/>
      <w:bookmarkStart w:id="292" w:name="_Toc32337"/>
      <w:bookmarkStart w:id="293" w:name="_Toc21645"/>
      <w:bookmarkStart w:id="294" w:name="_Toc32131"/>
      <w:bookmarkStart w:id="295" w:name="_Toc26195"/>
      <w:bookmarkStart w:id="296" w:name="_Toc2091"/>
      <w:bookmarkStart w:id="297" w:name="_Toc6343"/>
      <w:bookmarkStart w:id="298" w:name="_Toc520356160"/>
      <w:bookmarkStart w:id="299" w:name="_Toc632"/>
      <w:bookmarkStart w:id="300" w:name="_Toc515647775"/>
      <w:r>
        <w:rPr>
          <w:rFonts w:hint="eastAsia" w:ascii="仿宋" w:hAnsi="仿宋" w:eastAsia="仿宋" w:cs="仿宋"/>
          <w:color w:val="auto"/>
          <w:lang w:eastAsia="zh-CN"/>
        </w:rPr>
        <w:t>15.投标文件的密封和标记</w:t>
      </w:r>
      <w:bookmarkEnd w:id="291"/>
      <w:bookmarkEnd w:id="292"/>
      <w:bookmarkEnd w:id="293"/>
      <w:bookmarkEnd w:id="294"/>
      <w:bookmarkEnd w:id="295"/>
      <w:bookmarkEnd w:id="296"/>
      <w:bookmarkEnd w:id="297"/>
      <w:bookmarkEnd w:id="298"/>
      <w:bookmarkEnd w:id="299"/>
      <w:bookmarkEnd w:id="300"/>
    </w:p>
    <w:p w14:paraId="0E46374B">
      <w:pPr>
        <w:tabs>
          <w:tab w:val="left" w:pos="-200"/>
          <w:tab w:val="left" w:pos="5580"/>
        </w:tabs>
        <w:spacing w:line="240" w:lineRule="atLeast"/>
        <w:ind w:left="960" w:hanging="960" w:hangingChars="4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15.1    </w:t>
      </w:r>
      <w:r>
        <w:rPr>
          <w:rFonts w:hint="eastAsia" w:ascii="仿宋" w:hAnsi="仿宋" w:eastAsia="仿宋" w:cs="仿宋"/>
          <w:b/>
          <w:bCs/>
          <w:color w:val="auto"/>
          <w:sz w:val="24"/>
          <w:lang w:eastAsia="zh-CN"/>
        </w:rPr>
        <w:t>供应商应完整地按招标文件提供的投标文件格式及要求编写投标文件，供应商须在投标截止时间前完成在新疆政采云平台https://www.zcygov.cn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59C18D05">
      <w:pPr>
        <w:spacing w:line="288" w:lineRule="auto"/>
        <w:ind w:left="900" w:hanging="900" w:hangingChars="375"/>
        <w:rPr>
          <w:rFonts w:hint="eastAsia" w:ascii="仿宋" w:hAnsi="仿宋" w:eastAsia="仿宋" w:cs="仿宋"/>
          <w:color w:val="auto"/>
          <w:sz w:val="24"/>
          <w:lang w:eastAsia="zh-CN"/>
        </w:rPr>
      </w:pPr>
      <w:bookmarkStart w:id="301" w:name="_Toc28106"/>
      <w:r>
        <w:rPr>
          <w:rFonts w:hint="eastAsia" w:ascii="仿宋" w:hAnsi="仿宋" w:eastAsia="仿宋" w:cs="仿宋"/>
          <w:color w:val="auto"/>
          <w:sz w:val="24"/>
          <w:lang w:eastAsia="zh-CN"/>
        </w:rPr>
        <w:t xml:space="preserve">15.2   </w:t>
      </w:r>
      <w:bookmarkEnd w:id="301"/>
      <w:r>
        <w:rPr>
          <w:rFonts w:hint="eastAsia" w:ascii="仿宋" w:hAnsi="仿宋" w:eastAsia="仿宋" w:cs="仿宋"/>
          <w:color w:val="auto"/>
          <w:sz w:val="24"/>
          <w:lang w:eastAsia="zh-CN"/>
        </w:rPr>
        <w:t>供应商因自身原因导致电子投标文件无法导入电子评标系统的，该响应文件视为</w:t>
      </w:r>
      <w:r>
        <w:rPr>
          <w:rFonts w:hint="eastAsia" w:ascii="仿宋" w:hAnsi="仿宋" w:eastAsia="仿宋" w:cs="仿宋"/>
          <w:b/>
          <w:bCs/>
          <w:color w:val="auto"/>
          <w:sz w:val="24"/>
          <w:lang w:eastAsia="zh-CN"/>
        </w:rPr>
        <w:t>无效文件。</w:t>
      </w:r>
    </w:p>
    <w:p w14:paraId="0197864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15.3    电子投标文件具有法律效力,与其他形式的响应文件在内容和格式上等同，若投标文件与招标文件要求不一致，其内容影响成交结果时，责任由供应商自行承担。</w:t>
      </w:r>
    </w:p>
    <w:p w14:paraId="6FFAE860">
      <w:pPr>
        <w:pStyle w:val="5"/>
        <w:tabs>
          <w:tab w:val="left" w:pos="900"/>
        </w:tabs>
        <w:spacing w:before="0" w:after="0" w:line="288" w:lineRule="auto"/>
        <w:rPr>
          <w:rFonts w:hint="eastAsia" w:ascii="仿宋" w:hAnsi="仿宋" w:eastAsia="仿宋" w:cs="仿宋"/>
          <w:color w:val="auto"/>
          <w:lang w:eastAsia="zh-CN"/>
        </w:rPr>
      </w:pPr>
      <w:bookmarkStart w:id="302" w:name="_Toc515647776"/>
      <w:bookmarkStart w:id="303" w:name="_Toc1456"/>
      <w:bookmarkStart w:id="304" w:name="_Toc27547"/>
      <w:bookmarkStart w:id="305" w:name="_Toc520356161"/>
      <w:bookmarkStart w:id="306" w:name="_Toc12751"/>
      <w:bookmarkStart w:id="307" w:name="_Toc9840"/>
      <w:bookmarkStart w:id="308" w:name="_Toc24017"/>
      <w:bookmarkStart w:id="309" w:name="_Toc26691"/>
      <w:bookmarkStart w:id="310" w:name="_Toc17361"/>
      <w:bookmarkStart w:id="311" w:name="_Toc28170"/>
      <w:r>
        <w:rPr>
          <w:rFonts w:hint="eastAsia" w:ascii="仿宋" w:hAnsi="仿宋" w:eastAsia="仿宋" w:cs="仿宋"/>
          <w:color w:val="auto"/>
          <w:lang w:eastAsia="zh-CN"/>
        </w:rPr>
        <w:t>16.投标截止</w:t>
      </w:r>
      <w:bookmarkEnd w:id="302"/>
      <w:bookmarkEnd w:id="303"/>
      <w:bookmarkEnd w:id="304"/>
      <w:bookmarkEnd w:id="305"/>
      <w:bookmarkEnd w:id="306"/>
      <w:bookmarkEnd w:id="307"/>
      <w:bookmarkEnd w:id="308"/>
      <w:bookmarkEnd w:id="309"/>
      <w:bookmarkEnd w:id="310"/>
      <w:bookmarkEnd w:id="311"/>
    </w:p>
    <w:p w14:paraId="1E521BCE">
      <w:pPr>
        <w:spacing w:line="240" w:lineRule="atLeast"/>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16.1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投标人应在</w:t>
      </w:r>
      <w:r>
        <w:rPr>
          <w:rFonts w:hint="eastAsia" w:ascii="仿宋" w:hAnsi="仿宋" w:eastAsia="仿宋" w:cs="仿宋"/>
          <w:b/>
          <w:bCs/>
          <w:color w:val="auto"/>
          <w:sz w:val="24"/>
          <w:u w:val="single"/>
          <w:lang w:eastAsia="zh-CN"/>
        </w:rPr>
        <w:t>投标人须知资料表</w:t>
      </w:r>
      <w:r>
        <w:rPr>
          <w:rFonts w:hint="eastAsia" w:ascii="仿宋" w:hAnsi="仿宋" w:eastAsia="仿宋" w:cs="仿宋"/>
          <w:color w:val="auto"/>
          <w:sz w:val="24"/>
          <w:lang w:eastAsia="zh-CN"/>
        </w:rPr>
        <w:t>中规定的截止时间前，将投标文件递交到招标公告中规定的地点。</w:t>
      </w:r>
      <w:r>
        <w:rPr>
          <w:rFonts w:hint="eastAsia" w:ascii="仿宋" w:hAnsi="仿宋" w:eastAsia="仿宋" w:cs="仿宋"/>
          <w:b/>
          <w:bCs/>
          <w:color w:val="auto"/>
          <w:sz w:val="24"/>
          <w:lang w:eastAsia="zh-CN"/>
        </w:rPr>
        <w:t>解密时间30分钟，逾期未解密的视为投标无效。</w:t>
      </w:r>
    </w:p>
    <w:p w14:paraId="678C38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采购人和采购代理机构有权按本须知的规定，延迟投标截止时间。在此情况下，采购人、采购代理机构和投标人受投标截止时间制约的所有权利和义务均应延长至新的截止时间。</w:t>
      </w:r>
    </w:p>
    <w:p w14:paraId="21007B6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16.3</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采购人和采购代理机构将拒绝接收在投标截止时间后上传的投标文件</w:t>
      </w:r>
    </w:p>
    <w:p w14:paraId="575D9B03">
      <w:pPr>
        <w:pStyle w:val="5"/>
        <w:spacing w:before="0" w:after="0" w:line="240" w:lineRule="atLeast"/>
        <w:rPr>
          <w:rFonts w:hint="eastAsia" w:ascii="仿宋" w:hAnsi="仿宋" w:eastAsia="仿宋" w:cs="仿宋"/>
          <w:color w:val="auto"/>
          <w:lang w:eastAsia="zh-CN"/>
        </w:rPr>
      </w:pPr>
      <w:bookmarkStart w:id="312" w:name="_Toc515647777"/>
      <w:bookmarkStart w:id="313" w:name="_Toc24275"/>
      <w:bookmarkStart w:id="314" w:name="_Toc24899"/>
      <w:bookmarkStart w:id="315" w:name="_Toc18537"/>
      <w:bookmarkStart w:id="316" w:name="_Toc24785"/>
      <w:bookmarkStart w:id="317" w:name="_Toc31670"/>
      <w:bookmarkStart w:id="318" w:name="_Toc520356162"/>
      <w:bookmarkStart w:id="319" w:name="_Toc11458"/>
      <w:bookmarkStart w:id="320" w:name="_Toc21703"/>
      <w:bookmarkStart w:id="321" w:name="_Toc9987"/>
      <w:r>
        <w:rPr>
          <w:rFonts w:hint="eastAsia" w:ascii="仿宋" w:hAnsi="仿宋" w:eastAsia="仿宋" w:cs="仿宋"/>
          <w:color w:val="auto"/>
          <w:lang w:eastAsia="zh-CN"/>
        </w:rPr>
        <w:t>17.投标文件的接收、修改与撤回</w:t>
      </w:r>
      <w:bookmarkEnd w:id="312"/>
      <w:bookmarkEnd w:id="313"/>
      <w:bookmarkEnd w:id="314"/>
      <w:bookmarkEnd w:id="315"/>
      <w:bookmarkEnd w:id="316"/>
      <w:bookmarkEnd w:id="317"/>
      <w:bookmarkEnd w:id="318"/>
      <w:bookmarkEnd w:id="319"/>
      <w:bookmarkEnd w:id="320"/>
      <w:bookmarkEnd w:id="321"/>
    </w:p>
    <w:p w14:paraId="72541FED">
      <w:pPr>
        <w:spacing w:line="240" w:lineRule="atLeast"/>
        <w:ind w:left="900" w:hanging="900" w:hangingChars="375"/>
        <w:rPr>
          <w:rFonts w:hint="eastAsia" w:ascii="仿宋" w:hAnsi="仿宋" w:eastAsia="仿宋" w:cs="仿宋"/>
          <w:b/>
          <w:color w:val="auto"/>
          <w:lang w:eastAsia="zh-CN"/>
        </w:rPr>
      </w:pPr>
      <w:r>
        <w:rPr>
          <w:rFonts w:hint="eastAsia" w:ascii="仿宋" w:hAnsi="仿宋" w:eastAsia="仿宋" w:cs="仿宋"/>
          <w:color w:val="auto"/>
          <w:sz w:val="24"/>
          <w:lang w:eastAsia="zh-CN"/>
        </w:rPr>
        <w:t>17.1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在投标截止时间后上传投标文件的，采购人和采购代理机构将</w:t>
      </w:r>
      <w:r>
        <w:rPr>
          <w:rFonts w:hint="eastAsia" w:ascii="仿宋" w:hAnsi="仿宋" w:eastAsia="仿宋" w:cs="仿宋"/>
          <w:b/>
          <w:bCs/>
          <w:color w:val="auto"/>
          <w:sz w:val="24"/>
          <w:lang w:eastAsia="zh-CN"/>
        </w:rPr>
        <w:t>拒绝接收</w:t>
      </w:r>
      <w:r>
        <w:rPr>
          <w:rFonts w:hint="eastAsia" w:ascii="仿宋" w:hAnsi="仿宋" w:eastAsia="仿宋" w:cs="仿宋"/>
          <w:color w:val="auto"/>
          <w:sz w:val="24"/>
          <w:lang w:eastAsia="zh-CN"/>
        </w:rPr>
        <w:t>。</w:t>
      </w:r>
    </w:p>
    <w:p w14:paraId="5660566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采购人或者采购代理机构收到投标文件后，应当如实记载投标文件的送达时间和密封情况。</w:t>
      </w:r>
    </w:p>
    <w:p w14:paraId="38FCD7C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rPr>
        <w:t>17.3</w:t>
      </w:r>
      <w:r>
        <w:rPr>
          <w:rFonts w:hint="eastAsia" w:ascii="仿宋" w:hAnsi="仿宋" w:eastAsia="仿宋" w:cs="仿宋"/>
          <w:color w:val="auto"/>
          <w:sz w:val="24"/>
        </w:rPr>
        <w:tab/>
      </w:r>
      <w:r>
        <w:rPr>
          <w:rFonts w:hint="eastAsia" w:ascii="仿宋" w:hAnsi="仿宋" w:eastAsia="仿宋" w:cs="仿宋"/>
          <w:color w:val="auto"/>
          <w:sz w:val="24"/>
        </w:rPr>
        <w:t>递交投标文件以后，如果投标人要进行修改或撤回投标，须提出书面申请并在投标截止时间前上传至</w:t>
      </w:r>
      <w:r>
        <w:rPr>
          <w:rFonts w:hint="eastAsia" w:ascii="仿宋" w:hAnsi="仿宋" w:eastAsia="仿宋" w:cs="仿宋"/>
          <w:b/>
          <w:bCs/>
          <w:color w:val="auto"/>
          <w:sz w:val="24"/>
        </w:rPr>
        <w:t>新疆政采云平台https://www.zcygov.cn</w:t>
      </w:r>
      <w:r>
        <w:rPr>
          <w:rFonts w:hint="eastAsia" w:ascii="仿宋" w:hAnsi="仿宋" w:eastAsia="仿宋" w:cs="仿宋"/>
          <w:color w:val="auto"/>
          <w:sz w:val="24"/>
        </w:rPr>
        <w:t>，投标人对投标文件的修改或撤回通知应按本须知规定编制、密封、标记。</w:t>
      </w:r>
      <w:r>
        <w:rPr>
          <w:rFonts w:hint="eastAsia" w:ascii="仿宋" w:hAnsi="仿宋" w:eastAsia="仿宋" w:cs="仿宋"/>
          <w:color w:val="auto"/>
          <w:sz w:val="24"/>
          <w:lang w:eastAsia="zh-CN"/>
        </w:rPr>
        <w:t>采购人和采购代理机构将予以接收，并视为投标文件的组成部分。</w:t>
      </w:r>
    </w:p>
    <w:p w14:paraId="3F8B6D7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17.4</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在投标截止期之后，采购人和采购代理机构不接受投标人主动对其投标文件做任何修改。</w:t>
      </w:r>
    </w:p>
    <w:p w14:paraId="79B6AAE6">
      <w:pPr>
        <w:spacing w:line="288" w:lineRule="auto"/>
        <w:ind w:left="900" w:hanging="900" w:hangingChars="375"/>
        <w:rPr>
          <w:rFonts w:hint="eastAsia" w:ascii="仿宋" w:hAnsi="仿宋" w:eastAsia="仿宋" w:cs="仿宋"/>
          <w:color w:val="auto"/>
          <w:sz w:val="24"/>
          <w:lang w:eastAsia="zh-CN"/>
        </w:rPr>
      </w:pPr>
      <w:bookmarkStart w:id="322" w:name="_Toc13495"/>
      <w:bookmarkStart w:id="323" w:name="_Toc19583"/>
      <w:bookmarkStart w:id="324" w:name="_Toc26872"/>
      <w:r>
        <w:rPr>
          <w:rFonts w:hint="eastAsia" w:ascii="仿宋" w:hAnsi="仿宋" w:eastAsia="仿宋" w:cs="仿宋"/>
          <w:color w:val="auto"/>
          <w:sz w:val="24"/>
          <w:lang w:eastAsia="zh-CN"/>
        </w:rPr>
        <w:t>17.5</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采购人和采购代理机构对所接收投标文件概不退回。</w:t>
      </w:r>
      <w:bookmarkEnd w:id="322"/>
      <w:bookmarkEnd w:id="323"/>
      <w:bookmarkEnd w:id="324"/>
    </w:p>
    <w:p w14:paraId="36377B04">
      <w:pPr>
        <w:pStyle w:val="4"/>
        <w:spacing w:before="0" w:line="288" w:lineRule="auto"/>
        <w:ind w:left="1079" w:leftChars="257" w:hanging="540"/>
        <w:rPr>
          <w:rFonts w:hint="eastAsia" w:ascii="仿宋" w:hAnsi="仿宋" w:eastAsia="仿宋" w:cs="仿宋"/>
          <w:color w:val="auto"/>
          <w:sz w:val="28"/>
        </w:rPr>
      </w:pPr>
      <w:bookmarkStart w:id="325" w:name="_Toc5077"/>
      <w:bookmarkStart w:id="326" w:name="_Toc216582809"/>
      <w:bookmarkStart w:id="327" w:name="_Toc28398"/>
      <w:bookmarkStart w:id="328" w:name="_Toc27778"/>
      <w:bookmarkStart w:id="329" w:name="_Toc20246"/>
      <w:bookmarkStart w:id="330" w:name="_Toc25610"/>
      <w:bookmarkStart w:id="331" w:name="_Toc520356163"/>
      <w:bookmarkStart w:id="332" w:name="_Toc28581"/>
      <w:bookmarkStart w:id="333" w:name="_Toc6326"/>
      <w:bookmarkStart w:id="334" w:name="_Toc24411"/>
      <w:bookmarkStart w:id="335" w:name="_Toc26891"/>
      <w:bookmarkStart w:id="336" w:name="_Toc515647778"/>
      <w:bookmarkStart w:id="337" w:name="_Toc12436"/>
      <w:bookmarkStart w:id="338" w:name="_Toc4683"/>
      <w:bookmarkStart w:id="339" w:name="_Toc26876"/>
      <w:bookmarkStart w:id="340" w:name="_Toc22638"/>
      <w:bookmarkStart w:id="341" w:name="_Toc31290"/>
      <w:bookmarkStart w:id="342" w:name="_Toc19296"/>
      <w:bookmarkStart w:id="343" w:name="_Toc515647780"/>
      <w:bookmarkStart w:id="344" w:name="_Toc21372"/>
      <w:r>
        <w:rPr>
          <w:rFonts w:hint="eastAsia" w:ascii="仿宋" w:hAnsi="仿宋" w:eastAsia="仿宋" w:cs="仿宋"/>
          <w:color w:val="auto"/>
          <w:sz w:val="28"/>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8F5AAB6">
      <w:pPr>
        <w:pStyle w:val="5"/>
        <w:numPr>
          <w:ilvl w:val="0"/>
          <w:numId w:val="3"/>
        </w:numPr>
        <w:spacing w:line="288" w:lineRule="auto"/>
        <w:rPr>
          <w:rFonts w:hint="eastAsia" w:ascii="仿宋" w:hAnsi="仿宋" w:eastAsia="仿宋" w:cs="仿宋"/>
          <w:color w:val="auto"/>
        </w:rPr>
      </w:pPr>
      <w:bookmarkStart w:id="345" w:name="_Toc520356164"/>
      <w:bookmarkStart w:id="346" w:name="_Toc11395"/>
      <w:bookmarkStart w:id="347" w:name="_Toc32258"/>
      <w:bookmarkStart w:id="348" w:name="_Toc15239"/>
      <w:bookmarkStart w:id="349" w:name="_Toc28774"/>
      <w:bookmarkStart w:id="350" w:name="_Toc25345"/>
      <w:bookmarkStart w:id="351" w:name="_Toc21932"/>
      <w:bookmarkStart w:id="352" w:name="_Toc17235"/>
      <w:bookmarkStart w:id="353" w:name="_Toc7186"/>
      <w:bookmarkStart w:id="354" w:name="_Toc17257"/>
      <w:bookmarkStart w:id="355" w:name="_Toc6310"/>
      <w:bookmarkStart w:id="356" w:name="_Toc433"/>
      <w:bookmarkStart w:id="357" w:name="_Toc19198"/>
      <w:bookmarkStart w:id="358" w:name="_Toc18521"/>
      <w:bookmarkStart w:id="359" w:name="_Toc515647779"/>
      <w:r>
        <w:rPr>
          <w:rFonts w:hint="eastAsia" w:ascii="仿宋" w:hAnsi="仿宋" w:eastAsia="仿宋" w:cs="仿宋"/>
          <w:color w:val="auto"/>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89F007A">
      <w:pPr>
        <w:numPr>
          <w:ilvl w:val="1"/>
          <w:numId w:val="3"/>
        </w:num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采购人和采购代理机构将按</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中规定的开标时间和地点组织公开开标并邀请所有投标人代表参加。</w:t>
      </w:r>
    </w:p>
    <w:p w14:paraId="4849EED7">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投标人不足3家的，不得开标。</w:t>
      </w:r>
    </w:p>
    <w:p w14:paraId="2E177F8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18.2   </w:t>
      </w:r>
      <w:r>
        <w:rPr>
          <w:rFonts w:hint="eastAsia" w:ascii="仿宋" w:hAnsi="仿宋" w:eastAsia="仿宋" w:cs="仿宋"/>
          <w:b/>
          <w:bCs/>
          <w:color w:val="auto"/>
          <w:sz w:val="24"/>
          <w:lang w:eastAsia="zh-CN"/>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 w:hAnsi="仿宋" w:eastAsia="仿宋" w:cs="仿宋"/>
          <w:color w:val="auto"/>
          <w:sz w:val="24"/>
          <w:lang w:eastAsia="zh-CN"/>
        </w:rPr>
        <w:t>。</w:t>
      </w:r>
    </w:p>
    <w:p w14:paraId="3F4F1A7C">
      <w:pPr>
        <w:rPr>
          <w:rFonts w:hint="eastAsia" w:ascii="仿宋" w:hAnsi="仿宋" w:eastAsia="仿宋" w:cs="仿宋"/>
          <w:color w:val="auto"/>
          <w:sz w:val="24"/>
          <w:lang w:eastAsia="zh-CN"/>
        </w:rPr>
      </w:pPr>
      <w:r>
        <w:rPr>
          <w:rFonts w:hint="eastAsia" w:ascii="仿宋" w:hAnsi="仿宋" w:eastAsia="仿宋" w:cs="仿宋"/>
          <w:color w:val="auto"/>
          <w:sz w:val="24"/>
          <w:lang w:eastAsia="zh-CN"/>
        </w:rPr>
        <w:t>18.3   采购人或采购代理机构将对开标过程进行记录，由参加开标的各投标人代表和相关工作人员签字确认，并存档备查。</w:t>
      </w:r>
    </w:p>
    <w:p w14:paraId="3D53D0D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18.4    投标人代表对开标过程和开标记录有疑义，以及认为采购人、采购代理机构相关工作人员有需要回避的情形的，应当场提出询问或者回避申请。</w:t>
      </w:r>
    </w:p>
    <w:p w14:paraId="1B56AE4F">
      <w:pPr>
        <w:pStyle w:val="5"/>
        <w:spacing w:before="0" w:after="0" w:line="288" w:lineRule="auto"/>
        <w:rPr>
          <w:rFonts w:hint="eastAsia" w:ascii="仿宋" w:hAnsi="仿宋" w:eastAsia="仿宋" w:cs="仿宋"/>
          <w:color w:val="auto"/>
          <w:lang w:eastAsia="zh-CN"/>
        </w:rPr>
      </w:pPr>
      <w:bookmarkStart w:id="360" w:name="_Toc16060"/>
      <w:bookmarkStart w:id="361" w:name="_Toc1719"/>
      <w:bookmarkStart w:id="362" w:name="_Toc13177"/>
      <w:bookmarkStart w:id="363" w:name="_Toc30404"/>
      <w:bookmarkStart w:id="364" w:name="_Toc10635"/>
      <w:bookmarkStart w:id="365" w:name="_Toc10173"/>
      <w:bookmarkStart w:id="366" w:name="_Toc11574"/>
      <w:bookmarkStart w:id="367" w:name="_Toc3739"/>
      <w:bookmarkStart w:id="368" w:name="_Toc12992"/>
      <w:bookmarkStart w:id="369" w:name="_Toc1947"/>
      <w:r>
        <w:rPr>
          <w:rFonts w:hint="eastAsia" w:ascii="仿宋" w:hAnsi="仿宋" w:eastAsia="仿宋" w:cs="仿宋"/>
          <w:color w:val="auto"/>
          <w:lang w:eastAsia="zh-CN"/>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14:paraId="62DB41BF">
      <w:pPr>
        <w:spacing w:line="288" w:lineRule="auto"/>
        <w:ind w:left="960" w:hanging="960" w:hangingChars="400"/>
        <w:rPr>
          <w:rFonts w:hint="eastAsia" w:ascii="仿宋" w:hAnsi="仿宋" w:eastAsia="仿宋" w:cs="仿宋"/>
          <w:color w:val="auto"/>
          <w:sz w:val="24"/>
          <w:lang w:eastAsia="zh-CN"/>
        </w:rPr>
      </w:pPr>
      <w:r>
        <w:rPr>
          <w:rFonts w:hint="eastAsia" w:ascii="仿宋" w:hAnsi="仿宋" w:eastAsia="仿宋" w:cs="仿宋"/>
          <w:color w:val="auto"/>
          <w:sz w:val="24"/>
          <w:lang w:eastAsia="zh-CN"/>
        </w:rPr>
        <w:t>19.1    采购人或采购代理机构依据法律法规和招标文件中规定的内容，对投标人及其货物的资格进行审查，未通过资格审查的投标人不进入评标；通过资格审查的投标人少于不足三家的，不得评标。</w:t>
      </w:r>
    </w:p>
    <w:p w14:paraId="39998301">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19.2</w:t>
      </w:r>
      <w:bookmarkStart w:id="370" w:name="_Toc520356166"/>
      <w:r>
        <w:rPr>
          <w:rFonts w:hint="eastAsia" w:ascii="仿宋" w:hAnsi="仿宋" w:eastAsia="仿宋" w:cs="仿宋"/>
          <w:color w:val="auto"/>
          <w:sz w:val="24"/>
          <w:lang w:eastAsia="zh-CN"/>
        </w:rPr>
        <w:t>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3F4BCC3">
      <w:pPr>
        <w:spacing w:line="240" w:lineRule="atLeast"/>
        <w:ind w:left="857" w:leftChars="2" w:hanging="853"/>
        <w:rPr>
          <w:rFonts w:hint="eastAsia" w:ascii="仿宋" w:hAnsi="仿宋" w:eastAsia="仿宋" w:cs="仿宋"/>
          <w:color w:val="auto"/>
          <w:sz w:val="24"/>
        </w:rPr>
      </w:pPr>
      <w:r>
        <w:rPr>
          <w:rFonts w:hint="eastAsia" w:ascii="仿宋" w:hAnsi="仿宋" w:eastAsia="仿宋" w:cs="仿宋"/>
          <w:color w:val="auto"/>
          <w:sz w:val="24"/>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91A4804">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sz w:val="24"/>
          <w:lang w:eastAsia="zh-CN"/>
        </w:rPr>
        <w:t>以联合体形式参加投标的，联合体任何成员存在以上不良信用记录的，联合体投标将被认定为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55D0D746">
      <w:pPr>
        <w:spacing w:line="240" w:lineRule="atLeast"/>
        <w:ind w:left="857" w:leftChars="2" w:hanging="853"/>
        <w:rPr>
          <w:rFonts w:hint="eastAsia" w:ascii="仿宋" w:hAnsi="仿宋" w:eastAsia="仿宋" w:cs="仿宋"/>
          <w:color w:val="auto"/>
          <w:sz w:val="24"/>
          <w:lang w:eastAsia="zh-CN"/>
        </w:rPr>
      </w:pPr>
      <w:r>
        <w:rPr>
          <w:rFonts w:hint="eastAsia" w:ascii="仿宋" w:hAnsi="仿宋" w:eastAsia="仿宋" w:cs="仿宋"/>
          <w:color w:val="auto"/>
          <w:lang w:eastAsia="zh-CN"/>
        </w:rPr>
        <w:t xml:space="preserve">19.2.2 </w:t>
      </w:r>
      <w:r>
        <w:rPr>
          <w:rFonts w:hint="eastAsia" w:ascii="仿宋" w:hAnsi="仿宋" w:eastAsia="仿宋" w:cs="仿宋"/>
          <w:color w:val="auto"/>
          <w:sz w:val="24"/>
          <w:lang w:eastAsia="zh-CN"/>
        </w:rPr>
        <w:t>查询及记录方式：采购人或采购代理机构经办人将查询网页打印、签字并存档备查。投标人不良信用记录以采购人或采购代理机构查询结果为准。</w:t>
      </w:r>
    </w:p>
    <w:p w14:paraId="766697B1">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在本招标文件规定的查询时间之后，网站信息发生的任何变更均不再作为评标依据。</w:t>
      </w:r>
    </w:p>
    <w:p w14:paraId="0A8598BE">
      <w:pPr>
        <w:spacing w:line="240" w:lineRule="atLeast"/>
        <w:ind w:left="968" w:leftChars="458" w:hanging="7" w:hangingChars="3"/>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投标人自行提供的与网站信息不一致的其他证明材料亦不作为资格审查依据。</w:t>
      </w:r>
    </w:p>
    <w:p w14:paraId="3B422B42">
      <w:pPr>
        <w:pStyle w:val="16"/>
        <w:ind w:left="960" w:hanging="960" w:hangingChars="400"/>
        <w:rPr>
          <w:rFonts w:hint="eastAsia" w:ascii="仿宋" w:hAnsi="仿宋" w:eastAsia="仿宋" w:cs="仿宋"/>
          <w:color w:val="auto"/>
          <w:lang w:eastAsia="zh-CN"/>
        </w:rPr>
      </w:pPr>
      <w:r>
        <w:rPr>
          <w:rFonts w:hint="eastAsia" w:ascii="仿宋" w:hAnsi="仿宋" w:eastAsia="仿宋" w:cs="仿宋"/>
          <w:color w:val="auto"/>
          <w:sz w:val="24"/>
          <w:lang w:eastAsia="zh-CN"/>
        </w:rPr>
        <w:t>19.3   按照《中华人民共和国政府采购法》、《中华人民共和国政府采购法实施条例》及本项目本级和上级财政部门的有关规定依法组建的评标委员会，负责评标工作。</w:t>
      </w:r>
      <w:r>
        <w:rPr>
          <w:rFonts w:hint="eastAsia" w:ascii="仿宋" w:hAnsi="仿宋" w:eastAsia="仿宋" w:cs="仿宋"/>
          <w:b/>
          <w:bCs/>
          <w:color w:val="auto"/>
          <w:sz w:val="24"/>
          <w:u w:val="single"/>
          <w:lang w:eastAsia="zh-CN"/>
        </w:rPr>
        <w:t>本项目评标委员会由5人单数组成，其中：业主代表1人，评委4人（政采云专家库随机抽取）。</w:t>
      </w:r>
    </w:p>
    <w:p w14:paraId="08B2BD64">
      <w:pPr>
        <w:pStyle w:val="16"/>
        <w:rPr>
          <w:rFonts w:hint="eastAsia" w:ascii="仿宋" w:hAnsi="仿宋" w:eastAsia="仿宋" w:cs="仿宋"/>
          <w:color w:val="auto"/>
          <w:lang w:eastAsia="zh-CN"/>
        </w:rPr>
      </w:pPr>
    </w:p>
    <w:p w14:paraId="7B59EA44">
      <w:pPr>
        <w:pStyle w:val="5"/>
        <w:spacing w:before="0" w:after="0" w:line="288" w:lineRule="auto"/>
        <w:rPr>
          <w:rFonts w:hint="eastAsia" w:ascii="仿宋" w:hAnsi="仿宋" w:eastAsia="仿宋" w:cs="仿宋"/>
          <w:b w:val="0"/>
          <w:bCs/>
          <w:color w:val="auto"/>
          <w:bdr w:val="single" w:color="auto" w:sz="4" w:space="0"/>
          <w:lang w:eastAsia="zh-CN"/>
        </w:rPr>
      </w:pPr>
      <w:bookmarkStart w:id="371" w:name="_Toc30633"/>
      <w:bookmarkStart w:id="372" w:name="_Toc20899"/>
      <w:bookmarkStart w:id="373" w:name="_Toc28479"/>
      <w:bookmarkStart w:id="374" w:name="_Toc12297"/>
      <w:bookmarkStart w:id="375" w:name="_Toc13960"/>
      <w:bookmarkStart w:id="376" w:name="_Toc2541"/>
      <w:bookmarkStart w:id="377" w:name="_Toc515647781"/>
      <w:bookmarkStart w:id="378" w:name="_Toc23586"/>
      <w:bookmarkStart w:id="379" w:name="_Toc26332"/>
      <w:bookmarkStart w:id="380" w:name="_Toc9769"/>
      <w:bookmarkStart w:id="381" w:name="_Toc29906"/>
      <w:bookmarkStart w:id="382" w:name="_Toc21183"/>
      <w:bookmarkStart w:id="383" w:name="_Toc19949"/>
      <w:bookmarkStart w:id="384" w:name="_Toc25418"/>
      <w:r>
        <w:rPr>
          <w:rFonts w:hint="eastAsia" w:ascii="仿宋" w:hAnsi="仿宋" w:eastAsia="仿宋" w:cs="仿宋"/>
          <w:color w:val="auto"/>
          <w:lang w:eastAsia="zh-CN"/>
        </w:rPr>
        <w:t>20.投标文件</w:t>
      </w:r>
      <w:bookmarkEnd w:id="370"/>
      <w:r>
        <w:rPr>
          <w:rFonts w:hint="eastAsia" w:ascii="仿宋" w:hAnsi="仿宋" w:eastAsia="仿宋" w:cs="仿宋"/>
          <w:color w:val="auto"/>
          <w:lang w:eastAsia="zh-CN"/>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4938F8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14:paraId="79D153F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投标文件的澄清</w:t>
      </w:r>
    </w:p>
    <w:p w14:paraId="6C0345F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3429AB2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20.2.2  投标人的的澄清、说明或补正将作为投标文件的一部分。</w:t>
      </w:r>
    </w:p>
    <w:p w14:paraId="44A1F1F3">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20.3  投标文件报价出现前后不一致的，按照下列规定修正：</w:t>
      </w:r>
    </w:p>
    <w:p w14:paraId="6CBBF19B">
      <w:pPr>
        <w:spacing w:line="288" w:lineRule="auto"/>
        <w:ind w:left="1018" w:leftChars="228" w:hanging="540" w:hangingChars="2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（一）投标文件中开标一览表（报价表）内容与投标文件中相应内容不一致的，以开标一览表（报价表）为准；</w:t>
      </w:r>
    </w:p>
    <w:p w14:paraId="7CCECF1D">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（二）大写金额和小写金额不一致的，以大写金额为准；</w:t>
      </w:r>
    </w:p>
    <w:p w14:paraId="4D7A2751">
      <w:pPr>
        <w:spacing w:line="288" w:lineRule="auto"/>
        <w:ind w:left="1019" w:leftChars="114" w:hanging="780" w:hangingChars="32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（三）单价金额小数点或者百分比有明显错位的，以开标一览表的总价为准，并修改单价；</w:t>
      </w:r>
    </w:p>
    <w:p w14:paraId="1855DC1E">
      <w:pPr>
        <w:spacing w:line="288" w:lineRule="auto"/>
        <w:ind w:left="899" w:leftChars="114" w:hanging="660" w:hangingChars="2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（四）总价金额与按单价汇总金额不一致的，以单价金额计算结果为准。</w:t>
      </w:r>
    </w:p>
    <w:p w14:paraId="428F89C2">
      <w:pPr>
        <w:spacing w:line="288" w:lineRule="auto"/>
        <w:ind w:left="898" w:leftChars="228"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05BE3110">
      <w:pPr>
        <w:spacing w:line="288" w:lineRule="auto"/>
        <w:ind w:left="735" w:leftChars="350" w:firstLine="120" w:firstLineChars="50"/>
        <w:rPr>
          <w:rFonts w:hint="eastAsia" w:ascii="仿宋" w:hAnsi="仿宋" w:eastAsia="仿宋" w:cs="仿宋"/>
          <w:color w:val="auto"/>
          <w:sz w:val="24"/>
          <w:lang w:eastAsia="zh-CN"/>
        </w:rPr>
      </w:pPr>
      <w:r>
        <w:rPr>
          <w:rFonts w:hint="eastAsia" w:ascii="仿宋" w:hAnsi="仿宋" w:eastAsia="仿宋" w:cs="仿宋"/>
          <w:color w:val="auto"/>
          <w:sz w:val="24"/>
          <w:lang w:eastAsia="zh-CN"/>
        </w:rPr>
        <w:t>对不同文字文本投标文件的解释发生异议的，以中文文本为准。</w:t>
      </w:r>
    </w:p>
    <w:p w14:paraId="1E3864F0">
      <w:pPr>
        <w:spacing w:line="288" w:lineRule="auto"/>
        <w:ind w:left="904" w:hanging="900" w:hangingChars="375"/>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20.4   如一个分包内只有一种产品，不同投标人所投产品为同一品牌的，按如下方式处理：</w:t>
      </w:r>
    </w:p>
    <w:p w14:paraId="1362239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13AE467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57C37FC0">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 xml:space="preserve">20.5   </w:t>
      </w:r>
      <w:r>
        <w:rPr>
          <w:rFonts w:hint="eastAsia" w:ascii="仿宋" w:hAnsi="仿宋" w:eastAsia="仿宋" w:cs="仿宋"/>
          <w:b/>
          <w:bCs/>
          <w:color w:val="auto"/>
          <w:sz w:val="24"/>
          <w:lang w:eastAsia="zh-CN"/>
        </w:rPr>
        <w:t>如一个分包内包含多种产品的，采购人或采购代理机构将在</w:t>
      </w:r>
      <w:r>
        <w:rPr>
          <w:rFonts w:hint="eastAsia" w:ascii="仿宋" w:hAnsi="仿宋" w:eastAsia="仿宋" w:cs="仿宋"/>
          <w:b/>
          <w:bCs/>
          <w:color w:val="auto"/>
          <w:sz w:val="24"/>
          <w:u w:val="single" w:color="000000"/>
          <w:lang w:eastAsia="zh-CN"/>
        </w:rPr>
        <w:t>投标人须知资料表</w:t>
      </w:r>
      <w:r>
        <w:rPr>
          <w:rFonts w:hint="eastAsia" w:ascii="仿宋" w:hAnsi="仿宋" w:eastAsia="仿宋" w:cs="仿宋"/>
          <w:b/>
          <w:bCs/>
          <w:color w:val="auto"/>
          <w:sz w:val="24"/>
          <w:lang w:eastAsia="zh-CN"/>
        </w:rPr>
        <w:t>中载明核心产品。</w:t>
      </w:r>
    </w:p>
    <w:p w14:paraId="6169C69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20.6   投标人所投产品如被列入财政部与国家主管部门颁发的节能产品目录或环境标志产品目录，应提供相关证明，在评标时予以优先采购，具体优先采购办法见第六章评标方法和标准。</w:t>
      </w:r>
    </w:p>
    <w:p w14:paraId="0BCC53A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w:t>
      </w:r>
    </w:p>
    <w:p w14:paraId="25190C0B">
      <w:pPr>
        <w:pStyle w:val="5"/>
        <w:spacing w:before="0" w:after="0" w:line="288" w:lineRule="auto"/>
        <w:rPr>
          <w:rFonts w:hint="eastAsia" w:ascii="仿宋" w:hAnsi="仿宋" w:eastAsia="仿宋" w:cs="仿宋"/>
          <w:color w:val="auto"/>
          <w:lang w:eastAsia="zh-CN"/>
        </w:rPr>
      </w:pPr>
      <w:bookmarkStart w:id="387" w:name="_Toc515647782"/>
      <w:bookmarkStart w:id="388" w:name="_Toc25623"/>
      <w:bookmarkStart w:id="389" w:name="_Toc6003"/>
      <w:bookmarkStart w:id="390" w:name="_Toc9469"/>
      <w:bookmarkStart w:id="391" w:name="_Toc15628"/>
      <w:bookmarkStart w:id="392" w:name="_Toc3024"/>
      <w:bookmarkStart w:id="393" w:name="_Toc5986"/>
      <w:bookmarkStart w:id="394" w:name="_Toc15064"/>
      <w:bookmarkStart w:id="395" w:name="_Toc5230"/>
      <w:bookmarkStart w:id="396" w:name="_Toc12839"/>
      <w:bookmarkStart w:id="397" w:name="_Toc24227"/>
      <w:bookmarkStart w:id="398" w:name="_Toc18529"/>
      <w:bookmarkStart w:id="399" w:name="_Toc8063"/>
      <w:bookmarkStart w:id="400" w:name="_Toc6364"/>
      <w:r>
        <w:rPr>
          <w:rFonts w:hint="eastAsia" w:ascii="仿宋" w:hAnsi="仿宋" w:eastAsia="仿宋" w:cs="仿宋"/>
          <w:color w:val="auto"/>
          <w:lang w:eastAsia="zh-CN"/>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8E0F96D">
      <w:pPr>
        <w:spacing w:line="288" w:lineRule="auto"/>
        <w:ind w:left="847" w:leftChars="99" w:hanging="640" w:hangingChars="26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评标委员会可以接受投标文件中不构成实质性偏离的不正规或不一致。</w:t>
      </w:r>
    </w:p>
    <w:p w14:paraId="0E0AF187">
      <w:pPr>
        <w:pStyle w:val="5"/>
        <w:spacing w:before="0" w:after="0" w:line="288" w:lineRule="auto"/>
        <w:rPr>
          <w:rFonts w:hint="eastAsia" w:ascii="仿宋" w:hAnsi="仿宋" w:eastAsia="仿宋" w:cs="仿宋"/>
          <w:color w:val="auto"/>
          <w:lang w:eastAsia="zh-CN"/>
        </w:rPr>
      </w:pPr>
      <w:bookmarkStart w:id="401" w:name="_Toc515647783"/>
      <w:bookmarkStart w:id="402" w:name="_Toc21597"/>
      <w:bookmarkStart w:id="403" w:name="_Toc506"/>
      <w:bookmarkStart w:id="404" w:name="_Toc6092"/>
      <w:bookmarkStart w:id="405" w:name="_Toc21189"/>
      <w:bookmarkStart w:id="406" w:name="_Toc7006"/>
      <w:bookmarkStart w:id="407" w:name="_Toc23936"/>
      <w:bookmarkStart w:id="408" w:name="_Toc7012"/>
      <w:bookmarkStart w:id="409" w:name="_Toc32270"/>
      <w:bookmarkStart w:id="410" w:name="_Toc15752"/>
      <w:bookmarkStart w:id="411" w:name="_Toc4950"/>
      <w:bookmarkStart w:id="412" w:name="_Toc17567"/>
      <w:bookmarkStart w:id="413" w:name="_Toc18719"/>
      <w:bookmarkStart w:id="414" w:name="_Toc21694"/>
      <w:r>
        <w:rPr>
          <w:rFonts w:hint="eastAsia" w:ascii="仿宋" w:hAnsi="仿宋" w:eastAsia="仿宋" w:cs="仿宋"/>
          <w:color w:val="auto"/>
          <w:lang w:eastAsia="zh-CN"/>
        </w:rPr>
        <w:t>22.投标</w:t>
      </w:r>
      <w:bookmarkEnd w:id="401"/>
      <w:r>
        <w:rPr>
          <w:rFonts w:hint="eastAsia" w:ascii="仿宋" w:hAnsi="仿宋" w:eastAsia="仿宋" w:cs="仿宋"/>
          <w:color w:val="auto"/>
          <w:lang w:eastAsia="zh-CN"/>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657373D5">
      <w:pPr>
        <w:spacing w:line="288" w:lineRule="auto"/>
        <w:ind w:left="852" w:leftChars="-23"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。投标人不得通过修正或撤销不符合要求的偏离，从而使其投标成为实质上响应的投标。</w:t>
      </w:r>
    </w:p>
    <w:p w14:paraId="42C0FC7A">
      <w:pPr>
        <w:spacing w:line="288" w:lineRule="auto"/>
        <w:ind w:left="791" w:leftChars="377"/>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评标委员会决定投标的响应性只根据招标文件要求、投标文件内容及财政主管部门指定相关信息发布媒体。</w:t>
      </w:r>
    </w:p>
    <w:p w14:paraId="7CCE7816">
      <w:pPr>
        <w:spacing w:line="288" w:lineRule="auto"/>
        <w:ind w:left="900" w:hanging="900" w:hangingChars="375"/>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22.2</w:t>
      </w:r>
      <w:r>
        <w:rPr>
          <w:rFonts w:hint="eastAsia" w:ascii="仿宋" w:hAnsi="仿宋" w:eastAsia="仿宋" w:cs="仿宋"/>
          <w:color w:val="auto"/>
          <w:sz w:val="24"/>
          <w:lang w:eastAsia="zh-CN"/>
        </w:rPr>
        <w:tab/>
      </w:r>
      <w:r>
        <w:rPr>
          <w:rFonts w:hint="eastAsia" w:ascii="仿宋" w:hAnsi="仿宋" w:eastAsia="仿宋" w:cs="仿宋"/>
          <w:b/>
          <w:bCs/>
          <w:color w:val="auto"/>
          <w:sz w:val="24"/>
          <w:lang w:eastAsia="zh-CN"/>
        </w:rPr>
        <w:t>如发现下列情况之一的，其投标将被认定为投标无效：（以下情形应当在招标文件中规定，并以醒目的方式标明）</w:t>
      </w:r>
    </w:p>
    <w:p w14:paraId="50B3054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未按招标文件规定的形式和金额提交投标保证金的；</w:t>
      </w:r>
    </w:p>
    <w:p w14:paraId="2E04362C">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未按照招标文件规定要求签署、盖章的；</w:t>
      </w:r>
    </w:p>
    <w:p w14:paraId="4E1168C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未满足招标文件中技术条款的实质性要求；</w:t>
      </w:r>
    </w:p>
    <w:p w14:paraId="61D5F3C1">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与其他投标人串通投标，或者与招标人串通投标；</w:t>
      </w:r>
    </w:p>
    <w:p w14:paraId="0243F318">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属于招标文件规定的其他</w:t>
      </w:r>
      <w:r>
        <w:rPr>
          <w:rFonts w:hint="eastAsia" w:ascii="仿宋" w:hAnsi="仿宋" w:eastAsia="仿宋" w:cs="仿宋"/>
          <w:b/>
          <w:bCs/>
          <w:color w:val="auto"/>
          <w:sz w:val="24"/>
          <w:lang w:eastAsia="zh-CN"/>
        </w:rPr>
        <w:t>投标无效</w:t>
      </w:r>
      <w:r>
        <w:rPr>
          <w:rFonts w:hint="eastAsia" w:ascii="仿宋" w:hAnsi="仿宋" w:eastAsia="仿宋" w:cs="仿宋"/>
          <w:color w:val="auto"/>
          <w:sz w:val="24"/>
          <w:lang w:eastAsia="zh-CN"/>
        </w:rPr>
        <w:t>情形；</w:t>
      </w:r>
    </w:p>
    <w:p w14:paraId="7DFD102A">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评标委员会认为投标人的报价明显低于其他通过符合性检查投标人的报价，有可能影响履约的，且投标人未按照规定证明其报价合理性的；</w:t>
      </w:r>
    </w:p>
    <w:p w14:paraId="5D66136F">
      <w:pPr>
        <w:numPr>
          <w:ilvl w:val="0"/>
          <w:numId w:val="4"/>
        </w:numPr>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投标文件含有采购人不能接受的附加条件的；</w:t>
      </w:r>
    </w:p>
    <w:p w14:paraId="001E62CC">
      <w:pPr>
        <w:numPr>
          <w:ilvl w:val="0"/>
          <w:numId w:val="4"/>
        </w:numPr>
        <w:tabs>
          <w:tab w:val="left" w:pos="0"/>
        </w:tabs>
        <w:spacing w:line="288" w:lineRule="auto"/>
        <w:ind w:left="1080" w:leftChars="429" w:hanging="180"/>
        <w:rPr>
          <w:rFonts w:hint="eastAsia" w:ascii="仿宋" w:hAnsi="仿宋" w:eastAsia="仿宋" w:cs="仿宋"/>
          <w:color w:val="auto"/>
          <w:sz w:val="24"/>
          <w:lang w:eastAsia="zh-CN"/>
        </w:rPr>
      </w:pPr>
      <w:r>
        <w:rPr>
          <w:rFonts w:hint="eastAsia" w:ascii="仿宋" w:hAnsi="仿宋" w:eastAsia="仿宋" w:cs="仿宋"/>
          <w:color w:val="auto"/>
          <w:sz w:val="24"/>
          <w:lang w:eastAsia="zh-CN"/>
        </w:rPr>
        <w:t>不符合法规和招标文件中规定的其他实质性要求的。</w:t>
      </w:r>
    </w:p>
    <w:p w14:paraId="112AA856">
      <w:pPr>
        <w:tabs>
          <w:tab w:val="left" w:pos="0"/>
        </w:tabs>
        <w:spacing w:line="288" w:lineRule="auto"/>
        <w:rPr>
          <w:rFonts w:hint="eastAsia" w:ascii="仿宋" w:hAnsi="仿宋" w:eastAsia="仿宋" w:cs="仿宋"/>
          <w:b/>
          <w:bCs/>
          <w:color w:val="auto"/>
          <w:sz w:val="24"/>
          <w:lang w:eastAsia="zh-CN"/>
        </w:rPr>
      </w:pPr>
      <w:bookmarkStart w:id="415" w:name="_Toc13652"/>
      <w:bookmarkStart w:id="416" w:name="_Toc515647784"/>
      <w:bookmarkStart w:id="417" w:name="_Toc22941"/>
      <w:bookmarkStart w:id="418" w:name="_Toc8521"/>
      <w:r>
        <w:rPr>
          <w:rFonts w:hint="eastAsia" w:ascii="仿宋" w:hAnsi="仿宋" w:eastAsia="仿宋" w:cs="仿宋"/>
          <w:b/>
          <w:bCs/>
          <w:color w:val="auto"/>
          <w:sz w:val="24"/>
          <w:lang w:eastAsia="zh-CN"/>
        </w:rPr>
        <w:t>23.</w:t>
      </w:r>
      <w:bookmarkEnd w:id="386"/>
      <w:r>
        <w:rPr>
          <w:rFonts w:hint="eastAsia" w:ascii="仿宋" w:hAnsi="仿宋" w:eastAsia="仿宋" w:cs="仿宋"/>
          <w:b/>
          <w:bCs/>
          <w:color w:val="auto"/>
          <w:sz w:val="24"/>
          <w:lang w:eastAsia="zh-CN"/>
        </w:rPr>
        <w:t>比较与评价</w:t>
      </w:r>
      <w:bookmarkEnd w:id="415"/>
      <w:bookmarkEnd w:id="416"/>
      <w:bookmarkEnd w:id="417"/>
      <w:bookmarkEnd w:id="418"/>
    </w:p>
    <w:p w14:paraId="619B481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23.1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经符合性审查合格的投标文件，评标委员会将根据招标文件确定的评标方法和标准，对其投标文件作进一步的比较和评价。</w:t>
      </w:r>
    </w:p>
    <w:p w14:paraId="12C2FC9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23.2  </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评标严格按照招标文件的要求和条件进行。根据实际情况，在</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中规定采用下列一种评标方法，详细评标标准见招标文件第六章：</w:t>
      </w:r>
    </w:p>
    <w:p w14:paraId="01AF3010">
      <w:pPr>
        <w:pStyle w:val="11"/>
        <w:spacing w:line="288" w:lineRule="auto"/>
        <w:ind w:left="899" w:leftChars="342" w:hanging="18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 最低评标价法，是指投标文件满足招标文件全部实质性要求，且投标报价最低的投标人为中标候选人的评标方法。</w:t>
      </w:r>
    </w:p>
    <w:p w14:paraId="4AA9ABC8">
      <w:pPr>
        <w:pStyle w:val="11"/>
        <w:spacing w:line="288" w:lineRule="auto"/>
        <w:ind w:left="898" w:leftChars="342" w:hanging="18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 综合评分法，是指投标文件满足招标文件全部实质性要求，且按照评审因素的量化指标评审得分最高的投标人为中标候选人的评标方法。</w:t>
      </w:r>
    </w:p>
    <w:p w14:paraId="3878B1B2">
      <w:pPr>
        <w:pStyle w:val="11"/>
        <w:kinsoku/>
        <w:autoSpaceDE/>
        <w:autoSpaceDN/>
        <w:adjustRightInd/>
        <w:snapToGrid/>
        <w:spacing w:line="288" w:lineRule="auto"/>
        <w:ind w:left="960" w:hanging="960" w:hangingChars="4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23.3    </w:t>
      </w:r>
      <w:r>
        <w:rPr>
          <w:rFonts w:hint="eastAsia" w:ascii="仿宋" w:hAnsi="仿宋" w:eastAsia="仿宋" w:cs="仿宋"/>
          <w:color w:val="auto"/>
          <w:sz w:val="24"/>
          <w:szCs w:val="24"/>
          <w:u w:val="single"/>
          <w:lang w:eastAsia="zh-CN"/>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1F3D6B9E">
      <w:pPr>
        <w:pStyle w:val="11"/>
        <w:spacing w:line="288" w:lineRule="auto"/>
        <w:ind w:left="898" w:leftChars="342" w:hanging="180"/>
        <w:rPr>
          <w:rFonts w:hint="eastAsia" w:ascii="仿宋" w:hAnsi="仿宋" w:eastAsia="仿宋" w:cs="仿宋"/>
          <w:color w:val="auto"/>
          <w:sz w:val="24"/>
          <w:szCs w:val="24"/>
          <w:lang w:eastAsia="zh-CN"/>
        </w:rPr>
      </w:pPr>
    </w:p>
    <w:p w14:paraId="39C08CDB">
      <w:pPr>
        <w:pStyle w:val="5"/>
        <w:spacing w:before="0" w:after="0" w:line="288" w:lineRule="auto"/>
        <w:rPr>
          <w:rFonts w:hint="eastAsia" w:ascii="仿宋" w:hAnsi="仿宋" w:eastAsia="仿宋" w:cs="仿宋"/>
          <w:color w:val="auto"/>
          <w:lang w:eastAsia="zh-CN"/>
        </w:rPr>
      </w:pPr>
      <w:bookmarkStart w:id="419" w:name="_Toc520356168"/>
      <w:bookmarkStart w:id="420" w:name="_Toc14242"/>
      <w:bookmarkStart w:id="421" w:name="_Toc27260"/>
      <w:bookmarkStart w:id="422" w:name="_Toc23673"/>
      <w:bookmarkStart w:id="423" w:name="_Toc15050"/>
      <w:bookmarkStart w:id="424" w:name="_Toc29670"/>
      <w:bookmarkStart w:id="425" w:name="_Toc515647785"/>
      <w:bookmarkStart w:id="426" w:name="_Toc8424"/>
      <w:bookmarkStart w:id="427" w:name="_Toc31728"/>
      <w:bookmarkStart w:id="428" w:name="_Toc20227"/>
      <w:bookmarkStart w:id="429" w:name="_Toc17546"/>
      <w:bookmarkStart w:id="430" w:name="_Toc11401"/>
      <w:bookmarkStart w:id="431" w:name="_Toc9378"/>
      <w:bookmarkStart w:id="432" w:name="_Toc15293"/>
      <w:bookmarkStart w:id="433" w:name="_Toc18723"/>
      <w:r>
        <w:rPr>
          <w:rFonts w:hint="eastAsia" w:ascii="仿宋" w:hAnsi="仿宋" w:eastAsia="仿宋" w:cs="仿宋"/>
          <w:color w:val="auto"/>
          <w:lang w:eastAsia="zh-CN"/>
        </w:rPr>
        <w:t>24</w:t>
      </w:r>
      <w:bookmarkEnd w:id="419"/>
      <w:r>
        <w:rPr>
          <w:rFonts w:hint="eastAsia" w:ascii="仿宋" w:hAnsi="仿宋" w:eastAsia="仿宋" w:cs="仿宋"/>
          <w:color w:val="auto"/>
          <w:lang w:eastAsia="zh-CN"/>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A66A36C">
      <w:pPr>
        <w:spacing w:line="288" w:lineRule="auto"/>
        <w:ind w:left="897" w:leftChars="399" w:hanging="60" w:hangingChars="25"/>
        <w:rPr>
          <w:rFonts w:hint="eastAsia" w:ascii="仿宋" w:hAnsi="仿宋" w:eastAsia="仿宋" w:cs="仿宋"/>
          <w:color w:val="auto"/>
          <w:sz w:val="24"/>
          <w:lang w:eastAsia="zh-CN"/>
        </w:rPr>
      </w:pPr>
      <w:r>
        <w:rPr>
          <w:rFonts w:hint="eastAsia" w:ascii="仿宋" w:hAnsi="仿宋" w:eastAsia="仿宋" w:cs="仿宋"/>
          <w:color w:val="auto"/>
          <w:sz w:val="24"/>
          <w:lang w:eastAsia="zh-CN"/>
        </w:rPr>
        <w:t>出现下列情形之一，将导致项目废标：</w:t>
      </w:r>
    </w:p>
    <w:p w14:paraId="0B413E8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（1）符合专业条件的供应商或者对招标文件做实质性响应的供应商不足三家；</w:t>
      </w:r>
    </w:p>
    <w:p w14:paraId="3B093E4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（2）出现影响采购公正的违法、违规行为的；</w:t>
      </w:r>
    </w:p>
    <w:p w14:paraId="0B7C4DEF">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（3）投标人的报价均超过了采购预算，采购人不能支付的；</w:t>
      </w:r>
    </w:p>
    <w:p w14:paraId="37EED46E">
      <w:pPr>
        <w:spacing w:line="288" w:lineRule="auto"/>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lang w:eastAsia="zh-CN"/>
        </w:rPr>
        <w:t>（4）因重大变故，采购任务取消的。</w:t>
      </w:r>
    </w:p>
    <w:p w14:paraId="1C2A89C0">
      <w:pPr>
        <w:pStyle w:val="5"/>
        <w:spacing w:before="0" w:after="0" w:line="288" w:lineRule="auto"/>
        <w:rPr>
          <w:rFonts w:hint="eastAsia" w:ascii="仿宋" w:hAnsi="仿宋" w:eastAsia="仿宋" w:cs="仿宋"/>
          <w:color w:val="auto"/>
          <w:lang w:eastAsia="zh-CN"/>
        </w:rPr>
      </w:pPr>
      <w:bookmarkStart w:id="434" w:name="_Toc20311"/>
      <w:bookmarkStart w:id="435" w:name="_Toc12228"/>
      <w:bookmarkStart w:id="436" w:name="_Toc11175"/>
      <w:bookmarkStart w:id="437" w:name="_Toc10707"/>
      <w:bookmarkStart w:id="438" w:name="_Toc31289"/>
      <w:bookmarkStart w:id="439" w:name="_Toc30606"/>
      <w:bookmarkStart w:id="440" w:name="_Toc16912"/>
      <w:bookmarkStart w:id="441" w:name="_Toc515647786"/>
      <w:bookmarkStart w:id="442" w:name="_Toc19908"/>
      <w:bookmarkStart w:id="443" w:name="_Toc24972"/>
      <w:bookmarkStart w:id="444" w:name="_Toc11699"/>
      <w:bookmarkStart w:id="445" w:name="_Toc27384"/>
      <w:bookmarkStart w:id="446" w:name="_Toc30826"/>
      <w:bookmarkStart w:id="447" w:name="_Toc1382"/>
      <w:bookmarkStart w:id="448" w:name="_Toc520356169"/>
      <w:r>
        <w:rPr>
          <w:rFonts w:hint="eastAsia" w:ascii="仿宋" w:hAnsi="仿宋" w:eastAsia="仿宋" w:cs="仿宋"/>
          <w:color w:val="auto"/>
          <w:lang w:eastAsia="zh-CN"/>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B249F27">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评标将在严格保密的情况下进行。</w:t>
      </w:r>
    </w:p>
    <w:p w14:paraId="4AA112D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25.2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政府采购评审专家应当遵守评审工作纪律，不得泄露评审文件、评审情况和评审中获悉的商业秘密。</w:t>
      </w:r>
      <w:bookmarkStart w:id="449" w:name="_Toc515647787"/>
      <w:bookmarkStart w:id="450" w:name="_Toc2153"/>
      <w:bookmarkStart w:id="451" w:name="_Toc12143"/>
      <w:bookmarkStart w:id="452" w:name="_Toc216582810"/>
      <w:bookmarkStart w:id="453" w:name="_Toc23904"/>
    </w:p>
    <w:p w14:paraId="27FDD7DC">
      <w:pPr>
        <w:pStyle w:val="4"/>
        <w:spacing w:before="0" w:line="288" w:lineRule="auto"/>
        <w:ind w:left="1079" w:leftChars="257" w:hanging="540"/>
        <w:rPr>
          <w:rFonts w:hint="eastAsia" w:ascii="仿宋" w:hAnsi="仿宋" w:eastAsia="仿宋" w:cs="仿宋"/>
          <w:color w:val="auto"/>
          <w:sz w:val="28"/>
          <w:lang w:eastAsia="zh-CN"/>
        </w:rPr>
      </w:pPr>
      <w:bookmarkStart w:id="454" w:name="_Toc13388"/>
      <w:bookmarkStart w:id="455" w:name="_Toc31174"/>
      <w:bookmarkStart w:id="456" w:name="_Toc31457"/>
      <w:bookmarkStart w:id="457" w:name="_Toc2098"/>
      <w:bookmarkStart w:id="458" w:name="_Toc29576"/>
      <w:bookmarkStart w:id="459" w:name="_Toc11673"/>
      <w:bookmarkStart w:id="460" w:name="_Toc6207"/>
      <w:bookmarkStart w:id="461" w:name="_Toc17670"/>
      <w:bookmarkStart w:id="462" w:name="_Toc22275"/>
      <w:bookmarkStart w:id="463" w:name="_Toc4031"/>
      <w:r>
        <w:rPr>
          <w:rFonts w:hint="eastAsia" w:ascii="仿宋" w:hAnsi="仿宋" w:eastAsia="仿宋" w:cs="仿宋"/>
          <w:color w:val="auto"/>
          <w:sz w:val="28"/>
          <w:lang w:eastAsia="zh-CN"/>
        </w:rPr>
        <w:t xml:space="preserve">六 </w:t>
      </w:r>
      <w:bookmarkEnd w:id="448"/>
      <w:r>
        <w:rPr>
          <w:rFonts w:hint="eastAsia" w:ascii="仿宋" w:hAnsi="仿宋" w:eastAsia="仿宋" w:cs="仿宋"/>
          <w:color w:val="auto"/>
          <w:sz w:val="28"/>
          <w:lang w:eastAsia="zh-CN"/>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FA50AD6">
      <w:pPr>
        <w:pStyle w:val="6"/>
        <w:spacing w:line="288" w:lineRule="auto"/>
        <w:rPr>
          <w:rFonts w:hint="eastAsia" w:ascii="仿宋" w:hAnsi="仿宋" w:eastAsia="仿宋" w:cs="仿宋"/>
          <w:color w:val="auto"/>
          <w:lang w:eastAsia="zh-CN"/>
        </w:rPr>
      </w:pPr>
    </w:p>
    <w:p w14:paraId="41B2ADCE">
      <w:pPr>
        <w:pStyle w:val="5"/>
        <w:spacing w:before="0" w:after="0" w:line="288" w:lineRule="auto"/>
        <w:rPr>
          <w:rFonts w:hint="eastAsia" w:ascii="仿宋" w:hAnsi="仿宋" w:eastAsia="仿宋" w:cs="仿宋"/>
          <w:color w:val="auto"/>
          <w:lang w:eastAsia="zh-CN"/>
        </w:rPr>
      </w:pPr>
      <w:bookmarkStart w:id="464" w:name="_Toc520356170"/>
      <w:bookmarkStart w:id="465" w:name="_Ref467307010"/>
      <w:bookmarkStart w:id="466" w:name="_Toc23617"/>
      <w:bookmarkStart w:id="467" w:name="_Toc25225"/>
      <w:bookmarkStart w:id="468" w:name="_Toc23538"/>
      <w:bookmarkStart w:id="469" w:name="_Toc30556"/>
      <w:bookmarkStart w:id="470" w:name="_Toc2639"/>
      <w:bookmarkStart w:id="471" w:name="_Toc23762"/>
      <w:bookmarkStart w:id="472" w:name="_Toc13522"/>
      <w:bookmarkStart w:id="473" w:name="_Toc30908"/>
      <w:bookmarkStart w:id="474" w:name="_Toc28066"/>
      <w:bookmarkStart w:id="475" w:name="_Toc286"/>
      <w:bookmarkStart w:id="476" w:name="_Toc11587"/>
      <w:bookmarkStart w:id="477" w:name="_Toc32399"/>
      <w:bookmarkStart w:id="478" w:name="_Toc29826"/>
      <w:bookmarkStart w:id="479" w:name="_Toc515647788"/>
      <w:r>
        <w:rPr>
          <w:rFonts w:hint="eastAsia" w:ascii="仿宋" w:hAnsi="仿宋" w:eastAsia="仿宋" w:cs="仿宋"/>
          <w:color w:val="auto"/>
          <w:lang w:eastAsia="zh-CN"/>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A99F5F9">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除第28条规定外，对实质上响应招标文件的投标人按下列方法进行排序，确定投标候选人：</w:t>
      </w:r>
    </w:p>
    <w:p w14:paraId="6E28D3A7">
      <w:pPr>
        <w:spacing w:line="288" w:lineRule="auto"/>
        <w:ind w:left="901"/>
        <w:rPr>
          <w:rFonts w:hint="eastAsia" w:ascii="仿宋" w:hAnsi="仿宋" w:eastAsia="仿宋" w:cs="仿宋"/>
          <w:color w:val="auto"/>
          <w:sz w:val="24"/>
          <w:lang w:eastAsia="zh-CN"/>
        </w:rPr>
      </w:pPr>
      <w:bookmarkStart w:id="480" w:name="_Toc520356171"/>
      <w:bookmarkStart w:id="481" w:name="_Toc515647789"/>
      <w:r>
        <w:rPr>
          <w:rFonts w:hint="eastAsia" w:ascii="仿宋" w:hAnsi="仿宋" w:eastAsia="仿宋" w:cs="仿宋"/>
          <w:color w:val="auto"/>
          <w:sz w:val="24"/>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67C51134">
      <w:pPr>
        <w:spacing w:line="288" w:lineRule="auto"/>
        <w:ind w:left="901"/>
        <w:rPr>
          <w:rFonts w:hint="eastAsia" w:ascii="仿宋" w:hAnsi="仿宋" w:eastAsia="仿宋" w:cs="仿宋"/>
          <w:color w:val="auto"/>
          <w:sz w:val="24"/>
          <w:lang w:eastAsia="zh-CN"/>
        </w:rPr>
      </w:pPr>
      <w:r>
        <w:rPr>
          <w:rFonts w:hint="eastAsia" w:ascii="仿宋" w:hAnsi="仿宋" w:eastAsia="仿宋" w:cs="仿宋"/>
          <w:color w:val="auto"/>
          <w:sz w:val="24"/>
          <w:lang w:eastAsia="zh-CN"/>
        </w:rPr>
        <w:t>（2）采用综合评分法的，评标结果按评审后得分由高到低顺序排列。得分相同的，按修正和扣除后的投标报价由低到高顺序排列。得分与投标报价均相同的处理方式详见招标文件第6章。</w:t>
      </w:r>
    </w:p>
    <w:p w14:paraId="2130D0DC">
      <w:pPr>
        <w:pStyle w:val="5"/>
        <w:tabs>
          <w:tab w:val="left" w:pos="900"/>
        </w:tabs>
        <w:spacing w:before="0" w:after="0" w:line="288" w:lineRule="auto"/>
        <w:rPr>
          <w:rFonts w:hint="eastAsia" w:ascii="仿宋" w:hAnsi="仿宋" w:eastAsia="仿宋" w:cs="仿宋"/>
          <w:color w:val="auto"/>
          <w:lang w:eastAsia="zh-CN"/>
        </w:rPr>
      </w:pPr>
      <w:bookmarkStart w:id="482" w:name="_Toc9653"/>
      <w:bookmarkStart w:id="483" w:name="_Toc23951"/>
      <w:bookmarkStart w:id="484" w:name="_Toc2677"/>
      <w:bookmarkStart w:id="485" w:name="_Toc10359"/>
      <w:bookmarkStart w:id="486" w:name="_Toc28266"/>
      <w:bookmarkStart w:id="487" w:name="_Toc17755"/>
      <w:bookmarkStart w:id="488" w:name="_Toc14469"/>
      <w:bookmarkStart w:id="489" w:name="_Toc22105"/>
      <w:bookmarkStart w:id="490" w:name="_Toc1493"/>
      <w:bookmarkStart w:id="491" w:name="_Toc8300"/>
      <w:bookmarkStart w:id="492" w:name="_Toc19685"/>
      <w:bookmarkStart w:id="493" w:name="_Toc15415"/>
      <w:bookmarkStart w:id="494" w:name="_Toc19950"/>
      <w:r>
        <w:rPr>
          <w:rFonts w:hint="eastAsia" w:ascii="仿宋" w:hAnsi="仿宋" w:eastAsia="仿宋" w:cs="仿宋"/>
          <w:color w:val="auto"/>
          <w:lang w:eastAsia="zh-CN"/>
        </w:rPr>
        <w:t>27</w:t>
      </w:r>
      <w:bookmarkEnd w:id="480"/>
      <w:r>
        <w:rPr>
          <w:rFonts w:hint="eastAsia" w:ascii="仿宋" w:hAnsi="仿宋" w:eastAsia="仿宋" w:cs="仿宋"/>
          <w:color w:val="auto"/>
          <w:lang w:eastAsia="zh-CN"/>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7F26B9F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评标委员会将根据评标标准，按</w:t>
      </w:r>
      <w:r>
        <w:rPr>
          <w:rFonts w:hint="eastAsia" w:ascii="仿宋" w:hAnsi="仿宋" w:eastAsia="仿宋" w:cs="仿宋"/>
          <w:color w:val="auto"/>
          <w:sz w:val="24"/>
          <w:u w:val="single" w:color="000000"/>
          <w:lang w:eastAsia="zh-CN"/>
        </w:rPr>
        <w:t>投标人须知资料表中</w:t>
      </w:r>
      <w:r>
        <w:rPr>
          <w:rFonts w:hint="eastAsia" w:ascii="仿宋" w:hAnsi="仿宋" w:eastAsia="仿宋" w:cs="仿宋"/>
          <w:color w:val="auto"/>
          <w:sz w:val="24"/>
          <w:lang w:eastAsia="zh-CN"/>
        </w:rPr>
        <w:t>规定数量推荐中标候选人；或根据采购人的委托，直接确定中标人。</w:t>
      </w:r>
    </w:p>
    <w:p w14:paraId="6BE9975B">
      <w:pPr>
        <w:pStyle w:val="5"/>
        <w:tabs>
          <w:tab w:val="left" w:pos="900"/>
        </w:tabs>
        <w:spacing w:before="0" w:after="0" w:line="288" w:lineRule="auto"/>
        <w:rPr>
          <w:rFonts w:hint="eastAsia" w:ascii="仿宋" w:hAnsi="仿宋" w:eastAsia="仿宋" w:cs="仿宋"/>
          <w:color w:val="auto"/>
          <w:lang w:eastAsia="zh-CN"/>
        </w:rPr>
      </w:pPr>
      <w:bookmarkStart w:id="495" w:name="_Ref467306874"/>
      <w:bookmarkStart w:id="496" w:name="_Toc520356173"/>
      <w:bookmarkStart w:id="497" w:name="_Toc13782"/>
      <w:bookmarkStart w:id="498" w:name="_Toc8389"/>
      <w:bookmarkStart w:id="499" w:name="_Toc515647790"/>
      <w:bookmarkStart w:id="500" w:name="_Toc28621"/>
      <w:bookmarkStart w:id="501" w:name="_Toc17557"/>
      <w:bookmarkStart w:id="502" w:name="_Toc26197"/>
      <w:bookmarkStart w:id="503" w:name="_Toc7783"/>
      <w:bookmarkStart w:id="504" w:name="_Toc28562"/>
      <w:bookmarkStart w:id="505" w:name="_Toc26160"/>
      <w:bookmarkStart w:id="506" w:name="_Toc27049"/>
      <w:bookmarkStart w:id="507" w:name="_Toc11867"/>
      <w:bookmarkStart w:id="508" w:name="_Toc8958"/>
      <w:bookmarkStart w:id="509" w:name="_Toc6582"/>
      <w:bookmarkStart w:id="510" w:name="_Toc19331"/>
      <w:r>
        <w:rPr>
          <w:rFonts w:hint="eastAsia" w:ascii="仿宋" w:hAnsi="仿宋" w:eastAsia="仿宋" w:cs="仿宋"/>
          <w:color w:val="auto"/>
          <w:lang w:eastAsia="zh-CN"/>
        </w:rPr>
        <w:t>28.</w:t>
      </w:r>
      <w:bookmarkEnd w:id="495"/>
      <w:bookmarkEnd w:id="496"/>
      <w:r>
        <w:rPr>
          <w:rFonts w:hint="eastAsia" w:ascii="仿宋" w:hAnsi="仿宋" w:eastAsia="仿宋" w:cs="仿宋"/>
          <w:color w:val="auto"/>
          <w:lang w:eastAsia="zh-CN"/>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2EC5254">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因重大变故采购任务取消时，采购人有权拒绝任何投标人中标，且对受影响的投标人不承担任何责任。</w:t>
      </w:r>
      <w:bookmarkStart w:id="511" w:name="_Toc520356174"/>
    </w:p>
    <w:p w14:paraId="2DF2C747">
      <w:pPr>
        <w:pStyle w:val="5"/>
        <w:spacing w:before="0" w:after="0" w:line="288" w:lineRule="auto"/>
        <w:rPr>
          <w:rFonts w:hint="eastAsia" w:ascii="仿宋" w:hAnsi="仿宋" w:eastAsia="仿宋" w:cs="仿宋"/>
          <w:color w:val="auto"/>
          <w:lang w:eastAsia="zh-CN"/>
        </w:rPr>
      </w:pPr>
      <w:bookmarkStart w:id="512" w:name="_Toc30170"/>
      <w:bookmarkStart w:id="513" w:name="_Toc22190"/>
      <w:bookmarkStart w:id="514" w:name="_Toc515647791"/>
      <w:bookmarkStart w:id="515" w:name="_Toc3186"/>
      <w:bookmarkStart w:id="516" w:name="_Toc31281"/>
      <w:bookmarkStart w:id="517" w:name="_Toc31142"/>
      <w:bookmarkStart w:id="518" w:name="_Toc3276"/>
      <w:bookmarkStart w:id="519" w:name="_Toc5136"/>
      <w:bookmarkStart w:id="520" w:name="_Toc10164"/>
      <w:bookmarkStart w:id="521" w:name="_Toc2614"/>
      <w:bookmarkStart w:id="522" w:name="_Toc31099"/>
      <w:bookmarkStart w:id="523" w:name="_Toc13508"/>
      <w:bookmarkStart w:id="524" w:name="_Toc25468"/>
      <w:bookmarkStart w:id="525" w:name="_Toc31992"/>
      <w:r>
        <w:rPr>
          <w:rFonts w:hint="eastAsia" w:ascii="仿宋" w:hAnsi="仿宋" w:eastAsia="仿宋" w:cs="仿宋"/>
          <w:color w:val="auto"/>
          <w:lang w:eastAsia="zh-CN"/>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3113E2E1">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在投标有效期内，中标人确定后，采购人或者采购代理机构发布中标公告，公示期后以书面形式向中标人发出中标通知书。</w:t>
      </w:r>
    </w:p>
    <w:p w14:paraId="56125C3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29.2</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中标通知书是合同的组成部分。</w:t>
      </w:r>
    </w:p>
    <w:p w14:paraId="73C30DCE">
      <w:pPr>
        <w:pStyle w:val="5"/>
        <w:spacing w:before="0" w:after="0" w:line="288" w:lineRule="auto"/>
        <w:rPr>
          <w:rFonts w:hint="eastAsia" w:ascii="仿宋" w:hAnsi="仿宋" w:eastAsia="仿宋" w:cs="仿宋"/>
          <w:color w:val="auto"/>
          <w:lang w:eastAsia="zh-CN"/>
        </w:rPr>
      </w:pPr>
      <w:bookmarkStart w:id="526" w:name="_Toc7779"/>
      <w:bookmarkStart w:id="527" w:name="_Toc27557"/>
      <w:bookmarkStart w:id="528" w:name="_Toc515647792"/>
      <w:bookmarkStart w:id="529" w:name="_Toc790"/>
      <w:bookmarkStart w:id="530" w:name="_Ref467307062"/>
      <w:bookmarkStart w:id="531" w:name="_Toc14795"/>
      <w:bookmarkStart w:id="532" w:name="_Toc28520"/>
      <w:bookmarkStart w:id="533" w:name="_Toc31080"/>
      <w:bookmarkStart w:id="534" w:name="_Toc10227"/>
      <w:bookmarkStart w:id="535" w:name="_Ref467307204"/>
      <w:bookmarkStart w:id="536" w:name="_Toc24763"/>
      <w:bookmarkStart w:id="537" w:name="_Toc30660"/>
      <w:bookmarkStart w:id="538" w:name="_Toc28367"/>
      <w:bookmarkStart w:id="539" w:name="_Toc17224"/>
      <w:bookmarkStart w:id="540" w:name="_Toc32036"/>
      <w:bookmarkStart w:id="541" w:name="_Ref467306377"/>
      <w:bookmarkStart w:id="542" w:name="_Toc520356175"/>
      <w:bookmarkStart w:id="543" w:name="_Toc19020"/>
      <w:bookmarkStart w:id="544" w:name="_Ref467306978"/>
      <w:r>
        <w:rPr>
          <w:rFonts w:hint="eastAsia" w:ascii="仿宋" w:hAnsi="仿宋" w:eastAsia="仿宋" w:cs="仿宋"/>
          <w:color w:val="auto"/>
          <w:lang w:eastAsia="zh-CN"/>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6F62641B">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中标人应当自发出中标通知书之日起30日内，与采购人签订合同。</w:t>
      </w:r>
    </w:p>
    <w:p w14:paraId="73A1E025">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30.2</w:t>
      </w:r>
      <w:r>
        <w:rPr>
          <w:rFonts w:hint="eastAsia" w:ascii="仿宋" w:hAnsi="仿宋" w:eastAsia="仿宋" w:cs="仿宋"/>
          <w:color w:val="auto"/>
          <w:sz w:val="24"/>
          <w:lang w:eastAsia="zh-CN"/>
        </w:rPr>
        <w:tab/>
      </w:r>
      <w:bookmarkStart w:id="545" w:name="_Ref467307090"/>
      <w:bookmarkStart w:id="546" w:name="_Ref467306425"/>
      <w:bookmarkStart w:id="547" w:name="_Toc520356176"/>
      <w:r>
        <w:rPr>
          <w:rFonts w:hint="eastAsia" w:ascii="仿宋" w:hAnsi="仿宋" w:eastAsia="仿宋" w:cs="仿宋"/>
          <w:color w:val="auto"/>
          <w:sz w:val="24"/>
          <w:lang w:eastAsia="zh-CN"/>
        </w:rPr>
        <w:t>招标文件、中标人的投标文件及其澄清文件等，均为签订合同的依据。</w:t>
      </w:r>
    </w:p>
    <w:p w14:paraId="2CE414A6">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30.3   中标人拒绝与采购人签订合同的，采购人可以按照评审报告推荐的中标候选人名单排序，确定下一中标候选人为中标人，也可以重新开展政府采购活动。</w:t>
      </w:r>
    </w:p>
    <w:p w14:paraId="29D8CF28">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30.4   当出现法规规定的</w:t>
      </w:r>
      <w:r>
        <w:rPr>
          <w:rFonts w:hint="eastAsia" w:ascii="仿宋" w:hAnsi="仿宋" w:eastAsia="仿宋" w:cs="仿宋"/>
          <w:b/>
          <w:color w:val="auto"/>
          <w:sz w:val="24"/>
          <w:lang w:eastAsia="zh-CN"/>
        </w:rPr>
        <w:t>中标无效或中标结果无效</w:t>
      </w:r>
      <w:r>
        <w:rPr>
          <w:rFonts w:hint="eastAsia" w:ascii="仿宋" w:hAnsi="仿宋" w:eastAsia="仿宋" w:cs="仿宋"/>
          <w:color w:val="auto"/>
          <w:sz w:val="24"/>
          <w:lang w:eastAsia="zh-CN"/>
        </w:rPr>
        <w:t>情形时，采购人可与排名下一位的中标候选人另行签订合同，或依法重新开展采购活动。</w:t>
      </w:r>
    </w:p>
    <w:p w14:paraId="5A4EB7CE">
      <w:pPr>
        <w:pStyle w:val="5"/>
        <w:spacing w:before="0" w:after="0" w:line="288" w:lineRule="auto"/>
        <w:rPr>
          <w:rFonts w:hint="eastAsia" w:ascii="仿宋" w:hAnsi="仿宋" w:eastAsia="仿宋" w:cs="仿宋"/>
          <w:color w:val="auto"/>
          <w:lang w:eastAsia="zh-CN"/>
        </w:rPr>
      </w:pPr>
      <w:bookmarkStart w:id="548" w:name="_Toc515647793"/>
      <w:bookmarkStart w:id="549" w:name="_Toc10395"/>
      <w:bookmarkStart w:id="550" w:name="_Toc25154"/>
      <w:bookmarkStart w:id="551" w:name="_Toc13900"/>
      <w:bookmarkStart w:id="552" w:name="_Toc25751"/>
      <w:bookmarkStart w:id="553" w:name="_Toc16785"/>
      <w:bookmarkStart w:id="554" w:name="_Toc14080"/>
      <w:bookmarkStart w:id="555" w:name="_Toc16031"/>
      <w:bookmarkStart w:id="556" w:name="_Toc27954"/>
      <w:bookmarkStart w:id="557" w:name="_Toc5487"/>
      <w:bookmarkStart w:id="558" w:name="_Toc22555"/>
      <w:bookmarkStart w:id="559" w:name="_Toc7188"/>
      <w:bookmarkStart w:id="560" w:name="_Toc11523"/>
      <w:bookmarkStart w:id="561" w:name="_Toc30705"/>
      <w:r>
        <w:rPr>
          <w:rFonts w:hint="eastAsia" w:ascii="仿宋" w:hAnsi="仿宋" w:eastAsia="仿宋" w:cs="仿宋"/>
          <w:color w:val="auto"/>
          <w:lang w:eastAsia="zh-CN"/>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82D2FD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31.1</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中标人应按照</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规定向采购人缴纳履约保证金。</w:t>
      </w:r>
    </w:p>
    <w:p w14:paraId="2B26697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31.2   如果中标人没有按照上述履约保证金的规定执行，将视为放弃中标资格，中标人的投标保证金将不予退还。在此情况下，采购人可确定下一候选人为中标人，也可以重新开展采购活动。</w:t>
      </w:r>
    </w:p>
    <w:p w14:paraId="3BF7B7CF">
      <w:pPr>
        <w:pStyle w:val="5"/>
        <w:spacing w:before="0" w:after="0" w:line="288" w:lineRule="auto"/>
        <w:rPr>
          <w:rFonts w:hint="eastAsia" w:ascii="仿宋" w:hAnsi="仿宋" w:eastAsia="仿宋" w:cs="仿宋"/>
          <w:color w:val="auto"/>
          <w:lang w:eastAsia="zh-CN"/>
        </w:rPr>
      </w:pPr>
      <w:bookmarkStart w:id="562" w:name="_Toc19288"/>
      <w:bookmarkStart w:id="563" w:name="_Toc12106"/>
      <w:bookmarkStart w:id="564" w:name="_Toc24667"/>
      <w:bookmarkStart w:id="565" w:name="_Toc27777"/>
      <w:bookmarkStart w:id="566" w:name="_Toc25784"/>
      <w:bookmarkStart w:id="567" w:name="_Toc15895"/>
      <w:bookmarkStart w:id="568" w:name="_Toc30049"/>
      <w:bookmarkStart w:id="569" w:name="_Toc11875"/>
      <w:bookmarkStart w:id="570" w:name="_Toc515647794"/>
      <w:bookmarkStart w:id="571" w:name="_Toc7922"/>
      <w:bookmarkStart w:id="572" w:name="_Toc31936"/>
      <w:bookmarkStart w:id="573" w:name="_Toc3090"/>
      <w:bookmarkStart w:id="574" w:name="_Toc10961"/>
      <w:bookmarkStart w:id="575" w:name="_Toc29408"/>
      <w:r>
        <w:rPr>
          <w:rFonts w:hint="eastAsia" w:ascii="仿宋" w:hAnsi="仿宋" w:eastAsia="仿宋" w:cs="仿宋"/>
          <w:color w:val="auto"/>
          <w:lang w:eastAsia="zh-CN"/>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640FA1E">
      <w:pPr>
        <w:spacing w:line="288" w:lineRule="auto"/>
        <w:ind w:left="840" w:leftChars="200" w:hanging="420" w:hangingChars="1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中标人须按照</w:t>
      </w:r>
      <w:r>
        <w:rPr>
          <w:rFonts w:hint="eastAsia" w:ascii="仿宋" w:hAnsi="仿宋" w:eastAsia="仿宋" w:cs="仿宋"/>
          <w:color w:val="auto"/>
          <w:sz w:val="24"/>
          <w:u w:val="single" w:color="000000"/>
          <w:lang w:eastAsia="zh-CN"/>
        </w:rPr>
        <w:t>投标须知资料表</w:t>
      </w:r>
      <w:r>
        <w:rPr>
          <w:rFonts w:hint="eastAsia" w:ascii="仿宋" w:hAnsi="仿宋" w:eastAsia="仿宋" w:cs="仿宋"/>
          <w:color w:val="auto"/>
          <w:sz w:val="24"/>
          <w:lang w:eastAsia="zh-CN"/>
        </w:rPr>
        <w:t>规定，向采购代理机构支付中标服务费。</w:t>
      </w:r>
    </w:p>
    <w:p w14:paraId="703A4B80">
      <w:pPr>
        <w:pStyle w:val="5"/>
        <w:spacing w:before="0" w:after="0" w:line="288" w:lineRule="auto"/>
        <w:rPr>
          <w:rFonts w:hint="eastAsia" w:ascii="仿宋" w:hAnsi="仿宋" w:eastAsia="仿宋" w:cs="仿宋"/>
          <w:color w:val="auto"/>
          <w:lang w:eastAsia="zh-CN"/>
        </w:rPr>
      </w:pPr>
      <w:bookmarkStart w:id="576" w:name="_Toc6923"/>
      <w:bookmarkStart w:id="577" w:name="_Toc24674"/>
      <w:bookmarkStart w:id="578" w:name="_Toc12385"/>
      <w:bookmarkStart w:id="579" w:name="_Toc30722"/>
      <w:bookmarkStart w:id="580" w:name="_Toc7049"/>
      <w:bookmarkStart w:id="581" w:name="_Toc515647795"/>
      <w:bookmarkStart w:id="582" w:name="_Toc14390"/>
      <w:bookmarkStart w:id="583" w:name="_Toc17196"/>
      <w:bookmarkStart w:id="584" w:name="_Toc16253"/>
      <w:bookmarkStart w:id="585" w:name="_Toc28457"/>
      <w:bookmarkStart w:id="586" w:name="_Toc5036"/>
      <w:bookmarkStart w:id="587" w:name="_Toc3954"/>
      <w:bookmarkStart w:id="588" w:name="_Toc13588"/>
      <w:bookmarkStart w:id="589" w:name="_Toc24553"/>
      <w:r>
        <w:rPr>
          <w:rFonts w:hint="eastAsia" w:ascii="仿宋" w:hAnsi="仿宋" w:eastAsia="仿宋" w:cs="仿宋"/>
          <w:color w:val="auto"/>
          <w:lang w:eastAsia="zh-CN"/>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35EA9B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33.1   本项目是否属于信用担保试点范围见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47326C46">
      <w:pPr>
        <w:spacing w:line="288" w:lineRule="auto"/>
        <w:ind w:left="850" w:hanging="849" w:hangingChars="354"/>
        <w:rPr>
          <w:rFonts w:hint="eastAsia" w:ascii="仿宋" w:hAnsi="仿宋" w:eastAsia="仿宋" w:cs="仿宋"/>
          <w:color w:val="auto"/>
          <w:sz w:val="24"/>
          <w:lang w:eastAsia="zh-CN"/>
        </w:rPr>
      </w:pPr>
      <w:r>
        <w:rPr>
          <w:rFonts w:hint="eastAsia" w:ascii="仿宋" w:hAnsi="仿宋" w:eastAsia="仿宋" w:cs="仿宋"/>
          <w:color w:val="auto"/>
          <w:sz w:val="24"/>
          <w:lang w:eastAsia="zh-CN"/>
        </w:rPr>
        <w:t>33.2   如属于政府采购信用担保试点范围内，中小型企业投标人可以自由按照财政部门的规定，采用投标担保、履约担保和融资担保。</w:t>
      </w:r>
    </w:p>
    <w:p w14:paraId="6FDAA0BC">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33.2.1 投标人递交的投标担保函和履约担保函应符合本招标文件的规定。</w:t>
      </w:r>
    </w:p>
    <w:p w14:paraId="4301C62F">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33.2.2 中标人可以采取融资担保的形式为政府采购项目履约进行融资。</w:t>
      </w:r>
    </w:p>
    <w:p w14:paraId="57E6B302">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33.2.3 合格的政府采购专业信用担保机构名单见</w:t>
      </w:r>
      <w:r>
        <w:rPr>
          <w:rFonts w:hint="eastAsia" w:ascii="仿宋" w:hAnsi="仿宋" w:eastAsia="仿宋" w:cs="仿宋"/>
          <w:color w:val="auto"/>
          <w:sz w:val="24"/>
          <w:u w:val="single" w:color="000000"/>
          <w:lang w:eastAsia="zh-CN"/>
        </w:rPr>
        <w:t>投标人须知资料表</w:t>
      </w:r>
      <w:r>
        <w:rPr>
          <w:rFonts w:hint="eastAsia" w:ascii="仿宋" w:hAnsi="仿宋" w:eastAsia="仿宋" w:cs="仿宋"/>
          <w:color w:val="auto"/>
          <w:sz w:val="24"/>
          <w:lang w:eastAsia="zh-CN"/>
        </w:rPr>
        <w:t>。</w:t>
      </w:r>
    </w:p>
    <w:p w14:paraId="5A4658C2">
      <w:pPr>
        <w:pStyle w:val="5"/>
        <w:spacing w:before="0" w:after="0" w:line="288" w:lineRule="auto"/>
        <w:rPr>
          <w:rFonts w:hint="eastAsia" w:ascii="仿宋" w:hAnsi="仿宋" w:eastAsia="仿宋" w:cs="仿宋"/>
          <w:color w:val="auto"/>
          <w:lang w:eastAsia="zh-CN"/>
        </w:rPr>
      </w:pPr>
      <w:bookmarkStart w:id="590" w:name="_Toc515647796"/>
      <w:bookmarkStart w:id="591" w:name="_Toc23999"/>
      <w:bookmarkStart w:id="592" w:name="_Toc7"/>
      <w:bookmarkStart w:id="593" w:name="_Toc6716"/>
      <w:bookmarkStart w:id="594" w:name="_Toc9817"/>
      <w:bookmarkStart w:id="595" w:name="_Toc20713"/>
      <w:bookmarkStart w:id="596" w:name="_Toc9688"/>
      <w:bookmarkStart w:id="597" w:name="_Toc27852"/>
      <w:bookmarkStart w:id="598" w:name="_Toc28024"/>
      <w:bookmarkStart w:id="599" w:name="_Toc21223"/>
      <w:bookmarkStart w:id="600" w:name="_Toc2133"/>
      <w:bookmarkStart w:id="601" w:name="_Toc22070"/>
      <w:bookmarkStart w:id="602" w:name="_Toc27198"/>
      <w:bookmarkStart w:id="603" w:name="_Toc2320"/>
      <w:r>
        <w:rPr>
          <w:rFonts w:hint="eastAsia" w:ascii="仿宋" w:hAnsi="仿宋" w:eastAsia="仿宋" w:cs="仿宋"/>
          <w:color w:val="auto"/>
          <w:lang w:eastAsia="zh-CN"/>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BB036FD">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34.1   采购代理机构工作人员不得以不正当手段获取政府采购代理业务，不得与采购人、供应商恶意串通操纵政府采购活动。</w:t>
      </w:r>
    </w:p>
    <w:p w14:paraId="174EC01A">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34.2   采购代理机构工作人员不得接受采购人或者供应商组织的宴请、旅游、娱乐，不得收受礼品、现金、有价证券等，不得向采购人或者供应商报销应当由个人承担的费用。</w:t>
      </w:r>
    </w:p>
    <w:p w14:paraId="674E6B53">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34.3   为强化采购代理机构内部监督机制，供应商可按</w:t>
      </w:r>
      <w:r>
        <w:rPr>
          <w:rFonts w:hint="eastAsia" w:ascii="仿宋" w:hAnsi="仿宋" w:eastAsia="仿宋" w:cs="仿宋"/>
          <w:color w:val="auto"/>
          <w:sz w:val="24"/>
          <w:u w:val="single" w:color="000000"/>
          <w:lang w:eastAsia="zh-CN"/>
        </w:rPr>
        <w:t>投标人须知资料表中的</w:t>
      </w:r>
      <w:r>
        <w:rPr>
          <w:rFonts w:hint="eastAsia" w:ascii="仿宋" w:hAnsi="仿宋" w:eastAsia="仿宋" w:cs="仿宋"/>
          <w:color w:val="auto"/>
          <w:sz w:val="24"/>
          <w:lang w:eastAsia="zh-CN"/>
        </w:rPr>
        <w:t>监督电话和邮箱，反映采购代理机构的廉洁自律等问题。</w:t>
      </w:r>
    </w:p>
    <w:p w14:paraId="45307212">
      <w:pPr>
        <w:pStyle w:val="5"/>
        <w:spacing w:before="0" w:after="0" w:line="288" w:lineRule="auto"/>
        <w:rPr>
          <w:rFonts w:hint="eastAsia" w:ascii="仿宋" w:hAnsi="仿宋" w:eastAsia="仿宋" w:cs="仿宋"/>
          <w:color w:val="auto"/>
          <w:lang w:eastAsia="zh-CN"/>
        </w:rPr>
      </w:pPr>
      <w:bookmarkStart w:id="604" w:name="_Toc31644"/>
      <w:bookmarkStart w:id="605" w:name="_Toc1541"/>
      <w:bookmarkStart w:id="606" w:name="_Toc515647797"/>
      <w:bookmarkStart w:id="607" w:name="_Toc25480"/>
      <w:bookmarkStart w:id="608" w:name="_Toc14897"/>
      <w:bookmarkStart w:id="609" w:name="_Toc18027"/>
      <w:bookmarkStart w:id="610" w:name="_Toc22285"/>
      <w:bookmarkStart w:id="611" w:name="_Toc6874"/>
      <w:bookmarkStart w:id="612" w:name="_Toc10437"/>
      <w:bookmarkStart w:id="613" w:name="_Toc10376"/>
      <w:bookmarkStart w:id="614" w:name="_Toc11586"/>
      <w:bookmarkStart w:id="615" w:name="_Toc16745"/>
      <w:bookmarkStart w:id="616" w:name="_Toc24038"/>
      <w:bookmarkStart w:id="617" w:name="_Toc3888"/>
      <w:r>
        <w:rPr>
          <w:rFonts w:hint="eastAsia" w:ascii="仿宋" w:hAnsi="仿宋" w:eastAsia="仿宋" w:cs="仿宋"/>
          <w:color w:val="auto"/>
          <w:lang w:eastAsia="zh-CN"/>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1DFA57B0">
      <w:pPr>
        <w:spacing w:line="288" w:lineRule="auto"/>
        <w:ind w:left="900" w:hanging="900" w:hangingChars="37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投标人认为采购人员及其相关人员有法律法规所列与其他供应商有利害关系的，可以向采购人或采购代理机构书面提出回避申请，并说明理由。</w:t>
      </w:r>
    </w:p>
    <w:p w14:paraId="27830415">
      <w:pPr>
        <w:pStyle w:val="5"/>
        <w:spacing w:before="0" w:after="0" w:line="340" w:lineRule="exact"/>
        <w:rPr>
          <w:rFonts w:hint="eastAsia" w:ascii="仿宋" w:hAnsi="仿宋" w:eastAsia="仿宋" w:cs="仿宋"/>
          <w:color w:val="auto"/>
          <w:szCs w:val="24"/>
          <w:u w:val="none"/>
          <w:lang w:eastAsia="zh-CN"/>
        </w:rPr>
      </w:pPr>
      <w:bookmarkStart w:id="618" w:name="_Toc16862"/>
      <w:bookmarkStart w:id="619" w:name="_Toc9393"/>
      <w:bookmarkStart w:id="620" w:name="_Toc518923103"/>
      <w:bookmarkStart w:id="621" w:name="_Toc3083"/>
      <w:bookmarkStart w:id="622" w:name="_Toc30751"/>
      <w:bookmarkStart w:id="623" w:name="_Toc23678"/>
      <w:bookmarkStart w:id="624" w:name="_Toc23883"/>
      <w:r>
        <w:rPr>
          <w:rFonts w:hint="eastAsia" w:ascii="仿宋" w:hAnsi="仿宋" w:eastAsia="仿宋" w:cs="仿宋"/>
          <w:color w:val="auto"/>
          <w:szCs w:val="24"/>
          <w:u w:val="none"/>
          <w:lang w:eastAsia="zh-CN"/>
        </w:rPr>
        <w:t>36.质疑与接收</w:t>
      </w:r>
      <w:bookmarkEnd w:id="618"/>
      <w:bookmarkEnd w:id="619"/>
    </w:p>
    <w:p w14:paraId="798070D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250676E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650787C1">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超出法定质疑期的、重复提出的、分次提出的或内容、形式不符合《政府采购质疑和投诉办法》的，质疑供应商将依法承担不利后果。</w:t>
      </w:r>
    </w:p>
    <w:p w14:paraId="4FA5171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36.3   采购代理机构质疑函接收部门、联系电话和通讯地址, 见供应商须知资料表。</w:t>
      </w:r>
    </w:p>
    <w:p w14:paraId="63F6F0D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36.4、质疑的提出</w:t>
      </w:r>
    </w:p>
    <w:p w14:paraId="5668CA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36.5   本采购文件中所称质疑及答复，是指参加本次采购活动的供应商对政府采购活动中的采购文件、采购过程和成交结果向采购方提出质疑，采购方答复质疑的行为。</w:t>
      </w:r>
    </w:p>
    <w:p w14:paraId="54628DC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26AFF10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（一）对可以质疑的采购文件提出质疑的，为收到采购文件之日或者采购文件公告期限届满之日；</w:t>
      </w:r>
    </w:p>
    <w:p w14:paraId="1E1E5BD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（二）对采购过程提出质疑的，为各采购程序环节结束之日；</w:t>
      </w:r>
    </w:p>
    <w:p w14:paraId="322FC40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（三）对成交结果提出质疑的，为成交结果公告期限届满之日。</w:t>
      </w:r>
    </w:p>
    <w:p w14:paraId="6176DEE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36.7   对可以质疑的采购文件提出质疑的，质疑人为参与本项目的报价方或潜在报价方。可质疑的文件为采购公告以及采购文件（包括属于其组成部分的澄清、修改、补充文件和评审标准、合同文本等）。</w:t>
      </w:r>
    </w:p>
    <w:p w14:paraId="395D308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B29913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36.9   提出质疑应当符合下列条件：</w:t>
      </w:r>
    </w:p>
    <w:p w14:paraId="2A879E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（一）质疑主体应当符合有关规定；</w:t>
      </w:r>
    </w:p>
    <w:p w14:paraId="48DA586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（二）在质疑法定期限内提出；</w:t>
      </w:r>
    </w:p>
    <w:p w14:paraId="58E59BC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（三）属于可以提出质疑的政府采购事项受理范围和本项目采购人的管辖权范围；</w:t>
      </w:r>
    </w:p>
    <w:p w14:paraId="49E2FEA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（四）政府采购法律、法规、规章规定的其他条件。</w:t>
      </w:r>
    </w:p>
    <w:p w14:paraId="2F3F7CF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60D257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40.1  质疑人所提供的证明材料应当具有真实性、合法性以及与质疑事项的关联性和证明力，否则不能作为认定该质疑事项成立的依据。</w:t>
      </w:r>
    </w:p>
    <w:p w14:paraId="7872D2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40.2   质疑人提出质疑时应当提交质疑函。质疑函包括下列内容：</w:t>
      </w:r>
    </w:p>
    <w:p w14:paraId="757129F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（一）提出质疑的质疑人的名称、地址、邮编、联系人及联系电话等；</w:t>
      </w:r>
    </w:p>
    <w:p w14:paraId="34B39D4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（二）质疑项目的名称、编号；</w:t>
      </w:r>
    </w:p>
    <w:p w14:paraId="471901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w:t>
      </w:r>
    </w:p>
    <w:p w14:paraId="69200B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（四）事实依据和证明材料；</w:t>
      </w:r>
    </w:p>
    <w:p w14:paraId="78DBA54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（五）法律依据；</w:t>
      </w:r>
    </w:p>
    <w:p w14:paraId="78785EE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（六）提出质疑的日期。</w:t>
      </w:r>
    </w:p>
    <w:p w14:paraId="394E728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20FCBB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40.3    质疑人可以委托代理人进行质疑。代理人应当提交授权委托书。授权委托书应当载明委托代理的具体权限、期限和相关事项。</w:t>
      </w:r>
    </w:p>
    <w:p w14:paraId="0E8CE3A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40.4、质疑的审查和受理</w:t>
      </w:r>
    </w:p>
    <w:p w14:paraId="784B324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采购方在收到质疑函后应当及时审查是否符合质疑受理条件，对符合质疑受理条件的，及时予以受理。</w:t>
      </w:r>
    </w:p>
    <w:p w14:paraId="07C951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40.5   对不符合质疑受理条件的，分别按照下列不同情形予以处理：</w:t>
      </w:r>
    </w:p>
    <w:p w14:paraId="0ADB6D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（一）质疑函内容不符合规定的，告知质疑人进行修改并重新提出质疑。修改后质疑事项仍不具体、不明确或者最终递交质疑函的时间超过质疑法定期限的，不予受理；</w:t>
      </w:r>
    </w:p>
    <w:p w14:paraId="243B230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（二）质疑主体不符合有关规定的，告知质疑人不予受理；</w:t>
      </w:r>
    </w:p>
    <w:p w14:paraId="3B3013E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（三）超过质疑法定期限提出质疑的，告知质疑人不予受理；</w:t>
      </w:r>
    </w:p>
    <w:p w14:paraId="45389DC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（四）对不属于可以提出质疑的政府采购事项提出质疑的，告知质疑人不予受理；</w:t>
      </w:r>
    </w:p>
    <w:p w14:paraId="474D608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（五）质疑不属于本项目采购方管辖的，告知质疑人向有管辖权的采购人提出质疑；</w:t>
      </w:r>
    </w:p>
    <w:p w14:paraId="797A2F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（六）质疑不符合其他条件的，告知质疑人不予受理。</w:t>
      </w:r>
    </w:p>
    <w:p w14:paraId="31AB598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40.6、质疑的处理和答复</w:t>
      </w:r>
    </w:p>
    <w:p w14:paraId="66DC1E8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40.7   采购方受理质疑后，将及时把质疑函发送给被质疑人，并要求其在一定限期内提交书面答复，同时提供有关证据、依据和相关材料。</w:t>
      </w:r>
    </w:p>
    <w:p w14:paraId="082D904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40.8   对于质疑事项中涉及的问题较多、情况比较复杂的，为了全面查清事实、取得充分的证据，采购方认为有必要时，可以进行调查取证或者组织质证。</w:t>
      </w:r>
    </w:p>
    <w:p w14:paraId="1F99382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40.9   对评审过程、成交结果提出质疑的，采购方可以组织原评审委员会协助答复质疑。</w:t>
      </w:r>
    </w:p>
    <w:p w14:paraId="27C60C5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   质疑处理过程中，质疑人书面申请撤回质疑的，将终止质疑处理程序。</w:t>
      </w:r>
    </w:p>
    <w:p w14:paraId="23E4F87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29BB8A9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41.1   质疑人拒绝配合采购方依法对质疑进行调查处理的，采购方将按质疑人自动撤回质疑处理；被质疑人拒绝配合采购方依法对质疑进行调查处理的，采购方将视同其认可质疑事项。</w:t>
      </w:r>
    </w:p>
    <w:p w14:paraId="7ACA154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41.2   采购方将在正式受理质疑后7个工作日内作出答复。</w:t>
      </w:r>
    </w:p>
    <w:p w14:paraId="5CEF0F6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41.3   质疑答复应当包括下列内容：</w:t>
      </w:r>
    </w:p>
    <w:p w14:paraId="2C12DD8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（一）质疑人的姓名或者名称；</w:t>
      </w:r>
    </w:p>
    <w:p w14:paraId="7A09FEE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（二）收到质疑函的日期、质疑项目名称及编号；</w:t>
      </w:r>
    </w:p>
    <w:p w14:paraId="54C6261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（三）质疑事项、质疑答复的具体内容、事实依据和法律依据；</w:t>
      </w:r>
    </w:p>
    <w:p w14:paraId="3F52ED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（四）告知质疑供应商依法投诉的权利；</w:t>
      </w:r>
    </w:p>
    <w:p w14:paraId="007C525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（五）质疑答复人名称；</w:t>
      </w:r>
    </w:p>
    <w:p w14:paraId="3334F080">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（六）答复质疑的日期。</w:t>
      </w:r>
    </w:p>
    <w:p w14:paraId="78CF23EC">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02D94BA6">
      <w:pPr>
        <w:widowControl w:val="0"/>
        <w:spacing w:line="340" w:lineRule="exact"/>
        <w:ind w:left="904" w:hanging="900" w:hangingChars="375"/>
        <w:jc w:val="center"/>
        <w:textAlignment w:val="auto"/>
        <w:rPr>
          <w:rFonts w:hint="eastAsia" w:ascii="仿宋" w:hAnsi="仿宋" w:eastAsia="仿宋" w:cs="仿宋"/>
          <w:b/>
          <w:bCs/>
          <w:color w:val="auto"/>
          <w:sz w:val="24"/>
          <w:lang w:eastAsia="zh-CN"/>
        </w:rPr>
      </w:pPr>
    </w:p>
    <w:p w14:paraId="16336414">
      <w:pPr>
        <w:widowControl w:val="0"/>
        <w:spacing w:line="340" w:lineRule="exact"/>
        <w:ind w:left="904" w:hanging="900" w:hangingChars="375"/>
        <w:jc w:val="center"/>
        <w:textAlignment w:val="auto"/>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质疑函范本</w:t>
      </w:r>
    </w:p>
    <w:p w14:paraId="34C5471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一、质疑供应商基本信息</w:t>
      </w:r>
    </w:p>
    <w:p w14:paraId="7A2293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质疑供应商：</w:t>
      </w:r>
    </w:p>
    <w:p w14:paraId="722603B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68D8A8E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联系人：联系电话：</w:t>
      </w:r>
    </w:p>
    <w:p w14:paraId="6C44C2B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授权代表：</w:t>
      </w:r>
    </w:p>
    <w:p w14:paraId="0ACF2B7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联系电话：</w:t>
      </w:r>
    </w:p>
    <w:p w14:paraId="4C8ED5B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地址：邮编：</w:t>
      </w:r>
    </w:p>
    <w:p w14:paraId="1EE10E1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二、质疑项目基本情况</w:t>
      </w:r>
    </w:p>
    <w:p w14:paraId="7C2259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质疑项目的名称：</w:t>
      </w:r>
    </w:p>
    <w:p w14:paraId="0AC2A0D9">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质疑项目的编号：包号：</w:t>
      </w:r>
    </w:p>
    <w:p w14:paraId="0706B8E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采购人名称：</w:t>
      </w:r>
    </w:p>
    <w:p w14:paraId="629D627C">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采购文件获取日期：</w:t>
      </w:r>
    </w:p>
    <w:p w14:paraId="404F9BAD">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三、质疑事项具体内容</w:t>
      </w:r>
    </w:p>
    <w:p w14:paraId="6204257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质疑事项1：</w:t>
      </w:r>
    </w:p>
    <w:p w14:paraId="4FBD87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事实依据：</w:t>
      </w:r>
    </w:p>
    <w:p w14:paraId="0E868B70">
      <w:pPr>
        <w:widowControl w:val="0"/>
        <w:spacing w:line="340" w:lineRule="exact"/>
        <w:ind w:left="900" w:hanging="900" w:hangingChars="375"/>
        <w:textAlignment w:val="auto"/>
        <w:rPr>
          <w:rFonts w:hint="eastAsia" w:ascii="仿宋" w:hAnsi="仿宋" w:eastAsia="仿宋" w:cs="仿宋"/>
          <w:color w:val="auto"/>
          <w:sz w:val="24"/>
          <w:lang w:eastAsia="zh-CN"/>
        </w:rPr>
      </w:pPr>
    </w:p>
    <w:p w14:paraId="5CFD2763">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法律依据：</w:t>
      </w:r>
    </w:p>
    <w:p w14:paraId="46AFB5C4">
      <w:pPr>
        <w:widowControl w:val="0"/>
        <w:spacing w:line="340" w:lineRule="exact"/>
        <w:ind w:left="900" w:hanging="900" w:hangingChars="375"/>
        <w:textAlignment w:val="auto"/>
        <w:rPr>
          <w:rFonts w:hint="eastAsia" w:ascii="仿宋" w:hAnsi="仿宋" w:eastAsia="仿宋" w:cs="仿宋"/>
          <w:color w:val="auto"/>
          <w:sz w:val="24"/>
          <w:lang w:eastAsia="zh-CN"/>
        </w:rPr>
      </w:pPr>
    </w:p>
    <w:p w14:paraId="7442684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质疑事项2</w:t>
      </w:r>
    </w:p>
    <w:p w14:paraId="6498A7E2">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p>
    <w:p w14:paraId="25C939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四、与质疑事项相关的质疑请求</w:t>
      </w:r>
    </w:p>
    <w:p w14:paraId="00648D47">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请求：</w:t>
      </w:r>
    </w:p>
    <w:p w14:paraId="5274C295">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签字(签章)：公章：</w:t>
      </w:r>
    </w:p>
    <w:p w14:paraId="78ABE918">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p>
    <w:p w14:paraId="725C35B7">
      <w:pPr>
        <w:widowControl w:val="0"/>
        <w:spacing w:line="340" w:lineRule="exact"/>
        <w:ind w:left="900" w:hanging="900" w:hangingChars="375"/>
        <w:textAlignment w:val="auto"/>
        <w:rPr>
          <w:rFonts w:hint="eastAsia" w:ascii="仿宋" w:hAnsi="仿宋" w:eastAsia="仿宋" w:cs="仿宋"/>
          <w:color w:val="auto"/>
          <w:sz w:val="24"/>
          <w:lang w:eastAsia="zh-CN"/>
        </w:rPr>
      </w:pPr>
    </w:p>
    <w:p w14:paraId="7E2AF087">
      <w:pPr>
        <w:widowControl w:val="0"/>
        <w:spacing w:line="340" w:lineRule="exact"/>
        <w:ind w:left="900" w:hanging="900" w:hangingChars="375"/>
        <w:textAlignment w:val="auto"/>
        <w:rPr>
          <w:rFonts w:hint="eastAsia" w:ascii="仿宋" w:hAnsi="仿宋" w:eastAsia="仿宋" w:cs="仿宋"/>
          <w:color w:val="auto"/>
          <w:sz w:val="24"/>
          <w:lang w:eastAsia="zh-CN"/>
        </w:rPr>
      </w:pPr>
    </w:p>
    <w:p w14:paraId="5B02A32E">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质疑函制作说明：</w:t>
      </w:r>
    </w:p>
    <w:p w14:paraId="6BF5456B">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1.供应商提出质疑时，应提交质疑函和必要的证明材料。</w:t>
      </w:r>
    </w:p>
    <w:p w14:paraId="6D83B3CA">
      <w:pPr>
        <w:widowControl w:val="0"/>
        <w:spacing w:line="34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3450CA">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3.质疑供应商若对项目的某一分包进行质疑，质疑函中应列明具体分包号。</w:t>
      </w:r>
    </w:p>
    <w:p w14:paraId="49BAF654">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4.质疑函的质疑事项应具体、明确，并有必要的事实依据和法律依据。</w:t>
      </w:r>
    </w:p>
    <w:p w14:paraId="783E00DF">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5.质疑函的质疑请求应与质疑事项相关。</w:t>
      </w:r>
    </w:p>
    <w:p w14:paraId="66227B16">
      <w:pPr>
        <w:widowControl w:val="0"/>
        <w:spacing w:line="340" w:lineRule="exact"/>
        <w:ind w:left="900" w:hanging="900" w:hangingChars="375"/>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6.质疑供应商为自然人的，质疑函应由本人签字；质疑供应商为法人或者其他组织的，质疑函应由法定代表人、主要负责人，或者其授权代表签字或者盖章，并加盖公章。</w:t>
      </w:r>
    </w:p>
    <w:p w14:paraId="482BA4B1">
      <w:pPr>
        <w:widowControl w:val="0"/>
        <w:spacing w:line="240" w:lineRule="atLeast"/>
        <w:ind w:left="1079"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br w:type="page"/>
      </w:r>
      <w:r>
        <w:rPr>
          <w:rFonts w:hint="eastAsia" w:ascii="仿宋" w:hAnsi="仿宋" w:eastAsia="仿宋" w:cs="仿宋"/>
          <w:color w:val="auto"/>
          <w:lang w:eastAsia="zh-CN"/>
        </w:rPr>
        <w:t>附件1：履约保证金保函（格式）</w:t>
      </w:r>
      <w:bookmarkEnd w:id="620"/>
      <w:bookmarkEnd w:id="621"/>
      <w:bookmarkEnd w:id="622"/>
      <w:bookmarkEnd w:id="623"/>
      <w:bookmarkEnd w:id="624"/>
    </w:p>
    <w:p w14:paraId="6AE75358">
      <w:pPr>
        <w:pStyle w:val="11"/>
        <w:widowControl w:val="0"/>
        <w:spacing w:line="240" w:lineRule="atLeast"/>
        <w:ind w:left="1079" w:leftChars="257" w:hanging="540"/>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（中标后开具）</w:t>
      </w:r>
    </w:p>
    <w:p w14:paraId="2819654D">
      <w:pPr>
        <w:pStyle w:val="11"/>
        <w:widowControl w:val="0"/>
        <w:spacing w:line="240" w:lineRule="atLeast"/>
        <w:ind w:left="1079" w:leftChars="257" w:hanging="540"/>
        <w:rPr>
          <w:rFonts w:hint="eastAsia" w:ascii="仿宋" w:hAnsi="仿宋" w:eastAsia="仿宋" w:cs="仿宋"/>
          <w:b/>
          <w:color w:val="auto"/>
          <w:sz w:val="24"/>
          <w:lang w:eastAsia="zh-CN"/>
        </w:rPr>
      </w:pPr>
    </w:p>
    <w:p w14:paraId="5DBC6841">
      <w:pPr>
        <w:pStyle w:val="11"/>
        <w:widowControl w:val="0"/>
        <w:spacing w:line="240" w:lineRule="atLeast"/>
        <w:ind w:left="1079" w:leftChars="257" w:hanging="540"/>
        <w:rPr>
          <w:rFonts w:hint="eastAsia" w:ascii="仿宋" w:hAnsi="仿宋" w:eastAsia="仿宋" w:cs="仿宋"/>
          <w:b/>
          <w:color w:val="auto"/>
          <w:sz w:val="24"/>
          <w:lang w:eastAsia="zh-CN"/>
        </w:rPr>
      </w:pPr>
    </w:p>
    <w:p w14:paraId="230640D0">
      <w:pPr>
        <w:pStyle w:val="11"/>
        <w:widowControl w:val="0"/>
        <w:spacing w:line="240" w:lineRule="atLeas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致: (</w:t>
      </w:r>
      <w:r>
        <w:rPr>
          <w:rFonts w:hint="eastAsia" w:ascii="仿宋" w:hAnsi="仿宋" w:eastAsia="仿宋" w:cs="仿宋"/>
          <w:i/>
          <w:color w:val="auto"/>
          <w:sz w:val="24"/>
          <w:szCs w:val="24"/>
          <w:u w:val="single"/>
          <w:lang w:eastAsia="zh-CN"/>
        </w:rPr>
        <w:t>买方名称</w:t>
      </w:r>
      <w:r>
        <w:rPr>
          <w:rFonts w:hint="eastAsia" w:ascii="仿宋" w:hAnsi="仿宋" w:eastAsia="仿宋" w:cs="仿宋"/>
          <w:color w:val="auto"/>
          <w:sz w:val="24"/>
          <w:szCs w:val="24"/>
          <w:lang w:eastAsia="zh-CN"/>
        </w:rPr>
        <w:t>)</w:t>
      </w:r>
    </w:p>
    <w:p w14:paraId="56EE3E2F">
      <w:pPr>
        <w:pStyle w:val="11"/>
        <w:widowControl w:val="0"/>
        <w:spacing w:line="240" w:lineRule="atLeast"/>
        <w:ind w:left="1079" w:leftChars="257" w:hanging="54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号合同履约保函</w:t>
      </w:r>
    </w:p>
    <w:p w14:paraId="147F1641">
      <w:pPr>
        <w:pStyle w:val="11"/>
        <w:widowControl w:val="0"/>
        <w:spacing w:line="240" w:lineRule="atLeast"/>
        <w:ind w:left="1079" w:leftChars="257" w:hanging="540"/>
        <w:jc w:val="center"/>
        <w:rPr>
          <w:rFonts w:hint="eastAsia" w:ascii="仿宋" w:hAnsi="仿宋" w:eastAsia="仿宋" w:cs="仿宋"/>
          <w:color w:val="auto"/>
          <w:sz w:val="24"/>
          <w:szCs w:val="24"/>
          <w:lang w:eastAsia="zh-CN"/>
        </w:rPr>
      </w:pPr>
    </w:p>
    <w:p w14:paraId="5D825957">
      <w:pPr>
        <w:pStyle w:val="11"/>
        <w:widowControl w:val="0"/>
        <w:spacing w:line="240" w:lineRule="atLeast"/>
        <w:ind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本保函作为贵方与(</w:t>
      </w:r>
      <w:r>
        <w:rPr>
          <w:rFonts w:hint="eastAsia" w:ascii="仿宋" w:hAnsi="仿宋" w:eastAsia="仿宋" w:cs="仿宋"/>
          <w:i/>
          <w:color w:val="auto"/>
          <w:sz w:val="24"/>
          <w:szCs w:val="24"/>
          <w:u w:val="single"/>
          <w:lang w:eastAsia="zh-CN"/>
        </w:rPr>
        <w:t>卖方名称</w:t>
      </w:r>
      <w:r>
        <w:rPr>
          <w:rFonts w:hint="eastAsia" w:ascii="仿宋" w:hAnsi="仿宋" w:eastAsia="仿宋" w:cs="仿宋"/>
          <w:color w:val="auto"/>
          <w:sz w:val="24"/>
          <w:szCs w:val="24"/>
          <w:lang w:eastAsia="zh-CN"/>
        </w:rPr>
        <w:t>)(以下简称卖方)于年月日就项目(以下简称项目)项下提供(</w:t>
      </w:r>
      <w:r>
        <w:rPr>
          <w:rFonts w:hint="eastAsia" w:ascii="仿宋" w:hAnsi="仿宋" w:eastAsia="仿宋" w:cs="仿宋"/>
          <w:i/>
          <w:color w:val="auto"/>
          <w:sz w:val="24"/>
          <w:szCs w:val="24"/>
          <w:u w:val="single"/>
          <w:lang w:eastAsia="zh-CN"/>
        </w:rPr>
        <w:t>货物名称</w:t>
      </w:r>
      <w:r>
        <w:rPr>
          <w:rFonts w:hint="eastAsia" w:ascii="仿宋" w:hAnsi="仿宋" w:eastAsia="仿宋" w:cs="仿宋"/>
          <w:color w:val="auto"/>
          <w:sz w:val="24"/>
          <w:szCs w:val="24"/>
          <w:lang w:eastAsia="zh-CN"/>
        </w:rPr>
        <w:t>)(以下简称货物)签订的(</w:t>
      </w:r>
      <w:r>
        <w:rPr>
          <w:rFonts w:hint="eastAsia" w:ascii="仿宋" w:hAnsi="仿宋" w:eastAsia="仿宋" w:cs="仿宋"/>
          <w:i/>
          <w:color w:val="auto"/>
          <w:sz w:val="24"/>
          <w:szCs w:val="24"/>
          <w:u w:val="single"/>
          <w:lang w:eastAsia="zh-CN"/>
        </w:rPr>
        <w:t>合同号</w:t>
      </w:r>
      <w:r>
        <w:rPr>
          <w:rFonts w:hint="eastAsia" w:ascii="仿宋" w:hAnsi="仿宋" w:eastAsia="仿宋" w:cs="仿宋"/>
          <w:color w:val="auto"/>
          <w:sz w:val="24"/>
          <w:szCs w:val="24"/>
          <w:lang w:eastAsia="zh-CN"/>
        </w:rPr>
        <w:t>)号合同的履约保函。</w:t>
      </w:r>
    </w:p>
    <w:p w14:paraId="6A9F0856">
      <w:pPr>
        <w:pStyle w:val="11"/>
        <w:widowControl w:val="0"/>
        <w:spacing w:line="240" w:lineRule="atLeast"/>
        <w:ind w:firstLine="540" w:firstLineChars="22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i/>
          <w:color w:val="auto"/>
          <w:sz w:val="24"/>
          <w:szCs w:val="24"/>
          <w:u w:val="single"/>
          <w:lang w:eastAsia="zh-CN"/>
        </w:rPr>
        <w:t>出具保函的银行名称</w:t>
      </w:r>
      <w:r>
        <w:rPr>
          <w:rFonts w:hint="eastAsia" w:ascii="仿宋" w:hAnsi="仿宋" w:eastAsia="仿宋" w:cs="仿宋"/>
          <w:color w:val="auto"/>
          <w:sz w:val="24"/>
          <w:szCs w:val="24"/>
          <w:lang w:eastAsia="zh-CN"/>
        </w:rPr>
        <w:t>)(以下简称银行)无条件地、不可撤销地具结保证本行、其继承人和受让人无追索地向贵方以(</w:t>
      </w:r>
      <w:r>
        <w:rPr>
          <w:rFonts w:hint="eastAsia" w:ascii="仿宋" w:hAnsi="仿宋" w:eastAsia="仿宋" w:cs="仿宋"/>
          <w:i/>
          <w:color w:val="auto"/>
          <w:sz w:val="24"/>
          <w:szCs w:val="24"/>
          <w:u w:val="single"/>
          <w:lang w:eastAsia="zh-CN"/>
        </w:rPr>
        <w:t>货币名称</w:t>
      </w:r>
      <w:r>
        <w:rPr>
          <w:rFonts w:hint="eastAsia" w:ascii="仿宋" w:hAnsi="仿宋" w:eastAsia="仿宋" w:cs="仿宋"/>
          <w:color w:val="auto"/>
          <w:sz w:val="24"/>
          <w:szCs w:val="24"/>
          <w:lang w:eastAsia="zh-CN"/>
        </w:rPr>
        <w:t>)支付总额不超过(</w:t>
      </w:r>
      <w:r>
        <w:rPr>
          <w:rFonts w:hint="eastAsia" w:ascii="仿宋" w:hAnsi="仿宋" w:eastAsia="仿宋" w:cs="仿宋"/>
          <w:i/>
          <w:color w:val="auto"/>
          <w:sz w:val="24"/>
          <w:szCs w:val="24"/>
          <w:u w:val="single"/>
          <w:lang w:eastAsia="zh-CN"/>
        </w:rPr>
        <w:t>货币数量</w:t>
      </w:r>
      <w:r>
        <w:rPr>
          <w:rFonts w:hint="eastAsia" w:ascii="仿宋" w:hAnsi="仿宋" w:eastAsia="仿宋" w:cs="仿宋"/>
          <w:color w:val="auto"/>
          <w:sz w:val="24"/>
          <w:szCs w:val="24"/>
          <w:lang w:eastAsia="zh-CN"/>
        </w:rPr>
        <w:t>),即相当于合同价格的%,并以此约定如下:</w:t>
      </w:r>
    </w:p>
    <w:p w14:paraId="1FF98E63">
      <w:pPr>
        <w:pStyle w:val="11"/>
        <w:widowControl w:val="0"/>
        <w:spacing w:line="240" w:lineRule="atLeast"/>
        <w:ind w:left="539" w:leftChars="25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FA9DD68">
      <w:pPr>
        <w:pStyle w:val="11"/>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11FE46BB">
      <w:pPr>
        <w:pStyle w:val="11"/>
        <w:widowControl w:val="0"/>
        <w:spacing w:line="240" w:lineRule="atLeast"/>
        <w:ind w:left="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61C65D2A">
      <w:pPr>
        <w:pStyle w:val="11"/>
        <w:widowControl w:val="0"/>
        <w:spacing w:line="240" w:lineRule="atLeast"/>
        <w:ind w:left="1079" w:leftChars="257" w:hanging="540"/>
        <w:rPr>
          <w:rFonts w:hint="eastAsia" w:ascii="仿宋" w:hAnsi="仿宋" w:eastAsia="仿宋" w:cs="仿宋"/>
          <w:color w:val="auto"/>
          <w:sz w:val="24"/>
          <w:szCs w:val="24"/>
          <w:lang w:eastAsia="zh-CN"/>
        </w:rPr>
      </w:pPr>
      <w:bookmarkStart w:id="625" w:name="_Toc6985"/>
      <w:bookmarkStart w:id="626" w:name="_Toc1076"/>
      <w:r>
        <w:rPr>
          <w:rFonts w:hint="eastAsia" w:ascii="仿宋" w:hAnsi="仿宋" w:eastAsia="仿宋" w:cs="仿宋"/>
          <w:color w:val="auto"/>
          <w:sz w:val="24"/>
          <w:szCs w:val="24"/>
          <w:lang w:eastAsia="zh-CN"/>
        </w:rPr>
        <w:t>4.本保函在本合同规定的保证期期满前完全有效。</w:t>
      </w:r>
      <w:bookmarkEnd w:id="625"/>
      <w:bookmarkEnd w:id="626"/>
    </w:p>
    <w:p w14:paraId="5F5BB7B2">
      <w:pPr>
        <w:pStyle w:val="11"/>
        <w:widowControl w:val="0"/>
        <w:spacing w:line="240" w:lineRule="atLeast"/>
        <w:ind w:left="1079" w:leftChars="257" w:hanging="540"/>
        <w:rPr>
          <w:rFonts w:hint="eastAsia" w:ascii="仿宋" w:hAnsi="仿宋" w:eastAsia="仿宋" w:cs="仿宋"/>
          <w:color w:val="auto"/>
          <w:sz w:val="24"/>
          <w:szCs w:val="24"/>
          <w:lang w:eastAsia="zh-CN"/>
        </w:rPr>
      </w:pPr>
    </w:p>
    <w:p w14:paraId="2E15B7AD">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谨启</w:t>
      </w:r>
    </w:p>
    <w:p w14:paraId="49D833E7">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出具保函银行名称：</w:t>
      </w:r>
    </w:p>
    <w:p w14:paraId="1B34AB23">
      <w:pPr>
        <w:pStyle w:val="11"/>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签字人姓名和职务：</w:t>
      </w:r>
    </w:p>
    <w:p w14:paraId="7116E923">
      <w:pPr>
        <w:pStyle w:val="11"/>
        <w:widowControl w:val="0"/>
        <w:spacing w:line="240" w:lineRule="atLeast"/>
        <w:ind w:left="1079"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签字人签名：</w:t>
      </w:r>
    </w:p>
    <w:p w14:paraId="15C8BD87">
      <w:pPr>
        <w:pStyle w:val="11"/>
        <w:widowControl w:val="0"/>
        <w:spacing w:line="240" w:lineRule="atLeast"/>
        <w:ind w:left="1079" w:leftChars="257" w:hanging="54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公章：</w:t>
      </w:r>
    </w:p>
    <w:p w14:paraId="0BEB3655">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6DD08583">
      <w:pPr>
        <w:pStyle w:val="2"/>
        <w:tabs>
          <w:tab w:val="left" w:pos="567"/>
        </w:tabs>
        <w:rPr>
          <w:rFonts w:hint="eastAsia" w:ascii="仿宋" w:hAnsi="仿宋" w:eastAsia="仿宋" w:cs="仿宋"/>
          <w:color w:val="auto"/>
          <w:lang w:eastAsia="zh-CN"/>
        </w:rPr>
      </w:pPr>
    </w:p>
    <w:p w14:paraId="6E2C48C9">
      <w:pPr>
        <w:widowControl w:val="0"/>
        <w:spacing w:line="240" w:lineRule="atLeast"/>
        <w:ind w:left="1079" w:leftChars="257" w:hanging="540"/>
        <w:rPr>
          <w:rFonts w:hint="eastAsia" w:ascii="仿宋" w:hAnsi="仿宋" w:eastAsia="仿宋" w:cs="仿宋"/>
          <w:color w:val="auto"/>
          <w:lang w:eastAsia="zh-CN"/>
        </w:rPr>
      </w:pPr>
      <w:bookmarkStart w:id="627" w:name="_Toc16707"/>
      <w:bookmarkStart w:id="628" w:name="_Toc27581"/>
      <w:bookmarkStart w:id="629" w:name="_Toc22540"/>
      <w:bookmarkStart w:id="630" w:name="_Toc518923104"/>
      <w:bookmarkStart w:id="631" w:name="_Toc21744"/>
      <w:bookmarkStart w:id="632" w:name="_Toc27788"/>
      <w:r>
        <w:rPr>
          <w:rFonts w:hint="eastAsia" w:ascii="仿宋" w:hAnsi="仿宋" w:eastAsia="仿宋" w:cs="仿宋"/>
          <w:color w:val="auto"/>
          <w:lang w:eastAsia="zh-CN"/>
        </w:rPr>
        <w:t>附件2：履约担保函格式</w:t>
      </w:r>
      <w:bookmarkEnd w:id="627"/>
      <w:bookmarkEnd w:id="628"/>
      <w:bookmarkEnd w:id="629"/>
      <w:bookmarkEnd w:id="630"/>
      <w:bookmarkEnd w:id="631"/>
      <w:bookmarkEnd w:id="632"/>
    </w:p>
    <w:p w14:paraId="7849600B">
      <w:pPr>
        <w:widowControl w:val="0"/>
        <w:spacing w:line="240" w:lineRule="atLeast"/>
        <w:ind w:left="1079" w:leftChars="257" w:hanging="540"/>
        <w:rPr>
          <w:rFonts w:hint="eastAsia" w:ascii="仿宋" w:hAnsi="仿宋" w:eastAsia="仿宋" w:cs="仿宋"/>
          <w:color w:val="auto"/>
          <w:lang w:eastAsia="zh-CN"/>
        </w:rPr>
      </w:pPr>
      <w:bookmarkStart w:id="633" w:name="_Toc515647801"/>
      <w:bookmarkStart w:id="634" w:name="_Toc32574"/>
      <w:bookmarkStart w:id="635" w:name="_Toc162"/>
      <w:bookmarkStart w:id="636" w:name="_Toc9735"/>
      <w:bookmarkStart w:id="637" w:name="_Toc7209"/>
      <w:bookmarkStart w:id="638" w:name="_Toc13962"/>
      <w:r>
        <w:rPr>
          <w:rFonts w:hint="eastAsia" w:ascii="仿宋" w:hAnsi="仿宋" w:eastAsia="仿宋" w:cs="仿宋"/>
          <w:color w:val="auto"/>
          <w:lang w:eastAsia="zh-CN"/>
        </w:rPr>
        <w:t>（采用政府采购信用担保形式时使用）</w:t>
      </w:r>
      <w:bookmarkEnd w:id="633"/>
      <w:bookmarkEnd w:id="634"/>
      <w:bookmarkEnd w:id="635"/>
      <w:bookmarkEnd w:id="636"/>
      <w:bookmarkEnd w:id="637"/>
      <w:bookmarkEnd w:id="638"/>
    </w:p>
    <w:p w14:paraId="2CA980A4">
      <w:pPr>
        <w:widowControl w:val="0"/>
        <w:spacing w:line="240" w:lineRule="atLeast"/>
        <w:ind w:left="1079" w:leftChars="257" w:hanging="540"/>
        <w:rPr>
          <w:rFonts w:hint="eastAsia" w:ascii="仿宋" w:hAnsi="仿宋" w:eastAsia="仿宋" w:cs="仿宋"/>
          <w:b/>
          <w:color w:val="auto"/>
          <w:sz w:val="24"/>
          <w:szCs w:val="20"/>
          <w:lang w:eastAsia="zh-CN"/>
        </w:rPr>
      </w:pPr>
    </w:p>
    <w:p w14:paraId="1A00D619">
      <w:pPr>
        <w:widowControl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政府采购履约担保函（项目用）</w:t>
      </w:r>
    </w:p>
    <w:p w14:paraId="4F990139">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编号：</w:t>
      </w:r>
    </w:p>
    <w:p w14:paraId="2C00859C">
      <w:pPr>
        <w:widowControl w:val="0"/>
        <w:rPr>
          <w:rFonts w:hint="eastAsia" w:ascii="仿宋" w:hAnsi="仿宋" w:eastAsia="仿宋" w:cs="仿宋"/>
          <w:color w:val="auto"/>
          <w:sz w:val="24"/>
          <w:lang w:eastAsia="zh-CN"/>
        </w:rPr>
      </w:pPr>
    </w:p>
    <w:p w14:paraId="607E9337">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（采购人）：</w:t>
      </w:r>
    </w:p>
    <w:p w14:paraId="24C8AA9C">
      <w:pPr>
        <w:widowControl w:val="0"/>
        <w:rPr>
          <w:rFonts w:hint="eastAsia" w:ascii="仿宋" w:hAnsi="仿宋" w:eastAsia="仿宋" w:cs="仿宋"/>
          <w:color w:val="auto"/>
          <w:sz w:val="24"/>
          <w:lang w:eastAsia="zh-CN"/>
        </w:rPr>
      </w:pPr>
    </w:p>
    <w:p w14:paraId="4D3579C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鉴于你方与（以下简称供应商）于年月日签定编号为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的《政府采购合同》（以下简称主合同），且依据该合同的约定，供应商应在年</w:t>
      </w:r>
    </w:p>
    <w:p w14:paraId="6884F031">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月日前向你方交纳履约保证金，且可以履约担保函的形式交纳履约保证金。应供应商的申请，我方以保证的方式向你方提供如下履约保证金担保：</w:t>
      </w:r>
    </w:p>
    <w:p w14:paraId="0E621E39">
      <w:pPr>
        <w:widowControl w:val="0"/>
        <w:ind w:firstLine="480" w:firstLineChars="200"/>
        <w:rPr>
          <w:rFonts w:hint="eastAsia" w:ascii="仿宋" w:hAnsi="仿宋" w:eastAsia="仿宋" w:cs="仿宋"/>
          <w:color w:val="auto"/>
          <w:sz w:val="24"/>
          <w:lang w:eastAsia="zh-CN"/>
        </w:rPr>
      </w:pPr>
      <w:bookmarkStart w:id="639" w:name="_Toc16807"/>
      <w:r>
        <w:rPr>
          <w:rFonts w:hint="eastAsia" w:ascii="仿宋" w:hAnsi="仿宋" w:eastAsia="仿宋" w:cs="仿宋"/>
          <w:color w:val="auto"/>
          <w:sz w:val="24"/>
          <w:lang w:eastAsia="zh-CN"/>
        </w:rPr>
        <w:t>一、保证责任的情形及保证金额</w:t>
      </w:r>
      <w:bookmarkEnd w:id="639"/>
    </w:p>
    <w:p w14:paraId="2CBC909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（一）在供应商出现下列情形之一时，我方承担保证责任：</w:t>
      </w:r>
    </w:p>
    <w:p w14:paraId="70BBA59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1．将中标项目转让给他人，或者在投标文件中未说明，且未经采购招标机构人同意，将中标项目分包给他人的；</w:t>
      </w:r>
    </w:p>
    <w:p w14:paraId="4622D993">
      <w:pPr>
        <w:widowControl w:val="0"/>
        <w:rPr>
          <w:rFonts w:hint="eastAsia" w:ascii="仿宋" w:hAnsi="仿宋" w:eastAsia="仿宋" w:cs="仿宋"/>
          <w:color w:val="auto"/>
          <w:sz w:val="24"/>
          <w:lang w:eastAsia="zh-CN"/>
        </w:rPr>
      </w:pPr>
      <w:r>
        <w:rPr>
          <w:rFonts w:hint="eastAsia" w:ascii="仿宋" w:hAnsi="仿宋" w:eastAsia="仿宋" w:cs="仿宋"/>
          <w:color w:val="auto"/>
          <w:sz w:val="24"/>
          <w:lang w:eastAsia="zh-CN"/>
        </w:rPr>
        <w:t>　　</w:t>
      </w:r>
      <w:bookmarkStart w:id="640" w:name="_Toc2434"/>
      <w:bookmarkStart w:id="641" w:name="_Toc806"/>
      <w:bookmarkStart w:id="642" w:name="_Toc30650"/>
      <w:r>
        <w:rPr>
          <w:rFonts w:hint="eastAsia" w:ascii="仿宋" w:hAnsi="仿宋" w:eastAsia="仿宋" w:cs="仿宋"/>
          <w:color w:val="auto"/>
          <w:sz w:val="24"/>
          <w:lang w:eastAsia="zh-CN"/>
        </w:rPr>
        <w:t>2．主合同约定的应当缴纳履约保证金的情形:</w:t>
      </w:r>
      <w:bookmarkEnd w:id="640"/>
      <w:bookmarkEnd w:id="641"/>
      <w:bookmarkEnd w:id="642"/>
    </w:p>
    <w:p w14:paraId="77B7DE5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（1）未按主合同约定的质量、数量和期限供应货物/提供服务/完成工程的；</w:t>
      </w:r>
    </w:p>
    <w:p w14:paraId="4EC0862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w:t>
      </w:r>
      <w:r>
        <w:rPr>
          <w:rFonts w:hint="eastAsia" w:ascii="仿宋" w:hAnsi="仿宋" w:eastAsia="仿宋" w:cs="仿宋"/>
          <w:color w:val="auto"/>
          <w:sz w:val="24"/>
          <w:u w:val="single"/>
          <w:lang w:eastAsia="zh-CN"/>
        </w:rPr>
        <w:t xml:space="preserve">                                                        。</w:t>
      </w:r>
    </w:p>
    <w:p w14:paraId="1CBD7E0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（二）我方的保证范围是主合同约定的合同价款总额的%数额为元（大写），币种为。（即主合同履约保证金金额）</w:t>
      </w:r>
    </w:p>
    <w:p w14:paraId="57F2991B">
      <w:pPr>
        <w:widowControl w:val="0"/>
        <w:ind w:firstLine="480" w:firstLineChars="200"/>
        <w:rPr>
          <w:rFonts w:hint="eastAsia" w:ascii="仿宋" w:hAnsi="仿宋" w:eastAsia="仿宋" w:cs="仿宋"/>
          <w:color w:val="auto"/>
          <w:sz w:val="24"/>
          <w:lang w:eastAsia="zh-CN"/>
        </w:rPr>
      </w:pPr>
      <w:bookmarkStart w:id="643" w:name="_Toc16733"/>
      <w:r>
        <w:rPr>
          <w:rFonts w:hint="eastAsia" w:ascii="仿宋" w:hAnsi="仿宋" w:eastAsia="仿宋" w:cs="仿宋"/>
          <w:color w:val="auto"/>
          <w:sz w:val="24"/>
          <w:lang w:eastAsia="zh-CN"/>
        </w:rPr>
        <w:t>二、保证的方式及保证期间</w:t>
      </w:r>
      <w:bookmarkEnd w:id="643"/>
    </w:p>
    <w:p w14:paraId="6EA033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33340237">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我方保证的期间为：自本合同生效之日起至供应商按照主合同约定的供货/完工期限届满后日内。</w:t>
      </w:r>
    </w:p>
    <w:p w14:paraId="0040566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如果供应商未按主合同约定向贵方供应货物/提供服务/完成工程的，由我方在保证金额内向你方支付上述款项。</w:t>
      </w:r>
    </w:p>
    <w:p w14:paraId="47ADA176">
      <w:pPr>
        <w:widowControl w:val="0"/>
        <w:ind w:firstLine="480" w:firstLineChars="200"/>
        <w:rPr>
          <w:rFonts w:hint="eastAsia" w:ascii="仿宋" w:hAnsi="仿宋" w:eastAsia="仿宋" w:cs="仿宋"/>
          <w:color w:val="auto"/>
          <w:sz w:val="24"/>
          <w:lang w:eastAsia="zh-CN"/>
        </w:rPr>
      </w:pPr>
      <w:bookmarkStart w:id="644" w:name="_Toc19668"/>
      <w:r>
        <w:rPr>
          <w:rFonts w:hint="eastAsia" w:ascii="仿宋" w:hAnsi="仿宋" w:eastAsia="仿宋" w:cs="仿宋"/>
          <w:color w:val="auto"/>
          <w:sz w:val="24"/>
          <w:lang w:eastAsia="zh-CN"/>
        </w:rPr>
        <w:t>三、承担保证责任的程序</w:t>
      </w:r>
      <w:bookmarkEnd w:id="644"/>
    </w:p>
    <w:p w14:paraId="63B79DC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6D2CB5E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191CD5B3">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 我方收到你方的书面索赔通知及相应证明材料，在工作日内进行核定后按照本保函的承诺承担保证责任。</w:t>
      </w:r>
    </w:p>
    <w:p w14:paraId="652DE54B">
      <w:pPr>
        <w:widowControl w:val="0"/>
        <w:ind w:firstLine="480" w:firstLineChars="200"/>
        <w:rPr>
          <w:rFonts w:hint="eastAsia" w:ascii="仿宋" w:hAnsi="仿宋" w:eastAsia="仿宋" w:cs="仿宋"/>
          <w:color w:val="auto"/>
          <w:sz w:val="24"/>
          <w:lang w:eastAsia="zh-CN"/>
        </w:rPr>
      </w:pPr>
      <w:bookmarkStart w:id="645" w:name="_Toc11641"/>
      <w:r>
        <w:rPr>
          <w:rFonts w:hint="eastAsia" w:ascii="仿宋" w:hAnsi="仿宋" w:eastAsia="仿宋" w:cs="仿宋"/>
          <w:color w:val="auto"/>
          <w:sz w:val="24"/>
          <w:lang w:eastAsia="zh-CN"/>
        </w:rPr>
        <w:t>四、保证责任的终止</w:t>
      </w:r>
      <w:bookmarkEnd w:id="645"/>
    </w:p>
    <w:p w14:paraId="2B83079D">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EFD151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2．我方按照本保函向你方履行了保证责任后，自我方向你方支付款项（支付款项从我方账户划出）之日起，保证责任即终止。</w:t>
      </w:r>
    </w:p>
    <w:p w14:paraId="138729DE">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3．按照法律法规的规定或出现应终止我方保证责任的其它情形的，我方在本保函项下的保证责任亦终止。</w:t>
      </w:r>
    </w:p>
    <w:p w14:paraId="07647914">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684FC6F">
      <w:pPr>
        <w:widowControl w:val="0"/>
        <w:ind w:firstLine="480" w:firstLineChars="200"/>
        <w:rPr>
          <w:rFonts w:hint="eastAsia" w:ascii="仿宋" w:hAnsi="仿宋" w:eastAsia="仿宋" w:cs="仿宋"/>
          <w:color w:val="auto"/>
          <w:sz w:val="24"/>
          <w:lang w:eastAsia="zh-CN"/>
        </w:rPr>
      </w:pPr>
      <w:bookmarkStart w:id="646" w:name="_Toc3542"/>
      <w:r>
        <w:rPr>
          <w:rFonts w:hint="eastAsia" w:ascii="仿宋" w:hAnsi="仿宋" w:eastAsia="仿宋" w:cs="仿宋"/>
          <w:color w:val="auto"/>
          <w:sz w:val="24"/>
          <w:lang w:eastAsia="zh-CN"/>
        </w:rPr>
        <w:t>五、免责条款</w:t>
      </w:r>
      <w:bookmarkEnd w:id="646"/>
    </w:p>
    <w:p w14:paraId="3FC5A390">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1．因你方违反主合同约定致使供应商不能履行义务的，我方不承担保证责任。</w:t>
      </w:r>
    </w:p>
    <w:p w14:paraId="28FE9AD1">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2．依照法律法规的规定或你方与供应商的另行约定，全部或者部分免除供应商应缴纳的保证金义务的，我方亦免除相应的保证责任。</w:t>
      </w:r>
    </w:p>
    <w:p w14:paraId="1E314DDF">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3．因不可抗力造成供应商不能履行供货义务的，我方不承担保证责任。</w:t>
      </w:r>
    </w:p>
    <w:p w14:paraId="3ABE2EDC">
      <w:pPr>
        <w:widowControl w:val="0"/>
        <w:ind w:firstLine="480" w:firstLineChars="200"/>
        <w:rPr>
          <w:rFonts w:hint="eastAsia" w:ascii="仿宋" w:hAnsi="仿宋" w:eastAsia="仿宋" w:cs="仿宋"/>
          <w:color w:val="auto"/>
          <w:sz w:val="24"/>
          <w:lang w:eastAsia="zh-CN"/>
        </w:rPr>
      </w:pPr>
      <w:bookmarkStart w:id="647" w:name="_Toc908"/>
      <w:r>
        <w:rPr>
          <w:rFonts w:hint="eastAsia" w:ascii="仿宋" w:hAnsi="仿宋" w:eastAsia="仿宋" w:cs="仿宋"/>
          <w:color w:val="auto"/>
          <w:sz w:val="24"/>
          <w:lang w:eastAsia="zh-CN"/>
        </w:rPr>
        <w:t>六、争议的解决</w:t>
      </w:r>
      <w:bookmarkEnd w:id="647"/>
    </w:p>
    <w:p w14:paraId="38F5FC38">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因本保函发生的纠纷，由你我双方协商解决，协商不成的，通过诉讼程序解决，诉讼管辖地法院为法院。</w:t>
      </w:r>
    </w:p>
    <w:p w14:paraId="2E6AFFBE">
      <w:pPr>
        <w:widowControl w:val="0"/>
        <w:ind w:firstLine="480" w:firstLineChars="200"/>
        <w:rPr>
          <w:rFonts w:hint="eastAsia" w:ascii="仿宋" w:hAnsi="仿宋" w:eastAsia="仿宋" w:cs="仿宋"/>
          <w:color w:val="auto"/>
          <w:sz w:val="24"/>
          <w:lang w:eastAsia="zh-CN"/>
        </w:rPr>
      </w:pPr>
      <w:bookmarkStart w:id="648" w:name="_Toc17651"/>
      <w:r>
        <w:rPr>
          <w:rFonts w:hint="eastAsia" w:ascii="仿宋" w:hAnsi="仿宋" w:eastAsia="仿宋" w:cs="仿宋"/>
          <w:color w:val="auto"/>
          <w:sz w:val="24"/>
          <w:lang w:eastAsia="zh-CN"/>
        </w:rPr>
        <w:t>七、保函的生效</w:t>
      </w:r>
      <w:bookmarkEnd w:id="648"/>
    </w:p>
    <w:p w14:paraId="073E6C2A">
      <w:pPr>
        <w:widowControl w:val="0"/>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43712BE6">
      <w:pPr>
        <w:pStyle w:val="16"/>
        <w:rPr>
          <w:rFonts w:hint="eastAsia" w:ascii="仿宋" w:hAnsi="仿宋" w:eastAsia="仿宋" w:cs="仿宋"/>
          <w:color w:val="auto"/>
          <w:sz w:val="24"/>
          <w:lang w:eastAsia="zh-CN"/>
        </w:rPr>
      </w:pPr>
    </w:p>
    <w:p w14:paraId="2A2412E0">
      <w:pPr>
        <w:pStyle w:val="2"/>
        <w:tabs>
          <w:tab w:val="left" w:pos="567"/>
        </w:tabs>
        <w:rPr>
          <w:rFonts w:hint="eastAsia" w:ascii="仿宋" w:hAnsi="仿宋" w:eastAsia="仿宋" w:cs="仿宋"/>
          <w:color w:val="auto"/>
          <w:lang w:eastAsia="zh-CN"/>
        </w:rPr>
      </w:pPr>
    </w:p>
    <w:p w14:paraId="1ECB3DFF">
      <w:pPr>
        <w:widowControl w:val="0"/>
        <w:rPr>
          <w:rFonts w:hint="eastAsia" w:ascii="仿宋" w:hAnsi="仿宋" w:eastAsia="仿宋" w:cs="仿宋"/>
          <w:color w:val="auto"/>
          <w:sz w:val="24"/>
          <w:lang w:eastAsia="zh-CN"/>
        </w:rPr>
      </w:pPr>
    </w:p>
    <w:p w14:paraId="61A3443A">
      <w:pPr>
        <w:widowControl w:val="0"/>
        <w:rPr>
          <w:rFonts w:hint="eastAsia" w:ascii="仿宋" w:hAnsi="仿宋" w:eastAsia="仿宋" w:cs="仿宋"/>
          <w:color w:val="auto"/>
          <w:sz w:val="24"/>
          <w:lang w:eastAsia="zh-CN"/>
        </w:rPr>
      </w:pPr>
    </w:p>
    <w:p w14:paraId="0E8C9151">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3C90C1EB">
      <w:pPr>
        <w:widowControl w:val="0"/>
        <w:ind w:left="504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6D5F0508">
      <w:pPr>
        <w:widowControl w:val="0"/>
        <w:rPr>
          <w:rFonts w:hint="eastAsia" w:ascii="仿宋" w:hAnsi="仿宋" w:eastAsia="仿宋" w:cs="仿宋"/>
          <w:color w:val="auto"/>
          <w:sz w:val="24"/>
          <w:lang w:eastAsia="zh-CN"/>
        </w:rPr>
      </w:pPr>
    </w:p>
    <w:p w14:paraId="049BF835">
      <w:pPr>
        <w:rPr>
          <w:rFonts w:hint="eastAsia" w:ascii="仿宋" w:hAnsi="仿宋" w:eastAsia="仿宋" w:cs="仿宋"/>
          <w:color w:val="auto"/>
          <w:lang w:eastAsia="zh-CN"/>
        </w:rPr>
      </w:pPr>
      <w:r>
        <w:rPr>
          <w:rFonts w:hint="eastAsia" w:ascii="仿宋" w:hAnsi="仿宋" w:eastAsia="仿宋" w:cs="仿宋"/>
          <w:b/>
          <w:color w:val="auto"/>
          <w:sz w:val="44"/>
          <w:szCs w:val="44"/>
          <w:lang w:eastAsia="zh-CN"/>
        </w:rPr>
        <w:br w:type="page"/>
      </w:r>
    </w:p>
    <w:p w14:paraId="65B3AD5A">
      <w:pPr>
        <w:rPr>
          <w:rFonts w:hint="eastAsia" w:ascii="仿宋" w:hAnsi="仿宋" w:eastAsia="仿宋" w:cs="仿宋"/>
          <w:color w:val="auto"/>
          <w:lang w:eastAsia="zh-CN"/>
        </w:rPr>
      </w:pPr>
      <w:bookmarkStart w:id="649" w:name="_Toc333"/>
    </w:p>
    <w:p w14:paraId="462FCE25">
      <w:pPr>
        <w:rPr>
          <w:rFonts w:hint="eastAsia" w:ascii="仿宋" w:hAnsi="仿宋" w:eastAsia="仿宋" w:cs="仿宋"/>
          <w:color w:val="auto"/>
          <w:sz w:val="44"/>
          <w:szCs w:val="44"/>
          <w:lang w:eastAsia="zh-CN"/>
        </w:rPr>
      </w:pPr>
    </w:p>
    <w:p w14:paraId="123AC8AB">
      <w:pPr>
        <w:rPr>
          <w:rFonts w:hint="eastAsia" w:ascii="仿宋" w:hAnsi="仿宋" w:eastAsia="仿宋" w:cs="仿宋"/>
          <w:color w:val="auto"/>
          <w:sz w:val="44"/>
          <w:szCs w:val="44"/>
          <w:lang w:eastAsia="zh-CN"/>
        </w:rPr>
      </w:pPr>
    </w:p>
    <w:p w14:paraId="7A5BC02F">
      <w:pPr>
        <w:pStyle w:val="3"/>
        <w:tabs>
          <w:tab w:val="left" w:pos="0"/>
        </w:tabs>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kern w:val="0"/>
          <w:sz w:val="44"/>
          <w:szCs w:val="44"/>
          <w:lang w:eastAsia="zh-CN"/>
        </w:rPr>
        <w:t>第二章</w:t>
      </w:r>
      <w:r>
        <w:rPr>
          <w:rFonts w:hint="eastAsia" w:ascii="仿宋" w:hAnsi="仿宋" w:eastAsia="仿宋" w:cs="仿宋"/>
          <w:color w:val="auto"/>
          <w:sz w:val="44"/>
          <w:szCs w:val="44"/>
          <w:lang w:eastAsia="zh-CN"/>
        </w:rPr>
        <w:t xml:space="preserve">  投标文件格式</w:t>
      </w:r>
      <w:bookmarkEnd w:id="4"/>
      <w:bookmarkEnd w:id="5"/>
      <w:bookmarkEnd w:id="6"/>
      <w:bookmarkEnd w:id="7"/>
      <w:bookmarkEnd w:id="8"/>
      <w:bookmarkEnd w:id="9"/>
      <w:bookmarkEnd w:id="10"/>
      <w:bookmarkEnd w:id="11"/>
      <w:bookmarkEnd w:id="12"/>
      <w:bookmarkEnd w:id="649"/>
    </w:p>
    <w:p w14:paraId="56C2D6D4">
      <w:pPr>
        <w:rPr>
          <w:rFonts w:hint="eastAsia" w:ascii="仿宋" w:hAnsi="仿宋" w:eastAsia="仿宋" w:cs="仿宋"/>
          <w:color w:val="auto"/>
          <w:sz w:val="20"/>
          <w:lang w:eastAsia="zh-CN"/>
        </w:rPr>
      </w:pPr>
    </w:p>
    <w:p w14:paraId="4ED4A0DC">
      <w:pPr>
        <w:rPr>
          <w:rFonts w:hint="eastAsia" w:ascii="仿宋" w:hAnsi="仿宋" w:eastAsia="仿宋" w:cs="仿宋"/>
          <w:color w:val="auto"/>
          <w:lang w:eastAsia="zh-CN"/>
        </w:rPr>
      </w:pPr>
      <w:bookmarkStart w:id="650" w:name="_Toc518923107"/>
      <w:bookmarkStart w:id="651" w:name="_Toc15142"/>
    </w:p>
    <w:p w14:paraId="4AA52703">
      <w:pPr>
        <w:pStyle w:val="4"/>
        <w:spacing w:before="0" w:line="240" w:lineRule="atLeast"/>
        <w:ind w:left="1079" w:leftChars="257" w:hanging="540"/>
        <w:rPr>
          <w:rFonts w:hint="eastAsia" w:ascii="仿宋" w:hAnsi="仿宋" w:eastAsia="仿宋" w:cs="仿宋"/>
          <w:color w:val="auto"/>
          <w:sz w:val="24"/>
          <w:lang w:eastAsia="zh-CN"/>
        </w:rPr>
      </w:pPr>
      <w:bookmarkStart w:id="652" w:name="_Toc7162"/>
      <w:bookmarkStart w:id="653" w:name="_Toc11730"/>
      <w:bookmarkStart w:id="654" w:name="_Toc14363"/>
      <w:bookmarkStart w:id="655" w:name="_Toc8875"/>
      <w:bookmarkStart w:id="656" w:name="_Toc21312"/>
      <w:bookmarkStart w:id="657" w:name="_Toc10047"/>
      <w:bookmarkStart w:id="658" w:name="_Toc13309"/>
      <w:bookmarkStart w:id="659" w:name="_Toc24822"/>
      <w:bookmarkStart w:id="660" w:name="_Toc5582"/>
      <w:bookmarkStart w:id="661" w:name="_Toc11201"/>
      <w:r>
        <w:rPr>
          <w:rFonts w:hint="eastAsia" w:ascii="仿宋" w:hAnsi="仿宋" w:eastAsia="仿宋" w:cs="仿宋"/>
          <w:color w:val="auto"/>
          <w:sz w:val="24"/>
          <w:lang w:eastAsia="zh-CN"/>
        </w:rPr>
        <w:t>第一部分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14:paraId="291B11E0">
      <w:pPr>
        <w:spacing w:line="288" w:lineRule="auto"/>
        <w:rPr>
          <w:rFonts w:hint="eastAsia" w:ascii="仿宋" w:hAnsi="仿宋" w:eastAsia="仿宋" w:cs="仿宋"/>
          <w:color w:val="auto"/>
          <w:sz w:val="24"/>
          <w:lang w:eastAsia="zh-CN"/>
        </w:rPr>
      </w:pPr>
    </w:p>
    <w:p w14:paraId="5C758BAA">
      <w:pPr>
        <w:spacing w:line="240" w:lineRule="atLeast"/>
        <w:ind w:left="708" w:hanging="708" w:hangingChars="295"/>
        <w:jc w:val="center"/>
        <w:rPr>
          <w:rFonts w:hint="eastAsia" w:ascii="仿宋" w:hAnsi="仿宋" w:eastAsia="仿宋" w:cs="仿宋"/>
          <w:color w:val="auto"/>
          <w:sz w:val="24"/>
          <w:lang w:eastAsia="zh-CN"/>
        </w:rPr>
      </w:pPr>
    </w:p>
    <w:p w14:paraId="08CBDBB6">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1、开标一览表</w:t>
      </w:r>
    </w:p>
    <w:p w14:paraId="331BAD52">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2、法人或者非法人组织的营业执照等证明文件</w:t>
      </w:r>
    </w:p>
    <w:p w14:paraId="20F531F3">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3、法定代表人身份证明</w:t>
      </w:r>
    </w:p>
    <w:p w14:paraId="1E7D4288">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4、法定代表人授权委托书</w:t>
      </w:r>
    </w:p>
    <w:p w14:paraId="7B81736A">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5、投标保证金缴纳凭证复印件或银行保函复印件</w:t>
      </w:r>
    </w:p>
    <w:p w14:paraId="440E683E">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6、社会保障资金的缴纳记录</w:t>
      </w:r>
    </w:p>
    <w:p w14:paraId="6AB7A904">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7、良好的商业信誉和健全的财务会计制度证明材料</w:t>
      </w:r>
    </w:p>
    <w:p w14:paraId="06BE2698">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8、依法缴纳税收的证明</w:t>
      </w:r>
    </w:p>
    <w:p w14:paraId="7C874DAB">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9、参加政府采购活动前3年内在经营活动中没有重大违法记录的书面声明及反商业受贿承诺</w:t>
      </w:r>
    </w:p>
    <w:p w14:paraId="7BCCCBB0">
      <w:pPr>
        <w:pStyle w:val="11"/>
        <w:spacing w:line="288"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10、投标人须知资料表要求的其他资格证明文件</w:t>
      </w:r>
    </w:p>
    <w:p w14:paraId="036FB3F3">
      <w:pPr>
        <w:rPr>
          <w:rFonts w:hint="eastAsia" w:ascii="仿宋" w:hAnsi="仿宋" w:eastAsia="仿宋" w:cs="仿宋"/>
          <w:color w:val="auto"/>
          <w:lang w:eastAsia="zh-CN"/>
        </w:rPr>
      </w:pPr>
      <w:r>
        <w:rPr>
          <w:rFonts w:hint="eastAsia" w:ascii="仿宋" w:hAnsi="仿宋" w:eastAsia="仿宋" w:cs="仿宋"/>
          <w:color w:val="auto"/>
          <w:sz w:val="24"/>
          <w:lang w:eastAsia="zh-CN"/>
        </w:rPr>
        <w:br w:type="page"/>
      </w:r>
    </w:p>
    <w:p w14:paraId="3AFCA8D7">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662" w:name="_Toc14603"/>
      <w:bookmarkStart w:id="663" w:name="_Toc2776"/>
      <w:bookmarkStart w:id="664" w:name="_Toc18565"/>
      <w:bookmarkStart w:id="665" w:name="_Toc9159"/>
      <w:bookmarkStart w:id="666" w:name="_Toc32488"/>
      <w:bookmarkStart w:id="667" w:name="_Toc515647804"/>
      <w:bookmarkStart w:id="668" w:name="_Toc4959"/>
      <w:bookmarkStart w:id="669" w:name="_Toc2495"/>
      <w:bookmarkStart w:id="670" w:name="_Toc30524"/>
      <w:bookmarkStart w:id="671" w:name="_Toc9428"/>
      <w:bookmarkStart w:id="672" w:name="_Toc14309"/>
      <w:bookmarkStart w:id="673" w:name="_Toc16568"/>
      <w:bookmarkStart w:id="674" w:name="_Toc29905"/>
      <w:bookmarkStart w:id="675" w:name="_Toc24638"/>
      <w:r>
        <w:rPr>
          <w:rFonts w:hint="eastAsia" w:ascii="仿宋" w:hAnsi="仿宋" w:eastAsia="仿宋" w:cs="仿宋"/>
          <w:color w:val="auto"/>
          <w:u w:val="none"/>
          <w:lang w:eastAsia="zh-CN"/>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24B5FB5F">
      <w:pPr>
        <w:pStyle w:val="11"/>
        <w:tabs>
          <w:tab w:val="left" w:pos="5580"/>
        </w:tabs>
        <w:spacing w:line="288" w:lineRule="auto"/>
        <w:ind w:left="268" w:leftChars="128"/>
        <w:rPr>
          <w:rFonts w:hint="eastAsia" w:ascii="仿宋" w:hAnsi="仿宋" w:eastAsia="仿宋" w:cs="仿宋"/>
          <w:color w:val="auto"/>
          <w:sz w:val="24"/>
          <w:lang w:eastAsia="zh-CN"/>
        </w:rPr>
      </w:pPr>
    </w:p>
    <w:p w14:paraId="259D8E60">
      <w:pPr>
        <w:pStyle w:val="11"/>
        <w:tabs>
          <w:tab w:val="left" w:pos="5580"/>
        </w:tabs>
        <w:spacing w:line="288" w:lineRule="auto"/>
        <w:ind w:left="268" w:leftChars="128"/>
        <w:rPr>
          <w:rFonts w:hint="eastAsia" w:ascii="仿宋" w:hAnsi="仿宋" w:eastAsia="仿宋" w:cs="仿宋"/>
          <w:color w:val="auto"/>
          <w:sz w:val="24"/>
          <w:szCs w:val="24"/>
          <w:lang w:eastAsia="zh-CN"/>
        </w:rPr>
      </w:pPr>
    </w:p>
    <w:p w14:paraId="6FA30B47">
      <w:pPr>
        <w:pStyle w:val="16"/>
        <w:spacing w:line="288" w:lineRule="auto"/>
        <w:rPr>
          <w:rFonts w:hint="eastAsia" w:ascii="仿宋" w:hAnsi="仿宋" w:eastAsia="仿宋" w:cs="仿宋"/>
          <w:color w:val="auto"/>
          <w:sz w:val="24"/>
          <w:lang w:eastAsia="zh-CN"/>
        </w:rPr>
      </w:pPr>
      <w:bookmarkStart w:id="676" w:name="_Hlt520356241"/>
      <w:bookmarkEnd w:id="676"/>
      <w:r>
        <w:rPr>
          <w:rFonts w:hint="eastAsia" w:ascii="仿宋" w:hAnsi="仿宋" w:eastAsia="仿宋" w:cs="仿宋"/>
          <w:color w:val="auto"/>
          <w:sz w:val="24"/>
          <w:lang w:eastAsia="zh-CN"/>
        </w:rPr>
        <w:t>项目名称：</w:t>
      </w:r>
    </w:p>
    <w:p w14:paraId="0EFA1610">
      <w:pPr>
        <w:pStyle w:val="16"/>
        <w:spacing w:line="288"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项目编号：</w:t>
      </w:r>
    </w:p>
    <w:p w14:paraId="737F1142">
      <w:pPr>
        <w:pStyle w:val="16"/>
        <w:jc w:val="right"/>
        <w:rPr>
          <w:rFonts w:hint="eastAsia" w:ascii="仿宋" w:hAnsi="仿宋" w:eastAsia="仿宋" w:cs="仿宋"/>
          <w:color w:val="auto"/>
          <w:sz w:val="24"/>
        </w:rPr>
      </w:pPr>
      <w:r>
        <w:rPr>
          <w:rFonts w:hint="eastAsia" w:ascii="仿宋" w:hAnsi="仿宋" w:eastAsia="仿宋" w:cs="仿宋"/>
          <w:color w:val="auto"/>
        </w:rPr>
        <w:t>单位：人民币元</w:t>
      </w:r>
    </w:p>
    <w:p w14:paraId="4C09E848">
      <w:pPr>
        <w:pStyle w:val="16"/>
        <w:rPr>
          <w:rFonts w:hint="eastAsia" w:ascii="仿宋" w:hAnsi="仿宋" w:eastAsia="仿宋" w:cs="仿宋"/>
          <w:color w:val="auto"/>
        </w:rPr>
      </w:pPr>
    </w:p>
    <w:tbl>
      <w:tblPr>
        <w:tblStyle w:val="23"/>
        <w:tblW w:w="9631" w:type="dxa"/>
        <w:tblInd w:w="-61" w:type="dxa"/>
        <w:tblLayout w:type="fixed"/>
        <w:tblCellMar>
          <w:top w:w="0" w:type="dxa"/>
          <w:left w:w="0" w:type="dxa"/>
          <w:bottom w:w="0" w:type="dxa"/>
          <w:right w:w="0" w:type="dxa"/>
        </w:tblCellMar>
      </w:tblPr>
      <w:tblGrid>
        <w:gridCol w:w="1135"/>
        <w:gridCol w:w="2646"/>
        <w:gridCol w:w="1680"/>
        <w:gridCol w:w="1815"/>
        <w:gridCol w:w="1395"/>
        <w:gridCol w:w="960"/>
      </w:tblGrid>
      <w:tr w14:paraId="2CFD6306">
        <w:tblPrEx>
          <w:tblCellMar>
            <w:top w:w="0" w:type="dxa"/>
            <w:left w:w="0" w:type="dxa"/>
            <w:bottom w:w="0" w:type="dxa"/>
            <w:right w:w="0" w:type="dxa"/>
          </w:tblCellMar>
        </w:tblPrEx>
        <w:trPr>
          <w:trHeight w:val="662" w:hRule="atLeast"/>
        </w:trPr>
        <w:tc>
          <w:tcPr>
            <w:tcW w:w="1135" w:type="dxa"/>
            <w:tcBorders>
              <w:top w:val="single" w:color="auto" w:sz="4" w:space="0"/>
              <w:left w:val="single" w:color="auto" w:sz="4" w:space="0"/>
              <w:bottom w:val="single" w:color="auto" w:sz="8" w:space="0"/>
              <w:right w:val="single" w:color="auto" w:sz="4" w:space="0"/>
            </w:tcBorders>
            <w:vAlign w:val="center"/>
          </w:tcPr>
          <w:p w14:paraId="18A625AE">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646" w:type="dxa"/>
            <w:tcBorders>
              <w:top w:val="single" w:color="auto" w:sz="4" w:space="0"/>
              <w:left w:val="single" w:color="auto" w:sz="8" w:space="0"/>
              <w:bottom w:val="single" w:color="auto" w:sz="8" w:space="0"/>
              <w:right w:val="single" w:color="auto" w:sz="4" w:space="0"/>
            </w:tcBorders>
            <w:vAlign w:val="center"/>
          </w:tcPr>
          <w:p w14:paraId="1F68FF1C">
            <w:pPr>
              <w:tabs>
                <w:tab w:val="left" w:pos="5580"/>
              </w:tabs>
              <w:spacing w:line="240" w:lineRule="atLeast"/>
              <w:ind w:right="-199"/>
              <w:rPr>
                <w:rFonts w:hint="eastAsia" w:ascii="仿宋" w:hAnsi="仿宋" w:eastAsia="仿宋" w:cs="仿宋"/>
                <w:sz w:val="24"/>
                <w:highlight w:val="none"/>
              </w:rPr>
            </w:pPr>
            <w:r>
              <w:rPr>
                <w:rFonts w:hint="eastAsia" w:ascii="仿宋" w:hAnsi="仿宋" w:eastAsia="仿宋" w:cs="仿宋"/>
                <w:sz w:val="24"/>
                <w:highlight w:val="none"/>
              </w:rPr>
              <w:t>投标报价（元）</w:t>
            </w:r>
          </w:p>
        </w:tc>
        <w:tc>
          <w:tcPr>
            <w:tcW w:w="1680" w:type="dxa"/>
            <w:tcBorders>
              <w:top w:val="single" w:color="auto" w:sz="8" w:space="0"/>
              <w:left w:val="nil"/>
              <w:bottom w:val="single" w:color="auto" w:sz="8" w:space="0"/>
              <w:right w:val="single" w:color="auto" w:sz="4" w:space="0"/>
            </w:tcBorders>
            <w:vAlign w:val="center"/>
          </w:tcPr>
          <w:p w14:paraId="4F6E9D71">
            <w:pPr>
              <w:tabs>
                <w:tab w:val="left" w:pos="5580"/>
              </w:tabs>
              <w:spacing w:line="240" w:lineRule="atLeast"/>
              <w:ind w:right="-199"/>
              <w:jc w:val="center"/>
              <w:rPr>
                <w:rFonts w:hint="eastAsia" w:ascii="仿宋" w:hAnsi="仿宋" w:eastAsia="仿宋" w:cs="仿宋"/>
                <w:sz w:val="24"/>
                <w:highlight w:val="none"/>
              </w:rPr>
            </w:pPr>
            <w:r>
              <w:rPr>
                <w:rFonts w:hint="eastAsia" w:ascii="仿宋" w:hAnsi="仿宋" w:eastAsia="仿宋" w:cs="仿宋"/>
                <w:sz w:val="24"/>
                <w:highlight w:val="none"/>
              </w:rPr>
              <w:t>投标保证金</w:t>
            </w:r>
          </w:p>
        </w:tc>
        <w:tc>
          <w:tcPr>
            <w:tcW w:w="1815" w:type="dxa"/>
            <w:tcBorders>
              <w:top w:val="single" w:color="auto" w:sz="8" w:space="0"/>
              <w:left w:val="nil"/>
              <w:bottom w:val="single" w:color="auto" w:sz="8" w:space="0"/>
              <w:right w:val="single" w:color="auto" w:sz="4" w:space="0"/>
            </w:tcBorders>
            <w:vAlign w:val="center"/>
          </w:tcPr>
          <w:p w14:paraId="6DCE5A79">
            <w:pPr>
              <w:tabs>
                <w:tab w:val="left" w:pos="558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服务期</w:t>
            </w:r>
            <w:r>
              <w:rPr>
                <w:rFonts w:hint="eastAsia" w:ascii="仿宋" w:hAnsi="仿宋" w:eastAsia="仿宋" w:cs="仿宋"/>
                <w:sz w:val="24"/>
                <w:highlight w:val="none"/>
                <w:lang w:val="en-US" w:eastAsia="zh-CN"/>
              </w:rPr>
              <w:t>/供货期</w:t>
            </w:r>
          </w:p>
        </w:tc>
        <w:tc>
          <w:tcPr>
            <w:tcW w:w="1395" w:type="dxa"/>
            <w:tcBorders>
              <w:top w:val="single" w:color="auto" w:sz="8" w:space="0"/>
              <w:left w:val="nil"/>
              <w:bottom w:val="single" w:color="auto" w:sz="8" w:space="0"/>
              <w:right w:val="single" w:color="auto" w:sz="4" w:space="0"/>
            </w:tcBorders>
            <w:vAlign w:val="center"/>
          </w:tcPr>
          <w:p w14:paraId="0259CF6A">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履约地点</w:t>
            </w:r>
          </w:p>
        </w:tc>
        <w:tc>
          <w:tcPr>
            <w:tcW w:w="960" w:type="dxa"/>
            <w:tcBorders>
              <w:top w:val="single" w:color="auto" w:sz="8" w:space="0"/>
              <w:left w:val="single" w:color="auto" w:sz="4" w:space="0"/>
              <w:bottom w:val="single" w:color="auto" w:sz="8" w:space="0"/>
              <w:right w:val="single" w:color="auto" w:sz="8" w:space="0"/>
            </w:tcBorders>
            <w:vAlign w:val="center"/>
          </w:tcPr>
          <w:p w14:paraId="29D1D328">
            <w:pPr>
              <w:tabs>
                <w:tab w:val="left" w:pos="5580"/>
              </w:tabs>
              <w:spacing w:line="240" w:lineRule="atLeast"/>
              <w:rPr>
                <w:rFonts w:hint="eastAsia" w:ascii="仿宋" w:hAnsi="仿宋" w:eastAsia="仿宋" w:cs="仿宋"/>
                <w:sz w:val="24"/>
                <w:highlight w:val="none"/>
              </w:rPr>
            </w:pPr>
            <w:r>
              <w:rPr>
                <w:rFonts w:hint="eastAsia" w:ascii="仿宋" w:hAnsi="仿宋" w:eastAsia="仿宋" w:cs="仿宋"/>
                <w:sz w:val="24"/>
                <w:highlight w:val="none"/>
              </w:rPr>
              <w:t>备注</w:t>
            </w:r>
          </w:p>
        </w:tc>
      </w:tr>
      <w:tr w14:paraId="4B558CF5">
        <w:tblPrEx>
          <w:tblCellMar>
            <w:top w:w="0" w:type="dxa"/>
            <w:left w:w="0" w:type="dxa"/>
            <w:bottom w:w="0" w:type="dxa"/>
            <w:right w:w="0" w:type="dxa"/>
          </w:tblCellMar>
        </w:tblPrEx>
        <w:trPr>
          <w:cantSplit/>
          <w:trHeight w:val="1640" w:hRule="atLeast"/>
        </w:trPr>
        <w:tc>
          <w:tcPr>
            <w:tcW w:w="1135" w:type="dxa"/>
            <w:tcBorders>
              <w:top w:val="single" w:color="auto" w:sz="8" w:space="0"/>
              <w:left w:val="single" w:color="auto" w:sz="4" w:space="0"/>
              <w:bottom w:val="single" w:color="auto" w:sz="4" w:space="0"/>
              <w:right w:val="single" w:color="auto" w:sz="4" w:space="0"/>
            </w:tcBorders>
            <w:vAlign w:val="center"/>
          </w:tcPr>
          <w:p w14:paraId="677B1153">
            <w:pPr>
              <w:tabs>
                <w:tab w:val="left" w:pos="5580"/>
              </w:tabs>
              <w:spacing w:line="240" w:lineRule="atLeast"/>
              <w:rPr>
                <w:rFonts w:hint="eastAsia" w:ascii="仿宋" w:hAnsi="仿宋" w:eastAsia="仿宋" w:cs="仿宋"/>
                <w:sz w:val="24"/>
                <w:highlight w:val="none"/>
              </w:rPr>
            </w:pPr>
          </w:p>
        </w:tc>
        <w:tc>
          <w:tcPr>
            <w:tcW w:w="2646" w:type="dxa"/>
            <w:tcBorders>
              <w:top w:val="single" w:color="auto" w:sz="8" w:space="0"/>
              <w:left w:val="single" w:color="auto" w:sz="8" w:space="0"/>
              <w:bottom w:val="single" w:color="auto" w:sz="4" w:space="0"/>
              <w:right w:val="single" w:color="auto" w:sz="4" w:space="0"/>
            </w:tcBorders>
            <w:vAlign w:val="center"/>
          </w:tcPr>
          <w:p w14:paraId="579C6A1D">
            <w:pPr>
              <w:tabs>
                <w:tab w:val="left" w:pos="5580"/>
              </w:tabs>
              <w:spacing w:line="240" w:lineRule="atLeast"/>
              <w:jc w:val="left"/>
              <w:rPr>
                <w:rFonts w:hint="eastAsia" w:ascii="仿宋" w:hAnsi="仿宋" w:eastAsia="仿宋" w:cs="仿宋"/>
                <w:highlight w:val="none"/>
              </w:rPr>
            </w:pPr>
            <w:r>
              <w:rPr>
                <w:rFonts w:hint="eastAsia" w:ascii="仿宋" w:hAnsi="仿宋" w:eastAsia="仿宋" w:cs="仿宋"/>
                <w:highlight w:val="none"/>
              </w:rPr>
              <w:t>大写：</w:t>
            </w:r>
          </w:p>
          <w:p w14:paraId="61F5BF56">
            <w:pPr>
              <w:pStyle w:val="16"/>
              <w:rPr>
                <w:rFonts w:hint="eastAsia" w:ascii="仿宋" w:hAnsi="仿宋" w:eastAsia="仿宋" w:cs="仿宋"/>
                <w:highlight w:val="none"/>
              </w:rPr>
            </w:pPr>
          </w:p>
          <w:p w14:paraId="22A16988">
            <w:pPr>
              <w:tabs>
                <w:tab w:val="left" w:pos="5580"/>
              </w:tabs>
              <w:spacing w:line="240" w:lineRule="atLeast"/>
              <w:jc w:val="left"/>
              <w:rPr>
                <w:rFonts w:hint="eastAsia" w:ascii="仿宋" w:hAnsi="仿宋" w:eastAsia="仿宋" w:cs="仿宋"/>
                <w:sz w:val="24"/>
                <w:highlight w:val="none"/>
              </w:rPr>
            </w:pPr>
            <w:r>
              <w:rPr>
                <w:rFonts w:hint="eastAsia" w:ascii="仿宋" w:hAnsi="仿宋" w:eastAsia="仿宋" w:cs="仿宋"/>
                <w:highlight w:val="none"/>
              </w:rPr>
              <w:t>小写：</w:t>
            </w:r>
          </w:p>
        </w:tc>
        <w:tc>
          <w:tcPr>
            <w:tcW w:w="1680" w:type="dxa"/>
            <w:tcBorders>
              <w:top w:val="single" w:color="auto" w:sz="8" w:space="0"/>
              <w:left w:val="nil"/>
              <w:bottom w:val="single" w:color="auto" w:sz="4" w:space="0"/>
              <w:right w:val="single" w:color="auto" w:sz="4" w:space="0"/>
            </w:tcBorders>
            <w:vAlign w:val="center"/>
          </w:tcPr>
          <w:p w14:paraId="27CE6A49">
            <w:pPr>
              <w:tabs>
                <w:tab w:val="left" w:pos="5580"/>
              </w:tabs>
              <w:spacing w:line="240" w:lineRule="atLeast"/>
              <w:ind w:left="1079" w:leftChars="257" w:hanging="540"/>
              <w:jc w:val="center"/>
              <w:rPr>
                <w:rFonts w:hint="eastAsia" w:ascii="仿宋" w:hAnsi="仿宋" w:eastAsia="仿宋" w:cs="仿宋"/>
                <w:sz w:val="24"/>
                <w:highlight w:val="none"/>
              </w:rPr>
            </w:pPr>
          </w:p>
        </w:tc>
        <w:tc>
          <w:tcPr>
            <w:tcW w:w="1815" w:type="dxa"/>
            <w:tcBorders>
              <w:top w:val="single" w:color="auto" w:sz="8" w:space="0"/>
              <w:left w:val="nil"/>
              <w:bottom w:val="single" w:color="auto" w:sz="4" w:space="0"/>
              <w:right w:val="single" w:color="auto" w:sz="4" w:space="0"/>
            </w:tcBorders>
            <w:vAlign w:val="center"/>
          </w:tcPr>
          <w:p w14:paraId="7AF84249">
            <w:pPr>
              <w:tabs>
                <w:tab w:val="left" w:pos="5580"/>
              </w:tabs>
              <w:spacing w:line="240" w:lineRule="atLeast"/>
              <w:rPr>
                <w:rFonts w:hint="eastAsia" w:ascii="仿宋" w:hAnsi="仿宋" w:eastAsia="仿宋" w:cs="仿宋"/>
                <w:sz w:val="24"/>
                <w:highlight w:val="none"/>
              </w:rPr>
            </w:pPr>
          </w:p>
        </w:tc>
        <w:tc>
          <w:tcPr>
            <w:tcW w:w="1395" w:type="dxa"/>
            <w:tcBorders>
              <w:top w:val="single" w:color="auto" w:sz="8" w:space="0"/>
              <w:left w:val="nil"/>
              <w:bottom w:val="single" w:color="auto" w:sz="4" w:space="0"/>
              <w:right w:val="single" w:color="auto" w:sz="4" w:space="0"/>
            </w:tcBorders>
            <w:vAlign w:val="center"/>
          </w:tcPr>
          <w:p w14:paraId="795CA321">
            <w:pPr>
              <w:tabs>
                <w:tab w:val="left" w:pos="5580"/>
              </w:tabs>
              <w:spacing w:line="240" w:lineRule="atLeast"/>
              <w:rPr>
                <w:rFonts w:hint="eastAsia" w:ascii="仿宋" w:hAnsi="仿宋" w:eastAsia="仿宋" w:cs="仿宋"/>
                <w:sz w:val="24"/>
                <w:highlight w:val="none"/>
              </w:rPr>
            </w:pPr>
          </w:p>
        </w:tc>
        <w:tc>
          <w:tcPr>
            <w:tcW w:w="960" w:type="dxa"/>
            <w:tcBorders>
              <w:top w:val="single" w:color="auto" w:sz="8" w:space="0"/>
              <w:left w:val="single" w:color="auto" w:sz="4" w:space="0"/>
              <w:bottom w:val="single" w:color="auto" w:sz="4" w:space="0"/>
              <w:right w:val="single" w:color="auto" w:sz="8" w:space="0"/>
            </w:tcBorders>
            <w:vAlign w:val="center"/>
          </w:tcPr>
          <w:p w14:paraId="721751F9">
            <w:pPr>
              <w:tabs>
                <w:tab w:val="left" w:pos="5580"/>
              </w:tabs>
              <w:spacing w:line="240" w:lineRule="atLeast"/>
              <w:rPr>
                <w:rFonts w:hint="eastAsia" w:ascii="仿宋" w:hAnsi="仿宋" w:eastAsia="仿宋" w:cs="仿宋"/>
                <w:sz w:val="24"/>
                <w:highlight w:val="none"/>
              </w:rPr>
            </w:pPr>
          </w:p>
        </w:tc>
      </w:tr>
    </w:tbl>
    <w:p w14:paraId="40C50ECC">
      <w:pPr>
        <w:pStyle w:val="16"/>
        <w:jc w:val="both"/>
        <w:rPr>
          <w:rFonts w:hint="eastAsia" w:ascii="仿宋" w:hAnsi="仿宋" w:eastAsia="仿宋" w:cs="仿宋"/>
          <w:color w:val="auto"/>
          <w:sz w:val="24"/>
        </w:rPr>
      </w:pPr>
    </w:p>
    <w:p w14:paraId="72AB4D66">
      <w:pPr>
        <w:pStyle w:val="16"/>
        <w:jc w:val="both"/>
        <w:rPr>
          <w:rFonts w:hint="eastAsia" w:ascii="仿宋" w:hAnsi="仿宋" w:eastAsia="仿宋" w:cs="仿宋"/>
          <w:color w:val="auto"/>
          <w:sz w:val="24"/>
        </w:rPr>
      </w:pPr>
    </w:p>
    <w:p w14:paraId="50D5F4C0">
      <w:pPr>
        <w:pStyle w:val="16"/>
        <w:jc w:val="both"/>
        <w:rPr>
          <w:rFonts w:hint="eastAsia" w:ascii="仿宋" w:hAnsi="仿宋" w:eastAsia="仿宋" w:cs="仿宋"/>
          <w:color w:val="auto"/>
          <w:sz w:val="24"/>
        </w:rPr>
      </w:pPr>
    </w:p>
    <w:p w14:paraId="11EC0FF0">
      <w:pPr>
        <w:pStyle w:val="16"/>
        <w:jc w:val="both"/>
        <w:rPr>
          <w:rFonts w:hint="eastAsia" w:ascii="仿宋" w:hAnsi="仿宋" w:eastAsia="仿宋" w:cs="仿宋"/>
          <w:color w:val="auto"/>
          <w:sz w:val="24"/>
        </w:rPr>
      </w:pPr>
    </w:p>
    <w:p w14:paraId="4B12680F">
      <w:pPr>
        <w:pStyle w:val="16"/>
        <w:jc w:val="both"/>
        <w:rPr>
          <w:rFonts w:hint="eastAsia" w:ascii="仿宋" w:hAnsi="仿宋" w:eastAsia="仿宋" w:cs="仿宋"/>
          <w:color w:val="auto"/>
          <w:sz w:val="24"/>
        </w:rPr>
      </w:pPr>
      <w:r>
        <w:rPr>
          <w:rFonts w:hint="eastAsia" w:ascii="仿宋" w:hAnsi="仿宋" w:eastAsia="仿宋" w:cs="仿宋"/>
          <w:color w:val="auto"/>
          <w:sz w:val="24"/>
        </w:rPr>
        <w:t>注：</w:t>
      </w:r>
    </w:p>
    <w:p w14:paraId="437B5B4F">
      <w:pPr>
        <w:pStyle w:val="16"/>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1. “开标一览表”中的报价包含招标文件中规定的所有采购货物且数量一致，报价应是最终用户验收合格后的总价，包括货物运输、保险、代理、安装调试、培训、税费及提供服务产生的一切费用等与本项目有关的一切费用。 </w:t>
      </w:r>
    </w:p>
    <w:p w14:paraId="75461F99">
      <w:pPr>
        <w:spacing w:line="360" w:lineRule="auto"/>
        <w:ind w:firstLine="470" w:firstLineChars="196"/>
        <w:rPr>
          <w:rFonts w:hint="eastAsia" w:ascii="仿宋" w:hAnsi="仿宋" w:eastAsia="仿宋" w:cs="仿宋"/>
          <w:color w:val="auto"/>
          <w:sz w:val="24"/>
          <w:lang w:eastAsia="zh-CN"/>
        </w:rPr>
      </w:pPr>
      <w:bookmarkStart w:id="677" w:name="_Toc13226"/>
      <w:bookmarkStart w:id="678" w:name="_Toc32608"/>
      <w:bookmarkStart w:id="679" w:name="_Toc2616"/>
      <w:bookmarkStart w:id="680" w:name="_Toc31653"/>
      <w:bookmarkStart w:id="681" w:name="_Toc4333"/>
      <w:bookmarkStart w:id="682" w:name="_Toc677"/>
      <w:r>
        <w:rPr>
          <w:rFonts w:hint="eastAsia" w:ascii="仿宋" w:hAnsi="仿宋" w:eastAsia="仿宋" w:cs="仿宋"/>
          <w:color w:val="auto"/>
          <w:sz w:val="24"/>
          <w:lang w:eastAsia="zh-CN"/>
        </w:rPr>
        <w:t>2.“开标一览表”为多页的，每页均需加盖投标人公章。</w:t>
      </w:r>
      <w:bookmarkEnd w:id="677"/>
      <w:bookmarkEnd w:id="678"/>
      <w:bookmarkEnd w:id="679"/>
      <w:bookmarkEnd w:id="680"/>
      <w:bookmarkEnd w:id="681"/>
      <w:bookmarkEnd w:id="682"/>
    </w:p>
    <w:p w14:paraId="48629A63">
      <w:pPr>
        <w:spacing w:line="360" w:lineRule="auto"/>
        <w:ind w:firstLine="470" w:firstLineChars="196"/>
        <w:rPr>
          <w:rFonts w:hint="eastAsia" w:ascii="仿宋" w:hAnsi="仿宋" w:eastAsia="仿宋" w:cs="仿宋"/>
          <w:color w:val="auto"/>
          <w:sz w:val="24"/>
          <w:lang w:eastAsia="zh-CN"/>
        </w:rPr>
      </w:pPr>
      <w:bookmarkStart w:id="683" w:name="_Toc4215"/>
      <w:bookmarkStart w:id="684" w:name="_Toc24640"/>
      <w:bookmarkStart w:id="685" w:name="_Toc24080"/>
      <w:bookmarkStart w:id="686" w:name="_Toc16295"/>
      <w:bookmarkStart w:id="687" w:name="_Toc7822"/>
      <w:bookmarkStart w:id="688" w:name="_Toc18302"/>
    </w:p>
    <w:bookmarkEnd w:id="683"/>
    <w:bookmarkEnd w:id="684"/>
    <w:bookmarkEnd w:id="685"/>
    <w:bookmarkEnd w:id="686"/>
    <w:bookmarkEnd w:id="687"/>
    <w:bookmarkEnd w:id="688"/>
    <w:p w14:paraId="222A1754">
      <w:pPr>
        <w:ind w:firstLine="120" w:firstLineChars="50"/>
        <w:rPr>
          <w:rFonts w:hint="eastAsia" w:ascii="仿宋" w:hAnsi="仿宋" w:eastAsia="仿宋" w:cs="仿宋"/>
          <w:color w:val="auto"/>
          <w:sz w:val="24"/>
          <w:lang w:val="zh-CN" w:eastAsia="zh-CN"/>
        </w:rPr>
      </w:pPr>
      <w:bookmarkStart w:id="689" w:name="_Toc29899"/>
      <w:bookmarkStart w:id="690" w:name="_Toc515647805"/>
      <w:bookmarkStart w:id="691" w:name="_Toc17577"/>
      <w:bookmarkStart w:id="692" w:name="_Toc608"/>
    </w:p>
    <w:p w14:paraId="31E1C40E">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供应商名称（公章）：</w:t>
      </w:r>
    </w:p>
    <w:p w14:paraId="6D60D1D8">
      <w:pPr>
        <w:spacing w:line="360" w:lineRule="auto"/>
        <w:ind w:firstLine="470" w:firstLineChars="196"/>
        <w:rPr>
          <w:rFonts w:hint="eastAsia" w:ascii="仿宋" w:hAnsi="仿宋" w:eastAsia="仿宋" w:cs="仿宋"/>
          <w:color w:val="auto"/>
          <w:sz w:val="24"/>
          <w:lang w:val="zh-CN" w:eastAsia="zh-CN"/>
        </w:rPr>
      </w:pPr>
    </w:p>
    <w:p w14:paraId="55AC5EEB">
      <w:pPr>
        <w:spacing w:line="360" w:lineRule="auto"/>
        <w:ind w:firstLine="470" w:firstLineChars="196"/>
        <w:rPr>
          <w:rFonts w:hint="eastAsia" w:ascii="仿宋" w:hAnsi="仿宋" w:eastAsia="仿宋" w:cs="仿宋"/>
          <w:color w:val="auto"/>
          <w:sz w:val="24"/>
          <w:u w:val="single"/>
          <w:lang w:val="zh-CN" w:eastAsia="zh-CN"/>
        </w:rPr>
      </w:pPr>
      <w:r>
        <w:rPr>
          <w:rFonts w:hint="eastAsia" w:ascii="仿宋" w:hAnsi="仿宋" w:eastAsia="仿宋" w:cs="仿宋"/>
          <w:color w:val="auto"/>
          <w:sz w:val="24"/>
          <w:lang w:val="zh-CN" w:eastAsia="zh-CN"/>
        </w:rPr>
        <w:t>法定代表人或其授权代表（签字或盖章）：</w:t>
      </w:r>
      <w:r>
        <w:rPr>
          <w:rFonts w:hint="eastAsia" w:ascii="仿宋" w:hAnsi="仿宋" w:eastAsia="仿宋" w:cs="仿宋"/>
          <w:color w:val="auto"/>
          <w:sz w:val="24"/>
          <w:u w:val="single"/>
          <w:lang w:val="zh-CN" w:eastAsia="zh-CN"/>
        </w:rPr>
        <w:t xml:space="preserve">   </w:t>
      </w:r>
    </w:p>
    <w:p w14:paraId="3121DC1B">
      <w:pPr>
        <w:spacing w:line="360" w:lineRule="auto"/>
        <w:ind w:firstLine="470" w:firstLineChars="196"/>
        <w:rPr>
          <w:rFonts w:hint="eastAsia" w:ascii="仿宋" w:hAnsi="仿宋" w:eastAsia="仿宋" w:cs="仿宋"/>
          <w:color w:val="auto"/>
          <w:sz w:val="24"/>
          <w:u w:val="single"/>
          <w:lang w:val="zh-CN" w:eastAsia="zh-CN"/>
        </w:rPr>
      </w:pPr>
    </w:p>
    <w:p w14:paraId="6F25FD06">
      <w:pPr>
        <w:spacing w:line="360" w:lineRule="auto"/>
        <w:ind w:firstLine="470" w:firstLineChars="196"/>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日期：</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年</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月</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eastAsia="zh-CN"/>
        </w:rPr>
        <w:t>日</w:t>
      </w:r>
    </w:p>
    <w:p w14:paraId="15E23974">
      <w:pPr>
        <w:spacing w:line="360" w:lineRule="auto"/>
        <w:ind w:firstLine="470" w:firstLineChars="196"/>
        <w:rPr>
          <w:rFonts w:hint="eastAsia" w:ascii="仿宋" w:hAnsi="仿宋" w:eastAsia="仿宋" w:cs="仿宋"/>
          <w:color w:val="auto"/>
          <w:sz w:val="24"/>
          <w:lang w:val="zh-CN" w:eastAsia="zh-CN"/>
        </w:rPr>
      </w:pPr>
    </w:p>
    <w:p w14:paraId="57C5A7DB">
      <w:pPr>
        <w:spacing w:line="360" w:lineRule="auto"/>
        <w:ind w:firstLine="470" w:firstLineChars="196"/>
        <w:rPr>
          <w:rFonts w:hint="eastAsia" w:ascii="仿宋" w:hAnsi="仿宋" w:eastAsia="仿宋" w:cs="仿宋"/>
          <w:color w:val="auto"/>
          <w:sz w:val="24"/>
          <w:lang w:val="zh-CN" w:eastAsia="zh-CN"/>
        </w:rPr>
      </w:pPr>
    </w:p>
    <w:p w14:paraId="24BC780A">
      <w:pPr>
        <w:spacing w:line="360" w:lineRule="auto"/>
        <w:ind w:firstLine="470" w:firstLineChars="196"/>
        <w:rPr>
          <w:rFonts w:hint="eastAsia" w:ascii="仿宋" w:hAnsi="仿宋" w:eastAsia="仿宋" w:cs="仿宋"/>
          <w:color w:val="auto"/>
          <w:sz w:val="24"/>
          <w:lang w:val="zh-CN" w:eastAsia="zh-CN"/>
        </w:rPr>
      </w:pPr>
    </w:p>
    <w:p w14:paraId="461FF69C">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7B9B0C40">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693" w:name="_Toc5194"/>
      <w:bookmarkStart w:id="694" w:name="_Toc14381"/>
      <w:bookmarkStart w:id="695" w:name="_Toc2685"/>
      <w:bookmarkStart w:id="696" w:name="_Toc9524"/>
      <w:bookmarkStart w:id="697" w:name="_Toc18942"/>
      <w:bookmarkStart w:id="698" w:name="_Toc18028"/>
      <w:bookmarkStart w:id="699" w:name="_Toc3097"/>
      <w:bookmarkStart w:id="700" w:name="_Toc22243"/>
      <w:bookmarkStart w:id="701" w:name="_Toc6477"/>
      <w:bookmarkStart w:id="702" w:name="_Toc12928"/>
      <w:r>
        <w:rPr>
          <w:rFonts w:hint="eastAsia" w:ascii="仿宋" w:hAnsi="仿宋" w:eastAsia="仿宋" w:cs="仿宋"/>
          <w:color w:val="auto"/>
          <w:u w:val="none"/>
          <w:lang w:eastAsia="zh-CN"/>
        </w:rPr>
        <w:t>2  法人或者非法人组织的营业执照等证明文件</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09B91E9D">
      <w:pPr>
        <w:pStyle w:val="11"/>
        <w:tabs>
          <w:tab w:val="left" w:pos="5580"/>
        </w:tabs>
        <w:spacing w:line="288" w:lineRule="auto"/>
        <w:ind w:left="1079" w:leftChars="257" w:hanging="540"/>
        <w:jc w:val="center"/>
        <w:rPr>
          <w:rFonts w:hint="eastAsia" w:ascii="仿宋" w:hAnsi="仿宋" w:eastAsia="仿宋" w:cs="仿宋"/>
          <w:b/>
          <w:color w:val="auto"/>
          <w:sz w:val="24"/>
          <w:lang w:eastAsia="zh-CN"/>
        </w:rPr>
      </w:pPr>
    </w:p>
    <w:p w14:paraId="336D2E8F">
      <w:pPr>
        <w:pStyle w:val="11"/>
        <w:tabs>
          <w:tab w:val="left" w:pos="5580"/>
        </w:tabs>
        <w:spacing w:line="288" w:lineRule="auto"/>
        <w:rPr>
          <w:rFonts w:hint="eastAsia" w:ascii="仿宋" w:hAnsi="仿宋" w:eastAsia="仿宋" w:cs="仿宋"/>
          <w:b/>
          <w:color w:val="auto"/>
          <w:sz w:val="24"/>
          <w:lang w:eastAsia="zh-CN"/>
        </w:rPr>
      </w:pPr>
    </w:p>
    <w:p w14:paraId="29F45B47">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说明：1.提供有效的营业执照等证明文件复印件，复印件上应加盖本单位章。</w:t>
      </w:r>
    </w:p>
    <w:p w14:paraId="5973D32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 投标人为自然人的，应提供身份证明的复印件。</w:t>
      </w:r>
    </w:p>
    <w:p w14:paraId="73A1898A">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3.联合体投标应提供联合体各方满足以上要求的证明文件。</w:t>
      </w:r>
    </w:p>
    <w:p w14:paraId="349EF172">
      <w:pPr>
        <w:pStyle w:val="11"/>
        <w:tabs>
          <w:tab w:val="left" w:pos="5580"/>
        </w:tabs>
        <w:spacing w:line="288" w:lineRule="auto"/>
        <w:rPr>
          <w:rFonts w:hint="eastAsia" w:ascii="仿宋" w:hAnsi="仿宋" w:eastAsia="仿宋" w:cs="仿宋"/>
          <w:color w:val="auto"/>
          <w:sz w:val="24"/>
          <w:lang w:eastAsia="zh-CN"/>
        </w:rPr>
      </w:pPr>
    </w:p>
    <w:p w14:paraId="765B416C">
      <w:pPr>
        <w:pStyle w:val="11"/>
        <w:tabs>
          <w:tab w:val="left" w:pos="5580"/>
        </w:tabs>
        <w:spacing w:line="288" w:lineRule="auto"/>
        <w:rPr>
          <w:rFonts w:hint="eastAsia" w:ascii="仿宋" w:hAnsi="仿宋" w:eastAsia="仿宋" w:cs="仿宋"/>
          <w:color w:val="auto"/>
          <w:sz w:val="24"/>
          <w:lang w:eastAsia="zh-CN"/>
        </w:rPr>
      </w:pPr>
    </w:p>
    <w:p w14:paraId="1ABEEC85">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03" w:name="_Toc1578"/>
      <w:bookmarkStart w:id="704" w:name="_Toc12767"/>
      <w:bookmarkStart w:id="705" w:name="_Toc13066"/>
      <w:bookmarkStart w:id="706" w:name="_Toc3498"/>
      <w:bookmarkStart w:id="707" w:name="_Toc26259"/>
      <w:bookmarkStart w:id="708" w:name="_Toc23004_WPSOffice_Level2"/>
      <w:bookmarkStart w:id="709" w:name="_Toc3865"/>
      <w:bookmarkStart w:id="710" w:name="_Toc25159"/>
      <w:bookmarkStart w:id="711" w:name="_Toc29158"/>
      <w:bookmarkStart w:id="712" w:name="_Toc31591"/>
      <w:bookmarkStart w:id="713" w:name="_Toc21673"/>
      <w:bookmarkStart w:id="714" w:name="_Toc26563"/>
      <w:bookmarkStart w:id="715" w:name="_Toc31870"/>
      <w:r>
        <w:rPr>
          <w:rFonts w:hint="eastAsia" w:ascii="仿宋" w:hAnsi="仿宋" w:eastAsia="仿宋" w:cs="仿宋"/>
          <w:color w:val="auto"/>
          <w:u w:val="none"/>
          <w:lang w:eastAsia="zh-CN"/>
        </w:rPr>
        <w:t>3  法定代表人身份证明</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5618A4A7">
      <w:pPr>
        <w:rPr>
          <w:rFonts w:hint="eastAsia" w:ascii="仿宋" w:hAnsi="仿宋" w:eastAsia="仿宋" w:cs="仿宋"/>
          <w:color w:val="auto"/>
          <w:lang w:eastAsia="zh-CN"/>
        </w:rPr>
      </w:pPr>
    </w:p>
    <w:p w14:paraId="5710F2C0">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同志，现任我单位</w:t>
      </w:r>
      <w:r>
        <w:rPr>
          <w:rFonts w:hint="eastAsia" w:ascii="仿宋" w:hAnsi="仿宋" w:eastAsia="仿宋" w:cs="仿宋"/>
          <w:color w:val="auto"/>
          <w:sz w:val="24"/>
          <w:szCs w:val="20"/>
          <w:u w:val="single" w:color="000000"/>
          <w:lang w:eastAsia="zh-CN"/>
        </w:rPr>
        <w:t xml:space="preserve">          职</w:t>
      </w:r>
      <w:r>
        <w:rPr>
          <w:rFonts w:hint="eastAsia" w:ascii="仿宋" w:hAnsi="仿宋" w:eastAsia="仿宋" w:cs="仿宋"/>
          <w:color w:val="auto"/>
          <w:sz w:val="24"/>
          <w:szCs w:val="20"/>
          <w:lang w:eastAsia="zh-CN"/>
        </w:rPr>
        <w:t>务，为法定代表人，特此证明。</w:t>
      </w:r>
    </w:p>
    <w:p w14:paraId="1C775AC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签发日期：                  单位：          </w:t>
      </w:r>
    </w:p>
    <w:p w14:paraId="7C71D5B9">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附：代表人性别：            年龄：           身份证号码：</w:t>
      </w:r>
    </w:p>
    <w:p w14:paraId="58EAFB6D">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联系电话：</w:t>
      </w:r>
    </w:p>
    <w:p w14:paraId="5FC3150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营业执照号码：         </w:t>
      </w:r>
    </w:p>
    <w:p w14:paraId="3E6F36C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说明：</w:t>
      </w:r>
    </w:p>
    <w:p w14:paraId="53C569E3">
      <w:pPr>
        <w:spacing w:line="360" w:lineRule="auto"/>
        <w:ind w:firstLine="240" w:firstLineChars="100"/>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1、法定代表人为企业事业单位、国家机关、社会团体的主要行政负责人。</w:t>
      </w:r>
    </w:p>
    <w:p w14:paraId="779ED016">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  2、内容必须填写真实、清楚、涂改无效，不得转让。</w:t>
      </w:r>
    </w:p>
    <w:p w14:paraId="5C4868FD">
      <w:pPr>
        <w:spacing w:line="360" w:lineRule="auto"/>
        <w:rPr>
          <w:rFonts w:hint="eastAsia" w:ascii="仿宋" w:hAnsi="仿宋" w:eastAsia="仿宋" w:cs="仿宋"/>
          <w:color w:val="auto"/>
          <w:sz w:val="24"/>
          <w:szCs w:val="20"/>
          <w:lang w:eastAsia="zh-CN"/>
        </w:rPr>
      </w:pPr>
      <w:r>
        <w:rPr>
          <w:rFonts w:hint="eastAsia" w:ascii="仿宋" w:hAnsi="仿宋" w:eastAsia="仿宋" w:cs="仿宋"/>
          <w:color w:val="auto"/>
          <w:sz w:val="24"/>
          <w:szCs w:val="20"/>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2336;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663DFE0B">
                      <w:pPr>
                        <w:jc w:val="center"/>
                        <w:rPr>
                          <w:rFonts w:hAnsi="宋体"/>
                        </w:rPr>
                      </w:pPr>
                    </w:p>
                    <w:p w14:paraId="1459313E">
                      <w:pPr>
                        <w:jc w:val="center"/>
                        <w:rPr>
                          <w:rFonts w:hAnsi="宋体"/>
                        </w:rPr>
                      </w:pPr>
                    </w:p>
                    <w:p w14:paraId="23F9560A">
                      <w:pPr>
                        <w:jc w:val="center"/>
                        <w:rPr>
                          <w:rFonts w:hAnsi="宋体"/>
                        </w:rPr>
                      </w:pPr>
                    </w:p>
                    <w:p w14:paraId="74BF6B9C">
                      <w:pPr>
                        <w:jc w:val="center"/>
                        <w:rPr>
                          <w:lang w:eastAsia="zh-CN"/>
                        </w:rPr>
                      </w:pPr>
                      <w:r>
                        <w:rPr>
                          <w:rFonts w:hint="eastAsia" w:hAnsi="宋体"/>
                          <w:lang w:eastAsia="zh-CN"/>
                        </w:rPr>
                        <w:t>法定代表人身份证复印件</w:t>
                      </w:r>
                    </w:p>
                  </w:txbxContent>
                </v:textbox>
              </v:shape>
            </w:pict>
          </mc:Fallback>
        </mc:AlternateContent>
      </w:r>
      <w:r>
        <w:rPr>
          <w:rFonts w:hint="eastAsia" w:ascii="仿宋" w:hAnsi="仿宋" w:eastAsia="仿宋" w:cs="仿宋"/>
          <w:color w:val="auto"/>
          <w:sz w:val="24"/>
          <w:szCs w:val="20"/>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6"/>
                            </w:pPr>
                          </w:p>
                          <w:p w14:paraId="7CAF3D4D">
                            <w:pPr>
                              <w:pStyle w:val="6"/>
                            </w:pPr>
                          </w:p>
                          <w:p w14:paraId="54C28DA7">
                            <w:pPr>
                              <w:pStyle w:val="6"/>
                            </w:pPr>
                          </w:p>
                          <w:p w14:paraId="1CEA0BAF">
                            <w:pPr>
                              <w:pStyle w:val="6"/>
                            </w:pPr>
                          </w:p>
                        </w:txbxContent>
                      </wps:txbx>
                      <wps:bodyPr upright="1"/>
                    </wps:wsp>
                  </a:graphicData>
                </a:graphic>
              </wp:anchor>
            </w:drawing>
          </mc:Choice>
          <mc:Fallback>
            <w:pict>
              <v:roundrect id="_x0000_s1026" o:spid="_x0000_s1026" o:spt="2" style="position:absolute;left:0pt;margin-left:229.8pt;margin-top:2.25pt;height:126.45pt;width:199.15pt;z-index:251663360;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16979969">
                      <w:pPr>
                        <w:jc w:val="center"/>
                        <w:rPr>
                          <w:rFonts w:hAnsi="宋体"/>
                        </w:rPr>
                      </w:pPr>
                    </w:p>
                    <w:p w14:paraId="3E6BC0EF">
                      <w:pPr>
                        <w:jc w:val="center"/>
                        <w:rPr>
                          <w:rFonts w:hAnsi="宋体"/>
                        </w:rPr>
                      </w:pPr>
                    </w:p>
                    <w:p w14:paraId="2D4FBB0C">
                      <w:pPr>
                        <w:jc w:val="center"/>
                        <w:rPr>
                          <w:rFonts w:hAnsi="宋体"/>
                        </w:rPr>
                      </w:pPr>
                    </w:p>
                    <w:p w14:paraId="1E83C12E">
                      <w:pPr>
                        <w:jc w:val="center"/>
                      </w:pPr>
                      <w:r>
                        <w:rPr>
                          <w:rFonts w:hint="eastAsia" w:hAnsi="宋体"/>
                        </w:rPr>
                        <w:t>法人身份证复印件反面</w:t>
                      </w:r>
                    </w:p>
                    <w:p w14:paraId="6910CA5C"/>
                    <w:p w14:paraId="0584D981">
                      <w:pPr>
                        <w:pStyle w:val="6"/>
                      </w:pPr>
                    </w:p>
                    <w:p w14:paraId="7CAF3D4D">
                      <w:pPr>
                        <w:pStyle w:val="6"/>
                      </w:pPr>
                    </w:p>
                    <w:p w14:paraId="54C28DA7">
                      <w:pPr>
                        <w:pStyle w:val="6"/>
                      </w:pPr>
                    </w:p>
                    <w:p w14:paraId="1CEA0BAF">
                      <w:pPr>
                        <w:pStyle w:val="6"/>
                      </w:pPr>
                    </w:p>
                  </w:txbxContent>
                </v:textbox>
              </v:roundrect>
            </w:pict>
          </mc:Fallback>
        </mc:AlternateContent>
      </w:r>
    </w:p>
    <w:p w14:paraId="5018F297">
      <w:pPr>
        <w:spacing w:line="360" w:lineRule="auto"/>
        <w:rPr>
          <w:rFonts w:hint="eastAsia" w:ascii="仿宋" w:hAnsi="仿宋" w:eastAsia="仿宋" w:cs="仿宋"/>
          <w:color w:val="auto"/>
          <w:sz w:val="24"/>
          <w:szCs w:val="20"/>
          <w:lang w:eastAsia="zh-CN"/>
        </w:rPr>
      </w:pPr>
    </w:p>
    <w:p w14:paraId="046B9B32">
      <w:pPr>
        <w:spacing w:line="360" w:lineRule="auto"/>
        <w:rPr>
          <w:rFonts w:hint="eastAsia" w:ascii="仿宋" w:hAnsi="仿宋" w:eastAsia="仿宋" w:cs="仿宋"/>
          <w:color w:val="auto"/>
          <w:sz w:val="24"/>
          <w:szCs w:val="20"/>
          <w:lang w:eastAsia="zh-CN"/>
        </w:rPr>
      </w:pPr>
    </w:p>
    <w:p w14:paraId="1C5F49E6">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0"/>
          <w:lang w:eastAsia="zh-CN"/>
        </w:rPr>
      </w:pPr>
    </w:p>
    <w:p w14:paraId="36AFE8CC">
      <w:pPr>
        <w:spacing w:line="360" w:lineRule="auto"/>
        <w:ind w:right="246"/>
        <w:rPr>
          <w:rFonts w:hint="eastAsia" w:ascii="仿宋" w:hAnsi="仿宋" w:eastAsia="仿宋" w:cs="仿宋"/>
          <w:color w:val="auto"/>
          <w:sz w:val="24"/>
          <w:szCs w:val="20"/>
          <w:lang w:eastAsia="zh-CN"/>
        </w:rPr>
      </w:pPr>
    </w:p>
    <w:p w14:paraId="4949DCF5">
      <w:pPr>
        <w:spacing w:line="360" w:lineRule="auto"/>
        <w:ind w:right="246" w:firstLine="784" w:firstLineChars="327"/>
        <w:rPr>
          <w:rFonts w:hint="eastAsia" w:ascii="仿宋" w:hAnsi="仿宋" w:eastAsia="仿宋" w:cs="仿宋"/>
          <w:color w:val="auto"/>
          <w:sz w:val="24"/>
          <w:szCs w:val="20"/>
          <w:lang w:eastAsia="zh-CN"/>
        </w:rPr>
      </w:pPr>
    </w:p>
    <w:p w14:paraId="4AB8BBF5">
      <w:pPr>
        <w:spacing w:line="360" w:lineRule="auto"/>
        <w:ind w:right="246" w:firstLine="784" w:firstLineChars="327"/>
        <w:rPr>
          <w:rFonts w:hint="eastAsia" w:ascii="仿宋" w:hAnsi="仿宋" w:eastAsia="仿宋" w:cs="仿宋"/>
          <w:color w:val="auto"/>
          <w:sz w:val="24"/>
          <w:szCs w:val="20"/>
          <w:lang w:eastAsia="zh-CN"/>
        </w:rPr>
      </w:pPr>
    </w:p>
    <w:p w14:paraId="4DBCCF28">
      <w:pPr>
        <w:spacing w:line="360" w:lineRule="auto"/>
        <w:ind w:right="246"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供应商（盖章）：                              </w:t>
      </w:r>
    </w:p>
    <w:p w14:paraId="6E743D60">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法定代表人签字或盖章：                    </w:t>
      </w:r>
    </w:p>
    <w:p w14:paraId="734CE36A">
      <w:pPr>
        <w:spacing w:line="360" w:lineRule="auto"/>
        <w:ind w:firstLine="784" w:firstLineChars="327"/>
        <w:rPr>
          <w:rFonts w:hint="eastAsia" w:ascii="仿宋" w:hAnsi="仿宋" w:eastAsia="仿宋" w:cs="仿宋"/>
          <w:color w:val="auto"/>
          <w:sz w:val="24"/>
          <w:szCs w:val="20"/>
          <w:lang w:eastAsia="zh-CN"/>
        </w:rPr>
      </w:pPr>
      <w:r>
        <w:rPr>
          <w:rFonts w:hint="eastAsia" w:ascii="仿宋" w:hAnsi="仿宋" w:eastAsia="仿宋" w:cs="仿宋"/>
          <w:color w:val="auto"/>
          <w:sz w:val="24"/>
          <w:szCs w:val="20"/>
          <w:lang w:eastAsia="zh-CN"/>
        </w:rPr>
        <w:t xml:space="preserve">日期：                                       </w:t>
      </w:r>
    </w:p>
    <w:p w14:paraId="47172E3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D80E76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7C3855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EBC21C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A9B821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C1806F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E42EE9E">
      <w:pPr>
        <w:jc w:val="center"/>
        <w:rPr>
          <w:rFonts w:hint="eastAsia" w:ascii="仿宋" w:hAnsi="仿宋" w:eastAsia="仿宋" w:cs="仿宋"/>
          <w:b/>
          <w:bCs/>
          <w:color w:val="auto"/>
          <w:sz w:val="20"/>
          <w:lang w:eastAsia="zh-CN"/>
        </w:rPr>
      </w:pPr>
    </w:p>
    <w:p w14:paraId="070BBD25">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16" w:name="_Toc6725"/>
      <w:bookmarkStart w:id="717" w:name="_Toc18802"/>
      <w:bookmarkStart w:id="718" w:name="_Toc19476"/>
      <w:r>
        <w:rPr>
          <w:rFonts w:hint="eastAsia" w:ascii="仿宋" w:hAnsi="仿宋" w:eastAsia="仿宋" w:cs="仿宋"/>
          <w:color w:val="auto"/>
          <w:u w:val="none"/>
          <w:lang w:eastAsia="zh-CN"/>
        </w:rPr>
        <w:t>4  法定代表人授权委托书</w:t>
      </w:r>
      <w:bookmarkEnd w:id="716"/>
      <w:bookmarkEnd w:id="717"/>
      <w:bookmarkEnd w:id="718"/>
    </w:p>
    <w:p w14:paraId="3ECCE7AB">
      <w:pPr>
        <w:rPr>
          <w:rFonts w:hint="eastAsia" w:ascii="仿宋" w:hAnsi="仿宋" w:eastAsia="仿宋" w:cs="仿宋"/>
          <w:color w:val="auto"/>
          <w:lang w:eastAsia="zh-CN"/>
        </w:rPr>
      </w:pPr>
    </w:p>
    <w:p w14:paraId="5FBC36A1">
      <w:pPr>
        <w:pStyle w:val="11"/>
        <w:tabs>
          <w:tab w:val="left" w:pos="5580"/>
        </w:tabs>
        <w:kinsoku/>
        <w:autoSpaceDE/>
        <w:autoSpaceDN/>
        <w:adjustRightInd/>
        <w:snapToGrid/>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本授权书声明：注册于</w:t>
      </w:r>
      <w:r>
        <w:rPr>
          <w:rFonts w:hint="eastAsia" w:ascii="仿宋" w:hAnsi="仿宋" w:eastAsia="仿宋" w:cs="仿宋"/>
          <w:color w:val="auto"/>
          <w:sz w:val="24"/>
          <w:u w:val="single"/>
          <w:lang w:eastAsia="zh-CN"/>
        </w:rPr>
        <w:t>（国家或地区的名称）</w:t>
      </w:r>
      <w:r>
        <w:rPr>
          <w:rFonts w:hint="eastAsia" w:ascii="仿宋" w:hAnsi="仿宋" w:eastAsia="仿宋" w:cs="仿宋"/>
          <w:color w:val="auto"/>
          <w:sz w:val="24"/>
          <w:lang w:eastAsia="zh-CN"/>
        </w:rPr>
        <w:t>的</w:t>
      </w:r>
      <w:r>
        <w:rPr>
          <w:rFonts w:hint="eastAsia" w:ascii="仿宋" w:hAnsi="仿宋" w:eastAsia="仿宋" w:cs="仿宋"/>
          <w:color w:val="auto"/>
          <w:sz w:val="24"/>
          <w:u w:val="single"/>
          <w:lang w:eastAsia="zh-CN"/>
        </w:rPr>
        <w:t>（供应商）</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（法人代表姓名、职务）</w:t>
      </w:r>
      <w:r>
        <w:rPr>
          <w:rFonts w:hint="eastAsia" w:ascii="仿宋" w:hAnsi="仿宋" w:eastAsia="仿宋" w:cs="仿宋"/>
          <w:color w:val="auto"/>
          <w:sz w:val="24"/>
          <w:lang w:eastAsia="zh-CN"/>
        </w:rPr>
        <w:t>代表我单位授权</w:t>
      </w:r>
      <w:r>
        <w:rPr>
          <w:rFonts w:hint="eastAsia" w:ascii="仿宋" w:hAnsi="仿宋" w:eastAsia="仿宋" w:cs="仿宋"/>
          <w:color w:val="auto"/>
          <w:sz w:val="24"/>
          <w:u w:val="single"/>
          <w:lang w:eastAsia="zh-CN"/>
        </w:rPr>
        <w:t>（单位名称）</w:t>
      </w:r>
      <w:r>
        <w:rPr>
          <w:rFonts w:hint="eastAsia" w:ascii="仿宋" w:hAnsi="仿宋" w:eastAsia="仿宋" w:cs="仿宋"/>
          <w:color w:val="auto"/>
          <w:sz w:val="24"/>
          <w:lang w:eastAsia="zh-CN"/>
        </w:rPr>
        <w:t>的在下面签字的</w:t>
      </w:r>
      <w:r>
        <w:rPr>
          <w:rFonts w:hint="eastAsia" w:ascii="仿宋" w:hAnsi="仿宋" w:eastAsia="仿宋" w:cs="仿宋"/>
          <w:color w:val="auto"/>
          <w:sz w:val="24"/>
          <w:u w:val="single"/>
          <w:lang w:eastAsia="zh-CN"/>
        </w:rPr>
        <w:t>（被授权人的姓名、职务）</w:t>
      </w:r>
      <w:r>
        <w:rPr>
          <w:rFonts w:hint="eastAsia" w:ascii="仿宋" w:hAnsi="仿宋" w:eastAsia="仿宋" w:cs="仿宋"/>
          <w:color w:val="auto"/>
          <w:sz w:val="24"/>
          <w:lang w:eastAsia="zh-CN"/>
        </w:rPr>
        <w:t>为我单位的合法代理人，就项目名称</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项目编号</w:t>
      </w:r>
      <w:r>
        <w:rPr>
          <w:rFonts w:hint="eastAsia" w:ascii="仿宋" w:hAnsi="仿宋" w:eastAsia="仿宋" w:cs="仿宋"/>
          <w:color w:val="auto"/>
          <w:sz w:val="24"/>
          <w:u w:val="single"/>
          <w:lang w:eastAsia="zh-CN"/>
        </w:rPr>
        <w:t>（编号名称）</w:t>
      </w:r>
      <w:r>
        <w:rPr>
          <w:rFonts w:hint="eastAsia" w:ascii="仿宋" w:hAnsi="仿宋" w:eastAsia="仿宋" w:cs="仿宋"/>
          <w:color w:val="auto"/>
          <w:sz w:val="24"/>
          <w:lang w:eastAsia="zh-CN"/>
        </w:rPr>
        <w:t>公开招标，以我单位名义处理一切与之有关的事务。</w:t>
      </w:r>
      <w:r>
        <w:rPr>
          <w:rFonts w:hint="eastAsia" w:ascii="仿宋" w:hAnsi="仿宋" w:eastAsia="仿宋" w:cs="仿宋"/>
          <w:color w:val="auto"/>
          <w:sz w:val="24"/>
          <w:lang w:eastAsia="zh-CN"/>
        </w:rPr>
        <w:cr/>
      </w:r>
    </w:p>
    <w:p w14:paraId="13B7F709">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5408"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wps:txbx>
                      <wps:bodyPr upright="1"/>
                    </wps:wsp>
                  </a:graphicData>
                </a:graphic>
              </wp:anchor>
            </w:drawing>
          </mc:Choice>
          <mc:Fallback>
            <w:pict>
              <v:roundrect id="_x0000_s1026" o:spid="_x0000_s1026" o:spt="2" style="position:absolute;left:0pt;margin-left:221.3pt;margin-top:46.55pt;height:112.2pt;width:197.4pt;z-index:251665408;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74E67EED">
                      <w:pPr>
                        <w:rPr>
                          <w:rFonts w:hAnsi="宋体"/>
                        </w:rPr>
                      </w:pPr>
                    </w:p>
                    <w:p w14:paraId="7BDFB2BA">
                      <w:pPr>
                        <w:rPr>
                          <w:rFonts w:hAnsi="宋体"/>
                        </w:rPr>
                      </w:pPr>
                    </w:p>
                    <w:p w14:paraId="221089FB">
                      <w:pPr>
                        <w:rPr>
                          <w:lang w:eastAsia="zh-CN"/>
                        </w:rPr>
                      </w:pPr>
                      <w:r>
                        <w:rPr>
                          <w:rFonts w:hint="eastAsia" w:hAnsi="宋体"/>
                          <w:lang w:eastAsia="zh-CN"/>
                        </w:rPr>
                        <w:t>授权委托人身份证复印件反面</w:t>
                      </w:r>
                    </w:p>
                    <w:p w14:paraId="3EBD25B9">
                      <w:pPr>
                        <w:rPr>
                          <w:lang w:eastAsia="zh-CN"/>
                        </w:rPr>
                      </w:pPr>
                    </w:p>
                  </w:txbxContent>
                </v:textbox>
              </v:roundrect>
            </w:pict>
          </mc:Fallback>
        </mc:AlternateContent>
      </w:r>
      <w:r>
        <w:rPr>
          <w:rFonts w:hint="eastAsia" w:ascii="仿宋" w:hAnsi="仿宋" w:eastAsia="仿宋" w:cs="仿宋"/>
          <w:color w:val="auto"/>
          <w:sz w:val="24"/>
          <w:lang w:eastAsia="zh-CN"/>
        </w:rPr>
        <w:t>本授权书于           年     月     日签字生效,特此声明。</w:t>
      </w:r>
      <w:r>
        <w:rPr>
          <w:rFonts w:hint="eastAsia" w:ascii="仿宋" w:hAnsi="仿宋" w:eastAsia="仿宋" w:cs="仿宋"/>
          <w:color w:val="auto"/>
          <w:sz w:val="24"/>
          <w:lang w:eastAsia="zh-CN"/>
        </w:rPr>
        <w:cr/>
      </w:r>
      <w:r>
        <w:rPr>
          <w:rFonts w:hint="eastAsia" w:ascii="仿宋" w:hAnsi="仿宋" w:eastAsia="仿宋" w:cs="仿宋"/>
          <w:color w:val="auto"/>
          <w:sz w:val="24"/>
          <w:lang w:eastAsia="zh-CN"/>
        </w:rPr>
        <w:cr/>
      </w:r>
    </w:p>
    <w:p w14:paraId="3213E719">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4384;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3EE836CC">
                      <w:pPr>
                        <w:jc w:val="center"/>
                        <w:rPr>
                          <w:rFonts w:hAnsi="宋体"/>
                        </w:rPr>
                      </w:pPr>
                    </w:p>
                    <w:p w14:paraId="6226D676">
                      <w:pPr>
                        <w:jc w:val="center"/>
                        <w:rPr>
                          <w:rFonts w:hAnsi="宋体"/>
                        </w:rPr>
                      </w:pPr>
                    </w:p>
                    <w:p w14:paraId="7DCD69D0">
                      <w:pPr>
                        <w:rPr>
                          <w:lang w:eastAsia="zh-CN"/>
                        </w:rPr>
                      </w:pPr>
                      <w:r>
                        <w:rPr>
                          <w:rFonts w:hint="eastAsia" w:hAnsi="宋体"/>
                          <w:lang w:eastAsia="zh-CN"/>
                        </w:rPr>
                        <w:t>授权委托人身份证复印件正面</w:t>
                      </w:r>
                    </w:p>
                  </w:txbxContent>
                </v:textbox>
              </v:shape>
            </w:pict>
          </mc:Fallback>
        </mc:AlternateContent>
      </w:r>
    </w:p>
    <w:p w14:paraId="7515FE7B">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D32C6E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BB27B00">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404970E">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3D2C557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5CD18CC">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6260963">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rPr>
        <mc:AlternateContent>
          <mc:Choice Requires="wps">
            <w:drawing>
              <wp:anchor distT="0" distB="0" distL="114300" distR="114300" simplePos="0" relativeHeight="251667456"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wps:txbx>
                      <wps:bodyPr upright="1"/>
                    </wps:wsp>
                  </a:graphicData>
                </a:graphic>
              </wp:anchor>
            </w:drawing>
          </mc:Choice>
          <mc:Fallback>
            <w:pict>
              <v:roundrect id="_x0000_s1026" o:spid="_x0000_s1026" o:spt="2" style="position:absolute;left:0pt;margin-left:224.05pt;margin-top:9.55pt;height:109.65pt;width:196.15pt;z-index:251667456;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09DA4B8E">
                      <w:pPr>
                        <w:rPr>
                          <w:rFonts w:hAnsi="宋体"/>
                        </w:rPr>
                      </w:pPr>
                    </w:p>
                    <w:p w14:paraId="320ED688">
                      <w:pPr>
                        <w:ind w:firstLine="420" w:firstLineChars="200"/>
                        <w:rPr>
                          <w:rFonts w:hAnsi="宋体"/>
                        </w:rPr>
                      </w:pPr>
                    </w:p>
                    <w:p w14:paraId="0DB9C6E1">
                      <w:pPr>
                        <w:ind w:firstLine="420" w:firstLineChars="200"/>
                      </w:pPr>
                      <w:r>
                        <w:rPr>
                          <w:rFonts w:hint="eastAsia" w:hAnsi="宋体"/>
                        </w:rPr>
                        <w:t>法人身份证复印件反面</w:t>
                      </w:r>
                    </w:p>
                    <w:p w14:paraId="63DFE7AF"/>
                  </w:txbxContent>
                </v:textbox>
              </v:roundrect>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wps:txbx>
                      <wps:bodyPr upright="1"/>
                    </wps:wsp>
                  </a:graphicData>
                </a:graphic>
              </wp:anchor>
            </w:drawing>
          </mc:Choice>
          <mc:Fallback>
            <w:pict>
              <v:roundrect id="_x0000_s1026" o:spid="_x0000_s1026" o:spt="2" style="position:absolute;left:0pt;margin-left:19.25pt;margin-top:8.75pt;height:111.15pt;width:193.85pt;z-index:251666432;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0DB23740">
                      <w:pPr>
                        <w:jc w:val="center"/>
                        <w:rPr>
                          <w:rFonts w:hAnsi="宋体"/>
                        </w:rPr>
                      </w:pPr>
                    </w:p>
                    <w:p w14:paraId="105DE5A2">
                      <w:pPr>
                        <w:jc w:val="center"/>
                        <w:rPr>
                          <w:rFonts w:hAnsi="宋体"/>
                        </w:rPr>
                      </w:pPr>
                    </w:p>
                    <w:p w14:paraId="32B5C70B">
                      <w:pPr>
                        <w:ind w:firstLine="420" w:firstLineChars="200"/>
                      </w:pPr>
                      <w:r>
                        <w:rPr>
                          <w:rFonts w:hint="eastAsia" w:hAnsi="宋体"/>
                        </w:rPr>
                        <w:t>法人身份证复印件正面</w:t>
                      </w:r>
                    </w:p>
                    <w:p w14:paraId="27565E0D"/>
                  </w:txbxContent>
                </v:textbox>
              </v:roundrect>
            </w:pict>
          </mc:Fallback>
        </mc:AlternateContent>
      </w:r>
    </w:p>
    <w:p w14:paraId="3EE6165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1DDA644A">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245806EB">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456647B3">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7EB95588">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2EB40EC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02E51DE3">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735CCE19">
      <w:pPr>
        <w:pStyle w:val="11"/>
        <w:tabs>
          <w:tab w:val="left" w:pos="5580"/>
        </w:tabs>
        <w:spacing w:line="240" w:lineRule="atLeast"/>
        <w:ind w:left="1079" w:leftChars="257" w:hanging="540"/>
        <w:rPr>
          <w:rFonts w:hint="eastAsia" w:ascii="仿宋" w:hAnsi="仿宋" w:eastAsia="仿宋" w:cs="仿宋"/>
          <w:color w:val="auto"/>
          <w:sz w:val="24"/>
          <w:lang w:eastAsia="zh-CN"/>
        </w:rPr>
      </w:pPr>
    </w:p>
    <w:p w14:paraId="54987AC8">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供应商（盖单位章）;                           </w:t>
      </w:r>
    </w:p>
    <w:p w14:paraId="58F4A20C">
      <w:pPr>
        <w:pStyle w:val="11"/>
        <w:tabs>
          <w:tab w:val="left" w:pos="5580"/>
        </w:tabs>
        <w:spacing w:line="240" w:lineRule="atLeast"/>
        <w:ind w:left="1079"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法定代表人（签字或签章）：</w:t>
      </w:r>
    </w:p>
    <w:p w14:paraId="79E302C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2A096E83">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委托代理人：（签字或签章）</w:t>
      </w:r>
    </w:p>
    <w:p w14:paraId="6F86E8A8">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身份证号码：__________________________________ </w:t>
      </w:r>
    </w:p>
    <w:p w14:paraId="76D89CC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详细通讯地址：</w:t>
      </w:r>
    </w:p>
    <w:p w14:paraId="7541ADA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邮 政 编 码 ：</w:t>
      </w:r>
    </w:p>
    <w:p w14:paraId="28A8D300">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传　　　　真：</w:t>
      </w:r>
    </w:p>
    <w:p w14:paraId="3DCBF1EE">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电　　　　话：</w:t>
      </w:r>
    </w:p>
    <w:p w14:paraId="6AC2A1A1">
      <w:pPr>
        <w:rPr>
          <w:rFonts w:hint="eastAsia" w:ascii="仿宋" w:hAnsi="仿宋" w:eastAsia="仿宋" w:cs="仿宋"/>
          <w:b/>
          <w:bCs/>
          <w:iCs/>
          <w:color w:val="auto"/>
          <w:sz w:val="24"/>
          <w:lang w:eastAsia="zh-CN"/>
        </w:rPr>
      </w:pPr>
      <w:bookmarkStart w:id="719" w:name="_Toc18754"/>
      <w:bookmarkStart w:id="720" w:name="_Toc41737064"/>
      <w:bookmarkStart w:id="721" w:name="_Toc515647810"/>
      <w:bookmarkStart w:id="722" w:name="_Toc5710"/>
      <w:r>
        <w:rPr>
          <w:rFonts w:hint="eastAsia" w:ascii="仿宋" w:hAnsi="仿宋" w:eastAsia="仿宋" w:cs="仿宋"/>
          <w:b/>
          <w:bCs/>
          <w:iCs/>
          <w:color w:val="auto"/>
          <w:sz w:val="24"/>
          <w:lang w:eastAsia="zh-CN"/>
        </w:rPr>
        <w:br w:type="page"/>
      </w:r>
    </w:p>
    <w:p w14:paraId="40C6FADB">
      <w:pPr>
        <w:rPr>
          <w:rFonts w:hint="eastAsia" w:ascii="仿宋" w:hAnsi="仿宋" w:eastAsia="仿宋" w:cs="仿宋"/>
          <w:color w:val="auto"/>
          <w:lang w:eastAsia="zh-CN"/>
        </w:rPr>
      </w:pPr>
      <w:bookmarkStart w:id="723" w:name="_Toc11572"/>
      <w:bookmarkStart w:id="724" w:name="_Toc9134"/>
      <w:bookmarkStart w:id="725" w:name="_Toc26834"/>
    </w:p>
    <w:p w14:paraId="39362585">
      <w:pPr>
        <w:rPr>
          <w:rFonts w:hint="eastAsia" w:ascii="仿宋" w:hAnsi="仿宋" w:eastAsia="仿宋" w:cs="仿宋"/>
          <w:color w:val="auto"/>
          <w:lang w:eastAsia="zh-CN"/>
        </w:rPr>
      </w:pPr>
    </w:p>
    <w:p w14:paraId="0F6D9F94">
      <w:pPr>
        <w:rPr>
          <w:rFonts w:hint="eastAsia" w:ascii="仿宋" w:hAnsi="仿宋" w:eastAsia="仿宋" w:cs="仿宋"/>
          <w:color w:val="auto"/>
          <w:lang w:eastAsia="zh-CN"/>
        </w:rPr>
      </w:pPr>
    </w:p>
    <w:p w14:paraId="2046469E">
      <w:pPr>
        <w:pStyle w:val="5"/>
        <w:spacing w:before="0" w:after="0" w:line="288" w:lineRule="auto"/>
        <w:ind w:left="1078"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5  投标保证金缴纳凭证复印件</w:t>
      </w:r>
      <w:bookmarkEnd w:id="723"/>
      <w:bookmarkEnd w:id="724"/>
      <w:bookmarkEnd w:id="725"/>
    </w:p>
    <w:p w14:paraId="0096034E">
      <w:pPr>
        <w:pStyle w:val="20"/>
        <w:spacing w:beforeAutospacing="0" w:afterAutospacing="0" w:line="360" w:lineRule="auto"/>
        <w:ind w:left="147"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投标保证金应当以支票、汇票、本票或者金融机构、担保机构出具的保函等非现金形式提交。投标人未按照招标文件要求提交投标保证金的，投标无效。</w:t>
      </w:r>
      <w:bookmarkStart w:id="726" w:name="_Toc494296991"/>
      <w:bookmarkStart w:id="727" w:name="_Toc494296665"/>
      <w:r>
        <w:rPr>
          <w:rFonts w:hint="eastAsia" w:ascii="仿宋" w:hAnsi="仿宋" w:eastAsia="仿宋" w:cs="仿宋"/>
          <w:color w:val="auto"/>
          <w:lang w:eastAsia="zh-CN"/>
        </w:rPr>
        <w:t>投标人可将本项目保证金凭证的复印件作为缴纳凭证体现在本部分中，复印件上应加盖本单位章；使用银行保函等其他投标担保函的，应将担保函复印件，体现在本部分中；如采用政府采购信用担保形式的，应使用以下模板,将复印件体现在本部分中。</w:t>
      </w:r>
      <w:bookmarkEnd w:id="726"/>
      <w:bookmarkEnd w:id="727"/>
    </w:p>
    <w:p w14:paraId="57FEA4E2">
      <w:pPr>
        <w:pStyle w:val="21"/>
        <w:ind w:firstLine="0" w:firstLineChars="0"/>
        <w:rPr>
          <w:rFonts w:hint="eastAsia" w:ascii="仿宋" w:hAnsi="仿宋" w:eastAsia="仿宋" w:cs="仿宋"/>
          <w:color w:val="auto"/>
          <w:lang w:eastAsia="zh-CN"/>
        </w:rPr>
      </w:pPr>
    </w:p>
    <w:p w14:paraId="19125E21">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14:paraId="48AD39E8">
      <w:pPr>
        <w:jc w:val="center"/>
        <w:rPr>
          <w:rFonts w:hint="eastAsia" w:ascii="仿宋" w:hAnsi="仿宋" w:eastAsia="仿宋" w:cs="仿宋"/>
          <w:color w:val="auto"/>
          <w:sz w:val="28"/>
          <w:szCs w:val="28"/>
          <w:lang w:eastAsia="zh-CN"/>
        </w:rPr>
      </w:pPr>
    </w:p>
    <w:p w14:paraId="010C699E">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政府采购投标担保函 （项目用）</w:t>
      </w:r>
    </w:p>
    <w:p w14:paraId="5B5778E0">
      <w:pPr>
        <w:ind w:firstLine="6720" w:firstLineChars="3200"/>
        <w:rPr>
          <w:rFonts w:hint="eastAsia" w:ascii="仿宋" w:hAnsi="仿宋" w:eastAsia="仿宋" w:cs="仿宋"/>
          <w:color w:val="auto"/>
          <w:lang w:eastAsia="zh-CN"/>
        </w:rPr>
      </w:pPr>
      <w:r>
        <w:rPr>
          <w:rFonts w:hint="eastAsia" w:ascii="仿宋" w:hAnsi="仿宋" w:eastAsia="仿宋" w:cs="仿宋"/>
          <w:color w:val="auto"/>
          <w:lang w:eastAsia="zh-CN"/>
        </w:rPr>
        <w:t>编号：</w:t>
      </w:r>
    </w:p>
    <w:p w14:paraId="3FF55E2F">
      <w:pPr>
        <w:tabs>
          <w:tab w:val="left" w:pos="6669"/>
        </w:tabs>
        <w:rPr>
          <w:rFonts w:hint="eastAsia" w:ascii="仿宋" w:hAnsi="仿宋" w:eastAsia="仿宋" w:cs="仿宋"/>
          <w:color w:val="auto"/>
          <w:lang w:eastAsia="zh-CN"/>
        </w:rPr>
      </w:pPr>
      <w:r>
        <w:rPr>
          <w:rFonts w:hint="eastAsia" w:ascii="仿宋" w:hAnsi="仿宋" w:eastAsia="仿宋" w:cs="仿宋"/>
          <w:color w:val="auto"/>
          <w:lang w:eastAsia="zh-CN"/>
        </w:rPr>
        <w:t>（采购人或采购代理机构）：</w:t>
      </w:r>
      <w:r>
        <w:rPr>
          <w:rFonts w:hint="eastAsia" w:ascii="仿宋" w:hAnsi="仿宋" w:eastAsia="仿宋" w:cs="仿宋"/>
          <w:color w:val="auto"/>
          <w:lang w:eastAsia="zh-CN"/>
        </w:rPr>
        <w:tab/>
      </w:r>
    </w:p>
    <w:p w14:paraId="3DF383D2">
      <w:pPr>
        <w:rPr>
          <w:rFonts w:hint="eastAsia" w:ascii="仿宋" w:hAnsi="仿宋" w:eastAsia="仿宋" w:cs="仿宋"/>
          <w:color w:val="auto"/>
          <w:lang w:eastAsia="zh-CN"/>
        </w:rPr>
      </w:pPr>
    </w:p>
    <w:p w14:paraId="0DEB75C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AD36DC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08116AC2">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（一）在投标人出现下列情形之一时，我方承担保证责任：</w:t>
      </w:r>
    </w:p>
    <w:p w14:paraId="7777D4C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1．中标后投标人无正当理由不与采购人或者采购代理机构签订《政府采购合同》；</w:t>
      </w:r>
    </w:p>
    <w:p w14:paraId="1D6E407A">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2．招标文件规定的投标人应当缴纳保证金的其他情形。</w:t>
      </w:r>
    </w:p>
    <w:p w14:paraId="1198E568">
      <w:pPr>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（二）我方承担保证责任的最高金额为人民币元（大写），即本项目的投标保证金金额。</w:t>
      </w:r>
    </w:p>
    <w:p w14:paraId="52CE3808">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二、保证的方式及保证期间</w:t>
      </w:r>
    </w:p>
    <w:p w14:paraId="10F4BF5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49B2FA7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4BAD2D17">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三、承担保证责任的程序</w:t>
      </w:r>
    </w:p>
    <w:p w14:paraId="3AFBC42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CD8A896">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个工作日内进行审查，符合应承担保证责任情形的，我方应按照你方的要求代投标人向你方支付投标保证金。</w:t>
      </w:r>
    </w:p>
    <w:p w14:paraId="07620AE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四、保证责任的终止</w:t>
      </w:r>
    </w:p>
    <w:p w14:paraId="55EE5453">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783A1B92">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54DF6F84">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6E89A4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五、免责条款</w:t>
      </w:r>
    </w:p>
    <w:p w14:paraId="1726D31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1．依照法律规定或你方与投标人的另行约定，全部或者部分免除投标人投标保证金义务时，我方亦免除相应的保证责任。</w:t>
      </w:r>
    </w:p>
    <w:p w14:paraId="5B7032B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2．因你方原因致使投标人发生本保函第一条第（一）款约定情形的，我方不承担保证责任。</w:t>
      </w:r>
    </w:p>
    <w:p w14:paraId="5B6B35FB">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3．因不可抗力造成投标人发生本保函第一条约定情形的，我方不承担保证责任。</w:t>
      </w:r>
    </w:p>
    <w:p w14:paraId="294A424C">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4．你方或其他有权机关对招标文件进行任何澄清或修改，加重我方保证责任的，我方对加重部分不承担保证责任，但该澄清或修改经我方事先书面同意的除外。</w:t>
      </w:r>
    </w:p>
    <w:p w14:paraId="53C85C60">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六、争议的解决</w:t>
      </w:r>
    </w:p>
    <w:p w14:paraId="62BCB48F">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因本保函发生的纠纷，由你我双方协商解决，协商不成的，通过诉讼程序解决，诉讼管辖地法院为法院。</w:t>
      </w:r>
    </w:p>
    <w:p w14:paraId="70E133B5">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七、保函的生效</w:t>
      </w:r>
    </w:p>
    <w:p w14:paraId="2686230E">
      <w:pPr>
        <w:ind w:firstLine="420" w:firstLineChars="200"/>
        <w:rPr>
          <w:rFonts w:hint="eastAsia"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50971A9A">
      <w:pPr>
        <w:ind w:firstLine="3990" w:firstLineChars="1900"/>
        <w:rPr>
          <w:rFonts w:hint="eastAsia" w:ascii="仿宋" w:hAnsi="仿宋" w:eastAsia="仿宋" w:cs="仿宋"/>
          <w:color w:val="auto"/>
          <w:lang w:eastAsia="zh-CN"/>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cs="仿宋"/>
          <w:color w:val="auto"/>
          <w:lang w:eastAsia="zh-CN"/>
        </w:rPr>
        <w:t>保证人：（公章）   年     月    日</w:t>
      </w:r>
    </w:p>
    <w:p w14:paraId="0FC68188">
      <w:pPr>
        <w:rPr>
          <w:rFonts w:hint="eastAsia" w:ascii="仿宋" w:hAnsi="仿宋" w:eastAsia="仿宋" w:cs="仿宋"/>
          <w:color w:val="auto"/>
          <w:lang w:eastAsia="zh-CN"/>
        </w:rPr>
      </w:pPr>
    </w:p>
    <w:p w14:paraId="5CC1E440">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28" w:name="_Toc21576"/>
      <w:bookmarkStart w:id="729" w:name="_Toc15919"/>
      <w:bookmarkStart w:id="730" w:name="_Toc6247"/>
      <w:bookmarkStart w:id="731" w:name="_Toc29022"/>
      <w:bookmarkStart w:id="732" w:name="_Toc21047"/>
      <w:bookmarkStart w:id="733" w:name="_Toc10990"/>
      <w:bookmarkStart w:id="734" w:name="_Toc7329"/>
      <w:bookmarkStart w:id="735" w:name="_Toc19756"/>
      <w:bookmarkStart w:id="736" w:name="_Toc28861"/>
      <w:bookmarkStart w:id="737" w:name="_Toc11556"/>
      <w:r>
        <w:rPr>
          <w:rFonts w:hint="eastAsia" w:ascii="仿宋" w:hAnsi="仿宋" w:eastAsia="仿宋" w:cs="仿宋"/>
          <w:color w:val="auto"/>
          <w:u w:val="none"/>
          <w:lang w:eastAsia="zh-CN"/>
        </w:rPr>
        <w:t>6  社会保障资金的缴纳记录</w:t>
      </w:r>
      <w:bookmarkEnd w:id="719"/>
      <w:bookmarkEnd w:id="720"/>
      <w:bookmarkEnd w:id="721"/>
      <w:bookmarkEnd w:id="722"/>
      <w:bookmarkEnd w:id="728"/>
      <w:bookmarkEnd w:id="729"/>
      <w:bookmarkEnd w:id="730"/>
      <w:bookmarkEnd w:id="731"/>
      <w:bookmarkEnd w:id="732"/>
      <w:bookmarkEnd w:id="733"/>
      <w:bookmarkEnd w:id="734"/>
      <w:bookmarkEnd w:id="735"/>
      <w:bookmarkEnd w:id="736"/>
      <w:bookmarkEnd w:id="737"/>
    </w:p>
    <w:p w14:paraId="383CB271">
      <w:pPr>
        <w:pStyle w:val="11"/>
        <w:tabs>
          <w:tab w:val="left" w:pos="5580"/>
        </w:tabs>
        <w:spacing w:line="288" w:lineRule="auto"/>
        <w:rPr>
          <w:rFonts w:hint="eastAsia" w:ascii="仿宋" w:hAnsi="仿宋" w:eastAsia="仿宋" w:cs="仿宋"/>
          <w:b/>
          <w:color w:val="auto"/>
          <w:sz w:val="24"/>
          <w:lang w:eastAsia="zh-CN"/>
        </w:rPr>
      </w:pPr>
    </w:p>
    <w:p w14:paraId="4C2FC8DF">
      <w:pPr>
        <w:pStyle w:val="11"/>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3DAF226">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A2D1B5C">
      <w:pPr>
        <w:tabs>
          <w:tab w:val="left" w:pos="5580"/>
        </w:tabs>
        <w:spacing w:line="240" w:lineRule="atLeast"/>
        <w:ind w:left="1079" w:leftChars="257" w:hanging="540"/>
        <w:rPr>
          <w:rFonts w:hint="eastAsia" w:ascii="仿宋" w:hAnsi="仿宋" w:eastAsia="仿宋" w:cs="仿宋"/>
          <w:color w:val="auto"/>
          <w:sz w:val="18"/>
          <w:lang w:eastAsia="zh-CN"/>
        </w:rPr>
      </w:pPr>
      <w:r>
        <w:rPr>
          <w:rFonts w:hint="eastAsia" w:ascii="仿宋" w:hAnsi="仿宋" w:eastAsia="仿宋" w:cs="仿宋"/>
          <w:color w:val="auto"/>
          <w:sz w:val="24"/>
          <w:lang w:eastAsia="zh-CN"/>
        </w:rPr>
        <w:t xml:space="preserve">      3.如果是联合体投标，联合体各方均需提供上述证明。</w:t>
      </w:r>
    </w:p>
    <w:p w14:paraId="444F335F">
      <w:pPr>
        <w:spacing w:line="288" w:lineRule="auto"/>
        <w:rPr>
          <w:rFonts w:hint="eastAsia" w:ascii="仿宋" w:hAnsi="仿宋" w:eastAsia="仿宋" w:cs="仿宋"/>
          <w:color w:val="auto"/>
          <w:sz w:val="24"/>
          <w:lang w:eastAsia="zh-CN"/>
        </w:rPr>
      </w:pPr>
    </w:p>
    <w:p w14:paraId="3C85ABE4">
      <w:pPr>
        <w:spacing w:line="288" w:lineRule="auto"/>
        <w:rPr>
          <w:rFonts w:hint="eastAsia" w:ascii="仿宋" w:hAnsi="仿宋" w:eastAsia="仿宋" w:cs="仿宋"/>
          <w:color w:val="auto"/>
          <w:sz w:val="24"/>
          <w:lang w:eastAsia="zh-CN"/>
        </w:rPr>
      </w:pPr>
    </w:p>
    <w:p w14:paraId="24D72E94">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38" w:name="_Toc8841"/>
      <w:bookmarkStart w:id="739" w:name="_Toc28491"/>
      <w:bookmarkStart w:id="740" w:name="_Toc22265"/>
      <w:bookmarkStart w:id="741" w:name="_Toc23700"/>
      <w:bookmarkStart w:id="742" w:name="_Toc20976"/>
      <w:bookmarkStart w:id="743" w:name="_Toc6321"/>
      <w:bookmarkStart w:id="744" w:name="_Toc13105"/>
      <w:bookmarkStart w:id="745" w:name="_Toc31547"/>
      <w:bookmarkStart w:id="746" w:name="_Toc28908"/>
      <w:bookmarkStart w:id="747" w:name="_Toc15284"/>
      <w:r>
        <w:rPr>
          <w:rFonts w:hint="eastAsia" w:ascii="仿宋" w:hAnsi="仿宋" w:eastAsia="仿宋" w:cs="仿宋"/>
          <w:color w:val="auto"/>
          <w:u w:val="none"/>
          <w:lang w:eastAsia="zh-CN"/>
        </w:rPr>
        <w:t xml:space="preserve">7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良好的商业信誉和健全的财务会计制度证明材料</w:t>
      </w:r>
      <w:bookmarkEnd w:id="738"/>
      <w:bookmarkEnd w:id="739"/>
      <w:bookmarkEnd w:id="740"/>
      <w:bookmarkEnd w:id="741"/>
      <w:bookmarkEnd w:id="742"/>
      <w:bookmarkEnd w:id="743"/>
      <w:bookmarkEnd w:id="744"/>
      <w:bookmarkEnd w:id="745"/>
    </w:p>
    <w:bookmarkEnd w:id="746"/>
    <w:bookmarkEnd w:id="747"/>
    <w:p w14:paraId="51D937C4">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w:t>
      </w:r>
    </w:p>
    <w:p w14:paraId="676AB96B">
      <w:pPr>
        <w:tabs>
          <w:tab w:val="left" w:pos="5580"/>
        </w:tabs>
        <w:spacing w:line="240" w:lineRule="atLeast"/>
        <w:ind w:left="540"/>
        <w:rPr>
          <w:rFonts w:hint="eastAsia" w:ascii="仿宋" w:hAnsi="仿宋" w:eastAsia="仿宋" w:cs="仿宋"/>
          <w:bCs/>
          <w:color w:val="auto"/>
          <w:sz w:val="24"/>
          <w:lang w:eastAsia="zh-CN"/>
        </w:rPr>
      </w:pPr>
      <w:r>
        <w:rPr>
          <w:rFonts w:hint="eastAsia" w:ascii="仿宋" w:hAnsi="仿宋" w:eastAsia="仿宋" w:cs="仿宋"/>
          <w:color w:val="auto"/>
          <w:sz w:val="24"/>
          <w:lang w:eastAsia="zh-CN"/>
        </w:rPr>
        <w:t>1、如提供本单位2023或2024年度经会计师事务所出具的审计报告复印件须加盖</w:t>
      </w:r>
      <w:r>
        <w:rPr>
          <w:rFonts w:hint="eastAsia" w:ascii="仿宋" w:hAnsi="仿宋" w:eastAsia="仿宋" w:cs="仿宋"/>
          <w:bCs/>
          <w:color w:val="auto"/>
          <w:sz w:val="24"/>
          <w:lang w:eastAsia="zh-CN"/>
        </w:rPr>
        <w:t>本单位章。</w:t>
      </w:r>
    </w:p>
    <w:p w14:paraId="5642754B">
      <w:pPr>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56A87E62">
      <w:pPr>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3、如果是联合体投标，联合体各方均需提供上述证明。</w:t>
      </w:r>
    </w:p>
    <w:p w14:paraId="5FB42307">
      <w:pPr>
        <w:pStyle w:val="16"/>
        <w:rPr>
          <w:rFonts w:hint="eastAsia" w:ascii="仿宋" w:hAnsi="仿宋" w:eastAsia="仿宋" w:cs="仿宋"/>
          <w:color w:val="auto"/>
          <w:lang w:eastAsia="zh-CN"/>
        </w:rPr>
      </w:pPr>
    </w:p>
    <w:p w14:paraId="17BA1776">
      <w:pPr>
        <w:pStyle w:val="2"/>
        <w:tabs>
          <w:tab w:val="left" w:pos="567"/>
        </w:tabs>
        <w:rPr>
          <w:rFonts w:hint="eastAsia" w:ascii="仿宋" w:hAnsi="仿宋" w:eastAsia="仿宋" w:cs="仿宋"/>
          <w:color w:val="auto"/>
          <w:lang w:eastAsia="zh-CN"/>
        </w:rPr>
      </w:pPr>
    </w:p>
    <w:p w14:paraId="6B012AFC">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48" w:name="_Toc21546"/>
      <w:bookmarkStart w:id="749" w:name="_Toc16318"/>
      <w:bookmarkStart w:id="750" w:name="_Toc32107"/>
      <w:bookmarkStart w:id="751" w:name="_Toc11835"/>
      <w:bookmarkStart w:id="752" w:name="_Toc13883"/>
      <w:bookmarkStart w:id="753" w:name="_Toc16690"/>
      <w:bookmarkStart w:id="754" w:name="_Toc28013"/>
      <w:bookmarkStart w:id="755" w:name="_Toc13664"/>
      <w:bookmarkStart w:id="756" w:name="_Toc18809"/>
      <w:bookmarkStart w:id="757" w:name="_Toc16284"/>
      <w:r>
        <w:rPr>
          <w:rFonts w:hint="eastAsia" w:ascii="仿宋" w:hAnsi="仿宋" w:eastAsia="仿宋" w:cs="仿宋"/>
          <w:color w:val="auto"/>
          <w:u w:val="none"/>
          <w:lang w:eastAsia="zh-CN"/>
        </w:rPr>
        <w:t xml:space="preserve">8 </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依法缴纳税收的证明</w:t>
      </w:r>
      <w:bookmarkEnd w:id="748"/>
      <w:bookmarkEnd w:id="749"/>
      <w:bookmarkEnd w:id="750"/>
      <w:bookmarkEnd w:id="751"/>
      <w:bookmarkEnd w:id="752"/>
      <w:bookmarkEnd w:id="753"/>
      <w:bookmarkEnd w:id="754"/>
      <w:bookmarkEnd w:id="755"/>
      <w:bookmarkEnd w:id="756"/>
      <w:bookmarkEnd w:id="757"/>
    </w:p>
    <w:p w14:paraId="778E7EC1">
      <w:pPr>
        <w:pStyle w:val="11"/>
        <w:tabs>
          <w:tab w:val="left" w:pos="5580"/>
        </w:tabs>
        <w:spacing w:line="240" w:lineRule="atLeast"/>
        <w:ind w:left="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说明：1.按照</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中的规定提供复印件。</w:t>
      </w:r>
    </w:p>
    <w:p w14:paraId="6614ABFC">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2.复印件上应加盖本单位章。</w:t>
      </w:r>
    </w:p>
    <w:p w14:paraId="208634FC">
      <w:pPr>
        <w:pStyle w:val="11"/>
        <w:tabs>
          <w:tab w:val="left" w:pos="5580"/>
        </w:tabs>
        <w:spacing w:line="288" w:lineRule="auto"/>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3.如果是联合体投标，联合体各方均需提供上述证明。</w:t>
      </w:r>
    </w:p>
    <w:p w14:paraId="7707447C">
      <w:pPr>
        <w:rPr>
          <w:rFonts w:hint="eastAsia" w:ascii="仿宋" w:hAnsi="仿宋" w:eastAsia="仿宋" w:cs="仿宋"/>
          <w:color w:val="auto"/>
          <w:lang w:eastAsia="zh-CN"/>
        </w:rPr>
      </w:pPr>
    </w:p>
    <w:p w14:paraId="385DE8E0">
      <w:pPr>
        <w:rPr>
          <w:rFonts w:hint="eastAsia" w:ascii="仿宋" w:hAnsi="仿宋" w:eastAsia="仿宋" w:cs="仿宋"/>
          <w:color w:val="auto"/>
          <w:lang w:eastAsia="zh-CN"/>
        </w:rPr>
      </w:pPr>
    </w:p>
    <w:p w14:paraId="28C5C28B">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58" w:name="_Toc29990"/>
      <w:bookmarkStart w:id="759" w:name="_Toc21065"/>
      <w:bookmarkStart w:id="760" w:name="_Toc31910"/>
      <w:r>
        <w:rPr>
          <w:rFonts w:hint="eastAsia" w:ascii="仿宋" w:hAnsi="仿宋" w:eastAsia="仿宋" w:cs="仿宋"/>
          <w:color w:val="auto"/>
          <w:u w:val="none"/>
          <w:lang w:eastAsia="zh-CN"/>
        </w:rPr>
        <w:t>9  参加政府采购活动前3年内在经营活动中没有重大违法记录的书面声明及反商业受贿承诺</w:t>
      </w:r>
      <w:bookmarkEnd w:id="758"/>
      <w:bookmarkEnd w:id="759"/>
      <w:bookmarkEnd w:id="760"/>
    </w:p>
    <w:p w14:paraId="3B4652DF">
      <w:pPr>
        <w:rPr>
          <w:rFonts w:hint="eastAsia" w:ascii="仿宋" w:hAnsi="仿宋" w:eastAsia="仿宋" w:cs="仿宋"/>
          <w:color w:val="auto"/>
          <w:lang w:eastAsia="zh-CN"/>
        </w:rPr>
      </w:pPr>
    </w:p>
    <w:p w14:paraId="0E2EDD7A">
      <w:pPr>
        <w:rPr>
          <w:rFonts w:hint="eastAsia" w:ascii="仿宋" w:hAnsi="仿宋" w:eastAsia="仿宋" w:cs="仿宋"/>
          <w:color w:val="auto"/>
          <w:lang w:eastAsia="zh-CN"/>
        </w:rPr>
      </w:pPr>
    </w:p>
    <w:p w14:paraId="3AA5CC13">
      <w:pPr>
        <w:rPr>
          <w:rFonts w:hint="eastAsia" w:ascii="仿宋" w:hAnsi="仿宋" w:eastAsia="仿宋" w:cs="仿宋"/>
          <w:color w:val="auto"/>
          <w:lang w:eastAsia="zh-CN"/>
        </w:rPr>
      </w:pPr>
    </w:p>
    <w:p w14:paraId="7D6263CA">
      <w:pPr>
        <w:pStyle w:val="5"/>
        <w:spacing w:before="0" w:after="0" w:line="288" w:lineRule="auto"/>
        <w:ind w:left="1078" w:leftChars="257" w:hanging="539"/>
        <w:jc w:val="center"/>
        <w:rPr>
          <w:rFonts w:hint="eastAsia" w:ascii="仿宋" w:hAnsi="仿宋" w:eastAsia="仿宋" w:cs="仿宋"/>
          <w:color w:val="auto"/>
          <w:u w:val="none"/>
          <w:lang w:eastAsia="zh-CN"/>
        </w:rPr>
      </w:pPr>
      <w:bookmarkStart w:id="761" w:name="_Toc4680"/>
      <w:bookmarkStart w:id="762" w:name="_Toc18306"/>
      <w:bookmarkStart w:id="763" w:name="_Toc11340"/>
      <w:bookmarkStart w:id="764" w:name="_Toc2815"/>
      <w:bookmarkStart w:id="765" w:name="_Toc3659"/>
      <w:bookmarkStart w:id="766" w:name="_Toc10559"/>
      <w:bookmarkStart w:id="767" w:name="_Toc21347"/>
      <w:bookmarkStart w:id="768" w:name="_Toc25801"/>
      <w:bookmarkStart w:id="769" w:name="_Toc11464"/>
      <w:bookmarkStart w:id="770" w:name="_Toc29051"/>
      <w:r>
        <w:rPr>
          <w:rFonts w:hint="eastAsia" w:ascii="仿宋" w:hAnsi="仿宋" w:eastAsia="仿宋" w:cs="仿宋"/>
          <w:color w:val="auto"/>
          <w:u w:val="none"/>
          <w:lang w:eastAsia="zh-CN"/>
        </w:rPr>
        <w:t>10 投标人须知资料表要求的其他资格证明文件</w:t>
      </w:r>
      <w:bookmarkEnd w:id="761"/>
      <w:bookmarkEnd w:id="762"/>
      <w:bookmarkEnd w:id="763"/>
      <w:bookmarkEnd w:id="764"/>
      <w:bookmarkEnd w:id="765"/>
      <w:bookmarkEnd w:id="766"/>
      <w:bookmarkEnd w:id="767"/>
      <w:bookmarkEnd w:id="768"/>
      <w:bookmarkEnd w:id="769"/>
      <w:bookmarkEnd w:id="770"/>
    </w:p>
    <w:p w14:paraId="27687678">
      <w:pPr>
        <w:pStyle w:val="11"/>
        <w:tabs>
          <w:tab w:val="left" w:pos="5580"/>
        </w:tabs>
        <w:spacing w:line="288" w:lineRule="auto"/>
        <w:ind w:left="1079" w:leftChars="257" w:hanging="540"/>
        <w:rPr>
          <w:rFonts w:hint="eastAsia" w:ascii="仿宋" w:hAnsi="仿宋" w:eastAsia="仿宋" w:cs="仿宋"/>
          <w:color w:val="auto"/>
          <w:sz w:val="24"/>
          <w:lang w:eastAsia="zh-CN"/>
        </w:rPr>
      </w:pPr>
    </w:p>
    <w:p w14:paraId="7B807BD2">
      <w:pPr>
        <w:pStyle w:val="11"/>
        <w:tabs>
          <w:tab w:val="left" w:pos="5580"/>
        </w:tabs>
        <w:spacing w:line="240" w:lineRule="atLeast"/>
        <w:ind w:left="1079"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说明： 1.应提供</w:t>
      </w:r>
      <w:r>
        <w:rPr>
          <w:rFonts w:hint="eastAsia" w:ascii="仿宋" w:hAnsi="仿宋" w:eastAsia="仿宋" w:cs="仿宋"/>
          <w:color w:val="auto"/>
          <w:sz w:val="24"/>
          <w:u w:val="single"/>
          <w:lang w:eastAsia="zh-CN"/>
        </w:rPr>
        <w:t>投标人须知资料表</w:t>
      </w:r>
      <w:r>
        <w:rPr>
          <w:rFonts w:hint="eastAsia" w:ascii="仿宋" w:hAnsi="仿宋" w:eastAsia="仿宋" w:cs="仿宋"/>
          <w:color w:val="auto"/>
          <w:sz w:val="24"/>
          <w:lang w:eastAsia="zh-CN"/>
        </w:rPr>
        <w:t>要求的其他资格证明文件。</w:t>
      </w:r>
    </w:p>
    <w:p w14:paraId="5D2EA3AB">
      <w:pPr>
        <w:pStyle w:val="11"/>
        <w:tabs>
          <w:tab w:val="left" w:pos="5580"/>
        </w:tabs>
        <w:spacing w:line="240" w:lineRule="atLeast"/>
        <w:ind w:left="1079" w:leftChars="257" w:hanging="540"/>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2.复印件上应加盖本单位章（自然人投标的无需盖章，需要签字）。</w:t>
      </w:r>
    </w:p>
    <w:p w14:paraId="314DA6A4">
      <w:pPr>
        <w:pStyle w:val="11"/>
        <w:tabs>
          <w:tab w:val="left" w:pos="5580"/>
        </w:tabs>
        <w:spacing w:line="240" w:lineRule="atLeast"/>
        <w:ind w:left="1260" w:leftChars="344" w:hanging="538"/>
        <w:rPr>
          <w:rFonts w:hint="eastAsia" w:ascii="仿宋" w:hAnsi="仿宋" w:eastAsia="仿宋" w:cs="仿宋"/>
          <w:color w:val="auto"/>
          <w:spacing w:val="-6"/>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pacing w:val="-6"/>
          <w:sz w:val="24"/>
          <w:lang w:eastAsia="zh-CN"/>
        </w:rPr>
        <w:t xml:space="preserve">    3. 如果是联合体投标，联合体各方需提供的满足招标文件要求的其他资格证明文件。</w:t>
      </w:r>
    </w:p>
    <w:p w14:paraId="173DF423">
      <w:pPr>
        <w:pStyle w:val="16"/>
        <w:numPr>
          <w:ilvl w:val="0"/>
          <w:numId w:val="5"/>
        </w:numPr>
        <w:rPr>
          <w:rFonts w:hint="eastAsia" w:ascii="仿宋" w:hAnsi="仿宋" w:eastAsia="仿宋" w:cs="仿宋"/>
          <w:color w:val="auto"/>
          <w:lang w:eastAsia="zh-CN"/>
        </w:r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14:paraId="7EFB78B5">
      <w:pPr>
        <w:pStyle w:val="11"/>
        <w:tabs>
          <w:tab w:val="left" w:pos="5580"/>
        </w:tabs>
        <w:spacing w:line="288" w:lineRule="auto"/>
        <w:ind w:left="1080" w:leftChars="257" w:hanging="540"/>
        <w:rPr>
          <w:rFonts w:hint="eastAsia" w:ascii="仿宋" w:hAnsi="仿宋" w:eastAsia="仿宋" w:cs="仿宋"/>
          <w:color w:val="auto"/>
          <w:sz w:val="24"/>
          <w:lang w:eastAsia="zh-CN"/>
        </w:rPr>
      </w:pPr>
    </w:p>
    <w:p w14:paraId="30876AE7">
      <w:pPr>
        <w:pStyle w:val="4"/>
        <w:spacing w:before="0" w:line="288" w:lineRule="auto"/>
        <w:ind w:left="1080" w:leftChars="257" w:hanging="540"/>
        <w:rPr>
          <w:rFonts w:hint="eastAsia" w:ascii="仿宋" w:hAnsi="仿宋" w:eastAsia="仿宋" w:cs="仿宋"/>
          <w:color w:val="auto"/>
          <w:sz w:val="24"/>
          <w:lang w:eastAsia="zh-CN"/>
        </w:rPr>
      </w:pPr>
      <w:bookmarkStart w:id="771" w:name="_Toc19244"/>
      <w:bookmarkStart w:id="772" w:name="_Toc22967"/>
      <w:bookmarkStart w:id="773" w:name="_Toc30317"/>
      <w:bookmarkStart w:id="774" w:name="_Toc11180"/>
      <w:bookmarkStart w:id="775" w:name="_Toc168"/>
      <w:bookmarkStart w:id="776" w:name="_Toc21263"/>
      <w:bookmarkStart w:id="777" w:name="_Toc515647816"/>
      <w:bookmarkStart w:id="778" w:name="_Toc26028"/>
      <w:bookmarkStart w:id="779" w:name="_Toc27549"/>
      <w:bookmarkStart w:id="780" w:name="_Toc22608"/>
      <w:bookmarkStart w:id="781" w:name="_Toc24008"/>
      <w:bookmarkStart w:id="782" w:name="_Toc23967"/>
      <w:bookmarkStart w:id="783" w:name="_Toc26404"/>
      <w:bookmarkStart w:id="784" w:name="_Toc26950"/>
      <w:r>
        <w:rPr>
          <w:rFonts w:hint="eastAsia" w:ascii="仿宋" w:hAnsi="仿宋" w:eastAsia="仿宋" w:cs="仿宋"/>
          <w:color w:val="auto"/>
          <w:sz w:val="24"/>
          <w:lang w:eastAsia="zh-CN"/>
        </w:rPr>
        <w:t>第二部分</w:t>
      </w:r>
      <w:r>
        <w:rPr>
          <w:rFonts w:hint="eastAsia" w:ascii="仿宋" w:hAnsi="仿宋" w:eastAsia="仿宋" w:cs="仿宋"/>
          <w:color w:val="auto"/>
          <w:sz w:val="24"/>
          <w:szCs w:val="24"/>
          <w:lang w:eastAsia="zh-CN"/>
        </w:rPr>
        <w:t xml:space="preserve"> 商务及技术文件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6FC1C3E6">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1、投标书</w:t>
      </w:r>
    </w:p>
    <w:p w14:paraId="2C8CAFFC">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2、投标分项报价表</w:t>
      </w:r>
    </w:p>
    <w:p w14:paraId="06F8A493">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3、货物说明一览表</w:t>
      </w:r>
    </w:p>
    <w:p w14:paraId="2F0ADCC6">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4、技术规格偏离表</w:t>
      </w:r>
    </w:p>
    <w:p w14:paraId="1CCBCEBF">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5、商务条款偏离表</w:t>
      </w:r>
    </w:p>
    <w:p w14:paraId="7760C2B5">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6-1《中小企业声明函（货物)》</w:t>
      </w:r>
    </w:p>
    <w:p w14:paraId="00AAE8CE">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6-2《残疾人福利性单位声明函》</w:t>
      </w:r>
    </w:p>
    <w:p w14:paraId="7BF29E80">
      <w:pPr>
        <w:pStyle w:val="11"/>
        <w:spacing w:line="288"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6-3《监狱企业适用》</w:t>
      </w:r>
    </w:p>
    <w:p w14:paraId="3E8E8B42">
      <w:pPr>
        <w:pStyle w:val="11"/>
        <w:spacing w:line="288"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7、投标文件还应包括第五章、综合评分表的所有技术文件</w:t>
      </w:r>
    </w:p>
    <w:p w14:paraId="29B0A0B8">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8、投标人关联单位的说明（格式自拟）</w:t>
      </w:r>
    </w:p>
    <w:p w14:paraId="6FF23B3E">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9、其他有利于投标人的文件或证明材料</w:t>
      </w:r>
    </w:p>
    <w:p w14:paraId="1887FA66">
      <w:pPr>
        <w:pStyle w:val="11"/>
        <w:spacing w:line="288" w:lineRule="auto"/>
        <w:ind w:left="21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10、对本项目投标文件（响应文件）中资料真实性的承诺</w:t>
      </w:r>
    </w:p>
    <w:p w14:paraId="04A7F877">
      <w:pPr>
        <w:pStyle w:val="11"/>
        <w:rPr>
          <w:rFonts w:hint="eastAsia" w:ascii="仿宋" w:hAnsi="仿宋" w:eastAsia="仿宋" w:cs="仿宋"/>
          <w:color w:val="auto"/>
          <w:sz w:val="24"/>
          <w:szCs w:val="24"/>
          <w:lang w:eastAsia="zh-CN"/>
        </w:rPr>
      </w:pPr>
    </w:p>
    <w:p w14:paraId="7F365B6D">
      <w:pPr>
        <w:rPr>
          <w:rFonts w:hint="eastAsia" w:ascii="仿宋" w:hAnsi="仿宋" w:eastAsia="仿宋" w:cs="仿宋"/>
          <w:color w:val="auto"/>
          <w:lang w:eastAsia="zh-CN"/>
        </w:rPr>
      </w:pPr>
      <w:bookmarkStart w:id="785" w:name="_Toc9629"/>
      <w:bookmarkStart w:id="786" w:name="_Toc31638"/>
      <w:bookmarkStart w:id="787" w:name="_Toc3618"/>
      <w:bookmarkStart w:id="788" w:name="_Toc21159"/>
      <w:bookmarkStart w:id="789" w:name="_Toc24743"/>
      <w:bookmarkStart w:id="790" w:name="_Toc17635"/>
      <w:bookmarkStart w:id="791" w:name="_Toc14062"/>
      <w:bookmarkStart w:id="792" w:name="_Toc31410"/>
      <w:bookmarkStart w:id="793" w:name="_Toc11043"/>
      <w:bookmarkStart w:id="794" w:name="_Toc25213"/>
      <w:r>
        <w:rPr>
          <w:rFonts w:hint="eastAsia" w:ascii="仿宋" w:hAnsi="仿宋" w:eastAsia="仿宋" w:cs="仿宋"/>
          <w:color w:val="auto"/>
          <w:lang w:eastAsia="zh-CN"/>
        </w:rPr>
        <w:br w:type="page"/>
      </w:r>
    </w:p>
    <w:p w14:paraId="34665155">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1  投标书</w:t>
      </w:r>
      <w:bookmarkEnd w:id="785"/>
      <w:bookmarkEnd w:id="786"/>
      <w:bookmarkEnd w:id="787"/>
      <w:bookmarkEnd w:id="788"/>
      <w:bookmarkEnd w:id="789"/>
      <w:bookmarkEnd w:id="790"/>
      <w:bookmarkEnd w:id="791"/>
      <w:bookmarkEnd w:id="792"/>
      <w:bookmarkEnd w:id="793"/>
      <w:bookmarkEnd w:id="794"/>
    </w:p>
    <w:p w14:paraId="30C00903">
      <w:pPr>
        <w:tabs>
          <w:tab w:val="left" w:pos="5580"/>
        </w:tabs>
        <w:spacing w:line="240" w:lineRule="atLeast"/>
        <w:ind w:left="1080" w:leftChars="257" w:hanging="540"/>
        <w:rPr>
          <w:rFonts w:hint="eastAsia" w:ascii="仿宋" w:hAnsi="仿宋" w:eastAsia="仿宋" w:cs="仿宋"/>
          <w:color w:val="auto"/>
          <w:sz w:val="32"/>
          <w:szCs w:val="32"/>
          <w:lang w:eastAsia="zh-CN"/>
        </w:rPr>
      </w:pPr>
    </w:p>
    <w:p w14:paraId="58945BC0">
      <w:pPr>
        <w:tabs>
          <w:tab w:val="left" w:pos="5580"/>
        </w:tabs>
        <w:spacing w:line="320" w:lineRule="exact"/>
        <w:ind w:left="1080" w:hanging="1080"/>
        <w:rPr>
          <w:rFonts w:hint="eastAsia" w:ascii="仿宋" w:hAnsi="仿宋" w:eastAsia="仿宋" w:cs="仿宋"/>
          <w:color w:val="auto"/>
          <w:sz w:val="24"/>
          <w:lang w:eastAsia="zh-CN"/>
        </w:rPr>
      </w:pPr>
      <w:r>
        <w:rPr>
          <w:rFonts w:hint="eastAsia" w:ascii="仿宋" w:hAnsi="仿宋" w:eastAsia="仿宋" w:cs="仿宋"/>
          <w:color w:val="auto"/>
          <w:sz w:val="24"/>
          <w:lang w:eastAsia="zh-CN"/>
        </w:rPr>
        <w:t>致：</w:t>
      </w:r>
      <w:r>
        <w:rPr>
          <w:rFonts w:hint="eastAsia" w:ascii="仿宋" w:hAnsi="仿宋" w:eastAsia="仿宋" w:cs="仿宋"/>
          <w:color w:val="auto"/>
          <w:sz w:val="24"/>
          <w:u w:val="single" w:color="000000"/>
          <w:lang w:eastAsia="zh-CN"/>
        </w:rPr>
        <w:t xml:space="preserve"> （采购人名称）</w:t>
      </w:r>
    </w:p>
    <w:p w14:paraId="3BC2F156">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2DC8E250">
      <w:pPr>
        <w:pStyle w:val="11"/>
        <w:tabs>
          <w:tab w:val="left" w:pos="5580"/>
        </w:tabs>
        <w:spacing w:line="400" w:lineRule="exact"/>
        <w:ind w:left="2" w:leftChars="1"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根据贵方(项目名称)项目的投标邀请(招标编号),签字代表(姓名、职务)经正式授权并代表投标人（名称、地址）上传</w:t>
      </w:r>
      <w:r>
        <w:rPr>
          <w:rFonts w:hint="eastAsia" w:ascii="仿宋" w:hAnsi="仿宋" w:eastAsia="仿宋" w:cs="仿宋"/>
          <w:color w:val="auto"/>
          <w:sz w:val="24"/>
          <w:szCs w:val="24"/>
          <w:u w:val="single"/>
          <w:lang w:eastAsia="zh-CN"/>
        </w:rPr>
        <w:t>响应文件</w:t>
      </w:r>
      <w:r>
        <w:rPr>
          <w:rFonts w:hint="eastAsia" w:ascii="仿宋" w:hAnsi="仿宋" w:eastAsia="仿宋" w:cs="仿宋"/>
          <w:color w:val="auto"/>
          <w:sz w:val="24"/>
          <w:szCs w:val="24"/>
          <w:lang w:eastAsia="zh-CN"/>
        </w:rPr>
        <w:t>，并以形式出具的金额为人民币</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元的投标保证金。</w:t>
      </w:r>
    </w:p>
    <w:p w14:paraId="75B1B41F">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据此，签字代表宣布同意如下：</w:t>
      </w:r>
    </w:p>
    <w:p w14:paraId="3915384C">
      <w:pPr>
        <w:pStyle w:val="11"/>
        <w:tabs>
          <w:tab w:val="left" w:pos="720"/>
          <w:tab w:val="left" w:pos="900"/>
        </w:tabs>
        <w:spacing w:line="320" w:lineRule="exact"/>
        <w:ind w:left="769" w:leftChars="257" w:hanging="229"/>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（1）附投标价格表中规定的应提供货物的投标总价详见开标一览表，</w:t>
      </w:r>
      <w:r>
        <w:rPr>
          <w:rFonts w:hint="eastAsia" w:ascii="仿宋" w:hAnsi="仿宋" w:eastAsia="仿宋" w:cs="仿宋"/>
          <w:color w:val="auto"/>
          <w:sz w:val="24"/>
          <w:u w:val="single" w:color="000000"/>
          <w:lang w:eastAsia="zh-CN"/>
        </w:rPr>
        <w:t>其中由小型和</w:t>
      </w:r>
      <w:r>
        <w:rPr>
          <w:rFonts w:hint="eastAsia" w:ascii="仿宋" w:hAnsi="仿宋" w:eastAsia="仿宋" w:cs="仿宋"/>
          <w:color w:val="auto"/>
          <w:sz w:val="24"/>
          <w:lang w:eastAsia="zh-CN"/>
        </w:rPr>
        <w:t>微型企业制造产品的价格为</w:t>
      </w:r>
      <w:r>
        <w:rPr>
          <w:rFonts w:hint="eastAsia" w:ascii="仿宋" w:hAnsi="仿宋" w:eastAsia="仿宋" w:cs="仿宋"/>
          <w:color w:val="auto"/>
          <w:sz w:val="24"/>
          <w:u w:val="single" w:color="000000"/>
          <w:lang w:eastAsia="zh-CN"/>
        </w:rPr>
        <w:t xml:space="preserve">      （用文字和数字表示），占投标总价    %</w:t>
      </w:r>
      <w:r>
        <w:rPr>
          <w:rFonts w:hint="eastAsia" w:ascii="仿宋" w:hAnsi="仿宋" w:eastAsia="仿宋" w:cs="仿宋"/>
          <w:color w:val="auto"/>
          <w:sz w:val="24"/>
          <w:lang w:eastAsia="zh-CN"/>
        </w:rPr>
        <w:t>。</w:t>
      </w:r>
    </w:p>
    <w:p w14:paraId="2B6C018D">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（2）本投标有效期为自投标截止之日起个</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日历日。</w:t>
      </w:r>
    </w:p>
    <w:p w14:paraId="048B690F">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（3）联合体中的大中型企业和其他自然人、法人或者非法人组织，与联合体中的小型、微型企业之间</w:t>
      </w:r>
      <w:r>
        <w:rPr>
          <w:rFonts w:hint="eastAsia" w:ascii="仿宋" w:hAnsi="仿宋" w:eastAsia="仿宋" w:cs="仿宋"/>
          <w:color w:val="auto"/>
          <w:sz w:val="24"/>
          <w:u w:val="single" w:color="000000"/>
          <w:lang w:eastAsia="zh-CN"/>
        </w:rPr>
        <w:t xml:space="preserve">     （</w:t>
      </w:r>
      <w:r>
        <w:rPr>
          <w:rFonts w:hint="eastAsia" w:ascii="仿宋" w:hAnsi="仿宋" w:eastAsia="仿宋" w:cs="仿宋"/>
          <w:color w:val="auto"/>
          <w:sz w:val="24"/>
          <w:lang w:eastAsia="zh-CN"/>
        </w:rPr>
        <w:t>存在、不存在）投资关系（如果是联合体的话）。</w:t>
      </w:r>
    </w:p>
    <w:p w14:paraId="6D019AC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（4）已详细审查全部招标文件，包括所有补充通知（如果有的话），完全理解并同意放弃对这方面有不明、误解和质疑的权力。</w:t>
      </w:r>
    </w:p>
    <w:p w14:paraId="55AD735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（5）在规定的开标时间后，遵守招标文件中有关保证金的规定。</w:t>
      </w:r>
    </w:p>
    <w:p w14:paraId="27626891">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（6）我方不是为本项目提供整体设计、规范编制或者项目管理、监理、检测等服务的供应商，我方不是采购代理机构的附属机构。</w:t>
      </w:r>
    </w:p>
    <w:p w14:paraId="1AB1634E">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（7）在领取中标通知书的同时按招标文件规定的形式，向贵方一次性支付中标服务费。</w:t>
      </w:r>
    </w:p>
    <w:p w14:paraId="10B5DE9C">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（8）按照贵方可能要求，提供与其投标有关的一切数据或资料，完全理解贵方不一定接受最低价的投标或收到的任何投标。</w:t>
      </w:r>
    </w:p>
    <w:p w14:paraId="54B081B5">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（9）在中标公示期过后7个工作日内领取中标通知书，不领取中标通知书视为自动放弃中标资格，采购人可依法进行相应处罚。</w:t>
      </w:r>
    </w:p>
    <w:p w14:paraId="5745649D">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（10）按照招标文件的规定履行合同责任和义务。</w:t>
      </w:r>
    </w:p>
    <w:p w14:paraId="6296E6BD">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2348F6DD">
      <w:pPr>
        <w:pStyle w:val="11"/>
        <w:tabs>
          <w:tab w:val="left" w:pos="5580"/>
        </w:tabs>
        <w:spacing w:line="320" w:lineRule="exact"/>
        <w:ind w:left="359" w:leftChars="68" w:hanging="216" w:hangingChars="9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与本投标有关的一切正式往来信函请寄：</w:t>
      </w:r>
    </w:p>
    <w:p w14:paraId="6B6F38D6">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地址：                       传真：</w:t>
      </w:r>
    </w:p>
    <w:p w14:paraId="2FF315D9">
      <w:pPr>
        <w:pStyle w:val="11"/>
        <w:tabs>
          <w:tab w:val="left" w:pos="5580"/>
        </w:tabs>
        <w:spacing w:line="320" w:lineRule="exact"/>
        <w:ind w:left="1080" w:leftChars="257" w:hanging="540"/>
        <w:rPr>
          <w:rFonts w:hint="eastAsia" w:ascii="仿宋" w:hAnsi="仿宋" w:eastAsia="仿宋" w:cs="仿宋"/>
          <w:b/>
          <w:color w:val="auto"/>
          <w:sz w:val="24"/>
          <w:lang w:eastAsia="zh-CN"/>
        </w:rPr>
      </w:pPr>
      <w:r>
        <w:rPr>
          <w:rFonts w:hint="eastAsia" w:ascii="仿宋" w:hAnsi="仿宋" w:eastAsia="仿宋" w:cs="仿宋"/>
          <w:color w:val="auto"/>
          <w:sz w:val="24"/>
          <w:lang w:eastAsia="zh-CN"/>
        </w:rPr>
        <w:t>电话：                       电子函件：</w:t>
      </w:r>
    </w:p>
    <w:p w14:paraId="42477E5F">
      <w:pPr>
        <w:pStyle w:val="11"/>
        <w:tabs>
          <w:tab w:val="left" w:pos="5580"/>
        </w:tabs>
        <w:spacing w:line="320" w:lineRule="exact"/>
        <w:ind w:left="1080" w:leftChars="257" w:hanging="540"/>
        <w:rPr>
          <w:rFonts w:hint="eastAsia" w:ascii="仿宋" w:hAnsi="仿宋" w:eastAsia="仿宋" w:cs="仿宋"/>
          <w:color w:val="auto"/>
          <w:sz w:val="24"/>
          <w:lang w:eastAsia="zh-CN"/>
        </w:rPr>
      </w:pPr>
    </w:p>
    <w:p w14:paraId="382EC1CF">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法定代表人（或企业负责人）或其委托代理人签字（章）：</w:t>
      </w:r>
      <w:r>
        <w:rPr>
          <w:rFonts w:hint="eastAsia" w:ascii="仿宋" w:hAnsi="仿宋" w:eastAsia="仿宋" w:cs="仿宋"/>
          <w:color w:val="auto"/>
          <w:sz w:val="24"/>
          <w:u w:val="single"/>
          <w:lang w:eastAsia="zh-CN"/>
        </w:rPr>
        <w:t xml:space="preserve">                </w:t>
      </w:r>
    </w:p>
    <w:p w14:paraId="094B1036">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投标人名称（全称）：</w:t>
      </w:r>
      <w:r>
        <w:rPr>
          <w:rFonts w:hint="eastAsia" w:ascii="仿宋" w:hAnsi="仿宋" w:eastAsia="仿宋" w:cs="仿宋"/>
          <w:color w:val="auto"/>
          <w:sz w:val="24"/>
          <w:u w:val="single"/>
          <w:lang w:eastAsia="zh-CN"/>
        </w:rPr>
        <w:t xml:space="preserve">                </w:t>
      </w:r>
    </w:p>
    <w:p w14:paraId="24DC7F94">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投标人开户银行（全称）：</w:t>
      </w:r>
      <w:r>
        <w:rPr>
          <w:rFonts w:hint="eastAsia" w:ascii="仿宋" w:hAnsi="仿宋" w:eastAsia="仿宋" w:cs="仿宋"/>
          <w:color w:val="auto"/>
          <w:sz w:val="24"/>
          <w:u w:val="single"/>
          <w:lang w:eastAsia="zh-CN"/>
        </w:rPr>
        <w:t xml:space="preserve">                </w:t>
      </w:r>
    </w:p>
    <w:p w14:paraId="1D954EDB">
      <w:pPr>
        <w:pStyle w:val="11"/>
        <w:tabs>
          <w:tab w:val="left" w:pos="5580"/>
        </w:tabs>
        <w:spacing w:line="320" w:lineRule="exac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投标人银行帐号：</w:t>
      </w:r>
      <w:r>
        <w:rPr>
          <w:rFonts w:hint="eastAsia" w:ascii="仿宋" w:hAnsi="仿宋" w:eastAsia="仿宋" w:cs="仿宋"/>
          <w:color w:val="auto"/>
          <w:sz w:val="24"/>
          <w:u w:val="single"/>
          <w:lang w:eastAsia="zh-CN"/>
        </w:rPr>
        <w:t xml:space="preserve">                </w:t>
      </w:r>
    </w:p>
    <w:p w14:paraId="1DD50742">
      <w:pPr>
        <w:pStyle w:val="11"/>
        <w:tabs>
          <w:tab w:val="left" w:pos="5580"/>
        </w:tabs>
        <w:spacing w:line="320" w:lineRule="exac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投标人单位章：</w:t>
      </w:r>
      <w:r>
        <w:rPr>
          <w:rFonts w:hint="eastAsia" w:ascii="仿宋" w:hAnsi="仿宋" w:eastAsia="仿宋" w:cs="仿宋"/>
          <w:color w:val="auto"/>
          <w:sz w:val="24"/>
          <w:u w:val="single"/>
          <w:lang w:eastAsia="zh-CN"/>
        </w:rPr>
        <w:t xml:space="preserve">                </w:t>
      </w:r>
    </w:p>
    <w:p w14:paraId="7B39695E">
      <w:pPr>
        <w:pStyle w:val="11"/>
        <w:tabs>
          <w:tab w:val="left" w:pos="5580"/>
        </w:tabs>
        <w:spacing w:line="320" w:lineRule="exact"/>
        <w:ind w:left="1080" w:leftChars="257" w:hanging="540"/>
        <w:rPr>
          <w:rFonts w:hint="eastAsia" w:ascii="仿宋" w:hAnsi="仿宋" w:eastAsia="仿宋" w:cs="仿宋"/>
          <w:color w:val="auto"/>
          <w:sz w:val="32"/>
          <w:szCs w:val="32"/>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bookmarkStart w:id="919" w:name="_GoBack"/>
      <w:bookmarkEnd w:id="919"/>
      <w:r>
        <w:rPr>
          <w:rFonts w:hint="eastAsia" w:ascii="仿宋" w:hAnsi="仿宋" w:eastAsia="仿宋" w:cs="仿宋"/>
          <w:color w:val="auto"/>
          <w:sz w:val="24"/>
          <w:lang w:eastAsia="zh-CN"/>
        </w:rPr>
        <w:br w:type="page"/>
      </w:r>
    </w:p>
    <w:p w14:paraId="48C379E7">
      <w:pPr>
        <w:pStyle w:val="11"/>
        <w:spacing w:line="240" w:lineRule="atLeast"/>
        <w:ind w:left="1080" w:leftChars="257" w:hanging="540"/>
        <w:rPr>
          <w:rFonts w:hint="eastAsia" w:ascii="仿宋" w:hAnsi="仿宋" w:eastAsia="仿宋" w:cs="仿宋"/>
          <w:color w:val="auto"/>
          <w:sz w:val="24"/>
          <w:lang w:eastAsia="zh-CN"/>
        </w:rPr>
      </w:pPr>
    </w:p>
    <w:p w14:paraId="2398C288">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795" w:name="_Toc22014"/>
      <w:bookmarkStart w:id="796" w:name="_Toc19321"/>
      <w:bookmarkStart w:id="797" w:name="_Toc16287"/>
      <w:bookmarkStart w:id="798" w:name="_Toc32398"/>
      <w:bookmarkStart w:id="799" w:name="_Toc14037"/>
      <w:bookmarkStart w:id="800" w:name="_Toc515647819"/>
      <w:bookmarkStart w:id="801" w:name="_Toc216582816"/>
      <w:bookmarkStart w:id="802" w:name="_Toc18267"/>
      <w:r>
        <w:rPr>
          <w:rFonts w:hint="eastAsia" w:ascii="仿宋" w:hAnsi="仿宋" w:eastAsia="仿宋" w:cs="仿宋"/>
          <w:color w:val="auto"/>
          <w:u w:val="none"/>
          <w:lang w:eastAsia="zh-CN"/>
        </w:rPr>
        <w:t>2  投标分项报价表</w:t>
      </w:r>
      <w:bookmarkEnd w:id="795"/>
      <w:bookmarkEnd w:id="796"/>
      <w:bookmarkEnd w:id="797"/>
    </w:p>
    <w:p w14:paraId="28A444C8">
      <w:pPr>
        <w:pStyle w:val="11"/>
        <w:spacing w:line="240" w:lineRule="atLeast"/>
        <w:ind w:left="1080" w:leftChars="257" w:hanging="540"/>
        <w:rPr>
          <w:rFonts w:hint="eastAsia" w:ascii="仿宋" w:hAnsi="仿宋" w:eastAsia="仿宋" w:cs="仿宋"/>
          <w:color w:val="auto"/>
          <w:sz w:val="24"/>
          <w:lang w:eastAsia="zh-CN"/>
        </w:rPr>
      </w:pPr>
    </w:p>
    <w:p w14:paraId="7FD4FD05">
      <w:pPr>
        <w:pStyle w:val="11"/>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w:t>
      </w:r>
    </w:p>
    <w:p w14:paraId="468EE76E">
      <w:pPr>
        <w:pStyle w:val="11"/>
        <w:spacing w:line="240" w:lineRule="atLeast"/>
        <w:ind w:left="79" w:leftChars="-27" w:hanging="136" w:hangingChars="57"/>
        <w:rPr>
          <w:rFonts w:hint="eastAsia" w:ascii="仿宋" w:hAnsi="仿宋" w:eastAsia="仿宋" w:cs="仿宋"/>
          <w:color w:val="auto"/>
          <w:sz w:val="24"/>
          <w:lang w:eastAsia="zh-CN"/>
        </w:rPr>
      </w:pPr>
      <w:r>
        <w:rPr>
          <w:rFonts w:hint="eastAsia" w:ascii="仿宋" w:hAnsi="仿宋" w:eastAsia="仿宋" w:cs="仿宋"/>
          <w:color w:val="auto"/>
          <w:sz w:val="24"/>
          <w:lang w:eastAsia="zh-CN"/>
        </w:rPr>
        <w:t>标    段: 　 　                                  报价单位：人民币元</w:t>
      </w:r>
    </w:p>
    <w:p w14:paraId="5DCFCD06">
      <w:pPr>
        <w:pStyle w:val="11"/>
        <w:spacing w:line="240" w:lineRule="atLeast"/>
        <w:ind w:left="1080" w:leftChars="257" w:hanging="540"/>
        <w:rPr>
          <w:rFonts w:hint="eastAsia" w:ascii="仿宋" w:hAnsi="仿宋" w:eastAsia="仿宋" w:cs="仿宋"/>
          <w:color w:val="auto"/>
          <w:sz w:val="24"/>
          <w:lang w:eastAsia="zh-CN"/>
        </w:rPr>
      </w:pPr>
    </w:p>
    <w:tbl>
      <w:tblPr>
        <w:tblStyle w:val="23"/>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14:paraId="3FE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35057C0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515" w:type="dxa"/>
            <w:noWrap/>
            <w:vAlign w:val="center"/>
          </w:tcPr>
          <w:p w14:paraId="2449E86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67CD5872">
            <w:pPr>
              <w:pStyle w:val="11"/>
              <w:spacing w:line="240" w:lineRule="atLeast"/>
              <w:jc w:val="center"/>
              <w:rPr>
                <w:rFonts w:hint="eastAsia" w:ascii="仿宋" w:hAnsi="仿宋" w:eastAsia="仿宋" w:cs="仿宋"/>
                <w:color w:val="auto"/>
                <w:sz w:val="24"/>
              </w:rPr>
            </w:pPr>
          </w:p>
          <w:p w14:paraId="0C3BFC4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46164D49">
            <w:pPr>
              <w:pStyle w:val="11"/>
              <w:spacing w:line="240" w:lineRule="atLeast"/>
              <w:jc w:val="center"/>
              <w:rPr>
                <w:rFonts w:hint="eastAsia" w:ascii="仿宋" w:hAnsi="仿宋" w:eastAsia="仿宋" w:cs="仿宋"/>
                <w:color w:val="auto"/>
                <w:sz w:val="24"/>
              </w:rPr>
            </w:pPr>
          </w:p>
        </w:tc>
        <w:tc>
          <w:tcPr>
            <w:tcW w:w="1185" w:type="dxa"/>
            <w:noWrap/>
            <w:vAlign w:val="center"/>
          </w:tcPr>
          <w:p w14:paraId="110ED7BA">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005" w:type="dxa"/>
            <w:noWrap/>
            <w:vAlign w:val="center"/>
          </w:tcPr>
          <w:p w14:paraId="4A119AA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45" w:type="dxa"/>
            <w:noWrap/>
            <w:vAlign w:val="center"/>
          </w:tcPr>
          <w:p w14:paraId="3EEF3794">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单位</w:t>
            </w:r>
          </w:p>
        </w:tc>
        <w:tc>
          <w:tcPr>
            <w:tcW w:w="1200" w:type="dxa"/>
            <w:noWrap/>
            <w:vAlign w:val="center"/>
          </w:tcPr>
          <w:p w14:paraId="1173AB2A">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生产厂家</w:t>
            </w:r>
          </w:p>
        </w:tc>
        <w:tc>
          <w:tcPr>
            <w:tcW w:w="930" w:type="dxa"/>
            <w:noWrap/>
            <w:vAlign w:val="center"/>
          </w:tcPr>
          <w:p w14:paraId="0A0C04D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928" w:type="dxa"/>
            <w:noWrap/>
            <w:vAlign w:val="center"/>
          </w:tcPr>
          <w:p w14:paraId="44C9903B">
            <w:pPr>
              <w:pStyle w:val="11"/>
              <w:spacing w:line="240" w:lineRule="atLeas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合价</w:t>
            </w:r>
          </w:p>
        </w:tc>
        <w:tc>
          <w:tcPr>
            <w:tcW w:w="820" w:type="dxa"/>
            <w:noWrap/>
            <w:vAlign w:val="center"/>
          </w:tcPr>
          <w:p w14:paraId="0E48EC0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1303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383A15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515" w:type="dxa"/>
            <w:noWrap/>
            <w:vAlign w:val="center"/>
          </w:tcPr>
          <w:p w14:paraId="016B941E">
            <w:pPr>
              <w:jc w:val="both"/>
              <w:textAlignment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290" w:type="dxa"/>
            <w:noWrap/>
            <w:vAlign w:val="center"/>
          </w:tcPr>
          <w:p w14:paraId="18AF148E">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5666E48E">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46FBD8F5">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601E5CFC">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FF4A40E">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DB080A7">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685F986E">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7AC62776">
            <w:pPr>
              <w:pStyle w:val="11"/>
              <w:spacing w:line="240" w:lineRule="atLeast"/>
              <w:ind w:left="1080" w:leftChars="257" w:hanging="540"/>
              <w:jc w:val="center"/>
              <w:rPr>
                <w:rFonts w:hint="eastAsia" w:ascii="仿宋" w:hAnsi="仿宋" w:eastAsia="仿宋" w:cs="仿宋"/>
                <w:color w:val="auto"/>
                <w:sz w:val="24"/>
              </w:rPr>
            </w:pPr>
          </w:p>
        </w:tc>
      </w:tr>
      <w:tr w14:paraId="109D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59B67D83">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515" w:type="dxa"/>
            <w:noWrap/>
            <w:vAlign w:val="center"/>
          </w:tcPr>
          <w:p w14:paraId="1BB96519">
            <w:pPr>
              <w:jc w:val="both"/>
              <w:textAlignment w:val="center"/>
              <w:rPr>
                <w:rFonts w:hint="eastAsia" w:ascii="仿宋" w:hAnsi="仿宋" w:eastAsia="仿宋" w:cs="仿宋"/>
                <w:color w:val="auto"/>
                <w:sz w:val="24"/>
              </w:rPr>
            </w:pPr>
          </w:p>
        </w:tc>
        <w:tc>
          <w:tcPr>
            <w:tcW w:w="1290" w:type="dxa"/>
            <w:noWrap/>
            <w:vAlign w:val="center"/>
          </w:tcPr>
          <w:p w14:paraId="0BCD684F">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526A057">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37FD602A">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3A588E81">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6FCA00E">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43310C69">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33C9D7B5">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20C314D">
            <w:pPr>
              <w:pStyle w:val="11"/>
              <w:spacing w:line="240" w:lineRule="atLeast"/>
              <w:ind w:left="1080" w:leftChars="257" w:hanging="540"/>
              <w:jc w:val="center"/>
              <w:rPr>
                <w:rFonts w:hint="eastAsia" w:ascii="仿宋" w:hAnsi="仿宋" w:eastAsia="仿宋" w:cs="仿宋"/>
                <w:color w:val="auto"/>
                <w:sz w:val="24"/>
              </w:rPr>
            </w:pPr>
          </w:p>
        </w:tc>
      </w:tr>
      <w:tr w14:paraId="1403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6C9AA0E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515" w:type="dxa"/>
            <w:noWrap/>
            <w:vAlign w:val="center"/>
          </w:tcPr>
          <w:p w14:paraId="28499639">
            <w:pPr>
              <w:jc w:val="both"/>
              <w:textAlignment w:val="center"/>
              <w:rPr>
                <w:rFonts w:hint="eastAsia" w:ascii="仿宋" w:hAnsi="仿宋" w:eastAsia="仿宋" w:cs="仿宋"/>
                <w:color w:val="auto"/>
                <w:sz w:val="24"/>
              </w:rPr>
            </w:pPr>
          </w:p>
        </w:tc>
        <w:tc>
          <w:tcPr>
            <w:tcW w:w="1290" w:type="dxa"/>
            <w:noWrap/>
            <w:vAlign w:val="center"/>
          </w:tcPr>
          <w:p w14:paraId="05C3E491">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82ED15A">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65EDA0E3">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0D6FE241">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3C5314C6">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818C0F0">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16BAAE16">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1A8D6650">
            <w:pPr>
              <w:pStyle w:val="11"/>
              <w:spacing w:line="240" w:lineRule="atLeast"/>
              <w:ind w:left="1080" w:leftChars="257" w:hanging="540"/>
              <w:jc w:val="center"/>
              <w:rPr>
                <w:rFonts w:hint="eastAsia" w:ascii="仿宋" w:hAnsi="仿宋" w:eastAsia="仿宋" w:cs="仿宋"/>
                <w:color w:val="auto"/>
                <w:sz w:val="24"/>
              </w:rPr>
            </w:pPr>
          </w:p>
        </w:tc>
      </w:tr>
      <w:tr w14:paraId="6C57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101E4F1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515" w:type="dxa"/>
            <w:noWrap/>
            <w:vAlign w:val="center"/>
          </w:tcPr>
          <w:p w14:paraId="6B4AE3B5">
            <w:pPr>
              <w:jc w:val="both"/>
              <w:textAlignment w:val="center"/>
              <w:rPr>
                <w:rFonts w:hint="eastAsia" w:ascii="仿宋" w:hAnsi="仿宋" w:eastAsia="仿宋" w:cs="仿宋"/>
                <w:color w:val="auto"/>
                <w:sz w:val="24"/>
              </w:rPr>
            </w:pPr>
          </w:p>
        </w:tc>
        <w:tc>
          <w:tcPr>
            <w:tcW w:w="1290" w:type="dxa"/>
            <w:noWrap/>
            <w:vAlign w:val="center"/>
          </w:tcPr>
          <w:p w14:paraId="24027B71">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2692B84E">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78E6EB02">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2ED01426">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5C0D905C">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663E9C5C">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782F5AC2">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0E36AC2">
            <w:pPr>
              <w:pStyle w:val="11"/>
              <w:spacing w:line="240" w:lineRule="atLeast"/>
              <w:ind w:left="1080" w:leftChars="257" w:hanging="540"/>
              <w:jc w:val="center"/>
              <w:rPr>
                <w:rFonts w:hint="eastAsia" w:ascii="仿宋" w:hAnsi="仿宋" w:eastAsia="仿宋" w:cs="仿宋"/>
                <w:color w:val="auto"/>
                <w:sz w:val="24"/>
              </w:rPr>
            </w:pPr>
          </w:p>
        </w:tc>
      </w:tr>
      <w:tr w14:paraId="031B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noWrap/>
            <w:vAlign w:val="center"/>
          </w:tcPr>
          <w:p w14:paraId="6BAA2A58">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515" w:type="dxa"/>
            <w:noWrap/>
            <w:vAlign w:val="center"/>
          </w:tcPr>
          <w:p w14:paraId="2122492B">
            <w:pPr>
              <w:jc w:val="both"/>
              <w:textAlignment w:val="center"/>
              <w:rPr>
                <w:rFonts w:hint="eastAsia" w:ascii="仿宋" w:hAnsi="仿宋" w:eastAsia="仿宋" w:cs="仿宋"/>
                <w:color w:val="auto"/>
                <w:sz w:val="24"/>
              </w:rPr>
            </w:pPr>
          </w:p>
        </w:tc>
        <w:tc>
          <w:tcPr>
            <w:tcW w:w="1290" w:type="dxa"/>
            <w:noWrap/>
            <w:vAlign w:val="center"/>
          </w:tcPr>
          <w:p w14:paraId="61C7AB7A">
            <w:pPr>
              <w:pStyle w:val="11"/>
              <w:spacing w:line="240" w:lineRule="atLeast"/>
              <w:ind w:left="1080" w:leftChars="257" w:hanging="540"/>
              <w:jc w:val="center"/>
              <w:rPr>
                <w:rFonts w:hint="eastAsia" w:ascii="仿宋" w:hAnsi="仿宋" w:eastAsia="仿宋" w:cs="仿宋"/>
                <w:color w:val="auto"/>
                <w:sz w:val="24"/>
              </w:rPr>
            </w:pPr>
          </w:p>
        </w:tc>
        <w:tc>
          <w:tcPr>
            <w:tcW w:w="1185" w:type="dxa"/>
            <w:noWrap/>
            <w:vAlign w:val="center"/>
          </w:tcPr>
          <w:p w14:paraId="138A0A6B">
            <w:pPr>
              <w:pStyle w:val="11"/>
              <w:spacing w:line="240" w:lineRule="atLeast"/>
              <w:ind w:left="1080" w:leftChars="257" w:hanging="540"/>
              <w:jc w:val="center"/>
              <w:rPr>
                <w:rFonts w:hint="eastAsia" w:ascii="仿宋" w:hAnsi="仿宋" w:eastAsia="仿宋" w:cs="仿宋"/>
                <w:color w:val="auto"/>
                <w:sz w:val="24"/>
              </w:rPr>
            </w:pPr>
          </w:p>
        </w:tc>
        <w:tc>
          <w:tcPr>
            <w:tcW w:w="1005" w:type="dxa"/>
            <w:noWrap/>
            <w:vAlign w:val="center"/>
          </w:tcPr>
          <w:p w14:paraId="2D1BEDA2">
            <w:pPr>
              <w:pStyle w:val="11"/>
              <w:spacing w:line="240" w:lineRule="atLeast"/>
              <w:ind w:left="1080" w:leftChars="257" w:hanging="540"/>
              <w:jc w:val="center"/>
              <w:rPr>
                <w:rFonts w:hint="eastAsia" w:ascii="仿宋" w:hAnsi="仿宋" w:eastAsia="仿宋" w:cs="仿宋"/>
                <w:color w:val="auto"/>
                <w:sz w:val="24"/>
              </w:rPr>
            </w:pPr>
          </w:p>
        </w:tc>
        <w:tc>
          <w:tcPr>
            <w:tcW w:w="945" w:type="dxa"/>
            <w:noWrap/>
            <w:vAlign w:val="center"/>
          </w:tcPr>
          <w:p w14:paraId="7088D7E9">
            <w:pPr>
              <w:pStyle w:val="11"/>
              <w:spacing w:line="240" w:lineRule="atLeast"/>
              <w:ind w:left="1080" w:leftChars="257" w:hanging="540"/>
              <w:jc w:val="center"/>
              <w:rPr>
                <w:rFonts w:hint="eastAsia" w:ascii="仿宋" w:hAnsi="仿宋" w:eastAsia="仿宋" w:cs="仿宋"/>
                <w:color w:val="auto"/>
                <w:sz w:val="24"/>
              </w:rPr>
            </w:pPr>
          </w:p>
        </w:tc>
        <w:tc>
          <w:tcPr>
            <w:tcW w:w="1200" w:type="dxa"/>
            <w:noWrap/>
            <w:vAlign w:val="center"/>
          </w:tcPr>
          <w:p w14:paraId="4764AD0B">
            <w:pPr>
              <w:pStyle w:val="11"/>
              <w:spacing w:line="240" w:lineRule="atLeast"/>
              <w:ind w:left="1080" w:leftChars="257" w:hanging="540"/>
              <w:jc w:val="center"/>
              <w:rPr>
                <w:rFonts w:hint="eastAsia" w:ascii="仿宋" w:hAnsi="仿宋" w:eastAsia="仿宋" w:cs="仿宋"/>
                <w:color w:val="auto"/>
                <w:sz w:val="24"/>
              </w:rPr>
            </w:pPr>
          </w:p>
        </w:tc>
        <w:tc>
          <w:tcPr>
            <w:tcW w:w="930" w:type="dxa"/>
            <w:noWrap/>
            <w:vAlign w:val="center"/>
          </w:tcPr>
          <w:p w14:paraId="1C829D31">
            <w:pPr>
              <w:pStyle w:val="11"/>
              <w:spacing w:line="240" w:lineRule="atLeast"/>
              <w:ind w:left="1080" w:leftChars="257" w:hanging="540"/>
              <w:jc w:val="center"/>
              <w:rPr>
                <w:rFonts w:hint="eastAsia" w:ascii="仿宋" w:hAnsi="仿宋" w:eastAsia="仿宋" w:cs="仿宋"/>
                <w:color w:val="auto"/>
                <w:sz w:val="24"/>
              </w:rPr>
            </w:pPr>
          </w:p>
        </w:tc>
        <w:tc>
          <w:tcPr>
            <w:tcW w:w="928" w:type="dxa"/>
            <w:noWrap/>
            <w:vAlign w:val="center"/>
          </w:tcPr>
          <w:p w14:paraId="46247713">
            <w:pPr>
              <w:pStyle w:val="11"/>
              <w:spacing w:line="240" w:lineRule="atLeast"/>
              <w:ind w:left="1080" w:leftChars="257" w:hanging="540"/>
              <w:jc w:val="center"/>
              <w:rPr>
                <w:rFonts w:hint="eastAsia" w:ascii="仿宋" w:hAnsi="仿宋" w:eastAsia="仿宋" w:cs="仿宋"/>
                <w:color w:val="auto"/>
                <w:sz w:val="24"/>
              </w:rPr>
            </w:pPr>
          </w:p>
        </w:tc>
        <w:tc>
          <w:tcPr>
            <w:tcW w:w="820" w:type="dxa"/>
            <w:noWrap/>
            <w:vAlign w:val="center"/>
          </w:tcPr>
          <w:p w14:paraId="2430E26B">
            <w:pPr>
              <w:pStyle w:val="11"/>
              <w:spacing w:line="240" w:lineRule="atLeast"/>
              <w:ind w:left="1080" w:leftChars="257" w:hanging="540"/>
              <w:jc w:val="center"/>
              <w:rPr>
                <w:rFonts w:hint="eastAsia" w:ascii="仿宋" w:hAnsi="仿宋" w:eastAsia="仿宋" w:cs="仿宋"/>
                <w:color w:val="auto"/>
                <w:sz w:val="24"/>
              </w:rPr>
            </w:pPr>
          </w:p>
        </w:tc>
      </w:tr>
      <w:tr w14:paraId="5760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8" w:type="dxa"/>
            <w:gridSpan w:val="9"/>
            <w:noWrap/>
            <w:vAlign w:val="center"/>
          </w:tcPr>
          <w:p w14:paraId="44533B17">
            <w:pPr>
              <w:pStyle w:val="11"/>
              <w:spacing w:line="240" w:lineRule="atLeast"/>
              <w:ind w:left="1080" w:leftChars="257" w:hanging="540"/>
              <w:jc w:val="both"/>
              <w:rPr>
                <w:rFonts w:hint="eastAsia" w:ascii="仿宋" w:hAnsi="仿宋" w:eastAsia="仿宋" w:cs="仿宋"/>
                <w:color w:val="auto"/>
                <w:sz w:val="24"/>
                <w:lang w:eastAsia="zh-CN"/>
              </w:rPr>
            </w:pPr>
            <w:r>
              <w:rPr>
                <w:rFonts w:hint="eastAsia" w:ascii="仿宋" w:hAnsi="仿宋" w:eastAsia="仿宋" w:cs="仿宋"/>
                <w:b/>
                <w:bCs/>
                <w:color w:val="auto"/>
                <w:sz w:val="24"/>
                <w:lang w:eastAsia="zh-CN"/>
              </w:rPr>
              <w:t>总价（元）</w:t>
            </w:r>
          </w:p>
        </w:tc>
        <w:tc>
          <w:tcPr>
            <w:tcW w:w="820" w:type="dxa"/>
            <w:noWrap/>
            <w:vAlign w:val="center"/>
          </w:tcPr>
          <w:p w14:paraId="2475AFCE">
            <w:pPr>
              <w:pStyle w:val="11"/>
              <w:spacing w:line="240" w:lineRule="atLeast"/>
              <w:ind w:left="1080" w:leftChars="257" w:hanging="540"/>
              <w:jc w:val="center"/>
              <w:rPr>
                <w:rFonts w:hint="eastAsia" w:ascii="仿宋" w:hAnsi="仿宋" w:eastAsia="仿宋" w:cs="仿宋"/>
                <w:color w:val="auto"/>
                <w:sz w:val="24"/>
              </w:rPr>
            </w:pPr>
          </w:p>
        </w:tc>
      </w:tr>
    </w:tbl>
    <w:p w14:paraId="33A15D6A">
      <w:pPr>
        <w:pStyle w:val="11"/>
        <w:spacing w:line="240" w:lineRule="atLeast"/>
        <w:ind w:left="1080" w:leftChars="257" w:hanging="540"/>
        <w:rPr>
          <w:rFonts w:hint="eastAsia" w:ascii="仿宋" w:hAnsi="仿宋" w:eastAsia="仿宋" w:cs="仿宋"/>
          <w:color w:val="auto"/>
          <w:sz w:val="24"/>
        </w:rPr>
      </w:pPr>
    </w:p>
    <w:p w14:paraId="797D77CF">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 xml:space="preserve">法定代表人（或企业负责人）或其委托代理人签字（章）: </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8193456">
      <w:pPr>
        <w:pStyle w:val="11"/>
        <w:tabs>
          <w:tab w:val="left" w:pos="5370"/>
        </w:tabs>
        <w:spacing w:line="240" w:lineRule="atLeast"/>
        <w:ind w:left="1080" w:leftChars="257" w:hanging="540"/>
        <w:rPr>
          <w:rFonts w:hint="eastAsia" w:ascii="仿宋" w:hAnsi="仿宋" w:eastAsia="仿宋" w:cs="仿宋"/>
          <w:color w:val="auto"/>
          <w:sz w:val="24"/>
          <w:u w:val="single" w:color="000000"/>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714A41C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 1.如果投标人认为需要，每种服务、货物填写一份该表。</w:t>
      </w:r>
    </w:p>
    <w:p w14:paraId="6EA406B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2.如果按单价计算的结果与总价不一致,以单价为准修正总价。</w:t>
      </w:r>
    </w:p>
    <w:p w14:paraId="6482DCC7">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3.如果开标一览表（报价表）内容与投标文件中明细表内容不一致的，以开标一览表（报价表）内容为准。</w:t>
      </w:r>
    </w:p>
    <w:p w14:paraId="4983D976">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4.投标人可根据需要自行增减表格行数。</w:t>
      </w:r>
    </w:p>
    <w:p w14:paraId="0A8D7774">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5.投标人对所报相关内容的真实性负责，采购代理机构有权将相关内容进行公示，因弄虚作假导致的后果由投标人自行承担。</w:t>
      </w:r>
    </w:p>
    <w:p w14:paraId="07198A07">
      <w:pPr>
        <w:pStyle w:val="11"/>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sz w:val="24"/>
          <w:lang w:eastAsia="zh-CN"/>
        </w:rPr>
        <w:t>6.以上报价的货物、技术服务，包装、仓储、运输、装卸、保险、安装、税金（规费、税金）等的一切费用。</w:t>
      </w:r>
    </w:p>
    <w:p w14:paraId="528F2994">
      <w:pPr>
        <w:rPr>
          <w:rFonts w:hint="eastAsia" w:ascii="仿宋" w:hAnsi="仿宋" w:eastAsia="仿宋" w:cs="仿宋"/>
          <w:color w:val="auto"/>
          <w:lang w:eastAsia="zh-CN"/>
        </w:rPr>
      </w:pPr>
      <w:bookmarkStart w:id="803" w:name="_Toc17583"/>
      <w:bookmarkStart w:id="804" w:name="_Toc19912"/>
      <w:bookmarkStart w:id="805" w:name="_Toc25123"/>
      <w:bookmarkStart w:id="806" w:name="_Toc7334"/>
      <w:bookmarkStart w:id="807" w:name="_Toc1486"/>
      <w:bookmarkStart w:id="808" w:name="_Toc7368"/>
      <w:bookmarkStart w:id="809" w:name="_Toc21472"/>
      <w:bookmarkStart w:id="810" w:name="_Toc1207"/>
      <w:bookmarkStart w:id="811" w:name="_Toc30769"/>
      <w:bookmarkStart w:id="812" w:name="_Toc24906"/>
      <w:r>
        <w:rPr>
          <w:rFonts w:hint="eastAsia" w:ascii="仿宋" w:hAnsi="仿宋" w:eastAsia="仿宋" w:cs="仿宋"/>
          <w:color w:val="auto"/>
          <w:lang w:eastAsia="zh-CN"/>
        </w:rPr>
        <w:br w:type="page"/>
      </w:r>
    </w:p>
    <w:p w14:paraId="08686E82">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3 货物说明一览表</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50B10A6E">
      <w:pPr>
        <w:pStyle w:val="11"/>
        <w:spacing w:line="240" w:lineRule="atLeast"/>
        <w:ind w:left="1080" w:leftChars="257" w:hanging="540"/>
        <w:rPr>
          <w:rFonts w:hint="eastAsia" w:ascii="仿宋" w:hAnsi="仿宋" w:eastAsia="仿宋" w:cs="仿宋"/>
          <w:color w:val="auto"/>
          <w:sz w:val="24"/>
          <w:lang w:eastAsia="zh-CN"/>
        </w:rPr>
      </w:pPr>
    </w:p>
    <w:p w14:paraId="0713DA12">
      <w:pPr>
        <w:pStyle w:val="11"/>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项目名称:           招标编号:              包号:                      </w:t>
      </w:r>
    </w:p>
    <w:p w14:paraId="172052FC">
      <w:pPr>
        <w:pStyle w:val="11"/>
        <w:spacing w:line="240" w:lineRule="atLeast"/>
        <w:ind w:left="1080" w:leftChars="257" w:hanging="540"/>
        <w:rPr>
          <w:rFonts w:hint="eastAsia" w:ascii="仿宋" w:hAnsi="仿宋" w:eastAsia="仿宋" w:cs="仿宋"/>
          <w:color w:val="auto"/>
          <w:sz w:val="24"/>
          <w:lang w:eastAsia="zh-CN"/>
        </w:rPr>
      </w:pPr>
    </w:p>
    <w:tbl>
      <w:tblPr>
        <w:tblStyle w:val="23"/>
        <w:tblpPr w:leftFromText="180" w:rightFromText="180" w:vertAnchor="text" w:horzAnchor="page" w:tblpX="1506" w:tblpY="217"/>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554"/>
        <w:gridCol w:w="1036"/>
        <w:gridCol w:w="1237"/>
        <w:gridCol w:w="1645"/>
        <w:gridCol w:w="1247"/>
      </w:tblGrid>
      <w:tr w14:paraId="13F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ign w:val="center"/>
          </w:tcPr>
          <w:p w14:paraId="70425AD6">
            <w:pPr>
              <w:pStyle w:val="11"/>
              <w:spacing w:line="240" w:lineRule="atLeast"/>
              <w:ind w:firstLine="240" w:firstLineChars="100"/>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326" w:type="dxa"/>
            <w:noWrap/>
            <w:vAlign w:val="center"/>
          </w:tcPr>
          <w:p w14:paraId="7A5B4A06">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554" w:type="dxa"/>
            <w:noWrap/>
            <w:vAlign w:val="center"/>
          </w:tcPr>
          <w:p w14:paraId="3181119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品牌型号</w:t>
            </w:r>
          </w:p>
          <w:p w14:paraId="3D1B8B0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规格</w:t>
            </w:r>
          </w:p>
        </w:tc>
        <w:tc>
          <w:tcPr>
            <w:tcW w:w="1036" w:type="dxa"/>
            <w:noWrap/>
            <w:vAlign w:val="center"/>
          </w:tcPr>
          <w:p w14:paraId="1BC518B2">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1237" w:type="dxa"/>
            <w:noWrap/>
            <w:vAlign w:val="center"/>
          </w:tcPr>
          <w:p w14:paraId="60953D4D">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交货期</w:t>
            </w:r>
          </w:p>
        </w:tc>
        <w:tc>
          <w:tcPr>
            <w:tcW w:w="1645" w:type="dxa"/>
            <w:noWrap/>
            <w:vAlign w:val="center"/>
          </w:tcPr>
          <w:p w14:paraId="386647D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交货地点</w:t>
            </w:r>
          </w:p>
        </w:tc>
        <w:tc>
          <w:tcPr>
            <w:tcW w:w="1247" w:type="dxa"/>
            <w:noWrap/>
            <w:vAlign w:val="center"/>
          </w:tcPr>
          <w:p w14:paraId="0D68B171">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其它</w:t>
            </w:r>
          </w:p>
        </w:tc>
      </w:tr>
      <w:tr w14:paraId="436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62E21BD">
            <w:pPr>
              <w:pStyle w:val="11"/>
              <w:spacing w:line="240" w:lineRule="atLeast"/>
              <w:ind w:left="1080" w:leftChars="257" w:hanging="540"/>
              <w:rPr>
                <w:rFonts w:hint="eastAsia" w:ascii="仿宋" w:hAnsi="仿宋" w:eastAsia="仿宋" w:cs="仿宋"/>
                <w:color w:val="auto"/>
                <w:sz w:val="24"/>
              </w:rPr>
            </w:pPr>
          </w:p>
        </w:tc>
        <w:tc>
          <w:tcPr>
            <w:tcW w:w="1326" w:type="dxa"/>
            <w:noWrap/>
          </w:tcPr>
          <w:p w14:paraId="74553714">
            <w:pPr>
              <w:pStyle w:val="11"/>
              <w:spacing w:line="240" w:lineRule="atLeast"/>
              <w:ind w:left="1080" w:leftChars="257" w:hanging="540"/>
              <w:rPr>
                <w:rFonts w:hint="eastAsia" w:ascii="仿宋" w:hAnsi="仿宋" w:eastAsia="仿宋" w:cs="仿宋"/>
                <w:color w:val="auto"/>
                <w:sz w:val="24"/>
              </w:rPr>
            </w:pPr>
          </w:p>
        </w:tc>
        <w:tc>
          <w:tcPr>
            <w:tcW w:w="1554" w:type="dxa"/>
            <w:noWrap/>
          </w:tcPr>
          <w:p w14:paraId="525999F8">
            <w:pPr>
              <w:pStyle w:val="11"/>
              <w:spacing w:line="240" w:lineRule="atLeast"/>
              <w:ind w:left="1080" w:leftChars="257" w:hanging="540"/>
              <w:rPr>
                <w:rFonts w:hint="eastAsia" w:ascii="仿宋" w:hAnsi="仿宋" w:eastAsia="仿宋" w:cs="仿宋"/>
                <w:color w:val="auto"/>
                <w:sz w:val="24"/>
              </w:rPr>
            </w:pPr>
          </w:p>
        </w:tc>
        <w:tc>
          <w:tcPr>
            <w:tcW w:w="1036" w:type="dxa"/>
            <w:noWrap/>
          </w:tcPr>
          <w:p w14:paraId="46971B2A">
            <w:pPr>
              <w:pStyle w:val="11"/>
              <w:spacing w:line="240" w:lineRule="atLeast"/>
              <w:ind w:left="1080" w:leftChars="257" w:hanging="540"/>
              <w:rPr>
                <w:rFonts w:hint="eastAsia" w:ascii="仿宋" w:hAnsi="仿宋" w:eastAsia="仿宋" w:cs="仿宋"/>
                <w:color w:val="auto"/>
                <w:sz w:val="24"/>
              </w:rPr>
            </w:pPr>
          </w:p>
        </w:tc>
        <w:tc>
          <w:tcPr>
            <w:tcW w:w="1237" w:type="dxa"/>
            <w:noWrap/>
          </w:tcPr>
          <w:p w14:paraId="57844DCD">
            <w:pPr>
              <w:pStyle w:val="11"/>
              <w:spacing w:line="240" w:lineRule="atLeast"/>
              <w:ind w:left="1080" w:leftChars="257" w:hanging="540"/>
              <w:rPr>
                <w:rFonts w:hint="eastAsia" w:ascii="仿宋" w:hAnsi="仿宋" w:eastAsia="仿宋" w:cs="仿宋"/>
                <w:color w:val="auto"/>
                <w:sz w:val="24"/>
              </w:rPr>
            </w:pPr>
          </w:p>
        </w:tc>
        <w:tc>
          <w:tcPr>
            <w:tcW w:w="1645" w:type="dxa"/>
            <w:noWrap/>
          </w:tcPr>
          <w:p w14:paraId="05F72527">
            <w:pPr>
              <w:pStyle w:val="11"/>
              <w:spacing w:line="240" w:lineRule="atLeast"/>
              <w:ind w:left="1080" w:leftChars="257" w:hanging="540"/>
              <w:rPr>
                <w:rFonts w:hint="eastAsia" w:ascii="仿宋" w:hAnsi="仿宋" w:eastAsia="仿宋" w:cs="仿宋"/>
                <w:color w:val="auto"/>
                <w:sz w:val="24"/>
              </w:rPr>
            </w:pPr>
          </w:p>
        </w:tc>
        <w:tc>
          <w:tcPr>
            <w:tcW w:w="1247" w:type="dxa"/>
            <w:noWrap/>
          </w:tcPr>
          <w:p w14:paraId="1ABF2A63">
            <w:pPr>
              <w:pStyle w:val="11"/>
              <w:spacing w:line="240" w:lineRule="atLeast"/>
              <w:ind w:left="1080" w:leftChars="257" w:hanging="540"/>
              <w:rPr>
                <w:rFonts w:hint="eastAsia" w:ascii="仿宋" w:hAnsi="仿宋" w:eastAsia="仿宋" w:cs="仿宋"/>
                <w:color w:val="auto"/>
                <w:sz w:val="24"/>
              </w:rPr>
            </w:pPr>
          </w:p>
        </w:tc>
      </w:tr>
      <w:tr w14:paraId="296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4A973A63">
            <w:pPr>
              <w:pStyle w:val="11"/>
              <w:spacing w:line="240" w:lineRule="atLeast"/>
              <w:ind w:left="1080" w:leftChars="257" w:hanging="540"/>
              <w:rPr>
                <w:rFonts w:hint="eastAsia" w:ascii="仿宋" w:hAnsi="仿宋" w:eastAsia="仿宋" w:cs="仿宋"/>
                <w:color w:val="auto"/>
                <w:sz w:val="24"/>
              </w:rPr>
            </w:pPr>
          </w:p>
        </w:tc>
        <w:tc>
          <w:tcPr>
            <w:tcW w:w="1326" w:type="dxa"/>
            <w:noWrap/>
          </w:tcPr>
          <w:p w14:paraId="0A719906">
            <w:pPr>
              <w:pStyle w:val="11"/>
              <w:spacing w:line="240" w:lineRule="atLeast"/>
              <w:ind w:left="1080" w:leftChars="257" w:hanging="540"/>
              <w:rPr>
                <w:rFonts w:hint="eastAsia" w:ascii="仿宋" w:hAnsi="仿宋" w:eastAsia="仿宋" w:cs="仿宋"/>
                <w:color w:val="auto"/>
                <w:sz w:val="24"/>
              </w:rPr>
            </w:pPr>
          </w:p>
        </w:tc>
        <w:tc>
          <w:tcPr>
            <w:tcW w:w="1554" w:type="dxa"/>
            <w:noWrap/>
          </w:tcPr>
          <w:p w14:paraId="6D7D4067">
            <w:pPr>
              <w:pStyle w:val="11"/>
              <w:spacing w:line="240" w:lineRule="atLeast"/>
              <w:ind w:left="1080" w:leftChars="257" w:hanging="540"/>
              <w:rPr>
                <w:rFonts w:hint="eastAsia" w:ascii="仿宋" w:hAnsi="仿宋" w:eastAsia="仿宋" w:cs="仿宋"/>
                <w:color w:val="auto"/>
                <w:sz w:val="24"/>
              </w:rPr>
            </w:pPr>
          </w:p>
        </w:tc>
        <w:tc>
          <w:tcPr>
            <w:tcW w:w="1036" w:type="dxa"/>
            <w:noWrap/>
          </w:tcPr>
          <w:p w14:paraId="5CDE1974">
            <w:pPr>
              <w:pStyle w:val="11"/>
              <w:spacing w:line="240" w:lineRule="atLeast"/>
              <w:ind w:left="1080" w:leftChars="257" w:hanging="540"/>
              <w:rPr>
                <w:rFonts w:hint="eastAsia" w:ascii="仿宋" w:hAnsi="仿宋" w:eastAsia="仿宋" w:cs="仿宋"/>
                <w:color w:val="auto"/>
                <w:sz w:val="24"/>
              </w:rPr>
            </w:pPr>
          </w:p>
        </w:tc>
        <w:tc>
          <w:tcPr>
            <w:tcW w:w="1237" w:type="dxa"/>
            <w:noWrap/>
          </w:tcPr>
          <w:p w14:paraId="3E889BA4">
            <w:pPr>
              <w:pStyle w:val="11"/>
              <w:spacing w:line="240" w:lineRule="atLeast"/>
              <w:ind w:left="1080" w:leftChars="257" w:hanging="540"/>
              <w:rPr>
                <w:rFonts w:hint="eastAsia" w:ascii="仿宋" w:hAnsi="仿宋" w:eastAsia="仿宋" w:cs="仿宋"/>
                <w:color w:val="auto"/>
                <w:sz w:val="24"/>
              </w:rPr>
            </w:pPr>
          </w:p>
        </w:tc>
        <w:tc>
          <w:tcPr>
            <w:tcW w:w="1645" w:type="dxa"/>
            <w:noWrap/>
          </w:tcPr>
          <w:p w14:paraId="2E93D827">
            <w:pPr>
              <w:pStyle w:val="11"/>
              <w:spacing w:line="240" w:lineRule="atLeast"/>
              <w:ind w:left="1080" w:leftChars="257" w:hanging="540"/>
              <w:rPr>
                <w:rFonts w:hint="eastAsia" w:ascii="仿宋" w:hAnsi="仿宋" w:eastAsia="仿宋" w:cs="仿宋"/>
                <w:color w:val="auto"/>
                <w:sz w:val="24"/>
              </w:rPr>
            </w:pPr>
          </w:p>
        </w:tc>
        <w:tc>
          <w:tcPr>
            <w:tcW w:w="1247" w:type="dxa"/>
            <w:noWrap/>
          </w:tcPr>
          <w:p w14:paraId="11FC512B">
            <w:pPr>
              <w:pStyle w:val="11"/>
              <w:spacing w:line="240" w:lineRule="atLeast"/>
              <w:ind w:left="1080" w:leftChars="257" w:hanging="540"/>
              <w:rPr>
                <w:rFonts w:hint="eastAsia" w:ascii="仿宋" w:hAnsi="仿宋" w:eastAsia="仿宋" w:cs="仿宋"/>
                <w:color w:val="auto"/>
                <w:sz w:val="24"/>
              </w:rPr>
            </w:pPr>
          </w:p>
        </w:tc>
      </w:tr>
      <w:tr w14:paraId="1862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1E57564C">
            <w:pPr>
              <w:pStyle w:val="11"/>
              <w:spacing w:line="240" w:lineRule="atLeast"/>
              <w:ind w:left="1080" w:leftChars="257" w:hanging="540"/>
              <w:rPr>
                <w:rFonts w:hint="eastAsia" w:ascii="仿宋" w:hAnsi="仿宋" w:eastAsia="仿宋" w:cs="仿宋"/>
                <w:color w:val="auto"/>
                <w:sz w:val="24"/>
              </w:rPr>
            </w:pPr>
          </w:p>
        </w:tc>
        <w:tc>
          <w:tcPr>
            <w:tcW w:w="1326" w:type="dxa"/>
            <w:noWrap/>
          </w:tcPr>
          <w:p w14:paraId="52D57ACC">
            <w:pPr>
              <w:pStyle w:val="11"/>
              <w:spacing w:line="240" w:lineRule="atLeast"/>
              <w:ind w:left="1080" w:leftChars="257" w:hanging="540"/>
              <w:rPr>
                <w:rFonts w:hint="eastAsia" w:ascii="仿宋" w:hAnsi="仿宋" w:eastAsia="仿宋" w:cs="仿宋"/>
                <w:color w:val="auto"/>
                <w:sz w:val="24"/>
              </w:rPr>
            </w:pPr>
          </w:p>
        </w:tc>
        <w:tc>
          <w:tcPr>
            <w:tcW w:w="1554" w:type="dxa"/>
            <w:noWrap/>
          </w:tcPr>
          <w:p w14:paraId="76EA2BBF">
            <w:pPr>
              <w:pStyle w:val="11"/>
              <w:spacing w:line="240" w:lineRule="atLeast"/>
              <w:ind w:left="1080" w:leftChars="257" w:hanging="540"/>
              <w:rPr>
                <w:rFonts w:hint="eastAsia" w:ascii="仿宋" w:hAnsi="仿宋" w:eastAsia="仿宋" w:cs="仿宋"/>
                <w:color w:val="auto"/>
                <w:sz w:val="24"/>
              </w:rPr>
            </w:pPr>
          </w:p>
        </w:tc>
        <w:tc>
          <w:tcPr>
            <w:tcW w:w="1036" w:type="dxa"/>
            <w:noWrap/>
          </w:tcPr>
          <w:p w14:paraId="68D6E698">
            <w:pPr>
              <w:pStyle w:val="11"/>
              <w:spacing w:line="240" w:lineRule="atLeast"/>
              <w:ind w:left="1080" w:leftChars="257" w:hanging="540"/>
              <w:rPr>
                <w:rFonts w:hint="eastAsia" w:ascii="仿宋" w:hAnsi="仿宋" w:eastAsia="仿宋" w:cs="仿宋"/>
                <w:color w:val="auto"/>
                <w:sz w:val="24"/>
              </w:rPr>
            </w:pPr>
          </w:p>
        </w:tc>
        <w:tc>
          <w:tcPr>
            <w:tcW w:w="1237" w:type="dxa"/>
            <w:noWrap/>
          </w:tcPr>
          <w:p w14:paraId="174E6551">
            <w:pPr>
              <w:pStyle w:val="11"/>
              <w:spacing w:line="240" w:lineRule="atLeast"/>
              <w:ind w:left="1080" w:leftChars="257" w:hanging="540"/>
              <w:rPr>
                <w:rFonts w:hint="eastAsia" w:ascii="仿宋" w:hAnsi="仿宋" w:eastAsia="仿宋" w:cs="仿宋"/>
                <w:color w:val="auto"/>
                <w:sz w:val="24"/>
              </w:rPr>
            </w:pPr>
          </w:p>
        </w:tc>
        <w:tc>
          <w:tcPr>
            <w:tcW w:w="1645" w:type="dxa"/>
            <w:noWrap/>
          </w:tcPr>
          <w:p w14:paraId="05F80E32">
            <w:pPr>
              <w:pStyle w:val="11"/>
              <w:spacing w:line="240" w:lineRule="atLeast"/>
              <w:ind w:left="1080" w:leftChars="257" w:hanging="540"/>
              <w:rPr>
                <w:rFonts w:hint="eastAsia" w:ascii="仿宋" w:hAnsi="仿宋" w:eastAsia="仿宋" w:cs="仿宋"/>
                <w:color w:val="auto"/>
                <w:sz w:val="24"/>
              </w:rPr>
            </w:pPr>
          </w:p>
        </w:tc>
        <w:tc>
          <w:tcPr>
            <w:tcW w:w="1247" w:type="dxa"/>
            <w:noWrap/>
          </w:tcPr>
          <w:p w14:paraId="60C5DFA4">
            <w:pPr>
              <w:pStyle w:val="11"/>
              <w:spacing w:line="240" w:lineRule="atLeast"/>
              <w:ind w:left="1080" w:leftChars="257" w:hanging="540"/>
              <w:rPr>
                <w:rFonts w:hint="eastAsia" w:ascii="仿宋" w:hAnsi="仿宋" w:eastAsia="仿宋" w:cs="仿宋"/>
                <w:color w:val="auto"/>
                <w:sz w:val="24"/>
              </w:rPr>
            </w:pPr>
          </w:p>
        </w:tc>
      </w:tr>
      <w:tr w14:paraId="4328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3B88819">
            <w:pPr>
              <w:pStyle w:val="11"/>
              <w:spacing w:line="240" w:lineRule="atLeast"/>
              <w:ind w:left="1080" w:leftChars="257" w:hanging="540"/>
              <w:rPr>
                <w:rFonts w:hint="eastAsia" w:ascii="仿宋" w:hAnsi="仿宋" w:eastAsia="仿宋" w:cs="仿宋"/>
                <w:color w:val="auto"/>
                <w:sz w:val="24"/>
              </w:rPr>
            </w:pPr>
          </w:p>
        </w:tc>
        <w:tc>
          <w:tcPr>
            <w:tcW w:w="1326" w:type="dxa"/>
            <w:noWrap/>
          </w:tcPr>
          <w:p w14:paraId="696CB29E">
            <w:pPr>
              <w:pStyle w:val="11"/>
              <w:spacing w:line="240" w:lineRule="atLeast"/>
              <w:ind w:left="1080" w:leftChars="257" w:hanging="540"/>
              <w:rPr>
                <w:rFonts w:hint="eastAsia" w:ascii="仿宋" w:hAnsi="仿宋" w:eastAsia="仿宋" w:cs="仿宋"/>
                <w:color w:val="auto"/>
                <w:sz w:val="24"/>
              </w:rPr>
            </w:pPr>
          </w:p>
        </w:tc>
        <w:tc>
          <w:tcPr>
            <w:tcW w:w="1554" w:type="dxa"/>
            <w:noWrap/>
          </w:tcPr>
          <w:p w14:paraId="22F1608D">
            <w:pPr>
              <w:pStyle w:val="11"/>
              <w:spacing w:line="240" w:lineRule="atLeast"/>
              <w:ind w:left="1080" w:leftChars="257" w:hanging="540"/>
              <w:rPr>
                <w:rFonts w:hint="eastAsia" w:ascii="仿宋" w:hAnsi="仿宋" w:eastAsia="仿宋" w:cs="仿宋"/>
                <w:color w:val="auto"/>
                <w:sz w:val="24"/>
              </w:rPr>
            </w:pPr>
          </w:p>
        </w:tc>
        <w:tc>
          <w:tcPr>
            <w:tcW w:w="1036" w:type="dxa"/>
            <w:noWrap/>
          </w:tcPr>
          <w:p w14:paraId="6EFA1EDF">
            <w:pPr>
              <w:pStyle w:val="11"/>
              <w:spacing w:line="240" w:lineRule="atLeast"/>
              <w:ind w:left="1080" w:leftChars="257" w:hanging="540"/>
              <w:rPr>
                <w:rFonts w:hint="eastAsia" w:ascii="仿宋" w:hAnsi="仿宋" w:eastAsia="仿宋" w:cs="仿宋"/>
                <w:color w:val="auto"/>
                <w:sz w:val="24"/>
              </w:rPr>
            </w:pPr>
          </w:p>
        </w:tc>
        <w:tc>
          <w:tcPr>
            <w:tcW w:w="1237" w:type="dxa"/>
            <w:noWrap/>
          </w:tcPr>
          <w:p w14:paraId="6A9615DF">
            <w:pPr>
              <w:pStyle w:val="11"/>
              <w:spacing w:line="240" w:lineRule="atLeast"/>
              <w:ind w:left="1080" w:leftChars="257" w:hanging="540"/>
              <w:rPr>
                <w:rFonts w:hint="eastAsia" w:ascii="仿宋" w:hAnsi="仿宋" w:eastAsia="仿宋" w:cs="仿宋"/>
                <w:color w:val="auto"/>
                <w:sz w:val="24"/>
              </w:rPr>
            </w:pPr>
          </w:p>
        </w:tc>
        <w:tc>
          <w:tcPr>
            <w:tcW w:w="1645" w:type="dxa"/>
            <w:noWrap/>
          </w:tcPr>
          <w:p w14:paraId="3890C99F">
            <w:pPr>
              <w:pStyle w:val="11"/>
              <w:spacing w:line="240" w:lineRule="atLeast"/>
              <w:ind w:left="1080" w:leftChars="257" w:hanging="540"/>
              <w:rPr>
                <w:rFonts w:hint="eastAsia" w:ascii="仿宋" w:hAnsi="仿宋" w:eastAsia="仿宋" w:cs="仿宋"/>
                <w:color w:val="auto"/>
                <w:sz w:val="24"/>
              </w:rPr>
            </w:pPr>
          </w:p>
        </w:tc>
        <w:tc>
          <w:tcPr>
            <w:tcW w:w="1247" w:type="dxa"/>
            <w:noWrap/>
          </w:tcPr>
          <w:p w14:paraId="1DD9D867">
            <w:pPr>
              <w:pStyle w:val="11"/>
              <w:spacing w:line="240" w:lineRule="atLeast"/>
              <w:ind w:left="1080" w:leftChars="257" w:hanging="540"/>
              <w:rPr>
                <w:rFonts w:hint="eastAsia" w:ascii="仿宋" w:hAnsi="仿宋" w:eastAsia="仿宋" w:cs="仿宋"/>
                <w:color w:val="auto"/>
                <w:sz w:val="24"/>
              </w:rPr>
            </w:pPr>
          </w:p>
        </w:tc>
      </w:tr>
      <w:tr w14:paraId="1D7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035F0AD2">
            <w:pPr>
              <w:pStyle w:val="11"/>
              <w:spacing w:line="240" w:lineRule="atLeast"/>
              <w:ind w:left="1080" w:leftChars="257" w:hanging="540"/>
              <w:rPr>
                <w:rFonts w:hint="eastAsia" w:ascii="仿宋" w:hAnsi="仿宋" w:eastAsia="仿宋" w:cs="仿宋"/>
                <w:color w:val="auto"/>
                <w:sz w:val="24"/>
              </w:rPr>
            </w:pPr>
          </w:p>
        </w:tc>
        <w:tc>
          <w:tcPr>
            <w:tcW w:w="1326" w:type="dxa"/>
            <w:noWrap/>
          </w:tcPr>
          <w:p w14:paraId="0F58ED4A">
            <w:pPr>
              <w:pStyle w:val="11"/>
              <w:spacing w:line="240" w:lineRule="atLeast"/>
              <w:ind w:left="1080" w:leftChars="257" w:hanging="540"/>
              <w:rPr>
                <w:rFonts w:hint="eastAsia" w:ascii="仿宋" w:hAnsi="仿宋" w:eastAsia="仿宋" w:cs="仿宋"/>
                <w:color w:val="auto"/>
                <w:sz w:val="24"/>
              </w:rPr>
            </w:pPr>
          </w:p>
        </w:tc>
        <w:tc>
          <w:tcPr>
            <w:tcW w:w="1554" w:type="dxa"/>
            <w:noWrap/>
          </w:tcPr>
          <w:p w14:paraId="33CCBFC8">
            <w:pPr>
              <w:pStyle w:val="11"/>
              <w:spacing w:line="240" w:lineRule="atLeast"/>
              <w:ind w:left="1080" w:leftChars="257" w:hanging="540"/>
              <w:rPr>
                <w:rFonts w:hint="eastAsia" w:ascii="仿宋" w:hAnsi="仿宋" w:eastAsia="仿宋" w:cs="仿宋"/>
                <w:color w:val="auto"/>
                <w:sz w:val="24"/>
              </w:rPr>
            </w:pPr>
          </w:p>
        </w:tc>
        <w:tc>
          <w:tcPr>
            <w:tcW w:w="1036" w:type="dxa"/>
            <w:noWrap/>
          </w:tcPr>
          <w:p w14:paraId="2FEC11F0">
            <w:pPr>
              <w:pStyle w:val="11"/>
              <w:spacing w:line="240" w:lineRule="atLeast"/>
              <w:ind w:left="1080" w:leftChars="257" w:hanging="540"/>
              <w:rPr>
                <w:rFonts w:hint="eastAsia" w:ascii="仿宋" w:hAnsi="仿宋" w:eastAsia="仿宋" w:cs="仿宋"/>
                <w:color w:val="auto"/>
                <w:sz w:val="24"/>
              </w:rPr>
            </w:pPr>
          </w:p>
        </w:tc>
        <w:tc>
          <w:tcPr>
            <w:tcW w:w="1237" w:type="dxa"/>
            <w:noWrap/>
          </w:tcPr>
          <w:p w14:paraId="4F4C83BC">
            <w:pPr>
              <w:pStyle w:val="11"/>
              <w:spacing w:line="240" w:lineRule="atLeast"/>
              <w:ind w:left="1080" w:leftChars="257" w:hanging="540"/>
              <w:rPr>
                <w:rFonts w:hint="eastAsia" w:ascii="仿宋" w:hAnsi="仿宋" w:eastAsia="仿宋" w:cs="仿宋"/>
                <w:color w:val="auto"/>
                <w:sz w:val="24"/>
              </w:rPr>
            </w:pPr>
          </w:p>
        </w:tc>
        <w:tc>
          <w:tcPr>
            <w:tcW w:w="1645" w:type="dxa"/>
            <w:noWrap/>
          </w:tcPr>
          <w:p w14:paraId="2A986538">
            <w:pPr>
              <w:pStyle w:val="11"/>
              <w:spacing w:line="240" w:lineRule="atLeast"/>
              <w:ind w:left="1080" w:leftChars="257" w:hanging="540"/>
              <w:rPr>
                <w:rFonts w:hint="eastAsia" w:ascii="仿宋" w:hAnsi="仿宋" w:eastAsia="仿宋" w:cs="仿宋"/>
                <w:color w:val="auto"/>
                <w:sz w:val="24"/>
              </w:rPr>
            </w:pPr>
          </w:p>
        </w:tc>
        <w:tc>
          <w:tcPr>
            <w:tcW w:w="1247" w:type="dxa"/>
            <w:noWrap/>
          </w:tcPr>
          <w:p w14:paraId="5FFDF89C">
            <w:pPr>
              <w:pStyle w:val="11"/>
              <w:spacing w:line="240" w:lineRule="atLeast"/>
              <w:ind w:left="1080" w:leftChars="257" w:hanging="540"/>
              <w:rPr>
                <w:rFonts w:hint="eastAsia" w:ascii="仿宋" w:hAnsi="仿宋" w:eastAsia="仿宋" w:cs="仿宋"/>
                <w:color w:val="auto"/>
                <w:sz w:val="24"/>
              </w:rPr>
            </w:pPr>
          </w:p>
        </w:tc>
      </w:tr>
      <w:tr w14:paraId="1989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673B81F8">
            <w:pPr>
              <w:pStyle w:val="11"/>
              <w:spacing w:line="240" w:lineRule="atLeast"/>
              <w:ind w:left="1080" w:leftChars="257" w:hanging="540"/>
              <w:rPr>
                <w:rFonts w:hint="eastAsia" w:ascii="仿宋" w:hAnsi="仿宋" w:eastAsia="仿宋" w:cs="仿宋"/>
                <w:color w:val="auto"/>
                <w:sz w:val="24"/>
              </w:rPr>
            </w:pPr>
          </w:p>
        </w:tc>
        <w:tc>
          <w:tcPr>
            <w:tcW w:w="1326" w:type="dxa"/>
            <w:noWrap/>
          </w:tcPr>
          <w:p w14:paraId="14AC255A">
            <w:pPr>
              <w:pStyle w:val="11"/>
              <w:spacing w:line="240" w:lineRule="atLeast"/>
              <w:ind w:left="1080" w:leftChars="257" w:hanging="540"/>
              <w:rPr>
                <w:rFonts w:hint="eastAsia" w:ascii="仿宋" w:hAnsi="仿宋" w:eastAsia="仿宋" w:cs="仿宋"/>
                <w:color w:val="auto"/>
                <w:sz w:val="24"/>
              </w:rPr>
            </w:pPr>
          </w:p>
        </w:tc>
        <w:tc>
          <w:tcPr>
            <w:tcW w:w="1554" w:type="dxa"/>
            <w:noWrap/>
          </w:tcPr>
          <w:p w14:paraId="57D6FEE6">
            <w:pPr>
              <w:pStyle w:val="11"/>
              <w:spacing w:line="240" w:lineRule="atLeast"/>
              <w:ind w:left="1080" w:leftChars="257" w:hanging="540"/>
              <w:rPr>
                <w:rFonts w:hint="eastAsia" w:ascii="仿宋" w:hAnsi="仿宋" w:eastAsia="仿宋" w:cs="仿宋"/>
                <w:color w:val="auto"/>
                <w:sz w:val="24"/>
              </w:rPr>
            </w:pPr>
          </w:p>
        </w:tc>
        <w:tc>
          <w:tcPr>
            <w:tcW w:w="1036" w:type="dxa"/>
            <w:noWrap/>
          </w:tcPr>
          <w:p w14:paraId="16826AC2">
            <w:pPr>
              <w:pStyle w:val="11"/>
              <w:spacing w:line="240" w:lineRule="atLeast"/>
              <w:ind w:left="1080" w:leftChars="257" w:hanging="540"/>
              <w:rPr>
                <w:rFonts w:hint="eastAsia" w:ascii="仿宋" w:hAnsi="仿宋" w:eastAsia="仿宋" w:cs="仿宋"/>
                <w:color w:val="auto"/>
                <w:sz w:val="24"/>
              </w:rPr>
            </w:pPr>
          </w:p>
        </w:tc>
        <w:tc>
          <w:tcPr>
            <w:tcW w:w="1237" w:type="dxa"/>
            <w:noWrap/>
          </w:tcPr>
          <w:p w14:paraId="45047AF8">
            <w:pPr>
              <w:pStyle w:val="11"/>
              <w:spacing w:line="240" w:lineRule="atLeast"/>
              <w:ind w:left="1080" w:leftChars="257" w:hanging="540"/>
              <w:rPr>
                <w:rFonts w:hint="eastAsia" w:ascii="仿宋" w:hAnsi="仿宋" w:eastAsia="仿宋" w:cs="仿宋"/>
                <w:color w:val="auto"/>
                <w:sz w:val="24"/>
              </w:rPr>
            </w:pPr>
          </w:p>
        </w:tc>
        <w:tc>
          <w:tcPr>
            <w:tcW w:w="1645" w:type="dxa"/>
            <w:noWrap/>
          </w:tcPr>
          <w:p w14:paraId="2C5B4D7B">
            <w:pPr>
              <w:pStyle w:val="11"/>
              <w:spacing w:line="240" w:lineRule="atLeast"/>
              <w:ind w:left="1080" w:leftChars="257" w:hanging="540"/>
              <w:rPr>
                <w:rFonts w:hint="eastAsia" w:ascii="仿宋" w:hAnsi="仿宋" w:eastAsia="仿宋" w:cs="仿宋"/>
                <w:color w:val="auto"/>
                <w:sz w:val="24"/>
              </w:rPr>
            </w:pPr>
          </w:p>
        </w:tc>
        <w:tc>
          <w:tcPr>
            <w:tcW w:w="1247" w:type="dxa"/>
            <w:noWrap/>
          </w:tcPr>
          <w:p w14:paraId="505D5B97">
            <w:pPr>
              <w:pStyle w:val="11"/>
              <w:spacing w:line="240" w:lineRule="atLeast"/>
              <w:ind w:left="1080" w:leftChars="257" w:hanging="540"/>
              <w:rPr>
                <w:rFonts w:hint="eastAsia" w:ascii="仿宋" w:hAnsi="仿宋" w:eastAsia="仿宋" w:cs="仿宋"/>
                <w:color w:val="auto"/>
                <w:sz w:val="24"/>
              </w:rPr>
            </w:pPr>
          </w:p>
        </w:tc>
      </w:tr>
      <w:tr w14:paraId="5D4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tcPr>
          <w:p w14:paraId="2A9CD3E5">
            <w:pPr>
              <w:pStyle w:val="11"/>
              <w:spacing w:line="240" w:lineRule="atLeast"/>
              <w:ind w:left="1080" w:leftChars="257" w:hanging="540"/>
              <w:rPr>
                <w:rFonts w:hint="eastAsia" w:ascii="仿宋" w:hAnsi="仿宋" w:eastAsia="仿宋" w:cs="仿宋"/>
                <w:color w:val="auto"/>
                <w:sz w:val="24"/>
              </w:rPr>
            </w:pPr>
          </w:p>
        </w:tc>
        <w:tc>
          <w:tcPr>
            <w:tcW w:w="1326" w:type="dxa"/>
            <w:noWrap/>
          </w:tcPr>
          <w:p w14:paraId="55EC7B79">
            <w:pPr>
              <w:pStyle w:val="11"/>
              <w:spacing w:line="240" w:lineRule="atLeast"/>
              <w:ind w:left="1080" w:leftChars="257" w:hanging="540"/>
              <w:rPr>
                <w:rFonts w:hint="eastAsia" w:ascii="仿宋" w:hAnsi="仿宋" w:eastAsia="仿宋" w:cs="仿宋"/>
                <w:color w:val="auto"/>
                <w:sz w:val="24"/>
              </w:rPr>
            </w:pPr>
          </w:p>
        </w:tc>
        <w:tc>
          <w:tcPr>
            <w:tcW w:w="1554" w:type="dxa"/>
            <w:noWrap/>
          </w:tcPr>
          <w:p w14:paraId="20E5E3DB">
            <w:pPr>
              <w:pStyle w:val="11"/>
              <w:spacing w:line="240" w:lineRule="atLeast"/>
              <w:ind w:left="1080" w:leftChars="257" w:hanging="540"/>
              <w:rPr>
                <w:rFonts w:hint="eastAsia" w:ascii="仿宋" w:hAnsi="仿宋" w:eastAsia="仿宋" w:cs="仿宋"/>
                <w:color w:val="auto"/>
                <w:sz w:val="24"/>
              </w:rPr>
            </w:pPr>
          </w:p>
        </w:tc>
        <w:tc>
          <w:tcPr>
            <w:tcW w:w="1036" w:type="dxa"/>
            <w:noWrap/>
          </w:tcPr>
          <w:p w14:paraId="4C64E225">
            <w:pPr>
              <w:pStyle w:val="11"/>
              <w:spacing w:line="240" w:lineRule="atLeast"/>
              <w:ind w:left="1080" w:leftChars="257" w:hanging="540"/>
              <w:rPr>
                <w:rFonts w:hint="eastAsia" w:ascii="仿宋" w:hAnsi="仿宋" w:eastAsia="仿宋" w:cs="仿宋"/>
                <w:color w:val="auto"/>
                <w:sz w:val="24"/>
              </w:rPr>
            </w:pPr>
          </w:p>
        </w:tc>
        <w:tc>
          <w:tcPr>
            <w:tcW w:w="1237" w:type="dxa"/>
            <w:noWrap/>
          </w:tcPr>
          <w:p w14:paraId="68630D18">
            <w:pPr>
              <w:pStyle w:val="11"/>
              <w:spacing w:line="240" w:lineRule="atLeast"/>
              <w:ind w:left="1080" w:leftChars="257" w:hanging="540"/>
              <w:rPr>
                <w:rFonts w:hint="eastAsia" w:ascii="仿宋" w:hAnsi="仿宋" w:eastAsia="仿宋" w:cs="仿宋"/>
                <w:color w:val="auto"/>
                <w:sz w:val="24"/>
              </w:rPr>
            </w:pPr>
          </w:p>
        </w:tc>
        <w:tc>
          <w:tcPr>
            <w:tcW w:w="1645" w:type="dxa"/>
            <w:noWrap/>
          </w:tcPr>
          <w:p w14:paraId="41381BD7">
            <w:pPr>
              <w:pStyle w:val="11"/>
              <w:spacing w:line="240" w:lineRule="atLeast"/>
              <w:ind w:left="1080" w:leftChars="257" w:hanging="540"/>
              <w:rPr>
                <w:rFonts w:hint="eastAsia" w:ascii="仿宋" w:hAnsi="仿宋" w:eastAsia="仿宋" w:cs="仿宋"/>
                <w:color w:val="auto"/>
                <w:sz w:val="24"/>
              </w:rPr>
            </w:pPr>
          </w:p>
        </w:tc>
        <w:tc>
          <w:tcPr>
            <w:tcW w:w="1247" w:type="dxa"/>
            <w:noWrap/>
          </w:tcPr>
          <w:p w14:paraId="764B98E9">
            <w:pPr>
              <w:pStyle w:val="11"/>
              <w:spacing w:line="240" w:lineRule="atLeast"/>
              <w:ind w:left="1080" w:leftChars="257" w:hanging="540"/>
              <w:rPr>
                <w:rFonts w:hint="eastAsia" w:ascii="仿宋" w:hAnsi="仿宋" w:eastAsia="仿宋" w:cs="仿宋"/>
                <w:color w:val="auto"/>
                <w:sz w:val="24"/>
              </w:rPr>
            </w:pPr>
          </w:p>
        </w:tc>
      </w:tr>
      <w:tr w14:paraId="08F3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tcPr>
          <w:p w14:paraId="3F9C43E9">
            <w:pPr>
              <w:pStyle w:val="11"/>
              <w:spacing w:line="240" w:lineRule="atLeast"/>
              <w:ind w:left="1080" w:leftChars="257" w:hanging="540"/>
              <w:rPr>
                <w:rFonts w:hint="eastAsia" w:ascii="仿宋" w:hAnsi="仿宋" w:eastAsia="仿宋" w:cs="仿宋"/>
                <w:color w:val="auto"/>
                <w:sz w:val="24"/>
              </w:rPr>
            </w:pPr>
          </w:p>
        </w:tc>
        <w:tc>
          <w:tcPr>
            <w:tcW w:w="1326" w:type="dxa"/>
            <w:noWrap/>
          </w:tcPr>
          <w:p w14:paraId="0684C77A">
            <w:pPr>
              <w:pStyle w:val="11"/>
              <w:spacing w:line="240" w:lineRule="atLeast"/>
              <w:ind w:left="1080" w:leftChars="257" w:hanging="540"/>
              <w:rPr>
                <w:rFonts w:hint="eastAsia" w:ascii="仿宋" w:hAnsi="仿宋" w:eastAsia="仿宋" w:cs="仿宋"/>
                <w:color w:val="auto"/>
                <w:sz w:val="24"/>
              </w:rPr>
            </w:pPr>
          </w:p>
        </w:tc>
        <w:tc>
          <w:tcPr>
            <w:tcW w:w="1554" w:type="dxa"/>
            <w:noWrap/>
          </w:tcPr>
          <w:p w14:paraId="2A550B6E">
            <w:pPr>
              <w:pStyle w:val="11"/>
              <w:spacing w:line="240" w:lineRule="atLeast"/>
              <w:ind w:left="1080" w:leftChars="257" w:hanging="540"/>
              <w:rPr>
                <w:rFonts w:hint="eastAsia" w:ascii="仿宋" w:hAnsi="仿宋" w:eastAsia="仿宋" w:cs="仿宋"/>
                <w:color w:val="auto"/>
                <w:sz w:val="24"/>
              </w:rPr>
            </w:pPr>
          </w:p>
        </w:tc>
        <w:tc>
          <w:tcPr>
            <w:tcW w:w="1036" w:type="dxa"/>
            <w:noWrap/>
          </w:tcPr>
          <w:p w14:paraId="23A2D11A">
            <w:pPr>
              <w:pStyle w:val="11"/>
              <w:spacing w:line="240" w:lineRule="atLeast"/>
              <w:ind w:left="1080" w:leftChars="257" w:hanging="540"/>
              <w:rPr>
                <w:rFonts w:hint="eastAsia" w:ascii="仿宋" w:hAnsi="仿宋" w:eastAsia="仿宋" w:cs="仿宋"/>
                <w:color w:val="auto"/>
                <w:sz w:val="24"/>
              </w:rPr>
            </w:pPr>
          </w:p>
        </w:tc>
        <w:tc>
          <w:tcPr>
            <w:tcW w:w="1237" w:type="dxa"/>
            <w:noWrap/>
          </w:tcPr>
          <w:p w14:paraId="6CBF48AC">
            <w:pPr>
              <w:pStyle w:val="11"/>
              <w:spacing w:line="240" w:lineRule="atLeast"/>
              <w:ind w:left="1080" w:leftChars="257" w:hanging="540"/>
              <w:rPr>
                <w:rFonts w:hint="eastAsia" w:ascii="仿宋" w:hAnsi="仿宋" w:eastAsia="仿宋" w:cs="仿宋"/>
                <w:color w:val="auto"/>
                <w:sz w:val="24"/>
              </w:rPr>
            </w:pPr>
          </w:p>
        </w:tc>
        <w:tc>
          <w:tcPr>
            <w:tcW w:w="1645" w:type="dxa"/>
            <w:noWrap/>
          </w:tcPr>
          <w:p w14:paraId="71FA0041">
            <w:pPr>
              <w:pStyle w:val="11"/>
              <w:spacing w:line="240" w:lineRule="atLeast"/>
              <w:ind w:left="1080" w:leftChars="257" w:hanging="540"/>
              <w:rPr>
                <w:rFonts w:hint="eastAsia" w:ascii="仿宋" w:hAnsi="仿宋" w:eastAsia="仿宋" w:cs="仿宋"/>
                <w:color w:val="auto"/>
                <w:sz w:val="24"/>
              </w:rPr>
            </w:pPr>
          </w:p>
        </w:tc>
        <w:tc>
          <w:tcPr>
            <w:tcW w:w="1247" w:type="dxa"/>
            <w:noWrap/>
          </w:tcPr>
          <w:p w14:paraId="42E0EE05">
            <w:pPr>
              <w:pStyle w:val="11"/>
              <w:spacing w:line="240" w:lineRule="atLeast"/>
              <w:ind w:left="1080" w:leftChars="257" w:hanging="540"/>
              <w:rPr>
                <w:rFonts w:hint="eastAsia" w:ascii="仿宋" w:hAnsi="仿宋" w:eastAsia="仿宋" w:cs="仿宋"/>
                <w:color w:val="auto"/>
                <w:sz w:val="24"/>
              </w:rPr>
            </w:pPr>
          </w:p>
        </w:tc>
      </w:tr>
    </w:tbl>
    <w:p w14:paraId="4D654C80">
      <w:pPr>
        <w:pStyle w:val="11"/>
        <w:spacing w:line="240" w:lineRule="atLeast"/>
        <w:ind w:left="1080" w:leftChars="257" w:hanging="540"/>
        <w:rPr>
          <w:rFonts w:hint="eastAsia" w:ascii="仿宋" w:hAnsi="仿宋" w:eastAsia="仿宋" w:cs="仿宋"/>
          <w:color w:val="auto"/>
          <w:sz w:val="24"/>
        </w:rPr>
      </w:pPr>
    </w:p>
    <w:p w14:paraId="089D7BB7">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5A00EA31">
      <w:pPr>
        <w:pStyle w:val="11"/>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227EC938">
      <w:pPr>
        <w:pStyle w:val="11"/>
        <w:spacing w:line="240" w:lineRule="atLeast"/>
        <w:ind w:left="1080" w:leftChars="257" w:hanging="540"/>
        <w:rPr>
          <w:rFonts w:hint="eastAsia" w:ascii="仿宋" w:hAnsi="仿宋" w:eastAsia="仿宋" w:cs="仿宋"/>
          <w:color w:val="auto"/>
          <w:sz w:val="24"/>
          <w:lang w:eastAsia="zh-CN"/>
        </w:rPr>
      </w:pPr>
    </w:p>
    <w:p w14:paraId="44C2219F">
      <w:pPr>
        <w:pStyle w:val="11"/>
        <w:spacing w:line="240" w:lineRule="atLeast"/>
        <w:rPr>
          <w:rFonts w:hint="eastAsia" w:ascii="仿宋" w:hAnsi="仿宋" w:eastAsia="仿宋" w:cs="仿宋"/>
          <w:color w:val="auto"/>
          <w:sz w:val="24"/>
          <w:lang w:eastAsia="zh-CN"/>
        </w:rPr>
      </w:pPr>
    </w:p>
    <w:p w14:paraId="259BC7C4">
      <w:pPr>
        <w:pStyle w:val="11"/>
        <w:spacing w:line="240" w:lineRule="atLeast"/>
        <w:ind w:left="1080" w:leftChars="257" w:hanging="540"/>
        <w:jc w:val="center"/>
        <w:rPr>
          <w:rFonts w:hint="eastAsia" w:ascii="仿宋" w:hAnsi="仿宋" w:eastAsia="仿宋" w:cs="仿宋"/>
          <w:color w:val="auto"/>
          <w:sz w:val="24"/>
          <w:lang w:eastAsia="zh-CN"/>
        </w:rPr>
      </w:pPr>
    </w:p>
    <w:p w14:paraId="753D44D6">
      <w:pPr>
        <w:pStyle w:val="11"/>
        <w:spacing w:line="240" w:lineRule="atLeast"/>
        <w:ind w:left="1080" w:leftChars="257" w:hanging="540"/>
        <w:jc w:val="center"/>
        <w:rPr>
          <w:rFonts w:hint="eastAsia" w:ascii="仿宋" w:hAnsi="仿宋" w:eastAsia="仿宋" w:cs="仿宋"/>
          <w:color w:val="auto"/>
          <w:sz w:val="24"/>
          <w:lang w:eastAsia="zh-CN"/>
        </w:rPr>
        <w:sectPr>
          <w:headerReference r:id="rId11" w:type="default"/>
          <w:footerReference r:id="rId12" w:type="default"/>
          <w:pgSz w:w="11906" w:h="16838"/>
          <w:pgMar w:top="1440" w:right="1797" w:bottom="1440" w:left="1797" w:header="851" w:footer="992" w:gutter="0"/>
          <w:cols w:space="720" w:num="1"/>
          <w:docGrid w:linePitch="312" w:charSpace="0"/>
        </w:sectPr>
      </w:pPr>
    </w:p>
    <w:p w14:paraId="69B9147C">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13" w:name="_Toc1112"/>
      <w:bookmarkStart w:id="814" w:name="_Toc29133"/>
      <w:bookmarkStart w:id="815" w:name="_Toc5951"/>
      <w:bookmarkStart w:id="816" w:name="_Toc32464"/>
      <w:bookmarkStart w:id="817" w:name="_Toc22563"/>
      <w:bookmarkStart w:id="818" w:name="_Toc28959"/>
      <w:bookmarkStart w:id="819" w:name="_Toc29396"/>
      <w:bookmarkStart w:id="820" w:name="_Toc10052"/>
      <w:bookmarkStart w:id="821" w:name="_Toc24855"/>
      <w:bookmarkStart w:id="822" w:name="_Toc12128"/>
      <w:bookmarkStart w:id="823" w:name="_Toc29780"/>
      <w:bookmarkStart w:id="824" w:name="_Toc515647820"/>
      <w:bookmarkStart w:id="825" w:name="_Toc216582817"/>
      <w:bookmarkStart w:id="826" w:name="_Toc28689"/>
      <w:bookmarkStart w:id="827" w:name="_Toc14695"/>
      <w:r>
        <w:rPr>
          <w:rFonts w:hint="eastAsia" w:ascii="仿宋" w:hAnsi="仿宋" w:eastAsia="仿宋" w:cs="仿宋"/>
          <w:color w:val="auto"/>
          <w:u w:val="none"/>
          <w:lang w:eastAsia="zh-CN"/>
        </w:rPr>
        <w:t>4 技术规格偏离表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355B5866">
      <w:pPr>
        <w:pStyle w:val="11"/>
        <w:spacing w:line="240" w:lineRule="atLeast"/>
        <w:ind w:left="1080" w:leftChars="257" w:hanging="540"/>
        <w:rPr>
          <w:rFonts w:hint="eastAsia" w:ascii="仿宋" w:hAnsi="仿宋" w:eastAsia="仿宋" w:cs="仿宋"/>
          <w:color w:val="auto"/>
          <w:sz w:val="24"/>
          <w:lang w:eastAsia="zh-CN"/>
        </w:rPr>
      </w:pPr>
    </w:p>
    <w:p w14:paraId="0184AC2B">
      <w:pPr>
        <w:pStyle w:val="11"/>
        <w:spacing w:line="240" w:lineRule="atLeast"/>
        <w:ind w:firstLine="360" w:firstLineChars="15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7249C873">
      <w:pPr>
        <w:pStyle w:val="11"/>
        <w:spacing w:line="240" w:lineRule="atLeast"/>
        <w:ind w:left="1080" w:leftChars="257" w:hanging="540"/>
        <w:rPr>
          <w:rFonts w:hint="eastAsia" w:ascii="仿宋" w:hAnsi="仿宋" w:eastAsia="仿宋" w:cs="仿宋"/>
          <w:color w:val="auto"/>
          <w:sz w:val="24"/>
          <w:lang w:eastAsia="zh-CN"/>
        </w:rPr>
      </w:pPr>
    </w:p>
    <w:tbl>
      <w:tblPr>
        <w:tblStyle w:val="2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078D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1E2375F4">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686" w:type="dxa"/>
            <w:noWrap/>
            <w:vAlign w:val="center"/>
          </w:tcPr>
          <w:p w14:paraId="4FB8AFF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货物名称</w:t>
            </w:r>
          </w:p>
        </w:tc>
        <w:tc>
          <w:tcPr>
            <w:tcW w:w="1809" w:type="dxa"/>
            <w:noWrap/>
            <w:vAlign w:val="center"/>
          </w:tcPr>
          <w:p w14:paraId="26BF4250">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招标规格</w:t>
            </w:r>
          </w:p>
        </w:tc>
        <w:tc>
          <w:tcPr>
            <w:tcW w:w="1534" w:type="dxa"/>
            <w:noWrap/>
            <w:vAlign w:val="center"/>
          </w:tcPr>
          <w:p w14:paraId="3073103B">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投标规格</w:t>
            </w:r>
          </w:p>
        </w:tc>
        <w:tc>
          <w:tcPr>
            <w:tcW w:w="1435" w:type="dxa"/>
            <w:noWrap/>
            <w:vAlign w:val="center"/>
          </w:tcPr>
          <w:p w14:paraId="16298D78">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偏离</w:t>
            </w:r>
          </w:p>
        </w:tc>
        <w:tc>
          <w:tcPr>
            <w:tcW w:w="1119" w:type="dxa"/>
            <w:noWrap/>
            <w:vAlign w:val="center"/>
          </w:tcPr>
          <w:p w14:paraId="5CEADD7C">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74A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0D260F6">
            <w:pPr>
              <w:pStyle w:val="11"/>
              <w:spacing w:line="240" w:lineRule="atLeast"/>
              <w:ind w:left="1080" w:leftChars="257" w:hanging="540"/>
              <w:rPr>
                <w:rFonts w:hint="eastAsia" w:ascii="仿宋" w:hAnsi="仿宋" w:eastAsia="仿宋" w:cs="仿宋"/>
                <w:color w:val="auto"/>
                <w:sz w:val="24"/>
              </w:rPr>
            </w:pPr>
          </w:p>
        </w:tc>
        <w:tc>
          <w:tcPr>
            <w:tcW w:w="1686" w:type="dxa"/>
            <w:noWrap/>
          </w:tcPr>
          <w:p w14:paraId="13F6DE9D">
            <w:pPr>
              <w:pStyle w:val="11"/>
              <w:spacing w:line="240" w:lineRule="atLeast"/>
              <w:ind w:left="1080" w:leftChars="257" w:hanging="540"/>
              <w:rPr>
                <w:rFonts w:hint="eastAsia" w:ascii="仿宋" w:hAnsi="仿宋" w:eastAsia="仿宋" w:cs="仿宋"/>
                <w:color w:val="auto"/>
                <w:sz w:val="24"/>
              </w:rPr>
            </w:pPr>
          </w:p>
        </w:tc>
        <w:tc>
          <w:tcPr>
            <w:tcW w:w="1809" w:type="dxa"/>
            <w:noWrap/>
          </w:tcPr>
          <w:p w14:paraId="5BEDC945">
            <w:pPr>
              <w:pStyle w:val="11"/>
              <w:spacing w:line="240" w:lineRule="atLeast"/>
              <w:ind w:left="1080" w:leftChars="257" w:hanging="540"/>
              <w:rPr>
                <w:rFonts w:hint="eastAsia" w:ascii="仿宋" w:hAnsi="仿宋" w:eastAsia="仿宋" w:cs="仿宋"/>
                <w:color w:val="auto"/>
                <w:sz w:val="24"/>
              </w:rPr>
            </w:pPr>
          </w:p>
        </w:tc>
        <w:tc>
          <w:tcPr>
            <w:tcW w:w="1534" w:type="dxa"/>
            <w:noWrap/>
          </w:tcPr>
          <w:p w14:paraId="6E561B89">
            <w:pPr>
              <w:pStyle w:val="11"/>
              <w:spacing w:line="240" w:lineRule="atLeast"/>
              <w:ind w:left="1080" w:leftChars="257" w:hanging="540"/>
              <w:rPr>
                <w:rFonts w:hint="eastAsia" w:ascii="仿宋" w:hAnsi="仿宋" w:eastAsia="仿宋" w:cs="仿宋"/>
                <w:color w:val="auto"/>
                <w:sz w:val="24"/>
              </w:rPr>
            </w:pPr>
          </w:p>
        </w:tc>
        <w:tc>
          <w:tcPr>
            <w:tcW w:w="1435" w:type="dxa"/>
            <w:noWrap/>
          </w:tcPr>
          <w:p w14:paraId="562A3A84">
            <w:pPr>
              <w:pStyle w:val="11"/>
              <w:spacing w:line="240" w:lineRule="atLeast"/>
              <w:ind w:left="1080" w:leftChars="257" w:hanging="540"/>
              <w:rPr>
                <w:rFonts w:hint="eastAsia" w:ascii="仿宋" w:hAnsi="仿宋" w:eastAsia="仿宋" w:cs="仿宋"/>
                <w:color w:val="auto"/>
                <w:sz w:val="24"/>
              </w:rPr>
            </w:pPr>
          </w:p>
        </w:tc>
        <w:tc>
          <w:tcPr>
            <w:tcW w:w="1119" w:type="dxa"/>
            <w:noWrap/>
          </w:tcPr>
          <w:p w14:paraId="32A07BE0">
            <w:pPr>
              <w:pStyle w:val="11"/>
              <w:spacing w:line="240" w:lineRule="atLeast"/>
              <w:ind w:left="1080" w:leftChars="257" w:hanging="540"/>
              <w:rPr>
                <w:rFonts w:hint="eastAsia" w:ascii="仿宋" w:hAnsi="仿宋" w:eastAsia="仿宋" w:cs="仿宋"/>
                <w:color w:val="auto"/>
                <w:sz w:val="24"/>
              </w:rPr>
            </w:pPr>
          </w:p>
        </w:tc>
      </w:tr>
      <w:tr w14:paraId="3324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B3B2FDB">
            <w:pPr>
              <w:pStyle w:val="11"/>
              <w:spacing w:line="240" w:lineRule="atLeast"/>
              <w:ind w:left="1080" w:leftChars="257" w:hanging="540"/>
              <w:rPr>
                <w:rFonts w:hint="eastAsia" w:ascii="仿宋" w:hAnsi="仿宋" w:eastAsia="仿宋" w:cs="仿宋"/>
                <w:color w:val="auto"/>
                <w:sz w:val="24"/>
              </w:rPr>
            </w:pPr>
          </w:p>
        </w:tc>
        <w:tc>
          <w:tcPr>
            <w:tcW w:w="1686" w:type="dxa"/>
            <w:noWrap/>
          </w:tcPr>
          <w:p w14:paraId="5124F31F">
            <w:pPr>
              <w:pStyle w:val="11"/>
              <w:spacing w:line="240" w:lineRule="atLeast"/>
              <w:ind w:left="1080" w:leftChars="257" w:hanging="540"/>
              <w:rPr>
                <w:rFonts w:hint="eastAsia" w:ascii="仿宋" w:hAnsi="仿宋" w:eastAsia="仿宋" w:cs="仿宋"/>
                <w:color w:val="auto"/>
                <w:sz w:val="24"/>
              </w:rPr>
            </w:pPr>
          </w:p>
        </w:tc>
        <w:tc>
          <w:tcPr>
            <w:tcW w:w="1809" w:type="dxa"/>
            <w:noWrap/>
          </w:tcPr>
          <w:p w14:paraId="536E41A1">
            <w:pPr>
              <w:pStyle w:val="11"/>
              <w:spacing w:line="240" w:lineRule="atLeast"/>
              <w:ind w:left="1080" w:leftChars="257" w:hanging="540"/>
              <w:rPr>
                <w:rFonts w:hint="eastAsia" w:ascii="仿宋" w:hAnsi="仿宋" w:eastAsia="仿宋" w:cs="仿宋"/>
                <w:color w:val="auto"/>
                <w:sz w:val="24"/>
              </w:rPr>
            </w:pPr>
          </w:p>
        </w:tc>
        <w:tc>
          <w:tcPr>
            <w:tcW w:w="1534" w:type="dxa"/>
            <w:noWrap/>
          </w:tcPr>
          <w:p w14:paraId="21466DB4">
            <w:pPr>
              <w:pStyle w:val="11"/>
              <w:spacing w:line="240" w:lineRule="atLeast"/>
              <w:ind w:left="1080" w:leftChars="257" w:hanging="540"/>
              <w:rPr>
                <w:rFonts w:hint="eastAsia" w:ascii="仿宋" w:hAnsi="仿宋" w:eastAsia="仿宋" w:cs="仿宋"/>
                <w:color w:val="auto"/>
                <w:sz w:val="24"/>
              </w:rPr>
            </w:pPr>
          </w:p>
        </w:tc>
        <w:tc>
          <w:tcPr>
            <w:tcW w:w="1435" w:type="dxa"/>
            <w:noWrap/>
          </w:tcPr>
          <w:p w14:paraId="14074B84">
            <w:pPr>
              <w:pStyle w:val="11"/>
              <w:spacing w:line="240" w:lineRule="atLeast"/>
              <w:ind w:left="1080" w:leftChars="257" w:hanging="540"/>
              <w:rPr>
                <w:rFonts w:hint="eastAsia" w:ascii="仿宋" w:hAnsi="仿宋" w:eastAsia="仿宋" w:cs="仿宋"/>
                <w:color w:val="auto"/>
                <w:sz w:val="24"/>
              </w:rPr>
            </w:pPr>
          </w:p>
        </w:tc>
        <w:tc>
          <w:tcPr>
            <w:tcW w:w="1119" w:type="dxa"/>
            <w:noWrap/>
          </w:tcPr>
          <w:p w14:paraId="38253B9A">
            <w:pPr>
              <w:pStyle w:val="11"/>
              <w:spacing w:line="240" w:lineRule="atLeast"/>
              <w:ind w:left="1080" w:leftChars="257" w:hanging="540"/>
              <w:rPr>
                <w:rFonts w:hint="eastAsia" w:ascii="仿宋" w:hAnsi="仿宋" w:eastAsia="仿宋" w:cs="仿宋"/>
                <w:color w:val="auto"/>
                <w:sz w:val="24"/>
              </w:rPr>
            </w:pPr>
          </w:p>
        </w:tc>
      </w:tr>
      <w:tr w14:paraId="1F7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C0F6181">
            <w:pPr>
              <w:pStyle w:val="11"/>
              <w:spacing w:line="240" w:lineRule="atLeast"/>
              <w:ind w:left="1080" w:leftChars="257" w:hanging="540"/>
              <w:rPr>
                <w:rFonts w:hint="eastAsia" w:ascii="仿宋" w:hAnsi="仿宋" w:eastAsia="仿宋" w:cs="仿宋"/>
                <w:color w:val="auto"/>
                <w:sz w:val="24"/>
              </w:rPr>
            </w:pPr>
          </w:p>
        </w:tc>
        <w:tc>
          <w:tcPr>
            <w:tcW w:w="1686" w:type="dxa"/>
            <w:noWrap/>
          </w:tcPr>
          <w:p w14:paraId="016BF13C">
            <w:pPr>
              <w:pStyle w:val="11"/>
              <w:spacing w:line="240" w:lineRule="atLeast"/>
              <w:ind w:left="1080" w:leftChars="257" w:hanging="540"/>
              <w:rPr>
                <w:rFonts w:hint="eastAsia" w:ascii="仿宋" w:hAnsi="仿宋" w:eastAsia="仿宋" w:cs="仿宋"/>
                <w:color w:val="auto"/>
                <w:sz w:val="24"/>
              </w:rPr>
            </w:pPr>
          </w:p>
        </w:tc>
        <w:tc>
          <w:tcPr>
            <w:tcW w:w="1809" w:type="dxa"/>
            <w:noWrap/>
          </w:tcPr>
          <w:p w14:paraId="085C812D">
            <w:pPr>
              <w:pStyle w:val="11"/>
              <w:spacing w:line="240" w:lineRule="atLeast"/>
              <w:ind w:left="1080" w:leftChars="257" w:hanging="540"/>
              <w:rPr>
                <w:rFonts w:hint="eastAsia" w:ascii="仿宋" w:hAnsi="仿宋" w:eastAsia="仿宋" w:cs="仿宋"/>
                <w:color w:val="auto"/>
                <w:sz w:val="24"/>
              </w:rPr>
            </w:pPr>
          </w:p>
        </w:tc>
        <w:tc>
          <w:tcPr>
            <w:tcW w:w="1534" w:type="dxa"/>
            <w:noWrap/>
          </w:tcPr>
          <w:p w14:paraId="111ECF79">
            <w:pPr>
              <w:pStyle w:val="11"/>
              <w:spacing w:line="240" w:lineRule="atLeast"/>
              <w:ind w:left="1080" w:leftChars="257" w:hanging="540"/>
              <w:rPr>
                <w:rFonts w:hint="eastAsia" w:ascii="仿宋" w:hAnsi="仿宋" w:eastAsia="仿宋" w:cs="仿宋"/>
                <w:color w:val="auto"/>
                <w:sz w:val="24"/>
              </w:rPr>
            </w:pPr>
          </w:p>
        </w:tc>
        <w:tc>
          <w:tcPr>
            <w:tcW w:w="1435" w:type="dxa"/>
            <w:noWrap/>
          </w:tcPr>
          <w:p w14:paraId="2E13491C">
            <w:pPr>
              <w:pStyle w:val="11"/>
              <w:spacing w:line="240" w:lineRule="atLeast"/>
              <w:ind w:left="1080" w:leftChars="257" w:hanging="540"/>
              <w:rPr>
                <w:rFonts w:hint="eastAsia" w:ascii="仿宋" w:hAnsi="仿宋" w:eastAsia="仿宋" w:cs="仿宋"/>
                <w:color w:val="auto"/>
                <w:sz w:val="24"/>
              </w:rPr>
            </w:pPr>
          </w:p>
        </w:tc>
        <w:tc>
          <w:tcPr>
            <w:tcW w:w="1119" w:type="dxa"/>
            <w:noWrap/>
          </w:tcPr>
          <w:p w14:paraId="41903536">
            <w:pPr>
              <w:pStyle w:val="11"/>
              <w:spacing w:line="240" w:lineRule="atLeast"/>
              <w:ind w:left="1080" w:leftChars="257" w:hanging="540"/>
              <w:rPr>
                <w:rFonts w:hint="eastAsia" w:ascii="仿宋" w:hAnsi="仿宋" w:eastAsia="仿宋" w:cs="仿宋"/>
                <w:color w:val="auto"/>
                <w:sz w:val="24"/>
              </w:rPr>
            </w:pPr>
          </w:p>
        </w:tc>
      </w:tr>
      <w:tr w14:paraId="3009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254779B">
            <w:pPr>
              <w:pStyle w:val="11"/>
              <w:spacing w:line="240" w:lineRule="atLeast"/>
              <w:ind w:left="1080" w:leftChars="257" w:hanging="540"/>
              <w:rPr>
                <w:rFonts w:hint="eastAsia" w:ascii="仿宋" w:hAnsi="仿宋" w:eastAsia="仿宋" w:cs="仿宋"/>
                <w:color w:val="auto"/>
                <w:sz w:val="24"/>
              </w:rPr>
            </w:pPr>
          </w:p>
        </w:tc>
        <w:tc>
          <w:tcPr>
            <w:tcW w:w="1686" w:type="dxa"/>
            <w:noWrap/>
          </w:tcPr>
          <w:p w14:paraId="5512572E">
            <w:pPr>
              <w:pStyle w:val="11"/>
              <w:spacing w:line="240" w:lineRule="atLeast"/>
              <w:ind w:left="1080" w:leftChars="257" w:hanging="540"/>
              <w:rPr>
                <w:rFonts w:hint="eastAsia" w:ascii="仿宋" w:hAnsi="仿宋" w:eastAsia="仿宋" w:cs="仿宋"/>
                <w:color w:val="auto"/>
                <w:sz w:val="24"/>
              </w:rPr>
            </w:pPr>
          </w:p>
        </w:tc>
        <w:tc>
          <w:tcPr>
            <w:tcW w:w="1809" w:type="dxa"/>
            <w:noWrap/>
          </w:tcPr>
          <w:p w14:paraId="36FCD99B">
            <w:pPr>
              <w:pStyle w:val="11"/>
              <w:spacing w:line="240" w:lineRule="atLeast"/>
              <w:ind w:left="1080" w:leftChars="257" w:hanging="540"/>
              <w:rPr>
                <w:rFonts w:hint="eastAsia" w:ascii="仿宋" w:hAnsi="仿宋" w:eastAsia="仿宋" w:cs="仿宋"/>
                <w:color w:val="auto"/>
                <w:sz w:val="24"/>
              </w:rPr>
            </w:pPr>
          </w:p>
        </w:tc>
        <w:tc>
          <w:tcPr>
            <w:tcW w:w="1534" w:type="dxa"/>
            <w:noWrap/>
          </w:tcPr>
          <w:p w14:paraId="392FFA83">
            <w:pPr>
              <w:pStyle w:val="11"/>
              <w:spacing w:line="240" w:lineRule="atLeast"/>
              <w:ind w:left="1080" w:leftChars="257" w:hanging="540"/>
              <w:rPr>
                <w:rFonts w:hint="eastAsia" w:ascii="仿宋" w:hAnsi="仿宋" w:eastAsia="仿宋" w:cs="仿宋"/>
                <w:color w:val="auto"/>
                <w:sz w:val="24"/>
              </w:rPr>
            </w:pPr>
          </w:p>
        </w:tc>
        <w:tc>
          <w:tcPr>
            <w:tcW w:w="1435" w:type="dxa"/>
            <w:noWrap/>
          </w:tcPr>
          <w:p w14:paraId="147D9E2A">
            <w:pPr>
              <w:pStyle w:val="11"/>
              <w:spacing w:line="240" w:lineRule="atLeast"/>
              <w:ind w:left="1080" w:leftChars="257" w:hanging="540"/>
              <w:rPr>
                <w:rFonts w:hint="eastAsia" w:ascii="仿宋" w:hAnsi="仿宋" w:eastAsia="仿宋" w:cs="仿宋"/>
                <w:color w:val="auto"/>
                <w:sz w:val="24"/>
              </w:rPr>
            </w:pPr>
          </w:p>
        </w:tc>
        <w:tc>
          <w:tcPr>
            <w:tcW w:w="1119" w:type="dxa"/>
            <w:noWrap/>
          </w:tcPr>
          <w:p w14:paraId="78E21C1E">
            <w:pPr>
              <w:pStyle w:val="11"/>
              <w:spacing w:line="240" w:lineRule="atLeast"/>
              <w:ind w:left="1080" w:leftChars="257" w:hanging="540"/>
              <w:rPr>
                <w:rFonts w:hint="eastAsia" w:ascii="仿宋" w:hAnsi="仿宋" w:eastAsia="仿宋" w:cs="仿宋"/>
                <w:color w:val="auto"/>
                <w:sz w:val="24"/>
              </w:rPr>
            </w:pPr>
          </w:p>
        </w:tc>
      </w:tr>
      <w:tr w14:paraId="745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594410F">
            <w:pPr>
              <w:pStyle w:val="11"/>
              <w:spacing w:line="240" w:lineRule="atLeast"/>
              <w:ind w:left="1080" w:leftChars="257" w:hanging="540"/>
              <w:rPr>
                <w:rFonts w:hint="eastAsia" w:ascii="仿宋" w:hAnsi="仿宋" w:eastAsia="仿宋" w:cs="仿宋"/>
                <w:color w:val="auto"/>
                <w:sz w:val="24"/>
              </w:rPr>
            </w:pPr>
          </w:p>
        </w:tc>
        <w:tc>
          <w:tcPr>
            <w:tcW w:w="1686" w:type="dxa"/>
            <w:noWrap/>
          </w:tcPr>
          <w:p w14:paraId="6A27692D">
            <w:pPr>
              <w:pStyle w:val="11"/>
              <w:spacing w:line="240" w:lineRule="atLeast"/>
              <w:ind w:left="1080" w:leftChars="257" w:hanging="540"/>
              <w:rPr>
                <w:rFonts w:hint="eastAsia" w:ascii="仿宋" w:hAnsi="仿宋" w:eastAsia="仿宋" w:cs="仿宋"/>
                <w:color w:val="auto"/>
                <w:sz w:val="24"/>
              </w:rPr>
            </w:pPr>
          </w:p>
        </w:tc>
        <w:tc>
          <w:tcPr>
            <w:tcW w:w="1809" w:type="dxa"/>
            <w:noWrap/>
          </w:tcPr>
          <w:p w14:paraId="0013F5CA">
            <w:pPr>
              <w:pStyle w:val="11"/>
              <w:spacing w:line="240" w:lineRule="atLeast"/>
              <w:ind w:left="1080" w:leftChars="257" w:hanging="540"/>
              <w:rPr>
                <w:rFonts w:hint="eastAsia" w:ascii="仿宋" w:hAnsi="仿宋" w:eastAsia="仿宋" w:cs="仿宋"/>
                <w:color w:val="auto"/>
                <w:sz w:val="24"/>
              </w:rPr>
            </w:pPr>
          </w:p>
        </w:tc>
        <w:tc>
          <w:tcPr>
            <w:tcW w:w="1534" w:type="dxa"/>
            <w:noWrap/>
          </w:tcPr>
          <w:p w14:paraId="6A11ADE5">
            <w:pPr>
              <w:pStyle w:val="11"/>
              <w:spacing w:line="240" w:lineRule="atLeast"/>
              <w:ind w:left="1080" w:leftChars="257" w:hanging="540"/>
              <w:rPr>
                <w:rFonts w:hint="eastAsia" w:ascii="仿宋" w:hAnsi="仿宋" w:eastAsia="仿宋" w:cs="仿宋"/>
                <w:color w:val="auto"/>
                <w:sz w:val="24"/>
              </w:rPr>
            </w:pPr>
          </w:p>
        </w:tc>
        <w:tc>
          <w:tcPr>
            <w:tcW w:w="1435" w:type="dxa"/>
            <w:noWrap/>
          </w:tcPr>
          <w:p w14:paraId="36BA9010">
            <w:pPr>
              <w:pStyle w:val="11"/>
              <w:spacing w:line="240" w:lineRule="atLeast"/>
              <w:ind w:left="1080" w:leftChars="257" w:hanging="540"/>
              <w:rPr>
                <w:rFonts w:hint="eastAsia" w:ascii="仿宋" w:hAnsi="仿宋" w:eastAsia="仿宋" w:cs="仿宋"/>
                <w:color w:val="auto"/>
                <w:sz w:val="24"/>
              </w:rPr>
            </w:pPr>
          </w:p>
        </w:tc>
        <w:tc>
          <w:tcPr>
            <w:tcW w:w="1119" w:type="dxa"/>
            <w:noWrap/>
          </w:tcPr>
          <w:p w14:paraId="48A7AA21">
            <w:pPr>
              <w:pStyle w:val="11"/>
              <w:spacing w:line="240" w:lineRule="atLeast"/>
              <w:ind w:left="1080" w:leftChars="257" w:hanging="540"/>
              <w:rPr>
                <w:rFonts w:hint="eastAsia" w:ascii="仿宋" w:hAnsi="仿宋" w:eastAsia="仿宋" w:cs="仿宋"/>
                <w:color w:val="auto"/>
                <w:sz w:val="24"/>
              </w:rPr>
            </w:pPr>
          </w:p>
        </w:tc>
      </w:tr>
      <w:tr w14:paraId="1D76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7D60608">
            <w:pPr>
              <w:pStyle w:val="11"/>
              <w:spacing w:line="240" w:lineRule="atLeast"/>
              <w:ind w:left="1080" w:leftChars="257" w:hanging="540"/>
              <w:rPr>
                <w:rFonts w:hint="eastAsia" w:ascii="仿宋" w:hAnsi="仿宋" w:eastAsia="仿宋" w:cs="仿宋"/>
                <w:color w:val="auto"/>
                <w:sz w:val="24"/>
              </w:rPr>
            </w:pPr>
          </w:p>
        </w:tc>
        <w:tc>
          <w:tcPr>
            <w:tcW w:w="1686" w:type="dxa"/>
            <w:noWrap/>
          </w:tcPr>
          <w:p w14:paraId="7F1654B3">
            <w:pPr>
              <w:pStyle w:val="11"/>
              <w:spacing w:line="240" w:lineRule="atLeast"/>
              <w:ind w:left="1080" w:leftChars="257" w:hanging="540"/>
              <w:rPr>
                <w:rFonts w:hint="eastAsia" w:ascii="仿宋" w:hAnsi="仿宋" w:eastAsia="仿宋" w:cs="仿宋"/>
                <w:color w:val="auto"/>
                <w:sz w:val="24"/>
              </w:rPr>
            </w:pPr>
          </w:p>
        </w:tc>
        <w:tc>
          <w:tcPr>
            <w:tcW w:w="1809" w:type="dxa"/>
            <w:noWrap/>
          </w:tcPr>
          <w:p w14:paraId="2F3D53CC">
            <w:pPr>
              <w:pStyle w:val="11"/>
              <w:spacing w:line="240" w:lineRule="atLeast"/>
              <w:ind w:left="1080" w:leftChars="257" w:hanging="540"/>
              <w:rPr>
                <w:rFonts w:hint="eastAsia" w:ascii="仿宋" w:hAnsi="仿宋" w:eastAsia="仿宋" w:cs="仿宋"/>
                <w:color w:val="auto"/>
                <w:sz w:val="24"/>
              </w:rPr>
            </w:pPr>
          </w:p>
        </w:tc>
        <w:tc>
          <w:tcPr>
            <w:tcW w:w="1534" w:type="dxa"/>
            <w:noWrap/>
          </w:tcPr>
          <w:p w14:paraId="7C2AC6A9">
            <w:pPr>
              <w:pStyle w:val="11"/>
              <w:spacing w:line="240" w:lineRule="atLeast"/>
              <w:ind w:left="1080" w:leftChars="257" w:hanging="540"/>
              <w:rPr>
                <w:rFonts w:hint="eastAsia" w:ascii="仿宋" w:hAnsi="仿宋" w:eastAsia="仿宋" w:cs="仿宋"/>
                <w:color w:val="auto"/>
                <w:sz w:val="24"/>
              </w:rPr>
            </w:pPr>
          </w:p>
        </w:tc>
        <w:tc>
          <w:tcPr>
            <w:tcW w:w="1435" w:type="dxa"/>
            <w:noWrap/>
          </w:tcPr>
          <w:p w14:paraId="215F0E12">
            <w:pPr>
              <w:pStyle w:val="11"/>
              <w:spacing w:line="240" w:lineRule="atLeast"/>
              <w:ind w:left="1080" w:leftChars="257" w:hanging="540"/>
              <w:rPr>
                <w:rFonts w:hint="eastAsia" w:ascii="仿宋" w:hAnsi="仿宋" w:eastAsia="仿宋" w:cs="仿宋"/>
                <w:color w:val="auto"/>
                <w:sz w:val="24"/>
              </w:rPr>
            </w:pPr>
          </w:p>
        </w:tc>
        <w:tc>
          <w:tcPr>
            <w:tcW w:w="1119" w:type="dxa"/>
            <w:noWrap/>
          </w:tcPr>
          <w:p w14:paraId="0A9A0D4D">
            <w:pPr>
              <w:pStyle w:val="11"/>
              <w:spacing w:line="240" w:lineRule="atLeast"/>
              <w:ind w:left="1080" w:leftChars="257" w:hanging="540"/>
              <w:rPr>
                <w:rFonts w:hint="eastAsia" w:ascii="仿宋" w:hAnsi="仿宋" w:eastAsia="仿宋" w:cs="仿宋"/>
                <w:color w:val="auto"/>
                <w:sz w:val="24"/>
              </w:rPr>
            </w:pPr>
          </w:p>
        </w:tc>
      </w:tr>
      <w:tr w14:paraId="786C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F811563">
            <w:pPr>
              <w:pStyle w:val="11"/>
              <w:spacing w:line="240" w:lineRule="atLeast"/>
              <w:ind w:left="1080" w:leftChars="257" w:hanging="540"/>
              <w:rPr>
                <w:rFonts w:hint="eastAsia" w:ascii="仿宋" w:hAnsi="仿宋" w:eastAsia="仿宋" w:cs="仿宋"/>
                <w:color w:val="auto"/>
                <w:sz w:val="24"/>
              </w:rPr>
            </w:pPr>
          </w:p>
        </w:tc>
        <w:tc>
          <w:tcPr>
            <w:tcW w:w="1686" w:type="dxa"/>
            <w:noWrap/>
          </w:tcPr>
          <w:p w14:paraId="24E13FC1">
            <w:pPr>
              <w:pStyle w:val="11"/>
              <w:spacing w:line="240" w:lineRule="atLeast"/>
              <w:ind w:left="1080" w:leftChars="257" w:hanging="540"/>
              <w:rPr>
                <w:rFonts w:hint="eastAsia" w:ascii="仿宋" w:hAnsi="仿宋" w:eastAsia="仿宋" w:cs="仿宋"/>
                <w:color w:val="auto"/>
                <w:sz w:val="24"/>
              </w:rPr>
            </w:pPr>
          </w:p>
        </w:tc>
        <w:tc>
          <w:tcPr>
            <w:tcW w:w="1809" w:type="dxa"/>
            <w:noWrap/>
          </w:tcPr>
          <w:p w14:paraId="20CFCFEB">
            <w:pPr>
              <w:pStyle w:val="11"/>
              <w:spacing w:line="240" w:lineRule="atLeast"/>
              <w:ind w:left="1080" w:leftChars="257" w:hanging="540"/>
              <w:rPr>
                <w:rFonts w:hint="eastAsia" w:ascii="仿宋" w:hAnsi="仿宋" w:eastAsia="仿宋" w:cs="仿宋"/>
                <w:color w:val="auto"/>
                <w:sz w:val="24"/>
              </w:rPr>
            </w:pPr>
          </w:p>
        </w:tc>
        <w:tc>
          <w:tcPr>
            <w:tcW w:w="1534" w:type="dxa"/>
            <w:noWrap/>
          </w:tcPr>
          <w:p w14:paraId="27853A9B">
            <w:pPr>
              <w:pStyle w:val="11"/>
              <w:spacing w:line="240" w:lineRule="atLeast"/>
              <w:ind w:left="1080" w:leftChars="257" w:hanging="540"/>
              <w:rPr>
                <w:rFonts w:hint="eastAsia" w:ascii="仿宋" w:hAnsi="仿宋" w:eastAsia="仿宋" w:cs="仿宋"/>
                <w:color w:val="auto"/>
                <w:sz w:val="24"/>
              </w:rPr>
            </w:pPr>
          </w:p>
        </w:tc>
        <w:tc>
          <w:tcPr>
            <w:tcW w:w="1435" w:type="dxa"/>
            <w:noWrap/>
          </w:tcPr>
          <w:p w14:paraId="3FC78A07">
            <w:pPr>
              <w:pStyle w:val="11"/>
              <w:spacing w:line="240" w:lineRule="atLeast"/>
              <w:ind w:left="1080" w:leftChars="257" w:hanging="540"/>
              <w:rPr>
                <w:rFonts w:hint="eastAsia" w:ascii="仿宋" w:hAnsi="仿宋" w:eastAsia="仿宋" w:cs="仿宋"/>
                <w:color w:val="auto"/>
                <w:sz w:val="24"/>
              </w:rPr>
            </w:pPr>
          </w:p>
        </w:tc>
        <w:tc>
          <w:tcPr>
            <w:tcW w:w="1119" w:type="dxa"/>
            <w:noWrap/>
          </w:tcPr>
          <w:p w14:paraId="3AAA0BED">
            <w:pPr>
              <w:pStyle w:val="11"/>
              <w:spacing w:line="240" w:lineRule="atLeast"/>
              <w:ind w:left="1080" w:leftChars="257" w:hanging="540"/>
              <w:rPr>
                <w:rFonts w:hint="eastAsia" w:ascii="仿宋" w:hAnsi="仿宋" w:eastAsia="仿宋" w:cs="仿宋"/>
                <w:color w:val="auto"/>
                <w:sz w:val="24"/>
              </w:rPr>
            </w:pPr>
          </w:p>
        </w:tc>
      </w:tr>
      <w:tr w14:paraId="4D4B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C51FF5F">
            <w:pPr>
              <w:pStyle w:val="11"/>
              <w:spacing w:line="240" w:lineRule="atLeast"/>
              <w:ind w:left="1080" w:leftChars="257" w:hanging="540"/>
              <w:rPr>
                <w:rFonts w:hint="eastAsia" w:ascii="仿宋" w:hAnsi="仿宋" w:eastAsia="仿宋" w:cs="仿宋"/>
                <w:color w:val="auto"/>
                <w:sz w:val="24"/>
              </w:rPr>
            </w:pPr>
          </w:p>
        </w:tc>
        <w:tc>
          <w:tcPr>
            <w:tcW w:w="1686" w:type="dxa"/>
            <w:noWrap/>
          </w:tcPr>
          <w:p w14:paraId="3E6BD0F1">
            <w:pPr>
              <w:pStyle w:val="11"/>
              <w:spacing w:line="240" w:lineRule="atLeast"/>
              <w:ind w:left="1080" w:leftChars="257" w:hanging="540"/>
              <w:rPr>
                <w:rFonts w:hint="eastAsia" w:ascii="仿宋" w:hAnsi="仿宋" w:eastAsia="仿宋" w:cs="仿宋"/>
                <w:color w:val="auto"/>
                <w:sz w:val="24"/>
              </w:rPr>
            </w:pPr>
          </w:p>
        </w:tc>
        <w:tc>
          <w:tcPr>
            <w:tcW w:w="1809" w:type="dxa"/>
            <w:noWrap/>
          </w:tcPr>
          <w:p w14:paraId="7F890F75">
            <w:pPr>
              <w:pStyle w:val="11"/>
              <w:spacing w:line="240" w:lineRule="atLeast"/>
              <w:ind w:left="1080" w:leftChars="257" w:hanging="540"/>
              <w:rPr>
                <w:rFonts w:hint="eastAsia" w:ascii="仿宋" w:hAnsi="仿宋" w:eastAsia="仿宋" w:cs="仿宋"/>
                <w:color w:val="auto"/>
                <w:sz w:val="24"/>
              </w:rPr>
            </w:pPr>
          </w:p>
        </w:tc>
        <w:tc>
          <w:tcPr>
            <w:tcW w:w="1534" w:type="dxa"/>
            <w:noWrap/>
          </w:tcPr>
          <w:p w14:paraId="5592B113">
            <w:pPr>
              <w:pStyle w:val="11"/>
              <w:spacing w:line="240" w:lineRule="atLeast"/>
              <w:ind w:left="1080" w:leftChars="257" w:hanging="540"/>
              <w:rPr>
                <w:rFonts w:hint="eastAsia" w:ascii="仿宋" w:hAnsi="仿宋" w:eastAsia="仿宋" w:cs="仿宋"/>
                <w:color w:val="auto"/>
                <w:sz w:val="24"/>
              </w:rPr>
            </w:pPr>
          </w:p>
        </w:tc>
        <w:tc>
          <w:tcPr>
            <w:tcW w:w="1435" w:type="dxa"/>
            <w:noWrap/>
          </w:tcPr>
          <w:p w14:paraId="218BE281">
            <w:pPr>
              <w:pStyle w:val="11"/>
              <w:spacing w:line="240" w:lineRule="atLeast"/>
              <w:ind w:left="1080" w:leftChars="257" w:hanging="540"/>
              <w:rPr>
                <w:rFonts w:hint="eastAsia" w:ascii="仿宋" w:hAnsi="仿宋" w:eastAsia="仿宋" w:cs="仿宋"/>
                <w:color w:val="auto"/>
                <w:sz w:val="24"/>
              </w:rPr>
            </w:pPr>
          </w:p>
        </w:tc>
        <w:tc>
          <w:tcPr>
            <w:tcW w:w="1119" w:type="dxa"/>
            <w:noWrap/>
          </w:tcPr>
          <w:p w14:paraId="13CAFB02">
            <w:pPr>
              <w:pStyle w:val="11"/>
              <w:spacing w:line="240" w:lineRule="atLeast"/>
              <w:ind w:left="1080" w:leftChars="257" w:hanging="540"/>
              <w:rPr>
                <w:rFonts w:hint="eastAsia" w:ascii="仿宋" w:hAnsi="仿宋" w:eastAsia="仿宋" w:cs="仿宋"/>
                <w:color w:val="auto"/>
                <w:sz w:val="24"/>
              </w:rPr>
            </w:pPr>
          </w:p>
        </w:tc>
      </w:tr>
      <w:tr w14:paraId="2426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324907FC">
            <w:pPr>
              <w:pStyle w:val="11"/>
              <w:spacing w:line="240" w:lineRule="atLeast"/>
              <w:ind w:left="1080" w:leftChars="257" w:hanging="540"/>
              <w:rPr>
                <w:rFonts w:hint="eastAsia" w:ascii="仿宋" w:hAnsi="仿宋" w:eastAsia="仿宋" w:cs="仿宋"/>
                <w:color w:val="auto"/>
                <w:sz w:val="24"/>
              </w:rPr>
            </w:pPr>
          </w:p>
        </w:tc>
        <w:tc>
          <w:tcPr>
            <w:tcW w:w="1686" w:type="dxa"/>
            <w:noWrap/>
          </w:tcPr>
          <w:p w14:paraId="737DDB2A">
            <w:pPr>
              <w:pStyle w:val="11"/>
              <w:spacing w:line="240" w:lineRule="atLeast"/>
              <w:ind w:left="1080" w:leftChars="257" w:hanging="540"/>
              <w:rPr>
                <w:rFonts w:hint="eastAsia" w:ascii="仿宋" w:hAnsi="仿宋" w:eastAsia="仿宋" w:cs="仿宋"/>
                <w:color w:val="auto"/>
                <w:sz w:val="24"/>
              </w:rPr>
            </w:pPr>
          </w:p>
        </w:tc>
        <w:tc>
          <w:tcPr>
            <w:tcW w:w="1809" w:type="dxa"/>
            <w:noWrap/>
          </w:tcPr>
          <w:p w14:paraId="6EDA1757">
            <w:pPr>
              <w:pStyle w:val="11"/>
              <w:spacing w:line="240" w:lineRule="atLeast"/>
              <w:ind w:left="1080" w:leftChars="257" w:hanging="540"/>
              <w:rPr>
                <w:rFonts w:hint="eastAsia" w:ascii="仿宋" w:hAnsi="仿宋" w:eastAsia="仿宋" w:cs="仿宋"/>
                <w:color w:val="auto"/>
                <w:sz w:val="24"/>
              </w:rPr>
            </w:pPr>
          </w:p>
        </w:tc>
        <w:tc>
          <w:tcPr>
            <w:tcW w:w="1534" w:type="dxa"/>
            <w:noWrap/>
          </w:tcPr>
          <w:p w14:paraId="44226730">
            <w:pPr>
              <w:pStyle w:val="11"/>
              <w:spacing w:line="240" w:lineRule="atLeast"/>
              <w:ind w:left="1080" w:leftChars="257" w:hanging="540"/>
              <w:rPr>
                <w:rFonts w:hint="eastAsia" w:ascii="仿宋" w:hAnsi="仿宋" w:eastAsia="仿宋" w:cs="仿宋"/>
                <w:color w:val="auto"/>
                <w:sz w:val="24"/>
              </w:rPr>
            </w:pPr>
          </w:p>
        </w:tc>
        <w:tc>
          <w:tcPr>
            <w:tcW w:w="1435" w:type="dxa"/>
            <w:noWrap/>
          </w:tcPr>
          <w:p w14:paraId="1F98103C">
            <w:pPr>
              <w:pStyle w:val="11"/>
              <w:spacing w:line="240" w:lineRule="atLeast"/>
              <w:ind w:left="1080" w:leftChars="257" w:hanging="540"/>
              <w:rPr>
                <w:rFonts w:hint="eastAsia" w:ascii="仿宋" w:hAnsi="仿宋" w:eastAsia="仿宋" w:cs="仿宋"/>
                <w:color w:val="auto"/>
                <w:sz w:val="24"/>
              </w:rPr>
            </w:pPr>
          </w:p>
        </w:tc>
        <w:tc>
          <w:tcPr>
            <w:tcW w:w="1119" w:type="dxa"/>
            <w:noWrap/>
          </w:tcPr>
          <w:p w14:paraId="091A3BC9">
            <w:pPr>
              <w:pStyle w:val="11"/>
              <w:spacing w:line="240" w:lineRule="atLeast"/>
              <w:ind w:left="1080" w:leftChars="257" w:hanging="540"/>
              <w:rPr>
                <w:rFonts w:hint="eastAsia" w:ascii="仿宋" w:hAnsi="仿宋" w:eastAsia="仿宋" w:cs="仿宋"/>
                <w:color w:val="auto"/>
                <w:sz w:val="24"/>
              </w:rPr>
            </w:pPr>
          </w:p>
        </w:tc>
      </w:tr>
      <w:tr w14:paraId="2963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79524841">
            <w:pPr>
              <w:pStyle w:val="11"/>
              <w:spacing w:line="240" w:lineRule="atLeast"/>
              <w:ind w:left="1080" w:leftChars="257" w:hanging="540"/>
              <w:rPr>
                <w:rFonts w:hint="eastAsia" w:ascii="仿宋" w:hAnsi="仿宋" w:eastAsia="仿宋" w:cs="仿宋"/>
                <w:color w:val="auto"/>
                <w:sz w:val="24"/>
              </w:rPr>
            </w:pPr>
          </w:p>
        </w:tc>
        <w:tc>
          <w:tcPr>
            <w:tcW w:w="1686" w:type="dxa"/>
            <w:noWrap/>
          </w:tcPr>
          <w:p w14:paraId="289D2D5B">
            <w:pPr>
              <w:pStyle w:val="11"/>
              <w:spacing w:line="240" w:lineRule="atLeast"/>
              <w:ind w:left="1080" w:leftChars="257" w:hanging="540"/>
              <w:rPr>
                <w:rFonts w:hint="eastAsia" w:ascii="仿宋" w:hAnsi="仿宋" w:eastAsia="仿宋" w:cs="仿宋"/>
                <w:color w:val="auto"/>
                <w:sz w:val="24"/>
              </w:rPr>
            </w:pPr>
          </w:p>
        </w:tc>
        <w:tc>
          <w:tcPr>
            <w:tcW w:w="1809" w:type="dxa"/>
            <w:noWrap/>
          </w:tcPr>
          <w:p w14:paraId="41FF3E8E">
            <w:pPr>
              <w:pStyle w:val="11"/>
              <w:spacing w:line="240" w:lineRule="atLeast"/>
              <w:ind w:left="1080" w:leftChars="257" w:hanging="540"/>
              <w:rPr>
                <w:rFonts w:hint="eastAsia" w:ascii="仿宋" w:hAnsi="仿宋" w:eastAsia="仿宋" w:cs="仿宋"/>
                <w:color w:val="auto"/>
                <w:sz w:val="24"/>
              </w:rPr>
            </w:pPr>
          </w:p>
        </w:tc>
        <w:tc>
          <w:tcPr>
            <w:tcW w:w="1534" w:type="dxa"/>
            <w:noWrap/>
          </w:tcPr>
          <w:p w14:paraId="501E83E7">
            <w:pPr>
              <w:pStyle w:val="11"/>
              <w:spacing w:line="240" w:lineRule="atLeast"/>
              <w:ind w:left="1080" w:leftChars="257" w:hanging="540"/>
              <w:rPr>
                <w:rFonts w:hint="eastAsia" w:ascii="仿宋" w:hAnsi="仿宋" w:eastAsia="仿宋" w:cs="仿宋"/>
                <w:color w:val="auto"/>
                <w:sz w:val="24"/>
              </w:rPr>
            </w:pPr>
          </w:p>
        </w:tc>
        <w:tc>
          <w:tcPr>
            <w:tcW w:w="1435" w:type="dxa"/>
            <w:noWrap/>
          </w:tcPr>
          <w:p w14:paraId="4725CE8E">
            <w:pPr>
              <w:pStyle w:val="11"/>
              <w:spacing w:line="240" w:lineRule="atLeast"/>
              <w:ind w:left="1080" w:leftChars="257" w:hanging="540"/>
              <w:rPr>
                <w:rFonts w:hint="eastAsia" w:ascii="仿宋" w:hAnsi="仿宋" w:eastAsia="仿宋" w:cs="仿宋"/>
                <w:color w:val="auto"/>
                <w:sz w:val="24"/>
              </w:rPr>
            </w:pPr>
          </w:p>
        </w:tc>
        <w:tc>
          <w:tcPr>
            <w:tcW w:w="1119" w:type="dxa"/>
            <w:noWrap/>
          </w:tcPr>
          <w:p w14:paraId="15A163E6">
            <w:pPr>
              <w:pStyle w:val="11"/>
              <w:spacing w:line="240" w:lineRule="atLeast"/>
              <w:ind w:left="1080" w:leftChars="257" w:hanging="540"/>
              <w:rPr>
                <w:rFonts w:hint="eastAsia" w:ascii="仿宋" w:hAnsi="仿宋" w:eastAsia="仿宋" w:cs="仿宋"/>
                <w:color w:val="auto"/>
                <w:sz w:val="24"/>
              </w:rPr>
            </w:pPr>
          </w:p>
        </w:tc>
      </w:tr>
      <w:tr w14:paraId="6477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47F090BF">
            <w:pPr>
              <w:pStyle w:val="11"/>
              <w:spacing w:line="240" w:lineRule="atLeast"/>
              <w:ind w:left="1080" w:leftChars="257" w:hanging="540"/>
              <w:rPr>
                <w:rFonts w:hint="eastAsia" w:ascii="仿宋" w:hAnsi="仿宋" w:eastAsia="仿宋" w:cs="仿宋"/>
                <w:color w:val="auto"/>
                <w:sz w:val="24"/>
              </w:rPr>
            </w:pPr>
          </w:p>
        </w:tc>
        <w:tc>
          <w:tcPr>
            <w:tcW w:w="1686" w:type="dxa"/>
            <w:noWrap/>
          </w:tcPr>
          <w:p w14:paraId="2C5B6C71">
            <w:pPr>
              <w:pStyle w:val="11"/>
              <w:spacing w:line="240" w:lineRule="atLeast"/>
              <w:ind w:left="1080" w:leftChars="257" w:hanging="540"/>
              <w:rPr>
                <w:rFonts w:hint="eastAsia" w:ascii="仿宋" w:hAnsi="仿宋" w:eastAsia="仿宋" w:cs="仿宋"/>
                <w:color w:val="auto"/>
                <w:sz w:val="24"/>
              </w:rPr>
            </w:pPr>
          </w:p>
        </w:tc>
        <w:tc>
          <w:tcPr>
            <w:tcW w:w="1809" w:type="dxa"/>
            <w:noWrap/>
          </w:tcPr>
          <w:p w14:paraId="63377C29">
            <w:pPr>
              <w:pStyle w:val="11"/>
              <w:spacing w:line="240" w:lineRule="atLeast"/>
              <w:ind w:left="1080" w:leftChars="257" w:hanging="540"/>
              <w:rPr>
                <w:rFonts w:hint="eastAsia" w:ascii="仿宋" w:hAnsi="仿宋" w:eastAsia="仿宋" w:cs="仿宋"/>
                <w:color w:val="auto"/>
                <w:sz w:val="24"/>
              </w:rPr>
            </w:pPr>
          </w:p>
        </w:tc>
        <w:tc>
          <w:tcPr>
            <w:tcW w:w="1534" w:type="dxa"/>
            <w:noWrap/>
          </w:tcPr>
          <w:p w14:paraId="1E01B26E">
            <w:pPr>
              <w:pStyle w:val="11"/>
              <w:spacing w:line="240" w:lineRule="atLeast"/>
              <w:ind w:left="1080" w:leftChars="257" w:hanging="540"/>
              <w:rPr>
                <w:rFonts w:hint="eastAsia" w:ascii="仿宋" w:hAnsi="仿宋" w:eastAsia="仿宋" w:cs="仿宋"/>
                <w:color w:val="auto"/>
                <w:sz w:val="24"/>
              </w:rPr>
            </w:pPr>
          </w:p>
        </w:tc>
        <w:tc>
          <w:tcPr>
            <w:tcW w:w="1435" w:type="dxa"/>
            <w:noWrap/>
          </w:tcPr>
          <w:p w14:paraId="33F376B7">
            <w:pPr>
              <w:pStyle w:val="11"/>
              <w:spacing w:line="240" w:lineRule="atLeast"/>
              <w:ind w:left="1080" w:leftChars="257" w:hanging="540"/>
              <w:rPr>
                <w:rFonts w:hint="eastAsia" w:ascii="仿宋" w:hAnsi="仿宋" w:eastAsia="仿宋" w:cs="仿宋"/>
                <w:color w:val="auto"/>
                <w:sz w:val="24"/>
              </w:rPr>
            </w:pPr>
          </w:p>
        </w:tc>
        <w:tc>
          <w:tcPr>
            <w:tcW w:w="1119" w:type="dxa"/>
            <w:noWrap/>
          </w:tcPr>
          <w:p w14:paraId="2765B293">
            <w:pPr>
              <w:pStyle w:val="11"/>
              <w:spacing w:line="240" w:lineRule="atLeast"/>
              <w:ind w:left="1080" w:leftChars="257" w:hanging="540"/>
              <w:rPr>
                <w:rFonts w:hint="eastAsia" w:ascii="仿宋" w:hAnsi="仿宋" w:eastAsia="仿宋" w:cs="仿宋"/>
                <w:color w:val="auto"/>
                <w:sz w:val="24"/>
              </w:rPr>
            </w:pPr>
          </w:p>
        </w:tc>
      </w:tr>
      <w:tr w14:paraId="27E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21C1348">
            <w:pPr>
              <w:pStyle w:val="11"/>
              <w:spacing w:line="240" w:lineRule="atLeast"/>
              <w:ind w:left="1080" w:leftChars="257" w:hanging="540"/>
              <w:rPr>
                <w:rFonts w:hint="eastAsia" w:ascii="仿宋" w:hAnsi="仿宋" w:eastAsia="仿宋" w:cs="仿宋"/>
                <w:color w:val="auto"/>
                <w:sz w:val="24"/>
              </w:rPr>
            </w:pPr>
          </w:p>
        </w:tc>
        <w:tc>
          <w:tcPr>
            <w:tcW w:w="1686" w:type="dxa"/>
            <w:noWrap/>
          </w:tcPr>
          <w:p w14:paraId="4DBE5D38">
            <w:pPr>
              <w:pStyle w:val="11"/>
              <w:spacing w:line="240" w:lineRule="atLeast"/>
              <w:ind w:left="1080" w:leftChars="257" w:hanging="540"/>
              <w:rPr>
                <w:rFonts w:hint="eastAsia" w:ascii="仿宋" w:hAnsi="仿宋" w:eastAsia="仿宋" w:cs="仿宋"/>
                <w:color w:val="auto"/>
                <w:sz w:val="24"/>
              </w:rPr>
            </w:pPr>
          </w:p>
        </w:tc>
        <w:tc>
          <w:tcPr>
            <w:tcW w:w="1809" w:type="dxa"/>
            <w:noWrap/>
          </w:tcPr>
          <w:p w14:paraId="7F7DF6DB">
            <w:pPr>
              <w:pStyle w:val="11"/>
              <w:spacing w:line="240" w:lineRule="atLeast"/>
              <w:ind w:left="1080" w:leftChars="257" w:hanging="540"/>
              <w:rPr>
                <w:rFonts w:hint="eastAsia" w:ascii="仿宋" w:hAnsi="仿宋" w:eastAsia="仿宋" w:cs="仿宋"/>
                <w:color w:val="auto"/>
                <w:sz w:val="24"/>
              </w:rPr>
            </w:pPr>
          </w:p>
        </w:tc>
        <w:tc>
          <w:tcPr>
            <w:tcW w:w="1534" w:type="dxa"/>
            <w:noWrap/>
          </w:tcPr>
          <w:p w14:paraId="17D44FC4">
            <w:pPr>
              <w:pStyle w:val="11"/>
              <w:spacing w:line="240" w:lineRule="atLeast"/>
              <w:ind w:left="1080" w:leftChars="257" w:hanging="540"/>
              <w:rPr>
                <w:rFonts w:hint="eastAsia" w:ascii="仿宋" w:hAnsi="仿宋" w:eastAsia="仿宋" w:cs="仿宋"/>
                <w:color w:val="auto"/>
                <w:sz w:val="24"/>
              </w:rPr>
            </w:pPr>
          </w:p>
        </w:tc>
        <w:tc>
          <w:tcPr>
            <w:tcW w:w="1435" w:type="dxa"/>
            <w:noWrap/>
          </w:tcPr>
          <w:p w14:paraId="7DA3D368">
            <w:pPr>
              <w:pStyle w:val="11"/>
              <w:spacing w:line="240" w:lineRule="atLeast"/>
              <w:ind w:left="1080" w:leftChars="257" w:hanging="540"/>
              <w:rPr>
                <w:rFonts w:hint="eastAsia" w:ascii="仿宋" w:hAnsi="仿宋" w:eastAsia="仿宋" w:cs="仿宋"/>
                <w:color w:val="auto"/>
                <w:sz w:val="24"/>
              </w:rPr>
            </w:pPr>
          </w:p>
        </w:tc>
        <w:tc>
          <w:tcPr>
            <w:tcW w:w="1119" w:type="dxa"/>
            <w:noWrap/>
          </w:tcPr>
          <w:p w14:paraId="4B52F429">
            <w:pPr>
              <w:pStyle w:val="11"/>
              <w:spacing w:line="240" w:lineRule="atLeast"/>
              <w:ind w:left="1080" w:leftChars="257" w:hanging="540"/>
              <w:rPr>
                <w:rFonts w:hint="eastAsia" w:ascii="仿宋" w:hAnsi="仿宋" w:eastAsia="仿宋" w:cs="仿宋"/>
                <w:color w:val="auto"/>
                <w:sz w:val="24"/>
              </w:rPr>
            </w:pPr>
          </w:p>
        </w:tc>
      </w:tr>
    </w:tbl>
    <w:p w14:paraId="788B72C4">
      <w:pPr>
        <w:pStyle w:val="11"/>
        <w:spacing w:line="240" w:lineRule="atLeast"/>
        <w:ind w:left="1080" w:leftChars="257" w:hanging="540"/>
        <w:rPr>
          <w:rFonts w:hint="eastAsia" w:ascii="仿宋" w:hAnsi="仿宋" w:eastAsia="仿宋" w:cs="仿宋"/>
          <w:color w:val="auto"/>
          <w:sz w:val="24"/>
        </w:rPr>
      </w:pPr>
    </w:p>
    <w:p w14:paraId="43FDE34A">
      <w:pPr>
        <w:pStyle w:val="11"/>
        <w:spacing w:line="240" w:lineRule="atLeast"/>
        <w:ind w:left="1080" w:leftChars="257" w:hanging="540"/>
        <w:rPr>
          <w:rFonts w:hint="eastAsia" w:ascii="仿宋" w:hAnsi="仿宋" w:eastAsia="仿宋" w:cs="仿宋"/>
          <w:b/>
          <w:bCs/>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color="000000"/>
          <w:lang w:eastAsia="zh-CN"/>
        </w:rPr>
        <w:tab/>
      </w:r>
      <w:r>
        <w:rPr>
          <w:rFonts w:hint="eastAsia" w:ascii="仿宋" w:hAnsi="仿宋" w:eastAsia="仿宋" w:cs="仿宋"/>
          <w:color w:val="auto"/>
          <w:sz w:val="24"/>
          <w:u w:val="single" w:color="000000"/>
          <w:lang w:eastAsia="zh-CN"/>
        </w:rPr>
        <w:t xml:space="preserve">                 </w:t>
      </w:r>
    </w:p>
    <w:p w14:paraId="0D67DA7D">
      <w:pPr>
        <w:pStyle w:val="11"/>
        <w:tabs>
          <w:tab w:val="left" w:pos="5370"/>
        </w:tabs>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p>
    <w:p w14:paraId="5E531157">
      <w:pPr>
        <w:pStyle w:val="11"/>
        <w:tabs>
          <w:tab w:val="left" w:pos="5580"/>
        </w:tabs>
        <w:spacing w:line="240" w:lineRule="atLeast"/>
        <w:rPr>
          <w:rFonts w:hint="eastAsia" w:ascii="仿宋" w:hAnsi="仿宋" w:eastAsia="仿宋" w:cs="仿宋"/>
          <w:color w:val="auto"/>
          <w:sz w:val="24"/>
          <w:u w:val="single"/>
          <w:lang w:eastAsia="zh-CN"/>
        </w:rPr>
      </w:pPr>
    </w:p>
    <w:p w14:paraId="311AC304">
      <w:pPr>
        <w:rPr>
          <w:rFonts w:hint="eastAsia" w:ascii="仿宋" w:hAnsi="仿宋" w:eastAsia="仿宋" w:cs="仿宋"/>
          <w:color w:val="auto"/>
          <w:sz w:val="20"/>
          <w:szCs w:val="20"/>
          <w:lang w:eastAsia="zh-CN"/>
        </w:rPr>
      </w:pPr>
    </w:p>
    <w:p w14:paraId="182F8561">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注：</w:t>
      </w:r>
    </w:p>
    <w:p w14:paraId="41544AE2">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1、投标人应根据招标要求逐条逐项表述说明投标响应情况。</w:t>
      </w:r>
    </w:p>
    <w:p w14:paraId="1FCB5907">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2、投标人提交的投标文件中的服务响应与招标文件的服务、技术要求应逐条逐项如实填列在偏离表中。投标人不如实填写偏离情况、存在弄虚作假行为的，将依法承担相应的法律责任</w:t>
      </w:r>
    </w:p>
    <w:p w14:paraId="38751A6D">
      <w:pPr>
        <w:pStyle w:val="11"/>
        <w:spacing w:line="240" w:lineRule="atLeas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7DF6500">
      <w:pPr>
        <w:pStyle w:val="11"/>
        <w:spacing w:line="240" w:lineRule="atLeast"/>
        <w:ind w:firstLine="480" w:firstLineChars="200"/>
        <w:rPr>
          <w:rFonts w:hint="eastAsia" w:ascii="仿宋" w:hAnsi="仿宋" w:eastAsia="仿宋" w:cs="仿宋"/>
          <w:b/>
          <w:bCs/>
          <w:color w:val="auto"/>
          <w:sz w:val="24"/>
          <w:lang w:eastAsia="zh-CN"/>
        </w:rPr>
      </w:pPr>
      <w:r>
        <w:rPr>
          <w:rFonts w:hint="eastAsia" w:ascii="仿宋" w:hAnsi="仿宋" w:eastAsia="仿宋" w:cs="仿宋"/>
          <w:color w:val="auto"/>
          <w:sz w:val="24"/>
          <w:lang w:eastAsia="zh-CN"/>
        </w:rPr>
        <w:t>4、投标人可根据需要自行增减表格行数。</w:t>
      </w:r>
    </w:p>
    <w:p w14:paraId="3B5C2D6F">
      <w:pPr>
        <w:pStyle w:val="11"/>
        <w:tabs>
          <w:tab w:val="left" w:pos="5580"/>
        </w:tabs>
        <w:spacing w:line="240" w:lineRule="atLeast"/>
        <w:rPr>
          <w:rFonts w:hint="eastAsia" w:ascii="仿宋" w:hAnsi="仿宋" w:eastAsia="仿宋" w:cs="仿宋"/>
          <w:color w:val="auto"/>
          <w:sz w:val="24"/>
          <w:lang w:eastAsia="zh-CN"/>
        </w:rPr>
      </w:pPr>
    </w:p>
    <w:p w14:paraId="3D26A1A4">
      <w:pPr>
        <w:rPr>
          <w:rFonts w:hint="eastAsia" w:ascii="仿宋" w:hAnsi="仿宋" w:eastAsia="仿宋" w:cs="仿宋"/>
          <w:color w:val="auto"/>
          <w:lang w:eastAsia="zh-CN"/>
        </w:rPr>
      </w:pPr>
      <w:bookmarkStart w:id="828" w:name="_Toc28374"/>
      <w:bookmarkStart w:id="829" w:name="_Toc216582818"/>
      <w:bookmarkStart w:id="830" w:name="_Toc515647821"/>
      <w:bookmarkStart w:id="831" w:name="_Toc23"/>
      <w:bookmarkStart w:id="832" w:name="_Toc1980"/>
    </w:p>
    <w:p w14:paraId="1CDA08C3">
      <w:pPr>
        <w:rPr>
          <w:rFonts w:hint="eastAsia" w:ascii="仿宋" w:hAnsi="仿宋" w:eastAsia="仿宋" w:cs="仿宋"/>
          <w:color w:val="auto"/>
          <w:sz w:val="20"/>
          <w:lang w:eastAsia="zh-CN"/>
        </w:rPr>
      </w:pPr>
    </w:p>
    <w:p w14:paraId="0DF843C8">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33" w:name="_Toc9803"/>
      <w:bookmarkStart w:id="834" w:name="_Toc17874"/>
      <w:bookmarkStart w:id="835" w:name="_Toc471"/>
      <w:bookmarkStart w:id="836" w:name="_Toc21884"/>
      <w:bookmarkStart w:id="837" w:name="_Toc19628"/>
      <w:bookmarkStart w:id="838" w:name="_Toc14202"/>
      <w:bookmarkStart w:id="839" w:name="_Toc29157"/>
      <w:bookmarkStart w:id="840" w:name="_Toc16991"/>
      <w:bookmarkStart w:id="841" w:name="_Toc11402"/>
      <w:bookmarkStart w:id="842" w:name="_Toc5952"/>
      <w:r>
        <w:rPr>
          <w:rFonts w:hint="eastAsia" w:ascii="仿宋" w:hAnsi="仿宋" w:eastAsia="仿宋" w:cs="仿宋"/>
          <w:color w:val="auto"/>
          <w:u w:val="none"/>
          <w:lang w:eastAsia="zh-CN"/>
        </w:rPr>
        <w:t>5 商务条款偏离表</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F3E316E">
      <w:pPr>
        <w:pStyle w:val="11"/>
        <w:spacing w:line="240" w:lineRule="atLeast"/>
        <w:rPr>
          <w:rFonts w:hint="eastAsia" w:ascii="仿宋" w:hAnsi="仿宋" w:eastAsia="仿宋" w:cs="仿宋"/>
          <w:color w:val="auto"/>
          <w:sz w:val="24"/>
          <w:lang w:eastAsia="zh-CN"/>
        </w:rPr>
      </w:pPr>
    </w:p>
    <w:p w14:paraId="6DCA6458">
      <w:pPr>
        <w:pStyle w:val="11"/>
        <w:spacing w:line="240" w:lineRule="atLeast"/>
        <w:ind w:left="1080" w:leftChars="257" w:hanging="540"/>
        <w:rPr>
          <w:rFonts w:hint="eastAsia" w:ascii="仿宋" w:hAnsi="仿宋" w:eastAsia="仿宋" w:cs="仿宋"/>
          <w:color w:val="auto"/>
          <w:sz w:val="24"/>
          <w:lang w:eastAsia="zh-CN"/>
        </w:rPr>
      </w:pPr>
      <w:r>
        <w:rPr>
          <w:rFonts w:hint="eastAsia" w:ascii="仿宋" w:hAnsi="仿宋" w:eastAsia="仿宋" w:cs="仿宋"/>
          <w:color w:val="auto"/>
          <w:sz w:val="24"/>
          <w:lang w:eastAsia="zh-CN"/>
        </w:rPr>
        <w:t>项目名称:                      招标编号:             包号:</w:t>
      </w:r>
    </w:p>
    <w:p w14:paraId="2F8F0E7D">
      <w:pPr>
        <w:pStyle w:val="11"/>
        <w:spacing w:line="240" w:lineRule="atLeast"/>
        <w:ind w:left="1080" w:leftChars="257" w:hanging="540"/>
        <w:rPr>
          <w:rFonts w:hint="eastAsia" w:ascii="仿宋" w:hAnsi="仿宋" w:eastAsia="仿宋" w:cs="仿宋"/>
          <w:color w:val="auto"/>
          <w:sz w:val="24"/>
          <w:lang w:eastAsia="zh-CN"/>
        </w:rPr>
      </w:pPr>
    </w:p>
    <w:tbl>
      <w:tblPr>
        <w:tblStyle w:val="23"/>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40B3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0E8FA609">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520" w:type="dxa"/>
            <w:noWrap/>
            <w:vAlign w:val="center"/>
          </w:tcPr>
          <w:p w14:paraId="5EEBDB72">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招标文件的商务条款</w:t>
            </w:r>
          </w:p>
        </w:tc>
        <w:tc>
          <w:tcPr>
            <w:tcW w:w="2520" w:type="dxa"/>
            <w:noWrap/>
            <w:vAlign w:val="center"/>
          </w:tcPr>
          <w:p w14:paraId="44E3C015">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投标文件的商务条款</w:t>
            </w:r>
          </w:p>
        </w:tc>
        <w:tc>
          <w:tcPr>
            <w:tcW w:w="1805" w:type="dxa"/>
            <w:noWrap/>
            <w:vAlign w:val="center"/>
          </w:tcPr>
          <w:p w14:paraId="056BC876">
            <w:pPr>
              <w:pStyle w:val="11"/>
              <w:spacing w:line="240" w:lineRule="atLeast"/>
              <w:jc w:val="center"/>
              <w:rPr>
                <w:rFonts w:hint="eastAsia" w:ascii="仿宋" w:hAnsi="仿宋" w:eastAsia="仿宋" w:cs="仿宋"/>
                <w:color w:val="auto"/>
                <w:sz w:val="24"/>
              </w:rPr>
            </w:pPr>
            <w:r>
              <w:rPr>
                <w:rFonts w:hint="eastAsia" w:ascii="仿宋" w:hAnsi="仿宋" w:eastAsia="仿宋" w:cs="仿宋"/>
                <w:color w:val="auto"/>
                <w:sz w:val="24"/>
              </w:rPr>
              <w:t>说明</w:t>
            </w:r>
          </w:p>
        </w:tc>
      </w:tr>
      <w:tr w14:paraId="1090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DD1BABF">
            <w:pPr>
              <w:pStyle w:val="11"/>
              <w:spacing w:line="240" w:lineRule="atLeast"/>
              <w:ind w:left="1080" w:leftChars="257" w:hanging="540"/>
              <w:rPr>
                <w:rFonts w:hint="eastAsia" w:ascii="仿宋" w:hAnsi="仿宋" w:eastAsia="仿宋" w:cs="仿宋"/>
                <w:color w:val="auto"/>
                <w:sz w:val="24"/>
              </w:rPr>
            </w:pPr>
          </w:p>
        </w:tc>
        <w:tc>
          <w:tcPr>
            <w:tcW w:w="2520" w:type="dxa"/>
            <w:noWrap/>
          </w:tcPr>
          <w:p w14:paraId="24AA4639">
            <w:pPr>
              <w:pStyle w:val="11"/>
              <w:spacing w:line="240" w:lineRule="atLeast"/>
              <w:ind w:left="1080" w:leftChars="257" w:hanging="540"/>
              <w:jc w:val="center"/>
              <w:rPr>
                <w:rFonts w:hint="eastAsia" w:ascii="仿宋" w:hAnsi="仿宋" w:eastAsia="仿宋" w:cs="仿宋"/>
                <w:color w:val="auto"/>
                <w:sz w:val="24"/>
              </w:rPr>
            </w:pPr>
          </w:p>
        </w:tc>
        <w:tc>
          <w:tcPr>
            <w:tcW w:w="2520" w:type="dxa"/>
            <w:noWrap/>
          </w:tcPr>
          <w:p w14:paraId="0CE1565A">
            <w:pPr>
              <w:pStyle w:val="11"/>
              <w:spacing w:line="240" w:lineRule="atLeast"/>
              <w:ind w:left="1080" w:leftChars="257" w:hanging="540"/>
              <w:jc w:val="center"/>
              <w:rPr>
                <w:rFonts w:hint="eastAsia" w:ascii="仿宋" w:hAnsi="仿宋" w:eastAsia="仿宋" w:cs="仿宋"/>
                <w:color w:val="auto"/>
                <w:sz w:val="24"/>
              </w:rPr>
            </w:pPr>
          </w:p>
        </w:tc>
        <w:tc>
          <w:tcPr>
            <w:tcW w:w="1805" w:type="dxa"/>
            <w:noWrap/>
          </w:tcPr>
          <w:p w14:paraId="4EF543E5">
            <w:pPr>
              <w:pStyle w:val="11"/>
              <w:spacing w:line="240" w:lineRule="atLeast"/>
              <w:ind w:left="1080" w:leftChars="257" w:hanging="540"/>
              <w:rPr>
                <w:rFonts w:hint="eastAsia" w:ascii="仿宋" w:hAnsi="仿宋" w:eastAsia="仿宋" w:cs="仿宋"/>
                <w:color w:val="auto"/>
                <w:sz w:val="24"/>
              </w:rPr>
            </w:pPr>
          </w:p>
        </w:tc>
      </w:tr>
      <w:tr w14:paraId="7D66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2348E9B">
            <w:pPr>
              <w:pStyle w:val="11"/>
              <w:spacing w:line="240" w:lineRule="atLeast"/>
              <w:ind w:left="1080" w:leftChars="257" w:hanging="540"/>
              <w:rPr>
                <w:rFonts w:hint="eastAsia" w:ascii="仿宋" w:hAnsi="仿宋" w:eastAsia="仿宋" w:cs="仿宋"/>
                <w:color w:val="auto"/>
                <w:sz w:val="24"/>
              </w:rPr>
            </w:pPr>
          </w:p>
        </w:tc>
        <w:tc>
          <w:tcPr>
            <w:tcW w:w="2520" w:type="dxa"/>
            <w:noWrap/>
          </w:tcPr>
          <w:p w14:paraId="38CBD74D">
            <w:pPr>
              <w:pStyle w:val="11"/>
              <w:spacing w:line="240" w:lineRule="atLeast"/>
              <w:ind w:left="1080" w:leftChars="257" w:hanging="540"/>
              <w:rPr>
                <w:rFonts w:hint="eastAsia" w:ascii="仿宋" w:hAnsi="仿宋" w:eastAsia="仿宋" w:cs="仿宋"/>
                <w:color w:val="auto"/>
                <w:sz w:val="24"/>
              </w:rPr>
            </w:pPr>
          </w:p>
        </w:tc>
        <w:tc>
          <w:tcPr>
            <w:tcW w:w="2520" w:type="dxa"/>
            <w:noWrap/>
          </w:tcPr>
          <w:p w14:paraId="7E533387">
            <w:pPr>
              <w:pStyle w:val="11"/>
              <w:spacing w:line="240" w:lineRule="atLeast"/>
              <w:ind w:left="1080" w:leftChars="257" w:hanging="540"/>
              <w:rPr>
                <w:rFonts w:hint="eastAsia" w:ascii="仿宋" w:hAnsi="仿宋" w:eastAsia="仿宋" w:cs="仿宋"/>
                <w:color w:val="auto"/>
                <w:sz w:val="24"/>
              </w:rPr>
            </w:pPr>
          </w:p>
        </w:tc>
        <w:tc>
          <w:tcPr>
            <w:tcW w:w="1805" w:type="dxa"/>
            <w:noWrap/>
          </w:tcPr>
          <w:p w14:paraId="65349B2D">
            <w:pPr>
              <w:pStyle w:val="11"/>
              <w:spacing w:line="240" w:lineRule="atLeast"/>
              <w:ind w:left="1080" w:leftChars="257" w:hanging="540"/>
              <w:rPr>
                <w:rFonts w:hint="eastAsia" w:ascii="仿宋" w:hAnsi="仿宋" w:eastAsia="仿宋" w:cs="仿宋"/>
                <w:color w:val="auto"/>
                <w:sz w:val="24"/>
              </w:rPr>
            </w:pPr>
          </w:p>
        </w:tc>
      </w:tr>
      <w:tr w14:paraId="7C67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522BDD0">
            <w:pPr>
              <w:pStyle w:val="11"/>
              <w:spacing w:line="240" w:lineRule="atLeast"/>
              <w:ind w:left="1080" w:leftChars="257" w:hanging="540"/>
              <w:rPr>
                <w:rFonts w:hint="eastAsia" w:ascii="仿宋" w:hAnsi="仿宋" w:eastAsia="仿宋" w:cs="仿宋"/>
                <w:color w:val="auto"/>
                <w:sz w:val="24"/>
              </w:rPr>
            </w:pPr>
          </w:p>
        </w:tc>
        <w:tc>
          <w:tcPr>
            <w:tcW w:w="2520" w:type="dxa"/>
            <w:noWrap/>
          </w:tcPr>
          <w:p w14:paraId="06FEDB29">
            <w:pPr>
              <w:pStyle w:val="11"/>
              <w:spacing w:line="240" w:lineRule="atLeast"/>
              <w:ind w:left="1080" w:leftChars="257" w:hanging="540"/>
              <w:rPr>
                <w:rFonts w:hint="eastAsia" w:ascii="仿宋" w:hAnsi="仿宋" w:eastAsia="仿宋" w:cs="仿宋"/>
                <w:color w:val="auto"/>
                <w:sz w:val="24"/>
              </w:rPr>
            </w:pPr>
          </w:p>
        </w:tc>
        <w:tc>
          <w:tcPr>
            <w:tcW w:w="2520" w:type="dxa"/>
            <w:noWrap/>
          </w:tcPr>
          <w:p w14:paraId="7FAE81C2">
            <w:pPr>
              <w:pStyle w:val="11"/>
              <w:spacing w:line="240" w:lineRule="atLeast"/>
              <w:ind w:left="1080" w:leftChars="257" w:hanging="540"/>
              <w:rPr>
                <w:rFonts w:hint="eastAsia" w:ascii="仿宋" w:hAnsi="仿宋" w:eastAsia="仿宋" w:cs="仿宋"/>
                <w:color w:val="auto"/>
                <w:sz w:val="24"/>
              </w:rPr>
            </w:pPr>
          </w:p>
        </w:tc>
        <w:tc>
          <w:tcPr>
            <w:tcW w:w="1805" w:type="dxa"/>
            <w:noWrap/>
          </w:tcPr>
          <w:p w14:paraId="722AEBF9">
            <w:pPr>
              <w:pStyle w:val="11"/>
              <w:spacing w:line="240" w:lineRule="atLeast"/>
              <w:ind w:left="1080" w:leftChars="257" w:hanging="540"/>
              <w:rPr>
                <w:rFonts w:hint="eastAsia" w:ascii="仿宋" w:hAnsi="仿宋" w:eastAsia="仿宋" w:cs="仿宋"/>
                <w:color w:val="auto"/>
                <w:sz w:val="24"/>
              </w:rPr>
            </w:pPr>
          </w:p>
        </w:tc>
      </w:tr>
      <w:tr w14:paraId="4D5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66051D">
            <w:pPr>
              <w:pStyle w:val="11"/>
              <w:spacing w:line="240" w:lineRule="atLeast"/>
              <w:ind w:left="1080" w:leftChars="257" w:hanging="540"/>
              <w:rPr>
                <w:rFonts w:hint="eastAsia" w:ascii="仿宋" w:hAnsi="仿宋" w:eastAsia="仿宋" w:cs="仿宋"/>
                <w:color w:val="auto"/>
                <w:sz w:val="24"/>
              </w:rPr>
            </w:pPr>
          </w:p>
        </w:tc>
        <w:tc>
          <w:tcPr>
            <w:tcW w:w="2520" w:type="dxa"/>
            <w:noWrap/>
          </w:tcPr>
          <w:p w14:paraId="389F13CD">
            <w:pPr>
              <w:pStyle w:val="11"/>
              <w:spacing w:line="240" w:lineRule="atLeast"/>
              <w:ind w:left="1080" w:leftChars="257" w:hanging="540"/>
              <w:rPr>
                <w:rFonts w:hint="eastAsia" w:ascii="仿宋" w:hAnsi="仿宋" w:eastAsia="仿宋" w:cs="仿宋"/>
                <w:color w:val="auto"/>
                <w:sz w:val="24"/>
              </w:rPr>
            </w:pPr>
          </w:p>
        </w:tc>
        <w:tc>
          <w:tcPr>
            <w:tcW w:w="2520" w:type="dxa"/>
            <w:noWrap/>
          </w:tcPr>
          <w:p w14:paraId="267A8F72">
            <w:pPr>
              <w:pStyle w:val="11"/>
              <w:spacing w:line="240" w:lineRule="atLeast"/>
              <w:ind w:left="1080" w:leftChars="257" w:hanging="540"/>
              <w:rPr>
                <w:rFonts w:hint="eastAsia" w:ascii="仿宋" w:hAnsi="仿宋" w:eastAsia="仿宋" w:cs="仿宋"/>
                <w:color w:val="auto"/>
                <w:sz w:val="24"/>
              </w:rPr>
            </w:pPr>
          </w:p>
        </w:tc>
        <w:tc>
          <w:tcPr>
            <w:tcW w:w="1805" w:type="dxa"/>
            <w:noWrap/>
          </w:tcPr>
          <w:p w14:paraId="64B959AD">
            <w:pPr>
              <w:pStyle w:val="11"/>
              <w:spacing w:line="240" w:lineRule="atLeast"/>
              <w:ind w:left="1080" w:leftChars="257" w:hanging="540"/>
              <w:rPr>
                <w:rFonts w:hint="eastAsia" w:ascii="仿宋" w:hAnsi="仿宋" w:eastAsia="仿宋" w:cs="仿宋"/>
                <w:color w:val="auto"/>
                <w:sz w:val="24"/>
              </w:rPr>
            </w:pPr>
          </w:p>
        </w:tc>
      </w:tr>
      <w:tr w14:paraId="3A40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1E3FB301">
            <w:pPr>
              <w:pStyle w:val="11"/>
              <w:spacing w:line="240" w:lineRule="atLeast"/>
              <w:ind w:left="1080" w:leftChars="257" w:hanging="540"/>
              <w:rPr>
                <w:rFonts w:hint="eastAsia" w:ascii="仿宋" w:hAnsi="仿宋" w:eastAsia="仿宋" w:cs="仿宋"/>
                <w:color w:val="auto"/>
                <w:sz w:val="24"/>
              </w:rPr>
            </w:pPr>
          </w:p>
        </w:tc>
        <w:tc>
          <w:tcPr>
            <w:tcW w:w="2520" w:type="dxa"/>
            <w:noWrap/>
          </w:tcPr>
          <w:p w14:paraId="0935566B">
            <w:pPr>
              <w:pStyle w:val="11"/>
              <w:spacing w:line="240" w:lineRule="atLeast"/>
              <w:ind w:left="1080" w:leftChars="257" w:hanging="540"/>
              <w:rPr>
                <w:rFonts w:hint="eastAsia" w:ascii="仿宋" w:hAnsi="仿宋" w:eastAsia="仿宋" w:cs="仿宋"/>
                <w:color w:val="auto"/>
                <w:sz w:val="24"/>
              </w:rPr>
            </w:pPr>
          </w:p>
        </w:tc>
        <w:tc>
          <w:tcPr>
            <w:tcW w:w="2520" w:type="dxa"/>
            <w:noWrap/>
          </w:tcPr>
          <w:p w14:paraId="3C6E17C7">
            <w:pPr>
              <w:pStyle w:val="11"/>
              <w:spacing w:line="240" w:lineRule="atLeast"/>
              <w:ind w:left="1080" w:leftChars="257" w:hanging="540"/>
              <w:rPr>
                <w:rFonts w:hint="eastAsia" w:ascii="仿宋" w:hAnsi="仿宋" w:eastAsia="仿宋" w:cs="仿宋"/>
                <w:color w:val="auto"/>
                <w:sz w:val="24"/>
              </w:rPr>
            </w:pPr>
          </w:p>
        </w:tc>
        <w:tc>
          <w:tcPr>
            <w:tcW w:w="1805" w:type="dxa"/>
            <w:noWrap/>
          </w:tcPr>
          <w:p w14:paraId="2B488EBC">
            <w:pPr>
              <w:pStyle w:val="11"/>
              <w:spacing w:line="240" w:lineRule="atLeast"/>
              <w:ind w:left="1080" w:leftChars="257" w:hanging="540"/>
              <w:rPr>
                <w:rFonts w:hint="eastAsia" w:ascii="仿宋" w:hAnsi="仿宋" w:eastAsia="仿宋" w:cs="仿宋"/>
                <w:color w:val="auto"/>
                <w:sz w:val="24"/>
              </w:rPr>
            </w:pPr>
          </w:p>
        </w:tc>
      </w:tr>
      <w:tr w14:paraId="1DE5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E6495C9">
            <w:pPr>
              <w:pStyle w:val="11"/>
              <w:spacing w:line="240" w:lineRule="atLeast"/>
              <w:ind w:left="1080" w:leftChars="257" w:hanging="540"/>
              <w:rPr>
                <w:rFonts w:hint="eastAsia" w:ascii="仿宋" w:hAnsi="仿宋" w:eastAsia="仿宋" w:cs="仿宋"/>
                <w:color w:val="auto"/>
                <w:sz w:val="24"/>
              </w:rPr>
            </w:pPr>
          </w:p>
        </w:tc>
        <w:tc>
          <w:tcPr>
            <w:tcW w:w="2520" w:type="dxa"/>
            <w:noWrap/>
          </w:tcPr>
          <w:p w14:paraId="2780CB95">
            <w:pPr>
              <w:pStyle w:val="11"/>
              <w:spacing w:line="240" w:lineRule="atLeast"/>
              <w:ind w:left="1080" w:leftChars="257" w:hanging="540"/>
              <w:rPr>
                <w:rFonts w:hint="eastAsia" w:ascii="仿宋" w:hAnsi="仿宋" w:eastAsia="仿宋" w:cs="仿宋"/>
                <w:color w:val="auto"/>
                <w:sz w:val="24"/>
              </w:rPr>
            </w:pPr>
          </w:p>
        </w:tc>
        <w:tc>
          <w:tcPr>
            <w:tcW w:w="2520" w:type="dxa"/>
            <w:noWrap/>
          </w:tcPr>
          <w:p w14:paraId="18AE80A6">
            <w:pPr>
              <w:pStyle w:val="11"/>
              <w:spacing w:line="240" w:lineRule="atLeast"/>
              <w:ind w:left="1080" w:leftChars="257" w:hanging="540"/>
              <w:rPr>
                <w:rFonts w:hint="eastAsia" w:ascii="仿宋" w:hAnsi="仿宋" w:eastAsia="仿宋" w:cs="仿宋"/>
                <w:color w:val="auto"/>
                <w:sz w:val="24"/>
              </w:rPr>
            </w:pPr>
          </w:p>
        </w:tc>
        <w:tc>
          <w:tcPr>
            <w:tcW w:w="1805" w:type="dxa"/>
            <w:noWrap/>
          </w:tcPr>
          <w:p w14:paraId="7F5F2ADD">
            <w:pPr>
              <w:pStyle w:val="11"/>
              <w:spacing w:line="240" w:lineRule="atLeast"/>
              <w:ind w:left="1080" w:leftChars="257" w:hanging="540"/>
              <w:rPr>
                <w:rFonts w:hint="eastAsia" w:ascii="仿宋" w:hAnsi="仿宋" w:eastAsia="仿宋" w:cs="仿宋"/>
                <w:color w:val="auto"/>
                <w:sz w:val="24"/>
              </w:rPr>
            </w:pPr>
          </w:p>
        </w:tc>
      </w:tr>
      <w:tr w14:paraId="2FAA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AA7C6B5">
            <w:pPr>
              <w:pStyle w:val="11"/>
              <w:spacing w:line="240" w:lineRule="atLeast"/>
              <w:ind w:left="1080" w:leftChars="257" w:hanging="540"/>
              <w:rPr>
                <w:rFonts w:hint="eastAsia" w:ascii="仿宋" w:hAnsi="仿宋" w:eastAsia="仿宋" w:cs="仿宋"/>
                <w:color w:val="auto"/>
                <w:sz w:val="24"/>
              </w:rPr>
            </w:pPr>
          </w:p>
        </w:tc>
        <w:tc>
          <w:tcPr>
            <w:tcW w:w="2520" w:type="dxa"/>
            <w:noWrap/>
          </w:tcPr>
          <w:p w14:paraId="6A1C2445">
            <w:pPr>
              <w:pStyle w:val="11"/>
              <w:spacing w:line="240" w:lineRule="atLeast"/>
              <w:ind w:left="1080" w:leftChars="257" w:hanging="540"/>
              <w:rPr>
                <w:rFonts w:hint="eastAsia" w:ascii="仿宋" w:hAnsi="仿宋" w:eastAsia="仿宋" w:cs="仿宋"/>
                <w:color w:val="auto"/>
                <w:sz w:val="24"/>
              </w:rPr>
            </w:pPr>
          </w:p>
        </w:tc>
        <w:tc>
          <w:tcPr>
            <w:tcW w:w="2520" w:type="dxa"/>
            <w:noWrap/>
          </w:tcPr>
          <w:p w14:paraId="47031EFE">
            <w:pPr>
              <w:pStyle w:val="11"/>
              <w:spacing w:line="240" w:lineRule="atLeast"/>
              <w:ind w:left="1080" w:leftChars="257" w:hanging="540"/>
              <w:rPr>
                <w:rFonts w:hint="eastAsia" w:ascii="仿宋" w:hAnsi="仿宋" w:eastAsia="仿宋" w:cs="仿宋"/>
                <w:color w:val="auto"/>
                <w:sz w:val="24"/>
              </w:rPr>
            </w:pPr>
          </w:p>
        </w:tc>
        <w:tc>
          <w:tcPr>
            <w:tcW w:w="1805" w:type="dxa"/>
            <w:noWrap/>
          </w:tcPr>
          <w:p w14:paraId="290C5F74">
            <w:pPr>
              <w:pStyle w:val="11"/>
              <w:spacing w:line="240" w:lineRule="atLeast"/>
              <w:ind w:left="1080" w:leftChars="257" w:hanging="540"/>
              <w:rPr>
                <w:rFonts w:hint="eastAsia" w:ascii="仿宋" w:hAnsi="仿宋" w:eastAsia="仿宋" w:cs="仿宋"/>
                <w:color w:val="auto"/>
                <w:sz w:val="24"/>
              </w:rPr>
            </w:pPr>
          </w:p>
        </w:tc>
      </w:tr>
      <w:tr w14:paraId="3A53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838C8CD">
            <w:pPr>
              <w:pStyle w:val="11"/>
              <w:spacing w:line="240" w:lineRule="atLeast"/>
              <w:ind w:left="1080" w:leftChars="257" w:hanging="540"/>
              <w:rPr>
                <w:rFonts w:hint="eastAsia" w:ascii="仿宋" w:hAnsi="仿宋" w:eastAsia="仿宋" w:cs="仿宋"/>
                <w:color w:val="auto"/>
                <w:sz w:val="24"/>
              </w:rPr>
            </w:pPr>
          </w:p>
        </w:tc>
        <w:tc>
          <w:tcPr>
            <w:tcW w:w="2520" w:type="dxa"/>
            <w:noWrap/>
          </w:tcPr>
          <w:p w14:paraId="07967176">
            <w:pPr>
              <w:pStyle w:val="11"/>
              <w:spacing w:line="240" w:lineRule="atLeast"/>
              <w:ind w:left="1080" w:leftChars="257" w:hanging="540"/>
              <w:rPr>
                <w:rFonts w:hint="eastAsia" w:ascii="仿宋" w:hAnsi="仿宋" w:eastAsia="仿宋" w:cs="仿宋"/>
                <w:color w:val="auto"/>
                <w:sz w:val="24"/>
              </w:rPr>
            </w:pPr>
          </w:p>
        </w:tc>
        <w:tc>
          <w:tcPr>
            <w:tcW w:w="2520" w:type="dxa"/>
            <w:noWrap/>
          </w:tcPr>
          <w:p w14:paraId="0FDFA41C">
            <w:pPr>
              <w:pStyle w:val="11"/>
              <w:spacing w:line="240" w:lineRule="atLeast"/>
              <w:ind w:left="1080" w:leftChars="257" w:hanging="540"/>
              <w:rPr>
                <w:rFonts w:hint="eastAsia" w:ascii="仿宋" w:hAnsi="仿宋" w:eastAsia="仿宋" w:cs="仿宋"/>
                <w:color w:val="auto"/>
                <w:sz w:val="24"/>
              </w:rPr>
            </w:pPr>
          </w:p>
        </w:tc>
        <w:tc>
          <w:tcPr>
            <w:tcW w:w="1805" w:type="dxa"/>
            <w:noWrap/>
          </w:tcPr>
          <w:p w14:paraId="2B47AAB8">
            <w:pPr>
              <w:pStyle w:val="11"/>
              <w:spacing w:line="240" w:lineRule="atLeast"/>
              <w:ind w:left="1080" w:leftChars="257" w:hanging="540"/>
              <w:rPr>
                <w:rFonts w:hint="eastAsia" w:ascii="仿宋" w:hAnsi="仿宋" w:eastAsia="仿宋" w:cs="仿宋"/>
                <w:color w:val="auto"/>
                <w:sz w:val="24"/>
              </w:rPr>
            </w:pPr>
          </w:p>
        </w:tc>
      </w:tr>
      <w:tr w14:paraId="203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97886CA">
            <w:pPr>
              <w:pStyle w:val="11"/>
              <w:spacing w:line="240" w:lineRule="atLeast"/>
              <w:ind w:left="1080" w:leftChars="257" w:hanging="540"/>
              <w:rPr>
                <w:rFonts w:hint="eastAsia" w:ascii="仿宋" w:hAnsi="仿宋" w:eastAsia="仿宋" w:cs="仿宋"/>
                <w:color w:val="auto"/>
                <w:sz w:val="24"/>
              </w:rPr>
            </w:pPr>
          </w:p>
        </w:tc>
        <w:tc>
          <w:tcPr>
            <w:tcW w:w="2520" w:type="dxa"/>
            <w:noWrap/>
          </w:tcPr>
          <w:p w14:paraId="7977AE25">
            <w:pPr>
              <w:pStyle w:val="11"/>
              <w:spacing w:line="240" w:lineRule="atLeast"/>
              <w:ind w:left="1080" w:leftChars="257" w:hanging="540"/>
              <w:rPr>
                <w:rFonts w:hint="eastAsia" w:ascii="仿宋" w:hAnsi="仿宋" w:eastAsia="仿宋" w:cs="仿宋"/>
                <w:color w:val="auto"/>
                <w:sz w:val="24"/>
              </w:rPr>
            </w:pPr>
          </w:p>
        </w:tc>
        <w:tc>
          <w:tcPr>
            <w:tcW w:w="2520" w:type="dxa"/>
            <w:noWrap/>
          </w:tcPr>
          <w:p w14:paraId="3BF155FD">
            <w:pPr>
              <w:pStyle w:val="11"/>
              <w:spacing w:line="240" w:lineRule="atLeast"/>
              <w:ind w:left="1080" w:leftChars="257" w:hanging="540"/>
              <w:rPr>
                <w:rFonts w:hint="eastAsia" w:ascii="仿宋" w:hAnsi="仿宋" w:eastAsia="仿宋" w:cs="仿宋"/>
                <w:color w:val="auto"/>
                <w:sz w:val="24"/>
              </w:rPr>
            </w:pPr>
          </w:p>
        </w:tc>
        <w:tc>
          <w:tcPr>
            <w:tcW w:w="1805" w:type="dxa"/>
            <w:noWrap/>
          </w:tcPr>
          <w:p w14:paraId="681497E4">
            <w:pPr>
              <w:pStyle w:val="11"/>
              <w:spacing w:line="240" w:lineRule="atLeast"/>
              <w:ind w:left="1080" w:leftChars="257" w:hanging="540"/>
              <w:rPr>
                <w:rFonts w:hint="eastAsia" w:ascii="仿宋" w:hAnsi="仿宋" w:eastAsia="仿宋" w:cs="仿宋"/>
                <w:color w:val="auto"/>
                <w:sz w:val="24"/>
              </w:rPr>
            </w:pPr>
          </w:p>
        </w:tc>
      </w:tr>
      <w:tr w14:paraId="4F77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27F44953">
            <w:pPr>
              <w:pStyle w:val="11"/>
              <w:spacing w:line="240" w:lineRule="atLeast"/>
              <w:ind w:left="1080" w:leftChars="257" w:hanging="540"/>
              <w:rPr>
                <w:rFonts w:hint="eastAsia" w:ascii="仿宋" w:hAnsi="仿宋" w:eastAsia="仿宋" w:cs="仿宋"/>
                <w:color w:val="auto"/>
                <w:sz w:val="24"/>
              </w:rPr>
            </w:pPr>
          </w:p>
        </w:tc>
        <w:tc>
          <w:tcPr>
            <w:tcW w:w="2520" w:type="dxa"/>
            <w:noWrap/>
          </w:tcPr>
          <w:p w14:paraId="2EFF0BBF">
            <w:pPr>
              <w:pStyle w:val="11"/>
              <w:spacing w:line="240" w:lineRule="atLeast"/>
              <w:ind w:left="1080" w:leftChars="257" w:hanging="540"/>
              <w:rPr>
                <w:rFonts w:hint="eastAsia" w:ascii="仿宋" w:hAnsi="仿宋" w:eastAsia="仿宋" w:cs="仿宋"/>
                <w:color w:val="auto"/>
                <w:sz w:val="24"/>
              </w:rPr>
            </w:pPr>
          </w:p>
        </w:tc>
        <w:tc>
          <w:tcPr>
            <w:tcW w:w="2520" w:type="dxa"/>
            <w:noWrap/>
          </w:tcPr>
          <w:p w14:paraId="782013BE">
            <w:pPr>
              <w:pStyle w:val="11"/>
              <w:spacing w:line="240" w:lineRule="atLeast"/>
              <w:ind w:left="1080" w:leftChars="257" w:hanging="540"/>
              <w:rPr>
                <w:rFonts w:hint="eastAsia" w:ascii="仿宋" w:hAnsi="仿宋" w:eastAsia="仿宋" w:cs="仿宋"/>
                <w:color w:val="auto"/>
                <w:sz w:val="24"/>
              </w:rPr>
            </w:pPr>
          </w:p>
        </w:tc>
        <w:tc>
          <w:tcPr>
            <w:tcW w:w="1805" w:type="dxa"/>
            <w:noWrap/>
          </w:tcPr>
          <w:p w14:paraId="3526C729">
            <w:pPr>
              <w:pStyle w:val="11"/>
              <w:spacing w:line="240" w:lineRule="atLeast"/>
              <w:ind w:left="1080" w:leftChars="257" w:hanging="540"/>
              <w:rPr>
                <w:rFonts w:hint="eastAsia" w:ascii="仿宋" w:hAnsi="仿宋" w:eastAsia="仿宋" w:cs="仿宋"/>
                <w:color w:val="auto"/>
                <w:sz w:val="24"/>
              </w:rPr>
            </w:pPr>
          </w:p>
        </w:tc>
      </w:tr>
      <w:tr w14:paraId="047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C962A85">
            <w:pPr>
              <w:pStyle w:val="11"/>
              <w:spacing w:line="240" w:lineRule="atLeast"/>
              <w:ind w:left="1080" w:leftChars="257" w:hanging="540"/>
              <w:rPr>
                <w:rFonts w:hint="eastAsia" w:ascii="仿宋" w:hAnsi="仿宋" w:eastAsia="仿宋" w:cs="仿宋"/>
                <w:color w:val="auto"/>
                <w:sz w:val="24"/>
              </w:rPr>
            </w:pPr>
          </w:p>
        </w:tc>
        <w:tc>
          <w:tcPr>
            <w:tcW w:w="2520" w:type="dxa"/>
            <w:noWrap/>
          </w:tcPr>
          <w:p w14:paraId="1BACE900">
            <w:pPr>
              <w:pStyle w:val="11"/>
              <w:spacing w:line="240" w:lineRule="atLeast"/>
              <w:ind w:left="1080" w:leftChars="257" w:hanging="540"/>
              <w:rPr>
                <w:rFonts w:hint="eastAsia" w:ascii="仿宋" w:hAnsi="仿宋" w:eastAsia="仿宋" w:cs="仿宋"/>
                <w:color w:val="auto"/>
                <w:sz w:val="24"/>
              </w:rPr>
            </w:pPr>
          </w:p>
        </w:tc>
        <w:tc>
          <w:tcPr>
            <w:tcW w:w="2520" w:type="dxa"/>
            <w:noWrap/>
          </w:tcPr>
          <w:p w14:paraId="4AD54F0B">
            <w:pPr>
              <w:pStyle w:val="11"/>
              <w:spacing w:line="240" w:lineRule="atLeast"/>
              <w:ind w:left="1080" w:leftChars="257" w:hanging="540"/>
              <w:rPr>
                <w:rFonts w:hint="eastAsia" w:ascii="仿宋" w:hAnsi="仿宋" w:eastAsia="仿宋" w:cs="仿宋"/>
                <w:color w:val="auto"/>
                <w:sz w:val="24"/>
              </w:rPr>
            </w:pPr>
          </w:p>
        </w:tc>
        <w:tc>
          <w:tcPr>
            <w:tcW w:w="1805" w:type="dxa"/>
            <w:noWrap/>
          </w:tcPr>
          <w:p w14:paraId="1673C1CC">
            <w:pPr>
              <w:pStyle w:val="11"/>
              <w:spacing w:line="240" w:lineRule="atLeast"/>
              <w:ind w:left="1080" w:leftChars="257" w:hanging="540"/>
              <w:rPr>
                <w:rFonts w:hint="eastAsia" w:ascii="仿宋" w:hAnsi="仿宋" w:eastAsia="仿宋" w:cs="仿宋"/>
                <w:color w:val="auto"/>
                <w:sz w:val="24"/>
              </w:rPr>
            </w:pPr>
          </w:p>
        </w:tc>
      </w:tr>
      <w:tr w14:paraId="7DC7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1B7253F">
            <w:pPr>
              <w:pStyle w:val="11"/>
              <w:spacing w:line="240" w:lineRule="atLeast"/>
              <w:ind w:left="1080" w:leftChars="257" w:hanging="540"/>
              <w:rPr>
                <w:rFonts w:hint="eastAsia" w:ascii="仿宋" w:hAnsi="仿宋" w:eastAsia="仿宋" w:cs="仿宋"/>
                <w:color w:val="auto"/>
                <w:sz w:val="24"/>
              </w:rPr>
            </w:pPr>
          </w:p>
        </w:tc>
        <w:tc>
          <w:tcPr>
            <w:tcW w:w="2520" w:type="dxa"/>
            <w:noWrap/>
          </w:tcPr>
          <w:p w14:paraId="61832B19">
            <w:pPr>
              <w:pStyle w:val="11"/>
              <w:spacing w:line="240" w:lineRule="atLeast"/>
              <w:ind w:left="1080" w:leftChars="257" w:hanging="540"/>
              <w:rPr>
                <w:rFonts w:hint="eastAsia" w:ascii="仿宋" w:hAnsi="仿宋" w:eastAsia="仿宋" w:cs="仿宋"/>
                <w:color w:val="auto"/>
                <w:sz w:val="24"/>
              </w:rPr>
            </w:pPr>
          </w:p>
        </w:tc>
        <w:tc>
          <w:tcPr>
            <w:tcW w:w="2520" w:type="dxa"/>
            <w:noWrap/>
          </w:tcPr>
          <w:p w14:paraId="4E8FEB3B">
            <w:pPr>
              <w:pStyle w:val="11"/>
              <w:spacing w:line="240" w:lineRule="atLeast"/>
              <w:ind w:left="1080" w:leftChars="257" w:hanging="540"/>
              <w:rPr>
                <w:rFonts w:hint="eastAsia" w:ascii="仿宋" w:hAnsi="仿宋" w:eastAsia="仿宋" w:cs="仿宋"/>
                <w:color w:val="auto"/>
                <w:sz w:val="24"/>
              </w:rPr>
            </w:pPr>
          </w:p>
        </w:tc>
        <w:tc>
          <w:tcPr>
            <w:tcW w:w="1805" w:type="dxa"/>
            <w:noWrap/>
          </w:tcPr>
          <w:p w14:paraId="33776E99">
            <w:pPr>
              <w:pStyle w:val="11"/>
              <w:spacing w:line="240" w:lineRule="atLeast"/>
              <w:ind w:left="1080" w:leftChars="257" w:hanging="540"/>
              <w:rPr>
                <w:rFonts w:hint="eastAsia" w:ascii="仿宋" w:hAnsi="仿宋" w:eastAsia="仿宋" w:cs="仿宋"/>
                <w:color w:val="auto"/>
                <w:sz w:val="24"/>
              </w:rPr>
            </w:pPr>
          </w:p>
        </w:tc>
      </w:tr>
      <w:tr w14:paraId="1BA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254AE1F">
            <w:pPr>
              <w:pStyle w:val="11"/>
              <w:spacing w:line="240" w:lineRule="atLeast"/>
              <w:ind w:left="1080" w:leftChars="257" w:hanging="540"/>
              <w:rPr>
                <w:rFonts w:hint="eastAsia" w:ascii="仿宋" w:hAnsi="仿宋" w:eastAsia="仿宋" w:cs="仿宋"/>
                <w:color w:val="auto"/>
                <w:sz w:val="24"/>
              </w:rPr>
            </w:pPr>
          </w:p>
        </w:tc>
        <w:tc>
          <w:tcPr>
            <w:tcW w:w="2520" w:type="dxa"/>
            <w:noWrap/>
          </w:tcPr>
          <w:p w14:paraId="0E90B870">
            <w:pPr>
              <w:pStyle w:val="11"/>
              <w:spacing w:line="240" w:lineRule="atLeast"/>
              <w:ind w:left="1080" w:leftChars="257" w:hanging="540"/>
              <w:rPr>
                <w:rFonts w:hint="eastAsia" w:ascii="仿宋" w:hAnsi="仿宋" w:eastAsia="仿宋" w:cs="仿宋"/>
                <w:color w:val="auto"/>
                <w:sz w:val="24"/>
              </w:rPr>
            </w:pPr>
          </w:p>
        </w:tc>
        <w:tc>
          <w:tcPr>
            <w:tcW w:w="2520" w:type="dxa"/>
            <w:noWrap/>
          </w:tcPr>
          <w:p w14:paraId="51833E78">
            <w:pPr>
              <w:pStyle w:val="11"/>
              <w:spacing w:line="240" w:lineRule="atLeast"/>
              <w:ind w:left="1080" w:leftChars="257" w:hanging="540"/>
              <w:rPr>
                <w:rFonts w:hint="eastAsia" w:ascii="仿宋" w:hAnsi="仿宋" w:eastAsia="仿宋" w:cs="仿宋"/>
                <w:color w:val="auto"/>
                <w:sz w:val="24"/>
              </w:rPr>
            </w:pPr>
          </w:p>
        </w:tc>
        <w:tc>
          <w:tcPr>
            <w:tcW w:w="1805" w:type="dxa"/>
            <w:noWrap/>
          </w:tcPr>
          <w:p w14:paraId="342FA5C4">
            <w:pPr>
              <w:pStyle w:val="11"/>
              <w:spacing w:line="240" w:lineRule="atLeast"/>
              <w:ind w:left="1080" w:leftChars="257" w:hanging="540"/>
              <w:rPr>
                <w:rFonts w:hint="eastAsia" w:ascii="仿宋" w:hAnsi="仿宋" w:eastAsia="仿宋" w:cs="仿宋"/>
                <w:color w:val="auto"/>
                <w:sz w:val="24"/>
              </w:rPr>
            </w:pPr>
          </w:p>
        </w:tc>
      </w:tr>
      <w:tr w14:paraId="01A5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D0D9FF8">
            <w:pPr>
              <w:pStyle w:val="11"/>
              <w:spacing w:line="240" w:lineRule="atLeast"/>
              <w:ind w:left="1080" w:leftChars="257" w:hanging="540"/>
              <w:rPr>
                <w:rFonts w:hint="eastAsia" w:ascii="仿宋" w:hAnsi="仿宋" w:eastAsia="仿宋" w:cs="仿宋"/>
                <w:color w:val="auto"/>
                <w:sz w:val="24"/>
              </w:rPr>
            </w:pPr>
          </w:p>
        </w:tc>
        <w:tc>
          <w:tcPr>
            <w:tcW w:w="2520" w:type="dxa"/>
            <w:noWrap/>
          </w:tcPr>
          <w:p w14:paraId="74CCFFA7">
            <w:pPr>
              <w:pStyle w:val="11"/>
              <w:spacing w:line="240" w:lineRule="atLeast"/>
              <w:ind w:left="1080" w:leftChars="257" w:hanging="540"/>
              <w:rPr>
                <w:rFonts w:hint="eastAsia" w:ascii="仿宋" w:hAnsi="仿宋" w:eastAsia="仿宋" w:cs="仿宋"/>
                <w:color w:val="auto"/>
                <w:sz w:val="24"/>
              </w:rPr>
            </w:pPr>
          </w:p>
        </w:tc>
        <w:tc>
          <w:tcPr>
            <w:tcW w:w="2520" w:type="dxa"/>
            <w:noWrap/>
          </w:tcPr>
          <w:p w14:paraId="373A61B2">
            <w:pPr>
              <w:pStyle w:val="11"/>
              <w:spacing w:line="240" w:lineRule="atLeast"/>
              <w:ind w:left="1080" w:leftChars="257" w:hanging="540"/>
              <w:rPr>
                <w:rFonts w:hint="eastAsia" w:ascii="仿宋" w:hAnsi="仿宋" w:eastAsia="仿宋" w:cs="仿宋"/>
                <w:color w:val="auto"/>
                <w:sz w:val="24"/>
              </w:rPr>
            </w:pPr>
          </w:p>
        </w:tc>
        <w:tc>
          <w:tcPr>
            <w:tcW w:w="1805" w:type="dxa"/>
            <w:noWrap/>
          </w:tcPr>
          <w:p w14:paraId="3DAE6FBB">
            <w:pPr>
              <w:pStyle w:val="11"/>
              <w:spacing w:line="240" w:lineRule="atLeast"/>
              <w:ind w:left="1080" w:leftChars="257" w:hanging="540"/>
              <w:rPr>
                <w:rFonts w:hint="eastAsia" w:ascii="仿宋" w:hAnsi="仿宋" w:eastAsia="仿宋" w:cs="仿宋"/>
                <w:color w:val="auto"/>
                <w:sz w:val="24"/>
              </w:rPr>
            </w:pPr>
          </w:p>
        </w:tc>
      </w:tr>
      <w:tr w14:paraId="0BA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92DCB20">
            <w:pPr>
              <w:pStyle w:val="11"/>
              <w:spacing w:line="240" w:lineRule="atLeast"/>
              <w:ind w:left="1080" w:leftChars="257" w:hanging="540"/>
              <w:rPr>
                <w:rFonts w:hint="eastAsia" w:ascii="仿宋" w:hAnsi="仿宋" w:eastAsia="仿宋" w:cs="仿宋"/>
                <w:color w:val="auto"/>
                <w:sz w:val="24"/>
              </w:rPr>
            </w:pPr>
          </w:p>
        </w:tc>
        <w:tc>
          <w:tcPr>
            <w:tcW w:w="2520" w:type="dxa"/>
            <w:noWrap/>
          </w:tcPr>
          <w:p w14:paraId="25C02178">
            <w:pPr>
              <w:pStyle w:val="11"/>
              <w:spacing w:line="240" w:lineRule="atLeast"/>
              <w:ind w:left="1080" w:leftChars="257" w:hanging="540"/>
              <w:rPr>
                <w:rFonts w:hint="eastAsia" w:ascii="仿宋" w:hAnsi="仿宋" w:eastAsia="仿宋" w:cs="仿宋"/>
                <w:color w:val="auto"/>
                <w:sz w:val="24"/>
              </w:rPr>
            </w:pPr>
          </w:p>
        </w:tc>
        <w:tc>
          <w:tcPr>
            <w:tcW w:w="2520" w:type="dxa"/>
            <w:noWrap/>
          </w:tcPr>
          <w:p w14:paraId="4D389A13">
            <w:pPr>
              <w:pStyle w:val="11"/>
              <w:spacing w:line="240" w:lineRule="atLeast"/>
              <w:ind w:left="1080" w:leftChars="257" w:hanging="540"/>
              <w:rPr>
                <w:rFonts w:hint="eastAsia" w:ascii="仿宋" w:hAnsi="仿宋" w:eastAsia="仿宋" w:cs="仿宋"/>
                <w:color w:val="auto"/>
                <w:sz w:val="24"/>
              </w:rPr>
            </w:pPr>
          </w:p>
        </w:tc>
        <w:tc>
          <w:tcPr>
            <w:tcW w:w="1805" w:type="dxa"/>
            <w:noWrap/>
          </w:tcPr>
          <w:p w14:paraId="00AC69D5">
            <w:pPr>
              <w:pStyle w:val="11"/>
              <w:spacing w:line="240" w:lineRule="atLeast"/>
              <w:ind w:left="1080" w:leftChars="257" w:hanging="540"/>
              <w:rPr>
                <w:rFonts w:hint="eastAsia" w:ascii="仿宋" w:hAnsi="仿宋" w:eastAsia="仿宋" w:cs="仿宋"/>
                <w:color w:val="auto"/>
                <w:sz w:val="24"/>
              </w:rPr>
            </w:pPr>
          </w:p>
        </w:tc>
      </w:tr>
      <w:tr w14:paraId="189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6659E9D6">
            <w:pPr>
              <w:pStyle w:val="11"/>
              <w:spacing w:line="240" w:lineRule="atLeast"/>
              <w:ind w:left="1080" w:leftChars="257" w:hanging="540"/>
              <w:rPr>
                <w:rFonts w:hint="eastAsia" w:ascii="仿宋" w:hAnsi="仿宋" w:eastAsia="仿宋" w:cs="仿宋"/>
                <w:color w:val="auto"/>
                <w:sz w:val="24"/>
              </w:rPr>
            </w:pPr>
          </w:p>
        </w:tc>
        <w:tc>
          <w:tcPr>
            <w:tcW w:w="2520" w:type="dxa"/>
            <w:noWrap/>
          </w:tcPr>
          <w:p w14:paraId="7C3D3538">
            <w:pPr>
              <w:pStyle w:val="11"/>
              <w:spacing w:line="240" w:lineRule="atLeast"/>
              <w:ind w:left="1080" w:leftChars="257" w:hanging="540"/>
              <w:rPr>
                <w:rFonts w:hint="eastAsia" w:ascii="仿宋" w:hAnsi="仿宋" w:eastAsia="仿宋" w:cs="仿宋"/>
                <w:color w:val="auto"/>
                <w:sz w:val="24"/>
              </w:rPr>
            </w:pPr>
          </w:p>
        </w:tc>
        <w:tc>
          <w:tcPr>
            <w:tcW w:w="2520" w:type="dxa"/>
            <w:noWrap/>
          </w:tcPr>
          <w:p w14:paraId="624F1BE8">
            <w:pPr>
              <w:pStyle w:val="11"/>
              <w:spacing w:line="240" w:lineRule="atLeast"/>
              <w:ind w:left="1080" w:leftChars="257" w:hanging="540"/>
              <w:rPr>
                <w:rFonts w:hint="eastAsia" w:ascii="仿宋" w:hAnsi="仿宋" w:eastAsia="仿宋" w:cs="仿宋"/>
                <w:color w:val="auto"/>
                <w:sz w:val="24"/>
              </w:rPr>
            </w:pPr>
          </w:p>
        </w:tc>
        <w:tc>
          <w:tcPr>
            <w:tcW w:w="1805" w:type="dxa"/>
            <w:noWrap/>
          </w:tcPr>
          <w:p w14:paraId="7B5ABB23">
            <w:pPr>
              <w:pStyle w:val="11"/>
              <w:spacing w:line="240" w:lineRule="atLeast"/>
              <w:ind w:left="1080" w:leftChars="257" w:hanging="540"/>
              <w:rPr>
                <w:rFonts w:hint="eastAsia" w:ascii="仿宋" w:hAnsi="仿宋" w:eastAsia="仿宋" w:cs="仿宋"/>
                <w:color w:val="auto"/>
                <w:sz w:val="24"/>
              </w:rPr>
            </w:pPr>
          </w:p>
        </w:tc>
      </w:tr>
      <w:tr w14:paraId="512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0EE50FE">
            <w:pPr>
              <w:pStyle w:val="11"/>
              <w:spacing w:line="240" w:lineRule="atLeast"/>
              <w:ind w:left="1080" w:leftChars="257" w:hanging="540"/>
              <w:rPr>
                <w:rFonts w:hint="eastAsia" w:ascii="仿宋" w:hAnsi="仿宋" w:eastAsia="仿宋" w:cs="仿宋"/>
                <w:color w:val="auto"/>
                <w:sz w:val="24"/>
              </w:rPr>
            </w:pPr>
          </w:p>
        </w:tc>
        <w:tc>
          <w:tcPr>
            <w:tcW w:w="2520" w:type="dxa"/>
            <w:noWrap/>
          </w:tcPr>
          <w:p w14:paraId="1316ECCD">
            <w:pPr>
              <w:pStyle w:val="11"/>
              <w:spacing w:line="240" w:lineRule="atLeast"/>
              <w:ind w:left="1080" w:leftChars="257" w:hanging="540"/>
              <w:rPr>
                <w:rFonts w:hint="eastAsia" w:ascii="仿宋" w:hAnsi="仿宋" w:eastAsia="仿宋" w:cs="仿宋"/>
                <w:color w:val="auto"/>
                <w:sz w:val="24"/>
              </w:rPr>
            </w:pPr>
          </w:p>
        </w:tc>
        <w:tc>
          <w:tcPr>
            <w:tcW w:w="2520" w:type="dxa"/>
            <w:noWrap/>
          </w:tcPr>
          <w:p w14:paraId="74DB2BD0">
            <w:pPr>
              <w:pStyle w:val="11"/>
              <w:spacing w:line="240" w:lineRule="atLeast"/>
              <w:ind w:left="1080" w:leftChars="257" w:hanging="540"/>
              <w:rPr>
                <w:rFonts w:hint="eastAsia" w:ascii="仿宋" w:hAnsi="仿宋" w:eastAsia="仿宋" w:cs="仿宋"/>
                <w:color w:val="auto"/>
                <w:sz w:val="24"/>
              </w:rPr>
            </w:pPr>
          </w:p>
        </w:tc>
        <w:tc>
          <w:tcPr>
            <w:tcW w:w="1805" w:type="dxa"/>
            <w:noWrap/>
          </w:tcPr>
          <w:p w14:paraId="5A2CCFFC">
            <w:pPr>
              <w:pStyle w:val="11"/>
              <w:spacing w:line="240" w:lineRule="atLeast"/>
              <w:ind w:left="1080" w:leftChars="257" w:hanging="540"/>
              <w:rPr>
                <w:rFonts w:hint="eastAsia" w:ascii="仿宋" w:hAnsi="仿宋" w:eastAsia="仿宋" w:cs="仿宋"/>
                <w:color w:val="auto"/>
                <w:sz w:val="24"/>
              </w:rPr>
            </w:pPr>
          </w:p>
        </w:tc>
      </w:tr>
    </w:tbl>
    <w:p w14:paraId="7BAC23C0">
      <w:pPr>
        <w:pStyle w:val="11"/>
        <w:spacing w:line="240" w:lineRule="atLeast"/>
        <w:ind w:left="1080" w:leftChars="257" w:hanging="540"/>
        <w:rPr>
          <w:rFonts w:hint="eastAsia" w:ascii="仿宋" w:hAnsi="仿宋" w:eastAsia="仿宋" w:cs="仿宋"/>
          <w:color w:val="auto"/>
          <w:sz w:val="24"/>
        </w:rPr>
      </w:pPr>
    </w:p>
    <w:p w14:paraId="14703F55">
      <w:pPr>
        <w:pStyle w:val="11"/>
        <w:spacing w:line="240" w:lineRule="atLeast"/>
        <w:ind w:left="1080" w:leftChars="257" w:hanging="540"/>
        <w:rPr>
          <w:rFonts w:hint="eastAsia" w:ascii="仿宋" w:hAnsi="仿宋" w:eastAsia="仿宋" w:cs="仿宋"/>
          <w:color w:val="auto"/>
          <w:sz w:val="24"/>
        </w:rPr>
      </w:pPr>
    </w:p>
    <w:p w14:paraId="578D2F02">
      <w:pPr>
        <w:pStyle w:val="11"/>
        <w:spacing w:line="240" w:lineRule="atLeast"/>
        <w:ind w:left="1080" w:leftChars="257" w:hanging="540"/>
        <w:rPr>
          <w:rFonts w:hint="eastAsia" w:ascii="仿宋" w:hAnsi="仿宋" w:eastAsia="仿宋" w:cs="仿宋"/>
          <w:color w:val="auto"/>
          <w:sz w:val="24"/>
        </w:rPr>
      </w:pPr>
    </w:p>
    <w:p w14:paraId="3A68E21B">
      <w:pPr>
        <w:pStyle w:val="11"/>
        <w:spacing w:line="240" w:lineRule="atLeast"/>
        <w:ind w:left="1080" w:leftChars="257" w:hanging="540"/>
        <w:rPr>
          <w:rFonts w:hint="eastAsia" w:ascii="仿宋" w:hAnsi="仿宋" w:eastAsia="仿宋" w:cs="仿宋"/>
          <w:color w:val="auto"/>
          <w:sz w:val="24"/>
          <w:u w:val="single"/>
          <w:lang w:eastAsia="zh-CN"/>
        </w:rPr>
      </w:pPr>
      <w:r>
        <w:rPr>
          <w:rFonts w:hint="eastAsia" w:ascii="仿宋" w:hAnsi="仿宋" w:eastAsia="仿宋" w:cs="仿宋"/>
          <w:color w:val="auto"/>
          <w:sz w:val="24"/>
          <w:lang w:eastAsia="zh-CN"/>
        </w:rPr>
        <w:t>法定代表人或其委托代理人签字（章）:</w:t>
      </w:r>
      <w:r>
        <w:rPr>
          <w:rFonts w:hint="eastAsia" w:ascii="仿宋" w:hAnsi="仿宋" w:eastAsia="仿宋" w:cs="仿宋"/>
          <w:color w:val="auto"/>
          <w:sz w:val="24"/>
          <w:u w:val="single"/>
          <w:lang w:eastAsia="zh-CN"/>
        </w:rPr>
        <w:t xml:space="preserve">                         </w:t>
      </w:r>
    </w:p>
    <w:p w14:paraId="534ECDCE">
      <w:pPr>
        <w:pStyle w:val="11"/>
        <w:tabs>
          <w:tab w:val="left" w:pos="5370"/>
        </w:tabs>
        <w:spacing w:line="240" w:lineRule="atLeast"/>
        <w:ind w:left="1080" w:leftChars="257" w:hanging="540"/>
        <w:rPr>
          <w:rFonts w:hint="eastAsia" w:ascii="仿宋" w:hAnsi="仿宋" w:eastAsia="仿宋" w:cs="仿宋"/>
          <w:color w:val="auto"/>
          <w:lang w:eastAsia="zh-CN"/>
        </w:rPr>
      </w:pPr>
      <w:r>
        <w:rPr>
          <w:rFonts w:hint="eastAsia" w:ascii="仿宋" w:hAnsi="仿宋" w:eastAsia="仿宋" w:cs="仿宋"/>
          <w:color w:val="auto"/>
          <w:sz w:val="24"/>
          <w:lang w:eastAsia="zh-CN"/>
        </w:rPr>
        <w:t>投标人(盖单位章):</w:t>
      </w:r>
      <w:r>
        <w:rPr>
          <w:rFonts w:hint="eastAsia" w:ascii="仿宋" w:hAnsi="仿宋" w:eastAsia="仿宋" w:cs="仿宋"/>
          <w:color w:val="auto"/>
          <w:sz w:val="24"/>
          <w:u w:val="single" w:color="000000"/>
          <w:lang w:eastAsia="zh-CN"/>
        </w:rPr>
        <w:tab/>
      </w:r>
      <w:bookmarkStart w:id="843" w:name="_Hlt520343000"/>
      <w:bookmarkEnd w:id="843"/>
      <w:bookmarkStart w:id="844" w:name="_Hlt520274911"/>
      <w:bookmarkEnd w:id="844"/>
      <w:bookmarkStart w:id="845" w:name="_Hlt520274407"/>
      <w:bookmarkEnd w:id="845"/>
      <w:bookmarkStart w:id="846" w:name="_Hlt520273973"/>
      <w:bookmarkEnd w:id="846"/>
      <w:bookmarkStart w:id="847" w:name="_Hlt520274393"/>
      <w:bookmarkEnd w:id="847"/>
      <w:bookmarkStart w:id="848" w:name="_Hlt520271212"/>
      <w:bookmarkEnd w:id="848"/>
      <w:bookmarkStart w:id="849" w:name="_Hlt520350918"/>
      <w:bookmarkEnd w:id="849"/>
      <w:bookmarkStart w:id="850" w:name="_Hlt520343392"/>
      <w:bookmarkEnd w:id="850"/>
      <w:bookmarkStart w:id="851" w:name="_Hlt520273711"/>
      <w:bookmarkEnd w:id="851"/>
      <w:bookmarkStart w:id="852" w:name="_Hlt520274065"/>
      <w:bookmarkEnd w:id="852"/>
      <w:bookmarkStart w:id="853" w:name="_Hlt520350957"/>
      <w:bookmarkEnd w:id="853"/>
    </w:p>
    <w:p w14:paraId="6A85B93B">
      <w:pPr>
        <w:rPr>
          <w:rFonts w:hint="eastAsia" w:ascii="仿宋" w:hAnsi="仿宋" w:eastAsia="仿宋" w:cs="仿宋"/>
          <w:color w:val="auto"/>
          <w:lang w:eastAsia="zh-CN"/>
        </w:rPr>
      </w:pPr>
      <w:bookmarkStart w:id="854" w:name="_Toc10725"/>
      <w:bookmarkStart w:id="855" w:name="_Toc515647823"/>
      <w:bookmarkStart w:id="856" w:name="_Toc28936"/>
      <w:bookmarkStart w:id="857" w:name="_Toc22909"/>
      <w:bookmarkStart w:id="858" w:name="_Toc18272"/>
      <w:bookmarkStart w:id="859" w:name="_Toc18491"/>
      <w:bookmarkStart w:id="860" w:name="_Toc5437"/>
      <w:r>
        <w:rPr>
          <w:rFonts w:hint="eastAsia" w:ascii="仿宋" w:hAnsi="仿宋" w:eastAsia="仿宋" w:cs="仿宋"/>
          <w:color w:val="auto"/>
          <w:lang w:eastAsia="zh-CN"/>
        </w:rPr>
        <w:br w:type="page"/>
      </w:r>
    </w:p>
    <w:p w14:paraId="5D9C517D">
      <w:pPr>
        <w:rPr>
          <w:rFonts w:hint="eastAsia" w:ascii="仿宋" w:hAnsi="仿宋" w:eastAsia="仿宋" w:cs="仿宋"/>
          <w:color w:val="auto"/>
          <w:lang w:eastAsia="zh-CN"/>
        </w:rPr>
      </w:pPr>
    </w:p>
    <w:p w14:paraId="04338C35">
      <w:pPr>
        <w:pStyle w:val="5"/>
        <w:spacing w:before="0" w:after="0" w:line="288" w:lineRule="auto"/>
        <w:ind w:left="1079" w:leftChars="257" w:hanging="539"/>
        <w:jc w:val="center"/>
        <w:rPr>
          <w:rFonts w:hint="eastAsia" w:ascii="仿宋" w:hAnsi="仿宋" w:eastAsia="仿宋" w:cs="仿宋"/>
          <w:color w:val="auto"/>
          <w:u w:val="none"/>
          <w:lang w:eastAsia="zh-CN"/>
        </w:rPr>
      </w:pPr>
      <w:r>
        <w:rPr>
          <w:rFonts w:hint="eastAsia" w:ascii="仿宋" w:hAnsi="仿宋" w:eastAsia="仿宋" w:cs="仿宋"/>
          <w:color w:val="auto"/>
          <w:u w:val="none"/>
          <w:lang w:eastAsia="zh-CN"/>
        </w:rPr>
        <w:t xml:space="preserve">6-1 </w:t>
      </w:r>
      <w:bookmarkEnd w:id="854"/>
      <w:bookmarkEnd w:id="855"/>
      <w:bookmarkEnd w:id="856"/>
      <w:bookmarkStart w:id="861" w:name="_Toc29288"/>
      <w:bookmarkStart w:id="862" w:name="_Toc515647824"/>
      <w:bookmarkStart w:id="863" w:name="_Toc11803"/>
      <w:bookmarkStart w:id="864" w:name="_Toc10977"/>
      <w:r>
        <w:rPr>
          <w:rFonts w:hint="eastAsia" w:ascii="仿宋" w:hAnsi="仿宋" w:eastAsia="仿宋" w:cs="仿宋"/>
          <w:color w:val="auto"/>
          <w:u w:val="none"/>
          <w:lang w:eastAsia="zh-CN"/>
        </w:rPr>
        <w:t>中小企业声明函（货物）</w:t>
      </w:r>
      <w:bookmarkEnd w:id="857"/>
      <w:bookmarkEnd w:id="858"/>
      <w:bookmarkEnd w:id="859"/>
      <w:bookmarkEnd w:id="861"/>
    </w:p>
    <w:bookmarkEnd w:id="862"/>
    <w:bookmarkEnd w:id="863"/>
    <w:bookmarkEnd w:id="864"/>
    <w:p w14:paraId="3FB5142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本公司（联合体）郑重声明，根据《政府采购促进中小企业发展管理办法》 （财库﹝2020﹞46 号）的规定，本公司（联合体）参加（单位名称）的（项目名称）采购活动，工程的施工单位全部为符合政策要求的中小企业。相关企业（含联合体中的中小企业、签订分包意向协议的中小企业）的具体情况如下：</w:t>
      </w:r>
    </w:p>
    <w:p w14:paraId="3FB5F92E">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308FC72F">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1.（标的名称）  ，属于（采购文件中明确的所属行业）行业；承建（承接） 企业为（企业名称），从业人员    人，营业收入为    万元，资产总额为    万  元 ，属于（中型企业、小型企业、微型企业）；</w:t>
      </w:r>
    </w:p>
    <w:p w14:paraId="2B43823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0552BBB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2.（标的名称） ，属于（采购文件中明确的所属行业）行业；承建（承接） 企业为（企业名称），从业人员    人，营业收入为    万元，资产总额为    万  元，属于（中型企业、小型企业、微型企业）；</w:t>
      </w:r>
    </w:p>
    <w:p w14:paraId="2054502D">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59B51A6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16B3206C">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w:t>
      </w:r>
    </w:p>
    <w:p w14:paraId="4A55F35A">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4797FD3B">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以上企业，不属于大企业的分支机构，不存在控股股东为大企业的情形，也 不存在与大企业的负责人为同一人的情形。</w:t>
      </w:r>
    </w:p>
    <w:p w14:paraId="75DD8962">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p>
    <w:p w14:paraId="11F5D053">
      <w:pPr>
        <w:pStyle w:val="2"/>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pacing w:val="-1"/>
          <w:kern w:val="0"/>
          <w:sz w:val="21"/>
          <w:szCs w:val="21"/>
          <w:highlight w:val="none"/>
        </w:rPr>
      </w:pPr>
      <w:r>
        <w:rPr>
          <w:rFonts w:hint="eastAsia" w:ascii="仿宋" w:hAnsi="仿宋" w:eastAsia="仿宋" w:cs="仿宋"/>
          <w:color w:val="auto"/>
          <w:spacing w:val="-1"/>
          <w:kern w:val="0"/>
          <w:sz w:val="21"/>
          <w:szCs w:val="21"/>
          <w:highlight w:val="none"/>
        </w:rPr>
        <w:t>本企业对上述声明内容的真实性负责。如有虚假，将依法承担相应责任。</w:t>
      </w:r>
    </w:p>
    <w:p w14:paraId="4423E2B7">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1"/>
          <w:szCs w:val="21"/>
          <w:highlight w:val="none"/>
        </w:rPr>
      </w:pPr>
    </w:p>
    <w:p w14:paraId="285E02AE">
      <w:pPr>
        <w:pStyle w:val="2"/>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企业名称（盖单位章</w:t>
      </w:r>
      <w:r>
        <w:rPr>
          <w:rFonts w:hint="eastAsia" w:ascii="仿宋" w:hAnsi="仿宋" w:eastAsia="仿宋" w:cs="仿宋"/>
          <w:color w:val="auto"/>
          <w:spacing w:val="1"/>
          <w:sz w:val="21"/>
          <w:szCs w:val="21"/>
          <w:highlight w:val="none"/>
        </w:rPr>
        <w:t>）：</w:t>
      </w:r>
      <w:r>
        <w:rPr>
          <w:rFonts w:hint="eastAsia" w:ascii="仿宋" w:hAnsi="仿宋" w:eastAsia="仿宋" w:cs="仿宋"/>
          <w:color w:val="auto"/>
          <w:sz w:val="21"/>
          <w:szCs w:val="21"/>
          <w:highlight w:val="none"/>
          <w:u w:val="single" w:color="auto"/>
        </w:rPr>
        <w:t xml:space="preserve">             </w:t>
      </w:r>
    </w:p>
    <w:p w14:paraId="277A9A8F">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1"/>
          <w:szCs w:val="21"/>
          <w:highlight w:val="none"/>
        </w:rPr>
      </w:pPr>
    </w:p>
    <w:p w14:paraId="5161CE53">
      <w:pPr>
        <w:pStyle w:val="2"/>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pacing w:val="-12"/>
          <w:sz w:val="21"/>
          <w:szCs w:val="21"/>
          <w:highlight w:val="none"/>
        </w:rPr>
        <w:t>日</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2"/>
          <w:sz w:val="21"/>
          <w:szCs w:val="21"/>
          <w:highlight w:val="none"/>
        </w:rPr>
        <w:t>期：</w:t>
      </w:r>
      <w:r>
        <w:rPr>
          <w:rFonts w:hint="eastAsia" w:ascii="仿宋" w:hAnsi="仿宋" w:eastAsia="仿宋" w:cs="仿宋"/>
          <w:color w:val="auto"/>
          <w:spacing w:val="-12"/>
          <w:sz w:val="21"/>
          <w:szCs w:val="21"/>
          <w:highlight w:val="none"/>
          <w:u w:val="single" w:color="auto"/>
        </w:rPr>
        <w:t xml:space="preserve">                 </w:t>
      </w:r>
      <w:r>
        <w:rPr>
          <w:rFonts w:hint="eastAsia" w:ascii="仿宋" w:hAnsi="仿宋" w:eastAsia="仿宋" w:cs="仿宋"/>
          <w:color w:val="auto"/>
          <w:spacing w:val="-13"/>
          <w:sz w:val="21"/>
          <w:szCs w:val="21"/>
          <w:highlight w:val="none"/>
          <w:u w:val="single" w:color="auto"/>
        </w:rPr>
        <w:t xml:space="preserve">     </w:t>
      </w:r>
    </w:p>
    <w:p w14:paraId="613CDD84">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1"/>
          <w:szCs w:val="21"/>
          <w:highlight w:val="none"/>
        </w:rPr>
      </w:pPr>
    </w:p>
    <w:p w14:paraId="0FC1BD44">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注：</w:t>
      </w:r>
    </w:p>
    <w:p w14:paraId="3C72C4E7">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（1）从业人员、营业收入、资产总额填报上一年度数据，无上一年度数据的新成立企业可不填报。</w:t>
      </w:r>
    </w:p>
    <w:p w14:paraId="4163B93D">
      <w:pPr>
        <w:shd w:val="clear" w:color="auto" w:fill="FFFFFF"/>
        <w:spacing w:before="100" w:beforeAutospacing="1" w:after="100" w:afterAutospacing="1"/>
        <w:ind w:firstLine="480"/>
        <w:textAlignment w:val="auto"/>
        <w:rPr>
          <w:rFonts w:hint="eastAsia" w:ascii="仿宋" w:hAnsi="仿宋" w:eastAsia="仿宋" w:cs="仿宋"/>
          <w:b/>
          <w:bCs/>
          <w:color w:val="auto"/>
          <w:sz w:val="24"/>
          <w:shd w:val="clear" w:color="auto" w:fill="FFFFFF"/>
          <w:lang w:eastAsia="zh-CN"/>
        </w:rPr>
      </w:pPr>
      <w:r>
        <w:rPr>
          <w:rFonts w:hint="eastAsia" w:ascii="仿宋" w:hAnsi="仿宋" w:eastAsia="仿宋" w:cs="仿宋"/>
          <w:b/>
          <w:bCs/>
          <w:color w:val="auto"/>
          <w:sz w:val="24"/>
          <w:shd w:val="clear" w:color="auto" w:fill="FFFFFF"/>
          <w:lang w:eastAsia="zh-CN"/>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65A61F99">
      <w:pPr>
        <w:shd w:val="clear" w:color="auto" w:fill="FFFFFF"/>
        <w:spacing w:before="100" w:beforeAutospacing="1" w:after="100" w:afterAutospacing="1"/>
        <w:ind w:firstLine="480"/>
        <w:rPr>
          <w:rFonts w:hint="eastAsia" w:ascii="仿宋" w:hAnsi="仿宋" w:eastAsia="仿宋" w:cs="仿宋"/>
          <w:color w:val="auto"/>
          <w:lang w:eastAsia="zh-CN"/>
        </w:rPr>
      </w:pPr>
      <w:r>
        <w:rPr>
          <w:rFonts w:hint="eastAsia" w:ascii="仿宋" w:hAnsi="仿宋" w:eastAsia="仿宋" w:cs="仿宋"/>
          <w:b/>
          <w:bCs/>
          <w:color w:val="auto"/>
          <w:sz w:val="24"/>
          <w:shd w:val="clear" w:color="auto" w:fill="FFFFFF"/>
          <w:lang w:eastAsia="zh-CN"/>
        </w:rPr>
        <w:t>（3）（本项目对应的中小企业划分标准所属行业为：软件和信息技术服务业）</w:t>
      </w:r>
    </w:p>
    <w:p w14:paraId="28D7D5A3">
      <w:pP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附：</w:t>
      </w:r>
    </w:p>
    <w:p w14:paraId="69CB71A9">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中小微企业划型标准</w:t>
      </w:r>
    </w:p>
    <w:tbl>
      <w:tblPr>
        <w:tblStyle w:val="23"/>
        <w:tblW w:w="9378" w:type="dxa"/>
        <w:jc w:val="center"/>
        <w:tblLayout w:type="fixed"/>
        <w:tblCellMar>
          <w:top w:w="0" w:type="dxa"/>
          <w:left w:w="108" w:type="dxa"/>
          <w:bottom w:w="0" w:type="dxa"/>
          <w:right w:w="108" w:type="dxa"/>
        </w:tblCellMar>
      </w:tblPr>
      <w:tblGrid>
        <w:gridCol w:w="1570"/>
        <w:gridCol w:w="1803"/>
        <w:gridCol w:w="1323"/>
        <w:gridCol w:w="1903"/>
        <w:gridCol w:w="1692"/>
        <w:gridCol w:w="1087"/>
      </w:tblGrid>
      <w:tr w14:paraId="2B872B52">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5AE4C61E">
            <w:pPr>
              <w:contextualSpacing/>
              <w:jc w:val="center"/>
              <w:rPr>
                <w:rFonts w:hint="eastAsia" w:ascii="仿宋" w:hAnsi="仿宋" w:eastAsia="仿宋" w:cs="仿宋"/>
                <w:b/>
                <w:color w:val="auto"/>
                <w:sz w:val="24"/>
              </w:rPr>
            </w:pPr>
            <w:r>
              <w:rPr>
                <w:rFonts w:hint="eastAsia" w:ascii="仿宋" w:hAnsi="仿宋" w:eastAsia="仿宋" w:cs="仿宋"/>
                <w:b/>
                <w:color w:val="auto"/>
                <w:sz w:val="24"/>
              </w:rPr>
              <w:t>行业名称</w:t>
            </w:r>
          </w:p>
        </w:tc>
        <w:tc>
          <w:tcPr>
            <w:tcW w:w="1803" w:type="dxa"/>
            <w:tcBorders>
              <w:top w:val="single" w:color="auto" w:sz="4" w:space="0"/>
              <w:left w:val="nil"/>
              <w:bottom w:val="single" w:color="auto" w:sz="4" w:space="0"/>
              <w:right w:val="single" w:color="auto" w:sz="4" w:space="0"/>
            </w:tcBorders>
            <w:noWrap/>
            <w:vAlign w:val="center"/>
          </w:tcPr>
          <w:p w14:paraId="3BAF3F27">
            <w:pPr>
              <w:contextualSpacing/>
              <w:jc w:val="center"/>
              <w:rPr>
                <w:rFonts w:hint="eastAsia" w:ascii="仿宋" w:hAnsi="仿宋" w:eastAsia="仿宋" w:cs="仿宋"/>
                <w:b/>
                <w:color w:val="auto"/>
                <w:sz w:val="24"/>
              </w:rPr>
            </w:pPr>
            <w:r>
              <w:rPr>
                <w:rFonts w:hint="eastAsia" w:ascii="仿宋" w:hAnsi="仿宋" w:eastAsia="仿宋" w:cs="仿宋"/>
                <w:b/>
                <w:color w:val="auto"/>
                <w:sz w:val="24"/>
              </w:rPr>
              <w:t>指标名称</w:t>
            </w:r>
          </w:p>
        </w:tc>
        <w:tc>
          <w:tcPr>
            <w:tcW w:w="1323" w:type="dxa"/>
            <w:tcBorders>
              <w:top w:val="single" w:color="auto" w:sz="4" w:space="0"/>
              <w:left w:val="nil"/>
              <w:bottom w:val="single" w:color="auto" w:sz="4" w:space="0"/>
              <w:right w:val="single" w:color="auto" w:sz="4" w:space="0"/>
            </w:tcBorders>
            <w:noWrap/>
            <w:vAlign w:val="center"/>
          </w:tcPr>
          <w:p w14:paraId="0FA4531A">
            <w:pPr>
              <w:contextualSpacing/>
              <w:jc w:val="center"/>
              <w:rPr>
                <w:rFonts w:hint="eastAsia" w:ascii="仿宋" w:hAnsi="仿宋" w:eastAsia="仿宋" w:cs="仿宋"/>
                <w:b/>
                <w:color w:val="auto"/>
                <w:sz w:val="24"/>
              </w:rPr>
            </w:pPr>
            <w:r>
              <w:rPr>
                <w:rFonts w:hint="eastAsia" w:ascii="仿宋" w:hAnsi="仿宋" w:eastAsia="仿宋" w:cs="仿宋"/>
                <w:b/>
                <w:color w:val="auto"/>
                <w:sz w:val="24"/>
              </w:rPr>
              <w:t>计量单位</w:t>
            </w:r>
          </w:p>
        </w:tc>
        <w:tc>
          <w:tcPr>
            <w:tcW w:w="1903" w:type="dxa"/>
            <w:tcBorders>
              <w:top w:val="single" w:color="auto" w:sz="4" w:space="0"/>
              <w:left w:val="nil"/>
              <w:bottom w:val="single" w:color="auto" w:sz="4" w:space="0"/>
              <w:right w:val="single" w:color="auto" w:sz="4" w:space="0"/>
            </w:tcBorders>
            <w:noWrap/>
            <w:vAlign w:val="center"/>
          </w:tcPr>
          <w:p w14:paraId="54C1D74B">
            <w:pPr>
              <w:contextualSpacing/>
              <w:jc w:val="center"/>
              <w:rPr>
                <w:rFonts w:hint="eastAsia" w:ascii="仿宋" w:hAnsi="仿宋" w:eastAsia="仿宋" w:cs="仿宋"/>
                <w:b/>
                <w:color w:val="auto"/>
                <w:sz w:val="24"/>
              </w:rPr>
            </w:pPr>
            <w:r>
              <w:rPr>
                <w:rFonts w:hint="eastAsia" w:ascii="仿宋" w:hAnsi="仿宋" w:eastAsia="仿宋" w:cs="仿宋"/>
                <w:b/>
                <w:color w:val="auto"/>
                <w:sz w:val="24"/>
              </w:rPr>
              <w:t>中型</w:t>
            </w:r>
          </w:p>
        </w:tc>
        <w:tc>
          <w:tcPr>
            <w:tcW w:w="1692" w:type="dxa"/>
            <w:tcBorders>
              <w:top w:val="single" w:color="auto" w:sz="4" w:space="0"/>
              <w:left w:val="nil"/>
              <w:bottom w:val="single" w:color="auto" w:sz="4" w:space="0"/>
              <w:right w:val="single" w:color="auto" w:sz="4" w:space="0"/>
            </w:tcBorders>
            <w:noWrap/>
            <w:vAlign w:val="center"/>
          </w:tcPr>
          <w:p w14:paraId="5D56C462">
            <w:pPr>
              <w:contextualSpacing/>
              <w:jc w:val="center"/>
              <w:rPr>
                <w:rFonts w:hint="eastAsia" w:ascii="仿宋" w:hAnsi="仿宋" w:eastAsia="仿宋" w:cs="仿宋"/>
                <w:b/>
                <w:color w:val="auto"/>
                <w:sz w:val="24"/>
              </w:rPr>
            </w:pPr>
            <w:r>
              <w:rPr>
                <w:rFonts w:hint="eastAsia" w:ascii="仿宋" w:hAnsi="仿宋" w:eastAsia="仿宋" w:cs="仿宋"/>
                <w:b/>
                <w:color w:val="auto"/>
                <w:sz w:val="24"/>
              </w:rPr>
              <w:t>小型</w:t>
            </w:r>
          </w:p>
        </w:tc>
        <w:tc>
          <w:tcPr>
            <w:tcW w:w="1087" w:type="dxa"/>
            <w:tcBorders>
              <w:top w:val="single" w:color="auto" w:sz="4" w:space="0"/>
              <w:left w:val="nil"/>
              <w:bottom w:val="single" w:color="auto" w:sz="4" w:space="0"/>
              <w:right w:val="single" w:color="auto" w:sz="4" w:space="0"/>
            </w:tcBorders>
            <w:noWrap/>
            <w:vAlign w:val="center"/>
          </w:tcPr>
          <w:p w14:paraId="11E99521">
            <w:pPr>
              <w:contextualSpacing/>
              <w:jc w:val="center"/>
              <w:rPr>
                <w:rFonts w:hint="eastAsia" w:ascii="仿宋" w:hAnsi="仿宋" w:eastAsia="仿宋" w:cs="仿宋"/>
                <w:b/>
                <w:color w:val="auto"/>
                <w:sz w:val="24"/>
              </w:rPr>
            </w:pPr>
            <w:r>
              <w:rPr>
                <w:rFonts w:hint="eastAsia" w:ascii="仿宋" w:hAnsi="仿宋" w:eastAsia="仿宋" w:cs="仿宋"/>
                <w:b/>
                <w:color w:val="auto"/>
                <w:sz w:val="24"/>
              </w:rPr>
              <w:t>微型</w:t>
            </w:r>
          </w:p>
        </w:tc>
      </w:tr>
      <w:tr w14:paraId="5BBB48B9">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57237CFD">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农、林、牧、渔</w:t>
            </w:r>
          </w:p>
        </w:tc>
        <w:tc>
          <w:tcPr>
            <w:tcW w:w="1803" w:type="dxa"/>
            <w:tcBorders>
              <w:top w:val="nil"/>
              <w:left w:val="nil"/>
              <w:bottom w:val="single" w:color="auto" w:sz="4" w:space="0"/>
              <w:right w:val="single" w:color="auto" w:sz="4" w:space="0"/>
            </w:tcBorders>
            <w:noWrap/>
            <w:vAlign w:val="center"/>
          </w:tcPr>
          <w:p w14:paraId="5F0EF37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E091FBC">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15194764">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7B23C5D1">
            <w:pPr>
              <w:contextualSpacing/>
              <w:jc w:val="center"/>
              <w:rPr>
                <w:rFonts w:hint="eastAsia" w:ascii="仿宋" w:hAnsi="仿宋" w:eastAsia="仿宋" w:cs="仿宋"/>
                <w:color w:val="auto"/>
                <w:sz w:val="24"/>
              </w:rPr>
            </w:pPr>
            <w:r>
              <w:rPr>
                <w:rFonts w:hint="eastAsia" w:ascii="仿宋" w:hAnsi="仿宋" w:eastAsia="仿宋" w:cs="仿宋"/>
                <w:color w:val="auto"/>
                <w:sz w:val="24"/>
              </w:rPr>
              <w:t>50≤Y＜500</w:t>
            </w:r>
          </w:p>
        </w:tc>
        <w:tc>
          <w:tcPr>
            <w:tcW w:w="1087" w:type="dxa"/>
            <w:tcBorders>
              <w:top w:val="nil"/>
              <w:left w:val="nil"/>
              <w:bottom w:val="single" w:color="auto" w:sz="4" w:space="0"/>
              <w:right w:val="single" w:color="auto" w:sz="4" w:space="0"/>
            </w:tcBorders>
            <w:noWrap/>
            <w:vAlign w:val="center"/>
          </w:tcPr>
          <w:p w14:paraId="0E3578BF">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370302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50013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工业</w:t>
            </w:r>
          </w:p>
        </w:tc>
        <w:tc>
          <w:tcPr>
            <w:tcW w:w="1803" w:type="dxa"/>
            <w:tcBorders>
              <w:top w:val="nil"/>
              <w:left w:val="nil"/>
              <w:bottom w:val="single" w:color="auto" w:sz="4" w:space="0"/>
              <w:right w:val="single" w:color="auto" w:sz="4" w:space="0"/>
            </w:tcBorders>
            <w:noWrap/>
            <w:vAlign w:val="center"/>
          </w:tcPr>
          <w:p w14:paraId="5EB6956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20F3CFA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DC3CC6F">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710900EA">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6F9BA897">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BD61A9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98F96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4E97F8B">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B70A5C6">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6B72A7">
            <w:pPr>
              <w:contextualSpacing/>
              <w:jc w:val="center"/>
              <w:rPr>
                <w:rFonts w:hint="eastAsia" w:ascii="仿宋" w:hAnsi="仿宋" w:eastAsia="仿宋" w:cs="仿宋"/>
                <w:color w:val="auto"/>
                <w:sz w:val="24"/>
              </w:rPr>
            </w:pPr>
            <w:r>
              <w:rPr>
                <w:rFonts w:hint="eastAsia" w:ascii="仿宋" w:hAnsi="仿宋" w:eastAsia="仿宋" w:cs="仿宋"/>
                <w:color w:val="auto"/>
                <w:sz w:val="24"/>
              </w:rPr>
              <w:t>2000≤Y＜40000</w:t>
            </w:r>
          </w:p>
        </w:tc>
        <w:tc>
          <w:tcPr>
            <w:tcW w:w="1692" w:type="dxa"/>
            <w:tcBorders>
              <w:top w:val="nil"/>
              <w:left w:val="nil"/>
              <w:bottom w:val="single" w:color="auto" w:sz="4" w:space="0"/>
              <w:right w:val="single" w:color="auto" w:sz="4" w:space="0"/>
            </w:tcBorders>
            <w:noWrap/>
            <w:vAlign w:val="center"/>
          </w:tcPr>
          <w:p w14:paraId="4485F591">
            <w:pPr>
              <w:contextualSpacing/>
              <w:jc w:val="center"/>
              <w:rPr>
                <w:rFonts w:hint="eastAsia" w:ascii="仿宋" w:hAnsi="仿宋" w:eastAsia="仿宋" w:cs="仿宋"/>
                <w:color w:val="auto"/>
                <w:sz w:val="24"/>
              </w:rPr>
            </w:pPr>
            <w:r>
              <w:rPr>
                <w:rFonts w:hint="eastAsia" w:ascii="仿宋" w:hAnsi="仿宋" w:eastAsia="仿宋" w:cs="仿宋"/>
                <w:color w:val="auto"/>
                <w:sz w:val="24"/>
              </w:rPr>
              <w:t>300≤Y＜2000</w:t>
            </w:r>
          </w:p>
        </w:tc>
        <w:tc>
          <w:tcPr>
            <w:tcW w:w="1087" w:type="dxa"/>
            <w:tcBorders>
              <w:top w:val="nil"/>
              <w:left w:val="nil"/>
              <w:bottom w:val="single" w:color="auto" w:sz="4" w:space="0"/>
              <w:right w:val="single" w:color="auto" w:sz="4" w:space="0"/>
            </w:tcBorders>
            <w:noWrap/>
            <w:vAlign w:val="center"/>
          </w:tcPr>
          <w:p w14:paraId="2C4539F1">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685F4B5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DD0BE96">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建筑业</w:t>
            </w:r>
          </w:p>
        </w:tc>
        <w:tc>
          <w:tcPr>
            <w:tcW w:w="1803" w:type="dxa"/>
            <w:tcBorders>
              <w:top w:val="nil"/>
              <w:left w:val="nil"/>
              <w:bottom w:val="single" w:color="auto" w:sz="4" w:space="0"/>
              <w:right w:val="single" w:color="auto" w:sz="4" w:space="0"/>
            </w:tcBorders>
            <w:noWrap/>
            <w:vAlign w:val="center"/>
          </w:tcPr>
          <w:p w14:paraId="042B9A79">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1C4DAFD">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8C489C5">
            <w:pPr>
              <w:contextualSpacing/>
              <w:jc w:val="center"/>
              <w:rPr>
                <w:rFonts w:hint="eastAsia" w:ascii="仿宋" w:hAnsi="仿宋" w:eastAsia="仿宋" w:cs="仿宋"/>
                <w:color w:val="auto"/>
                <w:sz w:val="24"/>
              </w:rPr>
            </w:pPr>
            <w:r>
              <w:rPr>
                <w:rFonts w:hint="eastAsia" w:ascii="仿宋" w:hAnsi="仿宋" w:eastAsia="仿宋" w:cs="仿宋"/>
                <w:color w:val="auto"/>
                <w:sz w:val="24"/>
              </w:rPr>
              <w:t>6000≤Y＜80000</w:t>
            </w:r>
          </w:p>
        </w:tc>
        <w:tc>
          <w:tcPr>
            <w:tcW w:w="1692" w:type="dxa"/>
            <w:tcBorders>
              <w:top w:val="nil"/>
              <w:left w:val="nil"/>
              <w:bottom w:val="single" w:color="auto" w:sz="4" w:space="0"/>
              <w:right w:val="single" w:color="auto" w:sz="4" w:space="0"/>
            </w:tcBorders>
            <w:noWrap/>
            <w:vAlign w:val="center"/>
          </w:tcPr>
          <w:p w14:paraId="2E87EFFB">
            <w:pPr>
              <w:contextualSpacing/>
              <w:jc w:val="center"/>
              <w:rPr>
                <w:rFonts w:hint="eastAsia" w:ascii="仿宋" w:hAnsi="仿宋" w:eastAsia="仿宋" w:cs="仿宋"/>
                <w:color w:val="auto"/>
                <w:sz w:val="24"/>
              </w:rPr>
            </w:pPr>
            <w:r>
              <w:rPr>
                <w:rFonts w:hint="eastAsia" w:ascii="仿宋" w:hAnsi="仿宋" w:eastAsia="仿宋" w:cs="仿宋"/>
                <w:color w:val="auto"/>
                <w:sz w:val="24"/>
              </w:rPr>
              <w:t>300≤Y＜6000</w:t>
            </w:r>
          </w:p>
        </w:tc>
        <w:tc>
          <w:tcPr>
            <w:tcW w:w="1087" w:type="dxa"/>
            <w:tcBorders>
              <w:top w:val="nil"/>
              <w:left w:val="nil"/>
              <w:bottom w:val="single" w:color="auto" w:sz="4" w:space="0"/>
              <w:right w:val="single" w:color="auto" w:sz="4" w:space="0"/>
            </w:tcBorders>
            <w:noWrap/>
            <w:vAlign w:val="center"/>
          </w:tcPr>
          <w:p w14:paraId="620DCB52">
            <w:pPr>
              <w:contextualSpacing/>
              <w:jc w:val="center"/>
              <w:rPr>
                <w:rFonts w:hint="eastAsia" w:ascii="仿宋" w:hAnsi="仿宋" w:eastAsia="仿宋" w:cs="仿宋"/>
                <w:color w:val="auto"/>
                <w:sz w:val="24"/>
              </w:rPr>
            </w:pPr>
            <w:r>
              <w:rPr>
                <w:rFonts w:hint="eastAsia" w:ascii="仿宋" w:hAnsi="仿宋" w:eastAsia="仿宋" w:cs="仿宋"/>
                <w:color w:val="auto"/>
                <w:sz w:val="24"/>
              </w:rPr>
              <w:t>Y＜300</w:t>
            </w:r>
          </w:p>
        </w:tc>
      </w:tr>
      <w:tr w14:paraId="2ED758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93ABC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67F8655C">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04F420F7">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C4C5A42">
            <w:pPr>
              <w:contextualSpacing/>
              <w:jc w:val="center"/>
              <w:rPr>
                <w:rFonts w:hint="eastAsia" w:ascii="仿宋" w:hAnsi="仿宋" w:eastAsia="仿宋" w:cs="仿宋"/>
                <w:color w:val="auto"/>
                <w:sz w:val="24"/>
              </w:rPr>
            </w:pPr>
            <w:r>
              <w:rPr>
                <w:rFonts w:hint="eastAsia" w:ascii="仿宋" w:hAnsi="仿宋" w:eastAsia="仿宋" w:cs="仿宋"/>
                <w:color w:val="auto"/>
                <w:sz w:val="24"/>
              </w:rPr>
              <w:t>5000≤Z＜80000</w:t>
            </w:r>
          </w:p>
        </w:tc>
        <w:tc>
          <w:tcPr>
            <w:tcW w:w="1692" w:type="dxa"/>
            <w:tcBorders>
              <w:top w:val="nil"/>
              <w:left w:val="nil"/>
              <w:bottom w:val="single" w:color="auto" w:sz="4" w:space="0"/>
              <w:right w:val="single" w:color="auto" w:sz="4" w:space="0"/>
            </w:tcBorders>
            <w:noWrap/>
            <w:vAlign w:val="center"/>
          </w:tcPr>
          <w:p w14:paraId="1FF22E5F">
            <w:pPr>
              <w:contextualSpacing/>
              <w:jc w:val="center"/>
              <w:rPr>
                <w:rFonts w:hint="eastAsia" w:ascii="仿宋" w:hAnsi="仿宋" w:eastAsia="仿宋" w:cs="仿宋"/>
                <w:color w:val="auto"/>
                <w:sz w:val="24"/>
              </w:rPr>
            </w:pPr>
            <w:r>
              <w:rPr>
                <w:rFonts w:hint="eastAsia" w:ascii="仿宋" w:hAnsi="仿宋" w:eastAsia="仿宋" w:cs="仿宋"/>
                <w:color w:val="auto"/>
                <w:sz w:val="24"/>
              </w:rPr>
              <w:t>300≤Z＜5000</w:t>
            </w:r>
          </w:p>
        </w:tc>
        <w:tc>
          <w:tcPr>
            <w:tcW w:w="1087" w:type="dxa"/>
            <w:tcBorders>
              <w:top w:val="nil"/>
              <w:left w:val="nil"/>
              <w:bottom w:val="single" w:color="auto" w:sz="4" w:space="0"/>
              <w:right w:val="single" w:color="auto" w:sz="4" w:space="0"/>
            </w:tcBorders>
            <w:noWrap/>
            <w:vAlign w:val="center"/>
          </w:tcPr>
          <w:p w14:paraId="65328616">
            <w:pPr>
              <w:contextualSpacing/>
              <w:jc w:val="center"/>
              <w:rPr>
                <w:rFonts w:hint="eastAsia" w:ascii="仿宋" w:hAnsi="仿宋" w:eastAsia="仿宋" w:cs="仿宋"/>
                <w:color w:val="auto"/>
                <w:sz w:val="24"/>
              </w:rPr>
            </w:pPr>
            <w:r>
              <w:rPr>
                <w:rFonts w:hint="eastAsia" w:ascii="仿宋" w:hAnsi="仿宋" w:eastAsia="仿宋" w:cs="仿宋"/>
                <w:color w:val="auto"/>
                <w:sz w:val="24"/>
              </w:rPr>
              <w:t>Z＜300</w:t>
            </w:r>
          </w:p>
        </w:tc>
      </w:tr>
      <w:tr w14:paraId="5A20ED2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EE419C1">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批发业</w:t>
            </w:r>
          </w:p>
        </w:tc>
        <w:tc>
          <w:tcPr>
            <w:tcW w:w="1803" w:type="dxa"/>
            <w:tcBorders>
              <w:top w:val="nil"/>
              <w:left w:val="nil"/>
              <w:bottom w:val="single" w:color="auto" w:sz="4" w:space="0"/>
              <w:right w:val="single" w:color="auto" w:sz="4" w:space="0"/>
            </w:tcBorders>
            <w:noWrap/>
            <w:vAlign w:val="center"/>
          </w:tcPr>
          <w:p w14:paraId="79B4B3E2">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5AA73CC">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79BC83F">
            <w:pPr>
              <w:contextualSpacing/>
              <w:jc w:val="center"/>
              <w:rPr>
                <w:rFonts w:hint="eastAsia" w:ascii="仿宋" w:hAnsi="仿宋" w:eastAsia="仿宋" w:cs="仿宋"/>
                <w:color w:val="auto"/>
                <w:sz w:val="24"/>
              </w:rPr>
            </w:pPr>
            <w:r>
              <w:rPr>
                <w:rFonts w:hint="eastAsia" w:ascii="仿宋" w:hAnsi="仿宋" w:eastAsia="仿宋" w:cs="仿宋"/>
                <w:color w:val="auto"/>
                <w:sz w:val="24"/>
              </w:rPr>
              <w:t>20≤X＜200</w:t>
            </w:r>
          </w:p>
        </w:tc>
        <w:tc>
          <w:tcPr>
            <w:tcW w:w="1692" w:type="dxa"/>
            <w:tcBorders>
              <w:top w:val="nil"/>
              <w:left w:val="nil"/>
              <w:bottom w:val="single" w:color="auto" w:sz="4" w:space="0"/>
              <w:right w:val="single" w:color="auto" w:sz="4" w:space="0"/>
            </w:tcBorders>
            <w:noWrap/>
            <w:vAlign w:val="center"/>
          </w:tcPr>
          <w:p w14:paraId="71F665CF">
            <w:pPr>
              <w:contextualSpacing/>
              <w:jc w:val="center"/>
              <w:rPr>
                <w:rFonts w:hint="eastAsia" w:ascii="仿宋" w:hAnsi="仿宋" w:eastAsia="仿宋" w:cs="仿宋"/>
                <w:color w:val="auto"/>
                <w:sz w:val="24"/>
              </w:rPr>
            </w:pPr>
            <w:r>
              <w:rPr>
                <w:rFonts w:hint="eastAsia" w:ascii="仿宋" w:hAnsi="仿宋" w:eastAsia="仿宋" w:cs="仿宋"/>
                <w:color w:val="auto"/>
                <w:sz w:val="24"/>
              </w:rPr>
              <w:t>5≤X＜20</w:t>
            </w:r>
          </w:p>
        </w:tc>
        <w:tc>
          <w:tcPr>
            <w:tcW w:w="1087" w:type="dxa"/>
            <w:tcBorders>
              <w:top w:val="nil"/>
              <w:left w:val="nil"/>
              <w:bottom w:val="single" w:color="auto" w:sz="4" w:space="0"/>
              <w:right w:val="single" w:color="auto" w:sz="4" w:space="0"/>
            </w:tcBorders>
            <w:noWrap/>
            <w:vAlign w:val="center"/>
          </w:tcPr>
          <w:p w14:paraId="3CBC3B2B">
            <w:pPr>
              <w:contextualSpacing/>
              <w:jc w:val="center"/>
              <w:rPr>
                <w:rFonts w:hint="eastAsia" w:ascii="仿宋" w:hAnsi="仿宋" w:eastAsia="仿宋" w:cs="仿宋"/>
                <w:color w:val="auto"/>
                <w:sz w:val="24"/>
              </w:rPr>
            </w:pPr>
            <w:r>
              <w:rPr>
                <w:rFonts w:hint="eastAsia" w:ascii="仿宋" w:hAnsi="仿宋" w:eastAsia="仿宋" w:cs="仿宋"/>
                <w:color w:val="auto"/>
                <w:sz w:val="24"/>
              </w:rPr>
              <w:t>X＜5</w:t>
            </w:r>
          </w:p>
        </w:tc>
      </w:tr>
      <w:tr w14:paraId="35864DE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29AC03A6">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7B45887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7049B5A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0BEA9BD">
            <w:pPr>
              <w:contextualSpacing/>
              <w:jc w:val="center"/>
              <w:rPr>
                <w:rFonts w:hint="eastAsia" w:ascii="仿宋" w:hAnsi="仿宋" w:eastAsia="仿宋" w:cs="仿宋"/>
                <w:color w:val="auto"/>
                <w:sz w:val="24"/>
              </w:rPr>
            </w:pPr>
            <w:r>
              <w:rPr>
                <w:rFonts w:hint="eastAsia" w:ascii="仿宋" w:hAnsi="仿宋" w:eastAsia="仿宋" w:cs="仿宋"/>
                <w:color w:val="auto"/>
                <w:sz w:val="24"/>
              </w:rPr>
              <w:t>5000≤Y＜40000</w:t>
            </w:r>
          </w:p>
        </w:tc>
        <w:tc>
          <w:tcPr>
            <w:tcW w:w="1692" w:type="dxa"/>
            <w:tcBorders>
              <w:top w:val="nil"/>
              <w:left w:val="nil"/>
              <w:bottom w:val="single" w:color="auto" w:sz="4" w:space="0"/>
              <w:right w:val="single" w:color="auto" w:sz="4" w:space="0"/>
            </w:tcBorders>
            <w:noWrap/>
            <w:vAlign w:val="center"/>
          </w:tcPr>
          <w:p w14:paraId="2397DC8D">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087" w:type="dxa"/>
            <w:tcBorders>
              <w:top w:val="nil"/>
              <w:left w:val="nil"/>
              <w:bottom w:val="single" w:color="auto" w:sz="4" w:space="0"/>
              <w:right w:val="single" w:color="auto" w:sz="4" w:space="0"/>
            </w:tcBorders>
            <w:noWrap/>
            <w:vAlign w:val="center"/>
          </w:tcPr>
          <w:p w14:paraId="3AD1358A">
            <w:pPr>
              <w:contextualSpacing/>
              <w:jc w:val="center"/>
              <w:rPr>
                <w:rFonts w:hint="eastAsia" w:ascii="仿宋" w:hAnsi="仿宋" w:eastAsia="仿宋" w:cs="仿宋"/>
                <w:color w:val="auto"/>
                <w:sz w:val="24"/>
              </w:rPr>
            </w:pPr>
            <w:r>
              <w:rPr>
                <w:rFonts w:hint="eastAsia" w:ascii="仿宋" w:hAnsi="仿宋" w:eastAsia="仿宋" w:cs="仿宋"/>
                <w:color w:val="auto"/>
                <w:sz w:val="24"/>
              </w:rPr>
              <w:t>Y＜1000</w:t>
            </w:r>
          </w:p>
        </w:tc>
      </w:tr>
      <w:tr w14:paraId="3F2B9F7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74F3500">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零售业</w:t>
            </w:r>
          </w:p>
        </w:tc>
        <w:tc>
          <w:tcPr>
            <w:tcW w:w="1803" w:type="dxa"/>
            <w:tcBorders>
              <w:top w:val="nil"/>
              <w:left w:val="nil"/>
              <w:bottom w:val="single" w:color="auto" w:sz="4" w:space="0"/>
              <w:right w:val="single" w:color="auto" w:sz="4" w:space="0"/>
            </w:tcBorders>
            <w:noWrap/>
            <w:vAlign w:val="center"/>
          </w:tcPr>
          <w:p w14:paraId="01303E3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16F989B">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0B07A53">
            <w:pPr>
              <w:contextualSpacing/>
              <w:jc w:val="center"/>
              <w:rPr>
                <w:rFonts w:hint="eastAsia" w:ascii="仿宋" w:hAnsi="仿宋" w:eastAsia="仿宋" w:cs="仿宋"/>
                <w:color w:val="auto"/>
                <w:sz w:val="24"/>
              </w:rPr>
            </w:pPr>
            <w:r>
              <w:rPr>
                <w:rFonts w:hint="eastAsia" w:ascii="仿宋" w:hAnsi="仿宋" w:eastAsia="仿宋" w:cs="仿宋"/>
                <w:color w:val="auto"/>
                <w:sz w:val="24"/>
              </w:rPr>
              <w:t>50≤X＜300</w:t>
            </w:r>
          </w:p>
        </w:tc>
        <w:tc>
          <w:tcPr>
            <w:tcW w:w="1692" w:type="dxa"/>
            <w:tcBorders>
              <w:top w:val="nil"/>
              <w:left w:val="nil"/>
              <w:bottom w:val="single" w:color="auto" w:sz="4" w:space="0"/>
              <w:right w:val="single" w:color="auto" w:sz="4" w:space="0"/>
            </w:tcBorders>
            <w:noWrap/>
            <w:vAlign w:val="center"/>
          </w:tcPr>
          <w:p w14:paraId="2DA0E80B">
            <w:pPr>
              <w:contextualSpacing/>
              <w:jc w:val="center"/>
              <w:rPr>
                <w:rFonts w:hint="eastAsia" w:ascii="仿宋" w:hAnsi="仿宋" w:eastAsia="仿宋" w:cs="仿宋"/>
                <w:color w:val="auto"/>
                <w:sz w:val="24"/>
              </w:rPr>
            </w:pPr>
            <w:r>
              <w:rPr>
                <w:rFonts w:hint="eastAsia" w:ascii="仿宋" w:hAnsi="仿宋" w:eastAsia="仿宋" w:cs="仿宋"/>
                <w:color w:val="auto"/>
                <w:sz w:val="24"/>
              </w:rPr>
              <w:t>10≤X＜50</w:t>
            </w:r>
          </w:p>
        </w:tc>
        <w:tc>
          <w:tcPr>
            <w:tcW w:w="1087" w:type="dxa"/>
            <w:tcBorders>
              <w:top w:val="nil"/>
              <w:left w:val="nil"/>
              <w:bottom w:val="single" w:color="auto" w:sz="4" w:space="0"/>
              <w:right w:val="single" w:color="auto" w:sz="4" w:space="0"/>
            </w:tcBorders>
            <w:noWrap/>
            <w:vAlign w:val="center"/>
          </w:tcPr>
          <w:p w14:paraId="54F308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3652D5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663018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2C4D5BCA">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5EC6C7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049215D9">
            <w:pPr>
              <w:contextualSpacing/>
              <w:jc w:val="center"/>
              <w:rPr>
                <w:rFonts w:hint="eastAsia" w:ascii="仿宋" w:hAnsi="仿宋" w:eastAsia="仿宋" w:cs="仿宋"/>
                <w:color w:val="auto"/>
                <w:sz w:val="24"/>
              </w:rPr>
            </w:pPr>
            <w:r>
              <w:rPr>
                <w:rFonts w:hint="eastAsia" w:ascii="仿宋" w:hAnsi="仿宋" w:eastAsia="仿宋" w:cs="仿宋"/>
                <w:color w:val="auto"/>
                <w:sz w:val="24"/>
              </w:rPr>
              <w:t>500≤Y＜20000</w:t>
            </w:r>
          </w:p>
        </w:tc>
        <w:tc>
          <w:tcPr>
            <w:tcW w:w="1692" w:type="dxa"/>
            <w:tcBorders>
              <w:top w:val="nil"/>
              <w:left w:val="nil"/>
              <w:bottom w:val="single" w:color="auto" w:sz="4" w:space="0"/>
              <w:right w:val="single" w:color="auto" w:sz="4" w:space="0"/>
            </w:tcBorders>
            <w:noWrap/>
            <w:vAlign w:val="center"/>
          </w:tcPr>
          <w:p w14:paraId="3D86F4E4">
            <w:pPr>
              <w:contextualSpacing/>
              <w:jc w:val="center"/>
              <w:rPr>
                <w:rFonts w:hint="eastAsia" w:ascii="仿宋" w:hAnsi="仿宋" w:eastAsia="仿宋" w:cs="仿宋"/>
                <w:color w:val="auto"/>
                <w:sz w:val="24"/>
              </w:rPr>
            </w:pPr>
            <w:r>
              <w:rPr>
                <w:rFonts w:hint="eastAsia" w:ascii="仿宋" w:hAnsi="仿宋" w:eastAsia="仿宋" w:cs="仿宋"/>
                <w:color w:val="auto"/>
                <w:sz w:val="24"/>
              </w:rPr>
              <w:t>100≤Y＜500</w:t>
            </w:r>
          </w:p>
        </w:tc>
        <w:tc>
          <w:tcPr>
            <w:tcW w:w="1087" w:type="dxa"/>
            <w:tcBorders>
              <w:top w:val="nil"/>
              <w:left w:val="nil"/>
              <w:bottom w:val="single" w:color="auto" w:sz="4" w:space="0"/>
              <w:right w:val="single" w:color="auto" w:sz="4" w:space="0"/>
            </w:tcBorders>
            <w:noWrap/>
            <w:vAlign w:val="center"/>
          </w:tcPr>
          <w:p w14:paraId="2840389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E2BCF8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2DFCF0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交通运输业</w:t>
            </w:r>
          </w:p>
        </w:tc>
        <w:tc>
          <w:tcPr>
            <w:tcW w:w="1803" w:type="dxa"/>
            <w:tcBorders>
              <w:top w:val="nil"/>
              <w:left w:val="nil"/>
              <w:bottom w:val="single" w:color="auto" w:sz="4" w:space="0"/>
              <w:right w:val="single" w:color="auto" w:sz="4" w:space="0"/>
            </w:tcBorders>
            <w:noWrap/>
            <w:vAlign w:val="center"/>
          </w:tcPr>
          <w:p w14:paraId="3656CE7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753D8731">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5D739AA9">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C82DDBB">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30C0F9D">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BA8BB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85D377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6569FB3">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7A4CF4A">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A0D15F7">
            <w:pPr>
              <w:contextualSpacing/>
              <w:jc w:val="center"/>
              <w:rPr>
                <w:rFonts w:hint="eastAsia" w:ascii="仿宋" w:hAnsi="仿宋" w:eastAsia="仿宋" w:cs="仿宋"/>
                <w:color w:val="auto"/>
                <w:sz w:val="24"/>
              </w:rPr>
            </w:pPr>
            <w:r>
              <w:rPr>
                <w:rFonts w:hint="eastAsia" w:ascii="仿宋" w:hAnsi="仿宋" w:eastAsia="仿宋" w:cs="仿宋"/>
                <w:color w:val="auto"/>
                <w:sz w:val="24"/>
              </w:rPr>
              <w:t>3000≤Y＜30000</w:t>
            </w:r>
          </w:p>
        </w:tc>
        <w:tc>
          <w:tcPr>
            <w:tcW w:w="1692" w:type="dxa"/>
            <w:tcBorders>
              <w:top w:val="nil"/>
              <w:left w:val="nil"/>
              <w:bottom w:val="single" w:color="auto" w:sz="4" w:space="0"/>
              <w:right w:val="single" w:color="auto" w:sz="4" w:space="0"/>
            </w:tcBorders>
            <w:noWrap/>
            <w:vAlign w:val="center"/>
          </w:tcPr>
          <w:p w14:paraId="3C3C9289">
            <w:pPr>
              <w:contextualSpacing/>
              <w:jc w:val="center"/>
              <w:rPr>
                <w:rFonts w:hint="eastAsia" w:ascii="仿宋" w:hAnsi="仿宋" w:eastAsia="仿宋" w:cs="仿宋"/>
                <w:color w:val="auto"/>
                <w:sz w:val="24"/>
              </w:rPr>
            </w:pPr>
            <w:r>
              <w:rPr>
                <w:rFonts w:hint="eastAsia" w:ascii="仿宋" w:hAnsi="仿宋" w:eastAsia="仿宋" w:cs="仿宋"/>
                <w:color w:val="auto"/>
                <w:sz w:val="24"/>
              </w:rPr>
              <w:t>200≤Y＜3000</w:t>
            </w:r>
          </w:p>
        </w:tc>
        <w:tc>
          <w:tcPr>
            <w:tcW w:w="1087" w:type="dxa"/>
            <w:tcBorders>
              <w:top w:val="nil"/>
              <w:left w:val="nil"/>
              <w:bottom w:val="single" w:color="auto" w:sz="4" w:space="0"/>
              <w:right w:val="single" w:color="auto" w:sz="4" w:space="0"/>
            </w:tcBorders>
            <w:noWrap/>
            <w:vAlign w:val="center"/>
          </w:tcPr>
          <w:p w14:paraId="68F665DC">
            <w:pPr>
              <w:contextualSpacing/>
              <w:jc w:val="center"/>
              <w:rPr>
                <w:rFonts w:hint="eastAsia" w:ascii="仿宋" w:hAnsi="仿宋" w:eastAsia="仿宋" w:cs="仿宋"/>
                <w:color w:val="auto"/>
                <w:sz w:val="24"/>
              </w:rPr>
            </w:pPr>
            <w:r>
              <w:rPr>
                <w:rFonts w:hint="eastAsia" w:ascii="仿宋" w:hAnsi="仿宋" w:eastAsia="仿宋" w:cs="仿宋"/>
                <w:color w:val="auto"/>
                <w:sz w:val="24"/>
              </w:rPr>
              <w:t>Y＜200</w:t>
            </w:r>
          </w:p>
        </w:tc>
      </w:tr>
      <w:tr w14:paraId="0E3DECB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FAA068B">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仓储业</w:t>
            </w:r>
          </w:p>
        </w:tc>
        <w:tc>
          <w:tcPr>
            <w:tcW w:w="1803" w:type="dxa"/>
            <w:tcBorders>
              <w:top w:val="nil"/>
              <w:left w:val="nil"/>
              <w:bottom w:val="single" w:color="auto" w:sz="4" w:space="0"/>
              <w:right w:val="single" w:color="auto" w:sz="4" w:space="0"/>
            </w:tcBorders>
            <w:noWrap/>
            <w:vAlign w:val="center"/>
          </w:tcPr>
          <w:p w14:paraId="144C574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B45E24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18D6E43">
            <w:pPr>
              <w:contextualSpacing/>
              <w:jc w:val="center"/>
              <w:rPr>
                <w:rFonts w:hint="eastAsia" w:ascii="仿宋" w:hAnsi="仿宋" w:eastAsia="仿宋" w:cs="仿宋"/>
                <w:color w:val="auto"/>
                <w:sz w:val="24"/>
              </w:rPr>
            </w:pPr>
            <w:r>
              <w:rPr>
                <w:rFonts w:hint="eastAsia" w:ascii="仿宋" w:hAnsi="仿宋" w:eastAsia="仿宋" w:cs="仿宋"/>
                <w:color w:val="auto"/>
                <w:sz w:val="24"/>
              </w:rPr>
              <w:t>100≤X＜200</w:t>
            </w:r>
          </w:p>
        </w:tc>
        <w:tc>
          <w:tcPr>
            <w:tcW w:w="1692" w:type="dxa"/>
            <w:tcBorders>
              <w:top w:val="nil"/>
              <w:left w:val="nil"/>
              <w:bottom w:val="single" w:color="auto" w:sz="4" w:space="0"/>
              <w:right w:val="single" w:color="auto" w:sz="4" w:space="0"/>
            </w:tcBorders>
            <w:noWrap/>
            <w:vAlign w:val="center"/>
          </w:tcPr>
          <w:p w14:paraId="5A20C8FD">
            <w:pPr>
              <w:contextualSpacing/>
              <w:jc w:val="center"/>
              <w:rPr>
                <w:rFonts w:hint="eastAsia" w:ascii="仿宋" w:hAnsi="仿宋" w:eastAsia="仿宋" w:cs="仿宋"/>
                <w:color w:val="auto"/>
                <w:sz w:val="24"/>
              </w:rPr>
            </w:pPr>
            <w:r>
              <w:rPr>
                <w:rFonts w:hint="eastAsia" w:ascii="仿宋" w:hAnsi="仿宋" w:eastAsia="仿宋" w:cs="仿宋"/>
                <w:color w:val="auto"/>
                <w:sz w:val="24"/>
              </w:rPr>
              <w:t>20≤X＜100</w:t>
            </w:r>
          </w:p>
        </w:tc>
        <w:tc>
          <w:tcPr>
            <w:tcW w:w="1087" w:type="dxa"/>
            <w:tcBorders>
              <w:top w:val="nil"/>
              <w:left w:val="nil"/>
              <w:bottom w:val="single" w:color="auto" w:sz="4" w:space="0"/>
              <w:right w:val="single" w:color="auto" w:sz="4" w:space="0"/>
            </w:tcBorders>
            <w:noWrap/>
            <w:vAlign w:val="center"/>
          </w:tcPr>
          <w:p w14:paraId="181DFA1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48D7CC8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D64F76D">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55A327D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45C596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1FC6092">
            <w:pPr>
              <w:contextualSpacing/>
              <w:jc w:val="center"/>
              <w:rPr>
                <w:rFonts w:hint="eastAsia" w:ascii="仿宋" w:hAnsi="仿宋" w:eastAsia="仿宋" w:cs="仿宋"/>
                <w:color w:val="auto"/>
                <w:sz w:val="24"/>
              </w:rPr>
            </w:pPr>
            <w:r>
              <w:rPr>
                <w:rFonts w:hint="eastAsia" w:ascii="仿宋" w:hAnsi="仿宋" w:eastAsia="仿宋" w:cs="仿宋"/>
                <w:color w:val="auto"/>
                <w:sz w:val="24"/>
              </w:rPr>
              <w:t>1000≤Y＜30000</w:t>
            </w:r>
          </w:p>
        </w:tc>
        <w:tc>
          <w:tcPr>
            <w:tcW w:w="1692" w:type="dxa"/>
            <w:tcBorders>
              <w:top w:val="nil"/>
              <w:left w:val="nil"/>
              <w:bottom w:val="single" w:color="auto" w:sz="4" w:space="0"/>
              <w:right w:val="single" w:color="auto" w:sz="4" w:space="0"/>
            </w:tcBorders>
            <w:noWrap/>
            <w:vAlign w:val="center"/>
          </w:tcPr>
          <w:p w14:paraId="69756DC2">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89CC0C1">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4BBF9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68ADCB2">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邮政业</w:t>
            </w:r>
          </w:p>
        </w:tc>
        <w:tc>
          <w:tcPr>
            <w:tcW w:w="1803" w:type="dxa"/>
            <w:tcBorders>
              <w:top w:val="nil"/>
              <w:left w:val="nil"/>
              <w:bottom w:val="single" w:color="auto" w:sz="4" w:space="0"/>
              <w:right w:val="single" w:color="auto" w:sz="4" w:space="0"/>
            </w:tcBorders>
            <w:noWrap/>
            <w:vAlign w:val="center"/>
          </w:tcPr>
          <w:p w14:paraId="08A5A93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4D16766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464B4CAD">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5E468E4C">
            <w:pPr>
              <w:contextualSpacing/>
              <w:jc w:val="center"/>
              <w:rPr>
                <w:rFonts w:hint="eastAsia" w:ascii="仿宋" w:hAnsi="仿宋" w:eastAsia="仿宋" w:cs="仿宋"/>
                <w:color w:val="auto"/>
                <w:sz w:val="24"/>
              </w:rPr>
            </w:pPr>
            <w:r>
              <w:rPr>
                <w:rFonts w:hint="eastAsia" w:ascii="仿宋" w:hAnsi="仿宋" w:eastAsia="仿宋" w:cs="仿宋"/>
                <w:color w:val="auto"/>
                <w:sz w:val="24"/>
              </w:rPr>
              <w:t>20≤X＜300</w:t>
            </w:r>
          </w:p>
        </w:tc>
        <w:tc>
          <w:tcPr>
            <w:tcW w:w="1087" w:type="dxa"/>
            <w:tcBorders>
              <w:top w:val="nil"/>
              <w:left w:val="nil"/>
              <w:bottom w:val="single" w:color="auto" w:sz="4" w:space="0"/>
              <w:right w:val="single" w:color="auto" w:sz="4" w:space="0"/>
            </w:tcBorders>
            <w:noWrap/>
            <w:vAlign w:val="center"/>
          </w:tcPr>
          <w:p w14:paraId="0E0747B6">
            <w:pPr>
              <w:contextualSpacing/>
              <w:jc w:val="center"/>
              <w:rPr>
                <w:rFonts w:hint="eastAsia" w:ascii="仿宋" w:hAnsi="仿宋" w:eastAsia="仿宋" w:cs="仿宋"/>
                <w:color w:val="auto"/>
                <w:sz w:val="24"/>
              </w:rPr>
            </w:pPr>
            <w:r>
              <w:rPr>
                <w:rFonts w:hint="eastAsia" w:ascii="仿宋" w:hAnsi="仿宋" w:eastAsia="仿宋" w:cs="仿宋"/>
                <w:color w:val="auto"/>
                <w:sz w:val="24"/>
              </w:rPr>
              <w:t>X＜20</w:t>
            </w:r>
          </w:p>
        </w:tc>
      </w:tr>
      <w:tr w14:paraId="01AB8E1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5FD07E1">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488717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248FDE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CBADF2">
            <w:pPr>
              <w:contextualSpacing/>
              <w:jc w:val="center"/>
              <w:rPr>
                <w:rFonts w:hint="eastAsia" w:ascii="仿宋" w:hAnsi="仿宋" w:eastAsia="仿宋" w:cs="仿宋"/>
                <w:color w:val="auto"/>
                <w:sz w:val="24"/>
              </w:rPr>
            </w:pPr>
            <w:r>
              <w:rPr>
                <w:rFonts w:hint="eastAsia" w:ascii="仿宋" w:hAnsi="仿宋" w:eastAsia="仿宋" w:cs="仿宋"/>
                <w:color w:val="auto"/>
                <w:sz w:val="24"/>
              </w:rPr>
              <w:t>2000≤Y＜30000</w:t>
            </w:r>
          </w:p>
        </w:tc>
        <w:tc>
          <w:tcPr>
            <w:tcW w:w="1692" w:type="dxa"/>
            <w:tcBorders>
              <w:top w:val="nil"/>
              <w:left w:val="nil"/>
              <w:bottom w:val="single" w:color="auto" w:sz="4" w:space="0"/>
              <w:right w:val="single" w:color="auto" w:sz="4" w:space="0"/>
            </w:tcBorders>
            <w:noWrap/>
            <w:vAlign w:val="center"/>
          </w:tcPr>
          <w:p w14:paraId="258BA927">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3027E6E3">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31653CC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01066E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住宿业</w:t>
            </w:r>
          </w:p>
        </w:tc>
        <w:tc>
          <w:tcPr>
            <w:tcW w:w="1803" w:type="dxa"/>
            <w:tcBorders>
              <w:top w:val="nil"/>
              <w:left w:val="nil"/>
              <w:bottom w:val="single" w:color="auto" w:sz="4" w:space="0"/>
              <w:right w:val="single" w:color="auto" w:sz="4" w:space="0"/>
            </w:tcBorders>
            <w:noWrap/>
            <w:vAlign w:val="center"/>
          </w:tcPr>
          <w:p w14:paraId="1155AB18">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7E68663">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3C93D8AC">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219DE434">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4D385D4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47A95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99FC7FB">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2950636">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42D674B2">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F33F375">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6A6BE9BA">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588F2952">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65CCC81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5A6888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餐饮业</w:t>
            </w:r>
          </w:p>
        </w:tc>
        <w:tc>
          <w:tcPr>
            <w:tcW w:w="1803" w:type="dxa"/>
            <w:tcBorders>
              <w:top w:val="nil"/>
              <w:left w:val="nil"/>
              <w:bottom w:val="single" w:color="auto" w:sz="4" w:space="0"/>
              <w:right w:val="single" w:color="auto" w:sz="4" w:space="0"/>
            </w:tcBorders>
            <w:noWrap/>
            <w:vAlign w:val="center"/>
          </w:tcPr>
          <w:p w14:paraId="326A9A7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894C58A">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0E1AB7AB">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3477C9C0">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0C0DDF63">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82EC23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D9449B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0EE44C2">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C3409C9">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17170FF">
            <w:pPr>
              <w:contextualSpacing/>
              <w:jc w:val="center"/>
              <w:rPr>
                <w:rFonts w:hint="eastAsia" w:ascii="仿宋" w:hAnsi="仿宋" w:eastAsia="仿宋" w:cs="仿宋"/>
                <w:color w:val="auto"/>
                <w:sz w:val="24"/>
              </w:rPr>
            </w:pPr>
            <w:r>
              <w:rPr>
                <w:rFonts w:hint="eastAsia" w:ascii="仿宋" w:hAnsi="仿宋" w:eastAsia="仿宋" w:cs="仿宋"/>
                <w:color w:val="auto"/>
                <w:sz w:val="24"/>
              </w:rPr>
              <w:t>2000≤Y＜10000</w:t>
            </w:r>
          </w:p>
        </w:tc>
        <w:tc>
          <w:tcPr>
            <w:tcW w:w="1692" w:type="dxa"/>
            <w:tcBorders>
              <w:top w:val="nil"/>
              <w:left w:val="nil"/>
              <w:bottom w:val="single" w:color="auto" w:sz="4" w:space="0"/>
              <w:right w:val="single" w:color="auto" w:sz="4" w:space="0"/>
            </w:tcBorders>
            <w:noWrap/>
            <w:vAlign w:val="center"/>
          </w:tcPr>
          <w:p w14:paraId="7391812C">
            <w:pPr>
              <w:contextualSpacing/>
              <w:jc w:val="center"/>
              <w:rPr>
                <w:rFonts w:hint="eastAsia" w:ascii="仿宋" w:hAnsi="仿宋" w:eastAsia="仿宋" w:cs="仿宋"/>
                <w:color w:val="auto"/>
                <w:sz w:val="24"/>
              </w:rPr>
            </w:pPr>
            <w:r>
              <w:rPr>
                <w:rFonts w:hint="eastAsia" w:ascii="仿宋" w:hAnsi="仿宋" w:eastAsia="仿宋" w:cs="仿宋"/>
                <w:color w:val="auto"/>
                <w:sz w:val="24"/>
              </w:rPr>
              <w:t>100≤Y＜2000</w:t>
            </w:r>
          </w:p>
        </w:tc>
        <w:tc>
          <w:tcPr>
            <w:tcW w:w="1087" w:type="dxa"/>
            <w:tcBorders>
              <w:top w:val="nil"/>
              <w:left w:val="nil"/>
              <w:bottom w:val="single" w:color="auto" w:sz="4" w:space="0"/>
              <w:right w:val="single" w:color="auto" w:sz="4" w:space="0"/>
            </w:tcBorders>
            <w:noWrap/>
            <w:vAlign w:val="center"/>
          </w:tcPr>
          <w:p w14:paraId="7145493E">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CB8590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75B27A8">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信息传输业</w:t>
            </w:r>
          </w:p>
        </w:tc>
        <w:tc>
          <w:tcPr>
            <w:tcW w:w="1803" w:type="dxa"/>
            <w:tcBorders>
              <w:top w:val="nil"/>
              <w:left w:val="nil"/>
              <w:bottom w:val="single" w:color="auto" w:sz="4" w:space="0"/>
              <w:right w:val="single" w:color="auto" w:sz="4" w:space="0"/>
            </w:tcBorders>
            <w:noWrap/>
            <w:vAlign w:val="center"/>
          </w:tcPr>
          <w:p w14:paraId="0226EC47">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0ABCFA4E">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367AA0">
            <w:pPr>
              <w:contextualSpacing/>
              <w:jc w:val="center"/>
              <w:rPr>
                <w:rFonts w:hint="eastAsia" w:ascii="仿宋" w:hAnsi="仿宋" w:eastAsia="仿宋" w:cs="仿宋"/>
                <w:color w:val="auto"/>
                <w:sz w:val="24"/>
              </w:rPr>
            </w:pPr>
            <w:r>
              <w:rPr>
                <w:rFonts w:hint="eastAsia" w:ascii="仿宋" w:hAnsi="仿宋" w:eastAsia="仿宋" w:cs="仿宋"/>
                <w:color w:val="auto"/>
                <w:sz w:val="24"/>
              </w:rPr>
              <w:t>100≤X＜2000</w:t>
            </w:r>
          </w:p>
        </w:tc>
        <w:tc>
          <w:tcPr>
            <w:tcW w:w="1692" w:type="dxa"/>
            <w:tcBorders>
              <w:top w:val="nil"/>
              <w:left w:val="nil"/>
              <w:bottom w:val="single" w:color="auto" w:sz="4" w:space="0"/>
              <w:right w:val="single" w:color="auto" w:sz="4" w:space="0"/>
            </w:tcBorders>
            <w:noWrap/>
            <w:vAlign w:val="center"/>
          </w:tcPr>
          <w:p w14:paraId="60DFCD6A">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71863C1">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718092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507966A">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44720E5">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0464811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5AE76346">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1000≤Y＜100000</w:t>
            </w:r>
          </w:p>
        </w:tc>
        <w:tc>
          <w:tcPr>
            <w:tcW w:w="1692" w:type="dxa"/>
            <w:tcBorders>
              <w:top w:val="nil"/>
              <w:left w:val="nil"/>
              <w:bottom w:val="single" w:color="auto" w:sz="4" w:space="0"/>
              <w:right w:val="single" w:color="auto" w:sz="4" w:space="0"/>
            </w:tcBorders>
            <w:noWrap/>
            <w:vAlign w:val="center"/>
          </w:tcPr>
          <w:p w14:paraId="64B70EFE">
            <w:pPr>
              <w:contextualSpacing/>
              <w:jc w:val="center"/>
              <w:rPr>
                <w:rFonts w:hint="eastAsia" w:ascii="仿宋" w:hAnsi="仿宋" w:eastAsia="仿宋" w:cs="仿宋"/>
                <w:color w:val="auto"/>
                <w:sz w:val="24"/>
              </w:rPr>
            </w:pPr>
            <w:r>
              <w:rPr>
                <w:rFonts w:hint="eastAsia" w:ascii="仿宋" w:hAnsi="仿宋" w:eastAsia="仿宋" w:cs="仿宋"/>
                <w:color w:val="auto"/>
                <w:sz w:val="24"/>
              </w:rPr>
              <w:t>100≤Y＜1000</w:t>
            </w:r>
          </w:p>
        </w:tc>
        <w:tc>
          <w:tcPr>
            <w:tcW w:w="1087" w:type="dxa"/>
            <w:tcBorders>
              <w:top w:val="nil"/>
              <w:left w:val="nil"/>
              <w:bottom w:val="single" w:color="auto" w:sz="4" w:space="0"/>
              <w:right w:val="single" w:color="auto" w:sz="4" w:space="0"/>
            </w:tcBorders>
            <w:noWrap/>
            <w:vAlign w:val="center"/>
          </w:tcPr>
          <w:p w14:paraId="7BBAC4BF">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5529671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9897EBF">
            <w:pPr>
              <w:contextualSpacing/>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软件和信息技术服务业</w:t>
            </w:r>
          </w:p>
        </w:tc>
        <w:tc>
          <w:tcPr>
            <w:tcW w:w="1803" w:type="dxa"/>
            <w:tcBorders>
              <w:top w:val="nil"/>
              <w:left w:val="nil"/>
              <w:bottom w:val="single" w:color="auto" w:sz="4" w:space="0"/>
              <w:right w:val="single" w:color="auto" w:sz="4" w:space="0"/>
            </w:tcBorders>
            <w:noWrap/>
            <w:vAlign w:val="center"/>
          </w:tcPr>
          <w:p w14:paraId="47F59AD4">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15B47CE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1074C58E">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635D587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344C129C">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2358B99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1B75B63">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077B7D4">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2DD7AB90">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796BB25A">
            <w:pPr>
              <w:contextualSpacing/>
              <w:jc w:val="center"/>
              <w:rPr>
                <w:rFonts w:hint="eastAsia" w:ascii="仿宋" w:hAnsi="仿宋" w:eastAsia="仿宋" w:cs="仿宋"/>
                <w:color w:val="auto"/>
                <w:sz w:val="24"/>
              </w:rPr>
            </w:pPr>
            <w:r>
              <w:rPr>
                <w:rFonts w:hint="eastAsia" w:ascii="仿宋" w:hAnsi="仿宋" w:eastAsia="仿宋" w:cs="仿宋"/>
                <w:color w:val="auto"/>
                <w:sz w:val="24"/>
              </w:rPr>
              <w:t>1000≤Y＜10000</w:t>
            </w:r>
          </w:p>
        </w:tc>
        <w:tc>
          <w:tcPr>
            <w:tcW w:w="1692" w:type="dxa"/>
            <w:tcBorders>
              <w:top w:val="nil"/>
              <w:left w:val="nil"/>
              <w:bottom w:val="single" w:color="auto" w:sz="4" w:space="0"/>
              <w:right w:val="single" w:color="auto" w:sz="4" w:space="0"/>
            </w:tcBorders>
            <w:noWrap/>
            <w:vAlign w:val="center"/>
          </w:tcPr>
          <w:p w14:paraId="261F0E9F">
            <w:pPr>
              <w:contextualSpacing/>
              <w:jc w:val="center"/>
              <w:rPr>
                <w:rFonts w:hint="eastAsia" w:ascii="仿宋" w:hAnsi="仿宋" w:eastAsia="仿宋" w:cs="仿宋"/>
                <w:color w:val="auto"/>
                <w:sz w:val="24"/>
              </w:rPr>
            </w:pPr>
            <w:r>
              <w:rPr>
                <w:rFonts w:hint="eastAsia" w:ascii="仿宋" w:hAnsi="仿宋" w:eastAsia="仿宋" w:cs="仿宋"/>
                <w:color w:val="auto"/>
                <w:sz w:val="24"/>
              </w:rPr>
              <w:t>50≤Y＜1000</w:t>
            </w:r>
          </w:p>
        </w:tc>
        <w:tc>
          <w:tcPr>
            <w:tcW w:w="1087" w:type="dxa"/>
            <w:tcBorders>
              <w:top w:val="nil"/>
              <w:left w:val="nil"/>
              <w:bottom w:val="single" w:color="auto" w:sz="4" w:space="0"/>
              <w:right w:val="single" w:color="auto" w:sz="4" w:space="0"/>
            </w:tcBorders>
            <w:noWrap/>
            <w:vAlign w:val="center"/>
          </w:tcPr>
          <w:p w14:paraId="17882170">
            <w:pPr>
              <w:contextualSpacing/>
              <w:jc w:val="center"/>
              <w:rPr>
                <w:rFonts w:hint="eastAsia" w:ascii="仿宋" w:hAnsi="仿宋" w:eastAsia="仿宋" w:cs="仿宋"/>
                <w:color w:val="auto"/>
                <w:sz w:val="24"/>
              </w:rPr>
            </w:pPr>
            <w:r>
              <w:rPr>
                <w:rFonts w:hint="eastAsia" w:ascii="仿宋" w:hAnsi="仿宋" w:eastAsia="仿宋" w:cs="仿宋"/>
                <w:color w:val="auto"/>
                <w:sz w:val="24"/>
              </w:rPr>
              <w:t>Y＜50</w:t>
            </w:r>
          </w:p>
        </w:tc>
      </w:tr>
      <w:tr w14:paraId="05FAC74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F26E1E">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房地产开发经营</w:t>
            </w:r>
          </w:p>
        </w:tc>
        <w:tc>
          <w:tcPr>
            <w:tcW w:w="1803" w:type="dxa"/>
            <w:tcBorders>
              <w:top w:val="nil"/>
              <w:left w:val="nil"/>
              <w:bottom w:val="single" w:color="auto" w:sz="4" w:space="0"/>
              <w:right w:val="single" w:color="auto" w:sz="4" w:space="0"/>
            </w:tcBorders>
            <w:noWrap/>
            <w:vAlign w:val="center"/>
          </w:tcPr>
          <w:p w14:paraId="652F703F">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3BE2F68B">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787DF5A">
            <w:pPr>
              <w:contextualSpacing/>
              <w:jc w:val="center"/>
              <w:rPr>
                <w:rFonts w:hint="eastAsia" w:ascii="仿宋" w:hAnsi="仿宋" w:eastAsia="仿宋" w:cs="仿宋"/>
                <w:color w:val="auto"/>
                <w:sz w:val="24"/>
              </w:rPr>
            </w:pPr>
            <w:r>
              <w:rPr>
                <w:rFonts w:hint="eastAsia" w:ascii="仿宋" w:hAnsi="仿宋" w:eastAsia="仿宋" w:cs="仿宋"/>
                <w:color w:val="auto"/>
                <w:sz w:val="24"/>
              </w:rPr>
              <w:t>1000≤Y＜200000</w:t>
            </w:r>
          </w:p>
        </w:tc>
        <w:tc>
          <w:tcPr>
            <w:tcW w:w="1692" w:type="dxa"/>
            <w:tcBorders>
              <w:top w:val="nil"/>
              <w:left w:val="nil"/>
              <w:bottom w:val="single" w:color="auto" w:sz="4" w:space="0"/>
              <w:right w:val="single" w:color="auto" w:sz="4" w:space="0"/>
            </w:tcBorders>
            <w:noWrap/>
            <w:vAlign w:val="center"/>
          </w:tcPr>
          <w:p w14:paraId="68244510">
            <w:pPr>
              <w:contextualSpacing/>
              <w:jc w:val="center"/>
              <w:rPr>
                <w:rFonts w:hint="eastAsia" w:ascii="仿宋" w:hAnsi="仿宋" w:eastAsia="仿宋" w:cs="仿宋"/>
                <w:color w:val="auto"/>
                <w:sz w:val="24"/>
              </w:rPr>
            </w:pPr>
            <w:r>
              <w:rPr>
                <w:rFonts w:hint="eastAsia" w:ascii="仿宋" w:hAnsi="仿宋" w:eastAsia="仿宋" w:cs="仿宋"/>
                <w:color w:val="auto"/>
                <w:sz w:val="24"/>
              </w:rPr>
              <w:t>100≤X＜1000</w:t>
            </w:r>
          </w:p>
        </w:tc>
        <w:tc>
          <w:tcPr>
            <w:tcW w:w="1087" w:type="dxa"/>
            <w:tcBorders>
              <w:top w:val="nil"/>
              <w:left w:val="nil"/>
              <w:bottom w:val="single" w:color="auto" w:sz="4" w:space="0"/>
              <w:right w:val="single" w:color="auto" w:sz="4" w:space="0"/>
            </w:tcBorders>
            <w:noWrap/>
            <w:vAlign w:val="center"/>
          </w:tcPr>
          <w:p w14:paraId="4F518472">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F66E06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3BD30C9">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46C929DA">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7D276448">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227D4540">
            <w:pPr>
              <w:contextualSpacing/>
              <w:jc w:val="center"/>
              <w:rPr>
                <w:rFonts w:hint="eastAsia" w:ascii="仿宋" w:hAnsi="仿宋" w:eastAsia="仿宋" w:cs="仿宋"/>
                <w:color w:val="auto"/>
                <w:sz w:val="24"/>
              </w:rPr>
            </w:pPr>
            <w:r>
              <w:rPr>
                <w:rFonts w:hint="eastAsia" w:ascii="仿宋" w:hAnsi="仿宋" w:eastAsia="仿宋" w:cs="仿宋"/>
                <w:color w:val="auto"/>
                <w:sz w:val="24"/>
              </w:rPr>
              <w:t>5000≤Z＜10000</w:t>
            </w:r>
          </w:p>
        </w:tc>
        <w:tc>
          <w:tcPr>
            <w:tcW w:w="1692" w:type="dxa"/>
            <w:tcBorders>
              <w:top w:val="nil"/>
              <w:left w:val="nil"/>
              <w:bottom w:val="single" w:color="auto" w:sz="4" w:space="0"/>
              <w:right w:val="single" w:color="auto" w:sz="4" w:space="0"/>
            </w:tcBorders>
            <w:noWrap/>
            <w:vAlign w:val="center"/>
          </w:tcPr>
          <w:p w14:paraId="0C3645A1">
            <w:pPr>
              <w:contextualSpacing/>
              <w:jc w:val="center"/>
              <w:rPr>
                <w:rFonts w:hint="eastAsia" w:ascii="仿宋" w:hAnsi="仿宋" w:eastAsia="仿宋" w:cs="仿宋"/>
                <w:color w:val="auto"/>
                <w:sz w:val="24"/>
              </w:rPr>
            </w:pPr>
            <w:r>
              <w:rPr>
                <w:rFonts w:hint="eastAsia" w:ascii="仿宋" w:hAnsi="仿宋" w:eastAsia="仿宋" w:cs="仿宋"/>
                <w:color w:val="auto"/>
                <w:sz w:val="24"/>
              </w:rPr>
              <w:t>2000≤Y＜5000</w:t>
            </w:r>
          </w:p>
        </w:tc>
        <w:tc>
          <w:tcPr>
            <w:tcW w:w="1087" w:type="dxa"/>
            <w:tcBorders>
              <w:top w:val="nil"/>
              <w:left w:val="nil"/>
              <w:bottom w:val="single" w:color="auto" w:sz="4" w:space="0"/>
              <w:right w:val="single" w:color="auto" w:sz="4" w:space="0"/>
            </w:tcBorders>
            <w:noWrap/>
            <w:vAlign w:val="center"/>
          </w:tcPr>
          <w:p w14:paraId="01E0A0F1">
            <w:pPr>
              <w:contextualSpacing/>
              <w:jc w:val="center"/>
              <w:rPr>
                <w:rFonts w:hint="eastAsia" w:ascii="仿宋" w:hAnsi="仿宋" w:eastAsia="仿宋" w:cs="仿宋"/>
                <w:color w:val="auto"/>
                <w:sz w:val="24"/>
              </w:rPr>
            </w:pPr>
            <w:r>
              <w:rPr>
                <w:rFonts w:hint="eastAsia" w:ascii="仿宋" w:hAnsi="仿宋" w:eastAsia="仿宋" w:cs="仿宋"/>
                <w:color w:val="auto"/>
                <w:sz w:val="24"/>
              </w:rPr>
              <w:t>Y＜2000</w:t>
            </w:r>
          </w:p>
        </w:tc>
      </w:tr>
      <w:tr w14:paraId="39D4E57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8E71065">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物业管理</w:t>
            </w:r>
          </w:p>
        </w:tc>
        <w:tc>
          <w:tcPr>
            <w:tcW w:w="1803" w:type="dxa"/>
            <w:tcBorders>
              <w:top w:val="nil"/>
              <w:left w:val="nil"/>
              <w:bottom w:val="single" w:color="auto" w:sz="4" w:space="0"/>
              <w:right w:val="single" w:color="auto" w:sz="4" w:space="0"/>
            </w:tcBorders>
            <w:noWrap/>
            <w:vAlign w:val="center"/>
          </w:tcPr>
          <w:p w14:paraId="7258CDC6">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93903F4">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622591A4">
            <w:pPr>
              <w:contextualSpacing/>
              <w:jc w:val="center"/>
              <w:rPr>
                <w:rFonts w:hint="eastAsia" w:ascii="仿宋" w:hAnsi="仿宋" w:eastAsia="仿宋" w:cs="仿宋"/>
                <w:color w:val="auto"/>
                <w:sz w:val="24"/>
              </w:rPr>
            </w:pPr>
            <w:r>
              <w:rPr>
                <w:rFonts w:hint="eastAsia" w:ascii="仿宋" w:hAnsi="仿宋" w:eastAsia="仿宋" w:cs="仿宋"/>
                <w:color w:val="auto"/>
                <w:sz w:val="24"/>
              </w:rPr>
              <w:t>300≤X＜1000</w:t>
            </w:r>
          </w:p>
        </w:tc>
        <w:tc>
          <w:tcPr>
            <w:tcW w:w="1692" w:type="dxa"/>
            <w:tcBorders>
              <w:top w:val="nil"/>
              <w:left w:val="nil"/>
              <w:bottom w:val="single" w:color="auto" w:sz="4" w:space="0"/>
              <w:right w:val="single" w:color="auto" w:sz="4" w:space="0"/>
            </w:tcBorders>
            <w:noWrap/>
            <w:vAlign w:val="center"/>
          </w:tcPr>
          <w:p w14:paraId="28980726">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087" w:type="dxa"/>
            <w:tcBorders>
              <w:top w:val="nil"/>
              <w:left w:val="nil"/>
              <w:bottom w:val="single" w:color="auto" w:sz="4" w:space="0"/>
              <w:right w:val="single" w:color="auto" w:sz="4" w:space="0"/>
            </w:tcBorders>
            <w:noWrap/>
            <w:vAlign w:val="center"/>
          </w:tcPr>
          <w:p w14:paraId="3815FD6C">
            <w:pPr>
              <w:contextualSpacing/>
              <w:jc w:val="center"/>
              <w:rPr>
                <w:rFonts w:hint="eastAsia" w:ascii="仿宋" w:hAnsi="仿宋" w:eastAsia="仿宋" w:cs="仿宋"/>
                <w:color w:val="auto"/>
                <w:sz w:val="24"/>
              </w:rPr>
            </w:pPr>
            <w:r>
              <w:rPr>
                <w:rFonts w:hint="eastAsia" w:ascii="仿宋" w:hAnsi="仿宋" w:eastAsia="仿宋" w:cs="仿宋"/>
                <w:color w:val="auto"/>
                <w:sz w:val="24"/>
              </w:rPr>
              <w:t>X＜100</w:t>
            </w:r>
          </w:p>
        </w:tc>
      </w:tr>
      <w:tr w14:paraId="0EB8A9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D751DB2">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1151C22C">
            <w:pPr>
              <w:contextualSpacing/>
              <w:jc w:val="center"/>
              <w:rPr>
                <w:rFonts w:hint="eastAsia" w:ascii="仿宋" w:hAnsi="仿宋" w:eastAsia="仿宋" w:cs="仿宋"/>
                <w:color w:val="auto"/>
                <w:sz w:val="24"/>
              </w:rPr>
            </w:pPr>
            <w:r>
              <w:rPr>
                <w:rFonts w:hint="eastAsia" w:ascii="仿宋" w:hAnsi="仿宋" w:eastAsia="仿宋" w:cs="仿宋"/>
                <w:color w:val="auto"/>
                <w:sz w:val="24"/>
              </w:rPr>
              <w:t>营业收入（Y）</w:t>
            </w:r>
          </w:p>
        </w:tc>
        <w:tc>
          <w:tcPr>
            <w:tcW w:w="1323" w:type="dxa"/>
            <w:tcBorders>
              <w:top w:val="nil"/>
              <w:left w:val="nil"/>
              <w:bottom w:val="single" w:color="auto" w:sz="4" w:space="0"/>
              <w:right w:val="single" w:color="auto" w:sz="4" w:space="0"/>
            </w:tcBorders>
            <w:noWrap/>
            <w:vAlign w:val="center"/>
          </w:tcPr>
          <w:p w14:paraId="1315AF33">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31A1CED9">
            <w:pPr>
              <w:contextualSpacing/>
              <w:jc w:val="center"/>
              <w:rPr>
                <w:rFonts w:hint="eastAsia" w:ascii="仿宋" w:hAnsi="仿宋" w:eastAsia="仿宋" w:cs="仿宋"/>
                <w:color w:val="auto"/>
                <w:sz w:val="24"/>
              </w:rPr>
            </w:pPr>
            <w:r>
              <w:rPr>
                <w:rFonts w:hint="eastAsia" w:ascii="仿宋" w:hAnsi="仿宋" w:eastAsia="仿宋" w:cs="仿宋"/>
                <w:color w:val="auto"/>
                <w:sz w:val="24"/>
              </w:rPr>
              <w:t>1000≤Y＜5000</w:t>
            </w:r>
          </w:p>
        </w:tc>
        <w:tc>
          <w:tcPr>
            <w:tcW w:w="1692" w:type="dxa"/>
            <w:tcBorders>
              <w:top w:val="nil"/>
              <w:left w:val="nil"/>
              <w:bottom w:val="single" w:color="auto" w:sz="4" w:space="0"/>
              <w:right w:val="single" w:color="auto" w:sz="4" w:space="0"/>
            </w:tcBorders>
            <w:noWrap/>
            <w:vAlign w:val="center"/>
          </w:tcPr>
          <w:p w14:paraId="49654BC1">
            <w:pPr>
              <w:contextualSpacing/>
              <w:jc w:val="center"/>
              <w:rPr>
                <w:rFonts w:hint="eastAsia" w:ascii="仿宋" w:hAnsi="仿宋" w:eastAsia="仿宋" w:cs="仿宋"/>
                <w:color w:val="auto"/>
                <w:sz w:val="24"/>
              </w:rPr>
            </w:pPr>
            <w:r>
              <w:rPr>
                <w:rFonts w:hint="eastAsia" w:ascii="仿宋" w:hAnsi="仿宋" w:eastAsia="仿宋" w:cs="仿宋"/>
                <w:color w:val="auto"/>
                <w:sz w:val="24"/>
              </w:rPr>
              <w:t>500≤Y＜1000</w:t>
            </w:r>
          </w:p>
        </w:tc>
        <w:tc>
          <w:tcPr>
            <w:tcW w:w="1087" w:type="dxa"/>
            <w:tcBorders>
              <w:top w:val="nil"/>
              <w:left w:val="nil"/>
              <w:bottom w:val="single" w:color="auto" w:sz="4" w:space="0"/>
              <w:right w:val="single" w:color="auto" w:sz="4" w:space="0"/>
            </w:tcBorders>
            <w:noWrap/>
            <w:vAlign w:val="center"/>
          </w:tcPr>
          <w:p w14:paraId="23CE5386">
            <w:pPr>
              <w:contextualSpacing/>
              <w:jc w:val="center"/>
              <w:rPr>
                <w:rFonts w:hint="eastAsia" w:ascii="仿宋" w:hAnsi="仿宋" w:eastAsia="仿宋" w:cs="仿宋"/>
                <w:color w:val="auto"/>
                <w:sz w:val="24"/>
              </w:rPr>
            </w:pPr>
            <w:r>
              <w:rPr>
                <w:rFonts w:hint="eastAsia" w:ascii="仿宋" w:hAnsi="仿宋" w:eastAsia="仿宋" w:cs="仿宋"/>
                <w:color w:val="auto"/>
                <w:sz w:val="24"/>
              </w:rPr>
              <w:t>Y＜500</w:t>
            </w:r>
          </w:p>
        </w:tc>
      </w:tr>
      <w:tr w14:paraId="27C124F6">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6EE6C813">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租赁和商务服务业</w:t>
            </w:r>
          </w:p>
        </w:tc>
        <w:tc>
          <w:tcPr>
            <w:tcW w:w="1803" w:type="dxa"/>
            <w:tcBorders>
              <w:top w:val="nil"/>
              <w:left w:val="nil"/>
              <w:bottom w:val="single" w:color="auto" w:sz="4" w:space="0"/>
              <w:right w:val="single" w:color="auto" w:sz="4" w:space="0"/>
            </w:tcBorders>
            <w:noWrap/>
            <w:vAlign w:val="center"/>
          </w:tcPr>
          <w:p w14:paraId="4493D14E">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3F39E5F9">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2E9C30C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4F51D8E8">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174ED642">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r w14:paraId="77F46C3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B0315AF">
            <w:pPr>
              <w:contextualSpacing/>
              <w:jc w:val="center"/>
              <w:rPr>
                <w:rFonts w:hint="eastAsia" w:ascii="仿宋" w:hAnsi="仿宋" w:eastAsia="仿宋" w:cs="仿宋"/>
                <w:b/>
                <w:bCs/>
                <w:color w:val="auto"/>
                <w:sz w:val="24"/>
              </w:rPr>
            </w:pPr>
          </w:p>
        </w:tc>
        <w:tc>
          <w:tcPr>
            <w:tcW w:w="1803" w:type="dxa"/>
            <w:tcBorders>
              <w:top w:val="nil"/>
              <w:left w:val="nil"/>
              <w:bottom w:val="single" w:color="auto" w:sz="4" w:space="0"/>
              <w:right w:val="single" w:color="auto" w:sz="4" w:space="0"/>
            </w:tcBorders>
            <w:noWrap/>
            <w:vAlign w:val="center"/>
          </w:tcPr>
          <w:p w14:paraId="332C40B2">
            <w:pPr>
              <w:contextualSpacing/>
              <w:jc w:val="center"/>
              <w:rPr>
                <w:rFonts w:hint="eastAsia" w:ascii="仿宋" w:hAnsi="仿宋" w:eastAsia="仿宋" w:cs="仿宋"/>
                <w:color w:val="auto"/>
                <w:sz w:val="24"/>
              </w:rPr>
            </w:pPr>
            <w:r>
              <w:rPr>
                <w:rFonts w:hint="eastAsia" w:ascii="仿宋" w:hAnsi="仿宋" w:eastAsia="仿宋" w:cs="仿宋"/>
                <w:color w:val="auto"/>
                <w:sz w:val="24"/>
              </w:rPr>
              <w:t>资产总额（Z）</w:t>
            </w:r>
          </w:p>
        </w:tc>
        <w:tc>
          <w:tcPr>
            <w:tcW w:w="1323" w:type="dxa"/>
            <w:tcBorders>
              <w:top w:val="nil"/>
              <w:left w:val="nil"/>
              <w:bottom w:val="single" w:color="auto" w:sz="4" w:space="0"/>
              <w:right w:val="single" w:color="auto" w:sz="4" w:space="0"/>
            </w:tcBorders>
            <w:noWrap/>
            <w:vAlign w:val="center"/>
          </w:tcPr>
          <w:p w14:paraId="2217CE6F">
            <w:pPr>
              <w:contextualSpacing/>
              <w:jc w:val="center"/>
              <w:rPr>
                <w:rFonts w:hint="eastAsia"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noWrap/>
            <w:vAlign w:val="center"/>
          </w:tcPr>
          <w:p w14:paraId="47899319">
            <w:pPr>
              <w:contextualSpacing/>
              <w:jc w:val="center"/>
              <w:rPr>
                <w:rFonts w:hint="eastAsia" w:ascii="仿宋" w:hAnsi="仿宋" w:eastAsia="仿宋" w:cs="仿宋"/>
                <w:color w:val="auto"/>
                <w:sz w:val="24"/>
              </w:rPr>
            </w:pPr>
            <w:r>
              <w:rPr>
                <w:rFonts w:hint="eastAsia" w:ascii="仿宋" w:hAnsi="仿宋" w:eastAsia="仿宋" w:cs="仿宋"/>
                <w:color w:val="auto"/>
                <w:sz w:val="24"/>
              </w:rPr>
              <w:t>8000≤Z＜120000</w:t>
            </w:r>
          </w:p>
        </w:tc>
        <w:tc>
          <w:tcPr>
            <w:tcW w:w="1692" w:type="dxa"/>
            <w:tcBorders>
              <w:top w:val="nil"/>
              <w:left w:val="nil"/>
              <w:bottom w:val="single" w:color="auto" w:sz="4" w:space="0"/>
              <w:right w:val="single" w:color="auto" w:sz="4" w:space="0"/>
            </w:tcBorders>
            <w:noWrap/>
            <w:vAlign w:val="center"/>
          </w:tcPr>
          <w:p w14:paraId="69236416">
            <w:pPr>
              <w:contextualSpacing/>
              <w:jc w:val="center"/>
              <w:rPr>
                <w:rFonts w:hint="eastAsia" w:ascii="仿宋" w:hAnsi="仿宋" w:eastAsia="仿宋" w:cs="仿宋"/>
                <w:color w:val="auto"/>
                <w:sz w:val="24"/>
              </w:rPr>
            </w:pPr>
            <w:r>
              <w:rPr>
                <w:rFonts w:hint="eastAsia" w:ascii="仿宋" w:hAnsi="仿宋" w:eastAsia="仿宋" w:cs="仿宋"/>
                <w:color w:val="auto"/>
                <w:sz w:val="24"/>
              </w:rPr>
              <w:t>100≤Z＜8000</w:t>
            </w:r>
          </w:p>
        </w:tc>
        <w:tc>
          <w:tcPr>
            <w:tcW w:w="1087" w:type="dxa"/>
            <w:tcBorders>
              <w:top w:val="nil"/>
              <w:left w:val="nil"/>
              <w:bottom w:val="single" w:color="auto" w:sz="4" w:space="0"/>
              <w:right w:val="single" w:color="auto" w:sz="4" w:space="0"/>
            </w:tcBorders>
            <w:noWrap/>
            <w:vAlign w:val="center"/>
          </w:tcPr>
          <w:p w14:paraId="204B560D">
            <w:pPr>
              <w:contextualSpacing/>
              <w:jc w:val="center"/>
              <w:rPr>
                <w:rFonts w:hint="eastAsia" w:ascii="仿宋" w:hAnsi="仿宋" w:eastAsia="仿宋" w:cs="仿宋"/>
                <w:color w:val="auto"/>
                <w:sz w:val="24"/>
              </w:rPr>
            </w:pPr>
            <w:r>
              <w:rPr>
                <w:rFonts w:hint="eastAsia" w:ascii="仿宋" w:hAnsi="仿宋" w:eastAsia="仿宋" w:cs="仿宋"/>
                <w:color w:val="auto"/>
                <w:sz w:val="24"/>
              </w:rPr>
              <w:t>Y＜100</w:t>
            </w:r>
          </w:p>
        </w:tc>
      </w:tr>
      <w:tr w14:paraId="163E045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75EE120F">
            <w:pPr>
              <w:contextualSpacing/>
              <w:jc w:val="center"/>
              <w:rPr>
                <w:rFonts w:hint="eastAsia" w:ascii="仿宋" w:hAnsi="仿宋" w:eastAsia="仿宋" w:cs="仿宋"/>
                <w:b/>
                <w:bCs/>
                <w:color w:val="auto"/>
                <w:sz w:val="24"/>
              </w:rPr>
            </w:pPr>
            <w:r>
              <w:rPr>
                <w:rFonts w:hint="eastAsia" w:ascii="仿宋" w:hAnsi="仿宋" w:eastAsia="仿宋" w:cs="仿宋"/>
                <w:b/>
                <w:bCs/>
                <w:color w:val="auto"/>
                <w:sz w:val="24"/>
              </w:rPr>
              <w:t>其他未列明行业</w:t>
            </w:r>
          </w:p>
        </w:tc>
        <w:tc>
          <w:tcPr>
            <w:tcW w:w="1803" w:type="dxa"/>
            <w:tcBorders>
              <w:top w:val="nil"/>
              <w:left w:val="nil"/>
              <w:bottom w:val="single" w:color="auto" w:sz="4" w:space="0"/>
              <w:right w:val="single" w:color="auto" w:sz="4" w:space="0"/>
            </w:tcBorders>
            <w:noWrap/>
            <w:vAlign w:val="center"/>
          </w:tcPr>
          <w:p w14:paraId="7707BD31">
            <w:pPr>
              <w:contextualSpacing/>
              <w:jc w:val="center"/>
              <w:rPr>
                <w:rFonts w:hint="eastAsia" w:ascii="仿宋" w:hAnsi="仿宋" w:eastAsia="仿宋" w:cs="仿宋"/>
                <w:color w:val="auto"/>
                <w:sz w:val="24"/>
              </w:rPr>
            </w:pPr>
            <w:r>
              <w:rPr>
                <w:rFonts w:hint="eastAsia" w:ascii="仿宋" w:hAnsi="仿宋" w:eastAsia="仿宋" w:cs="仿宋"/>
                <w:color w:val="auto"/>
                <w:sz w:val="24"/>
              </w:rPr>
              <w:t>从业人员（X）</w:t>
            </w:r>
          </w:p>
        </w:tc>
        <w:tc>
          <w:tcPr>
            <w:tcW w:w="1323" w:type="dxa"/>
            <w:tcBorders>
              <w:top w:val="nil"/>
              <w:left w:val="nil"/>
              <w:bottom w:val="single" w:color="auto" w:sz="4" w:space="0"/>
              <w:right w:val="single" w:color="auto" w:sz="4" w:space="0"/>
            </w:tcBorders>
            <w:noWrap/>
            <w:vAlign w:val="center"/>
          </w:tcPr>
          <w:p w14:paraId="6616BFD8">
            <w:pPr>
              <w:contextualSpacing/>
              <w:jc w:val="center"/>
              <w:rPr>
                <w:rFonts w:hint="eastAsia"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noWrap/>
            <w:vAlign w:val="center"/>
          </w:tcPr>
          <w:p w14:paraId="7F97EF74">
            <w:pPr>
              <w:contextualSpacing/>
              <w:jc w:val="center"/>
              <w:rPr>
                <w:rFonts w:hint="eastAsia" w:ascii="仿宋" w:hAnsi="仿宋" w:eastAsia="仿宋" w:cs="仿宋"/>
                <w:color w:val="auto"/>
                <w:sz w:val="24"/>
              </w:rPr>
            </w:pPr>
            <w:r>
              <w:rPr>
                <w:rFonts w:hint="eastAsia" w:ascii="仿宋" w:hAnsi="仿宋" w:eastAsia="仿宋" w:cs="仿宋"/>
                <w:color w:val="auto"/>
                <w:sz w:val="24"/>
              </w:rPr>
              <w:t>100≤X＜300</w:t>
            </w:r>
          </w:p>
        </w:tc>
        <w:tc>
          <w:tcPr>
            <w:tcW w:w="1692" w:type="dxa"/>
            <w:tcBorders>
              <w:top w:val="nil"/>
              <w:left w:val="nil"/>
              <w:bottom w:val="single" w:color="auto" w:sz="4" w:space="0"/>
              <w:right w:val="single" w:color="auto" w:sz="4" w:space="0"/>
            </w:tcBorders>
            <w:noWrap/>
            <w:vAlign w:val="center"/>
          </w:tcPr>
          <w:p w14:paraId="528853FD">
            <w:pPr>
              <w:contextualSpacing/>
              <w:jc w:val="center"/>
              <w:rPr>
                <w:rFonts w:hint="eastAsia" w:ascii="仿宋" w:hAnsi="仿宋" w:eastAsia="仿宋" w:cs="仿宋"/>
                <w:color w:val="auto"/>
                <w:sz w:val="24"/>
              </w:rPr>
            </w:pPr>
            <w:r>
              <w:rPr>
                <w:rFonts w:hint="eastAsia" w:ascii="仿宋" w:hAnsi="仿宋" w:eastAsia="仿宋" w:cs="仿宋"/>
                <w:color w:val="auto"/>
                <w:sz w:val="24"/>
              </w:rPr>
              <w:t>10≤X＜100</w:t>
            </w:r>
          </w:p>
        </w:tc>
        <w:tc>
          <w:tcPr>
            <w:tcW w:w="1087" w:type="dxa"/>
            <w:tcBorders>
              <w:top w:val="nil"/>
              <w:left w:val="nil"/>
              <w:bottom w:val="single" w:color="auto" w:sz="4" w:space="0"/>
              <w:right w:val="single" w:color="auto" w:sz="4" w:space="0"/>
            </w:tcBorders>
            <w:noWrap/>
            <w:vAlign w:val="center"/>
          </w:tcPr>
          <w:p w14:paraId="2E46E3E7">
            <w:pPr>
              <w:contextualSpacing/>
              <w:jc w:val="center"/>
              <w:rPr>
                <w:rFonts w:hint="eastAsia" w:ascii="仿宋" w:hAnsi="仿宋" w:eastAsia="仿宋" w:cs="仿宋"/>
                <w:color w:val="auto"/>
                <w:sz w:val="24"/>
              </w:rPr>
            </w:pPr>
            <w:r>
              <w:rPr>
                <w:rFonts w:hint="eastAsia" w:ascii="仿宋" w:hAnsi="仿宋" w:eastAsia="仿宋" w:cs="仿宋"/>
                <w:color w:val="auto"/>
                <w:sz w:val="24"/>
              </w:rPr>
              <w:t>X＜10</w:t>
            </w:r>
          </w:p>
        </w:tc>
      </w:tr>
    </w:tbl>
    <w:p w14:paraId="7CA2D71F">
      <w:pPr>
        <w:spacing w:line="460" w:lineRule="exact"/>
        <w:ind w:firstLine="482"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b/>
          <w:bCs/>
          <w:color w:val="auto"/>
          <w:sz w:val="24"/>
          <w:shd w:val="clear" w:color="auto" w:fill="FFFFFF"/>
          <w:lang w:eastAsia="zh-CN"/>
        </w:rPr>
        <w:t>说明：</w:t>
      </w:r>
      <w:r>
        <w:rPr>
          <w:rFonts w:hint="eastAsia" w:ascii="仿宋" w:hAnsi="仿宋" w:eastAsia="仿宋" w:cs="仿宋"/>
          <w:color w:val="auto"/>
          <w:sz w:val="24"/>
          <w:shd w:val="clear" w:color="auto" w:fill="FFFFFF"/>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35A921EA">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本招标文件所称中小企业，是指在中华人民共和国境内依法设立，依据国务院批准的</w:t>
      </w:r>
    </w:p>
    <w:p w14:paraId="5C6F0909">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5F37DF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（1）在货物采购项目中，货物由中小企业制造，即货物由中小企业生产且使用该中小企业商号或者注册商标，不对其中涉及的工程承建商和服务的承接商作出要求；</w:t>
      </w:r>
    </w:p>
    <w:p w14:paraId="3CB2154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（2）在工程采购项目中，工程由中小企业承建，即工程施工单位为中小企业，不对其中涉及的货物的制造商和服务的承接商作出要求；</w:t>
      </w:r>
    </w:p>
    <w:p w14:paraId="4CA003FD">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2725D26">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1D3100F">
      <w:pPr>
        <w:spacing w:line="460" w:lineRule="exact"/>
        <w:ind w:firstLine="480" w:firstLineChars="200"/>
        <w:textAlignment w:val="auto"/>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lang w:eastAsia="zh-CN"/>
        </w:rPr>
        <w:t>依据本招标文件规定享受扶持政策获得政府采购合同的，小微企业不得将合同分包给大中型企业，中型企业不得将合同分包给大型企业。</w:t>
      </w:r>
    </w:p>
    <w:p w14:paraId="6DF57499">
      <w:pPr>
        <w:rPr>
          <w:rFonts w:hint="eastAsia" w:ascii="仿宋" w:hAnsi="仿宋" w:eastAsia="仿宋" w:cs="仿宋"/>
          <w:color w:val="auto"/>
          <w:lang w:eastAsia="zh-CN"/>
        </w:rPr>
      </w:pPr>
    </w:p>
    <w:p w14:paraId="5D06C8D6">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11E1B528">
      <w:pPr>
        <w:pStyle w:val="21"/>
        <w:ind w:firstLine="410"/>
        <w:rPr>
          <w:rFonts w:hint="eastAsia" w:ascii="仿宋" w:hAnsi="仿宋" w:eastAsia="仿宋" w:cs="仿宋"/>
          <w:color w:val="auto"/>
          <w:lang w:eastAsia="zh-CN"/>
        </w:rPr>
      </w:pPr>
    </w:p>
    <w:p w14:paraId="04A3837A">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65" w:name="_Toc20082"/>
      <w:r>
        <w:rPr>
          <w:rFonts w:hint="eastAsia" w:ascii="仿宋" w:hAnsi="仿宋" w:eastAsia="仿宋" w:cs="仿宋"/>
          <w:color w:val="auto"/>
          <w:u w:val="none"/>
          <w:lang w:eastAsia="zh-CN"/>
        </w:rPr>
        <w:t>6-2</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残疾人福利性单位声明函</w:t>
      </w:r>
      <w:bookmarkEnd w:id="865"/>
    </w:p>
    <w:p w14:paraId="43EC6BC1">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3311C0E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 （标的名称），制造商为（单位名称），属于残疾人福利性单位；</w:t>
      </w:r>
    </w:p>
    <w:p w14:paraId="67E43CCB">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 （标的名称），制造商为（单位名称），属于残疾人福利性单位。</w:t>
      </w:r>
    </w:p>
    <w:p w14:paraId="5AD0DAC9">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A54A3D0">
      <w:pPr>
        <w:widowControl w:val="0"/>
        <w:spacing w:after="60" w:afterLines="25" w:line="300" w:lineRule="auto"/>
        <w:ind w:firstLine="480" w:firstLineChars="200"/>
        <w:textAlignment w:val="auto"/>
        <w:rPr>
          <w:rFonts w:hint="eastAsia" w:ascii="仿宋" w:hAnsi="仿宋" w:eastAsia="仿宋" w:cs="仿宋"/>
          <w:color w:val="auto"/>
          <w:sz w:val="24"/>
          <w:lang w:eastAsia="zh-CN"/>
        </w:rPr>
      </w:pPr>
      <w:bookmarkStart w:id="866" w:name="_Hlk73562331"/>
      <w:r>
        <w:rPr>
          <w:rFonts w:hint="eastAsia" w:ascii="仿宋" w:hAnsi="仿宋" w:eastAsia="仿宋" w:cs="仿宋"/>
          <w:color w:val="auto"/>
          <w:sz w:val="24"/>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866"/>
    </w:p>
    <w:p w14:paraId="05B99059">
      <w:pPr>
        <w:widowControl w:val="0"/>
        <w:spacing w:after="60" w:afterLines="25" w:line="300" w:lineRule="auto"/>
        <w:jc w:val="right"/>
        <w:textAlignment w:val="auto"/>
        <w:rPr>
          <w:rFonts w:hint="eastAsia" w:ascii="仿宋" w:hAnsi="仿宋" w:eastAsia="仿宋" w:cs="仿宋"/>
          <w:color w:val="auto"/>
          <w:sz w:val="24"/>
          <w:lang w:eastAsia="zh-CN"/>
        </w:rPr>
      </w:pPr>
    </w:p>
    <w:p w14:paraId="0FF6D5CD">
      <w:pPr>
        <w:widowControl w:val="0"/>
        <w:spacing w:after="60" w:afterLines="25" w:line="300" w:lineRule="auto"/>
        <w:ind w:right="420" w:firstLine="5040" w:firstLineChars="21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投标人（投标单位）：</w:t>
      </w:r>
    </w:p>
    <w:p w14:paraId="68488F95">
      <w:pPr>
        <w:widowControl w:val="0"/>
        <w:spacing w:after="60" w:afterLines="25" w:line="300" w:lineRule="auto"/>
        <w:ind w:right="420" w:firstLine="6600" w:firstLineChars="2750"/>
        <w:textAlignment w:val="auto"/>
        <w:rPr>
          <w:rFonts w:hint="eastAsia" w:ascii="仿宋" w:hAnsi="仿宋" w:eastAsia="仿宋" w:cs="仿宋"/>
          <w:bCs/>
          <w:color w:val="auto"/>
          <w:sz w:val="24"/>
          <w:lang w:eastAsia="zh-CN"/>
        </w:rPr>
      </w:pPr>
      <w:r>
        <w:rPr>
          <w:rFonts w:hint="eastAsia" w:ascii="仿宋" w:hAnsi="仿宋" w:eastAsia="仿宋" w:cs="仿宋"/>
          <w:color w:val="auto"/>
          <w:sz w:val="24"/>
          <w:lang w:eastAsia="zh-CN"/>
        </w:rPr>
        <w:t>日期：</w:t>
      </w:r>
    </w:p>
    <w:p w14:paraId="4E6D7161">
      <w:pPr>
        <w:rPr>
          <w:rFonts w:hint="eastAsia" w:ascii="仿宋" w:hAnsi="仿宋" w:eastAsia="仿宋" w:cs="仿宋"/>
          <w:color w:val="auto"/>
          <w:sz w:val="20"/>
          <w:lang w:eastAsia="zh-CN"/>
        </w:rPr>
      </w:pPr>
    </w:p>
    <w:p w14:paraId="5E2EA806">
      <w:pPr>
        <w:pStyle w:val="22"/>
        <w:ind w:firstLine="400"/>
        <w:rPr>
          <w:rFonts w:hint="eastAsia" w:ascii="仿宋" w:hAnsi="仿宋" w:eastAsia="仿宋" w:cs="仿宋"/>
          <w:color w:val="auto"/>
          <w:sz w:val="20"/>
          <w:lang w:eastAsia="zh-CN"/>
        </w:rPr>
      </w:pPr>
    </w:p>
    <w:p w14:paraId="5DDE9073">
      <w:pPr>
        <w:rPr>
          <w:rFonts w:hint="eastAsia" w:ascii="仿宋" w:hAnsi="仿宋" w:eastAsia="仿宋" w:cs="仿宋"/>
          <w:color w:val="auto"/>
          <w:lang w:eastAsia="zh-CN"/>
        </w:rPr>
      </w:pPr>
    </w:p>
    <w:p w14:paraId="47F26D8B">
      <w:pPr>
        <w:rPr>
          <w:rFonts w:hint="eastAsia" w:ascii="仿宋" w:hAnsi="仿宋" w:eastAsia="仿宋" w:cs="仿宋"/>
          <w:color w:val="auto"/>
          <w:lang w:eastAsia="zh-CN"/>
        </w:rPr>
      </w:pPr>
    </w:p>
    <w:p w14:paraId="600D2D22">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67" w:name="_Toc13378"/>
      <w:bookmarkStart w:id="868" w:name="_Toc16783"/>
      <w:bookmarkStart w:id="869" w:name="_Toc19006"/>
      <w:bookmarkStart w:id="870" w:name="_Toc17181"/>
      <w:bookmarkStart w:id="871" w:name="_Toc28310"/>
      <w:bookmarkStart w:id="872" w:name="_Toc7440"/>
      <w:bookmarkStart w:id="873" w:name="_Toc2813"/>
      <w:bookmarkStart w:id="874" w:name="_Toc8498"/>
      <w:bookmarkStart w:id="875" w:name="_Toc19677"/>
      <w:bookmarkStart w:id="876" w:name="_Toc7689"/>
      <w:bookmarkStart w:id="877" w:name="_Toc11271"/>
      <w:bookmarkStart w:id="878" w:name="_Toc9078"/>
      <w:r>
        <w:rPr>
          <w:rFonts w:hint="eastAsia" w:ascii="仿宋" w:hAnsi="仿宋" w:eastAsia="仿宋" w:cs="仿宋"/>
          <w:color w:val="auto"/>
          <w:u w:val="none"/>
          <w:lang w:eastAsia="zh-CN"/>
        </w:rPr>
        <w:t xml:space="preserve">6-3 </w:t>
      </w:r>
      <w:bookmarkEnd w:id="867"/>
      <w:bookmarkEnd w:id="868"/>
      <w:bookmarkEnd w:id="869"/>
      <w:bookmarkEnd w:id="870"/>
      <w:bookmarkEnd w:id="871"/>
      <w:bookmarkEnd w:id="872"/>
      <w:bookmarkEnd w:id="873"/>
      <w:r>
        <w:rPr>
          <w:rFonts w:hint="eastAsia" w:ascii="仿宋" w:hAnsi="仿宋" w:eastAsia="仿宋" w:cs="仿宋"/>
          <w:color w:val="auto"/>
          <w:u w:val="none"/>
          <w:lang w:eastAsia="zh-CN"/>
        </w:rPr>
        <w:t>监狱企业</w:t>
      </w:r>
      <w:bookmarkEnd w:id="874"/>
      <w:r>
        <w:rPr>
          <w:rFonts w:hint="eastAsia" w:ascii="仿宋" w:hAnsi="仿宋" w:eastAsia="仿宋" w:cs="仿宋"/>
          <w:color w:val="auto"/>
          <w:u w:val="none"/>
          <w:lang w:eastAsia="zh-CN"/>
        </w:rPr>
        <w:t>声明函</w:t>
      </w:r>
      <w:bookmarkEnd w:id="875"/>
      <w:bookmarkEnd w:id="876"/>
      <w:bookmarkEnd w:id="877"/>
      <w:bookmarkEnd w:id="878"/>
    </w:p>
    <w:p w14:paraId="6A8B736C">
      <w:pPr>
        <w:pStyle w:val="20"/>
        <w:spacing w:before="75" w:beforeAutospacing="0" w:after="75" w:afterAutospacing="0" w:line="42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本公司郑重声明，根据《关于政府采购支持监狱企业发展有关问题的通知》（财库[2014]68号）的规定，本公司为监狱企业。</w:t>
      </w:r>
    </w:p>
    <w:p w14:paraId="1EEB26FD">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本公司参加______单位的______项目采购活动，采购活动提供本企业（填写制造的货物，由本企业承担工程、提供服务）。</w:t>
      </w:r>
    </w:p>
    <w:p w14:paraId="10937DFE">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本条所称货物不包括使用大型企业注册商标的货物和服务。</w:t>
      </w:r>
    </w:p>
    <w:p w14:paraId="2275E90A">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本公司对上述声明的真实性负责。如有虚假，将依法承担相应责任。</w:t>
      </w:r>
    </w:p>
    <w:p w14:paraId="5AD71254">
      <w:pPr>
        <w:pStyle w:val="20"/>
        <w:spacing w:before="75" w:beforeAutospacing="0" w:after="75" w:afterAutospacing="0" w:line="420" w:lineRule="atLeast"/>
        <w:rPr>
          <w:rFonts w:hint="eastAsia" w:ascii="仿宋" w:hAnsi="仿宋" w:eastAsia="仿宋" w:cs="仿宋"/>
          <w:color w:val="auto"/>
          <w:lang w:eastAsia="zh-CN"/>
        </w:rPr>
      </w:pPr>
    </w:p>
    <w:p w14:paraId="620D89D1">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企业名称（加盖公章）：</w:t>
      </w:r>
    </w:p>
    <w:p w14:paraId="7CF8E9AF">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法定代表人（负责人）或其授权代表(签字或章)：</w:t>
      </w:r>
    </w:p>
    <w:p w14:paraId="5EAED7EC">
      <w:pPr>
        <w:pStyle w:val="20"/>
        <w:spacing w:before="75" w:beforeAutospacing="0" w:after="75" w:afterAutospacing="0" w:line="420" w:lineRule="atLeast"/>
        <w:rPr>
          <w:rFonts w:hint="eastAsia" w:ascii="仿宋" w:hAnsi="仿宋" w:eastAsia="仿宋" w:cs="仿宋"/>
          <w:color w:val="auto"/>
          <w:lang w:eastAsia="zh-CN"/>
        </w:rPr>
      </w:pPr>
      <w:r>
        <w:rPr>
          <w:rFonts w:hint="eastAsia" w:ascii="仿宋" w:hAnsi="仿宋" w:eastAsia="仿宋" w:cs="仿宋"/>
          <w:color w:val="auto"/>
          <w:lang w:eastAsia="zh-CN"/>
        </w:rPr>
        <w:t>日期：</w:t>
      </w:r>
    </w:p>
    <w:p w14:paraId="2E6D981A">
      <w:pPr>
        <w:pStyle w:val="20"/>
        <w:spacing w:before="75" w:beforeAutospacing="0" w:after="75" w:afterAutospacing="0" w:line="420" w:lineRule="atLeast"/>
        <w:rPr>
          <w:rFonts w:hint="eastAsia" w:ascii="仿宋" w:hAnsi="仿宋" w:eastAsia="仿宋" w:cs="仿宋"/>
          <w:color w:val="auto"/>
          <w:lang w:eastAsia="zh-CN"/>
        </w:rPr>
      </w:pPr>
    </w:p>
    <w:p w14:paraId="46B4E1A2">
      <w:pPr>
        <w:rPr>
          <w:rFonts w:hint="eastAsia" w:ascii="仿宋" w:hAnsi="仿宋" w:eastAsia="仿宋" w:cs="仿宋"/>
          <w:color w:val="auto"/>
          <w:lang w:eastAsia="zh-CN"/>
        </w:rPr>
      </w:pPr>
      <w:bookmarkStart w:id="879" w:name="_Toc22178"/>
    </w:p>
    <w:p w14:paraId="596B269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80" w:name="_Toc25040"/>
      <w:r>
        <w:rPr>
          <w:rFonts w:hint="eastAsia" w:ascii="仿宋" w:hAnsi="仿宋" w:eastAsia="仿宋" w:cs="仿宋"/>
          <w:color w:val="auto"/>
          <w:u w:val="none"/>
          <w:lang w:eastAsia="zh-CN"/>
        </w:rPr>
        <w:t>7 投标文件还应包括第五章、综合评分表的所有技术文件</w:t>
      </w:r>
      <w:bookmarkEnd w:id="860"/>
      <w:bookmarkEnd w:id="879"/>
      <w:bookmarkEnd w:id="880"/>
    </w:p>
    <w:p w14:paraId="4B387D9F">
      <w:pPr>
        <w:rPr>
          <w:rFonts w:hint="eastAsia" w:ascii="仿宋" w:hAnsi="仿宋" w:eastAsia="仿宋" w:cs="仿宋"/>
          <w:color w:val="auto"/>
          <w:lang w:eastAsia="zh-CN"/>
        </w:rPr>
      </w:pPr>
      <w:bookmarkStart w:id="881" w:name="_Toc30795"/>
      <w:bookmarkStart w:id="882" w:name="_Toc515647827"/>
      <w:bookmarkStart w:id="883" w:name="_Toc28099"/>
      <w:bookmarkStart w:id="884" w:name="_Toc10002"/>
    </w:p>
    <w:p w14:paraId="34ECFA2B">
      <w:pPr>
        <w:pStyle w:val="22"/>
        <w:ind w:firstLine="0" w:firstLineChars="0"/>
        <w:rPr>
          <w:rFonts w:hint="eastAsia" w:ascii="仿宋" w:hAnsi="仿宋" w:eastAsia="仿宋" w:cs="仿宋"/>
          <w:color w:val="auto"/>
          <w:lang w:eastAsia="zh-CN"/>
        </w:rPr>
      </w:pPr>
    </w:p>
    <w:p w14:paraId="238D542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85" w:name="_Toc26500"/>
      <w:bookmarkStart w:id="886" w:name="_Toc7250"/>
      <w:bookmarkStart w:id="887" w:name="_Toc6646"/>
      <w:bookmarkStart w:id="888" w:name="_Toc15187"/>
      <w:bookmarkStart w:id="889" w:name="_Toc14100"/>
      <w:bookmarkStart w:id="890" w:name="_Toc1286"/>
      <w:bookmarkStart w:id="891" w:name="_Toc12381"/>
      <w:bookmarkStart w:id="892" w:name="_Toc8592"/>
      <w:bookmarkStart w:id="893" w:name="_Toc24363"/>
      <w:bookmarkStart w:id="894" w:name="_Toc6272"/>
      <w:r>
        <w:rPr>
          <w:rFonts w:hint="eastAsia" w:ascii="仿宋" w:hAnsi="仿宋" w:eastAsia="仿宋" w:cs="仿宋"/>
          <w:color w:val="auto"/>
          <w:u w:val="none"/>
          <w:lang w:eastAsia="zh-CN"/>
        </w:rPr>
        <w:t>8</w:t>
      </w:r>
      <w:r>
        <w:rPr>
          <w:rFonts w:hint="eastAsia" w:ascii="仿宋" w:hAnsi="仿宋" w:eastAsia="仿宋" w:cs="仿宋"/>
          <w:color w:val="auto"/>
          <w:u w:val="none"/>
          <w:lang w:val="en-US" w:eastAsia="zh-CN"/>
        </w:rPr>
        <w:t xml:space="preserve"> </w:t>
      </w:r>
      <w:r>
        <w:rPr>
          <w:rFonts w:hint="eastAsia" w:ascii="仿宋" w:hAnsi="仿宋" w:eastAsia="仿宋" w:cs="仿宋"/>
          <w:color w:val="auto"/>
          <w:u w:val="none"/>
          <w:lang w:eastAsia="zh-CN"/>
        </w:rPr>
        <w:t>投标人关联单位的说明</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6414F578">
      <w:pPr>
        <w:pStyle w:val="6"/>
        <w:jc w:val="center"/>
        <w:rPr>
          <w:rFonts w:hint="eastAsia" w:ascii="仿宋" w:hAnsi="仿宋" w:eastAsia="仿宋" w:cs="仿宋"/>
          <w:color w:val="auto"/>
          <w:lang w:eastAsia="zh-CN"/>
        </w:rPr>
      </w:pPr>
    </w:p>
    <w:p w14:paraId="28E65494">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说明：投标人应当如实披露与本单位存在下列关联关系的单位名称：</w:t>
      </w:r>
    </w:p>
    <w:p w14:paraId="01C7806F">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（1）与投标人单位负责人为同一人的其他单位；</w:t>
      </w:r>
    </w:p>
    <w:p w14:paraId="4962A51B">
      <w:pPr>
        <w:pStyle w:val="6"/>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（2）与投标人存在直接控股、管理关系的其他单位。</w:t>
      </w:r>
    </w:p>
    <w:p w14:paraId="5D2644DE">
      <w:pPr>
        <w:pStyle w:val="2"/>
        <w:tabs>
          <w:tab w:val="left" w:pos="567"/>
        </w:tabs>
        <w:rPr>
          <w:rFonts w:hint="eastAsia" w:ascii="仿宋" w:hAnsi="仿宋" w:eastAsia="仿宋" w:cs="仿宋"/>
          <w:color w:val="auto"/>
          <w:lang w:eastAsia="zh-CN"/>
        </w:rPr>
      </w:pPr>
    </w:p>
    <w:p w14:paraId="0C842C85">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895" w:name="_Toc32047"/>
      <w:bookmarkStart w:id="896" w:name="_Toc28623"/>
      <w:bookmarkStart w:id="897" w:name="_Toc16143"/>
      <w:r>
        <w:rPr>
          <w:rFonts w:hint="eastAsia" w:ascii="仿宋" w:hAnsi="仿宋" w:eastAsia="仿宋" w:cs="仿宋"/>
          <w:color w:val="auto"/>
          <w:u w:val="none"/>
          <w:lang w:eastAsia="zh-CN"/>
        </w:rPr>
        <w:t>9 其他有利于投标人的文件或证明材料</w:t>
      </w:r>
      <w:bookmarkEnd w:id="895"/>
      <w:bookmarkEnd w:id="896"/>
      <w:bookmarkEnd w:id="897"/>
    </w:p>
    <w:p w14:paraId="6EE527BC">
      <w:pPr>
        <w:pStyle w:val="16"/>
        <w:ind w:left="480" w:hanging="480" w:hangingChars="200"/>
        <w:rPr>
          <w:rFonts w:hint="eastAsia" w:ascii="仿宋" w:hAnsi="仿宋" w:eastAsia="仿宋" w:cs="仿宋"/>
          <w:b/>
          <w:color w:val="auto"/>
          <w:sz w:val="24"/>
          <w:lang w:eastAsia="zh-CN"/>
        </w:rPr>
      </w:pPr>
      <w:r>
        <w:rPr>
          <w:rFonts w:hint="eastAsia" w:ascii="仿宋" w:hAnsi="仿宋" w:eastAsia="仿宋" w:cs="仿宋"/>
          <w:color w:val="auto"/>
          <w:sz w:val="24"/>
          <w:lang w:eastAsia="zh-CN"/>
        </w:rPr>
        <w:t>注：参照“第六章评分方法和标准”，提供有力于投标人的其他证明文件或供货及实施方案、服务方案</w:t>
      </w:r>
      <w:bookmarkStart w:id="898" w:name="_Toc9043"/>
      <w:bookmarkStart w:id="899" w:name="_Toc22391"/>
      <w:bookmarkStart w:id="900" w:name="_Toc283"/>
      <w:bookmarkStart w:id="901" w:name="_Toc15737"/>
      <w:bookmarkStart w:id="902" w:name="_Toc26225"/>
      <w:bookmarkStart w:id="903" w:name="_Toc31553"/>
      <w:bookmarkStart w:id="904" w:name="_Toc9667"/>
    </w:p>
    <w:p w14:paraId="229F470C">
      <w:pPr>
        <w:rPr>
          <w:rFonts w:hint="eastAsia" w:ascii="仿宋" w:hAnsi="仿宋" w:eastAsia="仿宋" w:cs="仿宋"/>
          <w:color w:val="auto"/>
          <w:lang w:eastAsia="zh-CN"/>
        </w:rPr>
      </w:pPr>
    </w:p>
    <w:p w14:paraId="7CF14B37">
      <w:pPr>
        <w:rPr>
          <w:rFonts w:hint="eastAsia" w:ascii="仿宋" w:hAnsi="仿宋" w:eastAsia="仿宋" w:cs="仿宋"/>
          <w:color w:val="auto"/>
          <w:lang w:eastAsia="zh-CN"/>
        </w:rPr>
      </w:pPr>
    </w:p>
    <w:p w14:paraId="10357346">
      <w:pPr>
        <w:pStyle w:val="5"/>
        <w:spacing w:before="0" w:after="0" w:line="288" w:lineRule="auto"/>
        <w:ind w:left="1079" w:leftChars="257" w:hanging="539"/>
        <w:jc w:val="center"/>
        <w:rPr>
          <w:rFonts w:hint="eastAsia" w:ascii="仿宋" w:hAnsi="仿宋" w:eastAsia="仿宋" w:cs="仿宋"/>
          <w:color w:val="auto"/>
          <w:u w:val="none"/>
          <w:lang w:eastAsia="zh-CN"/>
        </w:rPr>
      </w:pPr>
      <w:bookmarkStart w:id="905" w:name="_Toc9989"/>
      <w:bookmarkStart w:id="906" w:name="_Toc21278"/>
      <w:r>
        <w:rPr>
          <w:rFonts w:hint="eastAsia" w:ascii="仿宋" w:hAnsi="仿宋" w:eastAsia="仿宋" w:cs="仿宋"/>
          <w:color w:val="auto"/>
          <w:u w:val="none"/>
          <w:lang w:eastAsia="zh-CN"/>
        </w:rPr>
        <w:t>10 对本项目投标文件（响应文件）中资料真实性的承诺</w:t>
      </w:r>
      <w:bookmarkEnd w:id="898"/>
      <w:bookmarkEnd w:id="899"/>
      <w:bookmarkEnd w:id="900"/>
      <w:bookmarkEnd w:id="901"/>
      <w:bookmarkEnd w:id="902"/>
      <w:bookmarkEnd w:id="903"/>
      <w:bookmarkEnd w:id="904"/>
      <w:bookmarkEnd w:id="905"/>
      <w:bookmarkEnd w:id="906"/>
    </w:p>
    <w:p w14:paraId="2D005150">
      <w:pPr>
        <w:rPr>
          <w:rFonts w:hint="eastAsia" w:ascii="仿宋" w:hAnsi="仿宋" w:eastAsia="仿宋" w:cs="仿宋"/>
          <w:b/>
          <w:color w:val="auto"/>
          <w:sz w:val="28"/>
          <w:szCs w:val="28"/>
          <w:lang w:eastAsia="zh-CN"/>
        </w:rPr>
      </w:pPr>
    </w:p>
    <w:p w14:paraId="6F9073AD">
      <w:pPr>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伽师县****项目评标委员会：</w:t>
      </w:r>
    </w:p>
    <w:p w14:paraId="41F1C904">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szCs w:val="20"/>
          <w:lang w:eastAsia="zh-CN"/>
        </w:rPr>
        <w:t>根据《中华人民共和国政府采购法》、《中华人民共和国政府采购法实施</w:t>
      </w:r>
      <w:r>
        <w:rPr>
          <w:rFonts w:hint="eastAsia" w:ascii="仿宋" w:hAnsi="仿宋" w:eastAsia="仿宋" w:cs="仿宋"/>
          <w:color w:val="auto"/>
          <w:sz w:val="24"/>
          <w:lang w:eastAsia="zh-CN"/>
        </w:rPr>
        <w:t>条例》等有关法律、法规的规定和</w:t>
      </w:r>
      <w:r>
        <w:rPr>
          <w:rFonts w:hint="eastAsia" w:ascii="仿宋" w:hAnsi="仿宋" w:eastAsia="仿宋" w:cs="仿宋"/>
          <w:color w:val="auto"/>
          <w:sz w:val="24"/>
          <w:u w:val="single" w:color="000000"/>
          <w:lang w:eastAsia="zh-CN"/>
        </w:rPr>
        <w:t>***项目项目编号***、第**标段  </w:t>
      </w:r>
      <w:r>
        <w:rPr>
          <w:rFonts w:hint="eastAsia" w:ascii="仿宋" w:hAnsi="仿宋" w:eastAsia="仿宋" w:cs="仿宋"/>
          <w:color w:val="auto"/>
          <w:sz w:val="24"/>
          <w:lang w:eastAsia="zh-CN"/>
        </w:rPr>
        <w:t>的招标文件（或竞争性谈判文件）的要求，我公司在参加</w:t>
      </w:r>
      <w:r>
        <w:rPr>
          <w:rFonts w:hint="eastAsia" w:ascii="仿宋" w:hAnsi="仿宋" w:eastAsia="仿宋" w:cs="仿宋"/>
          <w:color w:val="auto"/>
          <w:sz w:val="24"/>
          <w:u w:val="single" w:color="000000"/>
          <w:lang w:eastAsia="zh-CN"/>
        </w:rPr>
        <w:t xml:space="preserve"> ***项目项目编号***、第**标段</w:t>
      </w:r>
      <w:r>
        <w:rPr>
          <w:rFonts w:hint="eastAsia" w:ascii="仿宋" w:hAnsi="仿宋" w:eastAsia="仿宋" w:cs="仿宋"/>
          <w:color w:val="auto"/>
          <w:sz w:val="24"/>
          <w:lang w:eastAsia="zh-CN"/>
        </w:rPr>
        <w:t>投标文件（响应文件）中所提供资料真实性作如下承诺：</w:t>
      </w:r>
    </w:p>
    <w:p w14:paraId="2D14EC49">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我公司将严格按招标文件</w:t>
      </w:r>
      <w:bookmarkStart w:id="907" w:name="_Hlk5982690"/>
      <w:r>
        <w:rPr>
          <w:rFonts w:hint="eastAsia" w:ascii="仿宋" w:hAnsi="仿宋" w:eastAsia="仿宋" w:cs="仿宋"/>
          <w:color w:val="auto"/>
          <w:sz w:val="24"/>
          <w:lang w:eastAsia="zh-CN"/>
        </w:rPr>
        <w:t>（或竞争性谈判）</w:t>
      </w:r>
      <w:bookmarkEnd w:id="907"/>
      <w:r>
        <w:rPr>
          <w:rFonts w:hint="eastAsia" w:ascii="仿宋" w:hAnsi="仿宋" w:eastAsia="仿宋" w:cs="仿宋"/>
          <w:color w:val="auto"/>
          <w:sz w:val="24"/>
          <w:lang w:eastAsia="zh-CN"/>
        </w:rPr>
        <w:t xml:space="preserve">要求，在编制本投标文件（响应文件）时，对投标文件中所提供的资料全部真实和正确，并对提供的所有资料（资格、其他材料等）的真实性负责！ </w:t>
      </w:r>
    </w:p>
    <w:p w14:paraId="059DB9B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对提供的全部资料中有存在不真实（伪造或租借等虚假资料）情形，将无条件接受任何处罚，自行承担由此引起的一切责任！</w:t>
      </w:r>
    </w:p>
    <w:p w14:paraId="6826A861">
      <w:pPr>
        <w:spacing w:line="360" w:lineRule="auto"/>
        <w:ind w:firstLine="720" w:firstLineChars="300"/>
        <w:rPr>
          <w:rFonts w:hint="eastAsia" w:ascii="仿宋" w:hAnsi="仿宋" w:eastAsia="仿宋" w:cs="仿宋"/>
          <w:color w:val="auto"/>
          <w:sz w:val="24"/>
          <w:lang w:eastAsia="zh-CN"/>
        </w:rPr>
      </w:pPr>
    </w:p>
    <w:p w14:paraId="45A58753">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eastAsia="zh-CN"/>
        </w:rPr>
        <w:t>特此承诺</w:t>
      </w:r>
    </w:p>
    <w:p w14:paraId="4118E8FB">
      <w:pPr>
        <w:spacing w:line="360" w:lineRule="auto"/>
        <w:rPr>
          <w:rFonts w:hint="eastAsia" w:ascii="仿宋" w:hAnsi="仿宋" w:eastAsia="仿宋" w:cs="仿宋"/>
          <w:color w:val="auto"/>
          <w:sz w:val="24"/>
          <w:lang w:eastAsia="zh-CN"/>
        </w:rPr>
      </w:pPr>
    </w:p>
    <w:p w14:paraId="036B378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供应商名称（加盖盖章）：</w:t>
      </w:r>
    </w:p>
    <w:p w14:paraId="7CBB680C">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法定代表人（签字或章）：</w:t>
      </w:r>
    </w:p>
    <w:p w14:paraId="4313D80B">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w:t>
      </w:r>
    </w:p>
    <w:p w14:paraId="6CCAA373">
      <w:pPr>
        <w:spacing w:line="360" w:lineRule="auto"/>
        <w:ind w:left="4200" w:firstLine="420"/>
        <w:rPr>
          <w:rFonts w:hint="eastAsia" w:ascii="仿宋" w:hAnsi="仿宋" w:eastAsia="仿宋" w:cs="仿宋"/>
          <w:color w:val="auto"/>
          <w:sz w:val="24"/>
          <w:lang w:eastAsia="zh-CN"/>
        </w:rPr>
      </w:pPr>
      <w:r>
        <w:rPr>
          <w:rFonts w:hint="eastAsia" w:ascii="仿宋" w:hAnsi="仿宋" w:eastAsia="仿宋" w:cs="仿宋"/>
          <w:color w:val="auto"/>
          <w:sz w:val="24"/>
          <w:lang w:eastAsia="zh-CN"/>
        </w:rPr>
        <w:t>年      月       日</w:t>
      </w:r>
    </w:p>
    <w:p w14:paraId="3FD3841E">
      <w:pPr>
        <w:rPr>
          <w:rFonts w:hint="eastAsia" w:ascii="仿宋" w:hAnsi="仿宋" w:eastAsia="仿宋" w:cs="仿宋"/>
          <w:color w:val="auto"/>
          <w:sz w:val="24"/>
          <w:lang w:eastAsia="zh-CN"/>
        </w:rPr>
      </w:pPr>
      <w:r>
        <w:rPr>
          <w:rFonts w:hint="eastAsia" w:ascii="仿宋" w:hAnsi="仿宋" w:eastAsia="仿宋" w:cs="仿宋"/>
          <w:color w:val="auto"/>
          <w:sz w:val="24"/>
          <w:lang w:eastAsia="zh-CN"/>
        </w:rPr>
        <w:br w:type="page"/>
      </w:r>
    </w:p>
    <w:p w14:paraId="604A53D9">
      <w:pPr>
        <w:spacing w:line="360" w:lineRule="auto"/>
        <w:ind w:firstLine="4560" w:firstLineChars="1900"/>
        <w:rPr>
          <w:rFonts w:hint="eastAsia" w:ascii="仿宋" w:hAnsi="仿宋" w:eastAsia="仿宋" w:cs="仿宋"/>
          <w:color w:val="auto"/>
          <w:sz w:val="24"/>
          <w:lang w:eastAsia="zh-CN"/>
        </w:rPr>
      </w:pPr>
    </w:p>
    <w:p w14:paraId="066B2720">
      <w:pPr>
        <w:spacing w:line="240" w:lineRule="atLeast"/>
        <w:jc w:val="both"/>
        <w:rPr>
          <w:rFonts w:hint="eastAsia" w:ascii="仿宋" w:hAnsi="仿宋" w:eastAsia="仿宋" w:cs="仿宋"/>
          <w:b/>
          <w:color w:val="auto"/>
          <w:sz w:val="52"/>
          <w:szCs w:val="52"/>
          <w:lang w:eastAsia="zh-CN"/>
        </w:rPr>
      </w:pPr>
    </w:p>
    <w:p w14:paraId="6555F2C1">
      <w:pPr>
        <w:spacing w:line="240" w:lineRule="atLeast"/>
        <w:jc w:val="both"/>
        <w:rPr>
          <w:rFonts w:hint="eastAsia" w:ascii="仿宋" w:hAnsi="仿宋" w:eastAsia="仿宋" w:cs="仿宋"/>
          <w:b/>
          <w:color w:val="auto"/>
          <w:sz w:val="52"/>
          <w:szCs w:val="52"/>
          <w:lang w:eastAsia="zh-CN"/>
        </w:rPr>
      </w:pPr>
    </w:p>
    <w:p w14:paraId="5C9BD4D8">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服务类</w:t>
      </w:r>
    </w:p>
    <w:p w14:paraId="721A330B">
      <w:pPr>
        <w:pStyle w:val="16"/>
        <w:rPr>
          <w:rFonts w:hint="eastAsia" w:ascii="仿宋" w:hAnsi="仿宋" w:eastAsia="仿宋" w:cs="仿宋"/>
          <w:b/>
          <w:color w:val="auto"/>
          <w:sz w:val="52"/>
          <w:szCs w:val="52"/>
          <w:lang w:eastAsia="zh-CN"/>
        </w:rPr>
      </w:pPr>
    </w:p>
    <w:p w14:paraId="2E72E6B9">
      <w:pPr>
        <w:pStyle w:val="2"/>
        <w:tabs>
          <w:tab w:val="left" w:pos="567"/>
        </w:tabs>
        <w:rPr>
          <w:rFonts w:hint="eastAsia" w:ascii="仿宋" w:hAnsi="仿宋" w:eastAsia="仿宋" w:cs="仿宋"/>
          <w:color w:val="auto"/>
          <w:lang w:eastAsia="zh-CN"/>
        </w:rPr>
      </w:pPr>
    </w:p>
    <w:p w14:paraId="6E13B0E6">
      <w:pPr>
        <w:pStyle w:val="2"/>
        <w:tabs>
          <w:tab w:val="left" w:pos="567"/>
        </w:tabs>
        <w:rPr>
          <w:rFonts w:hint="eastAsia" w:ascii="仿宋" w:hAnsi="仿宋" w:eastAsia="仿宋" w:cs="仿宋"/>
          <w:color w:val="auto"/>
          <w:lang w:eastAsia="zh-CN"/>
        </w:rPr>
      </w:pPr>
    </w:p>
    <w:p w14:paraId="418CE8A9">
      <w:pPr>
        <w:rPr>
          <w:rFonts w:hint="eastAsia" w:ascii="仿宋" w:hAnsi="仿宋" w:eastAsia="仿宋" w:cs="仿宋"/>
          <w:color w:val="auto"/>
          <w:lang w:eastAsia="zh-CN"/>
        </w:rPr>
      </w:pPr>
    </w:p>
    <w:p w14:paraId="788DC118">
      <w:pPr>
        <w:spacing w:line="240" w:lineRule="atLeast"/>
        <w:jc w:val="both"/>
        <w:rPr>
          <w:rFonts w:hint="eastAsia" w:ascii="仿宋" w:hAnsi="仿宋" w:eastAsia="仿宋" w:cs="仿宋"/>
          <w:b/>
          <w:color w:val="auto"/>
          <w:sz w:val="52"/>
          <w:szCs w:val="52"/>
          <w:lang w:eastAsia="zh-CN"/>
        </w:rPr>
      </w:pPr>
    </w:p>
    <w:p w14:paraId="550C9605">
      <w:pPr>
        <w:spacing w:line="240" w:lineRule="atLeast"/>
        <w:ind w:left="1080" w:leftChars="257" w:hanging="540"/>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政府采购公开招标文件</w:t>
      </w:r>
    </w:p>
    <w:p w14:paraId="4B7E2D52">
      <w:pPr>
        <w:spacing w:line="240" w:lineRule="atLeast"/>
        <w:ind w:left="1080" w:leftChars="257" w:hanging="540"/>
        <w:rPr>
          <w:rFonts w:hint="eastAsia" w:ascii="仿宋" w:hAnsi="仿宋" w:eastAsia="仿宋" w:cs="仿宋"/>
          <w:b/>
          <w:color w:val="auto"/>
          <w:sz w:val="28"/>
          <w:lang w:eastAsia="zh-CN"/>
        </w:rPr>
      </w:pPr>
    </w:p>
    <w:p w14:paraId="54B9115B">
      <w:pPr>
        <w:pStyle w:val="16"/>
        <w:rPr>
          <w:rFonts w:hint="eastAsia" w:ascii="仿宋" w:hAnsi="仿宋" w:eastAsia="仿宋" w:cs="仿宋"/>
          <w:color w:val="auto"/>
          <w:lang w:eastAsia="zh-CN"/>
        </w:rPr>
      </w:pPr>
    </w:p>
    <w:p w14:paraId="378E4B9F">
      <w:pPr>
        <w:pStyle w:val="2"/>
        <w:tabs>
          <w:tab w:val="left" w:pos="567"/>
        </w:tabs>
        <w:rPr>
          <w:rFonts w:hint="eastAsia" w:ascii="仿宋" w:hAnsi="仿宋" w:eastAsia="仿宋" w:cs="仿宋"/>
          <w:color w:val="auto"/>
          <w:lang w:eastAsia="zh-CN"/>
        </w:rPr>
      </w:pPr>
    </w:p>
    <w:p w14:paraId="72D2478A">
      <w:pPr>
        <w:rPr>
          <w:rFonts w:hint="eastAsia" w:ascii="仿宋" w:hAnsi="仿宋" w:eastAsia="仿宋" w:cs="仿宋"/>
          <w:color w:val="auto"/>
          <w:lang w:eastAsia="zh-CN"/>
        </w:rPr>
      </w:pPr>
    </w:p>
    <w:p w14:paraId="22E82712">
      <w:pPr>
        <w:rPr>
          <w:rFonts w:hint="eastAsia" w:ascii="仿宋" w:hAnsi="仿宋" w:eastAsia="仿宋" w:cs="仿宋"/>
          <w:color w:val="auto"/>
          <w:lang w:eastAsia="zh-CN"/>
        </w:rPr>
      </w:pPr>
    </w:p>
    <w:p w14:paraId="09708893">
      <w:pPr>
        <w:spacing w:line="240" w:lineRule="atLeast"/>
        <w:jc w:val="both"/>
        <w:rPr>
          <w:rFonts w:hint="eastAsia" w:ascii="仿宋" w:hAnsi="仿宋" w:eastAsia="仿宋" w:cs="仿宋"/>
          <w:b/>
          <w:color w:val="auto"/>
          <w:sz w:val="48"/>
          <w:szCs w:val="48"/>
          <w:lang w:eastAsia="zh-CN"/>
        </w:rPr>
      </w:pPr>
    </w:p>
    <w:p w14:paraId="19FE50C5">
      <w:pPr>
        <w:spacing w:line="240" w:lineRule="atLeast"/>
        <w:ind w:left="1080" w:leftChars="257" w:hanging="540"/>
        <w:jc w:val="center"/>
        <w:rPr>
          <w:rFonts w:hint="eastAsia" w:ascii="仿宋" w:hAnsi="仿宋" w:eastAsia="仿宋" w:cs="仿宋"/>
          <w:b/>
          <w:color w:val="auto"/>
          <w:sz w:val="48"/>
          <w:szCs w:val="48"/>
          <w:lang w:eastAsia="zh-CN"/>
        </w:rPr>
      </w:pPr>
      <w:r>
        <w:rPr>
          <w:rFonts w:hint="eastAsia" w:ascii="仿宋" w:hAnsi="仿宋" w:eastAsia="仿宋" w:cs="仿宋"/>
          <w:b/>
          <w:color w:val="auto"/>
          <w:sz w:val="48"/>
          <w:szCs w:val="48"/>
          <w:lang w:eastAsia="zh-CN"/>
        </w:rPr>
        <w:t>第二册</w:t>
      </w:r>
    </w:p>
    <w:p w14:paraId="64B0C5C9">
      <w:pPr>
        <w:rPr>
          <w:rFonts w:hint="eastAsia" w:ascii="仿宋" w:hAnsi="仿宋" w:eastAsia="仿宋" w:cs="仿宋"/>
          <w:color w:val="auto"/>
          <w:sz w:val="44"/>
          <w:szCs w:val="44"/>
          <w:lang w:eastAsia="zh-CN"/>
        </w:rPr>
      </w:pPr>
      <w:bookmarkStart w:id="908" w:name="_Toc2942"/>
      <w:r>
        <w:rPr>
          <w:rFonts w:hint="eastAsia" w:ascii="仿宋" w:hAnsi="仿宋" w:eastAsia="仿宋" w:cs="仿宋"/>
          <w:color w:val="auto"/>
          <w:sz w:val="44"/>
          <w:szCs w:val="44"/>
          <w:lang w:eastAsia="zh-CN"/>
        </w:rPr>
        <w:br w:type="page"/>
      </w:r>
    </w:p>
    <w:p w14:paraId="0097998E">
      <w:pPr>
        <w:pStyle w:val="3"/>
        <w:tabs>
          <w:tab w:val="left" w:pos="0"/>
        </w:tabs>
        <w:kinsoku/>
        <w:spacing w:before="0" w:after="0" w:line="360" w:lineRule="auto"/>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 xml:space="preserve">第三章 </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lang w:eastAsia="zh-CN"/>
        </w:rPr>
        <w:t>投标邀请</w:t>
      </w:r>
      <w:bookmarkEnd w:id="908"/>
    </w:p>
    <w:p w14:paraId="3DC2C1E2">
      <w:pPr>
        <w:kinsoku/>
        <w:autoSpaceDE/>
        <w:autoSpaceDN/>
        <w:adjustRightInd/>
        <w:spacing w:line="396" w:lineRule="exact"/>
        <w:jc w:val="center"/>
        <w:rPr>
          <w:rStyle w:val="26"/>
          <w:rFonts w:hint="eastAsia" w:ascii="仿宋" w:hAnsi="仿宋" w:eastAsia="仿宋" w:cs="仿宋"/>
          <w:b/>
          <w:bCs/>
          <w:color w:val="auto"/>
          <w:sz w:val="28"/>
          <w:szCs w:val="28"/>
          <w:lang w:eastAsia="zh-CN"/>
        </w:rPr>
      </w:pPr>
      <w:r>
        <w:rPr>
          <w:rStyle w:val="26"/>
          <w:rFonts w:hint="eastAsia" w:ascii="仿宋" w:hAnsi="仿宋" w:eastAsia="仿宋" w:cs="仿宋"/>
          <w:b/>
          <w:bCs/>
          <w:color w:val="auto"/>
          <w:sz w:val="28"/>
          <w:szCs w:val="28"/>
          <w:lang w:eastAsia="zh-CN"/>
        </w:rPr>
        <w:t>【县级】伽师县人民医院2025年信息化建设项目公开招标公告</w:t>
      </w:r>
    </w:p>
    <w:p w14:paraId="6EE94656">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8"/>
          <w:szCs w:val="28"/>
          <w:lang w:eastAsia="zh-CN"/>
        </w:rPr>
      </w:pPr>
      <w:r>
        <w:rPr>
          <w:rStyle w:val="26"/>
          <w:rFonts w:hint="eastAsia" w:ascii="仿宋" w:hAnsi="仿宋" w:eastAsia="仿宋" w:cs="仿宋"/>
          <w:color w:val="auto"/>
          <w:sz w:val="28"/>
          <w:szCs w:val="28"/>
          <w:lang w:eastAsia="zh-CN"/>
        </w:rPr>
        <w:t>项目概况</w:t>
      </w:r>
    </w:p>
    <w:p w14:paraId="542F0030">
      <w:pPr>
        <w:pBdr>
          <w:top w:val="single" w:color="000000" w:sz="4" w:space="1"/>
          <w:left w:val="single" w:color="000000" w:sz="4" w:space="4"/>
          <w:bottom w:val="single" w:color="000000" w:sz="4" w:space="1"/>
          <w:right w:val="single" w:color="000000" w:sz="4" w:space="4"/>
        </w:pBdr>
        <w:kinsoku/>
        <w:autoSpaceDE/>
        <w:autoSpaceDN/>
        <w:adjustRightInd/>
        <w:spacing w:line="396" w:lineRule="exact"/>
        <w:ind w:firstLine="56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8"/>
          <w:szCs w:val="28"/>
          <w:u w:val="single"/>
          <w:lang w:eastAsia="zh-CN"/>
        </w:rPr>
        <w:t>伽师县人民医院2025年信息化建设项目</w:t>
      </w:r>
      <w:r>
        <w:rPr>
          <w:rStyle w:val="26"/>
          <w:rFonts w:hint="eastAsia" w:ascii="仿宋" w:hAnsi="仿宋" w:eastAsia="仿宋" w:cs="仿宋"/>
          <w:color w:val="auto"/>
          <w:sz w:val="28"/>
          <w:szCs w:val="28"/>
          <w:lang w:eastAsia="zh-CN"/>
        </w:rPr>
        <w:t>的潜在投标人应在</w:t>
      </w:r>
      <w:r>
        <w:rPr>
          <w:rStyle w:val="25"/>
          <w:rFonts w:hint="eastAsia" w:ascii="仿宋" w:hAnsi="仿宋" w:eastAsia="仿宋" w:cs="仿宋"/>
          <w:color w:val="auto"/>
          <w:sz w:val="24"/>
          <w:u w:color="0000FF"/>
          <w:lang w:eastAsia="zh-CN"/>
        </w:rPr>
        <w:t>http://www.ccgp-xinjiang.gov.cn</w:t>
      </w:r>
      <w:r>
        <w:rPr>
          <w:rStyle w:val="26"/>
          <w:rFonts w:hint="eastAsia" w:ascii="仿宋" w:hAnsi="仿宋" w:eastAsia="仿宋" w:cs="仿宋"/>
          <w:color w:val="auto"/>
          <w:sz w:val="28"/>
          <w:szCs w:val="28"/>
          <w:lang w:eastAsia="zh-CN"/>
        </w:rPr>
        <w:t>获取招标文件，</w:t>
      </w:r>
      <w:r>
        <w:rPr>
          <w:rFonts w:hint="eastAsia" w:ascii="仿宋" w:hAnsi="仿宋" w:eastAsia="仿宋" w:cs="仿宋"/>
          <w:color w:val="auto"/>
          <w:sz w:val="28"/>
          <w:szCs w:val="28"/>
          <w:lang w:eastAsia="zh-CN"/>
        </w:rPr>
        <w:t>并于</w:t>
      </w:r>
      <w:r>
        <w:rPr>
          <w:rFonts w:hint="eastAsia" w:ascii="仿宋" w:hAnsi="仿宋" w:eastAsia="仿宋" w:cs="仿宋"/>
          <w:bCs/>
          <w:color w:val="auto"/>
          <w:sz w:val="28"/>
          <w:szCs w:val="28"/>
          <w:highlight w:val="yellow"/>
          <w:u w:val="single"/>
          <w:lang w:eastAsia="zh-CN"/>
        </w:rPr>
        <w:t>2025年</w:t>
      </w:r>
      <w:r>
        <w:rPr>
          <w:rFonts w:hint="eastAsia" w:ascii="仿宋" w:hAnsi="仿宋" w:eastAsia="仿宋" w:cs="仿宋"/>
          <w:bCs/>
          <w:color w:val="auto"/>
          <w:sz w:val="28"/>
          <w:szCs w:val="28"/>
          <w:highlight w:val="yellow"/>
          <w:u w:val="single"/>
          <w:lang w:val="en-US" w:eastAsia="zh-CN"/>
        </w:rPr>
        <w:t>7</w:t>
      </w:r>
      <w:r>
        <w:rPr>
          <w:rFonts w:hint="eastAsia" w:ascii="仿宋" w:hAnsi="仿宋" w:eastAsia="仿宋" w:cs="仿宋"/>
          <w:bCs/>
          <w:color w:val="auto"/>
          <w:sz w:val="28"/>
          <w:szCs w:val="28"/>
          <w:highlight w:val="yellow"/>
          <w:u w:val="single"/>
          <w:lang w:eastAsia="zh-CN"/>
        </w:rPr>
        <w:t>月</w:t>
      </w:r>
      <w:r>
        <w:rPr>
          <w:rFonts w:hint="eastAsia" w:ascii="仿宋" w:hAnsi="仿宋" w:eastAsia="仿宋" w:cs="仿宋"/>
          <w:bCs/>
          <w:color w:val="auto"/>
          <w:sz w:val="28"/>
          <w:szCs w:val="28"/>
          <w:highlight w:val="yellow"/>
          <w:u w:val="single"/>
          <w:lang w:val="en-US" w:eastAsia="zh-CN"/>
        </w:rPr>
        <w:t>24</w:t>
      </w:r>
      <w:r>
        <w:rPr>
          <w:rFonts w:hint="eastAsia" w:ascii="仿宋" w:hAnsi="仿宋" w:eastAsia="仿宋" w:cs="仿宋"/>
          <w:bCs/>
          <w:color w:val="auto"/>
          <w:sz w:val="28"/>
          <w:szCs w:val="28"/>
          <w:highlight w:val="yellow"/>
          <w:u w:val="single"/>
          <w:lang w:eastAsia="zh-CN"/>
        </w:rPr>
        <w:t>日 11点00分（</w:t>
      </w:r>
      <w:r>
        <w:rPr>
          <w:rFonts w:hint="eastAsia" w:ascii="仿宋" w:hAnsi="仿宋" w:eastAsia="仿宋" w:cs="仿宋"/>
          <w:bCs/>
          <w:color w:val="auto"/>
          <w:sz w:val="28"/>
          <w:szCs w:val="28"/>
          <w:lang w:eastAsia="zh-CN"/>
        </w:rPr>
        <w:t>北京时间）前递交投标文件</w:t>
      </w:r>
      <w:r>
        <w:rPr>
          <w:rFonts w:hint="eastAsia" w:ascii="仿宋" w:hAnsi="仿宋" w:eastAsia="仿宋" w:cs="仿宋"/>
          <w:color w:val="auto"/>
          <w:sz w:val="28"/>
          <w:szCs w:val="28"/>
          <w:lang w:eastAsia="zh-CN"/>
        </w:rPr>
        <w:t>。</w:t>
      </w:r>
    </w:p>
    <w:p w14:paraId="6AC02B82">
      <w:pPr>
        <w:pStyle w:val="28"/>
        <w:numPr>
          <w:ilvl w:val="0"/>
          <w:numId w:val="6"/>
        </w:numPr>
        <w:kinsoku/>
        <w:autoSpaceDE/>
        <w:autoSpaceDN/>
        <w:adjustRightInd/>
        <w:spacing w:before="0" w:line="396" w:lineRule="exact"/>
        <w:jc w:val="both"/>
        <w:rPr>
          <w:rStyle w:val="26"/>
          <w:rFonts w:hint="eastAsia" w:ascii="仿宋" w:hAnsi="仿宋" w:eastAsia="仿宋" w:cs="仿宋"/>
          <w:color w:val="auto"/>
          <w:kern w:val="2"/>
          <w:sz w:val="24"/>
          <w:szCs w:val="21"/>
        </w:rPr>
      </w:pPr>
      <w:r>
        <w:rPr>
          <w:rStyle w:val="26"/>
          <w:rFonts w:hint="eastAsia" w:ascii="仿宋" w:hAnsi="仿宋" w:eastAsia="仿宋" w:cs="仿宋"/>
          <w:color w:val="auto"/>
          <w:kern w:val="2"/>
          <w:sz w:val="24"/>
          <w:szCs w:val="21"/>
        </w:rPr>
        <w:t>项目基本情况</w:t>
      </w:r>
    </w:p>
    <w:p w14:paraId="21E92D9D">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项目编号：KSJSX(GK)2025-18</w:t>
      </w:r>
    </w:p>
    <w:p w14:paraId="584580E9">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项目名称：伽师县人民医院2025年信息化建设项目</w:t>
      </w:r>
    </w:p>
    <w:p w14:paraId="253B8928">
      <w:pPr>
        <w:numPr>
          <w:ilvl w:val="0"/>
          <w:numId w:val="7"/>
        </w:numPr>
        <w:kinsoku/>
        <w:autoSpaceDE/>
        <w:autoSpaceDN/>
        <w:adjustRightInd/>
        <w:spacing w:line="396" w:lineRule="exact"/>
        <w:rPr>
          <w:rFonts w:hint="eastAsia" w:ascii="仿宋" w:hAnsi="仿宋" w:eastAsia="仿宋" w:cs="仿宋"/>
          <w:color w:val="auto"/>
          <w:kern w:val="2"/>
          <w:sz w:val="24"/>
          <w:lang w:eastAsia="zh-CN"/>
        </w:rPr>
      </w:pP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2600000</w:t>
      </w:r>
      <w:r>
        <w:rPr>
          <w:rFonts w:hint="eastAsia" w:ascii="仿宋" w:hAnsi="仿宋" w:eastAsia="仿宋" w:cs="仿宋"/>
          <w:color w:val="auto"/>
          <w:kern w:val="2"/>
          <w:sz w:val="24"/>
          <w:lang w:eastAsia="zh-CN"/>
        </w:rPr>
        <w:t>元；最高限价：</w:t>
      </w:r>
      <w:r>
        <w:rPr>
          <w:rFonts w:hint="eastAsia" w:ascii="仿宋" w:hAnsi="仿宋" w:eastAsia="仿宋" w:cs="仿宋"/>
          <w:color w:val="auto"/>
          <w:kern w:val="2"/>
          <w:sz w:val="24"/>
          <w:lang w:val="en-US" w:eastAsia="zh-CN"/>
        </w:rPr>
        <w:t>2600000</w:t>
      </w:r>
      <w:r>
        <w:rPr>
          <w:rFonts w:hint="eastAsia" w:ascii="仿宋" w:hAnsi="仿宋" w:eastAsia="仿宋" w:cs="仿宋"/>
          <w:color w:val="auto"/>
          <w:kern w:val="2"/>
          <w:sz w:val="24"/>
          <w:lang w:eastAsia="zh-CN"/>
        </w:rPr>
        <w:t>元。</w:t>
      </w:r>
    </w:p>
    <w:p w14:paraId="00D7466E">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1500000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p>
    <w:p w14:paraId="03F95F2A">
      <w:pPr>
        <w:numPr>
          <w:ilvl w:val="0"/>
          <w:numId w:val="0"/>
        </w:numPr>
        <w:kinsoku/>
        <w:autoSpaceDE/>
        <w:autoSpaceDN/>
        <w:adjustRightInd/>
        <w:spacing w:line="396" w:lineRule="exact"/>
        <w:rPr>
          <w:rFonts w:hint="eastAsia" w:ascii="仿宋" w:hAnsi="仿宋" w:eastAsia="仿宋" w:cs="仿宋"/>
          <w:sz w:val="24"/>
          <w:szCs w:val="24"/>
          <w:lang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预算金额：</w:t>
      </w:r>
      <w:r>
        <w:rPr>
          <w:rFonts w:hint="eastAsia" w:ascii="仿宋" w:hAnsi="仿宋" w:eastAsia="仿宋" w:cs="仿宋"/>
          <w:color w:val="auto"/>
          <w:kern w:val="2"/>
          <w:sz w:val="24"/>
          <w:lang w:val="en-US" w:eastAsia="zh-CN"/>
        </w:rPr>
        <w:t>1100000</w:t>
      </w:r>
      <w:r>
        <w:rPr>
          <w:rFonts w:hint="eastAsia" w:ascii="仿宋" w:hAnsi="仿宋" w:eastAsia="仿宋" w:cs="仿宋"/>
          <w:color w:val="auto"/>
          <w:kern w:val="2"/>
          <w:sz w:val="24"/>
          <w:lang w:eastAsia="zh-CN"/>
        </w:rPr>
        <w:t>元</w:t>
      </w:r>
      <w:r>
        <w:rPr>
          <w:rFonts w:hint="eastAsia" w:ascii="仿宋" w:hAnsi="仿宋" w:eastAsia="仿宋" w:cs="仿宋"/>
          <w:color w:val="auto"/>
          <w:kern w:val="2"/>
          <w:sz w:val="24"/>
          <w:lang w:val="en-US" w:eastAsia="zh-CN"/>
        </w:rPr>
        <w:t xml:space="preserve">   </w:t>
      </w:r>
      <w:r>
        <w:rPr>
          <w:rFonts w:hint="eastAsia" w:ascii="仿宋" w:hAnsi="仿宋" w:eastAsia="仿宋" w:cs="仿宋"/>
          <w:color w:val="auto"/>
          <w:kern w:val="2"/>
          <w:sz w:val="24"/>
          <w:lang w:eastAsia="zh-CN"/>
        </w:rPr>
        <w:t>最高限价：</w:t>
      </w:r>
      <w:r>
        <w:rPr>
          <w:rFonts w:hint="eastAsia" w:ascii="仿宋" w:hAnsi="仿宋" w:eastAsia="仿宋" w:cs="仿宋"/>
          <w:color w:val="auto"/>
          <w:kern w:val="2"/>
          <w:sz w:val="24"/>
          <w:lang w:val="en-US" w:eastAsia="zh-CN"/>
        </w:rPr>
        <w:t>1100000</w:t>
      </w:r>
      <w:r>
        <w:rPr>
          <w:rFonts w:hint="eastAsia" w:ascii="仿宋" w:hAnsi="仿宋" w:eastAsia="仿宋" w:cs="仿宋"/>
          <w:color w:val="auto"/>
          <w:kern w:val="2"/>
          <w:sz w:val="24"/>
          <w:lang w:eastAsia="zh-CN"/>
        </w:rPr>
        <w:t>元</w:t>
      </w:r>
    </w:p>
    <w:p w14:paraId="1E421BBC">
      <w:pPr>
        <w:kinsoku/>
        <w:autoSpaceDE/>
        <w:autoSpaceDN/>
        <w:adjustRightInd/>
        <w:spacing w:line="396" w:lineRule="exact"/>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4.资金来源：</w:t>
      </w:r>
      <w:r>
        <w:rPr>
          <w:rStyle w:val="26"/>
          <w:rFonts w:hint="eastAsia" w:ascii="仿宋" w:hAnsi="仿宋" w:eastAsia="仿宋" w:cs="仿宋"/>
          <w:color w:val="auto"/>
          <w:sz w:val="24"/>
          <w:lang w:val="en-US" w:eastAsia="zh-CN"/>
        </w:rPr>
        <w:t>自筹资金</w:t>
      </w:r>
    </w:p>
    <w:p w14:paraId="68EAE99B">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Style w:val="26"/>
          <w:rFonts w:hint="eastAsia" w:ascii="仿宋" w:hAnsi="仿宋" w:eastAsia="仿宋" w:cs="仿宋"/>
          <w:color w:val="auto"/>
          <w:sz w:val="24"/>
          <w:lang w:eastAsia="zh-CN"/>
        </w:rPr>
        <w:t>5.采购需求：</w:t>
      </w:r>
      <w:r>
        <w:rPr>
          <w:rFonts w:hint="eastAsia" w:ascii="仿宋" w:hAnsi="仿宋" w:eastAsia="仿宋" w:cs="仿宋"/>
          <w:color w:val="auto"/>
          <w:kern w:val="2"/>
          <w:sz w:val="24"/>
          <w:lang w:eastAsia="zh-CN"/>
        </w:rPr>
        <w:t>第一标段：</w:t>
      </w:r>
      <w:r>
        <w:rPr>
          <w:rStyle w:val="26"/>
          <w:rFonts w:hint="eastAsia" w:ascii="仿宋" w:hAnsi="仿宋" w:eastAsia="仿宋" w:cs="仿宋"/>
          <w:color w:val="auto"/>
          <w:sz w:val="24"/>
          <w:lang w:eastAsia="zh-CN"/>
        </w:rPr>
        <w:t>“三大中心”管理系统</w:t>
      </w:r>
      <w:r>
        <w:rPr>
          <w:rFonts w:hint="eastAsia" w:ascii="仿宋" w:hAnsi="仿宋" w:eastAsia="仿宋" w:cs="仿宋"/>
          <w:color w:val="auto"/>
          <w:kern w:val="2"/>
          <w:sz w:val="24"/>
          <w:lang w:val="en-US" w:eastAsia="zh-CN"/>
        </w:rPr>
        <w:t xml:space="preserve"> </w:t>
      </w:r>
    </w:p>
    <w:p w14:paraId="69EAA3CA">
      <w:pPr>
        <w:numPr>
          <w:ilvl w:val="0"/>
          <w:numId w:val="0"/>
        </w:numPr>
        <w:kinsoku/>
        <w:autoSpaceDE/>
        <w:autoSpaceDN/>
        <w:adjustRightInd/>
        <w:spacing w:line="396" w:lineRule="exact"/>
        <w:ind w:firstLine="1440" w:firstLineChars="600"/>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eastAsia="zh-CN"/>
        </w:rPr>
        <w:t>第二标段：</w:t>
      </w:r>
      <w:r>
        <w:rPr>
          <w:rStyle w:val="26"/>
          <w:rFonts w:hint="eastAsia" w:ascii="仿宋" w:hAnsi="仿宋" w:eastAsia="仿宋" w:cs="仿宋"/>
          <w:color w:val="auto"/>
          <w:sz w:val="24"/>
          <w:lang w:eastAsia="zh-CN"/>
        </w:rPr>
        <w:t>全成本管理系统</w:t>
      </w:r>
    </w:p>
    <w:p w14:paraId="13FC496A">
      <w:pPr>
        <w:kinsoku/>
        <w:autoSpaceDE/>
        <w:autoSpaceDN/>
        <w:adjustRightInd/>
        <w:spacing w:line="396" w:lineRule="exact"/>
        <w:ind w:firstLine="480" w:firstLineChars="200"/>
        <w:rPr>
          <w:rFonts w:hint="eastAsia" w:ascii="仿宋" w:hAnsi="仿宋" w:eastAsia="仿宋" w:cs="仿宋"/>
          <w:sz w:val="23"/>
          <w:szCs w:val="23"/>
          <w:lang w:eastAsia="zh-CN"/>
        </w:rPr>
      </w:pPr>
      <w:r>
        <w:rPr>
          <w:rStyle w:val="26"/>
          <w:rFonts w:hint="eastAsia" w:ascii="仿宋" w:hAnsi="仿宋" w:eastAsia="仿宋" w:cs="仿宋"/>
          <w:color w:val="auto"/>
          <w:sz w:val="24"/>
          <w:lang w:eastAsia="zh-CN"/>
        </w:rPr>
        <w:t>（详细设备、数量、具体参数及要求见招标文件）</w:t>
      </w:r>
      <w:r>
        <w:rPr>
          <w:rFonts w:hint="eastAsia" w:ascii="仿宋" w:hAnsi="仿宋" w:eastAsia="仿宋" w:cs="仿宋"/>
          <w:sz w:val="23"/>
          <w:szCs w:val="23"/>
          <w:lang w:eastAsia="zh-CN"/>
        </w:rPr>
        <w:t>；</w:t>
      </w:r>
    </w:p>
    <w:p w14:paraId="1D5548B8">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6.合同履行期限：根据采购人需求，以签订合同为准。</w:t>
      </w:r>
    </w:p>
    <w:p w14:paraId="7C321170">
      <w:pPr>
        <w:kinsoku/>
        <w:autoSpaceDE/>
        <w:autoSpaceDN/>
        <w:adjustRightInd/>
        <w:spacing w:line="396"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本项目不接受联合体投标。</w:t>
      </w:r>
    </w:p>
    <w:p w14:paraId="4D3475B4">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二、申请人的资格要求：</w:t>
      </w:r>
    </w:p>
    <w:p w14:paraId="4E592EC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1.满足《中华人民共和国政府采购法》第二十二条要求：</w:t>
      </w:r>
    </w:p>
    <w:p w14:paraId="7E176EF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（1）具有独立承担民事责任的能力（营业执照及法定代表人证明或法定代表人授权委托书）；</w:t>
      </w:r>
    </w:p>
    <w:p w14:paraId="3B11430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（2）具有健全的财务会计制度（会计事务所出具的2023年或2024年的年度财务审计报告书；注册成立未满一年新公司可提供近三个月内任意一个月的银行资信证明）；</w:t>
      </w:r>
    </w:p>
    <w:p w14:paraId="756D7E2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（3）具有履行合同所必需的设备和专业技术能力；</w:t>
      </w:r>
    </w:p>
    <w:p w14:paraId="214EE27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（4）有依法缴纳税收和社会保障资金的良好记录（近三个月（任意一个月）社保证明及完税证明）；</w:t>
      </w:r>
    </w:p>
    <w:p w14:paraId="7466A605">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（5）参加政府采购活动前三年内，在经营活动中没有重大违法记录；</w:t>
      </w:r>
    </w:p>
    <w:p w14:paraId="2887B240">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（6）法律、行政法规规定的其他条件；</w:t>
      </w:r>
    </w:p>
    <w:p w14:paraId="390E9C63">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432DBE0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三、获取招标文件</w:t>
      </w:r>
    </w:p>
    <w:p w14:paraId="45FE5D32">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获取时间：</w:t>
      </w:r>
      <w:r>
        <w:rPr>
          <w:rFonts w:hint="eastAsia" w:ascii="仿宋" w:hAnsi="仿宋" w:eastAsia="仿宋" w:cs="仿宋"/>
          <w:color w:val="auto"/>
          <w:sz w:val="24"/>
          <w:highlight w:val="yellow"/>
          <w:lang w:eastAsia="zh-CN"/>
        </w:rPr>
        <w:t>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1</w:t>
      </w:r>
      <w:r>
        <w:rPr>
          <w:rFonts w:hint="eastAsia" w:ascii="仿宋" w:hAnsi="仿宋" w:eastAsia="仿宋" w:cs="仿宋"/>
          <w:color w:val="auto"/>
          <w:sz w:val="24"/>
          <w:highlight w:val="yellow"/>
          <w:lang w:eastAsia="zh-CN"/>
        </w:rPr>
        <w:t>日至2025年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8</w:t>
      </w:r>
      <w:r>
        <w:rPr>
          <w:rFonts w:hint="eastAsia" w:ascii="仿宋" w:hAnsi="仿宋" w:eastAsia="仿宋" w:cs="仿宋"/>
          <w:color w:val="auto"/>
          <w:sz w:val="24"/>
          <w:highlight w:val="yellow"/>
          <w:lang w:eastAsia="zh-CN"/>
        </w:rPr>
        <w:t xml:space="preserve">日，每天上午 </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0:00 至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0，下午 1</w:t>
      </w:r>
      <w:r>
        <w:rPr>
          <w:rFonts w:hint="eastAsia" w:ascii="仿宋" w:hAnsi="仿宋" w:eastAsia="仿宋" w:cs="仿宋"/>
          <w:color w:val="auto"/>
          <w:sz w:val="24"/>
          <w:highlight w:val="yellow"/>
          <w:lang w:val="en-US" w:eastAsia="zh-CN"/>
        </w:rPr>
        <w:t>4</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0</w:t>
      </w:r>
      <w:r>
        <w:rPr>
          <w:rFonts w:hint="eastAsia" w:ascii="仿宋" w:hAnsi="仿宋" w:eastAsia="仿宋" w:cs="仿宋"/>
          <w:color w:val="auto"/>
          <w:sz w:val="24"/>
          <w:highlight w:val="yellow"/>
          <w:lang w:eastAsia="zh-CN"/>
        </w:rPr>
        <w:t>0 至</w:t>
      </w:r>
      <w:r>
        <w:rPr>
          <w:rFonts w:hint="eastAsia" w:ascii="仿宋" w:hAnsi="仿宋" w:eastAsia="仿宋" w:cs="仿宋"/>
          <w:color w:val="auto"/>
          <w:sz w:val="24"/>
          <w:highlight w:val="yellow"/>
          <w:lang w:val="en-US" w:eastAsia="zh-CN"/>
        </w:rPr>
        <w:t>23</w:t>
      </w:r>
      <w:r>
        <w:rPr>
          <w:rFonts w:hint="eastAsia" w:ascii="仿宋" w:hAnsi="仿宋" w:eastAsia="仿宋" w:cs="仿宋"/>
          <w:color w:val="auto"/>
          <w:sz w:val="24"/>
          <w:highlight w:val="yellow"/>
          <w:lang w:eastAsia="zh-CN"/>
        </w:rPr>
        <w:t>:</w:t>
      </w:r>
      <w:r>
        <w:rPr>
          <w:rFonts w:hint="eastAsia" w:ascii="仿宋" w:hAnsi="仿宋" w:eastAsia="仿宋" w:cs="仿宋"/>
          <w:color w:val="auto"/>
          <w:sz w:val="24"/>
          <w:highlight w:val="yellow"/>
          <w:lang w:val="en-US" w:eastAsia="zh-CN"/>
        </w:rPr>
        <w:t>59</w:t>
      </w:r>
      <w:r>
        <w:rPr>
          <w:rFonts w:hint="eastAsia" w:ascii="仿宋" w:hAnsi="仿宋" w:eastAsia="仿宋" w:cs="仿宋"/>
          <w:color w:val="auto"/>
          <w:sz w:val="24"/>
          <w:highlight w:val="yellow"/>
          <w:lang w:eastAsia="zh-CN"/>
        </w:rPr>
        <w:t>（北京时间，法定节假日除外）</w:t>
      </w:r>
      <w:r>
        <w:rPr>
          <w:rFonts w:hint="eastAsia" w:ascii="仿宋" w:hAnsi="仿宋" w:eastAsia="仿宋" w:cs="仿宋"/>
          <w:color w:val="auto"/>
          <w:sz w:val="24"/>
          <w:lang w:eastAsia="zh-CN"/>
        </w:rPr>
        <w:t>。</w:t>
      </w:r>
    </w:p>
    <w:p w14:paraId="267656EA">
      <w:pPr>
        <w:kinsoku/>
        <w:autoSpaceDE/>
        <w:autoSpaceDN/>
        <w:adjustRightInd/>
        <w:spacing w:line="396" w:lineRule="exact"/>
        <w:rPr>
          <w:rFonts w:hint="eastAsia" w:ascii="仿宋" w:hAnsi="仿宋" w:eastAsia="仿宋" w:cs="仿宋"/>
          <w:color w:val="auto"/>
          <w:lang w:eastAsia="zh-CN"/>
        </w:rPr>
      </w:pPr>
      <w:r>
        <w:rPr>
          <w:rFonts w:hint="eastAsia" w:ascii="仿宋" w:hAnsi="仿宋" w:eastAsia="仿宋" w:cs="仿宋"/>
          <w:color w:val="auto"/>
          <w:sz w:val="24"/>
          <w:lang w:eastAsia="zh-CN"/>
        </w:rPr>
        <w:t>获取地点：新疆政府采购网</w:t>
      </w:r>
    </w:p>
    <w:p w14:paraId="734693F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获取方式：供应商登陆政采云平台 http://www.zcygov.cn/，在线获取招标文件 </w:t>
      </w:r>
    </w:p>
    <w:p w14:paraId="6206BED1">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（登录政府采购云平台→ 项目采购 → 获取招标文件，通过后可下载招标文件， </w:t>
      </w:r>
    </w:p>
    <w:p w14:paraId="02975562">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如有操作性问题，可与政采云在线客服进行咨询，咨询电话：</w:t>
      </w:r>
      <w:r>
        <w:rPr>
          <w:rFonts w:hint="eastAsia" w:ascii="仿宋" w:hAnsi="仿宋" w:eastAsia="仿宋" w:cs="仿宋"/>
          <w:color w:val="auto"/>
          <w:shd w:val="clear" w:color="auto" w:fill="FFFFFF"/>
          <w:lang w:eastAsia="zh-CN"/>
        </w:rPr>
        <w:t>95763</w:t>
      </w:r>
      <w:r>
        <w:rPr>
          <w:rFonts w:hint="eastAsia" w:ascii="仿宋" w:hAnsi="仿宋" w:eastAsia="仿宋" w:cs="仿宋"/>
          <w:color w:val="auto"/>
          <w:sz w:val="24"/>
          <w:lang w:eastAsia="zh-CN"/>
        </w:rPr>
        <w:t>）</w:t>
      </w:r>
    </w:p>
    <w:p w14:paraId="34D4D1CC">
      <w:pPr>
        <w:kinsoku/>
        <w:autoSpaceDE/>
        <w:autoSpaceDN/>
        <w:adjustRightInd/>
        <w:spacing w:line="396" w:lineRule="exact"/>
        <w:rPr>
          <w:rFonts w:hint="eastAsia" w:ascii="仿宋" w:hAnsi="仿宋" w:eastAsia="仿宋" w:cs="仿宋"/>
          <w:color w:val="auto"/>
          <w:sz w:val="24"/>
          <w:lang w:eastAsia="zh-CN"/>
        </w:rPr>
      </w:pPr>
      <w:r>
        <w:rPr>
          <w:rFonts w:hint="eastAsia" w:ascii="仿宋" w:hAnsi="仿宋" w:eastAsia="仿宋" w:cs="仿宋"/>
          <w:color w:val="auto"/>
          <w:sz w:val="24"/>
          <w:lang w:eastAsia="zh-CN"/>
        </w:rPr>
        <w:t>售价：0元</w:t>
      </w:r>
    </w:p>
    <w:p w14:paraId="0DD300DD">
      <w:pPr>
        <w:kinsoku/>
        <w:autoSpaceDE/>
        <w:autoSpaceDN/>
        <w:adjustRightInd/>
        <w:spacing w:line="396" w:lineRule="exact"/>
        <w:rPr>
          <w:rStyle w:val="26"/>
          <w:rFonts w:hint="eastAsia" w:ascii="仿宋" w:hAnsi="仿宋" w:eastAsia="仿宋" w:cs="仿宋"/>
          <w:b/>
          <w:bCs/>
          <w:color w:val="auto"/>
          <w:sz w:val="30"/>
          <w:szCs w:val="30"/>
          <w:lang w:eastAsia="zh-CN"/>
        </w:rPr>
      </w:pPr>
      <w:r>
        <w:rPr>
          <w:rStyle w:val="26"/>
          <w:rFonts w:hint="eastAsia" w:ascii="仿宋" w:hAnsi="仿宋" w:eastAsia="仿宋" w:cs="仿宋"/>
          <w:b/>
          <w:bCs/>
          <w:color w:val="auto"/>
          <w:sz w:val="24"/>
          <w:lang w:eastAsia="zh-CN"/>
        </w:rPr>
        <w:t>四、提交投标文件截止时间、开标时间和地点</w:t>
      </w:r>
    </w:p>
    <w:p w14:paraId="5EB80A68">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highlight w:val="yellow"/>
          <w:lang w:eastAsia="zh-CN"/>
        </w:rPr>
        <w:t>提交投标文件截止时间：2025年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24</w:t>
      </w:r>
      <w:r>
        <w:rPr>
          <w:rFonts w:hint="eastAsia" w:ascii="仿宋" w:hAnsi="仿宋" w:eastAsia="仿宋" w:cs="仿宋"/>
          <w:color w:val="auto"/>
          <w:sz w:val="24"/>
          <w:highlight w:val="yellow"/>
          <w:lang w:eastAsia="zh-CN"/>
        </w:rPr>
        <w:t>日 11时00分（北京时间）</w:t>
      </w:r>
    </w:p>
    <w:p w14:paraId="5E75A10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 xml:space="preserve">投标地点：政采云平台（https://login.zcygov.cn/user-login/#/login） </w:t>
      </w:r>
    </w:p>
    <w:p w14:paraId="5FEEAEBA">
      <w:pPr>
        <w:widowControl w:val="0"/>
        <w:kinsoku/>
        <w:autoSpaceDE/>
        <w:autoSpaceDN/>
        <w:adjustRightInd/>
        <w:spacing w:line="396" w:lineRule="exact"/>
        <w:textAlignment w:val="auto"/>
        <w:rPr>
          <w:rFonts w:hint="eastAsia" w:ascii="仿宋" w:hAnsi="仿宋" w:eastAsia="仿宋" w:cs="仿宋"/>
          <w:color w:val="auto"/>
          <w:sz w:val="24"/>
          <w:highlight w:val="yellow"/>
          <w:lang w:eastAsia="zh-CN"/>
        </w:rPr>
      </w:pPr>
      <w:r>
        <w:rPr>
          <w:rFonts w:hint="eastAsia" w:ascii="仿宋" w:hAnsi="仿宋" w:eastAsia="仿宋" w:cs="仿宋"/>
          <w:color w:val="auto"/>
          <w:sz w:val="24"/>
          <w:highlight w:val="yellow"/>
          <w:lang w:eastAsia="zh-CN"/>
        </w:rPr>
        <w:t>开标时间：2025年</w:t>
      </w:r>
      <w:r>
        <w:rPr>
          <w:rFonts w:hint="eastAsia" w:ascii="仿宋" w:hAnsi="仿宋" w:eastAsia="仿宋" w:cs="仿宋"/>
          <w:color w:val="auto"/>
          <w:sz w:val="24"/>
          <w:highlight w:val="yellow"/>
          <w:lang w:val="en-US" w:eastAsia="zh-CN"/>
        </w:rPr>
        <w:t>7</w:t>
      </w:r>
      <w:r>
        <w:rPr>
          <w:rFonts w:hint="eastAsia" w:ascii="仿宋" w:hAnsi="仿宋" w:eastAsia="仿宋" w:cs="仿宋"/>
          <w:color w:val="auto"/>
          <w:sz w:val="24"/>
          <w:highlight w:val="yellow"/>
          <w:lang w:eastAsia="zh-CN"/>
        </w:rPr>
        <w:t>月</w:t>
      </w:r>
      <w:r>
        <w:rPr>
          <w:rFonts w:hint="eastAsia" w:ascii="仿宋" w:hAnsi="仿宋" w:eastAsia="仿宋" w:cs="仿宋"/>
          <w:color w:val="auto"/>
          <w:sz w:val="24"/>
          <w:highlight w:val="yellow"/>
          <w:lang w:val="en-US" w:eastAsia="zh-CN"/>
        </w:rPr>
        <w:t>24</w:t>
      </w:r>
      <w:r>
        <w:rPr>
          <w:rFonts w:hint="eastAsia" w:ascii="仿宋" w:hAnsi="仿宋" w:eastAsia="仿宋" w:cs="仿宋"/>
          <w:color w:val="auto"/>
          <w:sz w:val="24"/>
          <w:highlight w:val="yellow"/>
          <w:lang w:eastAsia="zh-CN"/>
        </w:rPr>
        <w:t xml:space="preserve">日 11：00（北京时间） </w:t>
      </w:r>
    </w:p>
    <w:p w14:paraId="45EE3068">
      <w:pPr>
        <w:widowControl w:val="0"/>
        <w:kinsoku/>
        <w:autoSpaceDE/>
        <w:autoSpaceDN/>
        <w:adjustRightInd/>
        <w:spacing w:line="396" w:lineRule="exact"/>
        <w:textAlignment w:val="auto"/>
        <w:rPr>
          <w:rFonts w:hint="eastAsia" w:ascii="仿宋" w:hAnsi="仿宋" w:eastAsia="仿宋" w:cs="仿宋"/>
          <w:color w:val="auto"/>
          <w:sz w:val="24"/>
        </w:rPr>
      </w:pPr>
      <w:r>
        <w:rPr>
          <w:rFonts w:hint="eastAsia" w:ascii="仿宋" w:hAnsi="仿宋" w:eastAsia="仿宋" w:cs="仿宋"/>
          <w:color w:val="auto"/>
          <w:sz w:val="24"/>
        </w:rPr>
        <w:t>开标地点：政采云平台（https://login.zcygov.cn/user-login/#/login） </w:t>
      </w:r>
    </w:p>
    <w:p w14:paraId="22FFE325">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五、公告期限</w:t>
      </w:r>
    </w:p>
    <w:p w14:paraId="14D7E0CB">
      <w:pPr>
        <w:kinsoku/>
        <w:autoSpaceDE/>
        <w:autoSpaceDN/>
        <w:adjustRightInd/>
        <w:spacing w:line="396" w:lineRule="exact"/>
        <w:rPr>
          <w:rFonts w:hint="eastAsia" w:ascii="仿宋" w:hAnsi="仿宋" w:eastAsia="仿宋" w:cs="仿宋"/>
          <w:color w:val="auto"/>
          <w:lang w:eastAsia="zh-CN"/>
        </w:rPr>
      </w:pPr>
      <w:r>
        <w:rPr>
          <w:rStyle w:val="26"/>
          <w:rFonts w:hint="eastAsia" w:ascii="仿宋" w:hAnsi="仿宋" w:eastAsia="仿宋" w:cs="仿宋"/>
          <w:color w:val="auto"/>
          <w:sz w:val="24"/>
          <w:lang w:eastAsia="zh-CN"/>
        </w:rPr>
        <w:t>自本公告发布之日起5个工作日。</w:t>
      </w:r>
    </w:p>
    <w:p w14:paraId="00EB7760">
      <w:pPr>
        <w:numPr>
          <w:ilvl w:val="0"/>
          <w:numId w:val="8"/>
        </w:num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b/>
          <w:bCs/>
          <w:color w:val="auto"/>
          <w:sz w:val="24"/>
        </w:rPr>
        <w:t>其他补充事宜</w:t>
      </w:r>
      <w:r>
        <w:rPr>
          <w:rStyle w:val="26"/>
          <w:rFonts w:hint="eastAsia" w:ascii="仿宋" w:hAnsi="仿宋" w:eastAsia="仿宋" w:cs="仿宋"/>
          <w:color w:val="auto"/>
          <w:sz w:val="24"/>
        </w:rPr>
        <w:t>：</w:t>
      </w:r>
    </w:p>
    <w:p w14:paraId="196E4803">
      <w:pPr>
        <w:kinsoku/>
        <w:autoSpaceDE/>
        <w:autoSpaceDN/>
        <w:adjustRightInd/>
        <w:spacing w:line="396" w:lineRule="exact"/>
        <w:rPr>
          <w:rStyle w:val="26"/>
          <w:rFonts w:hint="eastAsia" w:ascii="仿宋" w:hAnsi="仿宋" w:eastAsia="仿宋" w:cs="仿宋"/>
          <w:color w:val="auto"/>
          <w:sz w:val="24"/>
        </w:rPr>
      </w:pPr>
      <w:r>
        <w:rPr>
          <w:rStyle w:val="26"/>
          <w:rFonts w:hint="eastAsia" w:ascii="仿宋" w:hAnsi="仿宋" w:eastAsia="仿宋" w:cs="仿宋"/>
          <w:color w:val="auto"/>
          <w:sz w:val="24"/>
          <w:lang w:eastAsia="zh-CN"/>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26"/>
          <w:rFonts w:hint="eastAsia" w:ascii="仿宋" w:hAnsi="仿宋" w:eastAsia="仿宋" w:cs="仿宋"/>
          <w:color w:val="auto"/>
          <w:sz w:val="24"/>
        </w:rPr>
        <w:t>具体开标时间以招标文件为准。</w:t>
      </w:r>
    </w:p>
    <w:p w14:paraId="7EFB63D7">
      <w:pPr>
        <w:numPr>
          <w:ilvl w:val="0"/>
          <w:numId w:val="8"/>
        </w:numPr>
        <w:kinsoku/>
        <w:autoSpaceDE/>
        <w:autoSpaceDN/>
        <w:adjustRightInd/>
        <w:spacing w:line="396" w:lineRule="exact"/>
        <w:rPr>
          <w:rStyle w:val="26"/>
          <w:rFonts w:hint="eastAsia" w:ascii="仿宋" w:hAnsi="仿宋" w:eastAsia="仿宋" w:cs="仿宋"/>
          <w:color w:val="auto"/>
          <w:lang w:eastAsia="zh-CN"/>
        </w:rPr>
      </w:pPr>
      <w:r>
        <w:rPr>
          <w:rStyle w:val="26"/>
          <w:rFonts w:hint="eastAsia" w:ascii="仿宋" w:hAnsi="仿宋" w:eastAsia="仿宋" w:cs="仿宋"/>
          <w:b/>
          <w:bCs/>
          <w:color w:val="auto"/>
          <w:sz w:val="24"/>
          <w:lang w:eastAsia="zh-CN"/>
        </w:rPr>
        <w:t>对本次招标提出询问，请按以下方式联系。</w:t>
      </w:r>
    </w:p>
    <w:p w14:paraId="73D3141E">
      <w:pPr>
        <w:kinsoku/>
        <w:autoSpaceDE/>
        <w:autoSpaceDN/>
        <w:adjustRightInd/>
        <w:spacing w:line="396" w:lineRule="exact"/>
        <w:rPr>
          <w:rStyle w:val="26"/>
          <w:rFonts w:hint="eastAsia" w:ascii="仿宋" w:hAnsi="仿宋" w:eastAsia="仿宋" w:cs="仿宋"/>
          <w:b/>
          <w:bCs/>
          <w:color w:val="auto"/>
          <w:sz w:val="24"/>
          <w:lang w:eastAsia="zh-CN"/>
        </w:rPr>
      </w:pPr>
      <w:r>
        <w:rPr>
          <w:rStyle w:val="26"/>
          <w:rFonts w:hint="eastAsia" w:ascii="仿宋" w:hAnsi="仿宋" w:eastAsia="仿宋" w:cs="仿宋"/>
          <w:b/>
          <w:bCs/>
          <w:color w:val="auto"/>
          <w:sz w:val="24"/>
          <w:lang w:eastAsia="zh-CN"/>
        </w:rPr>
        <w:t>1.采购人信息</w:t>
      </w:r>
    </w:p>
    <w:p w14:paraId="5C98A8B5">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称：伽师县人民医院　　　　　</w:t>
      </w:r>
    </w:p>
    <w:p w14:paraId="2F676C12">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地址：伽师县</w:t>
      </w:r>
      <w:r>
        <w:rPr>
          <w:rFonts w:hint="eastAsia" w:ascii="仿宋" w:hAnsi="仿宋" w:eastAsia="仿宋" w:cs="仿宋"/>
          <w:color w:val="auto"/>
          <w:sz w:val="24"/>
          <w:lang w:val="en-US" w:eastAsia="zh-CN"/>
        </w:rPr>
        <w:t>团结路32号</w:t>
      </w:r>
      <w:r>
        <w:rPr>
          <w:rFonts w:hint="eastAsia" w:ascii="仿宋" w:hAnsi="仿宋" w:eastAsia="仿宋" w:cs="仿宋"/>
          <w:color w:val="auto"/>
          <w:sz w:val="24"/>
          <w:lang w:eastAsia="zh-CN"/>
        </w:rPr>
        <w:t>　　</w:t>
      </w:r>
    </w:p>
    <w:p w14:paraId="112381DD">
      <w:pPr>
        <w:widowControl w:val="0"/>
        <w:kinsoku/>
        <w:autoSpaceDE/>
        <w:autoSpaceDN/>
        <w:adjustRightInd/>
        <w:snapToGri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w:t>
      </w:r>
      <w:r>
        <w:rPr>
          <w:rFonts w:hint="eastAsia" w:ascii="仿宋" w:hAnsi="仿宋" w:eastAsia="仿宋" w:cs="仿宋"/>
          <w:color w:val="auto"/>
          <w:sz w:val="24"/>
          <w:lang w:val="en-US" w:eastAsia="zh-CN"/>
        </w:rPr>
        <w:t>申彩虹</w:t>
      </w:r>
      <w:r>
        <w:rPr>
          <w:rFonts w:hint="eastAsia" w:ascii="仿宋" w:hAnsi="仿宋" w:eastAsia="仿宋" w:cs="仿宋"/>
          <w:color w:val="auto"/>
          <w:sz w:val="24"/>
          <w:lang w:eastAsia="zh-CN"/>
        </w:rPr>
        <w:t>　　　　　　　</w:t>
      </w:r>
    </w:p>
    <w:p w14:paraId="35EF3966">
      <w:pPr>
        <w:kinsoku/>
        <w:autoSpaceDE/>
        <w:autoSpaceDN/>
        <w:adjustRightInd/>
        <w:spacing w:line="396" w:lineRule="exact"/>
        <w:rPr>
          <w:rStyle w:val="26"/>
          <w:rFonts w:hint="eastAsia" w:ascii="仿宋" w:hAnsi="仿宋" w:eastAsia="仿宋" w:cs="仿宋"/>
          <w:color w:val="auto"/>
          <w:sz w:val="24"/>
          <w:lang w:val="en-US" w:eastAsia="zh-CN"/>
        </w:rPr>
      </w:pPr>
      <w:r>
        <w:rPr>
          <w:rFonts w:hint="eastAsia" w:ascii="仿宋" w:hAnsi="仿宋" w:eastAsia="仿宋" w:cs="仿宋"/>
          <w:color w:val="auto"/>
          <w:sz w:val="24"/>
          <w:lang w:eastAsia="zh-CN"/>
        </w:rPr>
        <w:t>联系方式：</w:t>
      </w:r>
      <w:r>
        <w:rPr>
          <w:rFonts w:hint="eastAsia" w:ascii="仿宋" w:hAnsi="仿宋" w:eastAsia="仿宋" w:cs="仿宋"/>
          <w:color w:val="auto"/>
          <w:sz w:val="24"/>
          <w:lang w:val="en-US" w:eastAsia="zh-CN"/>
        </w:rPr>
        <w:t>18799559096</w:t>
      </w:r>
    </w:p>
    <w:p w14:paraId="5077F893">
      <w:pPr>
        <w:widowControl w:val="0"/>
        <w:kinsoku/>
        <w:autoSpaceDE/>
        <w:autoSpaceDN/>
        <w:adjustRightInd/>
        <w:spacing w:line="396" w:lineRule="exact"/>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2.采购代理机构信息</w:t>
      </w:r>
    </w:p>
    <w:p w14:paraId="3EBE48AA">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名 称：伽师县政府采购中心　</w:t>
      </w:r>
    </w:p>
    <w:p w14:paraId="76579F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地　址：伽师县行政审批局四楼（伽师县花园路3号）　</w:t>
      </w:r>
    </w:p>
    <w:p w14:paraId="546CF92C">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项目联系人：陈雪、依明江</w:t>
      </w:r>
    </w:p>
    <w:p w14:paraId="16181639">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联系方式：0998-5713206　</w:t>
      </w:r>
    </w:p>
    <w:p w14:paraId="259DEAB6">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3.同级政府采购监督管理部门名称:伽师县政府采购办</w:t>
      </w:r>
    </w:p>
    <w:p w14:paraId="69722B4D">
      <w:pPr>
        <w:widowControl w:val="0"/>
        <w:kinsoku/>
        <w:autoSpaceDE/>
        <w:autoSpaceDN/>
        <w:adjustRightInd/>
        <w:spacing w:line="396"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联系人：阿依努尔</w:t>
      </w:r>
    </w:p>
    <w:p w14:paraId="016C87F7">
      <w:pPr>
        <w:pStyle w:val="29"/>
        <w:tabs>
          <w:tab w:val="left" w:pos="0"/>
        </w:tabs>
        <w:kinsoku/>
        <w:autoSpaceDE/>
        <w:autoSpaceDN/>
        <w:adjustRightInd/>
        <w:spacing w:before="0" w:after="0" w:line="396" w:lineRule="exact"/>
        <w:jc w:val="both"/>
        <w:rPr>
          <w:rFonts w:hint="eastAsia" w:ascii="仿宋" w:hAnsi="仿宋" w:eastAsia="仿宋" w:cs="仿宋"/>
          <w:b w:val="0"/>
          <w:color w:val="auto"/>
          <w:kern w:val="2"/>
          <w:sz w:val="24"/>
          <w:szCs w:val="21"/>
          <w:lang w:eastAsia="zh-CN"/>
        </w:rPr>
      </w:pPr>
      <w:r>
        <w:rPr>
          <w:rFonts w:hint="eastAsia" w:ascii="仿宋" w:hAnsi="仿宋" w:eastAsia="仿宋" w:cs="仿宋"/>
          <w:b w:val="0"/>
          <w:color w:val="auto"/>
          <w:kern w:val="2"/>
          <w:sz w:val="24"/>
          <w:szCs w:val="21"/>
          <w:lang w:eastAsia="zh-CN"/>
        </w:rPr>
        <w:t>监督投诉电话：15384946619</w:t>
      </w:r>
    </w:p>
    <w:p w14:paraId="7E1537B8">
      <w:pPr>
        <w:rPr>
          <w:rFonts w:hint="eastAsia" w:ascii="仿宋" w:hAnsi="仿宋" w:eastAsia="仿宋" w:cs="仿宋"/>
          <w:color w:val="auto"/>
          <w:lang w:eastAsia="zh-CN"/>
        </w:rPr>
      </w:pPr>
      <w:r>
        <w:rPr>
          <w:rFonts w:hint="eastAsia" w:ascii="仿宋" w:hAnsi="仿宋" w:eastAsia="仿宋" w:cs="仿宋"/>
          <w:color w:val="auto"/>
          <w:kern w:val="2"/>
          <w:sz w:val="24"/>
          <w:lang w:eastAsia="zh-CN"/>
        </w:rPr>
        <w:br w:type="page"/>
      </w:r>
    </w:p>
    <w:p w14:paraId="7857F6F4">
      <w:pPr>
        <w:pStyle w:val="3"/>
        <w:tabs>
          <w:tab w:val="left" w:pos="0"/>
        </w:tabs>
        <w:spacing w:before="0" w:after="0" w:line="240" w:lineRule="atLeast"/>
        <w:rPr>
          <w:rFonts w:hint="eastAsia" w:ascii="仿宋" w:hAnsi="仿宋" w:eastAsia="仿宋" w:cs="仿宋"/>
          <w:color w:val="auto"/>
          <w:sz w:val="44"/>
          <w:szCs w:val="44"/>
          <w:lang w:eastAsia="zh-CN"/>
        </w:rPr>
      </w:pPr>
      <w:bookmarkStart w:id="909" w:name="_Toc11602"/>
      <w:r>
        <w:rPr>
          <w:rFonts w:hint="eastAsia" w:ascii="仿宋" w:hAnsi="仿宋" w:eastAsia="仿宋" w:cs="仿宋"/>
          <w:color w:val="auto"/>
          <w:sz w:val="44"/>
          <w:szCs w:val="44"/>
          <w:lang w:eastAsia="zh-CN"/>
        </w:rPr>
        <w:t>第四章  投标人须知资料表</w:t>
      </w:r>
      <w:bookmarkEnd w:id="909"/>
    </w:p>
    <w:p w14:paraId="1EB30974">
      <w:pPr>
        <w:spacing w:line="240" w:lineRule="atLeast"/>
        <w:ind w:left="1080" w:leftChars="257" w:hanging="540"/>
        <w:rPr>
          <w:rStyle w:val="26"/>
          <w:rFonts w:hint="eastAsia" w:ascii="仿宋" w:hAnsi="仿宋" w:eastAsia="仿宋" w:cs="仿宋"/>
          <w:color w:val="auto"/>
          <w:sz w:val="36"/>
          <w:szCs w:val="36"/>
          <w:lang w:eastAsia="zh-CN"/>
        </w:rPr>
      </w:pPr>
    </w:p>
    <w:p w14:paraId="31998643">
      <w:pPr>
        <w:spacing w:line="240" w:lineRule="atLeast"/>
        <w:ind w:firstLine="600" w:firstLineChars="25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本表是本招标项目的具体资料，是对投标人须知的具体补充和修改，如有矛盾，应以本资料表为准。</w:t>
      </w:r>
    </w:p>
    <w:tbl>
      <w:tblPr>
        <w:tblStyle w:val="23"/>
        <w:tblW w:w="8590"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03"/>
        <w:gridCol w:w="7487"/>
      </w:tblGrid>
      <w:tr w14:paraId="23687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103" w:type="dxa"/>
            <w:tcBorders>
              <w:top w:val="single" w:color="000000" w:sz="12" w:space="0"/>
              <w:left w:val="single" w:color="000000" w:sz="12" w:space="0"/>
              <w:bottom w:val="single" w:color="000000" w:sz="6" w:space="0"/>
              <w:right w:val="single" w:color="000000" w:sz="6" w:space="0"/>
            </w:tcBorders>
            <w:vAlign w:val="center"/>
          </w:tcPr>
          <w:p w14:paraId="12E9143D">
            <w:pPr>
              <w:spacing w:line="240" w:lineRule="atLeast"/>
              <w:ind w:firstLine="240" w:firstLineChars="100"/>
              <w:rPr>
                <w:rStyle w:val="26"/>
                <w:rFonts w:hint="eastAsia" w:ascii="仿宋" w:hAnsi="仿宋" w:eastAsia="仿宋" w:cs="仿宋"/>
                <w:color w:val="auto"/>
                <w:sz w:val="24"/>
              </w:rPr>
            </w:pPr>
            <w:r>
              <w:rPr>
                <w:rStyle w:val="26"/>
                <w:rFonts w:hint="eastAsia" w:ascii="仿宋" w:hAnsi="仿宋" w:eastAsia="仿宋" w:cs="仿宋"/>
                <w:color w:val="auto"/>
                <w:sz w:val="24"/>
              </w:rPr>
              <w:t>条款号</w:t>
            </w:r>
          </w:p>
        </w:tc>
        <w:tc>
          <w:tcPr>
            <w:tcW w:w="7487" w:type="dxa"/>
            <w:tcBorders>
              <w:top w:val="single" w:color="000000" w:sz="12" w:space="0"/>
              <w:left w:val="single" w:color="000000" w:sz="6" w:space="0"/>
              <w:bottom w:val="single" w:color="000000" w:sz="6" w:space="0"/>
              <w:right w:val="single" w:color="000000" w:sz="12" w:space="0"/>
            </w:tcBorders>
            <w:vAlign w:val="center"/>
          </w:tcPr>
          <w:p w14:paraId="7DB28B1E">
            <w:pPr>
              <w:spacing w:line="240" w:lineRule="atLeast"/>
              <w:ind w:left="1080" w:leftChars="257" w:hanging="540"/>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内      容</w:t>
            </w:r>
          </w:p>
        </w:tc>
      </w:tr>
      <w:tr w14:paraId="02AACF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CC166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E8CEC48">
            <w:pPr>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采购人：伽师县人民医院</w:t>
            </w:r>
          </w:p>
          <w:p w14:paraId="792A2269">
            <w:pPr>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联系人：申彩虹    联系电话：18799559096</w:t>
            </w:r>
          </w:p>
        </w:tc>
      </w:tr>
      <w:tr w14:paraId="125D2D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E97E99B">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025E414">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采购代理机构：伽师县政府采购中心</w:t>
            </w:r>
          </w:p>
          <w:p w14:paraId="2BACAB67">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地址：伽师县行政审批局四楼（伽师县花园路3号）</w:t>
            </w:r>
          </w:p>
          <w:p w14:paraId="6FCED7DE">
            <w:pPr>
              <w:spacing w:line="240" w:lineRule="atLeast"/>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联系人：陈雪、依明江         电  话：0998-5713206</w:t>
            </w:r>
          </w:p>
        </w:tc>
      </w:tr>
      <w:tr w14:paraId="646629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ACEF4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12DE20E9">
            <w:pPr>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lang w:eastAsia="zh-CN"/>
              </w:rPr>
              <w:t>合格投标人开标时需提供的资格证明文件：</w:t>
            </w:r>
          </w:p>
          <w:p w14:paraId="48E4CEB1">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1.提供有效的营业执照；</w:t>
            </w:r>
          </w:p>
          <w:p w14:paraId="78023032">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2.法定代表人证明或法定代表人授权委托书签字（章）并加盖公章；</w:t>
            </w:r>
          </w:p>
          <w:p w14:paraId="6C4165D2">
            <w:pPr>
              <w:pStyle w:val="16"/>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3.提供投</w:t>
            </w:r>
            <w:r>
              <w:rPr>
                <w:rFonts w:hint="eastAsia" w:ascii="仿宋" w:hAnsi="仿宋" w:eastAsia="仿宋" w:cs="仿宋"/>
                <w:color w:val="auto"/>
                <w:kern w:val="2"/>
                <w:sz w:val="24"/>
                <w:szCs w:val="24"/>
                <w:lang w:eastAsia="zh-CN"/>
              </w:rPr>
              <w:t>标单位近三个月内（任意一个月）的社保证明；</w:t>
            </w:r>
          </w:p>
          <w:p w14:paraId="29E4A59D">
            <w:pPr>
              <w:pStyle w:val="7"/>
              <w:ind w:left="0" w:leftChars="0"/>
              <w:rPr>
                <w:rFonts w:hint="eastAsia" w:ascii="仿宋" w:hAnsi="仿宋" w:eastAsia="仿宋" w:cs="仿宋"/>
                <w:color w:val="auto"/>
                <w:sz w:val="24"/>
                <w:lang w:eastAsia="zh-CN"/>
              </w:rPr>
            </w:pPr>
            <w:r>
              <w:rPr>
                <w:rFonts w:hint="eastAsia" w:ascii="仿宋" w:hAnsi="仿宋" w:eastAsia="仿宋" w:cs="仿宋"/>
                <w:color w:val="auto"/>
                <w:kern w:val="2"/>
                <w:sz w:val="24"/>
                <w:lang w:eastAsia="zh-CN"/>
              </w:rPr>
              <w:t>4.近三个月所属期</w:t>
            </w:r>
            <w:r>
              <w:rPr>
                <w:rFonts w:hint="eastAsia" w:ascii="仿宋" w:hAnsi="仿宋" w:eastAsia="仿宋" w:cs="仿宋"/>
                <w:color w:val="auto"/>
                <w:sz w:val="24"/>
                <w:lang w:eastAsia="zh-CN"/>
              </w:rPr>
              <w:t>限内（任意一个月）依法缴纳税收的证明（税务部门出具的完税凭证或缴税证明或银行出具的“银行电子缴税付款证”）；</w:t>
            </w:r>
          </w:p>
          <w:p w14:paraId="71539B6B">
            <w:pPr>
              <w:pStyle w:val="16"/>
              <w:rPr>
                <w:rFonts w:hint="eastAsia" w:ascii="仿宋" w:hAnsi="仿宋" w:eastAsia="仿宋" w:cs="仿宋"/>
                <w:color w:val="auto"/>
                <w:kern w:val="2"/>
                <w:sz w:val="24"/>
                <w:szCs w:val="24"/>
                <w:lang w:eastAsia="zh-CN"/>
              </w:rPr>
            </w:pPr>
            <w:r>
              <w:rPr>
                <w:rFonts w:hint="eastAsia" w:ascii="仿宋" w:hAnsi="仿宋" w:eastAsia="仿宋" w:cs="仿宋"/>
                <w:color w:val="auto"/>
                <w:sz w:val="24"/>
                <w:lang w:eastAsia="zh-CN"/>
              </w:rPr>
              <w:t>5.良好的商业信誉和健全的财务会计制度证明材料（</w:t>
            </w:r>
            <w:r>
              <w:rPr>
                <w:rFonts w:hint="eastAsia" w:ascii="仿宋" w:hAnsi="仿宋" w:eastAsia="仿宋" w:cs="仿宋"/>
                <w:color w:val="auto"/>
                <w:kern w:val="2"/>
                <w:sz w:val="24"/>
                <w:szCs w:val="24"/>
                <w:lang w:eastAsia="zh-CN"/>
              </w:rPr>
              <w:t>会计事务所出具的2023年或2024年的年度财务审计报告书；注册成立未满一年新公司可提供近三个月内任意一个月的银行资信证明）；</w:t>
            </w:r>
          </w:p>
          <w:p w14:paraId="4B7A3090">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6.提供投标单位按招标文件要求缴纳投标保证金的缴款凭证或金融机构、担保机构出具的保函；</w:t>
            </w:r>
          </w:p>
          <w:p w14:paraId="0E22ADEE">
            <w:pPr>
              <w:pStyle w:val="16"/>
              <w:rPr>
                <w:rFonts w:hint="eastAsia" w:ascii="仿宋" w:hAnsi="仿宋" w:eastAsia="仿宋" w:cs="仿宋"/>
                <w:color w:val="auto"/>
                <w:sz w:val="24"/>
                <w:lang w:eastAsia="zh-CN"/>
              </w:rPr>
            </w:pPr>
            <w:r>
              <w:rPr>
                <w:rFonts w:hint="eastAsia" w:ascii="仿宋" w:hAnsi="仿宋" w:eastAsia="仿宋" w:cs="仿宋"/>
                <w:color w:val="auto"/>
                <w:sz w:val="24"/>
                <w:lang w:eastAsia="zh-CN"/>
              </w:rPr>
              <w:t>7.投标单位（供应商）其法人参加本次采购活动前三年内，在经营活动中没有重大违法记录的声明及对本次项目《反商业贿赂承诺书》；</w:t>
            </w:r>
          </w:p>
          <w:p w14:paraId="390E183B">
            <w:pPr>
              <w:pStyle w:val="2"/>
              <w:rPr>
                <w:rFonts w:hint="eastAsia" w:ascii="仿宋" w:hAnsi="仿宋" w:eastAsia="仿宋" w:cs="仿宋"/>
                <w:snapToGrid w:val="0"/>
                <w:color w:val="auto"/>
                <w:sz w:val="24"/>
                <w:szCs w:val="21"/>
                <w:lang w:val="en-US" w:eastAsia="zh-CN" w:bidi="ar-SA"/>
              </w:rPr>
            </w:pPr>
            <w:r>
              <w:rPr>
                <w:rFonts w:hint="eastAsia" w:ascii="仿宋" w:hAnsi="仿宋" w:eastAsia="仿宋" w:cs="仿宋"/>
                <w:snapToGrid w:val="0"/>
                <w:color w:val="auto"/>
                <w:sz w:val="24"/>
                <w:szCs w:val="21"/>
                <w:lang w:val="en-US" w:eastAsia="zh-CN" w:bidi="ar-SA"/>
              </w:rPr>
              <w:t>8.供应商为中小企业；</w:t>
            </w:r>
          </w:p>
          <w:p w14:paraId="0B46E195">
            <w:pPr>
              <w:pStyle w:val="16"/>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.本项目不接受联合体投标。</w:t>
            </w:r>
          </w:p>
          <w:p w14:paraId="67F02D33">
            <w:pPr>
              <w:spacing w:before="142" w:line="243" w:lineRule="auto"/>
              <w:ind w:left="2"/>
              <w:jc w:val="both"/>
              <w:rPr>
                <w:rFonts w:hint="eastAsia" w:ascii="仿宋" w:hAnsi="仿宋" w:eastAsia="仿宋" w:cs="仿宋"/>
                <w:b/>
                <w:bCs/>
                <w:spacing w:val="11"/>
                <w:sz w:val="23"/>
                <w:szCs w:val="23"/>
                <w:lang w:eastAsia="zh-CN"/>
              </w:rPr>
            </w:pPr>
            <w:r>
              <w:rPr>
                <w:rFonts w:hint="eastAsia" w:ascii="仿宋" w:hAnsi="仿宋" w:eastAsia="仿宋" w:cs="仿宋"/>
                <w:color w:val="auto"/>
                <w:sz w:val="24"/>
                <w:lang w:eastAsia="zh-CN"/>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417AA59B">
            <w:pPr>
              <w:spacing w:before="142" w:line="243" w:lineRule="auto"/>
              <w:ind w:left="2"/>
              <w:jc w:val="both"/>
              <w:rPr>
                <w:rFonts w:hint="eastAsia" w:ascii="仿宋" w:hAnsi="仿宋" w:eastAsia="仿宋" w:cs="仿宋"/>
                <w:color w:val="auto"/>
              </w:rPr>
            </w:pPr>
            <w:r>
              <w:rPr>
                <w:rFonts w:hint="eastAsia" w:ascii="仿宋" w:hAnsi="仿宋" w:eastAsia="仿宋" w:cs="仿宋"/>
                <w:b/>
                <w:bCs/>
                <w:spacing w:val="11"/>
                <w:sz w:val="23"/>
                <w:szCs w:val="23"/>
                <w:lang w:eastAsia="zh-CN"/>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w:t>
            </w:r>
            <w:r>
              <w:rPr>
                <w:rFonts w:hint="eastAsia" w:ascii="仿宋" w:hAnsi="仿宋" w:eastAsia="仿宋" w:cs="仿宋"/>
                <w:b/>
                <w:bCs/>
                <w:spacing w:val="11"/>
                <w:sz w:val="23"/>
                <w:szCs w:val="23"/>
              </w:rPr>
              <w:t>请各供应商注意！</w:t>
            </w:r>
          </w:p>
        </w:tc>
      </w:tr>
      <w:tr w14:paraId="02B3AD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DC496E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7B540B5A">
            <w:pPr>
              <w:spacing w:line="240" w:lineRule="atLeas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是否允许采购进口产品：</w:t>
            </w:r>
            <w:r>
              <w:rPr>
                <w:rStyle w:val="26"/>
                <w:rFonts w:hint="eastAsia" w:ascii="仿宋" w:hAnsi="仿宋" w:eastAsia="仿宋" w:cs="仿宋"/>
                <w:color w:val="auto"/>
                <w:sz w:val="24"/>
                <w:u w:val="single"/>
                <w:lang w:eastAsia="zh-CN"/>
              </w:rPr>
              <w:t>否</w:t>
            </w:r>
          </w:p>
        </w:tc>
      </w:tr>
      <w:tr w14:paraId="5CAD5E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3C38B030">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C27F040">
            <w:pPr>
              <w:spacing w:line="240" w:lineRule="atLeast"/>
              <w:rPr>
                <w:rStyle w:val="26"/>
                <w:rFonts w:hint="eastAsia" w:ascii="仿宋" w:hAnsi="仿宋" w:eastAsia="仿宋" w:cs="仿宋"/>
                <w:color w:val="auto"/>
                <w:sz w:val="24"/>
                <w:lang w:val="en-US" w:eastAsia="zh-CN"/>
              </w:rPr>
            </w:pPr>
            <w:r>
              <w:rPr>
                <w:rStyle w:val="26"/>
                <w:rFonts w:hint="eastAsia" w:ascii="仿宋" w:hAnsi="仿宋" w:eastAsia="仿宋" w:cs="仿宋"/>
                <w:color w:val="auto"/>
                <w:sz w:val="24"/>
                <w:lang w:eastAsia="zh-CN"/>
              </w:rPr>
              <w:t>是否为专门面向中小企业采购：是</w:t>
            </w:r>
          </w:p>
        </w:tc>
      </w:tr>
      <w:tr w14:paraId="3E72EE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8B227C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4ACEE99">
            <w:pPr>
              <w:spacing w:before="43" w:line="408" w:lineRule="exact"/>
              <w:ind w:left="6"/>
              <w:rPr>
                <w:rFonts w:hint="eastAsia" w:ascii="仿宋" w:hAnsi="仿宋" w:eastAsia="仿宋" w:cs="仿宋"/>
                <w:spacing w:val="3"/>
                <w:position w:val="4"/>
                <w:sz w:val="23"/>
                <w:szCs w:val="23"/>
                <w:lang w:eastAsia="zh-CN"/>
              </w:rPr>
            </w:pPr>
            <w:r>
              <w:rPr>
                <w:rFonts w:hint="eastAsia" w:ascii="仿宋" w:hAnsi="仿宋" w:eastAsia="仿宋" w:cs="仿宋"/>
                <w:spacing w:val="3"/>
                <w:position w:val="4"/>
                <w:sz w:val="23"/>
                <w:szCs w:val="23"/>
                <w:lang w:eastAsia="zh-CN"/>
              </w:rPr>
              <w:t>是否允许联合体投标：否</w:t>
            </w:r>
          </w:p>
        </w:tc>
      </w:tr>
      <w:tr w14:paraId="60FD93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C2B09B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1.4.2</w:t>
            </w:r>
          </w:p>
        </w:tc>
        <w:tc>
          <w:tcPr>
            <w:tcW w:w="7487" w:type="dxa"/>
            <w:tcBorders>
              <w:top w:val="single" w:color="000000" w:sz="6" w:space="0"/>
              <w:left w:val="single" w:color="000000" w:sz="6" w:space="0"/>
              <w:bottom w:val="single" w:color="000000" w:sz="6" w:space="0"/>
              <w:right w:val="single" w:color="000000" w:sz="12" w:space="0"/>
            </w:tcBorders>
            <w:vAlign w:val="center"/>
          </w:tcPr>
          <w:p w14:paraId="21F80333">
            <w:pPr>
              <w:spacing w:before="43" w:line="408" w:lineRule="exact"/>
              <w:ind w:left="6"/>
              <w:rPr>
                <w:rFonts w:hint="eastAsia" w:ascii="仿宋" w:hAnsi="仿宋" w:eastAsia="仿宋" w:cs="仿宋"/>
                <w:spacing w:val="3"/>
                <w:position w:val="4"/>
                <w:sz w:val="23"/>
                <w:szCs w:val="23"/>
                <w:lang w:eastAsia="zh-CN"/>
              </w:rPr>
            </w:pPr>
            <w:r>
              <w:rPr>
                <w:rFonts w:hint="eastAsia" w:ascii="仿宋" w:hAnsi="仿宋" w:eastAsia="仿宋" w:cs="仿宋"/>
                <w:spacing w:val="3"/>
                <w:position w:val="4"/>
                <w:sz w:val="23"/>
                <w:szCs w:val="23"/>
                <w:lang w:eastAsia="zh-CN"/>
              </w:rPr>
              <w:t>联合体的其他资格要求：无</w:t>
            </w:r>
          </w:p>
        </w:tc>
      </w:tr>
      <w:tr w14:paraId="30DB9D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8A2511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2.1</w:t>
            </w:r>
          </w:p>
        </w:tc>
        <w:tc>
          <w:tcPr>
            <w:tcW w:w="7487" w:type="dxa"/>
            <w:tcBorders>
              <w:top w:val="single" w:color="000000" w:sz="6" w:space="0"/>
              <w:left w:val="single" w:color="000000" w:sz="6" w:space="0"/>
              <w:bottom w:val="single" w:color="000000" w:sz="6" w:space="0"/>
              <w:right w:val="single" w:color="000000" w:sz="12" w:space="0"/>
            </w:tcBorders>
            <w:vAlign w:val="center"/>
          </w:tcPr>
          <w:p w14:paraId="3EC4B788">
            <w:pPr>
              <w:spacing w:before="43" w:line="408" w:lineRule="exact"/>
              <w:ind w:left="6"/>
              <w:rPr>
                <w:rFonts w:hint="eastAsia" w:ascii="仿宋" w:hAnsi="仿宋" w:eastAsia="仿宋" w:cs="仿宋"/>
                <w:spacing w:val="3"/>
                <w:position w:val="4"/>
                <w:sz w:val="23"/>
                <w:szCs w:val="23"/>
                <w:lang w:val="zh-CN" w:eastAsia="zh-CN"/>
              </w:rPr>
            </w:pPr>
            <w:r>
              <w:rPr>
                <w:rFonts w:hint="eastAsia" w:ascii="仿宋" w:hAnsi="仿宋" w:eastAsia="仿宋" w:cs="仿宋"/>
                <w:spacing w:val="3"/>
                <w:position w:val="4"/>
                <w:sz w:val="23"/>
                <w:szCs w:val="23"/>
                <w:lang w:val="zh-CN" w:eastAsia="zh-CN"/>
              </w:rPr>
              <w:t>采购预算：</w:t>
            </w:r>
            <w:r>
              <w:rPr>
                <w:rFonts w:hint="eastAsia" w:ascii="仿宋" w:hAnsi="仿宋" w:eastAsia="仿宋" w:cs="仿宋"/>
                <w:spacing w:val="3"/>
                <w:position w:val="4"/>
                <w:sz w:val="23"/>
                <w:szCs w:val="23"/>
                <w:lang w:val="en-US" w:eastAsia="zh-CN"/>
              </w:rPr>
              <w:t>2600000</w:t>
            </w:r>
            <w:r>
              <w:rPr>
                <w:rFonts w:hint="eastAsia" w:ascii="仿宋" w:hAnsi="仿宋" w:eastAsia="仿宋" w:cs="仿宋"/>
                <w:spacing w:val="3"/>
                <w:position w:val="4"/>
                <w:sz w:val="23"/>
                <w:szCs w:val="23"/>
                <w:lang w:val="zh-CN" w:eastAsia="zh-CN"/>
              </w:rPr>
              <w:t>元；最高限价：</w:t>
            </w:r>
            <w:r>
              <w:rPr>
                <w:rFonts w:hint="eastAsia" w:ascii="仿宋" w:hAnsi="仿宋" w:eastAsia="仿宋" w:cs="仿宋"/>
                <w:spacing w:val="3"/>
                <w:position w:val="4"/>
                <w:sz w:val="23"/>
                <w:szCs w:val="23"/>
                <w:lang w:val="en-US" w:eastAsia="zh-CN"/>
              </w:rPr>
              <w:t>2600000</w:t>
            </w:r>
            <w:r>
              <w:rPr>
                <w:rFonts w:hint="eastAsia" w:ascii="仿宋" w:hAnsi="仿宋" w:eastAsia="仿宋" w:cs="仿宋"/>
                <w:spacing w:val="3"/>
                <w:position w:val="4"/>
                <w:sz w:val="23"/>
                <w:szCs w:val="23"/>
                <w:lang w:val="zh-CN" w:eastAsia="zh-CN"/>
              </w:rPr>
              <w:t>元</w:t>
            </w:r>
          </w:p>
          <w:p w14:paraId="2EDC7A18">
            <w:pPr>
              <w:spacing w:before="43" w:line="408" w:lineRule="exact"/>
              <w:ind w:left="6"/>
              <w:rPr>
                <w:rFonts w:hint="eastAsia" w:ascii="仿宋" w:hAnsi="仿宋" w:eastAsia="仿宋" w:cs="仿宋"/>
                <w:spacing w:val="3"/>
                <w:position w:val="4"/>
                <w:sz w:val="23"/>
                <w:szCs w:val="23"/>
                <w:lang w:val="en-US" w:eastAsia="zh-CN"/>
              </w:rPr>
            </w:pPr>
            <w:r>
              <w:rPr>
                <w:rFonts w:hint="eastAsia" w:ascii="仿宋" w:hAnsi="仿宋" w:eastAsia="仿宋" w:cs="仿宋"/>
                <w:spacing w:val="3"/>
                <w:position w:val="4"/>
                <w:sz w:val="23"/>
                <w:szCs w:val="23"/>
                <w:lang w:eastAsia="zh-CN"/>
              </w:rPr>
              <w:t>第一标段：预算金额：</w:t>
            </w:r>
            <w:r>
              <w:rPr>
                <w:rFonts w:hint="eastAsia" w:ascii="仿宋" w:hAnsi="仿宋" w:eastAsia="仿宋" w:cs="仿宋"/>
                <w:spacing w:val="3"/>
                <w:position w:val="4"/>
                <w:sz w:val="23"/>
                <w:szCs w:val="23"/>
                <w:lang w:val="en-US" w:eastAsia="zh-CN"/>
              </w:rPr>
              <w:t>1500000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r>
              <w:rPr>
                <w:rFonts w:hint="eastAsia" w:ascii="仿宋" w:hAnsi="仿宋" w:eastAsia="仿宋" w:cs="仿宋"/>
                <w:spacing w:val="3"/>
                <w:position w:val="4"/>
                <w:sz w:val="23"/>
                <w:szCs w:val="23"/>
                <w:lang w:eastAsia="zh-CN"/>
              </w:rPr>
              <w:t>最高限价：</w:t>
            </w:r>
            <w:r>
              <w:rPr>
                <w:rFonts w:hint="eastAsia" w:ascii="仿宋" w:hAnsi="仿宋" w:eastAsia="仿宋" w:cs="仿宋"/>
                <w:spacing w:val="3"/>
                <w:position w:val="4"/>
                <w:sz w:val="23"/>
                <w:szCs w:val="23"/>
                <w:lang w:val="en-US" w:eastAsia="zh-CN"/>
              </w:rPr>
              <w:t>1500000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p>
          <w:p w14:paraId="20AA3F82">
            <w:pPr>
              <w:spacing w:before="43" w:line="408" w:lineRule="exact"/>
              <w:ind w:left="6"/>
              <w:rPr>
                <w:rFonts w:hint="eastAsia" w:ascii="仿宋" w:hAnsi="仿宋" w:eastAsia="仿宋" w:cs="仿宋"/>
                <w:spacing w:val="3"/>
                <w:position w:val="4"/>
                <w:sz w:val="23"/>
                <w:szCs w:val="23"/>
                <w:lang w:val="en-US" w:eastAsia="zh-CN"/>
              </w:rPr>
            </w:pPr>
            <w:r>
              <w:rPr>
                <w:rFonts w:hint="eastAsia" w:ascii="仿宋" w:hAnsi="仿宋" w:eastAsia="仿宋" w:cs="仿宋"/>
                <w:spacing w:val="3"/>
                <w:position w:val="4"/>
                <w:sz w:val="23"/>
                <w:szCs w:val="23"/>
                <w:lang w:eastAsia="zh-CN"/>
              </w:rPr>
              <w:t>第二标段：预算金额：</w:t>
            </w:r>
            <w:r>
              <w:rPr>
                <w:rFonts w:hint="eastAsia" w:ascii="仿宋" w:hAnsi="仿宋" w:eastAsia="仿宋" w:cs="仿宋"/>
                <w:spacing w:val="3"/>
                <w:position w:val="4"/>
                <w:sz w:val="23"/>
                <w:szCs w:val="23"/>
                <w:lang w:val="en-US" w:eastAsia="zh-CN"/>
              </w:rPr>
              <w:t>1100000</w:t>
            </w:r>
            <w:r>
              <w:rPr>
                <w:rFonts w:hint="eastAsia" w:ascii="仿宋" w:hAnsi="仿宋" w:eastAsia="仿宋" w:cs="仿宋"/>
                <w:spacing w:val="3"/>
                <w:position w:val="4"/>
                <w:sz w:val="23"/>
                <w:szCs w:val="23"/>
                <w:lang w:eastAsia="zh-CN"/>
              </w:rPr>
              <w:t>元</w:t>
            </w:r>
            <w:r>
              <w:rPr>
                <w:rFonts w:hint="eastAsia" w:ascii="仿宋" w:hAnsi="仿宋" w:eastAsia="仿宋" w:cs="仿宋"/>
                <w:spacing w:val="3"/>
                <w:position w:val="4"/>
                <w:sz w:val="23"/>
                <w:szCs w:val="23"/>
                <w:lang w:val="en-US" w:eastAsia="zh-CN"/>
              </w:rPr>
              <w:t xml:space="preserve">   </w:t>
            </w:r>
            <w:r>
              <w:rPr>
                <w:rFonts w:hint="eastAsia" w:ascii="仿宋" w:hAnsi="仿宋" w:eastAsia="仿宋" w:cs="仿宋"/>
                <w:spacing w:val="3"/>
                <w:position w:val="4"/>
                <w:sz w:val="23"/>
                <w:szCs w:val="23"/>
                <w:lang w:eastAsia="zh-CN"/>
              </w:rPr>
              <w:t>最高限价：</w:t>
            </w:r>
            <w:r>
              <w:rPr>
                <w:rFonts w:hint="eastAsia" w:ascii="仿宋" w:hAnsi="仿宋" w:eastAsia="仿宋" w:cs="仿宋"/>
                <w:spacing w:val="3"/>
                <w:position w:val="4"/>
                <w:sz w:val="23"/>
                <w:szCs w:val="23"/>
                <w:lang w:val="en-US" w:eastAsia="zh-CN"/>
              </w:rPr>
              <w:t>1100000</w:t>
            </w:r>
            <w:r>
              <w:rPr>
                <w:rFonts w:hint="eastAsia" w:ascii="仿宋" w:hAnsi="仿宋" w:eastAsia="仿宋" w:cs="仿宋"/>
                <w:spacing w:val="3"/>
                <w:position w:val="4"/>
                <w:sz w:val="23"/>
                <w:szCs w:val="23"/>
                <w:lang w:eastAsia="zh-CN"/>
              </w:rPr>
              <w:t>元</w:t>
            </w:r>
          </w:p>
          <w:p w14:paraId="5D16B202">
            <w:pPr>
              <w:spacing w:before="43" w:line="408" w:lineRule="exact"/>
              <w:ind w:left="6"/>
              <w:rPr>
                <w:rStyle w:val="26"/>
                <w:rFonts w:hint="eastAsia" w:ascii="仿宋" w:hAnsi="仿宋" w:eastAsia="仿宋" w:cs="仿宋"/>
                <w:color w:val="auto"/>
                <w:sz w:val="24"/>
                <w:lang w:eastAsia="zh-CN"/>
              </w:rPr>
            </w:pPr>
            <w:r>
              <w:rPr>
                <w:rFonts w:hint="eastAsia" w:ascii="仿宋" w:hAnsi="仿宋" w:eastAsia="仿宋" w:cs="仿宋"/>
                <w:spacing w:val="3"/>
                <w:position w:val="4"/>
                <w:sz w:val="23"/>
                <w:szCs w:val="23"/>
                <w:lang w:val="zh-CN" w:eastAsia="zh-CN"/>
              </w:rPr>
              <w:t>（超过最高限价的投标无效）；</w:t>
            </w:r>
          </w:p>
        </w:tc>
      </w:tr>
      <w:tr w14:paraId="47278F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EC26E70">
            <w:pPr>
              <w:rPr>
                <w:rFonts w:hint="eastAsia" w:ascii="仿宋" w:hAnsi="仿宋" w:eastAsia="仿宋" w:cs="仿宋"/>
                <w:color w:val="auto"/>
                <w:sz w:val="24"/>
                <w:szCs w:val="24"/>
                <w:lang w:val="zh-CN" w:eastAsia="zh-CN" w:bidi="ar"/>
              </w:rPr>
            </w:pPr>
            <w:r>
              <w:rPr>
                <w:rFonts w:hint="eastAsia" w:ascii="仿宋" w:hAnsi="仿宋" w:eastAsia="仿宋" w:cs="仿宋"/>
                <w:color w:val="auto"/>
                <w:sz w:val="24"/>
                <w:szCs w:val="24"/>
                <w:lang w:val="zh-CN" w:eastAsia="zh-CN" w:bidi="ar"/>
              </w:rPr>
              <w:t>2.2</w:t>
            </w:r>
          </w:p>
        </w:tc>
        <w:tc>
          <w:tcPr>
            <w:tcW w:w="7487" w:type="dxa"/>
            <w:tcBorders>
              <w:top w:val="single" w:color="000000" w:sz="6" w:space="0"/>
              <w:left w:val="single" w:color="000000" w:sz="6" w:space="0"/>
              <w:bottom w:val="single" w:color="000000" w:sz="6" w:space="0"/>
              <w:right w:val="single" w:color="000000" w:sz="12" w:space="0"/>
            </w:tcBorders>
            <w:vAlign w:val="center"/>
          </w:tcPr>
          <w:p w14:paraId="4B7E734A">
            <w:pPr>
              <w:spacing w:line="240" w:lineRule="atLeast"/>
              <w:rPr>
                <w:rStyle w:val="26"/>
                <w:rFonts w:hint="eastAsia" w:ascii="仿宋" w:hAnsi="仿宋" w:eastAsia="仿宋" w:cs="仿宋"/>
                <w:color w:val="auto"/>
                <w:sz w:val="24"/>
                <w:lang w:eastAsia="zh-CN"/>
              </w:rPr>
            </w:pPr>
            <w:r>
              <w:rPr>
                <w:rFonts w:hint="eastAsia" w:ascii="仿宋" w:hAnsi="仿宋" w:eastAsia="仿宋" w:cs="仿宋"/>
                <w:spacing w:val="3"/>
                <w:position w:val="4"/>
                <w:sz w:val="23"/>
                <w:szCs w:val="23"/>
                <w:lang w:val="zh-CN" w:eastAsia="zh-CN"/>
              </w:rPr>
              <w:t>注：本项目分为两个标段</w:t>
            </w:r>
            <w:r>
              <w:rPr>
                <w:rFonts w:hint="eastAsia" w:ascii="仿宋" w:hAnsi="仿宋" w:eastAsia="仿宋" w:cs="仿宋"/>
                <w:spacing w:val="3"/>
                <w:position w:val="4"/>
                <w:sz w:val="23"/>
                <w:szCs w:val="23"/>
                <w:lang w:eastAsia="zh-CN"/>
              </w:rPr>
              <w:t>。</w:t>
            </w:r>
          </w:p>
        </w:tc>
      </w:tr>
      <w:tr w14:paraId="4CA07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6672362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12.1</w:t>
            </w:r>
          </w:p>
        </w:tc>
        <w:tc>
          <w:tcPr>
            <w:tcW w:w="7487" w:type="dxa"/>
            <w:tcBorders>
              <w:top w:val="single" w:color="000000" w:sz="6" w:space="0"/>
              <w:left w:val="single" w:color="000000" w:sz="6" w:space="0"/>
              <w:bottom w:val="single" w:color="000000" w:sz="6" w:space="0"/>
              <w:right w:val="single" w:color="000000" w:sz="12" w:space="0"/>
            </w:tcBorders>
            <w:vAlign w:val="center"/>
          </w:tcPr>
          <w:tbl>
            <w:tblPr>
              <w:tblStyle w:val="35"/>
              <w:tblW w:w="859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3"/>
            </w:tblGrid>
            <w:tr w14:paraId="06A8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8593" w:type="dxa"/>
                  <w:tcBorders>
                    <w:right w:val="single" w:color="000000" w:sz="10" w:space="0"/>
                  </w:tcBorders>
                </w:tcPr>
                <w:p w14:paraId="128E9768">
                  <w:pPr>
                    <w:spacing w:before="43" w:line="408" w:lineRule="exact"/>
                    <w:ind w:left="6"/>
                    <w:rPr>
                      <w:rFonts w:hint="eastAsia" w:ascii="仿宋" w:hAnsi="仿宋" w:eastAsia="仿宋" w:cs="仿宋"/>
                      <w:color w:val="auto"/>
                      <w:kern w:val="2"/>
                      <w:sz w:val="24"/>
                      <w:szCs w:val="24"/>
                      <w:lang w:eastAsia="zh-CN"/>
                    </w:rPr>
                  </w:pPr>
                  <w:r>
                    <w:rPr>
                      <w:rFonts w:hint="eastAsia" w:ascii="仿宋" w:hAnsi="仿宋" w:eastAsia="仿宋" w:cs="仿宋"/>
                      <w:spacing w:val="3"/>
                      <w:position w:val="4"/>
                      <w:sz w:val="23"/>
                      <w:szCs w:val="23"/>
                      <w:lang w:eastAsia="zh-CN"/>
                    </w:rPr>
                    <w:t>投标保证金形式：</w:t>
                  </w:r>
                  <w:r>
                    <w:rPr>
                      <w:rFonts w:hint="eastAsia" w:ascii="仿宋" w:hAnsi="仿宋" w:eastAsia="仿宋" w:cs="仿宋"/>
                      <w:color w:val="auto"/>
                      <w:kern w:val="2"/>
                      <w:sz w:val="24"/>
                      <w:szCs w:val="24"/>
                      <w:lang w:eastAsia="zh-CN"/>
                    </w:rPr>
                    <w:t>☑电汇☑支票☑本票☑保函☑等非现金形式提交</w:t>
                  </w:r>
                </w:p>
                <w:p w14:paraId="7703CABB">
                  <w:pPr>
                    <w:numPr>
                      <w:ilvl w:val="0"/>
                      <w:numId w:val="0"/>
                    </w:numPr>
                    <w:kinsoku/>
                    <w:autoSpaceDE/>
                    <w:autoSpaceDN/>
                    <w:adjustRightInd/>
                    <w:spacing w:line="396" w:lineRule="exact"/>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投标保证金数额:</w:t>
                  </w:r>
                </w:p>
                <w:p w14:paraId="082ECE29">
                  <w:pPr>
                    <w:numPr>
                      <w:ilvl w:val="0"/>
                      <w:numId w:val="0"/>
                    </w:numPr>
                    <w:kinsoku/>
                    <w:autoSpaceDE/>
                    <w:autoSpaceDN/>
                    <w:adjustRightInd/>
                    <w:spacing w:line="396" w:lineRule="exact"/>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eastAsia="zh-CN"/>
                    </w:rPr>
                    <w:t>第一标段：</w:t>
                  </w:r>
                  <w:r>
                    <w:rPr>
                      <w:rFonts w:hint="eastAsia" w:ascii="仿宋" w:hAnsi="仿宋" w:eastAsia="仿宋" w:cs="仿宋"/>
                      <w:spacing w:val="2"/>
                      <w:position w:val="4"/>
                      <w:sz w:val="23"/>
                      <w:szCs w:val="23"/>
                      <w:lang w:val="en-US" w:eastAsia="zh-CN"/>
                    </w:rPr>
                    <w:t xml:space="preserve">30000元  </w:t>
                  </w:r>
                </w:p>
                <w:p w14:paraId="67021A65">
                  <w:pPr>
                    <w:numPr>
                      <w:ilvl w:val="0"/>
                      <w:numId w:val="0"/>
                    </w:numPr>
                    <w:kinsoku/>
                    <w:autoSpaceDE/>
                    <w:autoSpaceDN/>
                    <w:adjustRightInd/>
                    <w:spacing w:line="396" w:lineRule="exact"/>
                    <w:rPr>
                      <w:rFonts w:hint="eastAsia" w:ascii="仿宋" w:hAnsi="仿宋" w:eastAsia="仿宋" w:cs="仿宋"/>
                      <w:color w:val="auto"/>
                      <w:kern w:val="2"/>
                      <w:sz w:val="24"/>
                      <w:lang w:val="en-US" w:eastAsia="zh-CN"/>
                    </w:rPr>
                  </w:pPr>
                  <w:r>
                    <w:rPr>
                      <w:rFonts w:hint="eastAsia" w:ascii="仿宋" w:hAnsi="仿宋" w:eastAsia="仿宋" w:cs="仿宋"/>
                      <w:spacing w:val="2"/>
                      <w:position w:val="4"/>
                      <w:sz w:val="23"/>
                      <w:szCs w:val="23"/>
                      <w:lang w:eastAsia="zh-CN"/>
                    </w:rPr>
                    <w:t>第二标段：</w:t>
                  </w:r>
                  <w:r>
                    <w:rPr>
                      <w:rFonts w:hint="eastAsia" w:ascii="仿宋" w:hAnsi="仿宋" w:eastAsia="仿宋" w:cs="仿宋"/>
                      <w:spacing w:val="2"/>
                      <w:position w:val="4"/>
                      <w:sz w:val="23"/>
                      <w:szCs w:val="23"/>
                      <w:lang w:val="en-US" w:eastAsia="zh-CN"/>
                    </w:rPr>
                    <w:t>22000</w:t>
                  </w:r>
                  <w:r>
                    <w:rPr>
                      <w:rFonts w:hint="eastAsia" w:ascii="仿宋" w:hAnsi="仿宋" w:eastAsia="仿宋" w:cs="仿宋"/>
                      <w:spacing w:val="2"/>
                      <w:position w:val="4"/>
                      <w:sz w:val="23"/>
                      <w:szCs w:val="23"/>
                      <w:lang w:eastAsia="zh-CN"/>
                    </w:rPr>
                    <w:t>元</w:t>
                  </w:r>
                  <w:r>
                    <w:rPr>
                      <w:rFonts w:hint="eastAsia" w:ascii="仿宋" w:hAnsi="仿宋" w:eastAsia="仿宋" w:cs="仿宋"/>
                      <w:spacing w:val="2"/>
                      <w:position w:val="4"/>
                      <w:sz w:val="23"/>
                      <w:szCs w:val="23"/>
                      <w:lang w:val="en-US" w:eastAsia="zh-CN"/>
                    </w:rPr>
                    <w:t xml:space="preserve"> </w:t>
                  </w:r>
                  <w:r>
                    <w:rPr>
                      <w:rFonts w:hint="eastAsia" w:ascii="仿宋" w:hAnsi="仿宋" w:eastAsia="仿宋" w:cs="仿宋"/>
                      <w:color w:val="auto"/>
                      <w:kern w:val="2"/>
                      <w:sz w:val="24"/>
                      <w:lang w:val="en-US" w:eastAsia="zh-CN"/>
                    </w:rPr>
                    <w:t xml:space="preserve">  </w:t>
                  </w:r>
                </w:p>
                <w:p w14:paraId="252C15BA">
                  <w:pPr>
                    <w:spacing w:before="43" w:line="408" w:lineRule="exact"/>
                    <w:ind w:left="6"/>
                    <w:rPr>
                      <w:rFonts w:hint="eastAsia" w:ascii="仿宋" w:hAnsi="仿宋" w:eastAsia="仿宋" w:cs="仿宋"/>
                      <w:spacing w:val="2"/>
                      <w:position w:val="4"/>
                      <w:sz w:val="23"/>
                      <w:szCs w:val="23"/>
                      <w:lang w:eastAsia="zh-CN"/>
                    </w:rPr>
                  </w:pPr>
                  <w:r>
                    <w:rPr>
                      <w:rFonts w:hint="eastAsia" w:ascii="仿宋" w:hAnsi="仿宋" w:eastAsia="仿宋" w:cs="仿宋"/>
                      <w:spacing w:val="2"/>
                      <w:position w:val="4"/>
                      <w:sz w:val="23"/>
                      <w:szCs w:val="23"/>
                      <w:lang w:eastAsia="zh-CN"/>
                    </w:rPr>
                    <w:t>投标保证金缴纳账户：伽师县人民医院</w:t>
                  </w:r>
                </w:p>
                <w:p w14:paraId="645EA485">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eastAsia="zh-CN"/>
                    </w:rPr>
                    <w:t>银行账号：</w:t>
                  </w:r>
                  <w:r>
                    <w:rPr>
                      <w:rFonts w:hint="eastAsia" w:ascii="仿宋" w:hAnsi="仿宋" w:eastAsia="仿宋" w:cs="仿宋"/>
                      <w:spacing w:val="2"/>
                      <w:position w:val="4"/>
                      <w:sz w:val="23"/>
                      <w:szCs w:val="23"/>
                      <w:lang w:val="en-US" w:eastAsia="zh-CN"/>
                    </w:rPr>
                    <w:t>865010012010114526603　　</w:t>
                  </w:r>
                </w:p>
                <w:p w14:paraId="30C0CF92">
                  <w:pPr>
                    <w:spacing w:before="43" w:line="408" w:lineRule="exact"/>
                    <w:ind w:left="6"/>
                    <w:rPr>
                      <w:rFonts w:hint="eastAsia" w:ascii="仿宋" w:hAnsi="仿宋" w:eastAsia="仿宋" w:cs="仿宋"/>
                      <w:spacing w:val="2"/>
                      <w:position w:val="4"/>
                      <w:sz w:val="23"/>
                      <w:szCs w:val="23"/>
                      <w:lang w:val="en-US" w:eastAsia="zh-CN"/>
                    </w:rPr>
                  </w:pPr>
                  <w:r>
                    <w:rPr>
                      <w:rFonts w:hint="eastAsia" w:ascii="仿宋" w:hAnsi="仿宋" w:eastAsia="仿宋" w:cs="仿宋"/>
                      <w:spacing w:val="2"/>
                      <w:position w:val="4"/>
                      <w:sz w:val="23"/>
                      <w:szCs w:val="23"/>
                      <w:lang w:val="en-US" w:eastAsia="zh-CN"/>
                    </w:rPr>
                    <w:t>开 户 行：伽师县农村信用合社联社</w:t>
                  </w:r>
                </w:p>
                <w:p w14:paraId="7BE79C72">
                  <w:pPr>
                    <w:spacing w:before="34" w:line="244" w:lineRule="auto"/>
                    <w:ind w:left="9" w:right="61" w:firstLine="5"/>
                    <w:jc w:val="both"/>
                    <w:rPr>
                      <w:rFonts w:hint="eastAsia" w:ascii="仿宋" w:hAnsi="仿宋" w:eastAsia="仿宋" w:cs="仿宋"/>
                      <w:sz w:val="23"/>
                      <w:szCs w:val="23"/>
                      <w:lang w:eastAsia="zh-CN"/>
                    </w:rPr>
                  </w:pPr>
                  <w:r>
                    <w:rPr>
                      <w:rFonts w:hint="eastAsia" w:ascii="仿宋" w:hAnsi="仿宋" w:eastAsia="仿宋" w:cs="仿宋"/>
                      <w:b/>
                      <w:bCs/>
                      <w:spacing w:val="6"/>
                      <w:sz w:val="23"/>
                      <w:szCs w:val="23"/>
                      <w:lang w:eastAsia="zh-CN"/>
                    </w:rPr>
                    <w:t>（根据中华人民共和国财政部令第</w:t>
                  </w:r>
                  <w:r>
                    <w:rPr>
                      <w:rFonts w:hint="eastAsia" w:ascii="仿宋" w:hAnsi="仿宋" w:eastAsia="仿宋" w:cs="仿宋"/>
                      <w:spacing w:val="-36"/>
                      <w:sz w:val="23"/>
                      <w:szCs w:val="23"/>
                      <w:lang w:eastAsia="zh-CN"/>
                    </w:rPr>
                    <w:t xml:space="preserve"> </w:t>
                  </w:r>
                  <w:r>
                    <w:rPr>
                      <w:rFonts w:hint="eastAsia" w:ascii="仿宋" w:hAnsi="仿宋" w:eastAsia="仿宋" w:cs="仿宋"/>
                      <w:b/>
                      <w:bCs/>
                      <w:spacing w:val="6"/>
                      <w:sz w:val="23"/>
                      <w:szCs w:val="23"/>
                      <w:lang w:eastAsia="zh-CN"/>
                    </w:rPr>
                    <w:t>87</w:t>
                  </w:r>
                  <w:r>
                    <w:rPr>
                      <w:rFonts w:hint="eastAsia" w:ascii="仿宋" w:hAnsi="仿宋" w:eastAsia="仿宋" w:cs="仿宋"/>
                      <w:spacing w:val="-31"/>
                      <w:sz w:val="23"/>
                      <w:szCs w:val="23"/>
                      <w:lang w:eastAsia="zh-CN"/>
                    </w:rPr>
                    <w:t xml:space="preserve"> </w:t>
                  </w:r>
                  <w:r>
                    <w:rPr>
                      <w:rFonts w:hint="eastAsia" w:ascii="仿宋" w:hAnsi="仿宋" w:eastAsia="仿宋" w:cs="仿宋"/>
                      <w:b/>
                      <w:bCs/>
                      <w:spacing w:val="6"/>
                      <w:sz w:val="23"/>
                      <w:szCs w:val="23"/>
                      <w:lang w:eastAsia="zh-CN"/>
                    </w:rPr>
                    <w:t>号《政府采购货物和服务招标投</w:t>
                  </w:r>
                  <w:r>
                    <w:rPr>
                      <w:rFonts w:hint="eastAsia" w:ascii="仿宋" w:hAnsi="仿宋" w:eastAsia="仿宋" w:cs="仿宋"/>
                      <w:sz w:val="23"/>
                      <w:szCs w:val="23"/>
                      <w:lang w:eastAsia="zh-CN"/>
                    </w:rPr>
                    <w:t xml:space="preserve">  </w:t>
                  </w:r>
                  <w:r>
                    <w:rPr>
                      <w:rFonts w:hint="eastAsia" w:ascii="仿宋" w:hAnsi="仿宋" w:eastAsia="仿宋" w:cs="仿宋"/>
                      <w:b/>
                      <w:bCs/>
                      <w:spacing w:val="5"/>
                      <w:sz w:val="23"/>
                      <w:szCs w:val="23"/>
                      <w:lang w:eastAsia="zh-CN"/>
                    </w:rPr>
                    <w:t>标管理办法》第</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38</w:t>
                  </w:r>
                  <w:r>
                    <w:rPr>
                      <w:rFonts w:hint="eastAsia" w:ascii="仿宋" w:hAnsi="仿宋" w:eastAsia="仿宋" w:cs="仿宋"/>
                      <w:spacing w:val="-34"/>
                      <w:sz w:val="23"/>
                      <w:szCs w:val="23"/>
                      <w:lang w:eastAsia="zh-CN"/>
                    </w:rPr>
                    <w:t xml:space="preserve"> </w:t>
                  </w:r>
                  <w:r>
                    <w:rPr>
                      <w:rFonts w:hint="eastAsia" w:ascii="仿宋" w:hAnsi="仿宋" w:eastAsia="仿宋" w:cs="仿宋"/>
                      <w:b/>
                      <w:bCs/>
                      <w:spacing w:val="5"/>
                      <w:sz w:val="23"/>
                      <w:szCs w:val="23"/>
                      <w:lang w:eastAsia="zh-CN"/>
                    </w:rPr>
                    <w:t>条：投标保证金应当自中标通知书发出之日起</w:t>
                  </w:r>
                  <w:r>
                    <w:rPr>
                      <w:rFonts w:hint="eastAsia" w:ascii="仿宋" w:hAnsi="仿宋" w:eastAsia="仿宋" w:cs="仿宋"/>
                      <w:spacing w:val="-39"/>
                      <w:sz w:val="23"/>
                      <w:szCs w:val="23"/>
                      <w:lang w:eastAsia="zh-CN"/>
                    </w:rPr>
                    <w:t xml:space="preserve"> </w:t>
                  </w:r>
                  <w:r>
                    <w:rPr>
                      <w:rFonts w:hint="eastAsia" w:ascii="仿宋" w:hAnsi="仿宋" w:eastAsia="仿宋" w:cs="仿宋"/>
                      <w:b/>
                      <w:bCs/>
                      <w:spacing w:val="5"/>
                      <w:sz w:val="23"/>
                      <w:szCs w:val="23"/>
                      <w:lang w:eastAsia="zh-CN"/>
                    </w:rPr>
                    <w:t>5</w:t>
                  </w:r>
                  <w:r>
                    <w:rPr>
                      <w:rFonts w:hint="eastAsia" w:ascii="仿宋" w:hAnsi="仿宋" w:eastAsia="仿宋" w:cs="仿宋"/>
                      <w:spacing w:val="-38"/>
                      <w:sz w:val="23"/>
                      <w:szCs w:val="23"/>
                      <w:lang w:eastAsia="zh-CN"/>
                    </w:rPr>
                    <w:t xml:space="preserve"> </w:t>
                  </w:r>
                  <w:r>
                    <w:rPr>
                      <w:rFonts w:hint="eastAsia" w:ascii="仿宋" w:hAnsi="仿宋" w:eastAsia="仿宋" w:cs="仿宋"/>
                      <w:b/>
                      <w:bCs/>
                      <w:spacing w:val="5"/>
                      <w:sz w:val="23"/>
                      <w:szCs w:val="23"/>
                      <w:lang w:eastAsia="zh-CN"/>
                    </w:rPr>
                    <w:t>个</w:t>
                  </w:r>
                  <w:r>
                    <w:rPr>
                      <w:rFonts w:hint="eastAsia" w:ascii="仿宋" w:hAnsi="仿宋" w:eastAsia="仿宋" w:cs="仿宋"/>
                      <w:b/>
                      <w:bCs/>
                      <w:spacing w:val="7"/>
                      <w:sz w:val="23"/>
                      <w:szCs w:val="23"/>
                      <w:lang w:eastAsia="zh-CN"/>
                    </w:rPr>
                    <w:t>工作日内退还未中标人的投标保证金，采购人自采购合同签订之日起</w:t>
                  </w:r>
                  <w:r>
                    <w:rPr>
                      <w:rFonts w:hint="eastAsia" w:ascii="仿宋" w:hAnsi="仿宋" w:eastAsia="仿宋" w:cs="仿宋"/>
                      <w:spacing w:val="-32"/>
                      <w:sz w:val="23"/>
                      <w:szCs w:val="23"/>
                      <w:lang w:eastAsia="zh-CN"/>
                    </w:rPr>
                    <w:t xml:space="preserve"> </w:t>
                  </w:r>
                  <w:r>
                    <w:rPr>
                      <w:rFonts w:hint="eastAsia" w:ascii="仿宋" w:hAnsi="仿宋" w:eastAsia="仿宋" w:cs="仿宋"/>
                      <w:b/>
                      <w:bCs/>
                      <w:spacing w:val="7"/>
                      <w:sz w:val="23"/>
                      <w:szCs w:val="23"/>
                      <w:lang w:eastAsia="zh-CN"/>
                    </w:rPr>
                    <w:t>5</w:t>
                  </w:r>
                  <w:r>
                    <w:rPr>
                      <w:rFonts w:hint="eastAsia" w:ascii="仿宋" w:hAnsi="仿宋" w:eastAsia="仿宋" w:cs="仿宋"/>
                      <w:sz w:val="23"/>
                      <w:szCs w:val="23"/>
                      <w:lang w:eastAsia="zh-CN"/>
                    </w:rPr>
                    <w:t xml:space="preserve"> </w:t>
                  </w:r>
                  <w:r>
                    <w:rPr>
                      <w:rFonts w:hint="eastAsia" w:ascii="仿宋" w:hAnsi="仿宋" w:eastAsia="仿宋" w:cs="仿宋"/>
                      <w:b/>
                      <w:bCs/>
                      <w:spacing w:val="6"/>
                      <w:sz w:val="23"/>
                      <w:szCs w:val="23"/>
                      <w:lang w:eastAsia="zh-CN"/>
                    </w:rPr>
                    <w:t>个工作日内退还中标人的投标保证金。）</w:t>
                  </w:r>
                </w:p>
                <w:p w14:paraId="1040DD0A">
                  <w:pPr>
                    <w:spacing w:before="29" w:line="215" w:lineRule="auto"/>
                    <w:ind w:left="6"/>
                    <w:rPr>
                      <w:rFonts w:hint="eastAsia" w:ascii="仿宋" w:hAnsi="仿宋" w:eastAsia="仿宋" w:cs="仿宋"/>
                      <w:sz w:val="23"/>
                      <w:szCs w:val="23"/>
                      <w:lang w:eastAsia="zh-CN"/>
                    </w:rPr>
                  </w:pPr>
                  <w:r>
                    <w:rPr>
                      <w:rFonts w:hint="eastAsia" w:ascii="仿宋" w:hAnsi="仿宋" w:eastAsia="仿宋" w:cs="仿宋"/>
                      <w:b/>
                      <w:bCs/>
                      <w:spacing w:val="7"/>
                      <w:sz w:val="23"/>
                      <w:szCs w:val="23"/>
                      <w:lang w:eastAsia="zh-CN"/>
                    </w:rPr>
                    <w:t>投标人未按招标文件规定缴纳投标保证金的</w:t>
                  </w:r>
                  <w:r>
                    <w:rPr>
                      <w:rFonts w:hint="eastAsia" w:ascii="仿宋" w:hAnsi="仿宋" w:eastAsia="仿宋" w:cs="仿宋"/>
                      <w:b/>
                      <w:bCs/>
                      <w:spacing w:val="6"/>
                      <w:sz w:val="23"/>
                      <w:szCs w:val="23"/>
                      <w:lang w:eastAsia="zh-CN"/>
                    </w:rPr>
                    <w:t>,投标文件将被拒绝评审。</w:t>
                  </w:r>
                </w:p>
              </w:tc>
            </w:tr>
          </w:tbl>
          <w:p w14:paraId="14F32D8E">
            <w:pPr>
              <w:pStyle w:val="16"/>
              <w:rPr>
                <w:rFonts w:hint="eastAsia" w:ascii="仿宋" w:hAnsi="仿宋" w:eastAsia="仿宋" w:cs="仿宋"/>
                <w:color w:val="auto"/>
                <w:lang w:eastAsia="zh-CN"/>
              </w:rPr>
            </w:pPr>
          </w:p>
        </w:tc>
      </w:tr>
      <w:tr w14:paraId="380EF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5BD07D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7FB97DC3">
            <w:pPr>
              <w:spacing w:line="240" w:lineRule="atLeast"/>
              <w:rPr>
                <w:rStyle w:val="26"/>
                <w:rFonts w:hint="eastAsia" w:ascii="仿宋" w:hAnsi="仿宋" w:eastAsia="仿宋" w:cs="仿宋"/>
                <w:color w:val="auto"/>
                <w:sz w:val="24"/>
                <w:u w:val="single" w:color="000000"/>
              </w:rPr>
            </w:pPr>
            <w:r>
              <w:rPr>
                <w:rStyle w:val="26"/>
                <w:rFonts w:hint="eastAsia" w:ascii="仿宋" w:hAnsi="仿宋" w:eastAsia="仿宋" w:cs="仿宋"/>
                <w:color w:val="auto"/>
                <w:sz w:val="24"/>
              </w:rPr>
              <w:t>投标有效期：</w:t>
            </w:r>
            <w:r>
              <w:rPr>
                <w:rStyle w:val="26"/>
                <w:rFonts w:hint="eastAsia" w:ascii="仿宋" w:hAnsi="仿宋" w:eastAsia="仿宋" w:cs="仿宋"/>
                <w:color w:val="auto"/>
                <w:sz w:val="24"/>
                <w:u w:val="single" w:color="000000"/>
              </w:rPr>
              <w:t>90</w:t>
            </w:r>
            <w:r>
              <w:rPr>
                <w:rStyle w:val="26"/>
                <w:rFonts w:hint="eastAsia" w:ascii="仿宋" w:hAnsi="仿宋" w:eastAsia="仿宋" w:cs="仿宋"/>
                <w:color w:val="auto"/>
                <w:sz w:val="24"/>
              </w:rPr>
              <w:t>日历日</w:t>
            </w:r>
          </w:p>
        </w:tc>
      </w:tr>
      <w:tr w14:paraId="5A7A97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238943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14.1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B2F0EC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1.本项目为电子招投标，供应商需要使用 CA 加密设备，凡参加本项目必须可自主通过新疆CA申领渠道“新疆政务通”申请政采云平台可使用的 CA 设备，如原有兵团或公共资源使用的 CA，可与新疆 CA 联系，申请增加电子证书即可，无需重复申领。 </w:t>
            </w:r>
          </w:p>
          <w:p w14:paraId="47B7965F">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2.本项目实行网上投标，采用电子投标文件(供应商须使用 CA 加密设备通过政采云电子投标客户端制作投标文件)。若供应商参与投标，自行承担投标一切费用。 </w:t>
            </w:r>
          </w:p>
          <w:p w14:paraId="03BF0741">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2352E9DD">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95763 进行咨询。 </w:t>
            </w:r>
          </w:p>
          <w:p w14:paraId="1C6EB85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63094376">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02D908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B14BA87">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8.各供应商须在投标截止时间前完成在系统上递交电子投标文件。 </w:t>
            </w:r>
          </w:p>
          <w:p w14:paraId="6B432919">
            <w:pPr>
              <w:rPr>
                <w:rFonts w:hint="eastAsia" w:ascii="仿宋" w:hAnsi="仿宋" w:eastAsia="仿宋" w:cs="仿宋"/>
                <w:color w:val="auto"/>
                <w:lang w:eastAsia="zh-CN"/>
              </w:rPr>
            </w:pPr>
            <w:r>
              <w:rPr>
                <w:rFonts w:hint="eastAsia" w:ascii="仿宋" w:hAnsi="仿宋" w:eastAsia="仿宋" w:cs="仿宋"/>
                <w:color w:val="auto"/>
                <w:sz w:val="24"/>
                <w:szCs w:val="24"/>
                <w:lang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7A068E85">
            <w:pPr>
              <w:rPr>
                <w:rStyle w:val="26"/>
                <w:rFonts w:hint="eastAsia" w:ascii="仿宋" w:hAnsi="仿宋" w:eastAsia="仿宋" w:cs="仿宋"/>
                <w:color w:val="auto"/>
                <w:sz w:val="24"/>
              </w:rPr>
            </w:pPr>
            <w:r>
              <w:rPr>
                <w:rFonts w:hint="eastAsia" w:ascii="仿宋" w:hAnsi="仿宋" w:eastAsia="仿宋" w:cs="仿宋"/>
                <w:color w:val="auto"/>
                <w:sz w:val="24"/>
                <w:szCs w:val="24"/>
                <w:lang w:eastAsia="zh-CN" w:bidi="ar"/>
              </w:rPr>
              <w:t>9.解密时长为 30 分钟。</w:t>
            </w:r>
          </w:p>
        </w:tc>
      </w:tr>
      <w:tr w14:paraId="70529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0D2F0F4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16.1</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6DAD67">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投标截止时间：2025年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eastAsia="zh-CN" w:bidi="ar"/>
              </w:rPr>
              <w:t>月</w:t>
            </w:r>
            <w:r>
              <w:rPr>
                <w:rFonts w:hint="eastAsia" w:ascii="仿宋" w:hAnsi="仿宋" w:eastAsia="仿宋" w:cs="仿宋"/>
                <w:color w:val="auto"/>
                <w:sz w:val="24"/>
                <w:szCs w:val="24"/>
                <w:lang w:val="en-US" w:eastAsia="zh-CN" w:bidi="ar"/>
              </w:rPr>
              <w:t>24</w:t>
            </w:r>
            <w:r>
              <w:rPr>
                <w:rFonts w:hint="eastAsia" w:ascii="仿宋" w:hAnsi="仿宋" w:eastAsia="仿宋" w:cs="仿宋"/>
                <w:color w:val="auto"/>
                <w:sz w:val="24"/>
                <w:szCs w:val="24"/>
                <w:lang w:eastAsia="zh-CN" w:bidi="ar"/>
              </w:rPr>
              <w:t>日11：00（北京时间）</w:t>
            </w:r>
          </w:p>
        </w:tc>
      </w:tr>
      <w:tr w14:paraId="3D7EA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0A807F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18.1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8B8370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开标时间：2025年</w:t>
            </w:r>
            <w:r>
              <w:rPr>
                <w:rFonts w:hint="eastAsia" w:ascii="仿宋" w:hAnsi="仿宋" w:eastAsia="仿宋" w:cs="仿宋"/>
                <w:color w:val="auto"/>
                <w:sz w:val="24"/>
                <w:szCs w:val="24"/>
                <w:lang w:val="en-US" w:eastAsia="zh-CN" w:bidi="ar"/>
              </w:rPr>
              <w:t>7</w:t>
            </w:r>
            <w:r>
              <w:rPr>
                <w:rFonts w:hint="eastAsia" w:ascii="仿宋" w:hAnsi="仿宋" w:eastAsia="仿宋" w:cs="仿宋"/>
                <w:color w:val="auto"/>
                <w:sz w:val="24"/>
                <w:szCs w:val="24"/>
                <w:lang w:eastAsia="zh-CN" w:bidi="ar"/>
              </w:rPr>
              <w:t>月</w:t>
            </w:r>
            <w:r>
              <w:rPr>
                <w:rFonts w:hint="eastAsia" w:ascii="仿宋" w:hAnsi="仿宋" w:eastAsia="仿宋" w:cs="仿宋"/>
                <w:color w:val="auto"/>
                <w:sz w:val="24"/>
                <w:szCs w:val="24"/>
                <w:lang w:val="en-US" w:eastAsia="zh-CN" w:bidi="ar"/>
              </w:rPr>
              <w:t>24</w:t>
            </w:r>
            <w:r>
              <w:rPr>
                <w:rFonts w:hint="eastAsia" w:ascii="仿宋" w:hAnsi="仿宋" w:eastAsia="仿宋" w:cs="仿宋"/>
                <w:color w:val="auto"/>
                <w:sz w:val="24"/>
                <w:szCs w:val="24"/>
                <w:lang w:eastAsia="zh-CN" w:bidi="ar"/>
              </w:rPr>
              <w:t>日11：00（北京时间）</w:t>
            </w:r>
          </w:p>
          <w:p w14:paraId="7401508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开标地点：（https://login.zcygov.cn/user-login/#/login）</w:t>
            </w:r>
          </w:p>
        </w:tc>
      </w:tr>
      <w:tr w14:paraId="7BC72D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E2EF86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20.1</w:t>
            </w:r>
          </w:p>
        </w:tc>
        <w:tc>
          <w:tcPr>
            <w:tcW w:w="7487" w:type="dxa"/>
            <w:tcBorders>
              <w:top w:val="single" w:color="000000" w:sz="6" w:space="0"/>
              <w:left w:val="single" w:color="000000" w:sz="6" w:space="0"/>
              <w:bottom w:val="single" w:color="000000" w:sz="6" w:space="0"/>
              <w:right w:val="single" w:color="000000" w:sz="12" w:space="0"/>
            </w:tcBorders>
            <w:vAlign w:val="center"/>
          </w:tcPr>
          <w:p w14:paraId="067B23D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核心产品：</w:t>
            </w:r>
          </w:p>
          <w:p w14:paraId="74441865">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第一标段：胸痛中心管理系统</w:t>
            </w:r>
          </w:p>
          <w:p w14:paraId="31A002D5">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第二标段：全成本管理系统</w:t>
            </w:r>
          </w:p>
        </w:tc>
      </w:tr>
      <w:tr w14:paraId="5DA58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E574E4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197D0BA9">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本项目评标方法：适用综合评分法</w:t>
            </w:r>
          </w:p>
        </w:tc>
      </w:tr>
      <w:tr w14:paraId="70093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FA85D2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27</w:t>
            </w:r>
          </w:p>
        </w:tc>
        <w:tc>
          <w:tcPr>
            <w:tcW w:w="7487" w:type="dxa"/>
            <w:tcBorders>
              <w:top w:val="single" w:color="000000" w:sz="6" w:space="0"/>
              <w:left w:val="single" w:color="000000" w:sz="6" w:space="0"/>
              <w:bottom w:val="single" w:color="000000" w:sz="6" w:space="0"/>
              <w:right w:val="single" w:color="000000" w:sz="12" w:space="0"/>
            </w:tcBorders>
            <w:vAlign w:val="center"/>
          </w:tcPr>
          <w:p w14:paraId="15B9084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招标人委托评标委员会直接确定推荐中标候选供应商的数量：3家</w:t>
            </w:r>
          </w:p>
        </w:tc>
      </w:tr>
      <w:tr w14:paraId="737B17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27A98D7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31.1</w:t>
            </w:r>
          </w:p>
        </w:tc>
        <w:tc>
          <w:tcPr>
            <w:tcW w:w="7487" w:type="dxa"/>
            <w:tcBorders>
              <w:top w:val="single" w:color="000000" w:sz="6" w:space="0"/>
              <w:left w:val="single" w:color="000000" w:sz="6" w:space="0"/>
              <w:bottom w:val="single" w:color="000000" w:sz="6" w:space="0"/>
              <w:right w:val="single" w:color="000000" w:sz="12" w:space="0"/>
            </w:tcBorders>
            <w:vAlign w:val="center"/>
          </w:tcPr>
          <w:p w14:paraId="5314538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履约保证金金额：不超过合同总价金额的10%</w:t>
            </w:r>
          </w:p>
          <w:p w14:paraId="35AC0F7F">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履约保证金形式：公对公转账</w:t>
            </w:r>
          </w:p>
          <w:p w14:paraId="503627B4">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提交履约保证金的时间：</w:t>
            </w:r>
            <w:r>
              <w:rPr>
                <w:rFonts w:hint="eastAsia" w:ascii="仿宋" w:hAnsi="仿宋" w:eastAsia="仿宋" w:cs="仿宋"/>
                <w:color w:val="auto"/>
                <w:sz w:val="24"/>
                <w:szCs w:val="24"/>
                <w:lang w:val="zh-CN" w:eastAsia="zh-CN" w:bidi="ar"/>
              </w:rPr>
              <w:t>中标、成交通知书发放后，政府采购合同签订前。</w:t>
            </w:r>
          </w:p>
        </w:tc>
      </w:tr>
      <w:tr w14:paraId="6DF414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5342010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67790B9A">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中标服务费：本项目不收取中标服务费</w:t>
            </w:r>
          </w:p>
        </w:tc>
      </w:tr>
      <w:tr w14:paraId="42489D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E40CFF0">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33.1</w:t>
            </w:r>
          </w:p>
        </w:tc>
        <w:tc>
          <w:tcPr>
            <w:tcW w:w="7487" w:type="dxa"/>
            <w:tcBorders>
              <w:top w:val="single" w:color="000000" w:sz="6" w:space="0"/>
              <w:left w:val="single" w:color="000000" w:sz="6" w:space="0"/>
              <w:bottom w:val="single" w:color="000000" w:sz="6" w:space="0"/>
              <w:right w:val="single" w:color="000000" w:sz="12" w:space="0"/>
            </w:tcBorders>
            <w:vAlign w:val="center"/>
          </w:tcPr>
          <w:p w14:paraId="224D37C3">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本项目是否属于信用担保试点范围：否</w:t>
            </w:r>
          </w:p>
        </w:tc>
      </w:tr>
      <w:tr w14:paraId="58779F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17DDF606">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33.2</w:t>
            </w:r>
          </w:p>
        </w:tc>
        <w:tc>
          <w:tcPr>
            <w:tcW w:w="7487" w:type="dxa"/>
            <w:tcBorders>
              <w:top w:val="single" w:color="000000" w:sz="6" w:space="0"/>
              <w:left w:val="single" w:color="000000" w:sz="6" w:space="0"/>
              <w:bottom w:val="single" w:color="000000" w:sz="6" w:space="0"/>
              <w:right w:val="single" w:color="000000" w:sz="12" w:space="0"/>
            </w:tcBorders>
            <w:vAlign w:val="center"/>
          </w:tcPr>
          <w:p w14:paraId="01040892">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政府采购专业担保机构：无</w:t>
            </w:r>
          </w:p>
          <w:p w14:paraId="266AD033">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本项目采购人本级和上级财政部门政府采购有关规定增加的担保机构：无</w:t>
            </w:r>
          </w:p>
        </w:tc>
      </w:tr>
      <w:tr w14:paraId="742BDF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03" w:type="dxa"/>
            <w:tcBorders>
              <w:top w:val="single" w:color="000000" w:sz="6" w:space="0"/>
              <w:left w:val="single" w:color="000000" w:sz="12" w:space="0"/>
              <w:bottom w:val="single" w:color="000000" w:sz="6" w:space="0"/>
              <w:right w:val="single" w:color="000000" w:sz="6" w:space="0"/>
            </w:tcBorders>
            <w:vAlign w:val="center"/>
          </w:tcPr>
          <w:p w14:paraId="48013BAD">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34.3</w:t>
            </w:r>
          </w:p>
        </w:tc>
        <w:tc>
          <w:tcPr>
            <w:tcW w:w="7487" w:type="dxa"/>
            <w:tcBorders>
              <w:top w:val="single" w:color="000000" w:sz="6" w:space="0"/>
              <w:left w:val="single" w:color="000000" w:sz="6" w:space="0"/>
              <w:bottom w:val="single" w:color="000000" w:sz="6" w:space="0"/>
              <w:right w:val="single" w:color="000000" w:sz="12" w:space="0"/>
            </w:tcBorders>
            <w:vAlign w:val="center"/>
          </w:tcPr>
          <w:p w14:paraId="16A7158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反腐倡廉监督电话/邮箱：0998-6722230</w:t>
            </w:r>
          </w:p>
        </w:tc>
      </w:tr>
      <w:tr w14:paraId="0826D0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103" w:type="dxa"/>
            <w:tcBorders>
              <w:top w:val="single" w:color="000000" w:sz="6" w:space="0"/>
              <w:left w:val="single" w:color="000000" w:sz="12" w:space="0"/>
              <w:bottom w:val="single" w:color="000000" w:sz="12" w:space="0"/>
              <w:right w:val="single" w:color="000000" w:sz="6" w:space="0"/>
            </w:tcBorders>
            <w:vAlign w:val="center"/>
          </w:tcPr>
          <w:p w14:paraId="7760C45E">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36.3</w:t>
            </w:r>
          </w:p>
        </w:tc>
        <w:tc>
          <w:tcPr>
            <w:tcW w:w="7487" w:type="dxa"/>
            <w:tcBorders>
              <w:top w:val="single" w:color="000000" w:sz="6" w:space="0"/>
              <w:left w:val="single" w:color="000000" w:sz="6" w:space="0"/>
              <w:bottom w:val="single" w:color="000000" w:sz="12" w:space="0"/>
              <w:right w:val="single" w:color="000000" w:sz="12" w:space="0"/>
            </w:tcBorders>
            <w:vAlign w:val="center"/>
          </w:tcPr>
          <w:p w14:paraId="1452ED38">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接收部门：伽师县政府采购管理办公室</w:t>
            </w:r>
          </w:p>
          <w:p w14:paraId="0454660C">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联系电话：15384946619</w:t>
            </w:r>
          </w:p>
          <w:p w14:paraId="060BCE37">
            <w:pP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 xml:space="preserve">通讯地址：伽师县行政审批局四楼 </w:t>
            </w:r>
          </w:p>
        </w:tc>
      </w:tr>
    </w:tbl>
    <w:p w14:paraId="6405FC5F">
      <w:pPr>
        <w:spacing w:line="240" w:lineRule="atLeast"/>
        <w:ind w:left="1080" w:leftChars="257" w:hanging="540"/>
        <w:rPr>
          <w:rStyle w:val="26"/>
          <w:rFonts w:hint="eastAsia" w:ascii="仿宋" w:hAnsi="仿宋" w:eastAsia="仿宋" w:cs="仿宋"/>
          <w:color w:val="auto"/>
          <w:sz w:val="24"/>
          <w:lang w:eastAsia="zh-CN"/>
        </w:rPr>
        <w:sectPr>
          <w:headerReference r:id="rId13" w:type="default"/>
          <w:footerReference r:id="rId15" w:type="default"/>
          <w:headerReference r:id="rId14" w:type="even"/>
          <w:footerReference r:id="rId16" w:type="even"/>
          <w:pgSz w:w="11906" w:h="16838"/>
          <w:pgMar w:top="1440" w:right="1797" w:bottom="1440" w:left="1797" w:header="851" w:footer="992" w:gutter="0"/>
          <w:cols w:space="425" w:num="1"/>
          <w:docGrid w:linePitch="312" w:charSpace="0"/>
        </w:sectPr>
      </w:pPr>
    </w:p>
    <w:p w14:paraId="61814A2D">
      <w:pPr>
        <w:pStyle w:val="3"/>
        <w:tabs>
          <w:tab w:val="left" w:pos="0"/>
        </w:tabs>
        <w:spacing w:before="0" w:after="0" w:line="240" w:lineRule="atLeast"/>
        <w:rPr>
          <w:rStyle w:val="26"/>
          <w:rFonts w:hint="eastAsia" w:ascii="仿宋" w:hAnsi="仿宋" w:eastAsia="仿宋" w:cs="仿宋"/>
          <w:bCs/>
          <w:color w:val="auto"/>
          <w:sz w:val="30"/>
          <w:szCs w:val="30"/>
          <w:lang w:eastAsia="zh-CN"/>
        </w:rPr>
      </w:pPr>
      <w:bookmarkStart w:id="910" w:name="_Toc14991"/>
      <w:r>
        <w:rPr>
          <w:rFonts w:hint="eastAsia" w:ascii="仿宋" w:hAnsi="仿宋" w:eastAsia="仿宋" w:cs="仿宋"/>
          <w:color w:val="auto"/>
          <w:sz w:val="44"/>
          <w:szCs w:val="44"/>
          <w:lang w:eastAsia="zh-CN"/>
        </w:rPr>
        <w:t>第五章  货物需求一览表及技术规格</w:t>
      </w:r>
      <w:bookmarkEnd w:id="910"/>
    </w:p>
    <w:p w14:paraId="7FF8BF33">
      <w:pPr>
        <w:spacing w:line="52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项目名称：伽师县人民医院2025年信息化建设项目</w:t>
      </w:r>
    </w:p>
    <w:p w14:paraId="58CF49EE">
      <w:pPr>
        <w:pStyle w:val="2"/>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项目编号：KSJSX(GK)2025-18</w:t>
      </w:r>
    </w:p>
    <w:p w14:paraId="3A07DA3A">
      <w:pPr>
        <w:rPr>
          <w:rFonts w:hint="eastAsia" w:ascii="仿宋" w:hAnsi="仿宋" w:eastAsia="仿宋" w:cs="仿宋"/>
          <w:lang w:eastAsia="zh-CN"/>
        </w:rPr>
      </w:pPr>
    </w:p>
    <w:p w14:paraId="746D4D32">
      <w:pPr>
        <w:numPr>
          <w:ilvl w:val="0"/>
          <w:numId w:val="9"/>
        </w:numPr>
        <w:spacing w:line="288" w:lineRule="auto"/>
        <w:rPr>
          <w:rStyle w:val="26"/>
          <w:rFonts w:hint="eastAsia" w:ascii="仿宋" w:hAnsi="仿宋" w:eastAsia="仿宋" w:cs="仿宋"/>
          <w:color w:val="auto"/>
          <w:sz w:val="28"/>
          <w:szCs w:val="36"/>
          <w:lang w:eastAsia="zh-CN"/>
        </w:rPr>
      </w:pPr>
      <w:r>
        <w:rPr>
          <w:rStyle w:val="26"/>
          <w:rFonts w:hint="eastAsia" w:ascii="仿宋" w:hAnsi="仿宋" w:eastAsia="仿宋" w:cs="仿宋"/>
          <w:b/>
          <w:color w:val="auto"/>
          <w:sz w:val="30"/>
          <w:szCs w:val="30"/>
          <w:lang w:eastAsia="zh-CN"/>
        </w:rPr>
        <w:t>投标企业资格要求：</w:t>
      </w:r>
      <w:r>
        <w:rPr>
          <w:rStyle w:val="26"/>
          <w:rFonts w:hint="eastAsia" w:ascii="仿宋" w:hAnsi="仿宋" w:eastAsia="仿宋" w:cs="仿宋"/>
          <w:color w:val="auto"/>
          <w:sz w:val="28"/>
          <w:szCs w:val="36"/>
          <w:lang w:eastAsia="zh-CN"/>
        </w:rPr>
        <w:t>按照须知表内要求。</w:t>
      </w:r>
    </w:p>
    <w:p w14:paraId="1CAC60E8">
      <w:pPr>
        <w:numPr>
          <w:ilvl w:val="0"/>
          <w:numId w:val="9"/>
        </w:numPr>
        <w:spacing w:line="560" w:lineRule="exact"/>
        <w:rPr>
          <w:rStyle w:val="26"/>
          <w:rFonts w:hint="eastAsia" w:ascii="仿宋" w:hAnsi="仿宋" w:eastAsia="仿宋" w:cs="仿宋"/>
          <w:b/>
          <w:color w:val="auto"/>
          <w:sz w:val="30"/>
          <w:szCs w:val="30"/>
        </w:rPr>
      </w:pPr>
      <w:r>
        <w:rPr>
          <w:rStyle w:val="26"/>
          <w:rFonts w:hint="eastAsia" w:ascii="仿宋" w:hAnsi="仿宋" w:eastAsia="仿宋" w:cs="仿宋"/>
          <w:b/>
          <w:color w:val="auto"/>
          <w:sz w:val="30"/>
          <w:szCs w:val="30"/>
        </w:rPr>
        <w:t>投标产品要求：</w:t>
      </w:r>
      <w:bookmarkStart w:id="911" w:name="_Toc22880"/>
      <w:bookmarkStart w:id="912" w:name="_Toc140751559"/>
    </w:p>
    <w:p w14:paraId="320FF2C5">
      <w:pPr>
        <w:pStyle w:val="2"/>
        <w:rPr>
          <w:rFonts w:hint="eastAsia" w:ascii="仿宋" w:hAnsi="仿宋" w:eastAsia="仿宋" w:cs="仿宋"/>
          <w:lang w:eastAsia="zh-CN"/>
        </w:rPr>
      </w:pPr>
      <w:r>
        <w:rPr>
          <w:rStyle w:val="26"/>
          <w:rFonts w:hint="eastAsia" w:ascii="仿宋" w:hAnsi="仿宋" w:eastAsia="仿宋" w:cs="仿宋"/>
          <w:b/>
          <w:color w:val="auto"/>
          <w:sz w:val="30"/>
          <w:szCs w:val="30"/>
          <w:lang w:eastAsia="zh-CN"/>
        </w:rPr>
        <w:t>详见附件</w:t>
      </w:r>
    </w:p>
    <w:p w14:paraId="170A78AA">
      <w:pPr>
        <w:pStyle w:val="27"/>
        <w:spacing w:line="560" w:lineRule="exact"/>
        <w:rPr>
          <w:rFonts w:hint="eastAsia" w:ascii="仿宋" w:hAnsi="仿宋" w:eastAsia="仿宋" w:cs="仿宋"/>
          <w:b/>
          <w:bCs/>
          <w:color w:val="FF0000"/>
          <w:sz w:val="28"/>
          <w:lang w:eastAsia="zh-CN"/>
        </w:rPr>
      </w:pPr>
    </w:p>
    <w:p w14:paraId="2F9CE7A0">
      <w:pPr>
        <w:widowControl w:val="0"/>
        <w:spacing w:line="360" w:lineRule="auto"/>
        <w:textAlignment w:val="auto"/>
        <w:rPr>
          <w:rFonts w:hint="eastAsia" w:ascii="仿宋" w:hAnsi="仿宋" w:eastAsia="仿宋" w:cs="仿宋"/>
          <w:color w:val="auto"/>
          <w:lang w:eastAsia="zh-CN"/>
        </w:rPr>
      </w:pPr>
    </w:p>
    <w:p w14:paraId="65C10A69">
      <w:pPr>
        <w:pStyle w:val="2"/>
        <w:rPr>
          <w:rFonts w:hint="eastAsia" w:ascii="仿宋" w:hAnsi="仿宋" w:eastAsia="仿宋" w:cs="仿宋"/>
          <w:color w:val="auto"/>
          <w:lang w:eastAsia="zh-CN"/>
        </w:rPr>
      </w:pPr>
    </w:p>
    <w:p w14:paraId="55E0A8A5">
      <w:pPr>
        <w:rPr>
          <w:rFonts w:hint="eastAsia" w:ascii="仿宋" w:hAnsi="仿宋" w:eastAsia="仿宋" w:cs="仿宋"/>
          <w:color w:val="auto"/>
          <w:lang w:eastAsia="zh-CN"/>
        </w:rPr>
      </w:pPr>
    </w:p>
    <w:p w14:paraId="467D15AB">
      <w:pPr>
        <w:pStyle w:val="2"/>
        <w:rPr>
          <w:rFonts w:hint="eastAsia" w:ascii="仿宋" w:hAnsi="仿宋" w:eastAsia="仿宋" w:cs="仿宋"/>
          <w:color w:val="auto"/>
          <w:lang w:eastAsia="zh-CN"/>
        </w:rPr>
      </w:pPr>
    </w:p>
    <w:p w14:paraId="6017BA32">
      <w:pPr>
        <w:rPr>
          <w:rFonts w:hint="eastAsia" w:ascii="仿宋" w:hAnsi="仿宋" w:eastAsia="仿宋" w:cs="仿宋"/>
          <w:lang w:eastAsia="zh-CN"/>
        </w:rPr>
      </w:pPr>
      <w:r>
        <w:rPr>
          <w:rFonts w:hint="eastAsia" w:ascii="仿宋" w:hAnsi="仿宋" w:eastAsia="仿宋" w:cs="仿宋"/>
          <w:lang w:eastAsia="zh-CN"/>
        </w:rPr>
        <w:br w:type="page"/>
      </w:r>
    </w:p>
    <w:p w14:paraId="2BF78439">
      <w:pPr>
        <w:pStyle w:val="2"/>
        <w:rPr>
          <w:rFonts w:hint="eastAsia" w:ascii="仿宋" w:hAnsi="仿宋" w:eastAsia="仿宋" w:cs="仿宋"/>
          <w:lang w:eastAsia="zh-CN"/>
        </w:rPr>
      </w:pPr>
    </w:p>
    <w:p w14:paraId="7FC9CD13">
      <w:pPr>
        <w:pStyle w:val="3"/>
        <w:tabs>
          <w:tab w:val="left" w:pos="0"/>
        </w:tabs>
        <w:spacing w:before="0" w:after="0" w:line="240" w:lineRule="atLeast"/>
        <w:ind w:firstLine="1325" w:firstLineChars="300"/>
        <w:jc w:val="both"/>
        <w:rPr>
          <w:rFonts w:hint="eastAsia" w:ascii="仿宋" w:hAnsi="仿宋" w:eastAsia="仿宋" w:cs="仿宋"/>
          <w:color w:val="auto"/>
          <w:lang w:eastAsia="zh-CN"/>
        </w:rPr>
      </w:pPr>
      <w:r>
        <w:rPr>
          <w:rFonts w:hint="eastAsia" w:ascii="仿宋" w:hAnsi="仿宋" w:eastAsia="仿宋" w:cs="仿宋"/>
          <w:color w:val="auto"/>
          <w:sz w:val="44"/>
          <w:szCs w:val="44"/>
          <w:lang w:eastAsia="zh-CN"/>
        </w:rPr>
        <w:t xml:space="preserve">第六章  </w:t>
      </w:r>
      <w:bookmarkStart w:id="913" w:name="_Toc7971"/>
      <w:bookmarkStart w:id="914" w:name="_Toc507399907"/>
      <w:bookmarkStart w:id="915" w:name="_Toc23331"/>
      <w:bookmarkStart w:id="916" w:name="_Toc32647"/>
      <w:bookmarkStart w:id="917" w:name="_Toc515647832"/>
      <w:r>
        <w:rPr>
          <w:rFonts w:hint="eastAsia" w:ascii="仿宋" w:hAnsi="仿宋" w:eastAsia="仿宋" w:cs="仿宋"/>
          <w:color w:val="auto"/>
          <w:sz w:val="44"/>
          <w:szCs w:val="44"/>
          <w:lang w:eastAsia="zh-CN"/>
        </w:rPr>
        <w:t>评标方法和标准</w:t>
      </w:r>
      <w:bookmarkEnd w:id="911"/>
      <w:bookmarkEnd w:id="912"/>
      <w:bookmarkEnd w:id="913"/>
      <w:bookmarkEnd w:id="914"/>
      <w:bookmarkEnd w:id="915"/>
      <w:bookmarkEnd w:id="916"/>
      <w:bookmarkEnd w:id="917"/>
    </w:p>
    <w:p w14:paraId="751124EC">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 总则</w:t>
      </w:r>
    </w:p>
    <w:p w14:paraId="0B854016">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1.1 根据《中华人民共和国政府采购法》、《中华人民共和国政府采购法实施条例》、《政府采购货物和服务招标投标管理办法（财政部第87号令）》等法律制度，结合采购项目特点制定本评标办法。</w:t>
      </w:r>
    </w:p>
    <w:p w14:paraId="12B3BB34">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1.2 评标工作由采购代理机构负责组织，具体评标事务由采购代理机构依法组建的评标委员会负责。评标委员会由采购人代表和有关技术、经济、法律等方面的专家组成。</w:t>
      </w:r>
    </w:p>
    <w:p w14:paraId="7870735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1.3 评标工作应遵循公平、公正、科学及择优的原则，并以相同的评标程序和标准对待所有的投标人。</w:t>
      </w:r>
    </w:p>
    <w:p w14:paraId="0F9BCB2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1.4 评标委员会按照招标文件规定的评标方法和标准进行评标，并独立履行下列职责：</w:t>
      </w:r>
    </w:p>
    <w:p w14:paraId="7D43823A">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（一）审查、评价投标文件是否符合招标文件的商务、技术等实质性要求；</w:t>
      </w:r>
    </w:p>
    <w:p w14:paraId="389EAC46">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（二）要求投标人对投标文件有关事项作出澄清或者说明；</w:t>
      </w:r>
    </w:p>
    <w:p w14:paraId="7FB9D151">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（三）对投标文件进行比较和评价；</w:t>
      </w:r>
    </w:p>
    <w:p w14:paraId="2C82D987">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（四）确定中标候选人名单，以及根据采购人委托直接确定中标人；</w:t>
      </w:r>
    </w:p>
    <w:p w14:paraId="0687BA9A">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（五）向采购人、采购代理机构或者有关部门报告评标中发现的违法行为。</w:t>
      </w:r>
    </w:p>
    <w:p w14:paraId="3F0878B4">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（六）法律、法规和规章规定的其他职责。</w:t>
      </w:r>
    </w:p>
    <w:p w14:paraId="7DA52A0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1.5 评标过程独立、保密。投标人非法干预评标过程的行为将导致其投标文件作为无效处理。</w:t>
      </w:r>
    </w:p>
    <w:p w14:paraId="31EDC240">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1.6评标委员会评价投标文件的响应性，对于投标人而言，除评标委员会要求其澄清、说明或者更正而提供的资料外，仅依据投标文件本身的内容，不寻求其他外部证据。</w:t>
      </w:r>
    </w:p>
    <w:p w14:paraId="71A887E8">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1.7采购人或者采购代理机构负责组织评标工作，并履行下列职责：</w:t>
      </w:r>
    </w:p>
    <w:p w14:paraId="7AFC2B7A">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（一）核对评审专家身份和采购人代表信息，对评审专家在政府采购活动中的职责履行情况予以记录，并及时将有关违法违规行为向财政部门报告；</w:t>
      </w:r>
    </w:p>
    <w:p w14:paraId="10D7708D">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（二）宣布评标纪律；</w:t>
      </w:r>
    </w:p>
    <w:p w14:paraId="2B9B864B">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（三）公布投标人名单，告知评审专家应当回避的情形；</w:t>
      </w:r>
    </w:p>
    <w:p w14:paraId="05948280">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（四）组织评标委员会推选评标组长，采购人代表不得担任组长；</w:t>
      </w:r>
    </w:p>
    <w:p w14:paraId="47B1ED93">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（五）在评标期间采取必要的通讯管理措施，保证评标活动不受外界干扰；</w:t>
      </w:r>
    </w:p>
    <w:p w14:paraId="18E1F9EE">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（六）根据评标委员会的要求介绍政府采购相关政策法规、招标文件；</w:t>
      </w:r>
    </w:p>
    <w:p w14:paraId="7B88A83C">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（七）维护评标秩序，监督评标委员会依照招标文件规定的评标程序、方法和标准进行独立评审，及时制止和纠正采购人代表、评审专家的倾向性言论或者违法违规行为；</w:t>
      </w:r>
    </w:p>
    <w:p w14:paraId="7920FBFA">
      <w:pPr>
        <w:pStyle w:val="2"/>
        <w:tabs>
          <w:tab w:val="left" w:pos="567"/>
        </w:tabs>
        <w:spacing w:line="360" w:lineRule="auto"/>
        <w:ind w:firstLine="240" w:firstLineChars="1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（八）核对评标结果，有财政部87号令第六十四条规定情形的，要求评标委员会复核或者书面说明理由，评标委员会拒绝的，应予记录并向本级财政部门报告；</w:t>
      </w:r>
    </w:p>
    <w:p w14:paraId="582FFA88">
      <w:pPr>
        <w:pStyle w:val="2"/>
        <w:tabs>
          <w:tab w:val="left" w:pos="567"/>
        </w:tabs>
        <w:spacing w:line="360" w:lineRule="auto"/>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（九）处理与评标有关的其他事项。</w:t>
      </w:r>
    </w:p>
    <w:p w14:paraId="3ABE56AE">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采购人可以在评标前说明项目背景和采购需求，说明内容不得含有歧视性、倾向性意见，不得超出招标文件所述范围。说明应当提交书面材料，并随采购文件一并存档。</w:t>
      </w:r>
    </w:p>
    <w:p w14:paraId="301888F8">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2、评标方法</w:t>
      </w:r>
    </w:p>
    <w:p w14:paraId="324D28F3">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本项目评标方法为：综合评分法。</w:t>
      </w:r>
    </w:p>
    <w:p w14:paraId="6113B576">
      <w:pPr>
        <w:pStyle w:val="2"/>
        <w:tabs>
          <w:tab w:val="left" w:pos="567"/>
        </w:tabs>
        <w:spacing w:line="360" w:lineRule="auto"/>
        <w:ind w:firstLine="480" w:firstLineChars="200"/>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3、评标程序</w:t>
      </w:r>
    </w:p>
    <w:p w14:paraId="2DF8D0A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熟悉和理解招标文件和停止评标。</w:t>
      </w:r>
    </w:p>
    <w:p w14:paraId="244C30C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3.1.1</w:t>
      </w:r>
      <w:r>
        <w:rPr>
          <w:rFonts w:hint="eastAsia" w:ascii="仿宋" w:hAnsi="仿宋" w:eastAsia="仿宋" w:cs="仿宋"/>
          <w:iCs/>
          <w:color w:val="auto"/>
          <w:sz w:val="24"/>
          <w:szCs w:val="24"/>
          <w:lang w:val="en-US" w:eastAsia="zh-CN"/>
        </w:rPr>
        <w:t xml:space="preserve"> </w:t>
      </w:r>
      <w:r>
        <w:rPr>
          <w:rFonts w:hint="eastAsia" w:ascii="仿宋" w:hAnsi="仿宋" w:eastAsia="仿宋" w:cs="仿宋"/>
          <w:iCs/>
          <w:color w:val="auto"/>
          <w:sz w:val="24"/>
          <w:szCs w:val="24"/>
          <w:lang w:eastAsia="zh-CN"/>
        </w:rPr>
        <w:t>评标委员会正式评标前，应当对招标文件进行熟悉和理解，内容主要包括招标文件中采购项目技术、服务和商务要求、评标方法和标准以及可能涉及签订政府采购合同的内容等。</w:t>
      </w:r>
    </w:p>
    <w:p w14:paraId="56CCA356">
      <w:pPr>
        <w:pStyle w:val="2"/>
        <w:tabs>
          <w:tab w:val="left" w:pos="567"/>
        </w:tabs>
        <w:spacing w:line="360" w:lineRule="auto"/>
        <w:ind w:left="-199" w:leftChars="-95" w:firstLine="199" w:firstLineChars="83"/>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A8DA8A6">
      <w:pPr>
        <w:spacing w:line="360" w:lineRule="auto"/>
        <w:rPr>
          <w:rFonts w:hint="eastAsia" w:ascii="仿宋" w:hAnsi="仿宋" w:eastAsia="仿宋" w:cs="仿宋"/>
          <w:color w:val="auto"/>
          <w:sz w:val="24"/>
          <w:szCs w:val="24"/>
        </w:rPr>
      </w:pPr>
      <w:r>
        <w:rPr>
          <w:rStyle w:val="26"/>
          <w:rFonts w:hint="eastAsia" w:ascii="仿宋" w:hAnsi="仿宋" w:eastAsia="仿宋" w:cs="仿宋"/>
          <w:iCs/>
          <w:color w:val="auto"/>
          <w:sz w:val="24"/>
          <w:szCs w:val="24"/>
          <w:lang w:eastAsia="zh-CN"/>
        </w:rPr>
        <w:t>4.1</w:t>
      </w:r>
      <w:r>
        <w:rPr>
          <w:rFonts w:hint="eastAsia" w:ascii="仿宋" w:hAnsi="仿宋" w:eastAsia="仿宋" w:cs="仿宋"/>
          <w:iCs/>
          <w:color w:val="auto"/>
          <w:sz w:val="24"/>
          <w:szCs w:val="24"/>
          <w:lang w:eastAsia="zh-CN"/>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color w:val="auto"/>
          <w:sz w:val="24"/>
          <w:szCs w:val="24"/>
          <w:lang w:eastAsia="zh-CN"/>
        </w:rPr>
        <w:t>或省级以上监狱管理局、戒毒管理局（含新疆生产建设兵团）出具的属于监狱企业的证明文件的投标人，其投标报价扣除10%后参与评审。</w:t>
      </w:r>
      <w:r>
        <w:rPr>
          <w:rFonts w:hint="eastAsia" w:ascii="仿宋" w:hAnsi="仿宋" w:eastAsia="仿宋" w:cs="仿宋"/>
          <w:color w:val="auto"/>
          <w:sz w:val="24"/>
          <w:szCs w:val="24"/>
        </w:rPr>
        <w:t>具体办法详见招标文件第6章。</w:t>
      </w:r>
    </w:p>
    <w:p w14:paraId="3601EEB4">
      <w:pPr>
        <w:rPr>
          <w:rFonts w:hint="eastAsia" w:ascii="仿宋" w:hAnsi="仿宋" w:eastAsia="仿宋" w:cs="仿宋"/>
          <w:color w:val="auto"/>
        </w:rPr>
      </w:pPr>
    </w:p>
    <w:p w14:paraId="2A1FDD5B">
      <w:pPr>
        <w:rPr>
          <w:rFonts w:hint="eastAsia" w:ascii="仿宋" w:hAnsi="仿宋" w:eastAsia="仿宋" w:cs="仿宋"/>
          <w:color w:val="auto"/>
        </w:rPr>
      </w:pPr>
      <w:r>
        <w:rPr>
          <w:rFonts w:hint="eastAsia" w:ascii="仿宋" w:hAnsi="仿宋" w:eastAsia="仿宋" w:cs="仿宋"/>
          <w:b/>
          <w:bCs/>
          <w:iCs/>
          <w:color w:val="auto"/>
        </w:rPr>
        <w:t>5.1资格性检查</w:t>
      </w:r>
    </w:p>
    <w:tbl>
      <w:tblPr>
        <w:tblStyle w:val="23"/>
        <w:tblW w:w="8974"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655"/>
        <w:gridCol w:w="1215"/>
        <w:gridCol w:w="1125"/>
        <w:gridCol w:w="645"/>
      </w:tblGrid>
      <w:tr w14:paraId="3EF869A8">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0B1665DA">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序号</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21F78D38">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F013A91">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1B68457">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0DF4BAF0">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noWrap/>
            <w:vAlign w:val="center"/>
          </w:tcPr>
          <w:p w14:paraId="4B7FA1DF">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近三个月所属期限内（任意一个月）依法缴纳税收的证明（税务部门出具的完税凭证或缴税证明或银行出具的“银行电子缴税付款凭证”）</w:t>
            </w: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423BDFD9">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良好的商业信誉和健全的财务会计制度证明材料（会计事务所出具的2023年或2024年的年度财务审计报告书；注册成立未满一年新公司可提供近三个月内任意一个月的银行资信证明）；</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D7E7FDA">
            <w:pPr>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投标单位（供应商）其法人参加本次采购活动前三年内，在经营活动中没有重大违法记录的声明及对本次项目《反商业贿赂承诺书》</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5F2B18">
            <w:pPr>
              <w:pStyle w:val="16"/>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提供投标单位按招标文件要求缴纳投标保证金的缴款凭证或金融机构、担保机构出具的保函；</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7B2E54C">
            <w:pPr>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是否通过审查</w:t>
            </w:r>
          </w:p>
        </w:tc>
      </w:tr>
      <w:tr w14:paraId="5D31DE2B">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noWrap/>
            <w:vAlign w:val="center"/>
          </w:tcPr>
          <w:p w14:paraId="27A24AA3">
            <w:pPr>
              <w:jc w:val="center"/>
              <w:textAlignment w:val="center"/>
              <w:rPr>
                <w:rFonts w:hint="eastAsia" w:ascii="仿宋" w:hAnsi="仿宋" w:eastAsia="仿宋" w:cs="仿宋"/>
                <w:b/>
                <w:color w:val="auto"/>
                <w:sz w:val="20"/>
                <w:szCs w:val="20"/>
              </w:rPr>
            </w:pPr>
            <w:r>
              <w:rPr>
                <w:rFonts w:hint="eastAsia" w:ascii="仿宋" w:hAnsi="仿宋" w:eastAsia="仿宋" w:cs="仿宋"/>
                <w:b/>
                <w:color w:val="auto"/>
                <w:sz w:val="20"/>
                <w:szCs w:val="20"/>
              </w:rPr>
              <w:t>1</w:t>
            </w:r>
          </w:p>
        </w:tc>
        <w:tc>
          <w:tcPr>
            <w:tcW w:w="446" w:type="dxa"/>
            <w:tcBorders>
              <w:top w:val="single" w:color="000000" w:sz="4" w:space="0"/>
              <w:left w:val="single" w:color="000000" w:sz="4" w:space="0"/>
              <w:bottom w:val="single" w:color="000000" w:sz="4" w:space="0"/>
              <w:right w:val="single" w:color="000000" w:sz="4" w:space="0"/>
            </w:tcBorders>
            <w:noWrap/>
            <w:vAlign w:val="center"/>
          </w:tcPr>
          <w:p w14:paraId="1BDB820F">
            <w:pPr>
              <w:rPr>
                <w:rFonts w:hint="eastAsia" w:ascii="仿宋" w:hAnsi="仿宋" w:eastAsia="仿宋" w:cs="仿宋"/>
                <w:color w:val="auto"/>
                <w:sz w:val="20"/>
                <w:szCs w:val="20"/>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705F3FE">
            <w:pPr>
              <w:jc w:val="center"/>
              <w:textAlignment w:val="center"/>
              <w:rPr>
                <w:rFonts w:hint="eastAsia" w:ascii="仿宋" w:hAnsi="仿宋" w:eastAsia="仿宋" w:cs="仿宋"/>
                <w:color w:val="auto"/>
                <w:sz w:val="15"/>
                <w:szCs w:val="15"/>
              </w:rPr>
            </w:pP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533BBE0">
            <w:pPr>
              <w:jc w:val="center"/>
              <w:rPr>
                <w:rFonts w:hint="eastAsia" w:ascii="仿宋" w:hAnsi="仿宋" w:eastAsia="仿宋" w:cs="仿宋"/>
                <w:color w:val="auto"/>
                <w:sz w:val="20"/>
                <w:szCs w:val="20"/>
              </w:rPr>
            </w:pPr>
          </w:p>
        </w:tc>
        <w:tc>
          <w:tcPr>
            <w:tcW w:w="659" w:type="dxa"/>
            <w:tcBorders>
              <w:top w:val="single" w:color="000000" w:sz="4" w:space="0"/>
              <w:left w:val="single" w:color="000000" w:sz="4" w:space="0"/>
              <w:bottom w:val="single" w:color="000000" w:sz="4" w:space="0"/>
              <w:right w:val="single" w:color="000000" w:sz="4" w:space="0"/>
            </w:tcBorders>
            <w:noWrap/>
            <w:vAlign w:val="center"/>
          </w:tcPr>
          <w:p w14:paraId="4840E923">
            <w:pPr>
              <w:jc w:val="center"/>
              <w:rPr>
                <w:rFonts w:hint="eastAsia" w:ascii="仿宋" w:hAnsi="仿宋" w:eastAsia="仿宋" w:cs="仿宋"/>
                <w:color w:val="auto"/>
                <w:sz w:val="20"/>
                <w:szCs w:val="20"/>
              </w:rPr>
            </w:pPr>
          </w:p>
        </w:tc>
        <w:tc>
          <w:tcPr>
            <w:tcW w:w="1112" w:type="dxa"/>
            <w:tcBorders>
              <w:top w:val="single" w:color="000000" w:sz="4" w:space="0"/>
              <w:left w:val="single" w:color="000000" w:sz="4" w:space="0"/>
              <w:bottom w:val="single" w:color="000000" w:sz="4" w:space="0"/>
              <w:right w:val="single" w:color="000000" w:sz="4" w:space="0"/>
            </w:tcBorders>
            <w:noWrap/>
          </w:tcPr>
          <w:p w14:paraId="0C5DD1F3">
            <w:pPr>
              <w:jc w:val="center"/>
              <w:rPr>
                <w:rFonts w:hint="eastAsia" w:ascii="仿宋" w:hAnsi="仿宋" w:eastAsia="仿宋" w:cs="仿宋"/>
                <w:color w:val="auto"/>
                <w:sz w:val="20"/>
                <w:szCs w:val="20"/>
              </w:rPr>
            </w:pPr>
          </w:p>
        </w:tc>
        <w:tc>
          <w:tcPr>
            <w:tcW w:w="1655" w:type="dxa"/>
            <w:tcBorders>
              <w:top w:val="single" w:color="000000" w:sz="4" w:space="0"/>
              <w:left w:val="single" w:color="000000" w:sz="4" w:space="0"/>
              <w:bottom w:val="single" w:color="000000" w:sz="4" w:space="0"/>
              <w:right w:val="single" w:color="000000" w:sz="4" w:space="0"/>
            </w:tcBorders>
            <w:noWrap/>
            <w:vAlign w:val="center"/>
          </w:tcPr>
          <w:p w14:paraId="230D6D6A">
            <w:pPr>
              <w:jc w:val="center"/>
              <w:rPr>
                <w:rFonts w:hint="eastAsia" w:ascii="仿宋" w:hAnsi="仿宋" w:eastAsia="仿宋" w:cs="仿宋"/>
                <w:color w:val="auto"/>
                <w:sz w:val="20"/>
                <w:szCs w:val="20"/>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CAC800">
            <w:pPr>
              <w:jc w:val="center"/>
              <w:rPr>
                <w:rFonts w:hint="eastAsia" w:ascii="仿宋" w:hAnsi="仿宋" w:eastAsia="仿宋" w:cs="仿宋"/>
                <w:color w:val="auto"/>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AC64E27">
            <w:pPr>
              <w:jc w:val="center"/>
              <w:rPr>
                <w:rFonts w:hint="eastAsia" w:ascii="仿宋" w:hAnsi="仿宋" w:eastAsia="仿宋" w:cs="仿宋"/>
                <w:color w:val="auto"/>
                <w:sz w:val="20"/>
                <w:szCs w:val="20"/>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9FD08DF">
            <w:pPr>
              <w:jc w:val="center"/>
              <w:rPr>
                <w:rFonts w:hint="eastAsia" w:ascii="仿宋" w:hAnsi="仿宋" w:eastAsia="仿宋" w:cs="仿宋"/>
                <w:color w:val="auto"/>
                <w:sz w:val="20"/>
                <w:szCs w:val="20"/>
              </w:rPr>
            </w:pPr>
          </w:p>
        </w:tc>
      </w:tr>
    </w:tbl>
    <w:p w14:paraId="297EC11C">
      <w:pPr>
        <w:pStyle w:val="2"/>
        <w:spacing w:line="360" w:lineRule="auto"/>
        <w:ind w:left="-181" w:leftChars="-86" w:firstLine="607" w:firstLineChars="275"/>
        <w:rPr>
          <w:rFonts w:hint="eastAsia" w:ascii="仿宋" w:hAnsi="仿宋" w:eastAsia="仿宋" w:cs="仿宋"/>
          <w:b/>
          <w:color w:val="auto"/>
          <w:sz w:val="24"/>
        </w:rPr>
      </w:pPr>
      <w:r>
        <w:rPr>
          <w:rFonts w:hint="eastAsia" w:ascii="仿宋" w:hAnsi="仿宋" w:eastAsia="仿宋" w:cs="仿宋"/>
          <w:b/>
          <w:color w:val="auto"/>
          <w:sz w:val="22"/>
          <w:szCs w:val="22"/>
          <w:lang w:eastAsia="zh-CN"/>
        </w:rPr>
        <w:t>注：按评审标准对上述内容评审，满足要求的在对应的框内打“√”，不满足要求的在对应的框内打“×”。对可以进入详评的投标人，在该投标人所对应的“是否通过评审“栏中打“√”。</w:t>
      </w:r>
      <w:r>
        <w:rPr>
          <w:rFonts w:hint="eastAsia" w:ascii="仿宋" w:hAnsi="仿宋" w:eastAsia="仿宋" w:cs="仿宋"/>
          <w:b/>
          <w:color w:val="auto"/>
          <w:sz w:val="22"/>
          <w:szCs w:val="22"/>
        </w:rPr>
        <w:t>一项未提供，则不通过。</w:t>
      </w:r>
    </w:p>
    <w:p w14:paraId="51A23BCF">
      <w:pPr>
        <w:spacing w:line="360" w:lineRule="auto"/>
        <w:jc w:val="left"/>
        <w:rPr>
          <w:rFonts w:hint="eastAsia" w:ascii="仿宋" w:hAnsi="仿宋" w:eastAsia="仿宋" w:cs="仿宋"/>
          <w:b/>
          <w:sz w:val="24"/>
        </w:rPr>
      </w:pPr>
      <w:r>
        <w:rPr>
          <w:rFonts w:hint="eastAsia" w:ascii="仿宋" w:hAnsi="仿宋" w:eastAsia="仿宋" w:cs="仿宋"/>
          <w:b/>
          <w:sz w:val="24"/>
        </w:rPr>
        <w:t>5.2符合性审查</w:t>
      </w:r>
    </w:p>
    <w:tbl>
      <w:tblPr>
        <w:tblStyle w:val="23"/>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2EF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21B3607D">
            <w:pPr>
              <w:pStyle w:val="6"/>
              <w:spacing w:line="300" w:lineRule="auto"/>
              <w:ind w:firstLine="0"/>
              <w:jc w:val="center"/>
              <w:rPr>
                <w:rFonts w:hint="eastAsia" w:ascii="仿宋" w:hAnsi="仿宋" w:eastAsia="仿宋" w:cs="仿宋"/>
                <w:b/>
                <w:szCs w:val="21"/>
              </w:rPr>
            </w:pPr>
            <w:r>
              <w:rPr>
                <w:rFonts w:hint="eastAsia" w:ascii="仿宋" w:hAnsi="仿宋" w:eastAsia="仿宋" w:cs="仿宋"/>
                <w:b/>
                <w:bCs/>
                <w:kern w:val="0"/>
                <w:sz w:val="32"/>
                <w:szCs w:val="32"/>
              </w:rPr>
              <w:t>商务符合性审查表</w:t>
            </w:r>
          </w:p>
        </w:tc>
      </w:tr>
      <w:tr w14:paraId="091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2027D008">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评审内容</w:t>
            </w:r>
          </w:p>
        </w:tc>
        <w:tc>
          <w:tcPr>
            <w:tcW w:w="1462" w:type="dxa"/>
            <w:noWrap/>
            <w:vAlign w:val="center"/>
          </w:tcPr>
          <w:p w14:paraId="2984C39D">
            <w:pPr>
              <w:spacing w:line="300" w:lineRule="auto"/>
              <w:jc w:val="center"/>
              <w:rPr>
                <w:rFonts w:hint="eastAsia" w:ascii="仿宋" w:hAnsi="仿宋" w:eastAsia="仿宋" w:cs="仿宋"/>
                <w:spacing w:val="-2"/>
                <w:szCs w:val="21"/>
              </w:rPr>
            </w:pPr>
            <w:r>
              <w:rPr>
                <w:rFonts w:hint="eastAsia" w:ascii="仿宋" w:hAnsi="仿宋" w:eastAsia="仿宋" w:cs="仿宋"/>
                <w:b/>
                <w:szCs w:val="21"/>
              </w:rPr>
              <w:t>评审意见</w:t>
            </w:r>
          </w:p>
        </w:tc>
      </w:tr>
      <w:tr w14:paraId="353D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14125271">
            <w:pPr>
              <w:spacing w:line="300" w:lineRule="auto"/>
              <w:jc w:val="center"/>
              <w:rPr>
                <w:rFonts w:hint="eastAsia" w:ascii="仿宋" w:hAnsi="仿宋" w:eastAsia="仿宋" w:cs="仿宋"/>
                <w:szCs w:val="21"/>
              </w:rPr>
            </w:pPr>
            <w:r>
              <w:rPr>
                <w:rFonts w:hint="eastAsia" w:ascii="仿宋" w:hAnsi="仿宋" w:eastAsia="仿宋" w:cs="仿宋"/>
                <w:szCs w:val="21"/>
              </w:rPr>
              <w:t>序号</w:t>
            </w:r>
          </w:p>
        </w:tc>
        <w:tc>
          <w:tcPr>
            <w:tcW w:w="6730" w:type="dxa"/>
            <w:noWrap/>
            <w:vAlign w:val="center"/>
          </w:tcPr>
          <w:p w14:paraId="6B14C153">
            <w:pPr>
              <w:spacing w:line="300" w:lineRule="auto"/>
              <w:jc w:val="center"/>
              <w:rPr>
                <w:rFonts w:hint="eastAsia" w:ascii="仿宋" w:hAnsi="仿宋" w:eastAsia="仿宋" w:cs="仿宋"/>
                <w:spacing w:val="-2"/>
                <w:szCs w:val="21"/>
              </w:rPr>
            </w:pPr>
          </w:p>
        </w:tc>
        <w:tc>
          <w:tcPr>
            <w:tcW w:w="1462" w:type="dxa"/>
            <w:noWrap/>
            <w:vAlign w:val="center"/>
          </w:tcPr>
          <w:p w14:paraId="55150417">
            <w:pPr>
              <w:spacing w:line="300" w:lineRule="auto"/>
              <w:jc w:val="center"/>
              <w:rPr>
                <w:rFonts w:hint="eastAsia" w:ascii="仿宋" w:hAnsi="仿宋" w:eastAsia="仿宋" w:cs="仿宋"/>
                <w:spacing w:val="-2"/>
                <w:szCs w:val="21"/>
              </w:rPr>
            </w:pPr>
            <w:r>
              <w:rPr>
                <w:rFonts w:hint="eastAsia" w:ascii="仿宋" w:hAnsi="仿宋" w:eastAsia="仿宋" w:cs="仿宋"/>
                <w:spacing w:val="-2"/>
                <w:szCs w:val="21"/>
              </w:rPr>
              <w:t>是否合格</w:t>
            </w:r>
          </w:p>
        </w:tc>
      </w:tr>
      <w:tr w14:paraId="646C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C68067D">
            <w:pPr>
              <w:spacing w:line="300" w:lineRule="auto"/>
              <w:jc w:val="center"/>
              <w:rPr>
                <w:rFonts w:hint="eastAsia" w:ascii="仿宋" w:hAnsi="仿宋" w:eastAsia="仿宋" w:cs="仿宋"/>
                <w:szCs w:val="21"/>
              </w:rPr>
            </w:pPr>
            <w:r>
              <w:rPr>
                <w:rFonts w:hint="eastAsia" w:ascii="仿宋" w:hAnsi="仿宋" w:eastAsia="仿宋" w:cs="仿宋"/>
                <w:szCs w:val="21"/>
              </w:rPr>
              <w:t>1</w:t>
            </w:r>
          </w:p>
        </w:tc>
        <w:tc>
          <w:tcPr>
            <w:tcW w:w="6730" w:type="dxa"/>
            <w:noWrap/>
            <w:vAlign w:val="center"/>
          </w:tcPr>
          <w:p w14:paraId="66F5BD04">
            <w:pPr>
              <w:spacing w:line="300" w:lineRule="auto"/>
              <w:jc w:val="left"/>
              <w:rPr>
                <w:rFonts w:hint="eastAsia" w:ascii="仿宋" w:hAnsi="仿宋" w:eastAsia="仿宋" w:cs="仿宋"/>
                <w:szCs w:val="21"/>
                <w:lang w:eastAsia="zh-CN"/>
              </w:rPr>
            </w:pPr>
            <w:r>
              <w:rPr>
                <w:rFonts w:hint="eastAsia" w:ascii="仿宋" w:hAnsi="仿宋" w:eastAsia="仿宋" w:cs="仿宋"/>
                <w:szCs w:val="21"/>
              </w:rPr>
              <w:t>投标报价不得高于预算金额</w:t>
            </w:r>
            <w:r>
              <w:rPr>
                <w:rFonts w:hint="eastAsia" w:ascii="仿宋" w:hAnsi="仿宋" w:eastAsia="仿宋" w:cs="仿宋"/>
                <w:szCs w:val="21"/>
                <w:lang w:eastAsia="zh-CN"/>
              </w:rPr>
              <w:t>；</w:t>
            </w:r>
          </w:p>
        </w:tc>
        <w:tc>
          <w:tcPr>
            <w:tcW w:w="1462" w:type="dxa"/>
            <w:noWrap/>
            <w:vAlign w:val="center"/>
          </w:tcPr>
          <w:p w14:paraId="34E81810">
            <w:pPr>
              <w:spacing w:line="300" w:lineRule="auto"/>
              <w:rPr>
                <w:rFonts w:hint="eastAsia" w:ascii="仿宋" w:hAnsi="仿宋" w:eastAsia="仿宋" w:cs="仿宋"/>
                <w:spacing w:val="-2"/>
                <w:szCs w:val="21"/>
              </w:rPr>
            </w:pPr>
          </w:p>
        </w:tc>
      </w:tr>
      <w:tr w14:paraId="3077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C1A444E">
            <w:pPr>
              <w:spacing w:line="300" w:lineRule="auto"/>
              <w:jc w:val="center"/>
              <w:rPr>
                <w:rFonts w:hint="eastAsia" w:ascii="仿宋" w:hAnsi="仿宋" w:eastAsia="仿宋" w:cs="仿宋"/>
                <w:szCs w:val="21"/>
              </w:rPr>
            </w:pPr>
            <w:r>
              <w:rPr>
                <w:rFonts w:hint="eastAsia" w:ascii="仿宋" w:hAnsi="仿宋" w:eastAsia="仿宋" w:cs="仿宋"/>
                <w:szCs w:val="21"/>
              </w:rPr>
              <w:t>2</w:t>
            </w:r>
          </w:p>
        </w:tc>
        <w:tc>
          <w:tcPr>
            <w:tcW w:w="6730" w:type="dxa"/>
            <w:noWrap/>
            <w:vAlign w:val="center"/>
          </w:tcPr>
          <w:p w14:paraId="707811A1">
            <w:pPr>
              <w:spacing w:line="300" w:lineRule="auto"/>
              <w:jc w:val="left"/>
              <w:rPr>
                <w:rFonts w:hint="eastAsia" w:ascii="仿宋" w:hAnsi="仿宋" w:eastAsia="仿宋" w:cs="仿宋"/>
                <w:szCs w:val="21"/>
              </w:rPr>
            </w:pPr>
            <w:r>
              <w:rPr>
                <w:rFonts w:hint="eastAsia" w:ascii="仿宋" w:hAnsi="仿宋" w:eastAsia="仿宋" w:cs="仿宋"/>
                <w:szCs w:val="21"/>
              </w:rPr>
              <w:t>未投标人之间或者投标人与采购人串通投标的；</w:t>
            </w:r>
          </w:p>
        </w:tc>
        <w:tc>
          <w:tcPr>
            <w:tcW w:w="1462" w:type="dxa"/>
            <w:noWrap/>
            <w:vAlign w:val="center"/>
          </w:tcPr>
          <w:p w14:paraId="482094F0">
            <w:pPr>
              <w:spacing w:line="300" w:lineRule="auto"/>
              <w:rPr>
                <w:rFonts w:hint="eastAsia" w:ascii="仿宋" w:hAnsi="仿宋" w:eastAsia="仿宋" w:cs="仿宋"/>
                <w:spacing w:val="-2"/>
                <w:szCs w:val="21"/>
              </w:rPr>
            </w:pPr>
          </w:p>
        </w:tc>
      </w:tr>
      <w:tr w14:paraId="0A0C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290A91B3">
            <w:pPr>
              <w:spacing w:line="300" w:lineRule="auto"/>
              <w:jc w:val="center"/>
              <w:rPr>
                <w:rFonts w:hint="eastAsia" w:ascii="仿宋" w:hAnsi="仿宋" w:eastAsia="仿宋" w:cs="仿宋"/>
                <w:szCs w:val="21"/>
              </w:rPr>
            </w:pPr>
            <w:r>
              <w:rPr>
                <w:rFonts w:hint="eastAsia" w:ascii="仿宋" w:hAnsi="仿宋" w:eastAsia="仿宋" w:cs="仿宋"/>
                <w:szCs w:val="21"/>
              </w:rPr>
              <w:t>3</w:t>
            </w:r>
          </w:p>
        </w:tc>
        <w:tc>
          <w:tcPr>
            <w:tcW w:w="6730" w:type="dxa"/>
            <w:noWrap/>
            <w:vAlign w:val="center"/>
          </w:tcPr>
          <w:p w14:paraId="3707B0FD">
            <w:pPr>
              <w:spacing w:line="300" w:lineRule="auto"/>
              <w:jc w:val="left"/>
              <w:rPr>
                <w:rFonts w:hint="eastAsia" w:ascii="仿宋" w:hAnsi="仿宋" w:eastAsia="仿宋" w:cs="仿宋"/>
                <w:szCs w:val="21"/>
              </w:rPr>
            </w:pPr>
            <w:r>
              <w:rPr>
                <w:rFonts w:hint="eastAsia" w:ascii="仿宋" w:hAnsi="仿宋" w:eastAsia="仿宋" w:cs="仿宋"/>
                <w:szCs w:val="21"/>
              </w:rPr>
              <w:t>未以行贿手段谋取中标或者未以其他弄虚作假方式投标的；</w:t>
            </w:r>
          </w:p>
        </w:tc>
        <w:tc>
          <w:tcPr>
            <w:tcW w:w="1462" w:type="dxa"/>
            <w:noWrap/>
            <w:vAlign w:val="center"/>
          </w:tcPr>
          <w:p w14:paraId="4AABEAF5">
            <w:pPr>
              <w:spacing w:line="300" w:lineRule="auto"/>
              <w:rPr>
                <w:rFonts w:hint="eastAsia" w:ascii="仿宋" w:hAnsi="仿宋" w:eastAsia="仿宋" w:cs="仿宋"/>
                <w:szCs w:val="21"/>
              </w:rPr>
            </w:pPr>
          </w:p>
        </w:tc>
      </w:tr>
      <w:tr w14:paraId="70EC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EE754CB">
            <w:pPr>
              <w:spacing w:line="300" w:lineRule="auto"/>
              <w:jc w:val="center"/>
              <w:rPr>
                <w:rFonts w:hint="eastAsia" w:ascii="仿宋" w:hAnsi="仿宋" w:eastAsia="仿宋" w:cs="仿宋"/>
                <w:szCs w:val="21"/>
              </w:rPr>
            </w:pPr>
            <w:r>
              <w:rPr>
                <w:rFonts w:hint="eastAsia" w:ascii="仿宋" w:hAnsi="仿宋" w:eastAsia="仿宋" w:cs="仿宋"/>
                <w:szCs w:val="21"/>
              </w:rPr>
              <w:t>4</w:t>
            </w:r>
          </w:p>
        </w:tc>
        <w:tc>
          <w:tcPr>
            <w:tcW w:w="6730" w:type="dxa"/>
            <w:noWrap/>
            <w:vAlign w:val="center"/>
          </w:tcPr>
          <w:p w14:paraId="18C945E2">
            <w:pPr>
              <w:spacing w:line="300" w:lineRule="auto"/>
              <w:jc w:val="left"/>
              <w:rPr>
                <w:rFonts w:hint="eastAsia" w:ascii="仿宋" w:hAnsi="仿宋" w:eastAsia="仿宋" w:cs="仿宋"/>
                <w:szCs w:val="21"/>
              </w:rPr>
            </w:pPr>
            <w:r>
              <w:rPr>
                <w:rFonts w:hint="eastAsia" w:ascii="仿宋" w:hAnsi="仿宋" w:eastAsia="仿宋" w:cs="仿宋"/>
                <w:szCs w:val="21"/>
              </w:rPr>
              <w:t>评标委员会共同确定没有实质上不响应招标文件要求的；</w:t>
            </w:r>
          </w:p>
        </w:tc>
        <w:tc>
          <w:tcPr>
            <w:tcW w:w="1462" w:type="dxa"/>
            <w:noWrap/>
            <w:vAlign w:val="center"/>
          </w:tcPr>
          <w:p w14:paraId="3795920B">
            <w:pPr>
              <w:spacing w:line="300" w:lineRule="auto"/>
              <w:rPr>
                <w:rFonts w:hint="eastAsia" w:ascii="仿宋" w:hAnsi="仿宋" w:eastAsia="仿宋" w:cs="仿宋"/>
                <w:spacing w:val="-2"/>
                <w:szCs w:val="21"/>
              </w:rPr>
            </w:pPr>
          </w:p>
        </w:tc>
      </w:tr>
      <w:tr w14:paraId="7F88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1B6025C">
            <w:pPr>
              <w:spacing w:line="300" w:lineRule="auto"/>
              <w:jc w:val="center"/>
              <w:rPr>
                <w:rFonts w:hint="eastAsia" w:ascii="仿宋" w:hAnsi="仿宋" w:eastAsia="仿宋" w:cs="仿宋"/>
                <w:szCs w:val="21"/>
              </w:rPr>
            </w:pPr>
            <w:r>
              <w:rPr>
                <w:rFonts w:hint="eastAsia" w:ascii="仿宋" w:hAnsi="仿宋" w:eastAsia="仿宋" w:cs="仿宋"/>
                <w:szCs w:val="21"/>
              </w:rPr>
              <w:t>5</w:t>
            </w:r>
          </w:p>
        </w:tc>
        <w:tc>
          <w:tcPr>
            <w:tcW w:w="6730" w:type="dxa"/>
            <w:noWrap/>
            <w:vAlign w:val="center"/>
          </w:tcPr>
          <w:p w14:paraId="71A4CB9D">
            <w:pPr>
              <w:spacing w:line="300" w:lineRule="auto"/>
              <w:jc w:val="left"/>
              <w:rPr>
                <w:rFonts w:hint="eastAsia" w:ascii="仿宋" w:hAnsi="仿宋" w:eastAsia="仿宋" w:cs="仿宋"/>
                <w:szCs w:val="21"/>
              </w:rPr>
            </w:pPr>
            <w:r>
              <w:rPr>
                <w:rFonts w:hint="eastAsia" w:ascii="仿宋" w:hAnsi="仿宋" w:eastAsia="仿宋" w:cs="仿宋"/>
                <w:szCs w:val="21"/>
              </w:rPr>
              <w:t>投标文件有投标单位法定代表人或其授权代表签字（章）和加盖投标单位公章的；（投标文件正本的印章和签字不能为</w:t>
            </w:r>
            <w:r>
              <w:rPr>
                <w:rFonts w:hint="eastAsia" w:ascii="仿宋" w:hAnsi="仿宋" w:eastAsia="仿宋" w:cs="仿宋"/>
                <w:szCs w:val="21"/>
                <w:lang w:eastAsia="zh-CN"/>
              </w:rPr>
              <w:t>复印</w:t>
            </w:r>
            <w:r>
              <w:rPr>
                <w:rFonts w:hint="eastAsia" w:ascii="仿宋" w:hAnsi="仿宋" w:eastAsia="仿宋" w:cs="仿宋"/>
                <w:szCs w:val="21"/>
              </w:rPr>
              <w:t>件）；</w:t>
            </w:r>
          </w:p>
        </w:tc>
        <w:tc>
          <w:tcPr>
            <w:tcW w:w="1462" w:type="dxa"/>
            <w:noWrap/>
            <w:vAlign w:val="center"/>
          </w:tcPr>
          <w:p w14:paraId="6DBD2E9D">
            <w:pPr>
              <w:spacing w:line="300" w:lineRule="auto"/>
              <w:rPr>
                <w:rFonts w:hint="eastAsia" w:ascii="仿宋" w:hAnsi="仿宋" w:eastAsia="仿宋" w:cs="仿宋"/>
                <w:spacing w:val="-2"/>
                <w:szCs w:val="21"/>
              </w:rPr>
            </w:pPr>
          </w:p>
        </w:tc>
      </w:tr>
      <w:tr w14:paraId="1974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D214111">
            <w:pPr>
              <w:spacing w:line="300" w:lineRule="auto"/>
              <w:jc w:val="center"/>
              <w:rPr>
                <w:rFonts w:hint="eastAsia" w:ascii="仿宋" w:hAnsi="仿宋" w:eastAsia="仿宋" w:cs="仿宋"/>
                <w:szCs w:val="21"/>
              </w:rPr>
            </w:pPr>
            <w:r>
              <w:rPr>
                <w:rFonts w:hint="eastAsia" w:ascii="仿宋" w:hAnsi="仿宋" w:eastAsia="仿宋" w:cs="仿宋"/>
                <w:szCs w:val="21"/>
              </w:rPr>
              <w:t>6</w:t>
            </w:r>
          </w:p>
        </w:tc>
        <w:tc>
          <w:tcPr>
            <w:tcW w:w="6730" w:type="dxa"/>
            <w:noWrap/>
            <w:vAlign w:val="center"/>
          </w:tcPr>
          <w:p w14:paraId="5EBE03AE">
            <w:pPr>
              <w:spacing w:line="300" w:lineRule="auto"/>
              <w:jc w:val="left"/>
              <w:rPr>
                <w:rFonts w:hint="eastAsia" w:ascii="仿宋" w:hAnsi="仿宋" w:eastAsia="仿宋" w:cs="仿宋"/>
                <w:szCs w:val="21"/>
              </w:rPr>
            </w:pPr>
            <w:r>
              <w:rPr>
                <w:rFonts w:hint="eastAsia" w:ascii="仿宋" w:hAnsi="仿宋" w:eastAsia="仿宋" w:cs="仿宋"/>
                <w:szCs w:val="21"/>
              </w:rPr>
              <w:t>投标的政府采购项目完成期限未超过招标文件规定期限的；</w:t>
            </w:r>
          </w:p>
        </w:tc>
        <w:tc>
          <w:tcPr>
            <w:tcW w:w="1462" w:type="dxa"/>
            <w:noWrap/>
            <w:vAlign w:val="center"/>
          </w:tcPr>
          <w:p w14:paraId="4AF3E122">
            <w:pPr>
              <w:spacing w:line="300" w:lineRule="auto"/>
              <w:rPr>
                <w:rFonts w:hint="eastAsia" w:ascii="仿宋" w:hAnsi="仿宋" w:eastAsia="仿宋" w:cs="仿宋"/>
                <w:spacing w:val="-2"/>
                <w:szCs w:val="21"/>
              </w:rPr>
            </w:pPr>
          </w:p>
        </w:tc>
      </w:tr>
      <w:tr w14:paraId="10E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F35869D">
            <w:pPr>
              <w:spacing w:line="300" w:lineRule="auto"/>
              <w:jc w:val="center"/>
              <w:rPr>
                <w:rFonts w:hint="eastAsia" w:ascii="仿宋" w:hAnsi="仿宋" w:eastAsia="仿宋" w:cs="仿宋"/>
                <w:szCs w:val="21"/>
              </w:rPr>
            </w:pPr>
            <w:r>
              <w:rPr>
                <w:rFonts w:hint="eastAsia" w:ascii="仿宋" w:hAnsi="仿宋" w:eastAsia="仿宋" w:cs="仿宋"/>
                <w:szCs w:val="21"/>
              </w:rPr>
              <w:t>7</w:t>
            </w:r>
          </w:p>
        </w:tc>
        <w:tc>
          <w:tcPr>
            <w:tcW w:w="6730" w:type="dxa"/>
            <w:noWrap/>
            <w:vAlign w:val="center"/>
          </w:tcPr>
          <w:p w14:paraId="38981C8E">
            <w:pPr>
              <w:spacing w:line="300" w:lineRule="auto"/>
              <w:jc w:val="left"/>
              <w:rPr>
                <w:rFonts w:hint="eastAsia" w:ascii="仿宋" w:hAnsi="仿宋" w:eastAsia="仿宋" w:cs="仿宋"/>
                <w:szCs w:val="21"/>
              </w:rPr>
            </w:pPr>
            <w:r>
              <w:rPr>
                <w:rFonts w:hint="eastAsia" w:ascii="仿宋" w:hAnsi="仿宋" w:eastAsia="仿宋" w:cs="仿宋"/>
                <w:szCs w:val="21"/>
              </w:rPr>
              <w:t>投标文件未附有采购人不能接受条件的；</w:t>
            </w:r>
          </w:p>
        </w:tc>
        <w:tc>
          <w:tcPr>
            <w:tcW w:w="1462" w:type="dxa"/>
            <w:noWrap/>
            <w:vAlign w:val="center"/>
          </w:tcPr>
          <w:p w14:paraId="37370DD4">
            <w:pPr>
              <w:spacing w:line="300" w:lineRule="auto"/>
              <w:rPr>
                <w:rFonts w:hint="eastAsia" w:ascii="仿宋" w:hAnsi="仿宋" w:eastAsia="仿宋" w:cs="仿宋"/>
                <w:spacing w:val="-2"/>
                <w:szCs w:val="21"/>
              </w:rPr>
            </w:pPr>
          </w:p>
        </w:tc>
      </w:tr>
      <w:tr w14:paraId="16F1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F97631F">
            <w:pPr>
              <w:spacing w:line="300" w:lineRule="auto"/>
              <w:jc w:val="center"/>
              <w:rPr>
                <w:rFonts w:hint="eastAsia" w:ascii="仿宋" w:hAnsi="仿宋" w:eastAsia="仿宋" w:cs="仿宋"/>
                <w:szCs w:val="21"/>
              </w:rPr>
            </w:pPr>
            <w:r>
              <w:rPr>
                <w:rFonts w:hint="eastAsia" w:ascii="仿宋" w:hAnsi="仿宋" w:eastAsia="仿宋" w:cs="仿宋"/>
                <w:szCs w:val="21"/>
              </w:rPr>
              <w:t>8</w:t>
            </w:r>
          </w:p>
        </w:tc>
        <w:tc>
          <w:tcPr>
            <w:tcW w:w="6730" w:type="dxa"/>
            <w:noWrap/>
            <w:vAlign w:val="center"/>
          </w:tcPr>
          <w:p w14:paraId="5DF1A7C6">
            <w:pPr>
              <w:spacing w:line="300" w:lineRule="auto"/>
              <w:jc w:val="left"/>
              <w:rPr>
                <w:rFonts w:hint="eastAsia" w:ascii="仿宋" w:hAnsi="仿宋" w:eastAsia="仿宋" w:cs="仿宋"/>
                <w:szCs w:val="21"/>
              </w:rPr>
            </w:pPr>
            <w:r>
              <w:rPr>
                <w:rFonts w:hint="eastAsia" w:ascii="仿宋" w:hAnsi="仿宋" w:eastAsia="仿宋" w:cs="仿宋"/>
                <w:szCs w:val="21"/>
              </w:rPr>
              <w:t>满足招标文件实质性要求的其他情形；</w:t>
            </w:r>
          </w:p>
        </w:tc>
        <w:tc>
          <w:tcPr>
            <w:tcW w:w="1462" w:type="dxa"/>
            <w:noWrap/>
            <w:vAlign w:val="center"/>
          </w:tcPr>
          <w:p w14:paraId="1F9DF297">
            <w:pPr>
              <w:spacing w:line="300" w:lineRule="auto"/>
              <w:rPr>
                <w:rFonts w:hint="eastAsia" w:ascii="仿宋" w:hAnsi="仿宋" w:eastAsia="仿宋" w:cs="仿宋"/>
                <w:szCs w:val="21"/>
              </w:rPr>
            </w:pPr>
          </w:p>
        </w:tc>
      </w:tr>
      <w:tr w14:paraId="2C63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EB2ED5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6730" w:type="dxa"/>
            <w:noWrap/>
            <w:vAlign w:val="center"/>
          </w:tcPr>
          <w:p w14:paraId="54390785">
            <w:pPr>
              <w:spacing w:line="300" w:lineRule="auto"/>
              <w:jc w:val="left"/>
              <w:rPr>
                <w:rFonts w:hint="eastAsia" w:ascii="仿宋" w:hAnsi="仿宋" w:eastAsia="仿宋" w:cs="仿宋"/>
                <w:szCs w:val="21"/>
              </w:rPr>
            </w:pPr>
            <w:r>
              <w:rPr>
                <w:rFonts w:hint="eastAsia" w:ascii="仿宋" w:hAnsi="仿宋" w:eastAsia="仿宋" w:cs="仿宋"/>
                <w:szCs w:val="21"/>
              </w:rPr>
              <w:t>本项目不接受联合体投标</w:t>
            </w:r>
          </w:p>
        </w:tc>
        <w:tc>
          <w:tcPr>
            <w:tcW w:w="1462" w:type="dxa"/>
            <w:noWrap/>
            <w:vAlign w:val="center"/>
          </w:tcPr>
          <w:p w14:paraId="047E0E98">
            <w:pPr>
              <w:spacing w:line="300" w:lineRule="auto"/>
              <w:rPr>
                <w:rFonts w:hint="eastAsia" w:ascii="仿宋" w:hAnsi="仿宋" w:eastAsia="仿宋" w:cs="仿宋"/>
                <w:szCs w:val="21"/>
              </w:rPr>
            </w:pPr>
          </w:p>
        </w:tc>
      </w:tr>
      <w:tr w14:paraId="4A3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232FE0">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6730" w:type="dxa"/>
            <w:noWrap/>
            <w:vAlign w:val="center"/>
          </w:tcPr>
          <w:p w14:paraId="5E00379F">
            <w:pPr>
              <w:spacing w:line="300" w:lineRule="auto"/>
              <w:jc w:val="left"/>
              <w:rPr>
                <w:rFonts w:hint="eastAsia" w:ascii="仿宋" w:hAnsi="仿宋" w:eastAsia="仿宋" w:cs="仿宋"/>
                <w:szCs w:val="21"/>
              </w:rPr>
            </w:pPr>
            <w:r>
              <w:rPr>
                <w:rFonts w:hint="eastAsia" w:ascii="仿宋" w:hAnsi="仿宋" w:eastAsia="仿宋" w:cs="仿宋"/>
                <w:szCs w:val="21"/>
              </w:rPr>
              <w:t>在同一标包内，单位负责人非同一人或者不存在直接控股、管理关系的不同供应商</w:t>
            </w:r>
          </w:p>
        </w:tc>
        <w:tc>
          <w:tcPr>
            <w:tcW w:w="1462" w:type="dxa"/>
            <w:noWrap/>
            <w:vAlign w:val="center"/>
          </w:tcPr>
          <w:p w14:paraId="5EC0558E">
            <w:pPr>
              <w:spacing w:line="300" w:lineRule="auto"/>
              <w:rPr>
                <w:rFonts w:hint="eastAsia" w:ascii="仿宋" w:hAnsi="仿宋" w:eastAsia="仿宋" w:cs="仿宋"/>
                <w:szCs w:val="21"/>
              </w:rPr>
            </w:pPr>
          </w:p>
        </w:tc>
      </w:tr>
      <w:tr w14:paraId="70F7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2922B79A">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6730" w:type="dxa"/>
            <w:noWrap/>
            <w:vAlign w:val="center"/>
          </w:tcPr>
          <w:p w14:paraId="22999485">
            <w:pPr>
              <w:spacing w:line="300" w:lineRule="auto"/>
              <w:jc w:val="left"/>
              <w:rPr>
                <w:rFonts w:hint="eastAsia" w:ascii="仿宋" w:hAnsi="仿宋" w:eastAsia="仿宋" w:cs="仿宋"/>
                <w:szCs w:val="21"/>
              </w:rPr>
            </w:pPr>
            <w:r>
              <w:rPr>
                <w:rFonts w:hint="eastAsia" w:ascii="仿宋" w:hAnsi="仿宋" w:eastAsia="仿宋" w:cs="仿宋"/>
                <w:szCs w:val="21"/>
              </w:rPr>
              <w:t>投标人在投标过程中未向采购人提供、给予任何有价值的物品，影响其正常决策行为</w:t>
            </w:r>
          </w:p>
        </w:tc>
        <w:tc>
          <w:tcPr>
            <w:tcW w:w="1462" w:type="dxa"/>
            <w:noWrap/>
            <w:vAlign w:val="center"/>
          </w:tcPr>
          <w:p w14:paraId="68A9C609">
            <w:pPr>
              <w:spacing w:line="300" w:lineRule="auto"/>
              <w:rPr>
                <w:rFonts w:hint="eastAsia" w:ascii="仿宋" w:hAnsi="仿宋" w:eastAsia="仿宋" w:cs="仿宋"/>
                <w:szCs w:val="21"/>
              </w:rPr>
            </w:pPr>
          </w:p>
        </w:tc>
      </w:tr>
      <w:tr w14:paraId="6DAF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B8269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6730" w:type="dxa"/>
            <w:noWrap/>
            <w:vAlign w:val="center"/>
          </w:tcPr>
          <w:p w14:paraId="7D0BFCA3">
            <w:pPr>
              <w:spacing w:line="300" w:lineRule="auto"/>
              <w:jc w:val="left"/>
              <w:rPr>
                <w:rFonts w:hint="eastAsia" w:ascii="仿宋" w:hAnsi="仿宋" w:eastAsia="仿宋" w:cs="仿宋"/>
                <w:szCs w:val="21"/>
              </w:rPr>
            </w:pPr>
            <w:r>
              <w:rPr>
                <w:rFonts w:hint="eastAsia" w:ascii="仿宋" w:hAnsi="仿宋" w:eastAsia="仿宋" w:cs="仿宋"/>
                <w:szCs w:val="21"/>
              </w:rPr>
              <w:t>投标人对所投分包招标文件中所列的所有服务内容进行投标</w:t>
            </w:r>
          </w:p>
        </w:tc>
        <w:tc>
          <w:tcPr>
            <w:tcW w:w="1462" w:type="dxa"/>
            <w:noWrap/>
            <w:vAlign w:val="center"/>
          </w:tcPr>
          <w:p w14:paraId="6E9C2447">
            <w:pPr>
              <w:spacing w:line="300" w:lineRule="auto"/>
              <w:rPr>
                <w:rFonts w:hint="eastAsia" w:ascii="仿宋" w:hAnsi="仿宋" w:eastAsia="仿宋" w:cs="仿宋"/>
                <w:szCs w:val="21"/>
              </w:rPr>
            </w:pPr>
          </w:p>
        </w:tc>
      </w:tr>
      <w:tr w14:paraId="2D83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6CFD478">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6730" w:type="dxa"/>
            <w:noWrap/>
            <w:vAlign w:val="center"/>
          </w:tcPr>
          <w:p w14:paraId="508BBA82">
            <w:pPr>
              <w:spacing w:line="300" w:lineRule="auto"/>
              <w:jc w:val="left"/>
              <w:rPr>
                <w:rFonts w:hint="eastAsia" w:ascii="仿宋" w:hAnsi="仿宋" w:eastAsia="仿宋" w:cs="仿宋"/>
                <w:szCs w:val="21"/>
              </w:rPr>
            </w:pPr>
            <w:r>
              <w:rPr>
                <w:rFonts w:hint="eastAsia" w:ascii="仿宋" w:hAnsi="仿宋" w:eastAsia="仿宋" w:cs="仿宋"/>
                <w:szCs w:val="21"/>
              </w:rPr>
              <w:t>投标人所报的各分项投标报价在合同履行过程中是固定不变的，不得以任何理由予以变更。</w:t>
            </w:r>
          </w:p>
        </w:tc>
        <w:tc>
          <w:tcPr>
            <w:tcW w:w="1462" w:type="dxa"/>
            <w:noWrap/>
            <w:vAlign w:val="center"/>
          </w:tcPr>
          <w:p w14:paraId="0B73A1DA">
            <w:pPr>
              <w:spacing w:line="300" w:lineRule="auto"/>
              <w:rPr>
                <w:rFonts w:hint="eastAsia" w:ascii="仿宋" w:hAnsi="仿宋" w:eastAsia="仿宋" w:cs="仿宋"/>
                <w:szCs w:val="21"/>
              </w:rPr>
            </w:pPr>
          </w:p>
        </w:tc>
      </w:tr>
      <w:tr w14:paraId="6DC2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92BBBD5">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14</w:t>
            </w:r>
          </w:p>
        </w:tc>
        <w:tc>
          <w:tcPr>
            <w:tcW w:w="6730" w:type="dxa"/>
            <w:noWrap/>
            <w:vAlign w:val="center"/>
          </w:tcPr>
          <w:p w14:paraId="617767FD">
            <w:pPr>
              <w:spacing w:line="300" w:lineRule="auto"/>
              <w:jc w:val="left"/>
              <w:rPr>
                <w:rFonts w:hint="eastAsia" w:ascii="仿宋" w:hAnsi="仿宋" w:eastAsia="仿宋" w:cs="仿宋"/>
                <w:szCs w:val="21"/>
              </w:rPr>
            </w:pPr>
            <w:r>
              <w:rPr>
                <w:rFonts w:hint="eastAsia" w:ascii="仿宋" w:hAnsi="仿宋" w:eastAsia="仿宋" w:cs="仿宋"/>
                <w:szCs w:val="21"/>
              </w:rPr>
              <w:t>自提交投标文件截止之日起90日历日内</w:t>
            </w:r>
          </w:p>
        </w:tc>
        <w:tc>
          <w:tcPr>
            <w:tcW w:w="1462" w:type="dxa"/>
            <w:noWrap/>
            <w:vAlign w:val="center"/>
          </w:tcPr>
          <w:p w14:paraId="2665017A">
            <w:pPr>
              <w:spacing w:line="300" w:lineRule="auto"/>
              <w:rPr>
                <w:rFonts w:hint="eastAsia" w:ascii="仿宋" w:hAnsi="仿宋" w:eastAsia="仿宋" w:cs="仿宋"/>
                <w:szCs w:val="21"/>
              </w:rPr>
            </w:pPr>
          </w:p>
        </w:tc>
      </w:tr>
      <w:tr w14:paraId="35CA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576C2ED">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15</w:t>
            </w:r>
          </w:p>
        </w:tc>
        <w:tc>
          <w:tcPr>
            <w:tcW w:w="6730" w:type="dxa"/>
            <w:noWrap/>
            <w:vAlign w:val="center"/>
          </w:tcPr>
          <w:p w14:paraId="5C9417FA">
            <w:pPr>
              <w:spacing w:line="300" w:lineRule="auto"/>
              <w:jc w:val="left"/>
              <w:rPr>
                <w:rFonts w:hint="eastAsia" w:ascii="仿宋" w:hAnsi="仿宋" w:eastAsia="仿宋" w:cs="仿宋"/>
                <w:szCs w:val="21"/>
              </w:rPr>
            </w:pPr>
            <w:r>
              <w:rPr>
                <w:rFonts w:hint="eastAsia" w:ascii="仿宋" w:hAnsi="仿宋" w:eastAsia="仿宋" w:cs="仿宋"/>
                <w:szCs w:val="21"/>
              </w:rPr>
              <w:t>投标文件报价出现前后不一致的，应按照招标文件规定的顺序修正</w:t>
            </w:r>
          </w:p>
        </w:tc>
        <w:tc>
          <w:tcPr>
            <w:tcW w:w="1462" w:type="dxa"/>
            <w:noWrap/>
            <w:vAlign w:val="center"/>
          </w:tcPr>
          <w:p w14:paraId="51CCC9CE">
            <w:pPr>
              <w:spacing w:line="300" w:lineRule="auto"/>
              <w:rPr>
                <w:rFonts w:hint="eastAsia" w:ascii="仿宋" w:hAnsi="仿宋" w:eastAsia="仿宋" w:cs="仿宋"/>
                <w:szCs w:val="21"/>
              </w:rPr>
            </w:pPr>
          </w:p>
        </w:tc>
      </w:tr>
      <w:tr w14:paraId="496B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4FD7094">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16</w:t>
            </w:r>
          </w:p>
        </w:tc>
        <w:tc>
          <w:tcPr>
            <w:tcW w:w="6730" w:type="dxa"/>
            <w:noWrap/>
            <w:vAlign w:val="center"/>
          </w:tcPr>
          <w:p w14:paraId="0CDEDCA2">
            <w:pPr>
              <w:spacing w:line="300" w:lineRule="auto"/>
              <w:jc w:val="left"/>
              <w:rPr>
                <w:rFonts w:hint="eastAsia" w:ascii="仿宋" w:hAnsi="仿宋" w:eastAsia="仿宋" w:cs="仿宋"/>
                <w:szCs w:val="21"/>
              </w:rPr>
            </w:pPr>
            <w:r>
              <w:rPr>
                <w:rFonts w:hint="eastAsia" w:ascii="仿宋" w:hAnsi="仿宋" w:eastAsia="仿宋" w:cs="仿宋"/>
                <w:szCs w:val="21"/>
              </w:rPr>
              <w:t>投标人的报价明显低于其他通过符合性审查投标人的报价，有可能影响履约的，投标人能按照规定证明其报价合理性。</w:t>
            </w:r>
          </w:p>
        </w:tc>
        <w:tc>
          <w:tcPr>
            <w:tcW w:w="1462" w:type="dxa"/>
            <w:noWrap/>
            <w:vAlign w:val="center"/>
          </w:tcPr>
          <w:p w14:paraId="2A2D4C8F">
            <w:pPr>
              <w:spacing w:line="300" w:lineRule="auto"/>
              <w:rPr>
                <w:rFonts w:hint="eastAsia" w:ascii="仿宋" w:hAnsi="仿宋" w:eastAsia="仿宋" w:cs="仿宋"/>
                <w:szCs w:val="21"/>
              </w:rPr>
            </w:pPr>
          </w:p>
        </w:tc>
      </w:tr>
      <w:tr w14:paraId="7422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07F79341">
            <w:pPr>
              <w:spacing w:line="300" w:lineRule="auto"/>
              <w:ind w:firstLine="370" w:firstLineChars="180"/>
              <w:rPr>
                <w:rFonts w:hint="eastAsia" w:ascii="仿宋" w:hAnsi="仿宋" w:eastAsia="仿宋" w:cs="仿宋"/>
                <w:spacing w:val="-2"/>
                <w:szCs w:val="21"/>
              </w:rPr>
            </w:pPr>
            <w:r>
              <w:rPr>
                <w:rFonts w:hint="eastAsia" w:ascii="仿宋" w:hAnsi="仿宋" w:eastAsia="仿宋" w:cs="仿宋"/>
                <w:spacing w:val="-2"/>
                <w:szCs w:val="21"/>
              </w:rPr>
              <w:t>结论：通过评审打“√”，未通过评审打“×”</w:t>
            </w:r>
          </w:p>
        </w:tc>
        <w:tc>
          <w:tcPr>
            <w:tcW w:w="1462" w:type="dxa"/>
            <w:noWrap/>
            <w:vAlign w:val="center"/>
          </w:tcPr>
          <w:p w14:paraId="0189F5DE">
            <w:pPr>
              <w:spacing w:line="300" w:lineRule="auto"/>
              <w:ind w:firstLine="370" w:firstLineChars="180"/>
              <w:rPr>
                <w:rFonts w:hint="eastAsia" w:ascii="仿宋" w:hAnsi="仿宋" w:eastAsia="仿宋" w:cs="仿宋"/>
                <w:spacing w:val="-2"/>
                <w:szCs w:val="21"/>
              </w:rPr>
            </w:pPr>
          </w:p>
        </w:tc>
      </w:tr>
    </w:tbl>
    <w:p w14:paraId="52ADCF3E">
      <w:pPr>
        <w:spacing w:line="300" w:lineRule="auto"/>
        <w:ind w:left="60"/>
        <w:rPr>
          <w:rFonts w:hint="eastAsia" w:ascii="仿宋" w:hAnsi="仿宋" w:eastAsia="仿宋" w:cs="仿宋"/>
          <w:szCs w:val="21"/>
        </w:rPr>
      </w:pPr>
      <w:r>
        <w:rPr>
          <w:rFonts w:hint="eastAsia" w:ascii="仿宋" w:hAnsi="仿宋" w:eastAsia="仿宋" w:cs="仿宋"/>
          <w:szCs w:val="21"/>
        </w:rPr>
        <w:t>说明：</w:t>
      </w:r>
    </w:p>
    <w:p w14:paraId="65F16879">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上述各项中用“√”表示通过，“×”表示不通过；</w:t>
      </w:r>
    </w:p>
    <w:p w14:paraId="726E23E4">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上述各项中如有一项为“×”，则结论为“×”，表示该投标文件中存在重大偏差，不能通过初步评审；评委对某一分项评审认为不合格时，必须要写明原因。</w:t>
      </w:r>
    </w:p>
    <w:p w14:paraId="04391B43">
      <w:pPr>
        <w:numPr>
          <w:ilvl w:val="1"/>
          <w:numId w:val="10"/>
        </w:numPr>
        <w:spacing w:line="300" w:lineRule="auto"/>
        <w:rPr>
          <w:rFonts w:hint="eastAsia" w:ascii="仿宋" w:hAnsi="仿宋" w:eastAsia="仿宋" w:cs="仿宋"/>
          <w:szCs w:val="21"/>
        </w:rPr>
      </w:pPr>
      <w:r>
        <w:rPr>
          <w:rFonts w:hint="eastAsia" w:ascii="仿宋" w:hAnsi="仿宋" w:eastAsia="仿宋" w:cs="仿宋"/>
          <w:szCs w:val="21"/>
        </w:rPr>
        <w:t>投标文件最终合格与否，以所有评委的评审意见中少数服从多数为原则定论。</w:t>
      </w:r>
    </w:p>
    <w:p w14:paraId="281BCE0B">
      <w:pPr>
        <w:spacing w:line="300" w:lineRule="auto"/>
        <w:rPr>
          <w:rFonts w:hint="eastAsia" w:ascii="仿宋" w:hAnsi="仿宋" w:eastAsia="仿宋" w:cs="仿宋"/>
          <w:szCs w:val="21"/>
        </w:rPr>
      </w:pPr>
    </w:p>
    <w:p w14:paraId="2EEE79BB">
      <w:pPr>
        <w:spacing w:line="300" w:lineRule="auto"/>
        <w:rPr>
          <w:rFonts w:hint="eastAsia" w:ascii="仿宋" w:hAnsi="仿宋" w:eastAsia="仿宋" w:cs="仿宋"/>
          <w:b/>
          <w:bCs/>
          <w:sz w:val="28"/>
          <w:szCs w:val="28"/>
        </w:rPr>
      </w:pPr>
      <w:r>
        <w:rPr>
          <w:rFonts w:hint="eastAsia" w:ascii="仿宋" w:hAnsi="仿宋" w:eastAsia="仿宋" w:cs="仿宋"/>
          <w:b/>
          <w:bCs/>
          <w:sz w:val="28"/>
          <w:szCs w:val="28"/>
        </w:rPr>
        <w:t>注：如果投标文件中有一项未通过上述审查标准，评标委员会将认定整个投标文件未响应招标文件而予以废标处理。</w:t>
      </w:r>
    </w:p>
    <w:p w14:paraId="258DC36E">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评委根据投标单位投标文件的符合性进行审查，符合要求的打“√”，不符合要求的打“×”，一项不符合要求，则评审结论为不通过。</w:t>
      </w:r>
    </w:p>
    <w:p w14:paraId="367A08FC">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589CEB1">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4E38B0F9">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3.3.4投标人有下列情形之一的,评标委员会认定为投标人串通投标，其投标无效，书面报告财政部门：</w:t>
      </w:r>
    </w:p>
    <w:p w14:paraId="53C39EAD">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（1）不同投标人的投标文件由同一单位或者个人编制；</w:t>
      </w:r>
    </w:p>
    <w:p w14:paraId="76803DC0">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（2）不同投标人委托同一单位或者个人办理投标事宜；</w:t>
      </w:r>
    </w:p>
    <w:p w14:paraId="18BFE082">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（3）不同投标人的投标文件载明的项目管理成员或者联系人员为同一人；</w:t>
      </w:r>
    </w:p>
    <w:p w14:paraId="1278B84A">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（4）不同投标人的投标文件异常一致或者投标报价呈规律性差异；</w:t>
      </w:r>
    </w:p>
    <w:p w14:paraId="7F3082E9">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（5）不同投标人的投标文件相互混装；</w:t>
      </w:r>
    </w:p>
    <w:p w14:paraId="1263DB9F">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3.4比较与评价。按招标文件中规定的评标方法和标准，对未作无效投标处理的投标文件进行技术、服务、商务等方面评估，综合比较与评价。</w:t>
      </w:r>
    </w:p>
    <w:p w14:paraId="5EA56DC1">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54286EEC">
      <w:pPr>
        <w:rPr>
          <w:rFonts w:hint="eastAsia" w:ascii="仿宋" w:hAnsi="仿宋" w:eastAsia="仿宋" w:cs="仿宋"/>
          <w:b/>
          <w:bCs/>
          <w:iCs/>
          <w:color w:val="auto"/>
          <w:lang w:val="en-US" w:eastAsia="zh-CN"/>
        </w:rPr>
      </w:pPr>
      <w:r>
        <w:rPr>
          <w:rFonts w:hint="eastAsia" w:ascii="仿宋" w:hAnsi="仿宋" w:eastAsia="仿宋" w:cs="仿宋"/>
          <w:b/>
          <w:bCs/>
          <w:iCs/>
          <w:color w:val="auto"/>
        </w:rPr>
        <w:t>详细评分表：</w:t>
      </w:r>
    </w:p>
    <w:p w14:paraId="799DBE08">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t>第一标段</w:t>
      </w:r>
    </w:p>
    <w:tbl>
      <w:tblPr>
        <w:tblStyle w:val="23"/>
        <w:tblpPr w:leftFromText="180" w:rightFromText="180" w:vertAnchor="text" w:horzAnchor="page" w:tblpX="1805" w:tblpY="30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79"/>
        <w:gridCol w:w="697"/>
        <w:gridCol w:w="644"/>
        <w:gridCol w:w="5535"/>
      </w:tblGrid>
      <w:tr w14:paraId="2954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16" w:type="pct"/>
            <w:vAlign w:val="center"/>
          </w:tcPr>
          <w:p w14:paraId="072E98FE">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1045" w:type="pct"/>
            <w:gridSpan w:val="2"/>
            <w:vAlign w:val="center"/>
          </w:tcPr>
          <w:p w14:paraId="3DC4874D">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评分因素</w:t>
            </w:r>
          </w:p>
        </w:tc>
        <w:tc>
          <w:tcPr>
            <w:tcW w:w="379" w:type="pct"/>
            <w:vAlign w:val="center"/>
          </w:tcPr>
          <w:p w14:paraId="21849CD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3258" w:type="pct"/>
            <w:vAlign w:val="center"/>
          </w:tcPr>
          <w:p w14:paraId="05075432">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b/>
                <w:sz w:val="21"/>
                <w:szCs w:val="21"/>
              </w:rPr>
            </w:pPr>
            <w:r>
              <w:rPr>
                <w:rFonts w:hint="eastAsia" w:ascii="仿宋" w:hAnsi="仿宋" w:eastAsia="仿宋" w:cs="仿宋"/>
                <w:b/>
                <w:sz w:val="21"/>
                <w:szCs w:val="21"/>
              </w:rPr>
              <w:t>评分标准</w:t>
            </w:r>
          </w:p>
        </w:tc>
      </w:tr>
      <w:tr w14:paraId="3EA6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316" w:type="pct"/>
            <w:vAlign w:val="center"/>
          </w:tcPr>
          <w:p w14:paraId="0B074D67">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b/>
                <w:sz w:val="21"/>
                <w:szCs w:val="21"/>
              </w:rPr>
            </w:pPr>
            <w:r>
              <w:rPr>
                <w:rFonts w:hint="eastAsia" w:ascii="仿宋" w:hAnsi="仿宋" w:eastAsia="仿宋" w:cs="仿宋"/>
                <w:b/>
                <w:sz w:val="21"/>
                <w:szCs w:val="21"/>
              </w:rPr>
              <w:t>一</w:t>
            </w:r>
          </w:p>
        </w:tc>
        <w:tc>
          <w:tcPr>
            <w:tcW w:w="635" w:type="pct"/>
            <w:vAlign w:val="center"/>
          </w:tcPr>
          <w:p w14:paraId="5199DC92">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价格部分</w:t>
            </w:r>
          </w:p>
          <w:p w14:paraId="3D3F88C3">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410" w:type="pct"/>
            <w:vAlign w:val="center"/>
          </w:tcPr>
          <w:p w14:paraId="1D4D3288">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价格分</w:t>
            </w:r>
          </w:p>
        </w:tc>
        <w:tc>
          <w:tcPr>
            <w:tcW w:w="379" w:type="pct"/>
            <w:vAlign w:val="center"/>
          </w:tcPr>
          <w:p w14:paraId="4E01A827">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3258" w:type="pct"/>
            <w:vAlign w:val="center"/>
          </w:tcPr>
          <w:p w14:paraId="6C032FF3">
            <w:pPr>
              <w:keepNext w:val="0"/>
              <w:keepLines w:val="0"/>
              <w:pageBreakBefore w:val="0"/>
              <w:numPr>
                <w:ilvl w:val="0"/>
                <w:numId w:val="11"/>
              </w:numPr>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满足招标文件要求且最后报价最低的供应商的价格为基准价，其价格分为满分。</w:t>
            </w:r>
          </w:p>
          <w:p w14:paraId="7C25DDCE">
            <w:pPr>
              <w:keepNext w:val="0"/>
              <w:keepLines w:val="0"/>
              <w:pageBreakBefore w:val="0"/>
              <w:numPr>
                <w:ilvl w:val="0"/>
                <w:numId w:val="0"/>
              </w:numPr>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36686198">
            <w:pPr>
              <w:keepNext w:val="0"/>
              <w:keepLines w:val="0"/>
              <w:pageBreakBefore w:val="0"/>
              <w:kinsoku/>
              <w:wordWrap/>
              <w:overflowPunct/>
              <w:topLinePunct w:val="0"/>
              <w:bidi w:val="0"/>
              <w:spacing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73B699AA">
            <w:pPr>
              <w:keepNext w:val="0"/>
              <w:keepLines w:val="0"/>
              <w:pageBreakBefore w:val="0"/>
              <w:widowControl w:val="0"/>
              <w:kinsoku/>
              <w:wordWrap/>
              <w:overflowPunct/>
              <w:topLinePunct w:val="0"/>
              <w:bidi w:val="0"/>
              <w:adjustRightInd/>
              <w:snapToGrid/>
              <w:spacing w:before="0" w:after="0" w:line="400" w:lineRule="exact"/>
              <w:textAlignment w:val="auto"/>
              <w:rPr>
                <w:rFonts w:hint="eastAsia" w:ascii="仿宋" w:hAnsi="仿宋" w:eastAsia="仿宋" w:cs="仿宋"/>
                <w:b/>
                <w:sz w:val="21"/>
                <w:szCs w:val="21"/>
              </w:rPr>
            </w:pPr>
            <w:r>
              <w:rPr>
                <w:rFonts w:hint="eastAsia" w:ascii="仿宋" w:hAnsi="仿宋" w:eastAsia="仿宋" w:cs="仿宋"/>
                <w:color w:val="000000"/>
                <w:kern w:val="0"/>
                <w:sz w:val="21"/>
                <w:szCs w:val="21"/>
              </w:rPr>
              <w:t>投标报价得分=（评标基准价/投标报价）×20</w:t>
            </w:r>
          </w:p>
        </w:tc>
      </w:tr>
      <w:tr w14:paraId="6212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316" w:type="pct"/>
            <w:vMerge w:val="restart"/>
            <w:vAlign w:val="center"/>
          </w:tcPr>
          <w:p w14:paraId="561DC8BA">
            <w:pPr>
              <w:keepNext w:val="0"/>
              <w:keepLines w:val="0"/>
              <w:pageBreakBefore w:val="0"/>
              <w:widowControl/>
              <w:kinsoku/>
              <w:wordWrap/>
              <w:overflowPunct/>
              <w:topLinePunct w:val="0"/>
              <w:bidi w:val="0"/>
              <w:spacing w:before="0" w:after="0" w:line="40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二</w:t>
            </w:r>
          </w:p>
        </w:tc>
        <w:tc>
          <w:tcPr>
            <w:tcW w:w="635" w:type="pct"/>
            <w:vMerge w:val="restart"/>
            <w:vAlign w:val="center"/>
          </w:tcPr>
          <w:p w14:paraId="237603DB">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技术部分</w:t>
            </w:r>
          </w:p>
          <w:p w14:paraId="74D628CB">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9</w:t>
            </w:r>
            <w:r>
              <w:rPr>
                <w:rFonts w:hint="eastAsia" w:ascii="仿宋" w:hAnsi="仿宋" w:eastAsia="仿宋" w:cs="仿宋"/>
                <w:sz w:val="21"/>
                <w:szCs w:val="21"/>
              </w:rPr>
              <w:t>分）</w:t>
            </w:r>
          </w:p>
        </w:tc>
        <w:tc>
          <w:tcPr>
            <w:tcW w:w="410" w:type="pct"/>
            <w:vAlign w:val="center"/>
          </w:tcPr>
          <w:p w14:paraId="6CE50FE4">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项目需求</w:t>
            </w:r>
          </w:p>
        </w:tc>
        <w:tc>
          <w:tcPr>
            <w:tcW w:w="379" w:type="pct"/>
            <w:vAlign w:val="center"/>
          </w:tcPr>
          <w:p w14:paraId="1F723A4F">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8" w:type="pct"/>
            <w:vAlign w:val="center"/>
          </w:tcPr>
          <w:p w14:paraId="2EE0964B">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根据招标文件要求提供针对本项目主要需求理解、现状分析、模块功能描述等方面综合评分：</w:t>
            </w:r>
          </w:p>
          <w:p w14:paraId="2052FD7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第一个档次（5分）：</w:t>
            </w:r>
            <w:r>
              <w:rPr>
                <w:rFonts w:hint="eastAsia" w:ascii="仿宋" w:hAnsi="仿宋" w:eastAsia="仿宋" w:cs="仿宋"/>
                <w:sz w:val="21"/>
                <w:szCs w:val="21"/>
              </w:rPr>
              <w:t>需求理解深刻、现状分析透彻、模块功能描述详细；</w:t>
            </w:r>
          </w:p>
          <w:p w14:paraId="0F6B7BAB">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第二个档次（3分）：</w:t>
            </w:r>
            <w:r>
              <w:rPr>
                <w:rFonts w:hint="eastAsia" w:ascii="仿宋" w:hAnsi="仿宋" w:eastAsia="仿宋" w:cs="仿宋"/>
                <w:sz w:val="21"/>
                <w:szCs w:val="21"/>
              </w:rPr>
              <w:t>需求理解一般、现状分析一般、模块功能描述详细程度一般；</w:t>
            </w:r>
          </w:p>
          <w:p w14:paraId="18CD54C6">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需求理解差、现状分析差、模块功能描述详细程度差。</w:t>
            </w:r>
          </w:p>
          <w:p w14:paraId="2BDF6E7C">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430F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16" w:type="pct"/>
            <w:vMerge w:val="continue"/>
            <w:vAlign w:val="center"/>
          </w:tcPr>
          <w:p w14:paraId="37B24060">
            <w:pPr>
              <w:keepNext w:val="0"/>
              <w:keepLines w:val="0"/>
              <w:pageBreakBefore w:val="0"/>
              <w:widowControl/>
              <w:kinsoku/>
              <w:wordWrap/>
              <w:overflowPunct/>
              <w:topLinePunct w:val="0"/>
              <w:bidi w:val="0"/>
              <w:spacing w:before="0" w:after="0" w:line="400" w:lineRule="exact"/>
              <w:jc w:val="center"/>
              <w:textAlignment w:val="auto"/>
              <w:rPr>
                <w:rFonts w:hint="eastAsia" w:ascii="仿宋" w:hAnsi="仿宋" w:eastAsia="仿宋" w:cs="仿宋"/>
                <w:kern w:val="0"/>
                <w:sz w:val="21"/>
                <w:szCs w:val="21"/>
              </w:rPr>
            </w:pPr>
          </w:p>
        </w:tc>
        <w:tc>
          <w:tcPr>
            <w:tcW w:w="635" w:type="pct"/>
            <w:vMerge w:val="continue"/>
            <w:vAlign w:val="center"/>
          </w:tcPr>
          <w:p w14:paraId="729C5FD1">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2932D1F2">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设计方案</w:t>
            </w:r>
          </w:p>
        </w:tc>
        <w:tc>
          <w:tcPr>
            <w:tcW w:w="379" w:type="pct"/>
            <w:vAlign w:val="center"/>
          </w:tcPr>
          <w:p w14:paraId="06BA9C6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643D873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根据投标人设计方案的先进性、扩展性、集成性、兼容性、实用性、完整性、设计深度等方面综合评分：</w:t>
            </w:r>
          </w:p>
          <w:p w14:paraId="6997C3A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方案的先进性、扩展性、集成性、兼容性、实用性、完整性、设计深度优秀；</w:t>
            </w:r>
          </w:p>
          <w:p w14:paraId="53BCEAA1">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方案的先进性、扩展性、集成性、兼容性、实用性、完整性、设计深度一般；</w:t>
            </w:r>
          </w:p>
          <w:p w14:paraId="6A7FE677">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方案的先进性、扩展性、集成性、兼容性、实用性、完整性、设计深度差。</w:t>
            </w:r>
          </w:p>
          <w:p w14:paraId="41112474">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2F6C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Merge w:val="continue"/>
            <w:vAlign w:val="center"/>
          </w:tcPr>
          <w:p w14:paraId="7BC8D52E">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1C0D19AF">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79A76B27">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实施方案</w:t>
            </w:r>
          </w:p>
        </w:tc>
        <w:tc>
          <w:tcPr>
            <w:tcW w:w="379" w:type="pct"/>
            <w:vAlign w:val="center"/>
          </w:tcPr>
          <w:p w14:paraId="5095B990">
            <w:pPr>
              <w:keepNext w:val="0"/>
              <w:keepLines w:val="0"/>
              <w:pageBreakBefore w:val="0"/>
              <w:tabs>
                <w:tab w:val="center" w:pos="377"/>
                <w:tab w:val="left" w:pos="510"/>
              </w:tabs>
              <w:kinsoku/>
              <w:wordWrap/>
              <w:overflowPunct/>
              <w:topLinePunct w:val="0"/>
              <w:bidi w:val="0"/>
              <w:spacing w:before="0" w:after="0" w:line="40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296AC88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根据投标人所提供项目实施方案中的工作计划进度，项目实施方案（包含部署、联调、测试验收、培训等），项目实施质量控制等进行评分：</w:t>
            </w:r>
          </w:p>
          <w:p w14:paraId="66492B84">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实施方案可行性、计划进度表详细、各阶段服务的实施安排清晰、应对改进措施完善，具有可操作性；</w:t>
            </w:r>
          </w:p>
          <w:p w14:paraId="3B47143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实施方案可行性一般、计划进度表详细程度一般、各阶段服务的实施安排清晰程度一般、应对改进措施完善程度一般，可操作性一般；</w:t>
            </w:r>
          </w:p>
          <w:p w14:paraId="6BB1C3D1">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实施方案可行性差、计划进度表详细程度差、各阶段服务的实施安排清晰程度差、应对改进措施完善程度差，可操作性差。</w:t>
            </w:r>
          </w:p>
          <w:p w14:paraId="3EC2C6D2">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color w:val="auto"/>
                <w:kern w:val="2"/>
                <w:sz w:val="21"/>
                <w:szCs w:val="21"/>
              </w:rPr>
            </w:pPr>
            <w:r>
              <w:rPr>
                <w:rFonts w:hint="eastAsia" w:ascii="仿宋" w:hAnsi="仿宋" w:eastAsia="仿宋" w:cs="仿宋"/>
                <w:sz w:val="21"/>
                <w:szCs w:val="21"/>
              </w:rPr>
              <w:t>不提供不得分。</w:t>
            </w:r>
          </w:p>
        </w:tc>
      </w:tr>
      <w:tr w14:paraId="73EB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6" w:type="pct"/>
            <w:vMerge w:val="continue"/>
            <w:vAlign w:val="center"/>
          </w:tcPr>
          <w:p w14:paraId="7AD6A986">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5D4ADA38">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sz w:val="21"/>
                <w:szCs w:val="21"/>
              </w:rPr>
            </w:pPr>
          </w:p>
        </w:tc>
        <w:tc>
          <w:tcPr>
            <w:tcW w:w="410" w:type="pct"/>
            <w:vAlign w:val="center"/>
          </w:tcPr>
          <w:p w14:paraId="3708B59E">
            <w:pPr>
              <w:pStyle w:val="49"/>
              <w:keepNext w:val="0"/>
              <w:keepLines w:val="0"/>
              <w:pageBreakBefore w:val="0"/>
              <w:kinsoku/>
              <w:wordWrap/>
              <w:overflowPunct/>
              <w:topLinePunct w:val="0"/>
              <w:bidi w:val="0"/>
              <w:spacing w:line="4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rPr>
              <w:t>售后服务方案</w:t>
            </w:r>
          </w:p>
        </w:tc>
        <w:tc>
          <w:tcPr>
            <w:tcW w:w="379" w:type="pct"/>
            <w:vAlign w:val="center"/>
          </w:tcPr>
          <w:p w14:paraId="304BB02D">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3258" w:type="pct"/>
            <w:vAlign w:val="center"/>
          </w:tcPr>
          <w:p w14:paraId="4181CFBF">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根据投标人提供售后服务方案中的服务承诺，售后服务保障，升级方案，响应时间和问题解决时限等进行综合评分:</w:t>
            </w:r>
          </w:p>
          <w:p w14:paraId="68B8BCAA">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第一个档次（</w:t>
            </w:r>
            <w:r>
              <w:rPr>
                <w:rFonts w:hint="eastAsia" w:ascii="仿宋" w:hAnsi="仿宋" w:eastAsia="仿宋" w:cs="仿宋"/>
                <w:sz w:val="21"/>
                <w:szCs w:val="21"/>
                <w:lang w:val="en-US" w:eastAsia="zh-CN"/>
              </w:rPr>
              <w:t>8</w:t>
            </w:r>
            <w:r>
              <w:rPr>
                <w:rFonts w:hint="eastAsia" w:ascii="仿宋" w:hAnsi="仿宋" w:eastAsia="仿宋" w:cs="仿宋"/>
                <w:sz w:val="21"/>
                <w:szCs w:val="21"/>
              </w:rPr>
              <w:t>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售后运维方案提供售后质保方案、质保承诺、运维具体方式、系统修改服务、定制开发服务、巡检服务、应急响应、自罚措施完善的，并具有相关证明材料；</w:t>
            </w:r>
          </w:p>
          <w:p w14:paraId="5B023C6E">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第二个档次（</w:t>
            </w:r>
            <w:r>
              <w:rPr>
                <w:rFonts w:hint="eastAsia" w:ascii="仿宋" w:hAnsi="仿宋" w:eastAsia="仿宋" w:cs="仿宋"/>
                <w:sz w:val="21"/>
                <w:szCs w:val="21"/>
                <w:lang w:val="en-US" w:eastAsia="zh-CN"/>
              </w:rPr>
              <w:t>5</w:t>
            </w:r>
            <w:r>
              <w:rPr>
                <w:rFonts w:hint="eastAsia" w:ascii="仿宋" w:hAnsi="仿宋" w:eastAsia="仿宋" w:cs="仿宋"/>
                <w:sz w:val="21"/>
                <w:szCs w:val="21"/>
              </w:rPr>
              <w:t>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售后运维方案提供售后质保方案、质保承诺、运维具体方式、系统修改服务、定制开发服务、巡检服务、应急响应、自罚措施一般；</w:t>
            </w:r>
          </w:p>
          <w:p w14:paraId="060E10A2">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第三个档次（1分）：</w:t>
            </w:r>
            <w:r>
              <w:rPr>
                <w:rFonts w:hint="eastAsia" w:ascii="仿宋" w:hAnsi="仿宋" w:eastAsia="仿宋" w:cs="仿宋"/>
                <w:color w:val="000000"/>
                <w:kern w:val="0"/>
                <w:sz w:val="21"/>
                <w:szCs w:val="21"/>
              </w:rPr>
              <w:t>售后运维方案提供售后质保方案、质保承诺、运维具体方式、系统修改服务、定制开发服务、巡检服务、应急响应、自罚措施完善程度差。</w:t>
            </w:r>
          </w:p>
          <w:p w14:paraId="45DCF0C1">
            <w:pPr>
              <w:pStyle w:val="12"/>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r>
              <w:rPr>
                <w:rFonts w:hint="eastAsia" w:ascii="仿宋" w:hAnsi="仿宋" w:eastAsia="仿宋" w:cs="仿宋"/>
                <w:sz w:val="21"/>
                <w:szCs w:val="21"/>
              </w:rPr>
              <w:t>不提供不得分。</w:t>
            </w:r>
          </w:p>
        </w:tc>
      </w:tr>
      <w:tr w14:paraId="523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316" w:type="pct"/>
            <w:vMerge w:val="continue"/>
            <w:vAlign w:val="center"/>
          </w:tcPr>
          <w:p w14:paraId="3218AA1B">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p>
        </w:tc>
        <w:tc>
          <w:tcPr>
            <w:tcW w:w="635" w:type="pct"/>
            <w:vMerge w:val="continue"/>
            <w:vAlign w:val="center"/>
          </w:tcPr>
          <w:p w14:paraId="4C1F2358">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vAlign w:val="center"/>
          </w:tcPr>
          <w:p w14:paraId="007BDA8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技术响应</w:t>
            </w:r>
          </w:p>
        </w:tc>
        <w:tc>
          <w:tcPr>
            <w:tcW w:w="379" w:type="pct"/>
            <w:vAlign w:val="center"/>
          </w:tcPr>
          <w:p w14:paraId="48DD680F">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3</w:t>
            </w:r>
          </w:p>
        </w:tc>
        <w:tc>
          <w:tcPr>
            <w:tcW w:w="3258" w:type="pct"/>
            <w:vAlign w:val="center"/>
          </w:tcPr>
          <w:p w14:paraId="4E479EDA">
            <w:pPr>
              <w:keepNext w:val="0"/>
              <w:keepLines w:val="0"/>
              <w:pageBreakBefore w:val="0"/>
              <w:numPr>
                <w:ilvl w:val="0"/>
                <w:numId w:val="0"/>
              </w:numPr>
              <w:kinsoku/>
              <w:wordWrap/>
              <w:overflowPunct/>
              <w:topLinePunct w:val="0"/>
              <w:bidi w:val="0"/>
              <w:spacing w:before="0" w:after="0" w:line="400" w:lineRule="exact"/>
              <w:ind w:leftChars="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技术参数（3</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w:t>
            </w:r>
          </w:p>
          <w:p w14:paraId="717A4138">
            <w:pPr>
              <w:keepNext w:val="0"/>
              <w:keepLines w:val="0"/>
              <w:pageBreakBefore w:val="0"/>
              <w:widowControl/>
              <w:suppressLineNumbers w:val="0"/>
              <w:kinsoku/>
              <w:overflowPunct/>
              <w:topLinePunct w:val="0"/>
              <w:autoSpaceDE/>
              <w:autoSpaceDN/>
              <w:bidi w:val="0"/>
              <w:adjustRightInd/>
              <w:snapToGrid/>
              <w:spacing w:line="400" w:lineRule="exact"/>
              <w:jc w:val="left"/>
              <w:textAlignment w:val="top"/>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 xml:space="preserve">一般技术参数，负偏离，每项扣 1 分；重要技术参数（标注“★ ” 号的参数），负偏离，每项扣 2分；扣完为止。（标注“★ ”号的技术参数需提供软件系统相关功能模块界面的截图证明，否则视为负偏离。）投标人应该根据自身产品情况，对所投产品进行描述。投标人如对参数进行简单的复制粘贴，该项得分为0；  </w:t>
            </w:r>
          </w:p>
          <w:p w14:paraId="256B8C95">
            <w:pPr>
              <w:pStyle w:val="21"/>
              <w:keepNext w:val="0"/>
              <w:keepLines w:val="0"/>
              <w:pageBreakBefore w:val="0"/>
              <w:kinsoku/>
              <w:wordWrap/>
              <w:overflowPunct/>
              <w:topLinePunct w:val="0"/>
              <w:bidi w:val="0"/>
              <w:spacing w:before="0" w:after="0" w:line="400" w:lineRule="exact"/>
              <w:ind w:firstLine="0" w:firstLineChars="0"/>
              <w:textAlignment w:val="auto"/>
              <w:rPr>
                <w:rFonts w:hint="eastAsia" w:ascii="仿宋" w:hAnsi="仿宋" w:eastAsia="仿宋" w:cs="仿宋"/>
                <w:sz w:val="21"/>
                <w:szCs w:val="21"/>
              </w:rPr>
            </w:pPr>
            <w:r>
              <w:rPr>
                <w:rFonts w:hint="eastAsia" w:ascii="仿宋" w:hAnsi="仿宋" w:eastAsia="仿宋" w:cs="仿宋"/>
                <w:b/>
                <w:bCs/>
                <w:i w:val="0"/>
                <w:iCs w:val="0"/>
                <w:color w:val="000000"/>
                <w:kern w:val="0"/>
                <w:sz w:val="21"/>
                <w:szCs w:val="21"/>
                <w:u w:val="none"/>
                <w:lang w:val="en-US" w:eastAsia="zh-CN" w:bidi="ar"/>
              </w:rPr>
              <w:t>如偏离项数较多或偏离程度较大，经评委会评议，保留这些偏离可能会导致响应系统软件实质上不符合采购人实际需求的，该项33分不得分。</w:t>
            </w:r>
          </w:p>
        </w:tc>
      </w:tr>
      <w:tr w14:paraId="61A4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316" w:type="pct"/>
            <w:vMerge w:val="restart"/>
            <w:vAlign w:val="center"/>
          </w:tcPr>
          <w:p w14:paraId="609E4EDE">
            <w:pPr>
              <w:keepNext w:val="0"/>
              <w:keepLines w:val="0"/>
              <w:pageBreakBefore w:val="0"/>
              <w:kinsoku/>
              <w:wordWrap/>
              <w:overflowPunct/>
              <w:topLinePunct w:val="0"/>
              <w:bidi w:val="0"/>
              <w:spacing w:before="0" w:after="0" w:line="40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w:t>
            </w:r>
          </w:p>
        </w:tc>
        <w:tc>
          <w:tcPr>
            <w:tcW w:w="635" w:type="pct"/>
            <w:vMerge w:val="restart"/>
            <w:vAlign w:val="center"/>
          </w:tcPr>
          <w:p w14:paraId="4F260A3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商务部分</w:t>
            </w:r>
          </w:p>
          <w:p w14:paraId="278F9CCA">
            <w:pPr>
              <w:pStyle w:val="21"/>
              <w:keepNext w:val="0"/>
              <w:keepLines w:val="0"/>
              <w:pageBreakBefore w:val="0"/>
              <w:kinsoku/>
              <w:wordWrap/>
              <w:overflowPunct/>
              <w:topLinePunct w:val="0"/>
              <w:bidi w:val="0"/>
              <w:spacing w:before="0" w:after="0" w:line="400" w:lineRule="exact"/>
              <w:ind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c>
          <w:tcPr>
            <w:tcW w:w="410" w:type="pct"/>
            <w:vAlign w:val="center"/>
          </w:tcPr>
          <w:p w14:paraId="61D0D4DC">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综合实力</w:t>
            </w:r>
          </w:p>
        </w:tc>
        <w:tc>
          <w:tcPr>
            <w:tcW w:w="379" w:type="pct"/>
            <w:vAlign w:val="center"/>
          </w:tcPr>
          <w:p w14:paraId="4E085C80">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258" w:type="pct"/>
            <w:vAlign w:val="center"/>
          </w:tcPr>
          <w:p w14:paraId="0316B954">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具有相关急救一体化系统的有效的计算机软件著作权登记证书，提供的著作权登记证书须含有“多中心专科专病科研平台”“急诊急救一体化科研数据库”“专病临床科研数据仓库”“急诊急救一体化数据决策分析管理”“信息集成及流程管控平台”；每提供1个得1分，本项最高得5分；</w:t>
            </w:r>
          </w:p>
          <w:p w14:paraId="21DB287D">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具有胸痛临床信息系统应用软件信创评估证书的得1分；</w:t>
            </w:r>
          </w:p>
          <w:p w14:paraId="0790D721">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具有卒中临床信息系统应用软件信创评估证书的得1分；</w:t>
            </w:r>
          </w:p>
          <w:p w14:paraId="71CE4CCA">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具有创伤临床信息系统应用软件信创评估证书的得1分；</w:t>
            </w:r>
          </w:p>
          <w:p w14:paraId="4F45B517">
            <w:pPr>
              <w:keepNext w:val="0"/>
              <w:keepLines w:val="0"/>
              <w:pageBreakBefore w:val="0"/>
              <w:numPr>
                <w:ilvl w:val="0"/>
                <w:numId w:val="12"/>
              </w:numPr>
              <w:kinsoku/>
              <w:wordWrap/>
              <w:overflowPunct/>
              <w:topLinePunct w:val="0"/>
              <w:bidi w:val="0"/>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sz w:val="21"/>
                <w:szCs w:val="21"/>
              </w:rPr>
              <w:t>投标人或生产厂家</w:t>
            </w:r>
            <w:r>
              <w:rPr>
                <w:rFonts w:hint="eastAsia" w:ascii="仿宋" w:hAnsi="仿宋" w:eastAsia="仿宋" w:cs="仿宋"/>
                <w:color w:val="000000"/>
                <w:kern w:val="0"/>
                <w:sz w:val="21"/>
                <w:szCs w:val="21"/>
              </w:rPr>
              <w:t>具有医院物联网设备数据采集平台信创评估证书的得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分；</w:t>
            </w:r>
          </w:p>
          <w:p w14:paraId="28C3F555">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（投标文件中提供复印件并加盖公章，否则不得分）</w:t>
            </w:r>
          </w:p>
        </w:tc>
      </w:tr>
      <w:tr w14:paraId="51F5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316" w:type="pct"/>
            <w:vMerge w:val="continue"/>
            <w:vAlign w:val="center"/>
          </w:tcPr>
          <w:p w14:paraId="496FECF5">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p>
        </w:tc>
        <w:tc>
          <w:tcPr>
            <w:tcW w:w="635" w:type="pct"/>
            <w:vMerge w:val="continue"/>
            <w:vAlign w:val="center"/>
          </w:tcPr>
          <w:p w14:paraId="0601BE5A">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vAlign w:val="center"/>
          </w:tcPr>
          <w:p w14:paraId="358C7459">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人员保障</w:t>
            </w:r>
          </w:p>
        </w:tc>
        <w:tc>
          <w:tcPr>
            <w:tcW w:w="379" w:type="pct"/>
            <w:vAlign w:val="center"/>
          </w:tcPr>
          <w:p w14:paraId="0EEC4864">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3258" w:type="pct"/>
            <w:vAlign w:val="center"/>
          </w:tcPr>
          <w:p w14:paraId="79BCAB0C">
            <w:pPr>
              <w:pStyle w:val="31"/>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ind w:firstLineChars="0"/>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投标人或生产厂家投入项目经理同时具有信息系统项目管理师(高级)证书和数据库系统工程师证书的得3分，共3分；</w:t>
            </w:r>
          </w:p>
          <w:p w14:paraId="3207126C">
            <w:pPr>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投标人或生产厂家投入项目组成员具有NPDP证书的，提供一个得1分，共1分；</w:t>
            </w:r>
          </w:p>
          <w:p w14:paraId="00A6E609">
            <w:pPr>
              <w:keepNext w:val="0"/>
              <w:keepLines w:val="0"/>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投标人或生产厂家投入项目组成员具有软件设计师证书的，提供一个得1分，共1分；</w:t>
            </w:r>
          </w:p>
          <w:p w14:paraId="6FC959A9">
            <w:pPr>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（请在投标文件中提供相关证书复印件和近3个月</w:t>
            </w:r>
            <w:r>
              <w:rPr>
                <w:rFonts w:hint="eastAsia" w:ascii="仿宋" w:hAnsi="仿宋" w:eastAsia="仿宋" w:cs="仿宋"/>
                <w:color w:val="000000"/>
                <w:kern w:val="0"/>
                <w:sz w:val="21"/>
                <w:szCs w:val="21"/>
                <w:lang w:eastAsia="zh-CN"/>
              </w:rPr>
              <w:t>内任意一个月</w:t>
            </w:r>
            <w:r>
              <w:rPr>
                <w:rFonts w:hint="eastAsia" w:ascii="仿宋" w:hAnsi="仿宋" w:eastAsia="仿宋" w:cs="仿宋"/>
                <w:color w:val="000000"/>
                <w:kern w:val="0"/>
                <w:sz w:val="21"/>
                <w:szCs w:val="21"/>
              </w:rPr>
              <w:t>社保凭证复印件且内容真实有效，没有则不得分）</w:t>
            </w:r>
          </w:p>
        </w:tc>
      </w:tr>
      <w:tr w14:paraId="168A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6" w:type="pct"/>
            <w:vMerge w:val="continue"/>
            <w:vAlign w:val="center"/>
          </w:tcPr>
          <w:p w14:paraId="3C0F67E4">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sz w:val="21"/>
                <w:szCs w:val="21"/>
              </w:rPr>
            </w:pPr>
          </w:p>
        </w:tc>
        <w:tc>
          <w:tcPr>
            <w:tcW w:w="635" w:type="pct"/>
            <w:vMerge w:val="continue"/>
            <w:vAlign w:val="center"/>
          </w:tcPr>
          <w:p w14:paraId="68022CC1">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sz w:val="21"/>
                <w:szCs w:val="21"/>
              </w:rPr>
            </w:pPr>
          </w:p>
        </w:tc>
        <w:tc>
          <w:tcPr>
            <w:tcW w:w="410" w:type="pct"/>
            <w:shd w:val="clear" w:color="auto" w:fill="FFFFFF" w:themeFill="background1"/>
            <w:vAlign w:val="center"/>
          </w:tcPr>
          <w:p w14:paraId="3EEAC3D0">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案例</w:t>
            </w:r>
          </w:p>
        </w:tc>
        <w:tc>
          <w:tcPr>
            <w:tcW w:w="379" w:type="pct"/>
            <w:shd w:val="clear" w:color="auto" w:fill="FFFFFF" w:themeFill="background1"/>
            <w:vAlign w:val="center"/>
          </w:tcPr>
          <w:p w14:paraId="3A656B9C">
            <w:pPr>
              <w:keepNext w:val="0"/>
              <w:keepLines w:val="0"/>
              <w:pageBreakBefore w:val="0"/>
              <w:kinsoku/>
              <w:wordWrap/>
              <w:overflowPunct/>
              <w:topLinePunct w:val="0"/>
              <w:bidi w:val="0"/>
              <w:spacing w:before="0" w:after="0" w:line="400" w:lineRule="exact"/>
              <w:ind w:firstLine="28"/>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3258" w:type="pct"/>
            <w:shd w:val="clear" w:color="auto" w:fill="FFFFFF" w:themeFill="background1"/>
            <w:vAlign w:val="center"/>
          </w:tcPr>
          <w:p w14:paraId="6F7C9A6F">
            <w:pPr>
              <w:keepNext w:val="0"/>
              <w:keepLines w:val="0"/>
              <w:pageBreakBefore w:val="0"/>
              <w:kinsoku/>
              <w:wordWrap/>
              <w:overflowPunct/>
              <w:topLinePunct w:val="0"/>
              <w:bidi w:val="0"/>
              <w:spacing w:before="0" w:after="0" w:line="400" w:lineRule="exac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投标人或生产厂家提供自2022年1月1日之后在三级医院类似项目的业绩证明，每提供一个案例得1</w:t>
            </w:r>
            <w:r>
              <w:rPr>
                <w:rFonts w:hint="eastAsia" w:ascii="仿宋" w:hAnsi="仿宋" w:eastAsia="仿宋" w:cs="仿宋"/>
                <w:color w:val="000000" w:themeColor="text1"/>
                <w:kern w:val="0"/>
                <w:sz w:val="21"/>
                <w:szCs w:val="21"/>
                <w:lang w:val="en-US" w:eastAsia="zh-CN"/>
                <w14:textFill>
                  <w14:solidFill>
                    <w14:schemeClr w14:val="tx1"/>
                  </w14:solidFill>
                </w14:textFill>
              </w:rPr>
              <w:t>.5</w:t>
            </w:r>
            <w:r>
              <w:rPr>
                <w:rFonts w:hint="eastAsia" w:ascii="仿宋" w:hAnsi="仿宋" w:eastAsia="仿宋" w:cs="仿宋"/>
                <w:color w:val="000000" w:themeColor="text1"/>
                <w:kern w:val="0"/>
                <w:sz w:val="21"/>
                <w:szCs w:val="21"/>
                <w14:textFill>
                  <w14:solidFill>
                    <w14:schemeClr w14:val="tx1"/>
                  </w14:solidFill>
                </w14:textFill>
              </w:rPr>
              <w:t>分，最多</w:t>
            </w:r>
            <w:r>
              <w:rPr>
                <w:rFonts w:hint="eastAsia" w:ascii="仿宋" w:hAnsi="仿宋" w:eastAsia="仿宋" w:cs="仿宋"/>
                <w:color w:val="000000" w:themeColor="text1"/>
                <w:kern w:val="0"/>
                <w:sz w:val="21"/>
                <w:szCs w:val="21"/>
                <w:lang w:val="en-US" w:eastAsia="zh-CN"/>
                <w14:textFill>
                  <w14:solidFill>
                    <w14:schemeClr w14:val="tx1"/>
                  </w14:solidFill>
                </w14:textFill>
              </w:rPr>
              <w:t>3</w:t>
            </w:r>
            <w:r>
              <w:rPr>
                <w:rFonts w:hint="eastAsia" w:ascii="仿宋" w:hAnsi="仿宋" w:eastAsia="仿宋" w:cs="仿宋"/>
                <w:color w:val="000000" w:themeColor="text1"/>
                <w:kern w:val="0"/>
                <w:sz w:val="21"/>
                <w:szCs w:val="21"/>
                <w14:textFill>
                  <w14:solidFill>
                    <w14:schemeClr w14:val="tx1"/>
                  </w14:solidFill>
                </w14:textFill>
              </w:rPr>
              <w:t>分。（请在投标文件中提供相关合同复印件，没有则不得分）</w:t>
            </w:r>
          </w:p>
        </w:tc>
      </w:tr>
    </w:tbl>
    <w:p w14:paraId="77635F27">
      <w:pPr>
        <w:rPr>
          <w:rFonts w:hint="eastAsia" w:ascii="仿宋" w:hAnsi="仿宋" w:eastAsia="仿宋" w:cs="仿宋"/>
          <w:b/>
          <w:bCs/>
          <w:iCs/>
          <w:color w:val="auto"/>
          <w:lang w:val="en-US" w:eastAsia="zh-CN"/>
        </w:rPr>
      </w:pPr>
    </w:p>
    <w:p w14:paraId="4F855B46">
      <w:pPr>
        <w:rPr>
          <w:rFonts w:hint="eastAsia" w:ascii="仿宋" w:hAnsi="仿宋" w:eastAsia="仿宋" w:cs="仿宋"/>
          <w:b/>
          <w:bCs/>
          <w:iCs/>
          <w:color w:val="auto"/>
          <w:lang w:val="en-US" w:eastAsia="zh-CN"/>
        </w:rPr>
      </w:pPr>
    </w:p>
    <w:p w14:paraId="53A517DF">
      <w:pPr>
        <w:jc w:val="center"/>
        <w:rPr>
          <w:rFonts w:hint="eastAsia" w:ascii="仿宋" w:hAnsi="仿宋" w:eastAsia="仿宋" w:cs="仿宋"/>
          <w:b/>
          <w:bCs/>
          <w:iCs/>
          <w:color w:val="auto"/>
          <w:lang w:val="en-US" w:eastAsia="zh-CN"/>
        </w:rPr>
      </w:pPr>
      <w:r>
        <w:rPr>
          <w:rFonts w:hint="eastAsia" w:ascii="仿宋" w:hAnsi="仿宋" w:eastAsia="仿宋" w:cs="仿宋"/>
          <w:b/>
          <w:bCs/>
          <w:iCs/>
          <w:color w:val="auto"/>
          <w:lang w:val="en-US" w:eastAsia="zh-CN"/>
        </w:rPr>
        <w:t>第二标段</w:t>
      </w:r>
    </w:p>
    <w:p w14:paraId="728326D4">
      <w:pPr>
        <w:rPr>
          <w:rFonts w:hint="eastAsia" w:ascii="仿宋" w:hAnsi="仿宋" w:eastAsia="仿宋" w:cs="仿宋"/>
          <w:b/>
          <w:bCs/>
          <w:iCs/>
          <w:color w:val="auto"/>
          <w:lang w:val="en-US" w:eastAsia="zh-CN"/>
        </w:rPr>
      </w:pPr>
    </w:p>
    <w:tbl>
      <w:tblPr>
        <w:tblStyle w:val="23"/>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68"/>
        <w:gridCol w:w="5470"/>
        <w:gridCol w:w="818"/>
      </w:tblGrid>
      <w:tr w14:paraId="3CDD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tcPr>
          <w:p w14:paraId="33A1C00D">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项目</w:t>
            </w:r>
          </w:p>
        </w:tc>
        <w:tc>
          <w:tcPr>
            <w:tcW w:w="1268" w:type="dxa"/>
            <w:tcBorders>
              <w:top w:val="single" w:color="auto" w:sz="4" w:space="0"/>
              <w:left w:val="nil"/>
              <w:bottom w:val="single" w:color="auto" w:sz="4" w:space="0"/>
              <w:right w:val="single" w:color="auto" w:sz="4" w:space="0"/>
            </w:tcBorders>
            <w:vAlign w:val="center"/>
          </w:tcPr>
          <w:p w14:paraId="4E079DA5">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评分类别</w:t>
            </w:r>
          </w:p>
        </w:tc>
        <w:tc>
          <w:tcPr>
            <w:tcW w:w="5470" w:type="dxa"/>
            <w:tcBorders>
              <w:top w:val="single" w:color="auto" w:sz="4" w:space="0"/>
              <w:left w:val="nil"/>
              <w:bottom w:val="single" w:color="auto" w:sz="4" w:space="0"/>
              <w:right w:val="single" w:color="auto" w:sz="4" w:space="0"/>
            </w:tcBorders>
            <w:vAlign w:val="center"/>
          </w:tcPr>
          <w:p w14:paraId="262D5AAB">
            <w:pPr>
              <w:pageBreakBefore w:val="0"/>
              <w:kinsoku/>
              <w:wordWrap/>
              <w:overflowPunct/>
              <w:topLinePunct w:val="0"/>
              <w:bidi w:val="0"/>
              <w:spacing w:line="240" w:lineRule="auto"/>
              <w:ind w:firstLine="482"/>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评分内容及方法</w:t>
            </w:r>
          </w:p>
        </w:tc>
        <w:tc>
          <w:tcPr>
            <w:tcW w:w="818" w:type="dxa"/>
            <w:tcBorders>
              <w:top w:val="single" w:color="auto" w:sz="4" w:space="0"/>
              <w:left w:val="nil"/>
              <w:bottom w:val="single" w:color="auto" w:sz="4" w:space="0"/>
              <w:right w:val="single" w:color="auto" w:sz="4" w:space="0"/>
            </w:tcBorders>
            <w:vAlign w:val="center"/>
          </w:tcPr>
          <w:p w14:paraId="5AF1B5F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得分</w:t>
            </w:r>
          </w:p>
        </w:tc>
      </w:tr>
      <w:tr w14:paraId="69A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14:paraId="28BB56C9">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投标价格</w:t>
            </w:r>
          </w:p>
        </w:tc>
        <w:tc>
          <w:tcPr>
            <w:tcW w:w="1268" w:type="dxa"/>
            <w:tcBorders>
              <w:top w:val="single" w:color="auto" w:sz="4" w:space="0"/>
              <w:left w:val="nil"/>
              <w:bottom w:val="single" w:color="auto" w:sz="4" w:space="0"/>
              <w:right w:val="single" w:color="auto" w:sz="4" w:space="0"/>
            </w:tcBorders>
            <w:vAlign w:val="center"/>
          </w:tcPr>
          <w:p w14:paraId="70A99F0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价格标准</w:t>
            </w:r>
          </w:p>
        </w:tc>
        <w:tc>
          <w:tcPr>
            <w:tcW w:w="5470" w:type="dxa"/>
            <w:tcBorders>
              <w:top w:val="single" w:color="auto" w:sz="4" w:space="0"/>
              <w:left w:val="nil"/>
              <w:bottom w:val="single" w:color="auto" w:sz="4" w:space="0"/>
              <w:right w:val="single" w:color="auto" w:sz="4" w:space="0"/>
            </w:tcBorders>
            <w:vAlign w:val="center"/>
          </w:tcPr>
          <w:p w14:paraId="7290DDC3">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1、满足招标文件要求且最后报价最低的供应商的价格为基准价，其价格分为满分。</w:t>
            </w:r>
          </w:p>
          <w:p w14:paraId="200522C7">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2、供应商符合《政府采购促进中小企业发展暂行办法》规定的，用扣除后的价格参与评审。</w:t>
            </w:r>
          </w:p>
          <w:p w14:paraId="46C70D80">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其他投标人的价格分统一按照以下公式计算：</w:t>
            </w:r>
          </w:p>
          <w:p w14:paraId="12031131">
            <w:pPr>
              <w:pageBreakBefore w:val="0"/>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投标报价得分=（评标基准价/投标报价）×20</w:t>
            </w:r>
          </w:p>
        </w:tc>
        <w:tc>
          <w:tcPr>
            <w:tcW w:w="818" w:type="dxa"/>
            <w:tcBorders>
              <w:top w:val="single" w:color="auto" w:sz="4" w:space="0"/>
              <w:left w:val="nil"/>
              <w:bottom w:val="single" w:color="auto" w:sz="4" w:space="0"/>
              <w:right w:val="single" w:color="auto" w:sz="4" w:space="0"/>
            </w:tcBorders>
            <w:vAlign w:val="center"/>
          </w:tcPr>
          <w:p w14:paraId="614D5945">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20</w:t>
            </w:r>
          </w:p>
        </w:tc>
      </w:tr>
      <w:tr w14:paraId="26F6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9" w:type="dxa"/>
            <w:vMerge w:val="restart"/>
            <w:tcBorders>
              <w:top w:val="nil"/>
              <w:left w:val="single" w:color="auto" w:sz="4" w:space="0"/>
              <w:bottom w:val="single" w:color="auto" w:sz="4" w:space="0"/>
              <w:right w:val="single" w:color="auto" w:sz="4" w:space="0"/>
            </w:tcBorders>
            <w:vAlign w:val="center"/>
          </w:tcPr>
          <w:p w14:paraId="0E3418A1">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商务部分</w:t>
            </w:r>
          </w:p>
        </w:tc>
        <w:tc>
          <w:tcPr>
            <w:tcW w:w="1268" w:type="dxa"/>
            <w:tcBorders>
              <w:top w:val="single" w:color="auto" w:sz="4" w:space="0"/>
              <w:left w:val="nil"/>
              <w:bottom w:val="single" w:color="auto" w:sz="4" w:space="0"/>
              <w:right w:val="single" w:color="auto" w:sz="4" w:space="0"/>
            </w:tcBorders>
            <w:vAlign w:val="center"/>
          </w:tcPr>
          <w:p w14:paraId="0EC1B8D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著作权</w:t>
            </w:r>
          </w:p>
        </w:tc>
        <w:tc>
          <w:tcPr>
            <w:tcW w:w="5470" w:type="dxa"/>
            <w:tcBorders>
              <w:top w:val="single" w:color="auto" w:sz="4" w:space="0"/>
              <w:left w:val="nil"/>
              <w:bottom w:val="single" w:color="auto" w:sz="4" w:space="0"/>
              <w:right w:val="single" w:color="auto" w:sz="4" w:space="0"/>
            </w:tcBorders>
            <w:vAlign w:val="center"/>
          </w:tcPr>
          <w:p w14:paraId="2B79F2F8">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具有</w:t>
            </w:r>
            <w:r>
              <w:rPr>
                <w:rFonts w:hint="eastAsia" w:ascii="仿宋" w:hAnsi="仿宋" w:eastAsia="仿宋" w:cs="仿宋"/>
                <w:b/>
                <w:bCs/>
                <w:sz w:val="21"/>
                <w:szCs w:val="21"/>
              </w:rPr>
              <w:t>本项目建设所有系统的计算机软件著作权登记证书：</w:t>
            </w:r>
            <w:r>
              <w:rPr>
                <w:rFonts w:hint="eastAsia" w:ascii="仿宋" w:hAnsi="仿宋" w:eastAsia="仿宋" w:cs="仿宋"/>
                <w:sz w:val="21"/>
                <w:szCs w:val="21"/>
              </w:rPr>
              <w:t>系统平台、科室成本管理系统、项目成本管理系统、病种成本管理系统、</w:t>
            </w:r>
            <w:r>
              <w:rPr>
                <w:rFonts w:hint="eastAsia" w:ascii="仿宋" w:hAnsi="仿宋" w:eastAsia="仿宋" w:cs="仿宋"/>
                <w:sz w:val="21"/>
                <w:szCs w:val="21"/>
                <w:lang w:val="en-US" w:eastAsia="zh-CN"/>
              </w:rPr>
              <w:t>成本一体化管理系统等</w:t>
            </w:r>
            <w:r>
              <w:rPr>
                <w:rFonts w:hint="eastAsia" w:ascii="仿宋" w:hAnsi="仿宋" w:eastAsia="仿宋" w:cs="仿宋"/>
                <w:sz w:val="21"/>
                <w:szCs w:val="21"/>
              </w:rPr>
              <w:t>。</w:t>
            </w:r>
            <w:r>
              <w:rPr>
                <w:rFonts w:hint="eastAsia" w:ascii="仿宋" w:hAnsi="仿宋" w:eastAsia="仿宋" w:cs="仿宋"/>
                <w:sz w:val="21"/>
                <w:szCs w:val="21"/>
                <w:lang w:eastAsia="zh-CN"/>
              </w:rPr>
              <w:t>每项</w:t>
            </w:r>
            <w:r>
              <w:rPr>
                <w:rFonts w:hint="eastAsia" w:ascii="仿宋" w:hAnsi="仿宋" w:eastAsia="仿宋" w:cs="仿宋"/>
                <w:sz w:val="21"/>
                <w:szCs w:val="21"/>
                <w:lang w:val="en-US" w:eastAsia="zh-CN"/>
              </w:rPr>
              <w:t>2分，</w:t>
            </w:r>
            <w:r>
              <w:rPr>
                <w:rFonts w:hint="eastAsia" w:ascii="仿宋" w:hAnsi="仿宋" w:eastAsia="仿宋" w:cs="仿宋"/>
                <w:sz w:val="21"/>
                <w:szCs w:val="21"/>
              </w:rPr>
              <w:t>具有本项目涉及的所有系统的著作权证书的得满分，</w:t>
            </w:r>
            <w:r>
              <w:rPr>
                <w:rFonts w:hint="eastAsia" w:ascii="仿宋" w:hAnsi="仿宋" w:eastAsia="仿宋" w:cs="仿宋"/>
                <w:sz w:val="21"/>
                <w:szCs w:val="21"/>
                <w:lang w:eastAsia="zh-CN"/>
              </w:rPr>
              <w:t>未提供的项目不得分</w:t>
            </w:r>
            <w:r>
              <w:rPr>
                <w:rFonts w:hint="eastAsia" w:ascii="仿宋" w:hAnsi="仿宋" w:eastAsia="仿宋" w:cs="仿宋"/>
                <w:sz w:val="21"/>
                <w:szCs w:val="21"/>
              </w:rPr>
              <w:t>。</w:t>
            </w:r>
          </w:p>
          <w:p w14:paraId="0CE06CB5">
            <w:pPr>
              <w:pStyle w:val="49"/>
              <w:pageBreakBefore w:val="0"/>
              <w:kinsoku/>
              <w:wordWrap/>
              <w:overflowPunct/>
              <w:topLinePunct w:val="0"/>
              <w:bidi w:val="0"/>
              <w:spacing w:line="240" w:lineRule="auto"/>
              <w:ind w:firstLine="420"/>
              <w:rPr>
                <w:rFonts w:hint="eastAsia" w:ascii="仿宋" w:hAnsi="仿宋" w:eastAsia="仿宋" w:cs="仿宋"/>
                <w:sz w:val="21"/>
                <w:szCs w:val="21"/>
              </w:rPr>
            </w:pPr>
            <w:r>
              <w:rPr>
                <w:rFonts w:hint="eastAsia" w:ascii="仿宋" w:hAnsi="仿宋" w:eastAsia="仿宋" w:cs="仿宋"/>
                <w:sz w:val="21"/>
                <w:szCs w:val="21"/>
              </w:rPr>
              <w:t>以上著作权证书的所有者须为</w:t>
            </w: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，必须提供证书等证明材料复印件。</w:t>
            </w:r>
          </w:p>
        </w:tc>
        <w:tc>
          <w:tcPr>
            <w:tcW w:w="818" w:type="dxa"/>
            <w:tcBorders>
              <w:top w:val="single" w:color="auto" w:sz="4" w:space="0"/>
              <w:left w:val="nil"/>
              <w:bottom w:val="single" w:color="auto" w:sz="4" w:space="0"/>
              <w:right w:val="single" w:color="auto" w:sz="4" w:space="0"/>
            </w:tcBorders>
            <w:vAlign w:val="center"/>
          </w:tcPr>
          <w:p w14:paraId="48157A8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10</w:t>
            </w:r>
          </w:p>
        </w:tc>
      </w:tr>
      <w:tr w14:paraId="10D1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F203B5D">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58FA9FB0">
            <w:pPr>
              <w:pageBreakBefore w:val="0"/>
              <w:kinsoku/>
              <w:wordWrap/>
              <w:overflowPunct/>
              <w:topLinePunct w:val="0"/>
              <w:bidi w:val="0"/>
              <w:spacing w:line="240" w:lineRule="auto"/>
              <w:ind w:firstLine="30" w:firstLineChars="14"/>
              <w:jc w:val="center"/>
              <w:rPr>
                <w:rFonts w:hint="eastAsia" w:ascii="仿宋" w:hAnsi="仿宋" w:eastAsia="仿宋" w:cs="仿宋"/>
                <w:color w:val="000000"/>
                <w:sz w:val="21"/>
                <w:szCs w:val="21"/>
              </w:rPr>
            </w:pPr>
            <w:r>
              <w:rPr>
                <w:rFonts w:hint="eastAsia" w:ascii="仿宋" w:hAnsi="仿宋" w:eastAsia="仿宋" w:cs="仿宋"/>
                <w:b/>
                <w:color w:val="000000"/>
                <w:sz w:val="21"/>
                <w:szCs w:val="21"/>
              </w:rPr>
              <w:t>项目团队</w:t>
            </w:r>
          </w:p>
        </w:tc>
        <w:tc>
          <w:tcPr>
            <w:tcW w:w="5470" w:type="dxa"/>
            <w:tcBorders>
              <w:top w:val="single" w:color="auto" w:sz="4" w:space="0"/>
              <w:left w:val="nil"/>
              <w:bottom w:val="single" w:color="auto" w:sz="4" w:space="0"/>
              <w:right w:val="single" w:color="auto" w:sz="4" w:space="0"/>
            </w:tcBorders>
            <w:vAlign w:val="center"/>
          </w:tcPr>
          <w:p w14:paraId="730F7A4F">
            <w:pPr>
              <w:pStyle w:val="49"/>
              <w:pageBreakBefore w:val="0"/>
              <w:kinsoku/>
              <w:wordWrap/>
              <w:overflowPunct/>
              <w:topLinePunct w:val="0"/>
              <w:bidi w:val="0"/>
              <w:spacing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或所投产品的生产厂商拟配备的项目团队成员数量达到6人以上（含），团队成员均具有实施过类似HRP项目的经验。须提供劳动合同、近三个月任意一月社保缴费证明、实施类似HRP项目证明材料。满足条件得4分，不满足不得分。</w:t>
            </w:r>
          </w:p>
          <w:p w14:paraId="54871332">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2、投标人或所投产品的生产厂商提供的项目经理，需</w:t>
            </w:r>
            <w:r>
              <w:rPr>
                <w:rFonts w:hint="eastAsia" w:ascii="仿宋" w:hAnsi="仿宋" w:eastAsia="仿宋" w:cs="仿宋"/>
                <w:sz w:val="21"/>
                <w:szCs w:val="21"/>
              </w:rPr>
              <w:t>提供项目经理基本情况介绍及</w:t>
            </w: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为其缴纳的</w:t>
            </w:r>
            <w:r>
              <w:rPr>
                <w:rFonts w:hint="eastAsia" w:ascii="仿宋" w:hAnsi="仿宋" w:eastAsia="仿宋" w:cs="仿宋"/>
                <w:sz w:val="21"/>
                <w:szCs w:val="21"/>
                <w:lang w:val="en-US" w:eastAsia="zh-CN"/>
              </w:rPr>
              <w:t>近三个月任意一月</w:t>
            </w:r>
            <w:r>
              <w:rPr>
                <w:rFonts w:hint="eastAsia" w:ascii="仿宋" w:hAnsi="仿宋" w:eastAsia="仿宋" w:cs="仿宋"/>
                <w:sz w:val="21"/>
                <w:szCs w:val="21"/>
              </w:rPr>
              <w:t>社保缴费记录</w:t>
            </w:r>
            <w:r>
              <w:rPr>
                <w:rFonts w:hint="eastAsia" w:ascii="仿宋" w:hAnsi="仿宋" w:eastAsia="仿宋" w:cs="仿宋"/>
                <w:sz w:val="21"/>
                <w:szCs w:val="21"/>
                <w:lang w:eastAsia="zh-CN"/>
              </w:rPr>
              <w:t>，</w:t>
            </w:r>
            <w:r>
              <w:rPr>
                <w:rFonts w:hint="eastAsia" w:ascii="仿宋" w:hAnsi="仿宋" w:eastAsia="仿宋" w:cs="仿宋"/>
                <w:sz w:val="21"/>
                <w:szCs w:val="21"/>
              </w:rPr>
              <w:t>满足要求得2分。</w:t>
            </w:r>
          </w:p>
        </w:tc>
        <w:tc>
          <w:tcPr>
            <w:tcW w:w="818" w:type="dxa"/>
            <w:tcBorders>
              <w:top w:val="single" w:color="auto" w:sz="4" w:space="0"/>
              <w:left w:val="nil"/>
              <w:bottom w:val="single" w:color="auto" w:sz="4" w:space="0"/>
              <w:right w:val="single" w:color="auto" w:sz="4" w:space="0"/>
            </w:tcBorders>
            <w:vAlign w:val="center"/>
          </w:tcPr>
          <w:p w14:paraId="23321CBF">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6</w:t>
            </w:r>
          </w:p>
        </w:tc>
      </w:tr>
      <w:tr w14:paraId="3107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265E936A">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3A74C42C">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服务资质</w:t>
            </w:r>
          </w:p>
        </w:tc>
        <w:tc>
          <w:tcPr>
            <w:tcW w:w="5470" w:type="dxa"/>
            <w:tcBorders>
              <w:top w:val="single" w:color="auto" w:sz="4" w:space="0"/>
              <w:left w:val="nil"/>
              <w:bottom w:val="single" w:color="auto" w:sz="4" w:space="0"/>
              <w:right w:val="single" w:color="auto" w:sz="4" w:space="0"/>
            </w:tcBorders>
            <w:vAlign w:val="center"/>
          </w:tcPr>
          <w:p w14:paraId="27318D8A">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1、投标人或所投产品的生产厂商</w:t>
            </w:r>
            <w:r>
              <w:rPr>
                <w:rFonts w:hint="eastAsia" w:ascii="仿宋" w:hAnsi="仿宋" w:eastAsia="仿宋" w:cs="仿宋"/>
                <w:sz w:val="21"/>
                <w:szCs w:val="21"/>
              </w:rPr>
              <w:t>通过ISO9001质量管理体系认证，且认证范围包含有“医疗行业应用软件开发及服务”得1分；</w:t>
            </w:r>
          </w:p>
          <w:p w14:paraId="05EC6049">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2、投标人或所投产品的生产厂商</w:t>
            </w:r>
            <w:r>
              <w:rPr>
                <w:rFonts w:hint="eastAsia" w:ascii="仿宋" w:hAnsi="仿宋" w:eastAsia="仿宋" w:cs="仿宋"/>
                <w:sz w:val="21"/>
                <w:szCs w:val="21"/>
              </w:rPr>
              <w:t>通过ISO20000信息技术服务管理体系认证，且认证范围包含有“医疗行业应用软件开发及服务”得1分；</w:t>
            </w:r>
          </w:p>
          <w:p w14:paraId="547B4603">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3、投标人或所投产品的生产厂商</w:t>
            </w:r>
            <w:r>
              <w:rPr>
                <w:rFonts w:hint="eastAsia" w:ascii="仿宋" w:hAnsi="仿宋" w:eastAsia="仿宋" w:cs="仿宋"/>
                <w:sz w:val="21"/>
                <w:szCs w:val="21"/>
              </w:rPr>
              <w:t>通过ISO27001信息安全管理体系认证，且认证范围包含有“医疗行业应用软件开发及服务”得1分；</w:t>
            </w:r>
          </w:p>
          <w:p w14:paraId="7DAAB246">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4、投标人或所投产品的生产厂商</w:t>
            </w:r>
            <w:r>
              <w:rPr>
                <w:rFonts w:hint="eastAsia" w:ascii="仿宋" w:hAnsi="仿宋" w:eastAsia="仿宋" w:cs="仿宋"/>
                <w:sz w:val="21"/>
                <w:szCs w:val="21"/>
              </w:rPr>
              <w:t>通过ISO14001环境管理体系认证，且认证范围包含有“医院经济运营管理应用软件的开发”得2分；</w:t>
            </w:r>
          </w:p>
          <w:p w14:paraId="7AB39083">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5、投标人或所投产品的生产厂商</w:t>
            </w:r>
            <w:r>
              <w:rPr>
                <w:rFonts w:hint="eastAsia" w:ascii="仿宋" w:hAnsi="仿宋" w:eastAsia="仿宋" w:cs="仿宋"/>
                <w:sz w:val="21"/>
                <w:szCs w:val="21"/>
              </w:rPr>
              <w:t>通过ISO45001职业健康安全管理体系认证，且认证范围包含有“医院经济运营管理应用软件的开发”得2分；</w:t>
            </w:r>
          </w:p>
          <w:p w14:paraId="62FD7072">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b/>
                <w:bCs/>
                <w:sz w:val="21"/>
                <w:szCs w:val="21"/>
              </w:rPr>
              <w:t>（以上提供认证证书复印件加盖公章，不提供不得分）</w:t>
            </w:r>
          </w:p>
        </w:tc>
        <w:tc>
          <w:tcPr>
            <w:tcW w:w="818" w:type="dxa"/>
            <w:tcBorders>
              <w:top w:val="single" w:color="auto" w:sz="4" w:space="0"/>
              <w:left w:val="nil"/>
              <w:bottom w:val="single" w:color="auto" w:sz="4" w:space="0"/>
              <w:right w:val="single" w:color="auto" w:sz="4" w:space="0"/>
            </w:tcBorders>
            <w:vAlign w:val="center"/>
          </w:tcPr>
          <w:p w14:paraId="7DD42A1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7</w:t>
            </w:r>
          </w:p>
        </w:tc>
      </w:tr>
      <w:tr w14:paraId="3C07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1FA1032E">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restart"/>
            <w:tcBorders>
              <w:top w:val="nil"/>
              <w:left w:val="nil"/>
              <w:right w:val="single" w:color="auto" w:sz="4" w:space="0"/>
            </w:tcBorders>
            <w:vAlign w:val="center"/>
          </w:tcPr>
          <w:p w14:paraId="7501570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商务资质</w:t>
            </w:r>
          </w:p>
        </w:tc>
        <w:tc>
          <w:tcPr>
            <w:tcW w:w="5470" w:type="dxa"/>
            <w:tcBorders>
              <w:top w:val="single" w:color="auto" w:sz="4" w:space="0"/>
              <w:left w:val="nil"/>
              <w:bottom w:val="single" w:color="auto" w:sz="4" w:space="0"/>
              <w:right w:val="single" w:color="auto" w:sz="4" w:space="0"/>
            </w:tcBorders>
            <w:vAlign w:val="center"/>
          </w:tcPr>
          <w:p w14:paraId="1B358374">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具备高新技术企业证书并提供相关证明材料，加盖公章得1分；</w:t>
            </w:r>
          </w:p>
        </w:tc>
        <w:tc>
          <w:tcPr>
            <w:tcW w:w="818" w:type="dxa"/>
            <w:tcBorders>
              <w:top w:val="single" w:color="auto" w:sz="4" w:space="0"/>
              <w:left w:val="nil"/>
              <w:bottom w:val="single" w:color="auto" w:sz="4" w:space="0"/>
              <w:right w:val="single" w:color="auto" w:sz="4" w:space="0"/>
            </w:tcBorders>
            <w:vAlign w:val="center"/>
          </w:tcPr>
          <w:p w14:paraId="12B3FF4F">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1</w:t>
            </w:r>
          </w:p>
        </w:tc>
      </w:tr>
      <w:tr w14:paraId="3AD9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41C2D789">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right w:val="single" w:color="auto" w:sz="4" w:space="0"/>
            </w:tcBorders>
            <w:vAlign w:val="center"/>
          </w:tcPr>
          <w:p w14:paraId="54C60BEF">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5470" w:type="dxa"/>
            <w:tcBorders>
              <w:top w:val="single" w:color="auto" w:sz="4" w:space="0"/>
              <w:left w:val="nil"/>
              <w:bottom w:val="single" w:color="auto" w:sz="4" w:space="0"/>
              <w:right w:val="single" w:color="auto" w:sz="4" w:space="0"/>
            </w:tcBorders>
            <w:vAlign w:val="center"/>
          </w:tcPr>
          <w:p w14:paraId="10C7EA3D">
            <w:pPr>
              <w:pStyle w:val="49"/>
              <w:pageBreakBefore w:val="0"/>
              <w:kinsoku/>
              <w:wordWrap/>
              <w:overflowPunct/>
              <w:topLinePunct w:val="0"/>
              <w:bidi w:val="0"/>
              <w:spacing w:line="240" w:lineRule="auto"/>
              <w:rPr>
                <w:rFonts w:hint="eastAsia" w:ascii="仿宋" w:hAnsi="仿宋" w:eastAsia="仿宋" w:cs="仿宋"/>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具有信息安全服务资质认证证书（CCRC）三级及以上得2分，须提供相关证明材料，加盖公章；</w:t>
            </w:r>
          </w:p>
        </w:tc>
        <w:tc>
          <w:tcPr>
            <w:tcW w:w="818" w:type="dxa"/>
            <w:tcBorders>
              <w:top w:val="single" w:color="auto" w:sz="4" w:space="0"/>
              <w:left w:val="nil"/>
              <w:bottom w:val="single" w:color="auto" w:sz="4" w:space="0"/>
              <w:right w:val="single" w:color="auto" w:sz="4" w:space="0"/>
            </w:tcBorders>
            <w:vAlign w:val="center"/>
          </w:tcPr>
          <w:p w14:paraId="35346E9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2</w:t>
            </w:r>
          </w:p>
        </w:tc>
      </w:tr>
      <w:tr w14:paraId="0796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15EF2D9">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restart"/>
            <w:tcBorders>
              <w:left w:val="nil"/>
              <w:right w:val="single" w:color="auto" w:sz="4" w:space="0"/>
            </w:tcBorders>
            <w:vAlign w:val="center"/>
          </w:tcPr>
          <w:p w14:paraId="422BE5E6">
            <w:pPr>
              <w:pageBreakBefore w:val="0"/>
              <w:widowControl/>
              <w:kinsoku/>
              <w:wordWrap/>
              <w:overflowPunct/>
              <w:topLinePunct w:val="0"/>
              <w:bidi w:val="0"/>
              <w:spacing w:line="240" w:lineRule="auto"/>
              <w:jc w:val="both"/>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安全资质</w:t>
            </w:r>
          </w:p>
        </w:tc>
        <w:tc>
          <w:tcPr>
            <w:tcW w:w="5470" w:type="dxa"/>
            <w:tcBorders>
              <w:top w:val="single" w:color="auto" w:sz="4" w:space="0"/>
              <w:left w:val="nil"/>
              <w:bottom w:val="single" w:color="auto" w:sz="4" w:space="0"/>
              <w:right w:val="single" w:color="auto" w:sz="4" w:space="0"/>
            </w:tcBorders>
            <w:vAlign w:val="center"/>
          </w:tcPr>
          <w:p w14:paraId="5F3E860B">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通过CMM3/CMMI3及以上认证并提供相关证明材料，加盖公章得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818" w:type="dxa"/>
            <w:tcBorders>
              <w:top w:val="single" w:color="auto" w:sz="4" w:space="0"/>
              <w:left w:val="nil"/>
              <w:bottom w:val="single" w:color="auto" w:sz="4" w:space="0"/>
              <w:right w:val="single" w:color="auto" w:sz="4" w:space="0"/>
            </w:tcBorders>
            <w:vAlign w:val="center"/>
          </w:tcPr>
          <w:p w14:paraId="2A3F743A">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2F1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126130AA">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right w:val="single" w:color="auto" w:sz="4" w:space="0"/>
            </w:tcBorders>
            <w:vAlign w:val="center"/>
          </w:tcPr>
          <w:p w14:paraId="3C69813E">
            <w:pPr>
              <w:pageBreakBefore w:val="0"/>
              <w:widowControl/>
              <w:kinsoku/>
              <w:wordWrap/>
              <w:overflowPunct/>
              <w:topLinePunct w:val="0"/>
              <w:bidi w:val="0"/>
              <w:spacing w:line="240" w:lineRule="auto"/>
              <w:ind w:firstLine="422" w:firstLineChars="200"/>
              <w:jc w:val="both"/>
              <w:rPr>
                <w:rFonts w:hint="eastAsia" w:ascii="仿宋" w:hAnsi="仿宋" w:eastAsia="仿宋" w:cs="仿宋"/>
                <w:b/>
                <w:color w:val="000000"/>
                <w:sz w:val="21"/>
                <w:szCs w:val="21"/>
                <w:lang w:val="en-US" w:eastAsia="zh-CN"/>
              </w:rPr>
            </w:pPr>
          </w:p>
        </w:tc>
        <w:tc>
          <w:tcPr>
            <w:tcW w:w="5470" w:type="dxa"/>
            <w:tcBorders>
              <w:top w:val="single" w:color="auto" w:sz="4" w:space="0"/>
              <w:left w:val="nil"/>
              <w:bottom w:val="single" w:color="auto" w:sz="4" w:space="0"/>
              <w:right w:val="single" w:color="auto" w:sz="4" w:space="0"/>
            </w:tcBorders>
            <w:vAlign w:val="center"/>
          </w:tcPr>
          <w:p w14:paraId="032692BE">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通过信息技术服务标准（ITSS）三级及以上得</w:t>
            </w:r>
            <w:r>
              <w:rPr>
                <w:rFonts w:hint="eastAsia" w:ascii="仿宋" w:hAnsi="仿宋" w:eastAsia="仿宋" w:cs="仿宋"/>
                <w:sz w:val="21"/>
                <w:szCs w:val="21"/>
                <w:lang w:val="en-US" w:eastAsia="zh-CN"/>
              </w:rPr>
              <w:t>2</w:t>
            </w:r>
            <w:r>
              <w:rPr>
                <w:rFonts w:hint="eastAsia" w:ascii="仿宋" w:hAnsi="仿宋" w:eastAsia="仿宋" w:cs="仿宋"/>
                <w:sz w:val="21"/>
                <w:szCs w:val="21"/>
              </w:rPr>
              <w:t>分，须提供相关证明材料，加盖公章。</w:t>
            </w:r>
          </w:p>
        </w:tc>
        <w:tc>
          <w:tcPr>
            <w:tcW w:w="818" w:type="dxa"/>
            <w:tcBorders>
              <w:top w:val="single" w:color="auto" w:sz="4" w:space="0"/>
              <w:left w:val="nil"/>
              <w:bottom w:val="single" w:color="auto" w:sz="4" w:space="0"/>
              <w:right w:val="single" w:color="auto" w:sz="4" w:space="0"/>
            </w:tcBorders>
            <w:vAlign w:val="center"/>
          </w:tcPr>
          <w:p w14:paraId="06324DA4">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7359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5D73AA57">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vMerge w:val="continue"/>
            <w:tcBorders>
              <w:left w:val="nil"/>
              <w:bottom w:val="single" w:color="auto" w:sz="4" w:space="0"/>
              <w:right w:val="single" w:color="auto" w:sz="4" w:space="0"/>
            </w:tcBorders>
            <w:vAlign w:val="center"/>
          </w:tcPr>
          <w:p w14:paraId="0DAB524C">
            <w:pPr>
              <w:pageBreakBefore w:val="0"/>
              <w:widowControl/>
              <w:kinsoku/>
              <w:wordWrap/>
              <w:overflowPunct/>
              <w:topLinePunct w:val="0"/>
              <w:bidi w:val="0"/>
              <w:spacing w:line="240" w:lineRule="auto"/>
              <w:ind w:firstLine="422" w:firstLineChars="200"/>
              <w:jc w:val="both"/>
              <w:rPr>
                <w:rFonts w:hint="eastAsia" w:ascii="仿宋" w:hAnsi="仿宋" w:eastAsia="仿宋" w:cs="仿宋"/>
                <w:b/>
                <w:color w:val="000000"/>
                <w:sz w:val="21"/>
                <w:szCs w:val="21"/>
                <w:lang w:val="en-US" w:eastAsia="zh-CN"/>
              </w:rPr>
            </w:pPr>
          </w:p>
        </w:tc>
        <w:tc>
          <w:tcPr>
            <w:tcW w:w="5470" w:type="dxa"/>
            <w:tcBorders>
              <w:top w:val="single" w:color="auto" w:sz="4" w:space="0"/>
              <w:left w:val="nil"/>
              <w:bottom w:val="single" w:color="auto" w:sz="4" w:space="0"/>
              <w:right w:val="single" w:color="auto" w:sz="4" w:space="0"/>
            </w:tcBorders>
            <w:vAlign w:val="center"/>
          </w:tcPr>
          <w:p w14:paraId="01C1AE74">
            <w:pPr>
              <w:pStyle w:val="49"/>
              <w:pageBreakBefore w:val="0"/>
              <w:kinsoku/>
              <w:wordWrap/>
              <w:overflowPunct/>
              <w:topLinePunct w:val="0"/>
              <w:bidi w:val="0"/>
              <w:spacing w:line="240" w:lineRule="auto"/>
              <w:rPr>
                <w:rFonts w:hint="eastAsia" w:ascii="仿宋" w:hAnsi="仿宋" w:eastAsia="仿宋" w:cs="仿宋"/>
                <w:color w:val="000000"/>
                <w:sz w:val="21"/>
                <w:szCs w:val="21"/>
                <w:lang w:val="en-US" w:eastAsia="zh-CN" w:bidi="ar-SA"/>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sz w:val="21"/>
                <w:szCs w:val="21"/>
              </w:rPr>
              <w:t>参与投标的系统通过国家信息中心的三级及以上安全等级保护评测，同时出具等级评测报告得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c>
          <w:tcPr>
            <w:tcW w:w="818" w:type="dxa"/>
            <w:tcBorders>
              <w:top w:val="single" w:color="auto" w:sz="4" w:space="0"/>
              <w:left w:val="nil"/>
              <w:bottom w:val="single" w:color="auto" w:sz="4" w:space="0"/>
              <w:right w:val="single" w:color="auto" w:sz="4" w:space="0"/>
            </w:tcBorders>
            <w:vAlign w:val="center"/>
          </w:tcPr>
          <w:p w14:paraId="13CCE0C4">
            <w:pPr>
              <w:pageBreakBefore w:val="0"/>
              <w:kinsoku/>
              <w:wordWrap/>
              <w:overflowPunct/>
              <w:topLinePunct w:val="0"/>
              <w:bidi w:val="0"/>
              <w:spacing w:line="240" w:lineRule="auto"/>
              <w:ind w:firstLine="30" w:firstLineChars="14"/>
              <w:jc w:val="center"/>
              <w:rPr>
                <w:rFonts w:hint="eastAsia" w:ascii="仿宋" w:hAnsi="仿宋" w:eastAsia="仿宋" w:cs="仿宋"/>
                <w:b/>
                <w:color w:val="000000"/>
                <w:kern w:val="2"/>
                <w:sz w:val="21"/>
                <w:szCs w:val="21"/>
                <w:lang w:val="en-US" w:eastAsia="zh-CN" w:bidi="ar-SA"/>
              </w:rPr>
            </w:pPr>
            <w:r>
              <w:rPr>
                <w:rFonts w:hint="eastAsia" w:ascii="仿宋" w:hAnsi="仿宋" w:eastAsia="仿宋" w:cs="仿宋"/>
                <w:b/>
                <w:color w:val="000000"/>
                <w:sz w:val="21"/>
                <w:szCs w:val="21"/>
                <w:lang w:val="en-US" w:eastAsia="zh-CN"/>
              </w:rPr>
              <w:t>2</w:t>
            </w:r>
          </w:p>
        </w:tc>
      </w:tr>
      <w:tr w14:paraId="49BA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0647369B">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shd w:val="clear" w:color="auto" w:fill="FFFFFF" w:themeFill="background1"/>
            <w:vAlign w:val="center"/>
          </w:tcPr>
          <w:p w14:paraId="553CB328">
            <w:pPr>
              <w:pageBreakBefore w:val="0"/>
              <w:kinsoku/>
              <w:wordWrap/>
              <w:overflowPunct/>
              <w:topLinePunct w:val="0"/>
              <w:bidi w:val="0"/>
              <w:spacing w:line="240" w:lineRule="auto"/>
              <w:jc w:val="both"/>
              <w:rPr>
                <w:rFonts w:hint="eastAsia" w:ascii="仿宋" w:hAnsi="仿宋" w:eastAsia="仿宋" w:cs="仿宋"/>
                <w:b/>
                <w:color w:val="000000"/>
                <w:sz w:val="21"/>
                <w:szCs w:val="21"/>
              </w:rPr>
            </w:pPr>
            <w:r>
              <w:rPr>
                <w:rFonts w:hint="eastAsia" w:ascii="仿宋" w:hAnsi="仿宋" w:eastAsia="仿宋" w:cs="仿宋"/>
                <w:b/>
                <w:color w:val="000000"/>
                <w:sz w:val="21"/>
                <w:szCs w:val="21"/>
              </w:rPr>
              <w:t>相关案例</w:t>
            </w:r>
          </w:p>
        </w:tc>
        <w:tc>
          <w:tcPr>
            <w:tcW w:w="5470" w:type="dxa"/>
            <w:tcBorders>
              <w:top w:val="single" w:color="auto" w:sz="4" w:space="0"/>
              <w:left w:val="nil"/>
              <w:bottom w:val="single" w:color="auto" w:sz="4" w:space="0"/>
              <w:right w:val="single" w:color="auto" w:sz="4" w:space="0"/>
            </w:tcBorders>
            <w:shd w:val="clear" w:color="auto" w:fill="FFFFFF" w:themeFill="background1"/>
            <w:vAlign w:val="center"/>
          </w:tcPr>
          <w:p w14:paraId="05F4CA33">
            <w:pPr>
              <w:pageBreakBefore w:val="0"/>
              <w:widowControl/>
              <w:kinsoku/>
              <w:wordWrap/>
              <w:overflowPunct/>
              <w:topLinePunct w:val="0"/>
              <w:bidi w:val="0"/>
              <w:spacing w:line="240" w:lineRule="auto"/>
              <w:rPr>
                <w:rFonts w:hint="eastAsia" w:ascii="仿宋" w:hAnsi="仿宋" w:eastAsia="仿宋" w:cs="仿宋"/>
                <w:bCs/>
                <w:color w:val="000000"/>
                <w:kern w:val="0"/>
                <w:sz w:val="21"/>
                <w:szCs w:val="21"/>
              </w:rPr>
            </w:pPr>
            <w:r>
              <w:rPr>
                <w:rFonts w:hint="eastAsia" w:ascii="仿宋" w:hAnsi="仿宋" w:eastAsia="仿宋" w:cs="仿宋"/>
                <w:sz w:val="21"/>
                <w:szCs w:val="21"/>
                <w:lang w:val="en-US" w:eastAsia="zh-CN"/>
              </w:rPr>
              <w:t>投标人或所投产品的生产厂商</w:t>
            </w:r>
            <w:r>
              <w:rPr>
                <w:rFonts w:hint="eastAsia" w:ascii="仿宋" w:hAnsi="仿宋" w:eastAsia="仿宋" w:cs="仿宋"/>
                <w:bCs/>
                <w:color w:val="000000"/>
                <w:kern w:val="0"/>
                <w:sz w:val="21"/>
                <w:szCs w:val="21"/>
              </w:rPr>
              <w:t>自2019年1月1日以来承接过类似项目，每有1个得1</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分，最高</w:t>
            </w:r>
            <w:r>
              <w:rPr>
                <w:rFonts w:hint="eastAsia" w:ascii="仿宋" w:hAnsi="仿宋" w:eastAsia="仿宋" w:cs="仿宋"/>
                <w:bCs/>
                <w:color w:val="000000"/>
                <w:kern w:val="0"/>
                <w:sz w:val="21"/>
                <w:szCs w:val="21"/>
                <w:lang w:val="en-US" w:eastAsia="zh-CN"/>
              </w:rPr>
              <w:t>3</w:t>
            </w:r>
            <w:r>
              <w:rPr>
                <w:rFonts w:hint="eastAsia" w:ascii="仿宋" w:hAnsi="仿宋" w:eastAsia="仿宋" w:cs="仿宋"/>
                <w:bCs/>
                <w:color w:val="000000"/>
                <w:kern w:val="0"/>
                <w:sz w:val="21"/>
                <w:szCs w:val="21"/>
              </w:rPr>
              <w:t>分。</w:t>
            </w:r>
          </w:p>
          <w:p w14:paraId="6F1A0C72">
            <w:pPr>
              <w:pageBreakBefore w:val="0"/>
              <w:widowControl/>
              <w:kinsoku/>
              <w:wordWrap/>
              <w:overflowPunct/>
              <w:topLinePunct w:val="0"/>
              <w:bidi w:val="0"/>
              <w:spacing w:line="240" w:lineRule="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rPr>
              <w:t>须提供合同（或中标通知书）复印件。</w:t>
            </w:r>
          </w:p>
        </w:tc>
        <w:tc>
          <w:tcPr>
            <w:tcW w:w="818" w:type="dxa"/>
            <w:tcBorders>
              <w:top w:val="single" w:color="auto" w:sz="4" w:space="0"/>
              <w:left w:val="nil"/>
              <w:bottom w:val="single" w:color="auto" w:sz="4" w:space="0"/>
              <w:right w:val="single" w:color="auto" w:sz="4" w:space="0"/>
            </w:tcBorders>
            <w:shd w:val="clear" w:color="auto" w:fill="FFFFFF" w:themeFill="background1"/>
            <w:vAlign w:val="center"/>
          </w:tcPr>
          <w:p w14:paraId="6AC604B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val="en-US" w:eastAsia="zh-CN"/>
              </w:rPr>
              <w:t>3</w:t>
            </w:r>
          </w:p>
        </w:tc>
      </w:tr>
      <w:tr w14:paraId="089D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159" w:type="dxa"/>
            <w:vMerge w:val="restart"/>
            <w:tcBorders>
              <w:top w:val="nil"/>
              <w:left w:val="single" w:color="auto" w:sz="4" w:space="0"/>
              <w:bottom w:val="single" w:color="auto" w:sz="4" w:space="0"/>
              <w:right w:val="single" w:color="auto" w:sz="4" w:space="0"/>
            </w:tcBorders>
            <w:vAlign w:val="center"/>
          </w:tcPr>
          <w:p w14:paraId="431D3457">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技术部分</w:t>
            </w:r>
          </w:p>
        </w:tc>
        <w:tc>
          <w:tcPr>
            <w:tcW w:w="1268" w:type="dxa"/>
            <w:tcBorders>
              <w:top w:val="single" w:color="auto" w:sz="4" w:space="0"/>
              <w:left w:val="nil"/>
              <w:bottom w:val="single" w:color="auto" w:sz="4" w:space="0"/>
              <w:right w:val="single" w:color="auto" w:sz="4" w:space="0"/>
            </w:tcBorders>
            <w:vAlign w:val="center"/>
          </w:tcPr>
          <w:p w14:paraId="1E2BF79B">
            <w:pPr>
              <w:pageBreakBefore w:val="0"/>
              <w:kinsoku/>
              <w:wordWrap/>
              <w:overflowPunct/>
              <w:topLinePunct w:val="0"/>
              <w:bidi w:val="0"/>
              <w:spacing w:line="240" w:lineRule="auto"/>
              <w:jc w:val="both"/>
              <w:rPr>
                <w:rFonts w:hint="eastAsia" w:ascii="仿宋" w:hAnsi="仿宋" w:eastAsia="仿宋" w:cs="仿宋"/>
                <w:b/>
                <w:color w:val="000000"/>
                <w:sz w:val="21"/>
                <w:szCs w:val="21"/>
              </w:rPr>
            </w:pPr>
            <w:r>
              <w:rPr>
                <w:rFonts w:hint="eastAsia" w:ascii="仿宋" w:hAnsi="仿宋" w:eastAsia="仿宋" w:cs="仿宋"/>
                <w:b/>
                <w:color w:val="000000"/>
                <w:sz w:val="21"/>
                <w:szCs w:val="21"/>
                <w:lang w:eastAsia="zh-CN"/>
              </w:rPr>
              <w:t>设计</w:t>
            </w:r>
            <w:r>
              <w:rPr>
                <w:rFonts w:hint="eastAsia" w:ascii="仿宋" w:hAnsi="仿宋" w:eastAsia="仿宋" w:cs="仿宋"/>
                <w:b/>
                <w:color w:val="000000"/>
                <w:sz w:val="21"/>
                <w:szCs w:val="21"/>
              </w:rPr>
              <w:t>方案</w:t>
            </w:r>
          </w:p>
        </w:tc>
        <w:tc>
          <w:tcPr>
            <w:tcW w:w="5470" w:type="dxa"/>
            <w:tcBorders>
              <w:top w:val="single" w:color="auto" w:sz="4" w:space="0"/>
              <w:left w:val="nil"/>
              <w:bottom w:val="single" w:color="auto" w:sz="4" w:space="0"/>
              <w:right w:val="single" w:color="auto" w:sz="4" w:space="0"/>
            </w:tcBorders>
            <w:vAlign w:val="center"/>
          </w:tcPr>
          <w:p w14:paraId="4C110885">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sz w:val="21"/>
                <w:szCs w:val="21"/>
              </w:rPr>
              <w:t>根据投标人设计方案的先进性、扩展性、集成性、兼容性、实用性、完整性、设计深度等方面综合评分：</w:t>
            </w:r>
          </w:p>
          <w:p w14:paraId="5D657578">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第一个档次（</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方案的先进性、扩展性、集成性、兼容性、实用性、完整性、设计深度优秀；</w:t>
            </w:r>
          </w:p>
          <w:p w14:paraId="5B6F02D6">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第二个档次（</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分）：</w:t>
            </w:r>
            <w:r>
              <w:rPr>
                <w:rFonts w:hint="eastAsia" w:ascii="仿宋" w:hAnsi="仿宋" w:eastAsia="仿宋" w:cs="仿宋"/>
                <w:sz w:val="21"/>
                <w:szCs w:val="21"/>
              </w:rPr>
              <w:t>方案的先进性、扩展性、集成性、兼容性、实用性、完整性、设计深度一般；</w:t>
            </w:r>
          </w:p>
          <w:p w14:paraId="1BAA593D">
            <w:pPr>
              <w:pStyle w:val="49"/>
              <w:keepNext w:val="0"/>
              <w:keepLines w:val="0"/>
              <w:pageBreakBefore w:val="0"/>
              <w:kinsoku/>
              <w:wordWrap/>
              <w:overflowPunct/>
              <w:topLinePunct w:val="0"/>
              <w:bidi w:val="0"/>
              <w:spacing w:line="400" w:lineRule="exact"/>
              <w:textAlignment w:val="auto"/>
              <w:rPr>
                <w:rFonts w:hint="eastAsia" w:ascii="仿宋" w:hAnsi="仿宋" w:eastAsia="仿宋" w:cs="仿宋"/>
                <w:sz w:val="21"/>
                <w:szCs w:val="21"/>
              </w:rPr>
            </w:pPr>
            <w:r>
              <w:rPr>
                <w:rFonts w:hint="eastAsia" w:ascii="仿宋" w:hAnsi="仿宋" w:eastAsia="仿宋" w:cs="仿宋"/>
                <w:color w:val="auto"/>
                <w:sz w:val="21"/>
                <w:szCs w:val="21"/>
              </w:rPr>
              <w:t>第三个档次（1分）：</w:t>
            </w:r>
            <w:r>
              <w:rPr>
                <w:rFonts w:hint="eastAsia" w:ascii="仿宋" w:hAnsi="仿宋" w:eastAsia="仿宋" w:cs="仿宋"/>
                <w:sz w:val="21"/>
                <w:szCs w:val="21"/>
              </w:rPr>
              <w:t>方案的先进性、扩展性、集成性、兼容性、实用性、完整性、设计深度差。</w:t>
            </w:r>
          </w:p>
          <w:p w14:paraId="100155B6">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sz w:val="21"/>
                <w:szCs w:val="21"/>
              </w:rPr>
              <w:t>不提供不得分。</w:t>
            </w:r>
          </w:p>
        </w:tc>
        <w:tc>
          <w:tcPr>
            <w:tcW w:w="818" w:type="dxa"/>
            <w:tcBorders>
              <w:top w:val="single" w:color="auto" w:sz="4" w:space="0"/>
              <w:left w:val="nil"/>
              <w:bottom w:val="single" w:color="auto" w:sz="4" w:space="0"/>
              <w:right w:val="single" w:color="auto" w:sz="4" w:space="0"/>
            </w:tcBorders>
            <w:vAlign w:val="center"/>
          </w:tcPr>
          <w:p w14:paraId="760E4D41">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8</w:t>
            </w:r>
          </w:p>
        </w:tc>
      </w:tr>
      <w:tr w14:paraId="15F5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3AB58353">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2DE6DE3E">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实施方案</w:t>
            </w:r>
          </w:p>
        </w:tc>
        <w:tc>
          <w:tcPr>
            <w:tcW w:w="5470" w:type="dxa"/>
            <w:tcBorders>
              <w:top w:val="single" w:color="auto" w:sz="4" w:space="0"/>
              <w:left w:val="nil"/>
              <w:bottom w:val="single" w:color="auto" w:sz="4" w:space="0"/>
              <w:right w:val="single" w:color="auto" w:sz="4" w:space="0"/>
            </w:tcBorders>
            <w:vAlign w:val="center"/>
          </w:tcPr>
          <w:p w14:paraId="42B95727">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投标人具有成熟可靠的项目实施方案、并具有必要的质量管理措施，能保证项目正常稳定实施并保证产品稳定运行。</w:t>
            </w:r>
          </w:p>
          <w:p w14:paraId="590D13D0">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方案优秀得</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分，方案良好得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分，方案一般得</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分，其他或不提供不得分。</w:t>
            </w:r>
          </w:p>
        </w:tc>
        <w:tc>
          <w:tcPr>
            <w:tcW w:w="818" w:type="dxa"/>
            <w:tcBorders>
              <w:top w:val="single" w:color="auto" w:sz="4" w:space="0"/>
              <w:left w:val="nil"/>
              <w:bottom w:val="single" w:color="auto" w:sz="4" w:space="0"/>
              <w:right w:val="single" w:color="auto" w:sz="4" w:space="0"/>
            </w:tcBorders>
            <w:vAlign w:val="center"/>
          </w:tcPr>
          <w:p w14:paraId="5CDD23F0">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6</w:t>
            </w:r>
          </w:p>
        </w:tc>
      </w:tr>
      <w:tr w14:paraId="7AD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6672D663">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7F69E093">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售后服务</w:t>
            </w:r>
          </w:p>
        </w:tc>
        <w:tc>
          <w:tcPr>
            <w:tcW w:w="5470" w:type="dxa"/>
            <w:tcBorders>
              <w:top w:val="single" w:color="auto" w:sz="4" w:space="0"/>
              <w:left w:val="nil"/>
              <w:bottom w:val="single" w:color="auto" w:sz="4" w:space="0"/>
              <w:right w:val="single" w:color="auto" w:sz="4" w:space="0"/>
            </w:tcBorders>
            <w:vAlign w:val="center"/>
          </w:tcPr>
          <w:p w14:paraId="1A94ED9E">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投标人提供培训、售后服务承诺、应急响应方案、保障措施等详细的售后方案。方案科学合理详细、响应速度快，驻场人员安排合理得</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分，方案良好得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分，方案一般得1分，其他或不提供不得分。</w:t>
            </w:r>
          </w:p>
        </w:tc>
        <w:tc>
          <w:tcPr>
            <w:tcW w:w="818" w:type="dxa"/>
            <w:tcBorders>
              <w:top w:val="single" w:color="auto" w:sz="4" w:space="0"/>
              <w:left w:val="nil"/>
              <w:bottom w:val="single" w:color="auto" w:sz="4" w:space="0"/>
              <w:right w:val="single" w:color="auto" w:sz="4" w:space="0"/>
            </w:tcBorders>
            <w:vAlign w:val="center"/>
          </w:tcPr>
          <w:p w14:paraId="30393E18">
            <w:pPr>
              <w:pageBreakBefore w:val="0"/>
              <w:kinsoku/>
              <w:wordWrap/>
              <w:overflowPunct/>
              <w:topLinePunct w:val="0"/>
              <w:bidi w:val="0"/>
              <w:spacing w:line="240" w:lineRule="auto"/>
              <w:ind w:firstLine="30" w:firstLineChars="14"/>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val="en-US" w:eastAsia="zh-CN"/>
              </w:rPr>
              <w:t>6</w:t>
            </w:r>
          </w:p>
        </w:tc>
      </w:tr>
      <w:tr w14:paraId="2AD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59" w:type="dxa"/>
            <w:vMerge w:val="continue"/>
            <w:tcBorders>
              <w:top w:val="nil"/>
              <w:left w:val="single" w:color="auto" w:sz="4" w:space="0"/>
              <w:bottom w:val="single" w:color="auto" w:sz="4" w:space="0"/>
              <w:right w:val="single" w:color="auto" w:sz="4" w:space="0"/>
            </w:tcBorders>
            <w:vAlign w:val="center"/>
          </w:tcPr>
          <w:p w14:paraId="64845ED7">
            <w:pPr>
              <w:pageBreakBefore w:val="0"/>
              <w:widowControl/>
              <w:kinsoku/>
              <w:wordWrap/>
              <w:overflowPunct/>
              <w:topLinePunct w:val="0"/>
              <w:bidi w:val="0"/>
              <w:spacing w:line="240" w:lineRule="auto"/>
              <w:ind w:firstLine="482"/>
              <w:jc w:val="left"/>
              <w:rPr>
                <w:rFonts w:hint="eastAsia" w:ascii="仿宋" w:hAnsi="仿宋" w:eastAsia="仿宋" w:cs="仿宋"/>
                <w:b/>
                <w:color w:val="000000"/>
                <w:sz w:val="21"/>
                <w:szCs w:val="21"/>
              </w:rPr>
            </w:pPr>
          </w:p>
        </w:tc>
        <w:tc>
          <w:tcPr>
            <w:tcW w:w="1268" w:type="dxa"/>
            <w:tcBorders>
              <w:top w:val="single" w:color="auto" w:sz="4" w:space="0"/>
              <w:left w:val="nil"/>
              <w:bottom w:val="single" w:color="auto" w:sz="4" w:space="0"/>
              <w:right w:val="single" w:color="auto" w:sz="4" w:space="0"/>
            </w:tcBorders>
            <w:vAlign w:val="center"/>
          </w:tcPr>
          <w:p w14:paraId="291D3F0E">
            <w:pPr>
              <w:pageBreakBefore w:val="0"/>
              <w:widowControl/>
              <w:kinsoku/>
              <w:wordWrap/>
              <w:overflowPunct/>
              <w:topLinePunct w:val="0"/>
              <w:bidi w:val="0"/>
              <w:spacing w:line="240" w:lineRule="auto"/>
              <w:jc w:val="center"/>
              <w:rPr>
                <w:rFonts w:hint="eastAsia" w:ascii="仿宋" w:hAnsi="仿宋" w:eastAsia="仿宋" w:cs="仿宋"/>
                <w:color w:val="000000"/>
                <w:sz w:val="21"/>
                <w:szCs w:val="21"/>
              </w:rPr>
            </w:pPr>
            <w:r>
              <w:rPr>
                <w:rFonts w:hint="eastAsia" w:ascii="仿宋" w:hAnsi="仿宋" w:eastAsia="仿宋" w:cs="仿宋"/>
                <w:b/>
                <w:color w:val="000000"/>
                <w:sz w:val="21"/>
                <w:szCs w:val="21"/>
              </w:rPr>
              <w:t>技术参数</w:t>
            </w:r>
            <w:r>
              <w:rPr>
                <w:rFonts w:hint="eastAsia" w:ascii="仿宋" w:hAnsi="仿宋" w:eastAsia="仿宋" w:cs="仿宋"/>
                <w:b/>
                <w:color w:val="000000"/>
                <w:sz w:val="21"/>
                <w:szCs w:val="21"/>
                <w:lang w:val="en-US" w:eastAsia="zh-CN"/>
              </w:rPr>
              <w:t>响应</w:t>
            </w:r>
            <w:r>
              <w:rPr>
                <w:rFonts w:hint="eastAsia" w:ascii="仿宋" w:hAnsi="仿宋" w:eastAsia="仿宋" w:cs="仿宋"/>
                <w:b/>
                <w:color w:val="000000"/>
                <w:sz w:val="21"/>
                <w:szCs w:val="21"/>
              </w:rPr>
              <w:t>度</w:t>
            </w:r>
          </w:p>
        </w:tc>
        <w:tc>
          <w:tcPr>
            <w:tcW w:w="5470" w:type="dxa"/>
            <w:tcBorders>
              <w:top w:val="single" w:color="auto" w:sz="4" w:space="0"/>
              <w:left w:val="nil"/>
              <w:bottom w:val="single" w:color="auto" w:sz="4" w:space="0"/>
              <w:right w:val="single" w:color="auto" w:sz="4" w:space="0"/>
            </w:tcBorders>
            <w:vAlign w:val="center"/>
          </w:tcPr>
          <w:p w14:paraId="0E4EDE9E">
            <w:pPr>
              <w:pageBreakBefore w:val="0"/>
              <w:widowControl/>
              <w:kinsoku/>
              <w:wordWrap/>
              <w:overflowPunct/>
              <w:topLinePunct w:val="0"/>
              <w:bidi w:val="0"/>
              <w:spacing w:line="240" w:lineRule="auto"/>
              <w:rPr>
                <w:rFonts w:hint="eastAsia" w:ascii="仿宋" w:hAnsi="仿宋" w:eastAsia="仿宋" w:cs="仿宋"/>
                <w:color w:val="000000"/>
                <w:kern w:val="0"/>
                <w:sz w:val="21"/>
                <w:szCs w:val="21"/>
              </w:rPr>
            </w:pPr>
          </w:p>
          <w:p w14:paraId="7492CBBC">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（1）“参数”中未标有“</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”的指标每偏离（负偏离）1条扣1分，扣完为止；</w:t>
            </w:r>
          </w:p>
          <w:p w14:paraId="21AE4809">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（2）“参数”中标有“</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”的指标每偏离（负偏离）1条扣5分，扣完为止。</w:t>
            </w:r>
          </w:p>
          <w:p w14:paraId="09ABD200">
            <w:pPr>
              <w:pageBreakBefore w:val="0"/>
              <w:widowControl/>
              <w:kinsoku/>
              <w:wordWrap/>
              <w:overflowPunct/>
              <w:topLinePunct w:val="0"/>
              <w:bidi w:val="0"/>
              <w:spacing w:line="240" w:lineRule="auto"/>
              <w:ind w:firstLine="48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注：对标“</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”的指标须另行提供软件系统功能截图，评委根据截图内容判断功能的符合程度。</w:t>
            </w:r>
          </w:p>
          <w:p w14:paraId="39F3C5EC">
            <w:pPr>
              <w:pStyle w:val="2"/>
              <w:rPr>
                <w:rFonts w:hint="eastAsia" w:ascii="仿宋" w:hAnsi="仿宋" w:eastAsia="仿宋" w:cs="仿宋"/>
              </w:rPr>
            </w:pPr>
            <w:r>
              <w:rPr>
                <w:rFonts w:hint="eastAsia" w:ascii="仿宋" w:hAnsi="仿宋" w:eastAsia="仿宋" w:cs="仿宋"/>
                <w:b/>
                <w:bCs/>
                <w:i w:val="0"/>
                <w:iCs w:val="0"/>
                <w:color w:val="000000"/>
                <w:kern w:val="0"/>
                <w:sz w:val="21"/>
                <w:szCs w:val="21"/>
                <w:u w:val="none"/>
                <w:lang w:val="en-US" w:eastAsia="zh-CN" w:bidi="ar"/>
              </w:rPr>
              <w:t>如偏离项数较多或偏离程度较大，经评委会评议，保留这些偏离可能会导致响应系统软件实质上不符合采购人实际需求的，该项25分不得分。</w:t>
            </w:r>
          </w:p>
        </w:tc>
        <w:tc>
          <w:tcPr>
            <w:tcW w:w="818" w:type="dxa"/>
            <w:tcBorders>
              <w:top w:val="single" w:color="auto" w:sz="4" w:space="0"/>
              <w:left w:val="nil"/>
              <w:bottom w:val="single" w:color="auto" w:sz="4" w:space="0"/>
              <w:right w:val="single" w:color="auto" w:sz="4" w:space="0"/>
            </w:tcBorders>
            <w:vAlign w:val="center"/>
          </w:tcPr>
          <w:p w14:paraId="677567B2">
            <w:pPr>
              <w:pageBreakBefore w:val="0"/>
              <w:kinsoku/>
              <w:wordWrap/>
              <w:overflowPunct/>
              <w:topLinePunct w:val="0"/>
              <w:bidi w:val="0"/>
              <w:spacing w:line="240" w:lineRule="auto"/>
              <w:ind w:firstLine="30" w:firstLineChars="14"/>
              <w:jc w:val="center"/>
              <w:rPr>
                <w:rFonts w:hint="eastAsia" w:ascii="仿宋" w:hAnsi="仿宋" w:eastAsia="仿宋" w:cs="仿宋"/>
                <w:color w:val="000000"/>
                <w:sz w:val="21"/>
                <w:szCs w:val="21"/>
                <w:lang w:val="en-US" w:eastAsia="zh-CN"/>
              </w:rPr>
            </w:pPr>
            <w:r>
              <w:rPr>
                <w:rFonts w:hint="eastAsia" w:ascii="仿宋" w:hAnsi="仿宋" w:eastAsia="仿宋" w:cs="仿宋"/>
                <w:b/>
                <w:color w:val="000000"/>
                <w:sz w:val="21"/>
                <w:szCs w:val="21"/>
                <w:lang w:val="en-US" w:eastAsia="zh-CN"/>
              </w:rPr>
              <w:t>25</w:t>
            </w:r>
          </w:p>
        </w:tc>
      </w:tr>
    </w:tbl>
    <w:p w14:paraId="73F44044">
      <w:pPr>
        <w:rPr>
          <w:rFonts w:hint="eastAsia" w:ascii="仿宋" w:hAnsi="仿宋" w:eastAsia="仿宋" w:cs="仿宋"/>
          <w:b/>
          <w:bCs/>
          <w:iCs/>
          <w:color w:val="auto"/>
          <w:lang w:val="en-US" w:eastAsia="zh-CN"/>
        </w:rPr>
      </w:pPr>
    </w:p>
    <w:p w14:paraId="35F9A166">
      <w:pPr>
        <w:spacing w:before="23" w:line="229" w:lineRule="auto"/>
        <w:ind w:right="130" w:firstLine="218" w:firstLineChars="100"/>
        <w:jc w:val="both"/>
        <w:rPr>
          <w:rFonts w:hint="eastAsia" w:ascii="仿宋" w:hAnsi="仿宋" w:eastAsia="仿宋" w:cs="仿宋"/>
          <w:iCs/>
          <w:color w:val="auto"/>
          <w:sz w:val="24"/>
          <w:szCs w:val="24"/>
        </w:rPr>
      </w:pPr>
      <w:r>
        <w:rPr>
          <w:rFonts w:hint="eastAsia" w:ascii="仿宋" w:hAnsi="仿宋" w:eastAsia="仿宋" w:cs="仿宋"/>
          <w:color w:val="auto"/>
          <w:spacing w:val="-1"/>
          <w:sz w:val="22"/>
          <w:szCs w:val="22"/>
          <w:lang w:val="zh-CN" w:eastAsia="zh-CN"/>
        </w:rPr>
        <w:t>备注：</w:t>
      </w:r>
    </w:p>
    <w:p w14:paraId="33BF1E32">
      <w:pPr>
        <w:pStyle w:val="2"/>
        <w:tabs>
          <w:tab w:val="left" w:pos="567"/>
        </w:tabs>
        <w:spacing w:line="360" w:lineRule="auto"/>
        <w:ind w:left="-181" w:leftChars="-86" w:firstLine="660" w:firstLineChars="275"/>
        <w:rPr>
          <w:rFonts w:hint="eastAsia" w:ascii="仿宋" w:hAnsi="仿宋" w:eastAsia="仿宋" w:cs="仿宋"/>
          <w:iCs/>
          <w:color w:val="auto"/>
          <w:sz w:val="24"/>
          <w:szCs w:val="24"/>
          <w:lang w:eastAsia="zh-CN"/>
        </w:rPr>
      </w:pPr>
      <w:r>
        <w:rPr>
          <w:rFonts w:hint="eastAsia" w:ascii="仿宋" w:hAnsi="仿宋" w:eastAsia="仿宋" w:cs="仿宋"/>
          <w:iCs/>
          <w:color w:val="auto"/>
          <w:sz w:val="24"/>
          <w:szCs w:val="24"/>
          <w:lang w:eastAsia="zh-CN"/>
        </w:rPr>
        <w:t>评审完毕，评标委员会根据汇总各投标企业的综合得分，按照得分高低进行排序，取前三名作为中标候选人推荐给招标委员会。如果两投标人的得分相同，投标价格低者排在前。</w:t>
      </w:r>
    </w:p>
    <w:p w14:paraId="31F80FD3">
      <w:pPr>
        <w:pStyle w:val="36"/>
        <w:spacing w:line="500" w:lineRule="exact"/>
        <w:ind w:left="0" w:firstLineChars="200"/>
        <w:rPr>
          <w:rStyle w:val="26"/>
          <w:rFonts w:hint="eastAsia" w:ascii="仿宋" w:hAnsi="仿宋" w:eastAsia="仿宋" w:cs="仿宋"/>
          <w:iCs/>
          <w:color w:val="auto"/>
          <w:szCs w:val="24"/>
          <w:lang w:eastAsia="zh-CN"/>
        </w:rPr>
      </w:pPr>
      <w:r>
        <w:rPr>
          <w:rStyle w:val="26"/>
          <w:rFonts w:hint="eastAsia" w:ascii="仿宋" w:hAnsi="仿宋" w:eastAsia="仿宋" w:cs="仿宋"/>
          <w:iCs/>
          <w:color w:val="auto"/>
          <w:szCs w:val="24"/>
          <w:lang w:eastAsia="zh-CN"/>
        </w:rPr>
        <w:t>本项目参数要求、评审内容如有指向性，仅作为招标参考，投标产品不应低于招标要求，如有不符合要求，视为不响应招标文件规定。</w:t>
      </w:r>
    </w:p>
    <w:p w14:paraId="12F873D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3.5复核。评分汇总结束后，评标委员会应当进行复核，特别要对拟推荐为中标候选供应商的、报价最低的、投标文件被认定为无效的进行重点复核。</w:t>
      </w:r>
    </w:p>
    <w:p w14:paraId="1B35465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3.6推荐中标候选供应商。中标候选供应商应当排序。</w:t>
      </w:r>
    </w:p>
    <w:p w14:paraId="5EE37067">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3.7出具评标报告。评标委员会推荐中标候选供应商后，应当向招标采购单位出具评标报告。评标报告应当包括下列内容：</w:t>
      </w:r>
    </w:p>
    <w:p w14:paraId="70A3B0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（一）招标公告刊登的媒体名称、开标日期和地点；</w:t>
      </w:r>
    </w:p>
    <w:p w14:paraId="594A2A2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（二）评标委员会成员名单；</w:t>
      </w:r>
    </w:p>
    <w:p w14:paraId="7A39393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（三）评标方法和标准；</w:t>
      </w:r>
    </w:p>
    <w:p w14:paraId="3FBFE3BB">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（四）开标记录和评标情况及说明，包括无效投标人名单及原因；</w:t>
      </w:r>
    </w:p>
    <w:p w14:paraId="469913C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（五）评标结果，确定的中标候选人名单或者经采购人委托直接确定的中标人；</w:t>
      </w:r>
    </w:p>
    <w:p w14:paraId="238409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（六）其他需要说明的情况，包括评标过程中投标人根据评标委员会要求进行的澄清、说明或者补正，评标委员会成员的更换等。</w:t>
      </w:r>
    </w:p>
    <w:p w14:paraId="501D71D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672BC03">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07CADDC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3.9供应商应当书面澄清、说明或者更正。</w:t>
      </w:r>
    </w:p>
    <w:p w14:paraId="03A479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65796CE8">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0DE0D0E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3.9.3评标委员会要求供应商澄清、说明或者更正，不得超出招标文件的范围，不得以此让供应商实质改变投标文件的内容，不得影响供应商公平竞争。本项目下列内容不得澄清：</w:t>
      </w:r>
    </w:p>
    <w:p w14:paraId="710C4CE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（一）按财政部规定应当在评标时不予承认的投标文件内容事项；</w:t>
      </w:r>
    </w:p>
    <w:p w14:paraId="5461FB1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（二）投标文件中已经明确的内容事项；</w:t>
      </w:r>
    </w:p>
    <w:p w14:paraId="1374A87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（三）投标文件未提供的材料。</w:t>
      </w:r>
    </w:p>
    <w:p w14:paraId="3E8656B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A686C9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5B972A1">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3.11招标采购单位现场复核评标结果。</w:t>
      </w:r>
    </w:p>
    <w:p w14:paraId="36C80CA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3.11.1评标结果汇总完成后，评标委员会拟出具评标报告前，招标采购单位应当组织本单位工作人员，在采购现场监督人员的监督之下，依据有关的法律制度和采购文件对评标结果进行复核，提出复核意见。</w:t>
      </w:r>
    </w:p>
    <w:p w14:paraId="19CB4BB6">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29A500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5、 废 标</w:t>
      </w:r>
    </w:p>
    <w:p w14:paraId="7B37E5C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废标后，采购代理机构应在网上公告。投标人需要知晓导致废标情形的具体原因和理由的，可以通过书面形式询问招标采购单位。</w:t>
      </w:r>
    </w:p>
    <w:p w14:paraId="76EF99A0">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对于评标过程中废标的采购项目，评标委员会应当对招标文件是否存在倾向性和歧视性、是否存在不合理条款进行论证，并出具书面论证意见。</w:t>
      </w:r>
    </w:p>
    <w:p w14:paraId="3D2C30E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6、定标</w:t>
      </w:r>
    </w:p>
    <w:p w14:paraId="4342F164">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6.1. 定标原则：由采购人根据评标委员会的推荐意见确定中标供应商。</w:t>
      </w:r>
    </w:p>
    <w:p w14:paraId="2D03FC39">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 定标程序</w:t>
      </w:r>
    </w:p>
    <w:p w14:paraId="7FCCCAEE">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6.2.1 评标委员会将评标情况写出书面报告，推荐中标候选供应商。</w:t>
      </w:r>
    </w:p>
    <w:p w14:paraId="17230C95">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6.2.2 采购代理机构在评标结束后2个工作日内将评标报告送采购人。</w:t>
      </w:r>
    </w:p>
    <w:p w14:paraId="4FFD9816">
      <w:pPr>
        <w:pStyle w:val="20"/>
        <w:spacing w:beforeAutospacing="0" w:afterAutospacing="0" w:line="520" w:lineRule="atLeast"/>
        <w:ind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6.2.3 采购人在收到评标报告后5个工作日内，按照评标报告中推荐的中标候选供应商顺序确定中标供应商。</w:t>
      </w:r>
    </w:p>
    <w:p w14:paraId="59DFD835">
      <w:pPr>
        <w:pStyle w:val="20"/>
        <w:spacing w:beforeAutospacing="0" w:afterAutospacing="0" w:line="520" w:lineRule="atLeast"/>
        <w:ind w:left="147" w:firstLine="480" w:firstLineChars="200"/>
        <w:jc w:val="both"/>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采用最低评标价法的，评标结果按投标报价由低到高顺序排列。投标报价相同的并列。投标文件满足招标文件全部实质性要求且投标报价最低的投标人为排名第一的中标候选人。</w:t>
      </w:r>
    </w:p>
    <w:p w14:paraId="73C44F1F">
      <w:pPr>
        <w:pStyle w:val="17"/>
        <w:spacing w:line="500" w:lineRule="exact"/>
        <w:ind w:left="0" w:firstLineChars="200"/>
        <w:rPr>
          <w:rFonts w:hint="eastAsia" w:ascii="仿宋" w:hAnsi="仿宋" w:eastAsia="仿宋" w:cs="仿宋"/>
          <w:iCs/>
          <w:color w:val="auto"/>
          <w:kern w:val="2"/>
          <w:szCs w:val="24"/>
          <w:lang w:eastAsia="zh-CN"/>
        </w:rPr>
      </w:pPr>
      <w:r>
        <w:rPr>
          <w:rFonts w:hint="eastAsia" w:ascii="仿宋" w:hAnsi="仿宋" w:eastAsia="仿宋" w:cs="仿宋"/>
          <w:iCs/>
          <w:color w:val="auto"/>
          <w:kern w:val="2"/>
          <w:szCs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F279BD">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6.2.4 根据采购人确定的中标供应商，采购代理机构在新疆政府采购网上发布中标公告，并自采购人确定中标之日起3个工作日内向中标供应商发出中标通知书。</w:t>
      </w:r>
    </w:p>
    <w:p w14:paraId="3FCB710F">
      <w:pPr>
        <w:pStyle w:val="36"/>
        <w:spacing w:line="500" w:lineRule="exact"/>
        <w:ind w:left="0" w:firstLineChars="200"/>
        <w:rPr>
          <w:rStyle w:val="26"/>
          <w:rFonts w:hint="eastAsia" w:ascii="仿宋" w:hAnsi="仿宋" w:eastAsia="仿宋" w:cs="仿宋"/>
          <w:iCs/>
          <w:color w:val="auto"/>
          <w:kern w:val="2"/>
          <w:szCs w:val="24"/>
          <w:lang w:eastAsia="zh-CN"/>
        </w:rPr>
      </w:pPr>
      <w:r>
        <w:rPr>
          <w:rStyle w:val="26"/>
          <w:rFonts w:hint="eastAsia" w:ascii="仿宋" w:hAnsi="仿宋" w:eastAsia="仿宋" w:cs="仿宋"/>
          <w:iCs/>
          <w:color w:val="auto"/>
          <w:kern w:val="2"/>
          <w:szCs w:val="24"/>
          <w:lang w:eastAsia="zh-CN"/>
        </w:rPr>
        <w:t>6.2.5 招标采购单位不退回投标人投标文件和其他投标资料。</w:t>
      </w:r>
    </w:p>
    <w:p w14:paraId="45293D9F">
      <w:pP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br w:type="page"/>
      </w:r>
    </w:p>
    <w:p w14:paraId="33E42AD2">
      <w:pPr>
        <w:spacing w:line="240" w:lineRule="atLeast"/>
        <w:jc w:val="center"/>
        <w:rPr>
          <w:rStyle w:val="26"/>
          <w:rFonts w:hint="eastAsia" w:ascii="仿宋" w:hAnsi="仿宋" w:eastAsia="仿宋" w:cs="仿宋"/>
          <w:b/>
          <w:color w:val="auto"/>
          <w:sz w:val="52"/>
          <w:szCs w:val="52"/>
          <w:lang w:eastAsia="zh-CN"/>
        </w:rPr>
      </w:pPr>
    </w:p>
    <w:p w14:paraId="1E484A77">
      <w:pPr>
        <w:spacing w:line="240" w:lineRule="atLeast"/>
        <w:jc w:val="center"/>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服务类</w:t>
      </w:r>
    </w:p>
    <w:p w14:paraId="1E9BB949">
      <w:pPr>
        <w:spacing w:line="240" w:lineRule="atLeast"/>
        <w:jc w:val="both"/>
        <w:rPr>
          <w:rStyle w:val="26"/>
          <w:rFonts w:hint="eastAsia" w:ascii="仿宋" w:hAnsi="仿宋" w:eastAsia="仿宋" w:cs="仿宋"/>
          <w:b/>
          <w:color w:val="auto"/>
          <w:sz w:val="52"/>
          <w:szCs w:val="52"/>
          <w:lang w:eastAsia="zh-CN"/>
        </w:rPr>
      </w:pPr>
    </w:p>
    <w:p w14:paraId="1368F5E8">
      <w:pPr>
        <w:spacing w:line="240" w:lineRule="atLeast"/>
        <w:ind w:left="1080" w:leftChars="257" w:hanging="540"/>
        <w:jc w:val="center"/>
        <w:rPr>
          <w:rStyle w:val="26"/>
          <w:rFonts w:hint="eastAsia" w:ascii="仿宋" w:hAnsi="仿宋" w:eastAsia="仿宋" w:cs="仿宋"/>
          <w:b/>
          <w:color w:val="auto"/>
          <w:sz w:val="52"/>
          <w:szCs w:val="52"/>
          <w:lang w:eastAsia="zh-CN"/>
        </w:rPr>
      </w:pPr>
    </w:p>
    <w:p w14:paraId="4B4A8A03">
      <w:pPr>
        <w:spacing w:line="240" w:lineRule="atLeast"/>
        <w:ind w:firstLine="2088" w:firstLineChars="400"/>
        <w:jc w:val="both"/>
        <w:rPr>
          <w:rStyle w:val="26"/>
          <w:rFonts w:hint="eastAsia" w:ascii="仿宋" w:hAnsi="仿宋" w:eastAsia="仿宋" w:cs="仿宋"/>
          <w:b/>
          <w:color w:val="auto"/>
          <w:sz w:val="52"/>
          <w:szCs w:val="52"/>
          <w:lang w:eastAsia="zh-CN"/>
        </w:rPr>
      </w:pPr>
      <w:r>
        <w:rPr>
          <w:rStyle w:val="26"/>
          <w:rFonts w:hint="eastAsia" w:ascii="仿宋" w:hAnsi="仿宋" w:eastAsia="仿宋" w:cs="仿宋"/>
          <w:b/>
          <w:color w:val="auto"/>
          <w:sz w:val="52"/>
          <w:szCs w:val="52"/>
          <w:lang w:eastAsia="zh-CN"/>
        </w:rPr>
        <w:t>政府采购公开招标文件</w:t>
      </w:r>
    </w:p>
    <w:p w14:paraId="4AC3C912">
      <w:pPr>
        <w:spacing w:line="240" w:lineRule="atLeast"/>
        <w:ind w:left="1080" w:leftChars="257" w:hanging="540"/>
        <w:jc w:val="center"/>
        <w:rPr>
          <w:rStyle w:val="26"/>
          <w:rFonts w:hint="eastAsia" w:ascii="仿宋" w:hAnsi="仿宋" w:eastAsia="仿宋" w:cs="仿宋"/>
          <w:b/>
          <w:color w:val="auto"/>
          <w:sz w:val="32"/>
          <w:szCs w:val="32"/>
          <w:lang w:eastAsia="zh-CN"/>
        </w:rPr>
      </w:pPr>
    </w:p>
    <w:p w14:paraId="51E16910">
      <w:pPr>
        <w:pStyle w:val="2"/>
        <w:tabs>
          <w:tab w:val="left" w:pos="567"/>
        </w:tabs>
        <w:rPr>
          <w:rFonts w:hint="eastAsia" w:ascii="仿宋" w:hAnsi="仿宋" w:eastAsia="仿宋" w:cs="仿宋"/>
          <w:color w:val="auto"/>
          <w:lang w:eastAsia="zh-CN"/>
        </w:rPr>
      </w:pPr>
    </w:p>
    <w:p w14:paraId="045BC7B6">
      <w:pPr>
        <w:spacing w:line="240" w:lineRule="atLeast"/>
        <w:rPr>
          <w:rStyle w:val="26"/>
          <w:rFonts w:hint="eastAsia" w:ascii="仿宋" w:hAnsi="仿宋" w:eastAsia="仿宋" w:cs="仿宋"/>
          <w:b/>
          <w:color w:val="auto"/>
          <w:sz w:val="28"/>
          <w:lang w:eastAsia="zh-CN"/>
        </w:rPr>
      </w:pPr>
    </w:p>
    <w:p w14:paraId="12D44BD0">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92FDFFF">
      <w:pPr>
        <w:spacing w:line="240" w:lineRule="atLeast"/>
        <w:ind w:left="1080" w:leftChars="257" w:hanging="540"/>
        <w:jc w:val="center"/>
        <w:rPr>
          <w:rStyle w:val="26"/>
          <w:rFonts w:hint="eastAsia" w:ascii="仿宋" w:hAnsi="仿宋" w:eastAsia="仿宋" w:cs="仿宋"/>
          <w:b/>
          <w:color w:val="auto"/>
          <w:sz w:val="48"/>
          <w:szCs w:val="48"/>
          <w:lang w:eastAsia="zh-CN"/>
        </w:rPr>
      </w:pPr>
    </w:p>
    <w:p w14:paraId="138D28F2">
      <w:pPr>
        <w:spacing w:line="240" w:lineRule="atLeast"/>
        <w:ind w:left="1080" w:leftChars="257" w:hanging="540"/>
        <w:jc w:val="center"/>
        <w:rPr>
          <w:rStyle w:val="26"/>
          <w:rFonts w:hint="eastAsia" w:ascii="仿宋" w:hAnsi="仿宋" w:eastAsia="仿宋" w:cs="仿宋"/>
          <w:b/>
          <w:color w:val="auto"/>
          <w:sz w:val="48"/>
          <w:szCs w:val="48"/>
          <w:lang w:eastAsia="zh-CN"/>
        </w:rPr>
      </w:pPr>
    </w:p>
    <w:p w14:paraId="4EB6B76D">
      <w:pPr>
        <w:spacing w:line="240" w:lineRule="atLeast"/>
        <w:ind w:left="1080" w:leftChars="257" w:hanging="540"/>
        <w:jc w:val="center"/>
        <w:rPr>
          <w:rStyle w:val="26"/>
          <w:rFonts w:hint="eastAsia" w:ascii="仿宋" w:hAnsi="仿宋" w:eastAsia="仿宋" w:cs="仿宋"/>
          <w:b/>
          <w:color w:val="auto"/>
          <w:sz w:val="48"/>
          <w:szCs w:val="48"/>
          <w:lang w:eastAsia="zh-CN"/>
        </w:rPr>
      </w:pPr>
    </w:p>
    <w:p w14:paraId="3D621DEC">
      <w:pPr>
        <w:spacing w:line="240" w:lineRule="atLeast"/>
        <w:ind w:left="1080" w:leftChars="257" w:hanging="540"/>
        <w:jc w:val="center"/>
        <w:rPr>
          <w:rStyle w:val="26"/>
          <w:rFonts w:hint="eastAsia" w:ascii="仿宋" w:hAnsi="仿宋" w:eastAsia="仿宋" w:cs="仿宋"/>
          <w:b/>
          <w:color w:val="auto"/>
          <w:sz w:val="48"/>
          <w:szCs w:val="48"/>
          <w:lang w:eastAsia="zh-CN"/>
        </w:rPr>
      </w:pPr>
    </w:p>
    <w:p w14:paraId="5B1D5397">
      <w:pPr>
        <w:spacing w:line="240" w:lineRule="atLeast"/>
        <w:ind w:left="1080" w:leftChars="257" w:hanging="540"/>
        <w:jc w:val="center"/>
        <w:rPr>
          <w:rStyle w:val="26"/>
          <w:rFonts w:hint="eastAsia" w:ascii="仿宋" w:hAnsi="仿宋" w:eastAsia="仿宋" w:cs="仿宋"/>
          <w:b/>
          <w:color w:val="auto"/>
          <w:sz w:val="48"/>
          <w:szCs w:val="48"/>
          <w:lang w:eastAsia="zh-CN"/>
        </w:rPr>
      </w:pPr>
      <w:r>
        <w:rPr>
          <w:rStyle w:val="26"/>
          <w:rFonts w:hint="eastAsia" w:ascii="仿宋" w:hAnsi="仿宋" w:eastAsia="仿宋" w:cs="仿宋"/>
          <w:b/>
          <w:color w:val="auto"/>
          <w:sz w:val="48"/>
          <w:szCs w:val="48"/>
          <w:lang w:eastAsia="zh-CN"/>
        </w:rPr>
        <w:t>第三册</w:t>
      </w:r>
    </w:p>
    <w:p w14:paraId="42B82012">
      <w:pPr>
        <w:spacing w:line="240" w:lineRule="atLeast"/>
        <w:ind w:left="1080" w:leftChars="257" w:hanging="540"/>
        <w:jc w:val="center"/>
        <w:rPr>
          <w:rStyle w:val="26"/>
          <w:rFonts w:hint="eastAsia" w:ascii="仿宋" w:hAnsi="仿宋" w:eastAsia="仿宋" w:cs="仿宋"/>
          <w:b/>
          <w:color w:val="auto"/>
          <w:sz w:val="52"/>
          <w:lang w:eastAsia="zh-CN"/>
        </w:rPr>
      </w:pPr>
    </w:p>
    <w:p w14:paraId="53292637">
      <w:pPr>
        <w:pStyle w:val="27"/>
        <w:rPr>
          <w:rStyle w:val="26"/>
          <w:rFonts w:hint="eastAsia" w:ascii="仿宋" w:hAnsi="仿宋" w:eastAsia="仿宋" w:cs="仿宋"/>
          <w:b/>
          <w:color w:val="auto"/>
          <w:sz w:val="52"/>
          <w:lang w:eastAsia="zh-CN"/>
        </w:rPr>
      </w:pPr>
    </w:p>
    <w:p w14:paraId="7E513F83">
      <w:pPr>
        <w:pStyle w:val="27"/>
        <w:rPr>
          <w:rStyle w:val="26"/>
          <w:rFonts w:hint="eastAsia" w:ascii="仿宋" w:hAnsi="仿宋" w:eastAsia="仿宋" w:cs="仿宋"/>
          <w:b/>
          <w:color w:val="auto"/>
          <w:sz w:val="52"/>
          <w:lang w:eastAsia="zh-CN"/>
        </w:rPr>
      </w:pPr>
    </w:p>
    <w:p w14:paraId="5A1F6516">
      <w:pPr>
        <w:pStyle w:val="27"/>
        <w:rPr>
          <w:rStyle w:val="26"/>
          <w:rFonts w:hint="eastAsia" w:ascii="仿宋" w:hAnsi="仿宋" w:eastAsia="仿宋" w:cs="仿宋"/>
          <w:b/>
          <w:color w:val="auto"/>
          <w:sz w:val="52"/>
          <w:lang w:eastAsia="zh-CN"/>
        </w:rPr>
      </w:pPr>
    </w:p>
    <w:p w14:paraId="5CF0D0B6">
      <w:pPr>
        <w:pStyle w:val="27"/>
        <w:rPr>
          <w:rStyle w:val="26"/>
          <w:rFonts w:hint="eastAsia" w:ascii="仿宋" w:hAnsi="仿宋" w:eastAsia="仿宋" w:cs="仿宋"/>
          <w:b/>
          <w:color w:val="auto"/>
          <w:sz w:val="52"/>
          <w:lang w:eastAsia="zh-CN"/>
        </w:rPr>
      </w:pPr>
    </w:p>
    <w:p w14:paraId="2B19A1F0">
      <w:pPr>
        <w:pStyle w:val="27"/>
        <w:rPr>
          <w:rStyle w:val="26"/>
          <w:rFonts w:hint="eastAsia" w:ascii="仿宋" w:hAnsi="仿宋" w:eastAsia="仿宋" w:cs="仿宋"/>
          <w:b/>
          <w:color w:val="auto"/>
          <w:sz w:val="52"/>
          <w:lang w:eastAsia="zh-CN"/>
        </w:rPr>
      </w:pPr>
    </w:p>
    <w:p w14:paraId="29540B6E">
      <w:pPr>
        <w:pStyle w:val="27"/>
        <w:rPr>
          <w:rStyle w:val="26"/>
          <w:rFonts w:hint="eastAsia" w:ascii="仿宋" w:hAnsi="仿宋" w:eastAsia="仿宋" w:cs="仿宋"/>
          <w:b/>
          <w:color w:val="auto"/>
          <w:sz w:val="52"/>
          <w:lang w:eastAsia="zh-CN"/>
        </w:rPr>
      </w:pPr>
    </w:p>
    <w:p w14:paraId="35F825F2">
      <w:pPr>
        <w:rPr>
          <w:rFonts w:hint="eastAsia" w:ascii="仿宋" w:hAnsi="仿宋" w:eastAsia="仿宋" w:cs="仿宋"/>
          <w:color w:val="auto"/>
          <w:sz w:val="44"/>
          <w:szCs w:val="44"/>
          <w:lang w:eastAsia="zh-CN"/>
        </w:rPr>
      </w:pPr>
      <w:bookmarkStart w:id="918" w:name="_Toc3397"/>
      <w:r>
        <w:rPr>
          <w:rFonts w:hint="eastAsia" w:ascii="仿宋" w:hAnsi="仿宋" w:eastAsia="仿宋" w:cs="仿宋"/>
          <w:color w:val="auto"/>
          <w:sz w:val="44"/>
          <w:szCs w:val="44"/>
          <w:lang w:eastAsia="zh-CN"/>
        </w:rPr>
        <w:br w:type="page"/>
      </w:r>
    </w:p>
    <w:p w14:paraId="77DDA851">
      <w:pPr>
        <w:rPr>
          <w:rFonts w:hint="eastAsia" w:ascii="仿宋" w:hAnsi="仿宋" w:eastAsia="仿宋" w:cs="仿宋"/>
          <w:color w:val="auto"/>
          <w:lang w:eastAsia="zh-CN"/>
        </w:rPr>
      </w:pPr>
    </w:p>
    <w:p w14:paraId="0584152D">
      <w:pPr>
        <w:pStyle w:val="3"/>
        <w:tabs>
          <w:tab w:val="left" w:pos="0"/>
        </w:tabs>
        <w:kinsoku/>
        <w:spacing w:before="0" w:after="0" w:line="240" w:lineRule="atLeast"/>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t>第七章  政府采购合同</w:t>
      </w:r>
      <w:bookmarkEnd w:id="918"/>
    </w:p>
    <w:p w14:paraId="3B735CBE">
      <w:pPr>
        <w:spacing w:line="240" w:lineRule="atLeast"/>
        <w:rPr>
          <w:rStyle w:val="26"/>
          <w:rFonts w:hint="eastAsia" w:ascii="仿宋" w:hAnsi="仿宋" w:eastAsia="仿宋" w:cs="仿宋"/>
          <w:b/>
          <w:color w:val="auto"/>
          <w:kern w:val="44"/>
          <w:sz w:val="32"/>
          <w:szCs w:val="20"/>
          <w:lang w:eastAsia="zh-CN"/>
        </w:rPr>
      </w:pPr>
    </w:p>
    <w:p w14:paraId="05C1185C">
      <w:pPr>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合同编号：</w:t>
      </w:r>
    </w:p>
    <w:p w14:paraId="27175DCC">
      <w:pPr>
        <w:spacing w:line="480" w:lineRule="auto"/>
        <w:jc w:val="center"/>
        <w:rPr>
          <w:rStyle w:val="26"/>
          <w:rFonts w:hint="eastAsia" w:ascii="仿宋" w:hAnsi="仿宋" w:eastAsia="仿宋" w:cs="仿宋"/>
          <w:b/>
          <w:color w:val="auto"/>
          <w:sz w:val="28"/>
          <w:szCs w:val="28"/>
          <w:lang w:eastAsia="zh-CN"/>
        </w:rPr>
      </w:pPr>
    </w:p>
    <w:p w14:paraId="20E6EA6D">
      <w:pPr>
        <w:spacing w:line="480" w:lineRule="auto"/>
        <w:jc w:val="center"/>
        <w:rPr>
          <w:rStyle w:val="26"/>
          <w:rFonts w:hint="eastAsia" w:ascii="仿宋" w:hAnsi="仿宋" w:eastAsia="仿宋" w:cs="仿宋"/>
          <w:b/>
          <w:color w:val="auto"/>
          <w:sz w:val="44"/>
          <w:szCs w:val="44"/>
          <w:lang w:eastAsia="zh-CN"/>
        </w:rPr>
      </w:pPr>
    </w:p>
    <w:p w14:paraId="28CEC99D">
      <w:pPr>
        <w:spacing w:line="480" w:lineRule="auto"/>
        <w:jc w:val="center"/>
        <w:rPr>
          <w:rStyle w:val="26"/>
          <w:rFonts w:hint="eastAsia" w:ascii="仿宋" w:hAnsi="仿宋" w:eastAsia="仿宋" w:cs="仿宋"/>
          <w:b/>
          <w:color w:val="auto"/>
          <w:sz w:val="44"/>
          <w:szCs w:val="44"/>
          <w:lang w:eastAsia="zh-CN"/>
        </w:rPr>
      </w:pPr>
      <w:r>
        <w:rPr>
          <w:rStyle w:val="26"/>
          <w:rFonts w:hint="eastAsia" w:ascii="仿宋" w:hAnsi="仿宋" w:eastAsia="仿宋" w:cs="仿宋"/>
          <w:b/>
          <w:color w:val="auto"/>
          <w:sz w:val="44"/>
          <w:szCs w:val="44"/>
          <w:lang w:eastAsia="zh-CN"/>
        </w:rPr>
        <w:t>政府采购合同草案</w:t>
      </w:r>
    </w:p>
    <w:p w14:paraId="6DECEBDC">
      <w:pPr>
        <w:spacing w:line="480" w:lineRule="auto"/>
        <w:jc w:val="center"/>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（参考）</w:t>
      </w:r>
    </w:p>
    <w:p w14:paraId="3613005A">
      <w:pPr>
        <w:pStyle w:val="37"/>
        <w:ind w:firstLine="0"/>
        <w:rPr>
          <w:rStyle w:val="26"/>
          <w:rFonts w:hint="eastAsia" w:ascii="仿宋" w:hAnsi="仿宋" w:eastAsia="仿宋" w:cs="仿宋"/>
          <w:color w:val="auto"/>
          <w:szCs w:val="24"/>
          <w:lang w:eastAsia="zh-CN"/>
        </w:rPr>
      </w:pPr>
    </w:p>
    <w:p w14:paraId="1313EE3B">
      <w:pPr>
        <w:pStyle w:val="37"/>
        <w:ind w:firstLine="0"/>
        <w:rPr>
          <w:rStyle w:val="26"/>
          <w:rFonts w:hint="eastAsia" w:ascii="仿宋" w:hAnsi="仿宋" w:eastAsia="仿宋" w:cs="仿宋"/>
          <w:color w:val="auto"/>
          <w:szCs w:val="24"/>
          <w:lang w:eastAsia="zh-CN"/>
        </w:rPr>
      </w:pPr>
    </w:p>
    <w:p w14:paraId="493B9F89">
      <w:pPr>
        <w:pStyle w:val="37"/>
        <w:ind w:firstLine="0"/>
        <w:rPr>
          <w:rStyle w:val="26"/>
          <w:rFonts w:hint="eastAsia" w:ascii="仿宋" w:hAnsi="仿宋" w:eastAsia="仿宋" w:cs="仿宋"/>
          <w:color w:val="auto"/>
          <w:szCs w:val="24"/>
          <w:lang w:eastAsia="zh-CN"/>
        </w:rPr>
      </w:pPr>
    </w:p>
    <w:p w14:paraId="5CD77F7B">
      <w:pPr>
        <w:pStyle w:val="37"/>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第一部分 合同书</w:t>
      </w:r>
    </w:p>
    <w:p w14:paraId="285010ED">
      <w:pPr>
        <w:pStyle w:val="37"/>
        <w:ind w:firstLine="0"/>
        <w:rPr>
          <w:rStyle w:val="26"/>
          <w:rFonts w:hint="eastAsia" w:ascii="仿宋" w:hAnsi="仿宋" w:eastAsia="仿宋" w:cs="仿宋"/>
          <w:color w:val="auto"/>
          <w:szCs w:val="24"/>
          <w:lang w:eastAsia="zh-CN"/>
        </w:rPr>
      </w:pPr>
    </w:p>
    <w:p w14:paraId="680622A2">
      <w:pPr>
        <w:pStyle w:val="37"/>
        <w:ind w:firstLine="0"/>
        <w:rPr>
          <w:rStyle w:val="26"/>
          <w:rFonts w:hint="eastAsia" w:ascii="仿宋" w:hAnsi="仿宋" w:eastAsia="仿宋" w:cs="仿宋"/>
          <w:color w:val="auto"/>
          <w:szCs w:val="24"/>
          <w:lang w:eastAsia="zh-CN"/>
        </w:rPr>
      </w:pPr>
    </w:p>
    <w:p w14:paraId="3F4DBAAB">
      <w:pPr>
        <w:spacing w:before="120" w:line="240" w:lineRule="atLeast"/>
        <w:rPr>
          <w:rStyle w:val="26"/>
          <w:rFonts w:hint="eastAsia" w:ascii="仿宋" w:hAnsi="仿宋" w:eastAsia="仿宋" w:cs="仿宋"/>
          <w:color w:val="auto"/>
          <w:sz w:val="24"/>
          <w:lang w:eastAsia="zh-CN"/>
        </w:rPr>
      </w:pPr>
    </w:p>
    <w:p w14:paraId="6418247B">
      <w:pPr>
        <w:spacing w:before="120" w:line="240" w:lineRule="atLeast"/>
        <w:ind w:left="960"/>
        <w:rPr>
          <w:rStyle w:val="26"/>
          <w:rFonts w:hint="eastAsia" w:ascii="仿宋" w:hAnsi="仿宋" w:eastAsia="仿宋" w:cs="仿宋"/>
          <w:color w:val="auto"/>
          <w:sz w:val="24"/>
          <w:lang w:eastAsia="zh-CN"/>
        </w:rPr>
      </w:pPr>
    </w:p>
    <w:p w14:paraId="388A4418">
      <w:pPr>
        <w:spacing w:before="120" w:line="240" w:lineRule="atLeast"/>
        <w:ind w:left="960"/>
        <w:rPr>
          <w:rStyle w:val="26"/>
          <w:rFonts w:hint="eastAsia" w:ascii="仿宋" w:hAnsi="仿宋" w:eastAsia="仿宋" w:cs="仿宋"/>
          <w:color w:val="auto"/>
          <w:sz w:val="24"/>
          <w:lang w:eastAsia="zh-CN"/>
        </w:rPr>
      </w:pPr>
    </w:p>
    <w:p w14:paraId="4BCE1535">
      <w:pPr>
        <w:spacing w:before="120" w:line="240" w:lineRule="atLeast"/>
        <w:ind w:left="960"/>
        <w:rPr>
          <w:rStyle w:val="26"/>
          <w:rFonts w:hint="eastAsia" w:ascii="仿宋" w:hAnsi="仿宋" w:eastAsia="仿宋" w:cs="仿宋"/>
          <w:color w:val="auto"/>
          <w:sz w:val="24"/>
          <w:lang w:eastAsia="zh-CN"/>
        </w:rPr>
      </w:pPr>
    </w:p>
    <w:p w14:paraId="7803CCCE">
      <w:pPr>
        <w:spacing w:before="120" w:line="240" w:lineRule="atLeast"/>
        <w:ind w:left="96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项目名称：</w:t>
      </w:r>
    </w:p>
    <w:p w14:paraId="6DAE6B31">
      <w:pPr>
        <w:pStyle w:val="38"/>
        <w:spacing w:before="120" w:line="240" w:lineRule="atLeast"/>
        <w:rPr>
          <w:rStyle w:val="26"/>
          <w:rFonts w:hint="eastAsia" w:ascii="仿宋" w:hAnsi="仿宋" w:eastAsia="仿宋" w:cs="仿宋"/>
          <w:color w:val="auto"/>
          <w:szCs w:val="24"/>
          <w:lang w:eastAsia="zh-CN"/>
        </w:rPr>
      </w:pPr>
    </w:p>
    <w:p w14:paraId="13170F06">
      <w:pPr>
        <w:pStyle w:val="38"/>
        <w:spacing w:before="120" w:line="240" w:lineRule="atLeast"/>
        <w:rPr>
          <w:rStyle w:val="26"/>
          <w:rFonts w:hint="eastAsia" w:ascii="仿宋" w:hAnsi="仿宋" w:eastAsia="仿宋" w:cs="仿宋"/>
          <w:color w:val="auto"/>
          <w:szCs w:val="24"/>
          <w:lang w:eastAsia="zh-CN"/>
        </w:rPr>
      </w:pPr>
    </w:p>
    <w:p w14:paraId="741B6977">
      <w:pPr>
        <w:rPr>
          <w:rStyle w:val="26"/>
          <w:rFonts w:hint="eastAsia" w:ascii="仿宋" w:hAnsi="仿宋" w:eastAsia="仿宋" w:cs="仿宋"/>
          <w:color w:val="auto"/>
          <w:lang w:eastAsia="zh-CN"/>
        </w:rPr>
      </w:pPr>
    </w:p>
    <w:p w14:paraId="3C257BE0">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甲方：</w:t>
      </w:r>
    </w:p>
    <w:p w14:paraId="3BAB8C89">
      <w:pPr>
        <w:spacing w:before="120" w:line="240" w:lineRule="atLeast"/>
        <w:rPr>
          <w:rStyle w:val="26"/>
          <w:rFonts w:hint="eastAsia" w:ascii="仿宋" w:hAnsi="仿宋" w:eastAsia="仿宋" w:cs="仿宋"/>
          <w:color w:val="auto"/>
          <w:sz w:val="24"/>
          <w:lang w:eastAsia="zh-CN"/>
        </w:rPr>
      </w:pPr>
    </w:p>
    <w:p w14:paraId="391D1791">
      <w:pPr>
        <w:spacing w:before="120" w:line="240" w:lineRule="atLeast"/>
        <w:ind w:left="96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乙方：</w:t>
      </w:r>
    </w:p>
    <w:p w14:paraId="37C7D28C">
      <w:pPr>
        <w:spacing w:before="120" w:line="240" w:lineRule="atLeast"/>
        <w:rPr>
          <w:rStyle w:val="26"/>
          <w:rFonts w:hint="eastAsia" w:ascii="仿宋" w:hAnsi="仿宋" w:eastAsia="仿宋" w:cs="仿宋"/>
          <w:color w:val="auto"/>
          <w:sz w:val="24"/>
          <w:lang w:eastAsia="zh-CN"/>
        </w:rPr>
      </w:pPr>
    </w:p>
    <w:p w14:paraId="6D43D7F0">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签订地：</w:t>
      </w:r>
    </w:p>
    <w:p w14:paraId="29F0CD19">
      <w:pPr>
        <w:spacing w:before="120" w:line="240" w:lineRule="atLeast"/>
        <w:rPr>
          <w:rStyle w:val="26"/>
          <w:rFonts w:hint="eastAsia" w:ascii="仿宋" w:hAnsi="仿宋" w:eastAsia="仿宋" w:cs="仿宋"/>
          <w:color w:val="auto"/>
          <w:sz w:val="24"/>
          <w:lang w:eastAsia="zh-CN"/>
        </w:rPr>
      </w:pPr>
    </w:p>
    <w:p w14:paraId="20DC0748">
      <w:pPr>
        <w:spacing w:before="120" w:line="240" w:lineRule="atLeast"/>
        <w:ind w:firstLine="960" w:firstLineChars="4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签订日期：年月日</w:t>
      </w:r>
    </w:p>
    <w:p w14:paraId="522926AC">
      <w:pPr>
        <w:spacing w:line="600" w:lineRule="exact"/>
        <w:ind w:firstLine="640"/>
        <w:jc w:val="center"/>
        <w:rPr>
          <w:rStyle w:val="26"/>
          <w:rFonts w:hint="eastAsia" w:ascii="仿宋" w:hAnsi="仿宋" w:eastAsia="仿宋" w:cs="仿宋"/>
          <w:color w:val="auto"/>
          <w:sz w:val="24"/>
          <w:lang w:eastAsia="zh-CN"/>
        </w:rPr>
        <w:sectPr>
          <w:headerReference r:id="rId17" w:type="default"/>
          <w:footerReference r:id="rId18" w:type="default"/>
          <w:pgSz w:w="11907" w:h="16840"/>
          <w:pgMar w:top="1247" w:right="1814" w:bottom="1247" w:left="1814" w:header="851" w:footer="850" w:gutter="0"/>
          <w:cols w:space="0" w:num="1"/>
          <w:docGrid w:linePitch="462" w:charSpace="0"/>
        </w:sectPr>
      </w:pPr>
    </w:p>
    <w:p w14:paraId="23576386">
      <w:pPr>
        <w:spacing w:line="560" w:lineRule="exact"/>
        <w:ind w:firstLine="480" w:firstLineChars="200"/>
        <w:jc w:val="center"/>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年月日</w:t>
      </w:r>
      <w:r>
        <w:rPr>
          <w:rStyle w:val="26"/>
          <w:rFonts w:hint="eastAsia" w:ascii="仿宋" w:hAnsi="仿宋" w:eastAsia="仿宋" w:cs="仿宋"/>
          <w:color w:val="auto"/>
          <w:sz w:val="24"/>
          <w:lang w:eastAsia="zh-CN"/>
        </w:rPr>
        <w:t>，</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eastAsia="zh-CN"/>
        </w:rPr>
        <w:t>以</w:t>
      </w:r>
      <w:r>
        <w:rPr>
          <w:rStyle w:val="26"/>
          <w:rFonts w:hint="eastAsia" w:ascii="仿宋" w:hAnsi="仿宋" w:eastAsia="仿宋" w:cs="仿宋"/>
          <w:color w:val="auto"/>
          <w:sz w:val="24"/>
          <w:u w:val="single" w:color="000000"/>
          <w:lang w:eastAsia="zh-CN"/>
        </w:rPr>
        <w:t xml:space="preserve">   （政府采购方式）  </w:t>
      </w:r>
      <w:r>
        <w:rPr>
          <w:rStyle w:val="26"/>
          <w:rFonts w:hint="eastAsia" w:ascii="仿宋" w:hAnsi="仿宋" w:eastAsia="仿宋" w:cs="仿宋"/>
          <w:color w:val="auto"/>
          <w:sz w:val="24"/>
          <w:lang w:eastAsia="zh-CN"/>
        </w:rPr>
        <w:t>对</w:t>
      </w:r>
      <w:r>
        <w:rPr>
          <w:rStyle w:val="26"/>
          <w:rFonts w:hint="eastAsia" w:ascii="仿宋" w:hAnsi="仿宋" w:eastAsia="仿宋" w:cs="仿宋"/>
          <w:color w:val="auto"/>
          <w:sz w:val="24"/>
          <w:u w:val="single" w:color="000000"/>
          <w:lang w:eastAsia="zh-CN"/>
        </w:rPr>
        <w:t xml:space="preserve">   （同前页项目名称）   </w:t>
      </w:r>
      <w:r>
        <w:rPr>
          <w:rStyle w:val="26"/>
          <w:rFonts w:hint="eastAsia" w:ascii="仿宋" w:hAnsi="仿宋" w:eastAsia="仿宋" w:cs="仿宋"/>
          <w:color w:val="auto"/>
          <w:sz w:val="24"/>
          <w:lang w:eastAsia="zh-CN"/>
        </w:rPr>
        <w:t>项目进行了采购。经</w:t>
      </w:r>
      <w:r>
        <w:rPr>
          <w:rStyle w:val="26"/>
          <w:rFonts w:hint="eastAsia" w:ascii="仿宋" w:hAnsi="仿宋" w:eastAsia="仿宋" w:cs="仿宋"/>
          <w:color w:val="auto"/>
          <w:sz w:val="24"/>
          <w:u w:val="single" w:color="000000"/>
          <w:lang w:eastAsia="zh-CN"/>
        </w:rPr>
        <w:t xml:space="preserve">   （相关评定主体名称）   </w:t>
      </w:r>
      <w:r>
        <w:rPr>
          <w:rStyle w:val="26"/>
          <w:rFonts w:hint="eastAsia" w:ascii="仿宋" w:hAnsi="仿宋" w:eastAsia="仿宋" w:cs="仿宋"/>
          <w:color w:val="auto"/>
          <w:sz w:val="24"/>
          <w:lang w:eastAsia="zh-CN"/>
        </w:rPr>
        <w:t>评定，</w:t>
      </w:r>
      <w:r>
        <w:rPr>
          <w:rStyle w:val="26"/>
          <w:rFonts w:hint="eastAsia" w:ascii="仿宋" w:hAnsi="仿宋" w:eastAsia="仿宋" w:cs="仿宋"/>
          <w:color w:val="auto"/>
          <w:sz w:val="24"/>
          <w:u w:val="single" w:color="000000"/>
          <w:lang w:eastAsia="zh-CN"/>
        </w:rPr>
        <w:t xml:space="preserve">   （中标供应商名称）</w:t>
      </w:r>
      <w:r>
        <w:rPr>
          <w:rStyle w:val="26"/>
          <w:rFonts w:hint="eastAsia" w:ascii="仿宋" w:hAnsi="仿宋" w:eastAsia="仿宋" w:cs="仿宋"/>
          <w:color w:val="auto"/>
          <w:sz w:val="24"/>
          <w:lang w:eastAsia="zh-CN"/>
        </w:rPr>
        <w:t>为该项目中标供应商。现于中标通知书发出之日起三十日内，按照采购文件确定的事项签订本合同。</w:t>
      </w:r>
    </w:p>
    <w:p w14:paraId="21E6295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根据《中华人民共和国合同法》、《中华人民共和国政府采购法》等相关法律法规之规定，按照平等、自愿、公平和诚实信用的原则，经</w:t>
      </w:r>
      <w:r>
        <w:rPr>
          <w:rStyle w:val="26"/>
          <w:rFonts w:hint="eastAsia" w:ascii="仿宋" w:hAnsi="仿宋" w:eastAsia="仿宋" w:cs="仿宋"/>
          <w:color w:val="auto"/>
          <w:sz w:val="24"/>
          <w:u w:val="single" w:color="000000"/>
          <w:lang w:eastAsia="zh-CN"/>
        </w:rPr>
        <w:t xml:space="preserve">   （采购人名称）   </w:t>
      </w:r>
      <w:r>
        <w:rPr>
          <w:rStyle w:val="26"/>
          <w:rFonts w:hint="eastAsia" w:ascii="仿宋" w:hAnsi="仿宋" w:eastAsia="仿宋" w:cs="仿宋"/>
          <w:color w:val="auto"/>
          <w:sz w:val="24"/>
          <w:lang w:val="zh-CN" w:eastAsia="zh-CN"/>
        </w:rPr>
        <w:t>(以下简称：甲方)和</w:t>
      </w:r>
      <w:r>
        <w:rPr>
          <w:rStyle w:val="26"/>
          <w:rFonts w:hint="eastAsia" w:ascii="仿宋" w:hAnsi="仿宋" w:eastAsia="仿宋" w:cs="仿宋"/>
          <w:color w:val="auto"/>
          <w:sz w:val="24"/>
          <w:u w:val="single" w:color="000000"/>
          <w:lang w:eastAsia="zh-CN"/>
        </w:rPr>
        <w:t xml:space="preserve">   （中标供应商名称）   </w:t>
      </w:r>
      <w:r>
        <w:rPr>
          <w:rStyle w:val="26"/>
          <w:rFonts w:hint="eastAsia" w:ascii="仿宋" w:hAnsi="仿宋" w:eastAsia="仿宋" w:cs="仿宋"/>
          <w:color w:val="auto"/>
          <w:sz w:val="24"/>
          <w:lang w:val="zh-CN" w:eastAsia="zh-CN"/>
        </w:rPr>
        <w:t>(以下简称：乙方)协商一致，约定以下合同</w:t>
      </w:r>
      <w:r>
        <w:rPr>
          <w:rStyle w:val="26"/>
          <w:rFonts w:hint="eastAsia" w:ascii="仿宋" w:hAnsi="仿宋" w:eastAsia="仿宋" w:cs="仿宋"/>
          <w:color w:val="auto"/>
          <w:sz w:val="24"/>
          <w:lang w:eastAsia="zh-CN"/>
        </w:rPr>
        <w:t>条款，以兹共同遵守、全面履行。</w:t>
      </w:r>
    </w:p>
    <w:p w14:paraId="44E49C26">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1.1 合同组成部分</w:t>
      </w:r>
    </w:p>
    <w:p w14:paraId="4EEB1D1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45592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1.1.1 本合同及其补充合同、变更协议；</w:t>
      </w:r>
    </w:p>
    <w:p w14:paraId="057A5C6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1.1.2 中标通知书；</w:t>
      </w:r>
    </w:p>
    <w:p w14:paraId="067A3C7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1.1.3 投标文件（含澄清或者说明文件）；</w:t>
      </w:r>
    </w:p>
    <w:p w14:paraId="15F75C4B">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1.1.4 招标文件（含澄清或者修改文件）；</w:t>
      </w:r>
    </w:p>
    <w:p w14:paraId="1F3096C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1.1.5 其他相关采购文件。</w:t>
      </w:r>
    </w:p>
    <w:p w14:paraId="0A0273D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1.2 货物</w:t>
      </w:r>
    </w:p>
    <w:p w14:paraId="45B835CC">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1.2.1 货物称：；</w:t>
      </w:r>
    </w:p>
    <w:p w14:paraId="5D2024A7">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1.2.2 货物量：；</w:t>
      </w:r>
    </w:p>
    <w:p w14:paraId="19A8A69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1.2.3 货物量：</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22CADBD2">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1.3 价款</w:t>
      </w:r>
    </w:p>
    <w:p w14:paraId="6815466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本合同总价为：￥元（大写：元人民币）。</w:t>
      </w:r>
    </w:p>
    <w:p w14:paraId="3C34FD55">
      <w:pPr>
        <w:spacing w:line="560" w:lineRule="exact"/>
        <w:ind w:firstLine="480" w:firstLineChars="200"/>
        <w:rPr>
          <w:rStyle w:val="26"/>
          <w:rFonts w:hint="eastAsia" w:ascii="仿宋" w:hAnsi="仿宋" w:eastAsia="仿宋" w:cs="仿宋"/>
          <w:color w:val="auto"/>
          <w:sz w:val="24"/>
          <w:u w:val="single"/>
        </w:rPr>
      </w:pPr>
      <w:r>
        <w:rPr>
          <w:rStyle w:val="26"/>
          <w:rFonts w:hint="eastAsia" w:ascii="仿宋" w:hAnsi="仿宋" w:eastAsia="仿宋" w:cs="仿宋"/>
          <w:color w:val="auto"/>
          <w:sz w:val="24"/>
        </w:rPr>
        <w:t>分项价格：</w:t>
      </w:r>
    </w:p>
    <w:tbl>
      <w:tblPr>
        <w:tblStyle w:val="23"/>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37FB7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E9C80BC">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118D1963">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4DF8ED2A">
            <w:pPr>
              <w:pStyle w:val="39"/>
              <w:spacing w:line="560" w:lineRule="exact"/>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分项价格</w:t>
            </w:r>
          </w:p>
        </w:tc>
      </w:tr>
      <w:tr w14:paraId="617E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E77CB7">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D26F622">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BA44026">
            <w:pPr>
              <w:pStyle w:val="39"/>
              <w:spacing w:line="560" w:lineRule="exact"/>
              <w:ind w:firstLine="200"/>
              <w:jc w:val="center"/>
              <w:rPr>
                <w:rStyle w:val="26"/>
                <w:rFonts w:hint="eastAsia" w:ascii="仿宋" w:hAnsi="仿宋" w:eastAsia="仿宋" w:cs="仿宋"/>
                <w:color w:val="auto"/>
                <w:kern w:val="2"/>
                <w:sz w:val="24"/>
                <w:szCs w:val="24"/>
              </w:rPr>
            </w:pPr>
          </w:p>
        </w:tc>
      </w:tr>
      <w:tr w14:paraId="534C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207EFC">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4096C9B">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4991270">
            <w:pPr>
              <w:pStyle w:val="39"/>
              <w:spacing w:line="560" w:lineRule="exact"/>
              <w:ind w:firstLine="200"/>
              <w:jc w:val="center"/>
              <w:rPr>
                <w:rStyle w:val="26"/>
                <w:rFonts w:hint="eastAsia" w:ascii="仿宋" w:hAnsi="仿宋" w:eastAsia="仿宋" w:cs="仿宋"/>
                <w:color w:val="auto"/>
                <w:kern w:val="2"/>
                <w:sz w:val="24"/>
                <w:szCs w:val="24"/>
              </w:rPr>
            </w:pPr>
          </w:p>
        </w:tc>
      </w:tr>
      <w:tr w14:paraId="79D6F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3A97B42">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69CC924">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48A395C">
            <w:pPr>
              <w:pStyle w:val="39"/>
              <w:spacing w:line="560" w:lineRule="exact"/>
              <w:ind w:firstLine="200"/>
              <w:jc w:val="center"/>
              <w:rPr>
                <w:rStyle w:val="26"/>
                <w:rFonts w:hint="eastAsia" w:ascii="仿宋" w:hAnsi="仿宋" w:eastAsia="仿宋" w:cs="仿宋"/>
                <w:color w:val="auto"/>
                <w:kern w:val="2"/>
                <w:sz w:val="24"/>
                <w:szCs w:val="24"/>
              </w:rPr>
            </w:pPr>
          </w:p>
        </w:tc>
      </w:tr>
      <w:tr w14:paraId="3BC0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DAA218">
            <w:pPr>
              <w:pStyle w:val="39"/>
              <w:spacing w:line="560" w:lineRule="exact"/>
              <w:ind w:firstLine="200"/>
              <w:jc w:val="center"/>
              <w:rPr>
                <w:rStyle w:val="26"/>
                <w:rFonts w:hint="eastAsia" w:ascii="仿宋" w:hAnsi="仿宋" w:eastAsia="仿宋" w:cs="仿宋"/>
                <w:color w:val="auto"/>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1C625B0">
            <w:pPr>
              <w:pStyle w:val="39"/>
              <w:spacing w:line="560" w:lineRule="exact"/>
              <w:ind w:firstLine="200"/>
              <w:jc w:val="center"/>
              <w:rPr>
                <w:rStyle w:val="26"/>
                <w:rFonts w:hint="eastAsia" w:ascii="仿宋" w:hAnsi="仿宋" w:eastAsia="仿宋" w:cs="仿宋"/>
                <w:color w:val="auto"/>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2B68AC73">
            <w:pPr>
              <w:pStyle w:val="39"/>
              <w:spacing w:line="560" w:lineRule="exact"/>
              <w:ind w:firstLine="200"/>
              <w:jc w:val="center"/>
              <w:rPr>
                <w:rStyle w:val="26"/>
                <w:rFonts w:hint="eastAsia" w:ascii="仿宋" w:hAnsi="仿宋" w:eastAsia="仿宋" w:cs="仿宋"/>
                <w:color w:val="auto"/>
                <w:kern w:val="2"/>
                <w:sz w:val="24"/>
                <w:szCs w:val="24"/>
              </w:rPr>
            </w:pPr>
          </w:p>
        </w:tc>
      </w:tr>
      <w:tr w14:paraId="6730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64EC9452">
            <w:pPr>
              <w:pStyle w:val="39"/>
              <w:spacing w:line="560" w:lineRule="exact"/>
              <w:ind w:firstLine="200"/>
              <w:jc w:val="center"/>
              <w:rPr>
                <w:rStyle w:val="26"/>
                <w:rFonts w:hint="eastAsia" w:ascii="仿宋" w:hAnsi="仿宋" w:eastAsia="仿宋" w:cs="仿宋"/>
                <w:color w:val="auto"/>
                <w:kern w:val="2"/>
                <w:sz w:val="24"/>
                <w:szCs w:val="24"/>
              </w:rPr>
            </w:pPr>
            <w:r>
              <w:rPr>
                <w:rStyle w:val="26"/>
                <w:rFonts w:hint="eastAsia" w:ascii="仿宋" w:hAnsi="仿宋" w:eastAsia="仿宋" w:cs="仿宋"/>
                <w:color w:val="auto"/>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4A965B82">
            <w:pPr>
              <w:pStyle w:val="39"/>
              <w:spacing w:line="560" w:lineRule="exact"/>
              <w:ind w:firstLine="200"/>
              <w:jc w:val="center"/>
              <w:rPr>
                <w:rStyle w:val="26"/>
                <w:rFonts w:hint="eastAsia" w:ascii="仿宋" w:hAnsi="仿宋" w:eastAsia="仿宋" w:cs="仿宋"/>
                <w:color w:val="auto"/>
                <w:kern w:val="2"/>
                <w:sz w:val="24"/>
                <w:szCs w:val="24"/>
              </w:rPr>
            </w:pPr>
          </w:p>
        </w:tc>
      </w:tr>
    </w:tbl>
    <w:p w14:paraId="36C230DE">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1.4 付款方式和发票开具方式</w:t>
      </w:r>
    </w:p>
    <w:p w14:paraId="5011C9C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1.4.1 付款方式：；</w:t>
      </w:r>
    </w:p>
    <w:p w14:paraId="4C3B72E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1.4.2 发票开具方式：。</w:t>
      </w:r>
    </w:p>
    <w:p w14:paraId="393D720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1.5 货物交付期限、地点和方式</w:t>
      </w:r>
    </w:p>
    <w:p w14:paraId="6D7CCBD0">
      <w:pPr>
        <w:spacing w:line="560" w:lineRule="exact"/>
        <w:ind w:firstLine="480" w:firstLineChars="200"/>
        <w:rPr>
          <w:rStyle w:val="26"/>
          <w:rFonts w:hint="eastAsia" w:ascii="仿宋" w:hAnsi="仿宋" w:eastAsia="仿宋" w:cs="仿宋"/>
          <w:color w:val="auto"/>
          <w:sz w:val="24"/>
          <w:u w:val="single"/>
          <w:lang w:eastAsia="zh-CN"/>
        </w:rPr>
      </w:pPr>
      <w:r>
        <w:rPr>
          <w:rStyle w:val="26"/>
          <w:rFonts w:hint="eastAsia" w:ascii="仿宋" w:hAnsi="仿宋" w:eastAsia="仿宋" w:cs="仿宋"/>
          <w:color w:val="auto"/>
          <w:sz w:val="24"/>
          <w:lang w:eastAsia="zh-CN"/>
        </w:rPr>
        <w:t>1.5.1 交付限：；</w:t>
      </w:r>
    </w:p>
    <w:p w14:paraId="691F0B7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1.5.2 交付点：；</w:t>
      </w:r>
    </w:p>
    <w:p w14:paraId="5BD9E44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1.5.3 交付式：</w:t>
      </w:r>
      <w:r>
        <w:rPr>
          <w:rStyle w:val="26"/>
          <w:rFonts w:hint="eastAsia" w:ascii="仿宋" w:hAnsi="仿宋" w:eastAsia="仿宋" w:cs="仿宋"/>
          <w:color w:val="auto"/>
          <w:sz w:val="24"/>
          <w:u w:val="single"/>
          <w:lang w:eastAsia="zh-CN"/>
        </w:rPr>
        <w:t xml:space="preserve">              </w:t>
      </w:r>
      <w:r>
        <w:rPr>
          <w:rStyle w:val="26"/>
          <w:rFonts w:hint="eastAsia" w:ascii="仿宋" w:hAnsi="仿宋" w:eastAsia="仿宋" w:cs="仿宋"/>
          <w:color w:val="auto"/>
          <w:sz w:val="24"/>
          <w:u w:val="single" w:color="000000"/>
          <w:lang w:eastAsia="zh-CN"/>
        </w:rPr>
        <w:t xml:space="preserve">                           </w:t>
      </w:r>
      <w:r>
        <w:rPr>
          <w:rStyle w:val="26"/>
          <w:rFonts w:hint="eastAsia" w:ascii="仿宋" w:hAnsi="仿宋" w:eastAsia="仿宋" w:cs="仿宋"/>
          <w:color w:val="auto"/>
          <w:sz w:val="24"/>
          <w:lang w:eastAsia="zh-CN"/>
        </w:rPr>
        <w:t>。</w:t>
      </w:r>
    </w:p>
    <w:p w14:paraId="11BDBE0D">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1.6 违约责任</w:t>
      </w:r>
    </w:p>
    <w:p w14:paraId="6A32820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4732A73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1347196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41246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3E25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14C82D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1.6.6 如果出现政府采购监督管理部门在处理投诉事项期间，书面通知甲方暂停采购活动的情形，或者询问或质疑事项可能影响中标结果的，导致甲方中止履行合同的情形，均不视为甲方违约。</w:t>
      </w:r>
    </w:p>
    <w:p w14:paraId="1C491E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1.7 合同争议的解决</w:t>
      </w:r>
    </w:p>
    <w:p w14:paraId="250BEF7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本合同履行过程中发生的任何争议，双方当事人均可通过和解或者调解解决；不愿和解、调解或者和解、调解不成的，可以选择下列第种方式解决：</w:t>
      </w:r>
    </w:p>
    <w:p w14:paraId="06EEDA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1.7.1 将争议提交仲裁委员会依申请仲裁时其现行有效的仲裁规则裁决；</w:t>
      </w:r>
    </w:p>
    <w:p w14:paraId="3954E78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1.7.2 向</w:t>
      </w:r>
      <w:r>
        <w:rPr>
          <w:rStyle w:val="26"/>
          <w:rFonts w:hint="eastAsia" w:ascii="仿宋" w:hAnsi="仿宋" w:eastAsia="仿宋" w:cs="仿宋"/>
          <w:color w:val="auto"/>
          <w:sz w:val="24"/>
          <w:u w:val="single" w:color="000000"/>
          <w:lang w:eastAsia="zh-CN"/>
        </w:rPr>
        <w:t xml:space="preserve">   （被告住所地、合同履行地、合同签订地、原告住所地、标的物所在地等与争议有实际联系的地点中选出的人民法院名称）    </w:t>
      </w:r>
      <w:r>
        <w:rPr>
          <w:rStyle w:val="26"/>
          <w:rFonts w:hint="eastAsia" w:ascii="仿宋" w:hAnsi="仿宋" w:eastAsia="仿宋" w:cs="仿宋"/>
          <w:color w:val="auto"/>
          <w:sz w:val="24"/>
          <w:lang w:eastAsia="zh-CN"/>
        </w:rPr>
        <w:t>人民法院起诉。</w:t>
      </w:r>
    </w:p>
    <w:p w14:paraId="2C927CE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1.8 合同生效</w:t>
      </w:r>
    </w:p>
    <w:p w14:paraId="289DD79B">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本合同自双方当事人盖章或者签字时生效。</w:t>
      </w:r>
    </w:p>
    <w:p w14:paraId="7524C236">
      <w:pPr>
        <w:spacing w:line="560" w:lineRule="exact"/>
        <w:rPr>
          <w:rStyle w:val="26"/>
          <w:rFonts w:hint="eastAsia" w:ascii="仿宋" w:hAnsi="仿宋" w:eastAsia="仿宋" w:cs="仿宋"/>
          <w:color w:val="auto"/>
          <w:sz w:val="24"/>
          <w:lang w:val="zh-CN" w:eastAsia="zh-CN"/>
        </w:rPr>
      </w:pPr>
    </w:p>
    <w:p w14:paraId="437DF29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b/>
          <w:color w:val="auto"/>
          <w:sz w:val="24"/>
          <w:lang w:val="zh-CN" w:eastAsia="zh-CN"/>
        </w:rPr>
        <w:t>甲方</w:t>
      </w:r>
      <w:r>
        <w:rPr>
          <w:rStyle w:val="26"/>
          <w:rFonts w:hint="eastAsia" w:ascii="仿宋" w:hAnsi="仿宋" w:eastAsia="仿宋" w:cs="仿宋"/>
          <w:color w:val="auto"/>
          <w:sz w:val="24"/>
          <w:lang w:val="zh-CN" w:eastAsia="zh-CN"/>
        </w:rPr>
        <w:t xml:space="preserve">：                             </w:t>
      </w:r>
      <w:r>
        <w:rPr>
          <w:rStyle w:val="26"/>
          <w:rFonts w:hint="eastAsia" w:ascii="仿宋" w:hAnsi="仿宋" w:eastAsia="仿宋" w:cs="仿宋"/>
          <w:b/>
          <w:color w:val="auto"/>
          <w:sz w:val="24"/>
          <w:lang w:val="zh-CN" w:eastAsia="zh-CN"/>
        </w:rPr>
        <w:t xml:space="preserve">      乙方</w:t>
      </w:r>
      <w:r>
        <w:rPr>
          <w:rStyle w:val="26"/>
          <w:rFonts w:hint="eastAsia" w:ascii="仿宋" w:hAnsi="仿宋" w:eastAsia="仿宋" w:cs="仿宋"/>
          <w:color w:val="auto"/>
          <w:sz w:val="24"/>
          <w:lang w:val="zh-CN" w:eastAsia="zh-CN"/>
        </w:rPr>
        <w:t>：</w:t>
      </w:r>
    </w:p>
    <w:p w14:paraId="142D086E">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统一社会信用代码：                  统一社会信用代码或身份证号码：</w:t>
      </w:r>
    </w:p>
    <w:p w14:paraId="3F9EDDC6">
      <w:pPr>
        <w:spacing w:line="560" w:lineRule="exact"/>
        <w:rPr>
          <w:rStyle w:val="26"/>
          <w:rFonts w:hint="eastAsia" w:ascii="仿宋" w:hAnsi="仿宋" w:eastAsia="仿宋" w:cs="仿宋"/>
          <w:color w:val="auto"/>
          <w:sz w:val="24"/>
          <w:lang w:val="zh-CN" w:eastAsia="zh-CN"/>
        </w:rPr>
      </w:pPr>
    </w:p>
    <w:p w14:paraId="15E60BC6">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住所：                                   住所：</w:t>
      </w:r>
    </w:p>
    <w:p w14:paraId="6D1D89CA">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法定代表人或                             法定代表人</w:t>
      </w:r>
    </w:p>
    <w:p w14:paraId="772B87B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授权代表（签字）：                        或授权代表（签字）: </w:t>
      </w:r>
    </w:p>
    <w:p w14:paraId="0BF1D48B">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联系人：                                 联系人：</w:t>
      </w:r>
    </w:p>
    <w:p w14:paraId="2DB637D0">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约定送达地址：                           约定送达地址：</w:t>
      </w:r>
    </w:p>
    <w:p w14:paraId="17EB4559">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邮政编码：                               邮政编码：</w:t>
      </w:r>
    </w:p>
    <w:p w14:paraId="0A7EF14D">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 xml:space="preserve">电话:                                    电话: </w:t>
      </w:r>
    </w:p>
    <w:p w14:paraId="6D129065">
      <w:pPr>
        <w:spacing w:line="560" w:lineRule="exact"/>
        <w:rPr>
          <w:rStyle w:val="26"/>
          <w:rFonts w:hint="eastAsia" w:ascii="仿宋" w:hAnsi="仿宋" w:eastAsia="仿宋" w:cs="仿宋"/>
          <w:color w:val="auto"/>
          <w:sz w:val="24"/>
          <w:lang w:val="zh-CN" w:eastAsia="zh-CN"/>
        </w:rPr>
      </w:pPr>
      <w:r>
        <w:rPr>
          <w:rStyle w:val="26"/>
          <w:rFonts w:hint="eastAsia" w:ascii="仿宋" w:hAnsi="仿宋" w:eastAsia="仿宋" w:cs="仿宋"/>
          <w:color w:val="auto"/>
          <w:sz w:val="24"/>
          <w:lang w:val="zh-CN" w:eastAsia="zh-CN"/>
        </w:rPr>
        <w:t>传真:                                    传真:</w:t>
      </w:r>
    </w:p>
    <w:p w14:paraId="34F5A230">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val="zh-CN" w:eastAsia="zh-CN"/>
        </w:rPr>
        <w:t>电子邮箱：                               电子邮箱：</w:t>
      </w:r>
    </w:p>
    <w:p w14:paraId="481DC74A">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开户银行：                               开户银行： </w:t>
      </w:r>
    </w:p>
    <w:p w14:paraId="5BD99096">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 xml:space="preserve">开户名称：                               开户名称： </w:t>
      </w:r>
    </w:p>
    <w:p w14:paraId="70574928">
      <w:pPr>
        <w:spacing w:line="560" w:lineRule="exact"/>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开户账号：                               开户账号：</w:t>
      </w:r>
    </w:p>
    <w:p w14:paraId="124A256D">
      <w:pPr>
        <w:spacing w:line="560" w:lineRule="exact"/>
        <w:rPr>
          <w:rStyle w:val="26"/>
          <w:rFonts w:hint="eastAsia" w:ascii="仿宋" w:hAnsi="仿宋" w:eastAsia="仿宋" w:cs="仿宋"/>
          <w:b/>
          <w:color w:val="auto"/>
          <w:lang w:eastAsia="zh-CN"/>
        </w:rPr>
      </w:pPr>
    </w:p>
    <w:p w14:paraId="78CFCB1C">
      <w:pPr>
        <w:spacing w:line="560" w:lineRule="exact"/>
        <w:rPr>
          <w:rStyle w:val="26"/>
          <w:rFonts w:hint="eastAsia" w:ascii="仿宋" w:hAnsi="仿宋" w:eastAsia="仿宋" w:cs="仿宋"/>
          <w:b/>
          <w:color w:val="auto"/>
          <w:lang w:eastAsia="zh-CN"/>
        </w:rPr>
      </w:pPr>
    </w:p>
    <w:p w14:paraId="236B14C9">
      <w:pPr>
        <w:spacing w:line="560" w:lineRule="exact"/>
        <w:rPr>
          <w:rStyle w:val="26"/>
          <w:rFonts w:hint="eastAsia" w:ascii="仿宋" w:hAnsi="仿宋" w:eastAsia="仿宋" w:cs="仿宋"/>
          <w:b/>
          <w:color w:val="auto"/>
          <w:sz w:val="24"/>
          <w:lang w:eastAsia="zh-CN"/>
        </w:rPr>
      </w:pPr>
    </w:p>
    <w:p w14:paraId="5B5E3492">
      <w:pPr>
        <w:pStyle w:val="37"/>
        <w:spacing w:line="560" w:lineRule="exact"/>
        <w:ind w:firstLine="20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第二部分 合同一般条款</w:t>
      </w:r>
    </w:p>
    <w:p w14:paraId="469D6BF2">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 定义</w:t>
      </w:r>
    </w:p>
    <w:p w14:paraId="146F75C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本合同中的下列词语应按以下内容进行解释：</w:t>
      </w:r>
    </w:p>
    <w:p w14:paraId="6DEE644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 “合同”系指采购人和中标供应商签订的载明双方当事人所达成的协议，并包括所有的附件、附录和构成合同的其他文件。</w:t>
      </w:r>
    </w:p>
    <w:p w14:paraId="2B8EF70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2.1.2 “合同价”系指根据合同约定，中标供应商在完全履行合同义务后，采购人应支付给中标供应商的价格。</w:t>
      </w:r>
    </w:p>
    <w:p w14:paraId="07F615D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 “货物”系指中标供应商根据合同约定应向采购人交付的一切各种形态和种类的物品，包括原材料、燃料、设备、机械、仪表、备件、计算机软件、产品等，并包括工具、手册等其他相关资料。</w:t>
      </w:r>
    </w:p>
    <w:p w14:paraId="4C686A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2.1.4 “甲方”系指与中标供应商签署合同的采购人；采购人委托采购代理机构代表其与乙方签订合同的，采购人的授权委托书作为合同附件。</w:t>
      </w:r>
    </w:p>
    <w:p w14:paraId="64DDF245">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A0C6E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 “现场”系指合同约定货物将要运至或者安装的地点。</w:t>
      </w:r>
    </w:p>
    <w:p w14:paraId="0264294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 技术规范</w:t>
      </w:r>
    </w:p>
    <w:p w14:paraId="1465889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22395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2.3 知识产权</w:t>
      </w:r>
    </w:p>
    <w:p w14:paraId="69DECE6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22A5D3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2.3.2具有知识产权的计算机软件等货物的知识产权归属，详见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06520E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2.4 包装和装运</w:t>
      </w:r>
    </w:p>
    <w:p w14:paraId="3750E99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2.4.1除</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E043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2.4.2 装运货物的要求和通知，详见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ACD08E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2.5 履约检查和问题反馈</w:t>
      </w:r>
    </w:p>
    <w:p w14:paraId="48E56F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2FD16A8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2.5.2 合同履行期间，甲方有权将履行过程中出现的问题反馈给乙方，双方当事人应以书面形式约定需要完善和改进的内容。</w:t>
      </w:r>
    </w:p>
    <w:p w14:paraId="0B8447E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2.6 结算方式和付款条件</w:t>
      </w:r>
    </w:p>
    <w:p w14:paraId="3E9C2F09">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5E7D805">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2.7 技术资料和保密义务</w:t>
      </w:r>
    </w:p>
    <w:p w14:paraId="1BEC5E5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2.7.1 乙方有权依据合同约定和项目需要，向甲方了解有关情况，调阅有关资料等，甲方应予积极配合；</w:t>
      </w:r>
    </w:p>
    <w:p w14:paraId="10C365B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2.7.2 乙方有义务妥善保管和保护由甲方提供的前款信息和资料等；</w:t>
      </w:r>
    </w:p>
    <w:p w14:paraId="216557F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338F7B">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2.8 质量保证</w:t>
      </w:r>
    </w:p>
    <w:p w14:paraId="5FD56E80">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2.8.1 乙方应建立和完善履行合同的内部质量保证体系，并提供相关内部规章制度给甲方，以便甲方进行监督检查；</w:t>
      </w:r>
    </w:p>
    <w:p w14:paraId="7663577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2.8.2 乙方应保证履行合同的人员数量和素质、软件和硬件设备的配置、场地、环境和设施等满足全面履行合同的要求，并应接受甲方的监督检查。</w:t>
      </w:r>
    </w:p>
    <w:p w14:paraId="7A1CC11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2.9 货物的风险负担</w:t>
      </w:r>
    </w:p>
    <w:p w14:paraId="6FD69B93">
      <w:pPr>
        <w:spacing w:line="560" w:lineRule="exact"/>
        <w:ind w:firstLine="480" w:firstLineChars="200"/>
        <w:rPr>
          <w:rStyle w:val="26"/>
          <w:rFonts w:hint="eastAsia" w:ascii="仿宋" w:hAnsi="仿宋" w:eastAsia="仿宋" w:cs="仿宋"/>
          <w:b/>
          <w:color w:val="auto"/>
          <w:sz w:val="24"/>
          <w:lang w:eastAsia="zh-CN"/>
        </w:rPr>
      </w:pPr>
      <w:r>
        <w:rPr>
          <w:rStyle w:val="26"/>
          <w:rFonts w:hint="eastAsia" w:ascii="仿宋" w:hAnsi="仿宋" w:eastAsia="仿宋" w:cs="仿宋"/>
          <w:color w:val="auto"/>
          <w:sz w:val="24"/>
          <w:lang w:eastAsia="zh-CN"/>
        </w:rPr>
        <w:t>货物或者在途货物或者交付给第一承运人后的货物毁损、灭失的风险负担详见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w:t>
      </w:r>
    </w:p>
    <w:p w14:paraId="222D242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2.10 延迟交货</w:t>
      </w:r>
    </w:p>
    <w:p w14:paraId="089AF32C">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6BEA4D6">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2.11 合同变更</w:t>
      </w:r>
    </w:p>
    <w:p w14:paraId="2553647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2.11.1双方当事人协商一致，可以签订书面补充合同的形式变更合同，但不得违背采购文件确定的事项，且如果系追加与合同标的相同的货物的，那么所有补充合同的采购金额不得超过原合同价的10%；</w:t>
      </w:r>
    </w:p>
    <w:p w14:paraId="750538A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2.11.2 合同继续履行将损害国家利益和社会公共利益的，双方当事人应当以书面形式变更合同。有过错的一方应当承担赔偿责任，双方当事人都有过错的，各自承担相应的责任。</w:t>
      </w:r>
    </w:p>
    <w:p w14:paraId="626E0C91">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2.12 合同转让和分包</w:t>
      </w:r>
    </w:p>
    <w:p w14:paraId="2EFC370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6454CA">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2.13 不可抗力</w:t>
      </w:r>
    </w:p>
    <w:p w14:paraId="037C350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2.13.1如果任何一方遭遇法律规定的不可抗力，致使合同履行受阻时，履行合同的期限应予延长，延长的期限应相当于不可抗力所影响的时间；</w:t>
      </w:r>
    </w:p>
    <w:p w14:paraId="0CFB39DA">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2.13.2 因不可抗力致使不能实现合同目的的，当事人可以解除合同；</w:t>
      </w:r>
    </w:p>
    <w:p w14:paraId="6AE2A49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2.13.3 因不可抗力致使合同有变更必要的，双方当事人应在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约定时间内以书面形式变更合同；</w:t>
      </w:r>
    </w:p>
    <w:p w14:paraId="5115E0EF">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2.13.4受不可抗力影响的一方在不可抗力发生后，应在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约定时间内以书面形式通知对方当事人，并在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约定时间内，将有关部门出具的证明文件送达对方当事人。</w:t>
      </w:r>
    </w:p>
    <w:p w14:paraId="2FAB2A93">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2.14 税费</w:t>
      </w:r>
    </w:p>
    <w:p w14:paraId="08D0EF9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与合同有关的一切税费，均按照中华人民共和国法律的相关规定。</w:t>
      </w:r>
    </w:p>
    <w:p w14:paraId="7ECB15F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2.15 乙方破产</w:t>
      </w:r>
    </w:p>
    <w:p w14:paraId="497EF92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96931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2.16 合同中止、终止</w:t>
      </w:r>
    </w:p>
    <w:p w14:paraId="74C32516">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2.16.1 双方当事人不得擅自中止或者终止合同；</w:t>
      </w:r>
    </w:p>
    <w:p w14:paraId="38BFD2D2">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2.16.2合同继续履行将损害国家利益和社会公共利益的，双方当事人应当中止或者终止合同。有过错的一方应当承担赔偿责任，双方当事人都有过错的，各自承担相应的责任。</w:t>
      </w:r>
    </w:p>
    <w:p w14:paraId="35210877">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2.17 检验和验收</w:t>
      </w:r>
    </w:p>
    <w:p w14:paraId="7B97D4A3">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2.17.1货物交付前，乙方应对货物的质量、数量等方面进行详细、全面的检验，并向甲方出具证明货物符合合同约定的文件；货物交付时，乙方在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约定时间内组织验收，并可依法邀请相关方参加，验收应出具验收书。</w:t>
      </w:r>
    </w:p>
    <w:p w14:paraId="1E0C0F34">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DCE295">
      <w:pPr>
        <w:tabs>
          <w:tab w:val="left" w:pos="360"/>
          <w:tab w:val="left" w:pos="540"/>
          <w:tab w:val="left" w:pos="1080"/>
        </w:tabs>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2.17.3 检验和验收标准、程序等具体内容以及前述验收书的效力详见</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i/>
          <w:color w:val="auto"/>
          <w:sz w:val="24"/>
          <w:lang w:eastAsia="zh-CN"/>
        </w:rPr>
        <w:t>。</w:t>
      </w:r>
    </w:p>
    <w:p w14:paraId="116999CC">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2.18 通知和送达</w:t>
      </w:r>
    </w:p>
    <w:p w14:paraId="541CA1D1">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433C570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7A6A4DA0">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2.19 计量单位</w:t>
      </w:r>
    </w:p>
    <w:p w14:paraId="142F784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除技术规范中另有规定外,合同的计量单位均使用国家法定计量单位。</w:t>
      </w:r>
    </w:p>
    <w:p w14:paraId="6CA5BA46">
      <w:pPr>
        <w:spacing w:line="560" w:lineRule="exact"/>
        <w:ind w:firstLine="482" w:firstLineChars="200"/>
        <w:rPr>
          <w:rStyle w:val="26"/>
          <w:rFonts w:hint="eastAsia" w:ascii="仿宋" w:hAnsi="仿宋" w:eastAsia="仿宋" w:cs="仿宋"/>
          <w:b/>
          <w:color w:val="auto"/>
          <w:sz w:val="24"/>
        </w:rPr>
      </w:pPr>
      <w:r>
        <w:rPr>
          <w:rStyle w:val="26"/>
          <w:rFonts w:hint="eastAsia" w:ascii="仿宋" w:hAnsi="仿宋" w:eastAsia="仿宋" w:cs="仿宋"/>
          <w:b/>
          <w:color w:val="auto"/>
          <w:sz w:val="24"/>
        </w:rPr>
        <w:t>2.20 合同使用的文字和适用的法律</w:t>
      </w:r>
    </w:p>
    <w:p w14:paraId="0E2D457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2.20.1 合同使用汉语书就、变更和解释；</w:t>
      </w:r>
    </w:p>
    <w:p w14:paraId="57AD0148">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2.20.2 合同适用中华人民共和国法律。</w:t>
      </w:r>
    </w:p>
    <w:p w14:paraId="376EBD94">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2.21 履约保证金</w:t>
      </w:r>
    </w:p>
    <w:p w14:paraId="440C7444">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2.21.1 采购文件要求乙方提交履约保证金的，乙方应按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约定的方式，以支票、汇票、本票或者金融机构、担保机构出具的保函等非现金形式，提交不超过合同价10%的履约保证金；</w:t>
      </w:r>
    </w:p>
    <w:p w14:paraId="10FBC41D">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2.21.2  履约保证金在</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约定期间内或者货物质量保证期内不予退还或者应完全有效，前述约定期间届满或者货物质量保证期届满之日起个工作日内，甲方应将履约保证金退还乙方；</w:t>
      </w:r>
    </w:p>
    <w:p w14:paraId="324BDE27">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35CE89">
      <w:pPr>
        <w:spacing w:line="560" w:lineRule="exact"/>
        <w:ind w:firstLine="482" w:firstLineChars="200"/>
        <w:rPr>
          <w:rStyle w:val="26"/>
          <w:rFonts w:hint="eastAsia" w:ascii="仿宋" w:hAnsi="仿宋" w:eastAsia="仿宋" w:cs="仿宋"/>
          <w:b/>
          <w:color w:val="auto"/>
          <w:sz w:val="24"/>
          <w:lang w:eastAsia="zh-CN"/>
        </w:rPr>
      </w:pPr>
      <w:r>
        <w:rPr>
          <w:rStyle w:val="26"/>
          <w:rFonts w:hint="eastAsia" w:ascii="仿宋" w:hAnsi="仿宋" w:eastAsia="仿宋" w:cs="仿宋"/>
          <w:b/>
          <w:color w:val="auto"/>
          <w:sz w:val="24"/>
          <w:lang w:eastAsia="zh-CN"/>
        </w:rPr>
        <w:t>2.22 合同份数</w:t>
      </w:r>
    </w:p>
    <w:p w14:paraId="326A69CE">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合同份数按</w:t>
      </w:r>
      <w:r>
        <w:rPr>
          <w:rStyle w:val="26"/>
          <w:rFonts w:hint="eastAsia" w:ascii="仿宋" w:hAnsi="仿宋" w:eastAsia="仿宋" w:cs="仿宋"/>
          <w:b/>
          <w:i/>
          <w:color w:val="auto"/>
          <w:sz w:val="24"/>
          <w:u w:val="single" w:color="000000"/>
          <w:lang w:eastAsia="zh-CN"/>
        </w:rPr>
        <w:t>合同专用条款</w:t>
      </w:r>
      <w:r>
        <w:rPr>
          <w:rStyle w:val="26"/>
          <w:rFonts w:hint="eastAsia" w:ascii="仿宋" w:hAnsi="仿宋" w:eastAsia="仿宋" w:cs="仿宋"/>
          <w:color w:val="auto"/>
          <w:sz w:val="24"/>
          <w:lang w:eastAsia="zh-CN"/>
        </w:rPr>
        <w:t>规定，每份均具有同等法律效力。</w:t>
      </w:r>
    </w:p>
    <w:p w14:paraId="60E2E983">
      <w:pPr>
        <w:pStyle w:val="37"/>
        <w:spacing w:line="560" w:lineRule="exact"/>
        <w:ind w:firstLine="0"/>
        <w:jc w:val="center"/>
        <w:rPr>
          <w:rStyle w:val="26"/>
          <w:rFonts w:hint="eastAsia" w:ascii="仿宋" w:hAnsi="仿宋" w:eastAsia="仿宋" w:cs="仿宋"/>
          <w:color w:val="auto"/>
          <w:szCs w:val="24"/>
          <w:lang w:eastAsia="zh-CN"/>
        </w:rPr>
      </w:pPr>
      <w:r>
        <w:rPr>
          <w:rStyle w:val="26"/>
          <w:rFonts w:hint="eastAsia" w:ascii="仿宋" w:hAnsi="仿宋" w:eastAsia="仿宋" w:cs="仿宋"/>
          <w:color w:val="auto"/>
          <w:szCs w:val="24"/>
          <w:lang w:eastAsia="zh-CN"/>
        </w:rPr>
        <w:br w:type="page"/>
      </w:r>
    </w:p>
    <w:p w14:paraId="62A3AB2E">
      <w:pPr>
        <w:pStyle w:val="37"/>
        <w:spacing w:line="560" w:lineRule="exact"/>
        <w:ind w:firstLine="0"/>
        <w:jc w:val="center"/>
        <w:rPr>
          <w:rStyle w:val="26"/>
          <w:rFonts w:hint="eastAsia" w:ascii="仿宋" w:hAnsi="仿宋" w:eastAsia="仿宋" w:cs="仿宋"/>
          <w:b/>
          <w:color w:val="auto"/>
          <w:szCs w:val="24"/>
          <w:lang w:eastAsia="zh-CN"/>
        </w:rPr>
      </w:pPr>
      <w:r>
        <w:rPr>
          <w:rStyle w:val="26"/>
          <w:rFonts w:hint="eastAsia" w:ascii="仿宋" w:hAnsi="仿宋" w:eastAsia="仿宋" w:cs="仿宋"/>
          <w:b/>
          <w:color w:val="auto"/>
          <w:szCs w:val="24"/>
          <w:lang w:eastAsia="zh-CN"/>
        </w:rPr>
        <w:t>第三部分  合同专用条款</w:t>
      </w:r>
    </w:p>
    <w:p w14:paraId="33B6A6E3">
      <w:pPr>
        <w:spacing w:line="560" w:lineRule="exact"/>
        <w:ind w:firstLine="480" w:firstLineChars="200"/>
        <w:rPr>
          <w:rStyle w:val="26"/>
          <w:rFonts w:hint="eastAsia" w:ascii="仿宋" w:hAnsi="仿宋" w:eastAsia="仿宋" w:cs="仿宋"/>
          <w:color w:val="auto"/>
          <w:sz w:val="24"/>
          <w:lang w:eastAsia="zh-CN"/>
        </w:rPr>
      </w:pPr>
      <w:r>
        <w:rPr>
          <w:rStyle w:val="26"/>
          <w:rFonts w:hint="eastAsia" w:ascii="仿宋" w:hAnsi="仿宋" w:eastAsia="仿宋" w:cs="仿宋"/>
          <w:color w:val="auto"/>
          <w:sz w:val="24"/>
          <w:lang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3"/>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0"/>
        <w:gridCol w:w="7364"/>
      </w:tblGrid>
      <w:tr w14:paraId="7709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CBC716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条款号</w:t>
            </w:r>
          </w:p>
        </w:tc>
        <w:tc>
          <w:tcPr>
            <w:tcW w:w="7364" w:type="dxa"/>
            <w:tcBorders>
              <w:top w:val="single" w:color="000000" w:sz="6" w:space="0"/>
              <w:left w:val="single" w:color="000000" w:sz="6" w:space="0"/>
              <w:bottom w:val="single" w:color="000000" w:sz="6" w:space="0"/>
              <w:right w:val="single" w:color="000000" w:sz="6" w:space="0"/>
            </w:tcBorders>
            <w:vAlign w:val="center"/>
          </w:tcPr>
          <w:p w14:paraId="7C78477C">
            <w:pPr>
              <w:spacing w:line="560" w:lineRule="exact"/>
              <w:jc w:val="center"/>
              <w:rPr>
                <w:rStyle w:val="26"/>
                <w:rFonts w:hint="eastAsia" w:ascii="仿宋" w:hAnsi="仿宋" w:eastAsia="仿宋" w:cs="仿宋"/>
                <w:b/>
                <w:color w:val="auto"/>
                <w:sz w:val="24"/>
              </w:rPr>
            </w:pPr>
            <w:r>
              <w:rPr>
                <w:rStyle w:val="26"/>
                <w:rFonts w:hint="eastAsia" w:ascii="仿宋" w:hAnsi="仿宋" w:eastAsia="仿宋" w:cs="仿宋"/>
                <w:b/>
                <w:color w:val="auto"/>
                <w:sz w:val="24"/>
              </w:rPr>
              <w:t>约定内容</w:t>
            </w:r>
          </w:p>
        </w:tc>
      </w:tr>
      <w:tr w14:paraId="6C1E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730DFE48">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227CF5E">
            <w:pPr>
              <w:spacing w:line="560" w:lineRule="exact"/>
              <w:rPr>
                <w:rStyle w:val="26"/>
                <w:rFonts w:hint="eastAsia" w:ascii="仿宋" w:hAnsi="仿宋" w:eastAsia="仿宋" w:cs="仿宋"/>
                <w:color w:val="auto"/>
                <w:sz w:val="24"/>
              </w:rPr>
            </w:pPr>
          </w:p>
        </w:tc>
      </w:tr>
      <w:tr w14:paraId="7B66B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FB0A8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5256BEE">
            <w:pPr>
              <w:spacing w:line="560" w:lineRule="exact"/>
              <w:rPr>
                <w:rStyle w:val="26"/>
                <w:rFonts w:hint="eastAsia" w:ascii="仿宋" w:hAnsi="仿宋" w:eastAsia="仿宋" w:cs="仿宋"/>
                <w:color w:val="auto"/>
                <w:sz w:val="24"/>
              </w:rPr>
            </w:pPr>
          </w:p>
        </w:tc>
      </w:tr>
      <w:tr w14:paraId="03478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F7B92F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57BD114">
            <w:pPr>
              <w:spacing w:line="560" w:lineRule="exact"/>
              <w:rPr>
                <w:rStyle w:val="26"/>
                <w:rFonts w:hint="eastAsia" w:ascii="仿宋" w:hAnsi="仿宋" w:eastAsia="仿宋" w:cs="仿宋"/>
                <w:color w:val="auto"/>
                <w:sz w:val="24"/>
              </w:rPr>
            </w:pPr>
          </w:p>
        </w:tc>
      </w:tr>
      <w:tr w14:paraId="3848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361529D4">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14915429">
            <w:pPr>
              <w:spacing w:line="560" w:lineRule="exact"/>
              <w:rPr>
                <w:rStyle w:val="26"/>
                <w:rFonts w:hint="eastAsia" w:ascii="仿宋" w:hAnsi="仿宋" w:eastAsia="仿宋" w:cs="仿宋"/>
                <w:color w:val="auto"/>
                <w:sz w:val="24"/>
              </w:rPr>
            </w:pPr>
          </w:p>
        </w:tc>
      </w:tr>
      <w:tr w14:paraId="4DE37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010D831">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DE1134A">
            <w:pPr>
              <w:spacing w:line="560" w:lineRule="exact"/>
              <w:rPr>
                <w:rStyle w:val="26"/>
                <w:rFonts w:hint="eastAsia" w:ascii="仿宋" w:hAnsi="仿宋" w:eastAsia="仿宋" w:cs="仿宋"/>
                <w:color w:val="auto"/>
                <w:sz w:val="24"/>
                <w:u w:val="single"/>
              </w:rPr>
            </w:pPr>
          </w:p>
        </w:tc>
      </w:tr>
      <w:tr w14:paraId="7292B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002529A">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97F92D8">
            <w:pPr>
              <w:spacing w:line="560" w:lineRule="exact"/>
              <w:rPr>
                <w:rStyle w:val="26"/>
                <w:rFonts w:hint="eastAsia" w:ascii="仿宋" w:hAnsi="仿宋" w:eastAsia="仿宋" w:cs="仿宋"/>
                <w:color w:val="auto"/>
                <w:sz w:val="24"/>
              </w:rPr>
            </w:pPr>
          </w:p>
        </w:tc>
      </w:tr>
      <w:tr w14:paraId="0B0A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7A6689">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3736CEAF">
            <w:pPr>
              <w:spacing w:line="560" w:lineRule="exact"/>
              <w:rPr>
                <w:rStyle w:val="26"/>
                <w:rFonts w:hint="eastAsia" w:ascii="仿宋" w:hAnsi="仿宋" w:eastAsia="仿宋" w:cs="仿宋"/>
                <w:color w:val="auto"/>
                <w:sz w:val="24"/>
                <w:u w:val="single"/>
              </w:rPr>
            </w:pPr>
          </w:p>
        </w:tc>
      </w:tr>
      <w:tr w14:paraId="068E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4EA096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030AE3">
            <w:pPr>
              <w:spacing w:line="560" w:lineRule="exact"/>
              <w:rPr>
                <w:rStyle w:val="26"/>
                <w:rFonts w:hint="eastAsia" w:ascii="仿宋" w:hAnsi="仿宋" w:eastAsia="仿宋" w:cs="仿宋"/>
                <w:color w:val="auto"/>
                <w:sz w:val="24"/>
              </w:rPr>
            </w:pPr>
          </w:p>
        </w:tc>
      </w:tr>
      <w:tr w14:paraId="2AE8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068AA9F">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01349F89">
            <w:pPr>
              <w:spacing w:line="560" w:lineRule="exact"/>
              <w:rPr>
                <w:rStyle w:val="26"/>
                <w:rFonts w:hint="eastAsia" w:ascii="仿宋" w:hAnsi="仿宋" w:eastAsia="仿宋" w:cs="仿宋"/>
                <w:color w:val="auto"/>
                <w:sz w:val="24"/>
              </w:rPr>
            </w:pPr>
          </w:p>
        </w:tc>
      </w:tr>
      <w:tr w14:paraId="37C7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2BC776FE">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5F48C52B">
            <w:pPr>
              <w:spacing w:line="560" w:lineRule="exact"/>
              <w:rPr>
                <w:rStyle w:val="26"/>
                <w:rFonts w:hint="eastAsia" w:ascii="仿宋" w:hAnsi="仿宋" w:eastAsia="仿宋" w:cs="仿宋"/>
                <w:color w:val="auto"/>
                <w:sz w:val="24"/>
              </w:rPr>
            </w:pPr>
          </w:p>
        </w:tc>
      </w:tr>
      <w:tr w14:paraId="71B8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1E10F57C">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607C14C1">
            <w:pPr>
              <w:spacing w:line="560" w:lineRule="exact"/>
              <w:rPr>
                <w:rStyle w:val="26"/>
                <w:rFonts w:hint="eastAsia" w:ascii="仿宋" w:hAnsi="仿宋" w:eastAsia="仿宋" w:cs="仿宋"/>
                <w:color w:val="auto"/>
                <w:sz w:val="24"/>
              </w:rPr>
            </w:pPr>
          </w:p>
        </w:tc>
      </w:tr>
      <w:tr w14:paraId="0C96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1070" w:type="dxa"/>
            <w:tcBorders>
              <w:top w:val="single" w:color="000000" w:sz="6" w:space="0"/>
              <w:left w:val="single" w:color="000000" w:sz="4" w:space="0"/>
              <w:bottom w:val="single" w:color="000000" w:sz="6" w:space="0"/>
              <w:right w:val="single" w:color="000000" w:sz="6" w:space="0"/>
            </w:tcBorders>
            <w:vAlign w:val="center"/>
          </w:tcPr>
          <w:p w14:paraId="45415E30">
            <w:pPr>
              <w:spacing w:line="560" w:lineRule="exact"/>
              <w:rPr>
                <w:rStyle w:val="26"/>
                <w:rFonts w:hint="eastAsia" w:ascii="仿宋" w:hAnsi="仿宋" w:eastAsia="仿宋" w:cs="仿宋"/>
                <w:color w:val="auto"/>
                <w:sz w:val="24"/>
              </w:rPr>
            </w:pPr>
          </w:p>
        </w:tc>
        <w:tc>
          <w:tcPr>
            <w:tcW w:w="7364" w:type="dxa"/>
            <w:tcBorders>
              <w:top w:val="single" w:color="000000" w:sz="6" w:space="0"/>
              <w:left w:val="single" w:color="000000" w:sz="6" w:space="0"/>
              <w:bottom w:val="single" w:color="000000" w:sz="6" w:space="0"/>
              <w:right w:val="single" w:color="000000" w:sz="6" w:space="0"/>
            </w:tcBorders>
            <w:vAlign w:val="center"/>
          </w:tcPr>
          <w:p w14:paraId="2D01F99E">
            <w:pPr>
              <w:spacing w:line="560" w:lineRule="exact"/>
              <w:rPr>
                <w:rStyle w:val="26"/>
                <w:rFonts w:hint="eastAsia" w:ascii="仿宋" w:hAnsi="仿宋" w:eastAsia="仿宋" w:cs="仿宋"/>
                <w:color w:val="auto"/>
                <w:sz w:val="24"/>
              </w:rPr>
            </w:pPr>
          </w:p>
        </w:tc>
      </w:tr>
    </w:tbl>
    <w:p w14:paraId="6459C54E">
      <w:pPr>
        <w:rPr>
          <w:rFonts w:hint="eastAsia" w:ascii="仿宋" w:hAnsi="仿宋" w:eastAsia="仿宋" w:cs="仿宋"/>
          <w:color w:val="auto"/>
        </w:rPr>
      </w:pPr>
    </w:p>
    <w:p w14:paraId="135285CE">
      <w:pPr>
        <w:rPr>
          <w:rFonts w:hint="eastAsia" w:ascii="仿宋" w:hAnsi="仿宋" w:eastAsia="仿宋" w:cs="仿宋"/>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1" w:fontKey="{2CFF0824-A34B-4CD2-9140-B11C2FD18992}"/>
  </w:font>
  <w:font w:name="仿宋">
    <w:panose1 w:val="02010609060101010101"/>
    <w:charset w:val="86"/>
    <w:family w:val="auto"/>
    <w:pitch w:val="default"/>
    <w:sig w:usb0="800002BF" w:usb1="38CF7CFA" w:usb2="00000016" w:usb3="00000000" w:csb0="00040001" w:csb1="00000000"/>
    <w:embedRegular r:id="rId2" w:fontKey="{7E3EA647-F2D0-46DD-8603-C692169314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1619">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7385">
    <w:pPr>
      <w:pStyle w:val="12"/>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D2B16">
    <w:pPr>
      <w:pStyle w:val="12"/>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784C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E784C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B74F">
    <w:pPr>
      <w:pStyle w:val="12"/>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754A9">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9754A9">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B049">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8693E">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8693E">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23FB644E">
    <w:pPr>
      <w:pStyle w:val="12"/>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046FF">
    <w:pPr>
      <w:pStyle w:val="12"/>
      <w:jc w:val="center"/>
      <w:rPr>
        <w:rStyle w:val="26"/>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87AB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587AB3">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104F8214">
                          <w:pPr>
                            <w:pStyle w:val="12"/>
                            <w:jc w:val="center"/>
                            <w:rPr>
                              <w:rStyle w:val="26"/>
                            </w:rPr>
                          </w:pPr>
                        </w:p>
                        <w:p w14:paraId="58E8DC17">
                          <w:pPr>
                            <w:tabs>
                              <w:tab w:val="center" w:pos="4153"/>
                              <w:tab w:val="right" w:pos="8306"/>
                            </w:tabs>
                            <w:jc w:val="center"/>
                            <w:rPr>
                              <w:rStyle w:val="26"/>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104F8214">
                    <w:pPr>
                      <w:pStyle w:val="12"/>
                      <w:jc w:val="center"/>
                      <w:rPr>
                        <w:rStyle w:val="26"/>
                      </w:rPr>
                    </w:pPr>
                  </w:p>
                  <w:p w14:paraId="58E8DC17">
                    <w:pPr>
                      <w:tabs>
                        <w:tab w:val="center" w:pos="4153"/>
                        <w:tab w:val="right" w:pos="8306"/>
                      </w:tabs>
                      <w:jc w:val="center"/>
                      <w:rPr>
                        <w:rStyle w:val="26"/>
                      </w:rPr>
                    </w:pPr>
                  </w:p>
                </w:txbxContent>
              </v:textbox>
            </v:shape>
          </w:pict>
        </mc:Fallback>
      </mc:AlternateContent>
    </w:r>
  </w:p>
  <w:p w14:paraId="3A88D192">
    <w:pPr>
      <w:pStyle w:val="12"/>
      <w:ind w:right="360"/>
      <w:jc w:val="right"/>
      <w:rPr>
        <w:rStyle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0269">
    <w:pPr>
      <w:pStyle w:val="12"/>
      <w:framePr w:wrap="around" w:vAnchor="margin" w:hAnchor="text" w:xAlign="center" w:y="1"/>
      <w:rPr>
        <w:rStyle w:val="40"/>
      </w:rPr>
    </w:pPr>
  </w:p>
  <w:p w14:paraId="28BD47AF">
    <w:pPr>
      <w:pStyle w:val="12"/>
      <w:rPr>
        <w:rStyle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A726">
    <w:pPr>
      <w:pStyle w:val="12"/>
      <w:jc w:val="center"/>
      <w:rPr>
        <w:rStyle w:val="26"/>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54ED">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5E854ED">
                    <w:pPr>
                      <w:pStyle w:val="12"/>
                    </w:pPr>
                    <w:r>
                      <w:fldChar w:fldCharType="begin"/>
                    </w:r>
                    <w:r>
                      <w:instrText xml:space="preserve"> PAGE  \* MERGEFORMAT </w:instrText>
                    </w:r>
                    <w:r>
                      <w:fldChar w:fldCharType="separate"/>
                    </w:r>
                    <w:r>
                      <w:t>84</w:t>
                    </w:r>
                    <w:r>
                      <w:fldChar w:fldCharType="end"/>
                    </w:r>
                  </w:p>
                </w:txbxContent>
              </v:textbox>
            </v:shape>
          </w:pict>
        </mc:Fallback>
      </mc:AlternateContent>
    </w:r>
    <w:r>
      <w:rPr>
        <w:rStyle w:val="2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F92720">
                          <w:pPr>
                            <w:pStyle w:val="12"/>
                            <w:jc w:val="center"/>
                            <w:rPr>
                              <w:rStyle w:val="26"/>
                            </w:rPr>
                          </w:pPr>
                        </w:p>
                        <w:p w14:paraId="64CCA1BA">
                          <w:pPr>
                            <w:tabs>
                              <w:tab w:val="center" w:pos="4153"/>
                              <w:tab w:val="right" w:pos="8306"/>
                            </w:tabs>
                            <w:jc w:val="center"/>
                            <w:rPr>
                              <w:rStyle w:val="26"/>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3AF92720">
                    <w:pPr>
                      <w:pStyle w:val="12"/>
                      <w:jc w:val="center"/>
                      <w:rPr>
                        <w:rStyle w:val="26"/>
                      </w:rPr>
                    </w:pPr>
                  </w:p>
                  <w:p w14:paraId="64CCA1BA">
                    <w:pPr>
                      <w:tabs>
                        <w:tab w:val="center" w:pos="4153"/>
                        <w:tab w:val="right" w:pos="8306"/>
                      </w:tabs>
                      <w:jc w:val="center"/>
                      <w:rPr>
                        <w:rStyle w:val="26"/>
                      </w:rPr>
                    </w:pPr>
                  </w:p>
                </w:txbxContent>
              </v:textbox>
            </v:shape>
          </w:pict>
        </mc:Fallback>
      </mc:AlternateContent>
    </w:r>
  </w:p>
  <w:p w14:paraId="6FB89CC0">
    <w:pPr>
      <w:pStyle w:val="12"/>
      <w:jc w:val="center"/>
      <w:rPr>
        <w:rStyle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4132">
    <w:pPr>
      <w:pStyle w:val="12"/>
      <w:jc w:val="center"/>
      <w:rPr>
        <w:rStyle w:val="26"/>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7A4D">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B4F7A4D">
                    <w:pPr>
                      <w:pStyle w:val="12"/>
                    </w:pPr>
                    <w:r>
                      <w:fldChar w:fldCharType="begin"/>
                    </w:r>
                    <w:r>
                      <w:instrText xml:space="preserve"> PAGE  \* MERGEFORMAT </w:instrText>
                    </w:r>
                    <w:r>
                      <w:fldChar w:fldCharType="separate"/>
                    </w:r>
                    <w:r>
                      <w:t>90</w:t>
                    </w:r>
                    <w:r>
                      <w:fldChar w:fldCharType="end"/>
                    </w:r>
                  </w:p>
                </w:txbxContent>
              </v:textbox>
            </v:shape>
          </w:pict>
        </mc:Fallback>
      </mc:AlternateContent>
    </w:r>
    <w:r>
      <w:rPr>
        <w:rStyle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4D449166">
                          <w:pPr>
                            <w:pStyle w:val="12"/>
                            <w:jc w:val="center"/>
                            <w:rPr>
                              <w:rStyle w:val="26"/>
                            </w:rPr>
                          </w:pPr>
                        </w:p>
                        <w:p w14:paraId="4EF94279">
                          <w:pPr>
                            <w:tabs>
                              <w:tab w:val="center" w:pos="4153"/>
                              <w:tab w:val="right" w:pos="8306"/>
                            </w:tabs>
                            <w:jc w:val="center"/>
                            <w:rPr>
                              <w:rStyle w:val="26"/>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1312;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4D449166">
                    <w:pPr>
                      <w:pStyle w:val="12"/>
                      <w:jc w:val="center"/>
                      <w:rPr>
                        <w:rStyle w:val="26"/>
                      </w:rPr>
                    </w:pPr>
                  </w:p>
                  <w:p w14:paraId="4EF94279">
                    <w:pPr>
                      <w:tabs>
                        <w:tab w:val="center" w:pos="4153"/>
                        <w:tab w:val="right" w:pos="8306"/>
                      </w:tabs>
                      <w:jc w:val="center"/>
                      <w:rPr>
                        <w:rStyle w:val="26"/>
                      </w:rPr>
                    </w:pPr>
                  </w:p>
                </w:txbxContent>
              </v:textbox>
            </v:shape>
          </w:pict>
        </mc:Fallback>
      </mc:AlternateContent>
    </w:r>
  </w:p>
  <w:p w14:paraId="53B8B2C1">
    <w:pPr>
      <w:pStyle w:val="12"/>
      <w:ind w:right="360"/>
      <w:jc w:val="right"/>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3B5E">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F8576">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BD1E">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BA3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AFFD">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FB51">
    <w:pPr>
      <w:pStyle w:val="14"/>
      <w:pBdr>
        <w:bottom w:val="none" w:color="auto" w:sz="0" w:space="0"/>
      </w:pBdr>
      <w:rPr>
        <w:rStyle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CA35B">
    <w:pPr>
      <w:pStyle w:val="14"/>
      <w:pBdr>
        <w:bottom w:val="none" w:color="auto" w:sz="0" w:space="0"/>
      </w:pBdr>
      <w:rPr>
        <w:rStyle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0F9">
    <w:pPr>
      <w:pStyle w:val="14"/>
      <w:pBdr>
        <w:bottom w:val="none" w:color="auto" w:sz="0" w:space="0"/>
      </w:pBdr>
      <w:jc w:val="right"/>
      <w:rPr>
        <w:rStyle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0A12E0F5"/>
    <w:multiLevelType w:val="singleLevel"/>
    <w:tmpl w:val="0A12E0F5"/>
    <w:lvl w:ilvl="0" w:tentative="0">
      <w:start w:val="1"/>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6">
    <w:nsid w:val="202D2235"/>
    <w:multiLevelType w:val="singleLevel"/>
    <w:tmpl w:val="202D2235"/>
    <w:lvl w:ilvl="0" w:tentative="0">
      <w:start w:val="1"/>
      <w:numFmt w:val="decimal"/>
      <w:suff w:val="nothing"/>
      <w:lvlText w:val="%1."/>
      <w:lvlJc w:val="left"/>
      <w:pPr>
        <w:ind w:left="0" w:firstLine="0"/>
      </w:pPr>
      <w:rPr>
        <w:rFonts w:hint="default"/>
      </w:rPr>
    </w:lvl>
  </w:abstractNum>
  <w:abstractNum w:abstractNumId="7">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8">
    <w:nsid w:val="339F07D7"/>
    <w:multiLevelType w:val="singleLevel"/>
    <w:tmpl w:val="339F07D7"/>
    <w:lvl w:ilvl="0" w:tentative="0">
      <w:start w:val="1"/>
      <w:numFmt w:val="decimal"/>
      <w:suff w:val="nothing"/>
      <w:lvlText w:val="%1."/>
      <w:lvlJc w:val="left"/>
      <w:pPr>
        <w:ind w:left="0" w:firstLine="0"/>
      </w:pPr>
      <w:rPr>
        <w:rFonts w:hint="default"/>
      </w:r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BEBF6C2"/>
    <w:multiLevelType w:val="singleLevel"/>
    <w:tmpl w:val="4BEBF6C2"/>
    <w:lvl w:ilvl="0" w:tentative="0">
      <w:start w:val="1"/>
      <w:numFmt w:val="decimal"/>
      <w:suff w:val="nothing"/>
      <w:lvlText w:val="%1、"/>
      <w:lvlJc w:val="left"/>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7"/>
  </w:num>
  <w:num w:numId="2">
    <w:abstractNumId w:val="12"/>
  </w:num>
  <w:num w:numId="3">
    <w:abstractNumId w:val="1"/>
  </w:num>
  <w:num w:numId="4">
    <w:abstractNumId w:val="5"/>
  </w:num>
  <w:num w:numId="5">
    <w:abstractNumId w:val="3"/>
  </w:num>
  <w:num w:numId="6">
    <w:abstractNumId w:val="2"/>
  </w:num>
  <w:num w:numId="7">
    <w:abstractNumId w:val="0"/>
  </w:num>
  <w:num w:numId="8">
    <w:abstractNumId w:val="11"/>
  </w:num>
  <w:num w:numId="9">
    <w:abstractNumId w:val="4"/>
  </w:num>
  <w:num w:numId="10">
    <w:abstractNumId w:val="9"/>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9478e69-9f22-43f2-8503-b5b1be6ee096"/>
  </w:docVars>
  <w:rsids>
    <w:rsidRoot w:val="7FA51748"/>
    <w:rsid w:val="00086AC5"/>
    <w:rsid w:val="000C1FF9"/>
    <w:rsid w:val="002548AE"/>
    <w:rsid w:val="0027695C"/>
    <w:rsid w:val="00293E68"/>
    <w:rsid w:val="003D0DD7"/>
    <w:rsid w:val="004430AC"/>
    <w:rsid w:val="00563BB7"/>
    <w:rsid w:val="0067363B"/>
    <w:rsid w:val="006B642C"/>
    <w:rsid w:val="0078768E"/>
    <w:rsid w:val="007A6E43"/>
    <w:rsid w:val="007D5435"/>
    <w:rsid w:val="0083050D"/>
    <w:rsid w:val="0083353A"/>
    <w:rsid w:val="0085081A"/>
    <w:rsid w:val="0099166E"/>
    <w:rsid w:val="00A179F9"/>
    <w:rsid w:val="00A77956"/>
    <w:rsid w:val="00AA4AB9"/>
    <w:rsid w:val="00BB10A5"/>
    <w:rsid w:val="00C175D3"/>
    <w:rsid w:val="00D72607"/>
    <w:rsid w:val="00DD6C71"/>
    <w:rsid w:val="00E46AD2"/>
    <w:rsid w:val="00E53696"/>
    <w:rsid w:val="00F536F9"/>
    <w:rsid w:val="011473B7"/>
    <w:rsid w:val="012515C4"/>
    <w:rsid w:val="01457570"/>
    <w:rsid w:val="0154649E"/>
    <w:rsid w:val="015B4FE6"/>
    <w:rsid w:val="016A347B"/>
    <w:rsid w:val="017B2F92"/>
    <w:rsid w:val="01904174"/>
    <w:rsid w:val="01AD573E"/>
    <w:rsid w:val="01B87BAA"/>
    <w:rsid w:val="01BB5A85"/>
    <w:rsid w:val="01EA5991"/>
    <w:rsid w:val="02104022"/>
    <w:rsid w:val="0261662C"/>
    <w:rsid w:val="028B5457"/>
    <w:rsid w:val="029167E5"/>
    <w:rsid w:val="02D50DC8"/>
    <w:rsid w:val="02DD7702"/>
    <w:rsid w:val="0313544C"/>
    <w:rsid w:val="031E276F"/>
    <w:rsid w:val="034D6BB0"/>
    <w:rsid w:val="03522419"/>
    <w:rsid w:val="038B0D51"/>
    <w:rsid w:val="03AF786B"/>
    <w:rsid w:val="03B7227C"/>
    <w:rsid w:val="03F86B1C"/>
    <w:rsid w:val="040F20B8"/>
    <w:rsid w:val="04294587"/>
    <w:rsid w:val="043F474B"/>
    <w:rsid w:val="048621DE"/>
    <w:rsid w:val="04E2157A"/>
    <w:rsid w:val="050B0AD1"/>
    <w:rsid w:val="053960A1"/>
    <w:rsid w:val="056D52E8"/>
    <w:rsid w:val="059268C4"/>
    <w:rsid w:val="05AF5900"/>
    <w:rsid w:val="05B253F0"/>
    <w:rsid w:val="05EA06E6"/>
    <w:rsid w:val="05F257ED"/>
    <w:rsid w:val="061D4AE9"/>
    <w:rsid w:val="064249C6"/>
    <w:rsid w:val="066931C1"/>
    <w:rsid w:val="06A82EB5"/>
    <w:rsid w:val="06B917F9"/>
    <w:rsid w:val="06E94E42"/>
    <w:rsid w:val="06FE6B3F"/>
    <w:rsid w:val="070F2391"/>
    <w:rsid w:val="07106873"/>
    <w:rsid w:val="07230354"/>
    <w:rsid w:val="077010BF"/>
    <w:rsid w:val="07F4584C"/>
    <w:rsid w:val="080223B8"/>
    <w:rsid w:val="08502EAB"/>
    <w:rsid w:val="0866288C"/>
    <w:rsid w:val="089E5911"/>
    <w:rsid w:val="08A059D4"/>
    <w:rsid w:val="08BF22FE"/>
    <w:rsid w:val="08DC6C50"/>
    <w:rsid w:val="09267C87"/>
    <w:rsid w:val="0A4A6D32"/>
    <w:rsid w:val="0A5B5249"/>
    <w:rsid w:val="0AA43C12"/>
    <w:rsid w:val="0AD16319"/>
    <w:rsid w:val="0AF4446C"/>
    <w:rsid w:val="0B143885"/>
    <w:rsid w:val="0B163D2C"/>
    <w:rsid w:val="0B261A4C"/>
    <w:rsid w:val="0B36617C"/>
    <w:rsid w:val="0B512FB6"/>
    <w:rsid w:val="0B7556BF"/>
    <w:rsid w:val="0B7F3FC7"/>
    <w:rsid w:val="0B8415DD"/>
    <w:rsid w:val="0B9C2483"/>
    <w:rsid w:val="0C076962"/>
    <w:rsid w:val="0C107BA8"/>
    <w:rsid w:val="0C1741FF"/>
    <w:rsid w:val="0C355241"/>
    <w:rsid w:val="0C590374"/>
    <w:rsid w:val="0C91395E"/>
    <w:rsid w:val="0D182316"/>
    <w:rsid w:val="0D2210AE"/>
    <w:rsid w:val="0D98733B"/>
    <w:rsid w:val="0D9D0734"/>
    <w:rsid w:val="0D9F26FE"/>
    <w:rsid w:val="0DE1223E"/>
    <w:rsid w:val="0E6B25E0"/>
    <w:rsid w:val="0E72571D"/>
    <w:rsid w:val="0E8624C9"/>
    <w:rsid w:val="0E887A67"/>
    <w:rsid w:val="0E8A515C"/>
    <w:rsid w:val="0E9E6512"/>
    <w:rsid w:val="0EB2020F"/>
    <w:rsid w:val="0EC10BC1"/>
    <w:rsid w:val="0ECE7B96"/>
    <w:rsid w:val="0ED85EC8"/>
    <w:rsid w:val="0EE9189A"/>
    <w:rsid w:val="0EEF4FBF"/>
    <w:rsid w:val="0F0740B7"/>
    <w:rsid w:val="0F0E3698"/>
    <w:rsid w:val="0F73799F"/>
    <w:rsid w:val="0FBF0E36"/>
    <w:rsid w:val="0FCF034F"/>
    <w:rsid w:val="10196798"/>
    <w:rsid w:val="102A06BA"/>
    <w:rsid w:val="10433815"/>
    <w:rsid w:val="10613C9B"/>
    <w:rsid w:val="11091D5E"/>
    <w:rsid w:val="11626401"/>
    <w:rsid w:val="11643A43"/>
    <w:rsid w:val="11765524"/>
    <w:rsid w:val="11A16A45"/>
    <w:rsid w:val="11BC31DC"/>
    <w:rsid w:val="11BF6ECB"/>
    <w:rsid w:val="11E3705D"/>
    <w:rsid w:val="12681C41"/>
    <w:rsid w:val="12AC0B8D"/>
    <w:rsid w:val="12E84200"/>
    <w:rsid w:val="12EB53B3"/>
    <w:rsid w:val="133F61FB"/>
    <w:rsid w:val="138C7281"/>
    <w:rsid w:val="13C24A51"/>
    <w:rsid w:val="144E5F5A"/>
    <w:rsid w:val="1468384A"/>
    <w:rsid w:val="14830684"/>
    <w:rsid w:val="149731AD"/>
    <w:rsid w:val="14F8650C"/>
    <w:rsid w:val="158346B4"/>
    <w:rsid w:val="15AE1730"/>
    <w:rsid w:val="16356D56"/>
    <w:rsid w:val="166167A3"/>
    <w:rsid w:val="166938A9"/>
    <w:rsid w:val="16F5338F"/>
    <w:rsid w:val="1700420E"/>
    <w:rsid w:val="17190E2C"/>
    <w:rsid w:val="174A116E"/>
    <w:rsid w:val="17654071"/>
    <w:rsid w:val="179C0AAB"/>
    <w:rsid w:val="17C63699"/>
    <w:rsid w:val="17C76AD9"/>
    <w:rsid w:val="1835401B"/>
    <w:rsid w:val="188C1C7A"/>
    <w:rsid w:val="18CB5593"/>
    <w:rsid w:val="18DF7E53"/>
    <w:rsid w:val="193F2426"/>
    <w:rsid w:val="1998697F"/>
    <w:rsid w:val="19AA220F"/>
    <w:rsid w:val="1A1B310D"/>
    <w:rsid w:val="1A314705"/>
    <w:rsid w:val="1AC35C7E"/>
    <w:rsid w:val="1B5E59A7"/>
    <w:rsid w:val="1B7927E1"/>
    <w:rsid w:val="1BB2184F"/>
    <w:rsid w:val="1BFB31F6"/>
    <w:rsid w:val="1C195764"/>
    <w:rsid w:val="1C4E7529"/>
    <w:rsid w:val="1C5172BA"/>
    <w:rsid w:val="1C880A5C"/>
    <w:rsid w:val="1C8E7BC6"/>
    <w:rsid w:val="1D152095"/>
    <w:rsid w:val="1D215E89"/>
    <w:rsid w:val="1D2B3667"/>
    <w:rsid w:val="1D3C5874"/>
    <w:rsid w:val="1D4110DC"/>
    <w:rsid w:val="1D4F1A4B"/>
    <w:rsid w:val="1D7C6F7B"/>
    <w:rsid w:val="1DCC4072"/>
    <w:rsid w:val="1DF20628"/>
    <w:rsid w:val="1E4531C0"/>
    <w:rsid w:val="1E4A5D6E"/>
    <w:rsid w:val="1E64148E"/>
    <w:rsid w:val="1E8F5E77"/>
    <w:rsid w:val="1E9D2342"/>
    <w:rsid w:val="1EB10E9D"/>
    <w:rsid w:val="1EDF0BAD"/>
    <w:rsid w:val="1EE6018D"/>
    <w:rsid w:val="1F572E39"/>
    <w:rsid w:val="1F7C289F"/>
    <w:rsid w:val="1F9E45C4"/>
    <w:rsid w:val="1FD75D28"/>
    <w:rsid w:val="1FF70178"/>
    <w:rsid w:val="201E74B3"/>
    <w:rsid w:val="20E51C8A"/>
    <w:rsid w:val="20E546AF"/>
    <w:rsid w:val="20F756A2"/>
    <w:rsid w:val="21076199"/>
    <w:rsid w:val="21274A8D"/>
    <w:rsid w:val="21354E15"/>
    <w:rsid w:val="215B0293"/>
    <w:rsid w:val="22162B37"/>
    <w:rsid w:val="225D0766"/>
    <w:rsid w:val="228201CD"/>
    <w:rsid w:val="2298179E"/>
    <w:rsid w:val="22CC31F6"/>
    <w:rsid w:val="22FF7A6F"/>
    <w:rsid w:val="230C5CE8"/>
    <w:rsid w:val="230E380E"/>
    <w:rsid w:val="233F7E6C"/>
    <w:rsid w:val="23460F94"/>
    <w:rsid w:val="236D70AB"/>
    <w:rsid w:val="2383244E"/>
    <w:rsid w:val="23952182"/>
    <w:rsid w:val="240834CF"/>
    <w:rsid w:val="24A64E3C"/>
    <w:rsid w:val="24F42ED8"/>
    <w:rsid w:val="254E4396"/>
    <w:rsid w:val="255319AC"/>
    <w:rsid w:val="257E711C"/>
    <w:rsid w:val="25CD17C3"/>
    <w:rsid w:val="25F41717"/>
    <w:rsid w:val="260131EA"/>
    <w:rsid w:val="26274B72"/>
    <w:rsid w:val="26413EFB"/>
    <w:rsid w:val="26437C73"/>
    <w:rsid w:val="2668592C"/>
    <w:rsid w:val="268B161A"/>
    <w:rsid w:val="26BB3CAD"/>
    <w:rsid w:val="26BE554B"/>
    <w:rsid w:val="26CA0394"/>
    <w:rsid w:val="26D42324"/>
    <w:rsid w:val="26DE5BEE"/>
    <w:rsid w:val="26E31456"/>
    <w:rsid w:val="26F472C2"/>
    <w:rsid w:val="27007912"/>
    <w:rsid w:val="2712206E"/>
    <w:rsid w:val="27174C5C"/>
    <w:rsid w:val="271D6716"/>
    <w:rsid w:val="273C404C"/>
    <w:rsid w:val="276F6846"/>
    <w:rsid w:val="279B588D"/>
    <w:rsid w:val="28602A0B"/>
    <w:rsid w:val="28924EE2"/>
    <w:rsid w:val="28A32C4B"/>
    <w:rsid w:val="295E7D6B"/>
    <w:rsid w:val="297B3BC8"/>
    <w:rsid w:val="298760F5"/>
    <w:rsid w:val="29B11BCD"/>
    <w:rsid w:val="29F574D6"/>
    <w:rsid w:val="2A3738D4"/>
    <w:rsid w:val="2A7C3754"/>
    <w:rsid w:val="2A830F86"/>
    <w:rsid w:val="2A85336B"/>
    <w:rsid w:val="2AC11AAE"/>
    <w:rsid w:val="2B2A7653"/>
    <w:rsid w:val="2B522706"/>
    <w:rsid w:val="2B7F799F"/>
    <w:rsid w:val="2BB92785"/>
    <w:rsid w:val="2BBE32E9"/>
    <w:rsid w:val="2BE55328"/>
    <w:rsid w:val="2C153E60"/>
    <w:rsid w:val="2CAE1BBE"/>
    <w:rsid w:val="2CFC5020"/>
    <w:rsid w:val="2D2D6F87"/>
    <w:rsid w:val="2DCD42C6"/>
    <w:rsid w:val="2E3C1B78"/>
    <w:rsid w:val="2E9D638E"/>
    <w:rsid w:val="2EC4391B"/>
    <w:rsid w:val="2ED173BC"/>
    <w:rsid w:val="2F416D1A"/>
    <w:rsid w:val="2F950E14"/>
    <w:rsid w:val="303845C1"/>
    <w:rsid w:val="30534F57"/>
    <w:rsid w:val="306D4FC5"/>
    <w:rsid w:val="3076628F"/>
    <w:rsid w:val="30BF25EC"/>
    <w:rsid w:val="31496359"/>
    <w:rsid w:val="31745184"/>
    <w:rsid w:val="31B672C5"/>
    <w:rsid w:val="322A618B"/>
    <w:rsid w:val="322C5A5F"/>
    <w:rsid w:val="327106BC"/>
    <w:rsid w:val="32713DBA"/>
    <w:rsid w:val="32904240"/>
    <w:rsid w:val="32A24447"/>
    <w:rsid w:val="32A93554"/>
    <w:rsid w:val="32C0264B"/>
    <w:rsid w:val="32DD4FAB"/>
    <w:rsid w:val="33030EB6"/>
    <w:rsid w:val="33330208"/>
    <w:rsid w:val="33337C2B"/>
    <w:rsid w:val="337A0A4C"/>
    <w:rsid w:val="338226ED"/>
    <w:rsid w:val="33915F8D"/>
    <w:rsid w:val="339E473B"/>
    <w:rsid w:val="33A930DF"/>
    <w:rsid w:val="33E660E2"/>
    <w:rsid w:val="34361DE0"/>
    <w:rsid w:val="34473E4C"/>
    <w:rsid w:val="34572B3B"/>
    <w:rsid w:val="34B1049E"/>
    <w:rsid w:val="34B23F6B"/>
    <w:rsid w:val="34B44B59"/>
    <w:rsid w:val="34ED7013"/>
    <w:rsid w:val="353A66E5"/>
    <w:rsid w:val="353D7F83"/>
    <w:rsid w:val="35472BB0"/>
    <w:rsid w:val="357040BA"/>
    <w:rsid w:val="35A63D7A"/>
    <w:rsid w:val="35CD7559"/>
    <w:rsid w:val="35D95EFE"/>
    <w:rsid w:val="35E548A3"/>
    <w:rsid w:val="3647730B"/>
    <w:rsid w:val="36941E25"/>
    <w:rsid w:val="36A06A1C"/>
    <w:rsid w:val="36A4174F"/>
    <w:rsid w:val="36D641EB"/>
    <w:rsid w:val="36E52680"/>
    <w:rsid w:val="36E95472"/>
    <w:rsid w:val="36EA7C97"/>
    <w:rsid w:val="37003ECF"/>
    <w:rsid w:val="370F0246"/>
    <w:rsid w:val="37164F30"/>
    <w:rsid w:val="37632D90"/>
    <w:rsid w:val="379A346B"/>
    <w:rsid w:val="37AE6F16"/>
    <w:rsid w:val="37FE6466"/>
    <w:rsid w:val="380934C1"/>
    <w:rsid w:val="381B0A50"/>
    <w:rsid w:val="384D0CFE"/>
    <w:rsid w:val="38635F53"/>
    <w:rsid w:val="38A1734A"/>
    <w:rsid w:val="38C42E95"/>
    <w:rsid w:val="38EE0D7F"/>
    <w:rsid w:val="38FD5800"/>
    <w:rsid w:val="390E5EBF"/>
    <w:rsid w:val="391A0D07"/>
    <w:rsid w:val="3938118D"/>
    <w:rsid w:val="393C663F"/>
    <w:rsid w:val="394C2E8B"/>
    <w:rsid w:val="39537D75"/>
    <w:rsid w:val="3981182F"/>
    <w:rsid w:val="39CD7B28"/>
    <w:rsid w:val="3A0D6176"/>
    <w:rsid w:val="3A157721"/>
    <w:rsid w:val="3B2E4FD7"/>
    <w:rsid w:val="3B547DD5"/>
    <w:rsid w:val="3BC1540C"/>
    <w:rsid w:val="3BFD65FB"/>
    <w:rsid w:val="3C1A7270"/>
    <w:rsid w:val="3C21415B"/>
    <w:rsid w:val="3C30439E"/>
    <w:rsid w:val="3CCD7C2C"/>
    <w:rsid w:val="3CE21B3C"/>
    <w:rsid w:val="3CF03B2D"/>
    <w:rsid w:val="3D4756E6"/>
    <w:rsid w:val="3D632551"/>
    <w:rsid w:val="3D6426ED"/>
    <w:rsid w:val="3D9D3CB5"/>
    <w:rsid w:val="3DE511B8"/>
    <w:rsid w:val="3DE61CB8"/>
    <w:rsid w:val="3E0B6E71"/>
    <w:rsid w:val="3E410AE4"/>
    <w:rsid w:val="3E894239"/>
    <w:rsid w:val="3F035D9A"/>
    <w:rsid w:val="3F0D09C6"/>
    <w:rsid w:val="3F1C600E"/>
    <w:rsid w:val="3FF27622"/>
    <w:rsid w:val="400022D9"/>
    <w:rsid w:val="403703F1"/>
    <w:rsid w:val="406809F9"/>
    <w:rsid w:val="40692863"/>
    <w:rsid w:val="40B22735"/>
    <w:rsid w:val="40B25CC9"/>
    <w:rsid w:val="40F462E2"/>
    <w:rsid w:val="411029F0"/>
    <w:rsid w:val="4134048C"/>
    <w:rsid w:val="414F3518"/>
    <w:rsid w:val="416A0352"/>
    <w:rsid w:val="418F7DB9"/>
    <w:rsid w:val="419D0727"/>
    <w:rsid w:val="41AD023F"/>
    <w:rsid w:val="41DC61E3"/>
    <w:rsid w:val="41EE2D31"/>
    <w:rsid w:val="41F12821"/>
    <w:rsid w:val="423544BC"/>
    <w:rsid w:val="425F3270"/>
    <w:rsid w:val="431C742A"/>
    <w:rsid w:val="435022BC"/>
    <w:rsid w:val="438751EB"/>
    <w:rsid w:val="440A3726"/>
    <w:rsid w:val="4435580B"/>
    <w:rsid w:val="443A54E4"/>
    <w:rsid w:val="44472BCC"/>
    <w:rsid w:val="446472DA"/>
    <w:rsid w:val="446F0254"/>
    <w:rsid w:val="44A660D0"/>
    <w:rsid w:val="44A82229"/>
    <w:rsid w:val="45036AF3"/>
    <w:rsid w:val="45264590"/>
    <w:rsid w:val="453A628D"/>
    <w:rsid w:val="45533D78"/>
    <w:rsid w:val="455A06DD"/>
    <w:rsid w:val="45B375E6"/>
    <w:rsid w:val="45D1274E"/>
    <w:rsid w:val="45D16BF2"/>
    <w:rsid w:val="45D24718"/>
    <w:rsid w:val="45E85CE9"/>
    <w:rsid w:val="45E87A97"/>
    <w:rsid w:val="46284338"/>
    <w:rsid w:val="4638473F"/>
    <w:rsid w:val="46713F31"/>
    <w:rsid w:val="46E26BDC"/>
    <w:rsid w:val="46F81F5C"/>
    <w:rsid w:val="47046B53"/>
    <w:rsid w:val="473E2065"/>
    <w:rsid w:val="479B5D08"/>
    <w:rsid w:val="47AA1CA0"/>
    <w:rsid w:val="48180B08"/>
    <w:rsid w:val="481A347D"/>
    <w:rsid w:val="486A6E89"/>
    <w:rsid w:val="486F26F2"/>
    <w:rsid w:val="487815A6"/>
    <w:rsid w:val="48D83DF3"/>
    <w:rsid w:val="48E704DA"/>
    <w:rsid w:val="49752D84"/>
    <w:rsid w:val="49911067"/>
    <w:rsid w:val="49E12311"/>
    <w:rsid w:val="4A070E34"/>
    <w:rsid w:val="4A1E1CDA"/>
    <w:rsid w:val="4A370FED"/>
    <w:rsid w:val="4A5C2802"/>
    <w:rsid w:val="4A7B3EC9"/>
    <w:rsid w:val="4A834233"/>
    <w:rsid w:val="4A8E17AE"/>
    <w:rsid w:val="4ADD3943"/>
    <w:rsid w:val="4B103D18"/>
    <w:rsid w:val="4BB07FA2"/>
    <w:rsid w:val="4BDF193C"/>
    <w:rsid w:val="4BF30464"/>
    <w:rsid w:val="4BF76C86"/>
    <w:rsid w:val="4C1029D9"/>
    <w:rsid w:val="4C2E4627"/>
    <w:rsid w:val="4C3728D4"/>
    <w:rsid w:val="4C481290"/>
    <w:rsid w:val="4C786019"/>
    <w:rsid w:val="4CB529BF"/>
    <w:rsid w:val="4CDB0356"/>
    <w:rsid w:val="4CE345D4"/>
    <w:rsid w:val="4D3A507C"/>
    <w:rsid w:val="4D742F72"/>
    <w:rsid w:val="4D8B58D8"/>
    <w:rsid w:val="4DC61456"/>
    <w:rsid w:val="4E2D3231"/>
    <w:rsid w:val="4E3A2460"/>
    <w:rsid w:val="4E724CEA"/>
    <w:rsid w:val="4E772300"/>
    <w:rsid w:val="4E946A0E"/>
    <w:rsid w:val="4EA36C51"/>
    <w:rsid w:val="4EC72940"/>
    <w:rsid w:val="4F021BCA"/>
    <w:rsid w:val="4F29184C"/>
    <w:rsid w:val="4F3F4BCC"/>
    <w:rsid w:val="4F4A531F"/>
    <w:rsid w:val="4F524F63"/>
    <w:rsid w:val="4F583EE0"/>
    <w:rsid w:val="4F6507F6"/>
    <w:rsid w:val="4F7505EE"/>
    <w:rsid w:val="4FD86DCF"/>
    <w:rsid w:val="4FDE5BC3"/>
    <w:rsid w:val="501F0559"/>
    <w:rsid w:val="503A10EE"/>
    <w:rsid w:val="5064250E"/>
    <w:rsid w:val="507408A5"/>
    <w:rsid w:val="508A1E77"/>
    <w:rsid w:val="50C8299F"/>
    <w:rsid w:val="51733EAB"/>
    <w:rsid w:val="521858AE"/>
    <w:rsid w:val="52527BFD"/>
    <w:rsid w:val="527E021F"/>
    <w:rsid w:val="52A325D2"/>
    <w:rsid w:val="52D533C5"/>
    <w:rsid w:val="52F8748E"/>
    <w:rsid w:val="53052687"/>
    <w:rsid w:val="5314011E"/>
    <w:rsid w:val="53226CDE"/>
    <w:rsid w:val="533B7DA0"/>
    <w:rsid w:val="536D301F"/>
    <w:rsid w:val="53915C12"/>
    <w:rsid w:val="5393482C"/>
    <w:rsid w:val="53964FD7"/>
    <w:rsid w:val="53D0673A"/>
    <w:rsid w:val="543C16DA"/>
    <w:rsid w:val="5454229F"/>
    <w:rsid w:val="54B43966"/>
    <w:rsid w:val="54C87412"/>
    <w:rsid w:val="55020B76"/>
    <w:rsid w:val="55326F81"/>
    <w:rsid w:val="55434CEA"/>
    <w:rsid w:val="55594A14"/>
    <w:rsid w:val="55833339"/>
    <w:rsid w:val="55AC288F"/>
    <w:rsid w:val="55B00C6D"/>
    <w:rsid w:val="55BA1450"/>
    <w:rsid w:val="55E464CD"/>
    <w:rsid w:val="5623032F"/>
    <w:rsid w:val="5627460C"/>
    <w:rsid w:val="568D26C1"/>
    <w:rsid w:val="569276C7"/>
    <w:rsid w:val="56AB0D99"/>
    <w:rsid w:val="57234DD3"/>
    <w:rsid w:val="572D7A00"/>
    <w:rsid w:val="574511ED"/>
    <w:rsid w:val="57B12A6A"/>
    <w:rsid w:val="57C540DC"/>
    <w:rsid w:val="57D04F5B"/>
    <w:rsid w:val="590429E2"/>
    <w:rsid w:val="59044790"/>
    <w:rsid w:val="590B1FC3"/>
    <w:rsid w:val="593F3A1A"/>
    <w:rsid w:val="59C77BB1"/>
    <w:rsid w:val="59CD1026"/>
    <w:rsid w:val="59D16D68"/>
    <w:rsid w:val="5A4124BE"/>
    <w:rsid w:val="5A492DA3"/>
    <w:rsid w:val="5A4968FF"/>
    <w:rsid w:val="5AAE2C06"/>
    <w:rsid w:val="5B1837EF"/>
    <w:rsid w:val="5B3C6468"/>
    <w:rsid w:val="5B4B2B4A"/>
    <w:rsid w:val="5B6A1223"/>
    <w:rsid w:val="5BC22E0D"/>
    <w:rsid w:val="5BD4669C"/>
    <w:rsid w:val="5BF716FC"/>
    <w:rsid w:val="5C11169E"/>
    <w:rsid w:val="5C292E8C"/>
    <w:rsid w:val="5C423F4D"/>
    <w:rsid w:val="5C50666A"/>
    <w:rsid w:val="5CC01C9D"/>
    <w:rsid w:val="5D5757D7"/>
    <w:rsid w:val="5D6F2B20"/>
    <w:rsid w:val="5DC038F2"/>
    <w:rsid w:val="5E2A6A47"/>
    <w:rsid w:val="5E4D2736"/>
    <w:rsid w:val="5E5A3B17"/>
    <w:rsid w:val="5E745F14"/>
    <w:rsid w:val="5ECA5457"/>
    <w:rsid w:val="5EEB267A"/>
    <w:rsid w:val="5EFC4888"/>
    <w:rsid w:val="5F1310D4"/>
    <w:rsid w:val="5F447FDD"/>
    <w:rsid w:val="5F57457D"/>
    <w:rsid w:val="5F697A43"/>
    <w:rsid w:val="5F805148"/>
    <w:rsid w:val="5FB66181"/>
    <w:rsid w:val="5FDF3861"/>
    <w:rsid w:val="602120CC"/>
    <w:rsid w:val="60326087"/>
    <w:rsid w:val="604C539B"/>
    <w:rsid w:val="607D02F0"/>
    <w:rsid w:val="609028F6"/>
    <w:rsid w:val="60CC2038"/>
    <w:rsid w:val="60FF065F"/>
    <w:rsid w:val="613C37A2"/>
    <w:rsid w:val="616B40B4"/>
    <w:rsid w:val="61AF4795"/>
    <w:rsid w:val="61C12377"/>
    <w:rsid w:val="62103631"/>
    <w:rsid w:val="62547D1C"/>
    <w:rsid w:val="6286659E"/>
    <w:rsid w:val="62B80AC5"/>
    <w:rsid w:val="62EF200D"/>
    <w:rsid w:val="6318012F"/>
    <w:rsid w:val="633345F0"/>
    <w:rsid w:val="63497970"/>
    <w:rsid w:val="63AD43A2"/>
    <w:rsid w:val="63D336DD"/>
    <w:rsid w:val="63DA241B"/>
    <w:rsid w:val="64460353"/>
    <w:rsid w:val="644D7933"/>
    <w:rsid w:val="64542A70"/>
    <w:rsid w:val="645962D8"/>
    <w:rsid w:val="64607667"/>
    <w:rsid w:val="64A15589"/>
    <w:rsid w:val="64A85F6B"/>
    <w:rsid w:val="64E77440"/>
    <w:rsid w:val="65031DA0"/>
    <w:rsid w:val="65D951D4"/>
    <w:rsid w:val="65DA51F7"/>
    <w:rsid w:val="660C68DC"/>
    <w:rsid w:val="66B07D06"/>
    <w:rsid w:val="66BA21D2"/>
    <w:rsid w:val="671B7875"/>
    <w:rsid w:val="67344FE3"/>
    <w:rsid w:val="683706DE"/>
    <w:rsid w:val="689948DA"/>
    <w:rsid w:val="68D26659"/>
    <w:rsid w:val="693C4173"/>
    <w:rsid w:val="69A27DD9"/>
    <w:rsid w:val="6A31115D"/>
    <w:rsid w:val="6A4470E3"/>
    <w:rsid w:val="6A9C2A7B"/>
    <w:rsid w:val="6AC67AF8"/>
    <w:rsid w:val="6AD14E1A"/>
    <w:rsid w:val="6ADE3093"/>
    <w:rsid w:val="6B376C47"/>
    <w:rsid w:val="6B4A24D7"/>
    <w:rsid w:val="6BA0061E"/>
    <w:rsid w:val="6BCF3297"/>
    <w:rsid w:val="6BF80185"/>
    <w:rsid w:val="6C043FFA"/>
    <w:rsid w:val="6C511909"/>
    <w:rsid w:val="6C5F6456"/>
    <w:rsid w:val="6C6D5692"/>
    <w:rsid w:val="6C6E27CC"/>
    <w:rsid w:val="6C6E6699"/>
    <w:rsid w:val="6C841A18"/>
    <w:rsid w:val="6CA9400C"/>
    <w:rsid w:val="6D3B2A1F"/>
    <w:rsid w:val="6D3C22F3"/>
    <w:rsid w:val="6D605FE2"/>
    <w:rsid w:val="6D8048D6"/>
    <w:rsid w:val="6D8E6FF3"/>
    <w:rsid w:val="6DA560EA"/>
    <w:rsid w:val="6DCB7F8B"/>
    <w:rsid w:val="6DD44FAD"/>
    <w:rsid w:val="6DE05374"/>
    <w:rsid w:val="6DE36C13"/>
    <w:rsid w:val="6E8E4DD0"/>
    <w:rsid w:val="6EA6036C"/>
    <w:rsid w:val="6EBA5BC5"/>
    <w:rsid w:val="6EBF142E"/>
    <w:rsid w:val="6F045092"/>
    <w:rsid w:val="6F234F46"/>
    <w:rsid w:val="6F2B0871"/>
    <w:rsid w:val="6F481423"/>
    <w:rsid w:val="6FA42FFA"/>
    <w:rsid w:val="6FB10D76"/>
    <w:rsid w:val="6FB16FC8"/>
    <w:rsid w:val="6FC36CFC"/>
    <w:rsid w:val="6FE47477"/>
    <w:rsid w:val="70052E70"/>
    <w:rsid w:val="70291255"/>
    <w:rsid w:val="70433998"/>
    <w:rsid w:val="707F70C6"/>
    <w:rsid w:val="70A24B63"/>
    <w:rsid w:val="70A42689"/>
    <w:rsid w:val="70C32F35"/>
    <w:rsid w:val="70D0347E"/>
    <w:rsid w:val="70DE72C4"/>
    <w:rsid w:val="71257C6E"/>
    <w:rsid w:val="71CF7BDA"/>
    <w:rsid w:val="71DE1BCB"/>
    <w:rsid w:val="71EE1406"/>
    <w:rsid w:val="721E646B"/>
    <w:rsid w:val="72930C07"/>
    <w:rsid w:val="72BF37AA"/>
    <w:rsid w:val="72C03E5C"/>
    <w:rsid w:val="72D27981"/>
    <w:rsid w:val="72E2393D"/>
    <w:rsid w:val="72E85639"/>
    <w:rsid w:val="731A30D6"/>
    <w:rsid w:val="735302A5"/>
    <w:rsid w:val="73552361"/>
    <w:rsid w:val="73E21E46"/>
    <w:rsid w:val="74043A9C"/>
    <w:rsid w:val="74147B26"/>
    <w:rsid w:val="74363F40"/>
    <w:rsid w:val="743E1047"/>
    <w:rsid w:val="744877CF"/>
    <w:rsid w:val="745B7503"/>
    <w:rsid w:val="746F3EFF"/>
    <w:rsid w:val="74980278"/>
    <w:rsid w:val="74982505"/>
    <w:rsid w:val="74E4574A"/>
    <w:rsid w:val="750B0F29"/>
    <w:rsid w:val="75232716"/>
    <w:rsid w:val="7524023C"/>
    <w:rsid w:val="753D4E5A"/>
    <w:rsid w:val="75575362"/>
    <w:rsid w:val="755E1F6B"/>
    <w:rsid w:val="756D573F"/>
    <w:rsid w:val="76134468"/>
    <w:rsid w:val="7647341C"/>
    <w:rsid w:val="765C7B0B"/>
    <w:rsid w:val="769D02A6"/>
    <w:rsid w:val="76AF2641"/>
    <w:rsid w:val="76DA5057"/>
    <w:rsid w:val="76E75AA9"/>
    <w:rsid w:val="77204A34"/>
    <w:rsid w:val="774F79E4"/>
    <w:rsid w:val="7771226C"/>
    <w:rsid w:val="7798281C"/>
    <w:rsid w:val="779F1DFC"/>
    <w:rsid w:val="77D00208"/>
    <w:rsid w:val="7814559E"/>
    <w:rsid w:val="782B3132"/>
    <w:rsid w:val="786F17CF"/>
    <w:rsid w:val="788A03B6"/>
    <w:rsid w:val="78A51694"/>
    <w:rsid w:val="790E2D96"/>
    <w:rsid w:val="792F71B0"/>
    <w:rsid w:val="7997722F"/>
    <w:rsid w:val="79B002F1"/>
    <w:rsid w:val="79B55092"/>
    <w:rsid w:val="79BF22E2"/>
    <w:rsid w:val="7A3525A4"/>
    <w:rsid w:val="7A365817"/>
    <w:rsid w:val="7A5213A8"/>
    <w:rsid w:val="7A6204C2"/>
    <w:rsid w:val="7A6675BE"/>
    <w:rsid w:val="7A8C2B0C"/>
    <w:rsid w:val="7AF34939"/>
    <w:rsid w:val="7B21244C"/>
    <w:rsid w:val="7B297C5E"/>
    <w:rsid w:val="7BBC11CF"/>
    <w:rsid w:val="7BDE0D77"/>
    <w:rsid w:val="7C09018C"/>
    <w:rsid w:val="7C097166"/>
    <w:rsid w:val="7C156B31"/>
    <w:rsid w:val="7C211032"/>
    <w:rsid w:val="7C552327"/>
    <w:rsid w:val="7C5E31F5"/>
    <w:rsid w:val="7C75312C"/>
    <w:rsid w:val="7CCF6CE0"/>
    <w:rsid w:val="7CE704CD"/>
    <w:rsid w:val="7D37324E"/>
    <w:rsid w:val="7D584F27"/>
    <w:rsid w:val="7D913F95"/>
    <w:rsid w:val="7D99109C"/>
    <w:rsid w:val="7DD6409E"/>
    <w:rsid w:val="7DDC7906"/>
    <w:rsid w:val="7DFF35F5"/>
    <w:rsid w:val="7E156974"/>
    <w:rsid w:val="7E2766A8"/>
    <w:rsid w:val="7E40312D"/>
    <w:rsid w:val="7E6047D1"/>
    <w:rsid w:val="7E81225C"/>
    <w:rsid w:val="7EB57FB8"/>
    <w:rsid w:val="7EB63962"/>
    <w:rsid w:val="7EB97C47"/>
    <w:rsid w:val="7ED70C48"/>
    <w:rsid w:val="7EDC1B88"/>
    <w:rsid w:val="7EE37B15"/>
    <w:rsid w:val="7F475253"/>
    <w:rsid w:val="7F517E80"/>
    <w:rsid w:val="7F556756"/>
    <w:rsid w:val="7F983D01"/>
    <w:rsid w:val="7FA51748"/>
    <w:rsid w:val="7FAC50B6"/>
    <w:rsid w:val="7FB9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5">
    <w:name w:val="heading 3"/>
    <w:basedOn w:val="1"/>
    <w:next w:val="1"/>
    <w:qFormat/>
    <w:uiPriority w:val="0"/>
    <w:pPr>
      <w:keepNext/>
      <w:keepLines/>
      <w:spacing w:before="360" w:after="120"/>
      <w:outlineLvl w:val="2"/>
    </w:pPr>
    <w:rPr>
      <w:rFonts w:ascii="宋体"/>
      <w:b/>
      <w:sz w:val="24"/>
      <w:szCs w:val="20"/>
      <w:u w:val="single"/>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41"/>
      <w:szCs w:val="41"/>
    </w:rPr>
  </w:style>
  <w:style w:type="paragraph" w:styleId="6">
    <w:name w:val="Normal Indent"/>
    <w:basedOn w:val="1"/>
    <w:next w:val="1"/>
    <w:qFormat/>
    <w:uiPriority w:val="0"/>
    <w:pPr>
      <w:ind w:firstLine="420"/>
    </w:pPr>
    <w:rPr>
      <w:rFonts w:ascii="宋体"/>
      <w:sz w:val="24"/>
      <w:szCs w:val="20"/>
    </w:rPr>
  </w:style>
  <w:style w:type="paragraph" w:styleId="7">
    <w:name w:val="index 5"/>
    <w:basedOn w:val="1"/>
    <w:next w:val="1"/>
    <w:semiHidden/>
    <w:qFormat/>
    <w:uiPriority w:val="0"/>
    <w:pPr>
      <w:ind w:left="800" w:leftChars="800"/>
    </w:pPr>
    <w:rPr>
      <w:rFonts w:eastAsia="宋体"/>
      <w:szCs w:val="24"/>
    </w:rPr>
  </w:style>
  <w:style w:type="paragraph" w:styleId="8">
    <w:name w:val="toa heading"/>
    <w:basedOn w:val="1"/>
    <w:next w:val="1"/>
    <w:qFormat/>
    <w:uiPriority w:val="0"/>
    <w:pPr>
      <w:spacing w:before="120"/>
    </w:pPr>
    <w:rPr>
      <w:rFonts w:ascii="Cambria" w:hAnsi="Cambria"/>
      <w:sz w:val="24"/>
    </w:rPr>
  </w:style>
  <w:style w:type="paragraph" w:styleId="9">
    <w:name w:val="Body Text Indent"/>
    <w:basedOn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pPr>
    <w:rPr>
      <w:rFonts w:ascii="宋体"/>
      <w:sz w:val="18"/>
      <w:szCs w:val="20"/>
    </w:rPr>
  </w:style>
  <w:style w:type="paragraph" w:styleId="13">
    <w:name w:val="envelope return"/>
    <w:basedOn w:val="1"/>
    <w:qFormat/>
    <w:uiPriority w:val="0"/>
    <w:pPr>
      <w:snapToGrid w:val="0"/>
    </w:pPr>
    <w:rPr>
      <w:rFonts w:ascii="Arial" w:hAnsi="Arial" w:cs="Arial"/>
      <w:szCs w:val="21"/>
    </w:rPr>
  </w:style>
  <w:style w:type="paragraph" w:styleId="14">
    <w:name w:val="header"/>
    <w:basedOn w:val="1"/>
    <w:qFormat/>
    <w:uiPriority w:val="0"/>
    <w:pPr>
      <w:pBdr>
        <w:bottom w:val="single" w:color="000000" w:sz="6" w:space="1"/>
      </w:pBdr>
      <w:tabs>
        <w:tab w:val="center" w:pos="4153"/>
        <w:tab w:val="right" w:pos="8306"/>
      </w:tabs>
      <w:jc w:val="center"/>
    </w:pPr>
    <w:rPr>
      <w:sz w:val="18"/>
      <w:szCs w:val="18"/>
    </w:rPr>
  </w:style>
  <w:style w:type="paragraph" w:styleId="15">
    <w:name w:val="toc 1"/>
    <w:basedOn w:val="1"/>
    <w:next w:val="1"/>
    <w:qFormat/>
    <w:uiPriority w:val="39"/>
  </w:style>
  <w:style w:type="paragraph" w:styleId="16">
    <w:name w:val="footnote text"/>
    <w:basedOn w:val="1"/>
    <w:next w:val="2"/>
    <w:qFormat/>
    <w:uiPriority w:val="0"/>
    <w:rPr>
      <w:sz w:val="18"/>
    </w:rPr>
  </w:style>
  <w:style w:type="paragraph" w:styleId="17">
    <w:name w:val="Body Text Indent 3"/>
    <w:basedOn w:val="1"/>
    <w:next w:val="1"/>
    <w:qFormat/>
    <w:uiPriority w:val="0"/>
    <w:pPr>
      <w:spacing w:before="120" w:line="22" w:lineRule="atLeast"/>
      <w:ind w:left="720" w:firstLine="480"/>
    </w:pPr>
    <w:rPr>
      <w:rFonts w:ascii="宋体"/>
      <w:sz w:val="24"/>
      <w:szCs w:val="20"/>
    </w:rPr>
  </w:style>
  <w:style w:type="paragraph" w:styleId="18">
    <w:name w:val="toc 2"/>
    <w:basedOn w:val="1"/>
    <w:next w:val="1"/>
    <w:qFormat/>
    <w:uiPriority w:val="39"/>
    <w:pPr>
      <w:ind w:left="420" w:leftChars="200"/>
    </w:pPr>
  </w:style>
  <w:style w:type="paragraph" w:styleId="19">
    <w:name w:val="Body Text 2"/>
    <w:basedOn w:val="1"/>
    <w:link w:val="41"/>
    <w:qFormat/>
    <w:uiPriority w:val="0"/>
    <w:pPr>
      <w:widowControl w:val="0"/>
      <w:kinsoku/>
      <w:autoSpaceDE/>
      <w:autoSpaceDN/>
      <w:adjustRightInd/>
      <w:snapToGrid/>
      <w:spacing w:after="120" w:line="480" w:lineRule="auto"/>
      <w:jc w:val="both"/>
      <w:textAlignment w:val="auto"/>
    </w:pPr>
    <w:rPr>
      <w:rFonts w:asciiTheme="minorHAnsi" w:hAnsiTheme="minorHAnsi" w:eastAsiaTheme="minorEastAsia" w:cstheme="minorBidi"/>
      <w:snapToGrid/>
      <w:color w:val="auto"/>
      <w:kern w:val="2"/>
      <w:szCs w:val="24"/>
      <w:lang w:eastAsia="zh-CN"/>
    </w:rPr>
  </w:style>
  <w:style w:type="paragraph" w:styleId="20">
    <w:name w:val="Normal (Web)"/>
    <w:basedOn w:val="1"/>
    <w:qFormat/>
    <w:uiPriority w:val="0"/>
    <w:pPr>
      <w:spacing w:before="100" w:beforeAutospacing="1" w:after="100" w:afterAutospacing="1"/>
    </w:pPr>
    <w:rPr>
      <w:sz w:val="24"/>
    </w:rPr>
  </w:style>
  <w:style w:type="paragraph" w:styleId="21">
    <w:name w:val="Body Text First Indent"/>
    <w:basedOn w:val="2"/>
    <w:qFormat/>
    <w:uiPriority w:val="0"/>
    <w:pPr>
      <w:tabs>
        <w:tab w:val="left" w:pos="567"/>
      </w:tabs>
      <w:spacing w:line="312" w:lineRule="auto"/>
      <w:ind w:firstLine="420" w:firstLineChars="100"/>
    </w:pPr>
    <w:rPr>
      <w:rFonts w:hint="eastAsia" w:ascii="微软雅黑" w:hAnsi="微软雅黑" w:eastAsia="微软雅黑" w:cs="微软雅黑"/>
      <w:szCs w:val="21"/>
    </w:rPr>
  </w:style>
  <w:style w:type="paragraph" w:styleId="22">
    <w:name w:val="Body Text First Indent 2"/>
    <w:basedOn w:val="9"/>
    <w:qFormat/>
    <w:uiPriority w:val="0"/>
    <w:pPr>
      <w:ind w:firstLine="420" w:firstLineChars="200"/>
    </w:pPr>
  </w:style>
  <w:style w:type="character" w:styleId="25">
    <w:name w:val="Hyperlink"/>
    <w:qFormat/>
    <w:uiPriority w:val="99"/>
    <w:rPr>
      <w:color w:val="0000FF"/>
      <w:u w:val="single"/>
    </w:rPr>
  </w:style>
  <w:style w:type="character" w:customStyle="1" w:styleId="26">
    <w:name w:val="NormalCharacter"/>
    <w:semiHidden/>
    <w:qFormat/>
    <w:uiPriority w:val="0"/>
  </w:style>
  <w:style w:type="paragraph" w:customStyle="1" w:styleId="27">
    <w:name w:val="FootnoteText"/>
    <w:basedOn w:val="1"/>
    <w:qFormat/>
    <w:uiPriority w:val="0"/>
    <w:rPr>
      <w:sz w:val="18"/>
    </w:rPr>
  </w:style>
  <w:style w:type="paragraph" w:customStyle="1" w:styleId="28">
    <w:name w:val="Heading2"/>
    <w:basedOn w:val="1"/>
    <w:next w:val="1"/>
    <w:qFormat/>
    <w:uiPriority w:val="0"/>
    <w:pPr>
      <w:keepNext/>
      <w:keepLines/>
      <w:spacing w:before="120" w:line="300" w:lineRule="auto"/>
      <w:jc w:val="center"/>
    </w:pPr>
    <w:rPr>
      <w:rFonts w:eastAsia="黑体"/>
      <w:b/>
      <w:sz w:val="30"/>
      <w:szCs w:val="20"/>
    </w:rPr>
  </w:style>
  <w:style w:type="paragraph" w:customStyle="1" w:styleId="29">
    <w:name w:val="Heading1"/>
    <w:basedOn w:val="1"/>
    <w:next w:val="1"/>
    <w:qFormat/>
    <w:uiPriority w:val="0"/>
    <w:pPr>
      <w:keepNext/>
      <w:keepLines/>
      <w:spacing w:before="240" w:after="120" w:line="300" w:lineRule="auto"/>
      <w:jc w:val="center"/>
    </w:pPr>
    <w:rPr>
      <w:rFonts w:ascii="宋体"/>
      <w:b/>
      <w:kern w:val="44"/>
      <w:sz w:val="32"/>
      <w:szCs w:val="20"/>
    </w:rPr>
  </w:style>
  <w:style w:type="paragraph" w:customStyle="1" w:styleId="30">
    <w:name w:val="Table Text"/>
    <w:basedOn w:val="1"/>
    <w:semiHidden/>
    <w:qFormat/>
    <w:uiPriority w:val="0"/>
  </w:style>
  <w:style w:type="paragraph" w:styleId="31">
    <w:name w:val="List Paragraph"/>
    <w:basedOn w:val="1"/>
    <w:qFormat/>
    <w:uiPriority w:val="34"/>
    <w:pPr>
      <w:ind w:firstLine="420" w:firstLineChars="200"/>
    </w:pPr>
  </w:style>
  <w:style w:type="paragraph" w:customStyle="1" w:styleId="32">
    <w:name w:val="默认 A"/>
    <w:qFormat/>
    <w:uiPriority w:val="0"/>
    <w:pPr>
      <w:framePr w:wrap="around" w:vAnchor="margin" w:hAnchor="text" w:y="1"/>
    </w:pPr>
    <w:rPr>
      <w:rFonts w:ascii="Arial Unicode MS" w:hAnsi="Arial Unicode MS" w:eastAsia="Arial Unicode MS" w:cs="Arial Unicode MS"/>
      <w:color w:val="000000"/>
      <w:sz w:val="22"/>
      <w:szCs w:val="22"/>
      <w:lang w:val="zh-TW" w:eastAsia="zh-TW" w:bidi="ar-SA"/>
    </w:rPr>
  </w:style>
  <w:style w:type="paragraph" w:customStyle="1" w:styleId="33">
    <w:name w:val="列出段落1"/>
    <w:basedOn w:val="1"/>
    <w:qFormat/>
    <w:uiPriority w:val="0"/>
    <w:pPr>
      <w:ind w:firstLine="420" w:firstLineChars="200"/>
    </w:pPr>
    <w:rPr>
      <w:sz w:val="24"/>
      <w:szCs w:val="20"/>
    </w:rPr>
  </w:style>
  <w:style w:type="paragraph" w:customStyle="1" w:styleId="34">
    <w:name w:val="一级标题"/>
    <w:basedOn w:val="3"/>
    <w:next w:val="1"/>
    <w:qFormat/>
    <w:uiPriority w:val="0"/>
    <w:pPr>
      <w:spacing w:line="360" w:lineRule="auto"/>
    </w:pPr>
    <w:rPr>
      <w:rFonts w:hAnsi="宋体"/>
      <w:lang w:bidi="ug-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TextIndent3"/>
    <w:basedOn w:val="1"/>
    <w:qFormat/>
    <w:uiPriority w:val="0"/>
    <w:pPr>
      <w:spacing w:before="120" w:line="240" w:lineRule="atLeast"/>
      <w:ind w:left="720" w:firstLine="480"/>
    </w:pPr>
    <w:rPr>
      <w:rFonts w:ascii="宋体"/>
      <w:sz w:val="24"/>
      <w:szCs w:val="20"/>
    </w:rPr>
  </w:style>
  <w:style w:type="paragraph" w:customStyle="1" w:styleId="37">
    <w:name w:val="UserStyle_21"/>
    <w:basedOn w:val="1"/>
    <w:qFormat/>
    <w:uiPriority w:val="0"/>
    <w:pPr>
      <w:ind w:firstLine="420"/>
    </w:pPr>
    <w:rPr>
      <w:rFonts w:ascii="宋体"/>
      <w:sz w:val="24"/>
      <w:szCs w:val="20"/>
    </w:rPr>
  </w:style>
  <w:style w:type="paragraph" w:customStyle="1" w:styleId="38">
    <w:name w:val="UserStyle_37"/>
    <w:basedOn w:val="1"/>
    <w:next w:val="1"/>
    <w:qFormat/>
    <w:uiPriority w:val="0"/>
    <w:pPr>
      <w:spacing w:line="360" w:lineRule="auto"/>
    </w:pPr>
    <w:rPr>
      <w:rFonts w:ascii="仿宋_GB2312" w:eastAsia="仿宋_GB2312"/>
      <w:sz w:val="24"/>
      <w:szCs w:val="20"/>
    </w:rPr>
  </w:style>
  <w:style w:type="paragraph" w:customStyle="1" w:styleId="39">
    <w:name w:val="UserStyle_28"/>
    <w:basedOn w:val="1"/>
    <w:qFormat/>
    <w:uiPriority w:val="0"/>
    <w:rPr>
      <w:rFonts w:ascii="宋体" w:hAnsi="Courier New"/>
      <w:sz w:val="20"/>
      <w:szCs w:val="20"/>
    </w:rPr>
  </w:style>
  <w:style w:type="character" w:customStyle="1" w:styleId="40">
    <w:name w:val="PageNumber"/>
    <w:basedOn w:val="26"/>
    <w:qFormat/>
    <w:uiPriority w:val="0"/>
  </w:style>
  <w:style w:type="character" w:customStyle="1" w:styleId="41">
    <w:name w:val="正文文本 2 字符"/>
    <w:link w:val="19"/>
    <w:qFormat/>
    <w:uiPriority w:val="0"/>
    <w:rPr>
      <w:kern w:val="2"/>
      <w:sz w:val="21"/>
      <w:szCs w:val="24"/>
    </w:rPr>
  </w:style>
  <w:style w:type="character" w:customStyle="1" w:styleId="42">
    <w:name w:val="列出段落 Char"/>
    <w:link w:val="43"/>
    <w:qFormat/>
    <w:uiPriority w:val="34"/>
    <w:rPr>
      <w:rFonts w:ascii="Calibri" w:hAnsi="Calibri"/>
      <w:kern w:val="2"/>
      <w:sz w:val="21"/>
      <w:szCs w:val="22"/>
    </w:rPr>
  </w:style>
  <w:style w:type="paragraph" w:customStyle="1" w:styleId="43">
    <w:name w:val="列出段落"/>
    <w:basedOn w:val="1"/>
    <w:link w:val="42"/>
    <w:qFormat/>
    <w:uiPriority w:val="34"/>
    <w:pPr>
      <w:widowControl w:val="0"/>
      <w:kinsoku/>
      <w:autoSpaceDE/>
      <w:autoSpaceDN/>
      <w:adjustRightInd/>
      <w:snapToGrid/>
      <w:ind w:firstLine="420" w:firstLineChars="200"/>
      <w:jc w:val="both"/>
      <w:textAlignment w:val="auto"/>
    </w:pPr>
    <w:rPr>
      <w:rFonts w:ascii="Calibri" w:hAnsi="Calibri" w:eastAsiaTheme="minorEastAsia" w:cstheme="minorBidi"/>
      <w:snapToGrid/>
      <w:color w:val="auto"/>
      <w:kern w:val="2"/>
      <w:szCs w:val="22"/>
      <w:lang w:eastAsia="zh-CN"/>
    </w:rPr>
  </w:style>
  <w:style w:type="character" w:customStyle="1" w:styleId="44">
    <w:name w:val="正文文本 2 字符1"/>
    <w:basedOn w:val="24"/>
    <w:qFormat/>
    <w:uiPriority w:val="0"/>
    <w:rPr>
      <w:rFonts w:ascii="Arial" w:hAnsi="Arial" w:eastAsia="Arial" w:cs="Arial"/>
      <w:snapToGrid w:val="0"/>
      <w:color w:val="000000"/>
      <w:sz w:val="21"/>
      <w:szCs w:val="21"/>
      <w:lang w:eastAsia="en-US"/>
    </w:rPr>
  </w:style>
  <w:style w:type="character" w:customStyle="1" w:styleId="45">
    <w:name w:val="*正文 Char Char"/>
    <w:link w:val="46"/>
    <w:qFormat/>
    <w:uiPriority w:val="0"/>
    <w:rPr>
      <w:rFonts w:ascii="仿宋_GB2312" w:eastAsia="仿宋_GB2312"/>
      <w:sz w:val="24"/>
      <w:szCs w:val="24"/>
    </w:rPr>
  </w:style>
  <w:style w:type="paragraph" w:customStyle="1" w:styleId="46">
    <w:name w:val="*正文"/>
    <w:basedOn w:val="1"/>
    <w:link w:val="45"/>
    <w:qFormat/>
    <w:uiPriority w:val="0"/>
    <w:pPr>
      <w:kinsoku/>
      <w:autoSpaceDE/>
      <w:autoSpaceDN/>
      <w:adjustRightInd/>
      <w:snapToGrid/>
      <w:spacing w:after="200" w:line="360" w:lineRule="auto"/>
      <w:ind w:firstLine="480" w:firstLineChars="200"/>
      <w:textAlignment w:val="auto"/>
    </w:pPr>
    <w:rPr>
      <w:rFonts w:ascii="仿宋_GB2312" w:eastAsia="仿宋_GB2312" w:hAnsiTheme="minorHAnsi" w:cstheme="minorBidi"/>
      <w:snapToGrid/>
      <w:color w:val="auto"/>
      <w:sz w:val="24"/>
      <w:szCs w:val="24"/>
      <w:lang w:eastAsia="zh-CN"/>
    </w:rPr>
  </w:style>
  <w:style w:type="paragraph" w:customStyle="1" w:styleId="47">
    <w:name w:val="列出段落2"/>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customStyle="1" w:styleId="48">
    <w:name w:val="样式 样式 样式 左侧:  2 字符1 + 首行缩进:  2 字符1 + 首行缩进:  2 字符"/>
    <w:qFormat/>
    <w:uiPriority w:val="0"/>
    <w:pPr>
      <w:adjustRightInd w:val="0"/>
      <w:spacing w:before="60" w:after="120" w:line="440" w:lineRule="atLeast"/>
      <w:ind w:firstLine="480"/>
      <w:jc w:val="both"/>
      <w:textAlignment w:val="baseline"/>
    </w:pPr>
    <w:rPr>
      <w:rFonts w:ascii="Times New Roman" w:hAnsi="Times New Roman" w:eastAsia="宋体" w:cs="Times New Roman"/>
      <w:kern w:val="2"/>
      <w:sz w:val="24"/>
      <w:szCs w:val="24"/>
      <w:lang w:val="en-US" w:eastAsia="zh-CN" w:bidi="ar-SA"/>
    </w:rPr>
  </w:style>
  <w:style w:type="paragraph" w:customStyle="1" w:styleId="49">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18723</Words>
  <Characters>19607</Characters>
  <Lines>2676</Lines>
  <Paragraphs>2449</Paragraphs>
  <TotalTime>4</TotalTime>
  <ScaleCrop>false</ScaleCrop>
  <LinksUpToDate>false</LinksUpToDate>
  <CharactersWithSpaces>21073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2025-04-01T11:55:00Z</dcterms:created>
  <dc:creator>SYP</dc:creator>
  <cp:lastModifiedBy>Administrator</cp:lastModifiedBy>
  <dcterms:modified xsi:type="dcterms:W3CDTF">2025-07-02T03:17:26Z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C661251139004053A6D740B57DC4B239_13</vt:lpwstr>
  </property>
  <property fmtid="{D5CDD505-2E9C-101B-9397-08002B2CF9AE}" pid="4" name="KSOTemplateDocerSaveRecord">
    <vt:lpwstr>eyJoZGlkIjoiZDU3NDlhZWYxYzUxMjlkMDAwNmUxMDhiZDQxMzZmYjcifQ==</vt:lpwstr>
  </property>
</Properties>
</file>